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CC9" w:rsidRPr="00182CC9" w:rsidRDefault="00182CC9" w:rsidP="00182CC9">
      <w:pPr>
        <w:jc w:val="center"/>
      </w:pPr>
      <w:r w:rsidRPr="00182CC9">
        <w:rPr>
          <w:noProof/>
          <w:lang w:eastAsia="en-AU"/>
        </w:rPr>
        <w:drawing>
          <wp:inline distT="0" distB="0" distL="0" distR="0" wp14:anchorId="1ACB1D8C" wp14:editId="7D3951EE">
            <wp:extent cx="5166360" cy="906780"/>
            <wp:effectExtent l="0" t="0" r="0" b="7620"/>
            <wp:docPr id="6" name="Picture 6" descr="http://dfat.gov.au/about-us/corporate/PublishingImages/DFAT-strip-p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fat.gov.au/about-us/corporate/PublishingImages/DFAT-strip-p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6360" cy="906780"/>
                    </a:xfrm>
                    <a:prstGeom prst="rect">
                      <a:avLst/>
                    </a:prstGeom>
                    <a:noFill/>
                    <a:ln>
                      <a:noFill/>
                    </a:ln>
                  </pic:spPr>
                </pic:pic>
              </a:graphicData>
            </a:graphic>
          </wp:inline>
        </w:drawing>
      </w:r>
    </w:p>
    <w:p w:rsidR="00182CC9" w:rsidRPr="00182CC9" w:rsidRDefault="00182CC9" w:rsidP="00182CC9"/>
    <w:p w:rsidR="00182CC9" w:rsidRPr="00182CC9" w:rsidRDefault="00182CC9" w:rsidP="00182CC9"/>
    <w:p w:rsidR="00182CC9" w:rsidRPr="00182CC9" w:rsidRDefault="00182CC9" w:rsidP="00182CC9"/>
    <w:p w:rsidR="00182CC9" w:rsidRPr="00182CC9" w:rsidRDefault="00182CC9" w:rsidP="00182CC9"/>
    <w:p w:rsidR="00182CC9" w:rsidRPr="00182CC9" w:rsidRDefault="00182CC9" w:rsidP="00182CC9"/>
    <w:p w:rsidR="00182CC9" w:rsidRPr="00182CC9" w:rsidRDefault="00182CC9" w:rsidP="00182CC9"/>
    <w:p w:rsidR="00182CC9" w:rsidRPr="00182CC9" w:rsidRDefault="00182CC9" w:rsidP="00182CC9"/>
    <w:p w:rsidR="00182CC9" w:rsidRPr="00182CC9" w:rsidRDefault="00182CC9" w:rsidP="00182CC9"/>
    <w:p w:rsidR="00513007" w:rsidRDefault="00513007" w:rsidP="00513007">
      <w:pPr>
        <w:jc w:val="center"/>
        <w:rPr>
          <w:b/>
          <w:sz w:val="32"/>
          <w:szCs w:val="32"/>
        </w:rPr>
      </w:pPr>
    </w:p>
    <w:p w:rsidR="00513007" w:rsidRDefault="00513007" w:rsidP="00513007">
      <w:pPr>
        <w:jc w:val="center"/>
        <w:rPr>
          <w:b/>
          <w:sz w:val="32"/>
          <w:szCs w:val="32"/>
        </w:rPr>
      </w:pPr>
    </w:p>
    <w:p w:rsidR="00513007" w:rsidRPr="00A73BD6" w:rsidRDefault="00513007" w:rsidP="00513007">
      <w:pPr>
        <w:jc w:val="center"/>
        <w:rPr>
          <w:b/>
          <w:sz w:val="40"/>
          <w:szCs w:val="40"/>
        </w:rPr>
      </w:pPr>
      <w:r w:rsidRPr="00A73BD6">
        <w:rPr>
          <w:b/>
          <w:sz w:val="40"/>
          <w:szCs w:val="40"/>
        </w:rPr>
        <w:t>Productivity Commission Study into Barriers to Growth in Australian Services Exports</w:t>
      </w:r>
    </w:p>
    <w:p w:rsidR="00182CC9" w:rsidRPr="00182CC9" w:rsidRDefault="00182CC9" w:rsidP="00182CC9"/>
    <w:p w:rsidR="00A73BD6" w:rsidRDefault="00A73BD6" w:rsidP="00196B55">
      <w:pPr>
        <w:jc w:val="center"/>
        <w:rPr>
          <w:b/>
          <w:sz w:val="36"/>
          <w:szCs w:val="36"/>
        </w:rPr>
      </w:pPr>
    </w:p>
    <w:p w:rsidR="00196B55" w:rsidRPr="00196B55" w:rsidRDefault="00196B55" w:rsidP="00196B55">
      <w:pPr>
        <w:jc w:val="center"/>
        <w:rPr>
          <w:b/>
          <w:sz w:val="36"/>
          <w:szCs w:val="36"/>
        </w:rPr>
      </w:pPr>
      <w:r w:rsidRPr="00196B55">
        <w:rPr>
          <w:b/>
          <w:sz w:val="36"/>
          <w:szCs w:val="36"/>
        </w:rPr>
        <w:t xml:space="preserve">Submission by </w:t>
      </w:r>
    </w:p>
    <w:p w:rsidR="00196B55" w:rsidRPr="00196B55" w:rsidRDefault="00196B55" w:rsidP="00196B55">
      <w:pPr>
        <w:jc w:val="center"/>
        <w:rPr>
          <w:b/>
          <w:sz w:val="36"/>
          <w:szCs w:val="36"/>
        </w:rPr>
      </w:pPr>
      <w:r w:rsidRPr="00196B55">
        <w:rPr>
          <w:b/>
          <w:sz w:val="36"/>
          <w:szCs w:val="36"/>
        </w:rPr>
        <w:t>Department of Foreign Affairs and Trade</w:t>
      </w:r>
      <w:r w:rsidR="000A0D01">
        <w:rPr>
          <w:b/>
          <w:sz w:val="36"/>
          <w:szCs w:val="36"/>
        </w:rPr>
        <w:t xml:space="preserve"> (DFAT)</w:t>
      </w:r>
    </w:p>
    <w:p w:rsidR="00196B55" w:rsidRPr="00196B55" w:rsidRDefault="00196B55" w:rsidP="00196B55">
      <w:pPr>
        <w:jc w:val="center"/>
        <w:rPr>
          <w:b/>
          <w:sz w:val="36"/>
          <w:szCs w:val="36"/>
        </w:rPr>
      </w:pPr>
      <w:r w:rsidRPr="00196B55">
        <w:rPr>
          <w:b/>
          <w:sz w:val="36"/>
          <w:szCs w:val="36"/>
        </w:rPr>
        <w:t xml:space="preserve">Australian Trade Commission (Austrade) </w:t>
      </w:r>
    </w:p>
    <w:p w:rsidR="00196B55" w:rsidRPr="00196B55" w:rsidRDefault="00196B55" w:rsidP="00196B55">
      <w:pPr>
        <w:jc w:val="center"/>
        <w:rPr>
          <w:b/>
          <w:sz w:val="36"/>
          <w:szCs w:val="36"/>
        </w:rPr>
      </w:pPr>
      <w:r w:rsidRPr="00196B55">
        <w:rPr>
          <w:b/>
          <w:sz w:val="36"/>
          <w:szCs w:val="36"/>
        </w:rPr>
        <w:t>Export Finance and Insurance Corporation (</w:t>
      </w:r>
      <w:proofErr w:type="spellStart"/>
      <w:r w:rsidRPr="00196B55">
        <w:rPr>
          <w:b/>
          <w:sz w:val="36"/>
          <w:szCs w:val="36"/>
        </w:rPr>
        <w:t>Efic</w:t>
      </w:r>
      <w:proofErr w:type="spellEnd"/>
      <w:r w:rsidRPr="00196B55">
        <w:rPr>
          <w:b/>
          <w:sz w:val="36"/>
          <w:szCs w:val="36"/>
        </w:rPr>
        <w:t>)</w:t>
      </w:r>
    </w:p>
    <w:p w:rsidR="00196B55" w:rsidRPr="00196B55" w:rsidRDefault="00196B55" w:rsidP="00513007">
      <w:pPr>
        <w:rPr>
          <w:b/>
          <w:sz w:val="36"/>
          <w:szCs w:val="36"/>
        </w:rPr>
      </w:pPr>
    </w:p>
    <w:p w:rsidR="00196B55" w:rsidRPr="00182CC9" w:rsidRDefault="00196B55" w:rsidP="00196B55">
      <w:pPr>
        <w:rPr>
          <w:b/>
          <w:sz w:val="28"/>
          <w:szCs w:val="28"/>
        </w:rPr>
      </w:pPr>
    </w:p>
    <w:p w:rsidR="00182CC9" w:rsidRPr="00182CC9" w:rsidRDefault="00182CC9" w:rsidP="00182CC9">
      <w:pPr>
        <w:jc w:val="center"/>
      </w:pPr>
    </w:p>
    <w:p w:rsidR="00FF0816" w:rsidRDefault="00FF0816" w:rsidP="00FF0816">
      <w:pPr>
        <w:jc w:val="center"/>
        <w:rPr>
          <w:b/>
          <w:sz w:val="28"/>
          <w:szCs w:val="28"/>
        </w:rPr>
      </w:pPr>
    </w:p>
    <w:p w:rsidR="00FF0816" w:rsidRDefault="00FF0816" w:rsidP="00FF0816">
      <w:pPr>
        <w:jc w:val="center"/>
        <w:rPr>
          <w:b/>
          <w:sz w:val="28"/>
          <w:szCs w:val="28"/>
        </w:rPr>
      </w:pPr>
    </w:p>
    <w:p w:rsidR="00FF0816" w:rsidRDefault="00FF0816" w:rsidP="00182CC9">
      <w:pPr>
        <w:jc w:val="center"/>
        <w:rPr>
          <w:b/>
          <w:sz w:val="28"/>
          <w:szCs w:val="28"/>
        </w:rPr>
      </w:pPr>
    </w:p>
    <w:p w:rsidR="00FF0816" w:rsidRDefault="00FF0816" w:rsidP="00182CC9">
      <w:pPr>
        <w:jc w:val="center"/>
        <w:rPr>
          <w:b/>
          <w:sz w:val="28"/>
          <w:szCs w:val="28"/>
        </w:rPr>
      </w:pPr>
    </w:p>
    <w:p w:rsidR="00182CC9" w:rsidRPr="00182CC9" w:rsidRDefault="00634B69" w:rsidP="00182CC9">
      <w:pPr>
        <w:jc w:val="center"/>
        <w:rPr>
          <w:b/>
          <w:sz w:val="28"/>
          <w:szCs w:val="28"/>
        </w:rPr>
      </w:pPr>
      <w:r>
        <w:rPr>
          <w:b/>
          <w:sz w:val="28"/>
          <w:szCs w:val="28"/>
        </w:rPr>
        <w:t>July</w:t>
      </w:r>
      <w:r w:rsidR="00182CC9" w:rsidRPr="00182CC9">
        <w:rPr>
          <w:b/>
          <w:sz w:val="28"/>
          <w:szCs w:val="28"/>
        </w:rPr>
        <w:t xml:space="preserve"> 2015</w:t>
      </w:r>
    </w:p>
    <w:p w:rsidR="00182CC9" w:rsidRPr="00182CC9" w:rsidRDefault="00182CC9" w:rsidP="00182CC9"/>
    <w:p w:rsidR="00182CC9" w:rsidRPr="00182CC9" w:rsidRDefault="00182CC9" w:rsidP="00182CC9"/>
    <w:p w:rsidR="00182CC9" w:rsidRPr="00182CC9" w:rsidRDefault="00182CC9" w:rsidP="00182CC9"/>
    <w:p w:rsidR="00182CC9" w:rsidRPr="00182CC9" w:rsidRDefault="00182CC9" w:rsidP="00182CC9"/>
    <w:p w:rsidR="00182CC9" w:rsidRPr="00182CC9" w:rsidRDefault="00182CC9" w:rsidP="00182CC9"/>
    <w:p w:rsidR="00462744" w:rsidRDefault="00462744" w:rsidP="00182CC9">
      <w:pPr>
        <w:sectPr w:rsidR="00462744" w:rsidSect="000A0D01">
          <w:headerReference w:type="default" r:id="rId10"/>
          <w:footerReference w:type="default" r:id="rId11"/>
          <w:pgSz w:w="11906" w:h="16838"/>
          <w:pgMar w:top="1440" w:right="1797" w:bottom="1440" w:left="1797" w:header="709" w:footer="709" w:gutter="0"/>
          <w:pgNumType w:start="1"/>
          <w:cols w:space="708"/>
          <w:titlePg/>
          <w:docGrid w:linePitch="360"/>
        </w:sectPr>
      </w:pPr>
    </w:p>
    <w:p w:rsidR="00182CC9" w:rsidRPr="00182CC9" w:rsidRDefault="00182CC9" w:rsidP="00182CC9"/>
    <w:p w:rsidR="00182CC9" w:rsidRPr="00182CC9" w:rsidRDefault="00182CC9" w:rsidP="00182CC9"/>
    <w:p w:rsidR="00182CC9" w:rsidRPr="00182CC9" w:rsidRDefault="00182CC9" w:rsidP="00182CC9"/>
    <w:p w:rsidR="00182CC9" w:rsidRPr="00182CC9" w:rsidRDefault="00182CC9" w:rsidP="00182CC9"/>
    <w:p w:rsidR="00182CC9" w:rsidRPr="00182CC9" w:rsidRDefault="00182CC9" w:rsidP="00182CC9"/>
    <w:p w:rsidR="00182CC9" w:rsidRPr="00182CC9" w:rsidRDefault="00182CC9" w:rsidP="00182CC9"/>
    <w:p w:rsidR="00182CC9" w:rsidRPr="00182CC9" w:rsidRDefault="00182CC9" w:rsidP="00182CC9">
      <w:r w:rsidRPr="00182CC9">
        <w:br w:type="page"/>
      </w:r>
      <w:bookmarkStart w:id="0" w:name="_GoBack"/>
      <w:bookmarkEnd w:id="0"/>
    </w:p>
    <w:sdt>
      <w:sdtPr>
        <w:rPr>
          <w:rFonts w:asciiTheme="majorHAnsi" w:hAnsiTheme="majorHAnsi"/>
          <w:b/>
          <w:color w:val="1F497D" w:themeColor="text2"/>
          <w:sz w:val="28"/>
        </w:rPr>
        <w:id w:val="313928455"/>
        <w:docPartObj>
          <w:docPartGallery w:val="Table of Contents"/>
          <w:docPartUnique/>
        </w:docPartObj>
      </w:sdtPr>
      <w:sdtEndPr>
        <w:rPr>
          <w:rFonts w:ascii="Times New Roman" w:hAnsi="Times New Roman"/>
          <w:b w:val="0"/>
          <w:noProof/>
          <w:color w:val="auto"/>
          <w:sz w:val="24"/>
        </w:rPr>
      </w:sdtEndPr>
      <w:sdtContent>
        <w:p w:rsidR="000F2C57" w:rsidRPr="004502E2" w:rsidRDefault="000F2C57" w:rsidP="00FF0816">
          <w:pPr>
            <w:jc w:val="center"/>
            <w:rPr>
              <w:rFonts w:asciiTheme="majorHAnsi" w:hAnsiTheme="majorHAnsi"/>
              <w:b/>
              <w:color w:val="1F497D" w:themeColor="text2"/>
              <w:sz w:val="28"/>
            </w:rPr>
          </w:pPr>
        </w:p>
        <w:p w:rsidR="000F2C57" w:rsidRPr="004502E2" w:rsidRDefault="000F2C57">
          <w:pPr>
            <w:rPr>
              <w:rFonts w:asciiTheme="majorHAnsi" w:hAnsiTheme="majorHAnsi"/>
              <w:b/>
              <w:color w:val="1F497D" w:themeColor="text2"/>
              <w:sz w:val="28"/>
            </w:rPr>
          </w:pPr>
        </w:p>
        <w:p w:rsidR="00182CC9" w:rsidRPr="004502E2" w:rsidRDefault="00182CC9" w:rsidP="00FF0816">
          <w:pPr>
            <w:jc w:val="center"/>
            <w:rPr>
              <w:rFonts w:asciiTheme="majorHAnsi" w:eastAsiaTheme="majorEastAsia" w:hAnsiTheme="majorHAnsi"/>
              <w:b/>
              <w:color w:val="1F497D" w:themeColor="text2"/>
              <w:sz w:val="28"/>
            </w:rPr>
          </w:pPr>
          <w:r w:rsidRPr="004502E2">
            <w:rPr>
              <w:rFonts w:asciiTheme="majorHAnsi" w:eastAsiaTheme="majorEastAsia" w:hAnsiTheme="majorHAnsi"/>
              <w:b/>
              <w:color w:val="1F497D" w:themeColor="text2"/>
              <w:sz w:val="28"/>
            </w:rPr>
            <w:t>Contents</w:t>
          </w:r>
        </w:p>
        <w:p w:rsidR="00F52D51" w:rsidRPr="004502E2" w:rsidRDefault="00F52D51" w:rsidP="009E1109">
          <w:pPr>
            <w:rPr>
              <w:rFonts w:asciiTheme="majorHAnsi" w:eastAsiaTheme="majorEastAsia" w:hAnsiTheme="majorHAnsi"/>
              <w:b/>
              <w:color w:val="1F497D" w:themeColor="text2"/>
              <w:sz w:val="28"/>
            </w:rPr>
          </w:pPr>
        </w:p>
        <w:p w:rsidR="00B8549E" w:rsidRDefault="00182CC9">
          <w:pPr>
            <w:pStyle w:val="TOC1"/>
            <w:rPr>
              <w:rFonts w:asciiTheme="minorHAnsi" w:eastAsiaTheme="minorEastAsia" w:hAnsiTheme="minorHAnsi" w:cstheme="minorBidi"/>
              <w:noProof/>
              <w:sz w:val="22"/>
              <w:szCs w:val="22"/>
              <w:lang w:eastAsia="en-AU"/>
            </w:rPr>
          </w:pPr>
          <w:r w:rsidRPr="00CF0230">
            <w:rPr>
              <w:i/>
            </w:rPr>
            <w:fldChar w:fldCharType="begin"/>
          </w:r>
          <w:r w:rsidRPr="00CF0230">
            <w:instrText xml:space="preserve"> TOC \o "1-3" \h \z \u </w:instrText>
          </w:r>
          <w:r w:rsidRPr="00CF0230">
            <w:rPr>
              <w:i/>
            </w:rPr>
            <w:fldChar w:fldCharType="separate"/>
          </w:r>
        </w:p>
        <w:p w:rsidR="00B8549E" w:rsidRDefault="00BB736D">
          <w:pPr>
            <w:pStyle w:val="TOC1"/>
            <w:rPr>
              <w:rFonts w:asciiTheme="minorHAnsi" w:eastAsiaTheme="minorEastAsia" w:hAnsiTheme="minorHAnsi" w:cstheme="minorBidi"/>
              <w:noProof/>
              <w:sz w:val="22"/>
              <w:szCs w:val="22"/>
              <w:lang w:eastAsia="en-AU"/>
            </w:rPr>
          </w:pPr>
          <w:hyperlink w:anchor="_Toc424644346" w:history="1">
            <w:r w:rsidR="00B8549E" w:rsidRPr="0058707A">
              <w:rPr>
                <w:rStyle w:val="Hyperlink"/>
                <w:noProof/>
              </w:rPr>
              <w:t>A. Context</w:t>
            </w:r>
            <w:r w:rsidR="00B8549E">
              <w:rPr>
                <w:noProof/>
                <w:webHidden/>
              </w:rPr>
              <w:tab/>
            </w:r>
            <w:r w:rsidR="00B8549E">
              <w:rPr>
                <w:noProof/>
                <w:webHidden/>
              </w:rPr>
              <w:fldChar w:fldCharType="begin"/>
            </w:r>
            <w:r w:rsidR="00B8549E">
              <w:rPr>
                <w:noProof/>
                <w:webHidden/>
              </w:rPr>
              <w:instrText xml:space="preserve"> PAGEREF _Toc424644346 \h </w:instrText>
            </w:r>
            <w:r w:rsidR="00B8549E">
              <w:rPr>
                <w:noProof/>
                <w:webHidden/>
              </w:rPr>
            </w:r>
            <w:r w:rsidR="00B8549E">
              <w:rPr>
                <w:noProof/>
                <w:webHidden/>
              </w:rPr>
              <w:fldChar w:fldCharType="separate"/>
            </w:r>
            <w:r w:rsidR="003227E9">
              <w:rPr>
                <w:noProof/>
                <w:webHidden/>
              </w:rPr>
              <w:t>6</w:t>
            </w:r>
            <w:r w:rsidR="00B8549E">
              <w:rPr>
                <w:noProof/>
                <w:webHidden/>
              </w:rPr>
              <w:fldChar w:fldCharType="end"/>
            </w:r>
          </w:hyperlink>
        </w:p>
        <w:p w:rsidR="00B8549E" w:rsidRDefault="00BB736D">
          <w:pPr>
            <w:pStyle w:val="TOC1"/>
            <w:rPr>
              <w:rFonts w:asciiTheme="minorHAnsi" w:eastAsiaTheme="minorEastAsia" w:hAnsiTheme="minorHAnsi" w:cstheme="minorBidi"/>
              <w:noProof/>
              <w:sz w:val="22"/>
              <w:szCs w:val="22"/>
              <w:lang w:eastAsia="en-AU"/>
            </w:rPr>
          </w:pPr>
          <w:hyperlink w:anchor="_Toc424644347" w:history="1">
            <w:r w:rsidR="00B8549E" w:rsidRPr="0058707A">
              <w:rPr>
                <w:rStyle w:val="Hyperlink"/>
                <w:noProof/>
              </w:rPr>
              <w:t>B. Trends in Australia’s services exports</w:t>
            </w:r>
            <w:r w:rsidR="00B8549E">
              <w:rPr>
                <w:noProof/>
                <w:webHidden/>
              </w:rPr>
              <w:tab/>
            </w:r>
            <w:r w:rsidR="00B8549E">
              <w:rPr>
                <w:noProof/>
                <w:webHidden/>
              </w:rPr>
              <w:fldChar w:fldCharType="begin"/>
            </w:r>
            <w:r w:rsidR="00B8549E">
              <w:rPr>
                <w:noProof/>
                <w:webHidden/>
              </w:rPr>
              <w:instrText xml:space="preserve"> PAGEREF _Toc424644347 \h </w:instrText>
            </w:r>
            <w:r w:rsidR="00B8549E">
              <w:rPr>
                <w:noProof/>
                <w:webHidden/>
              </w:rPr>
            </w:r>
            <w:r w:rsidR="00B8549E">
              <w:rPr>
                <w:noProof/>
                <w:webHidden/>
              </w:rPr>
              <w:fldChar w:fldCharType="separate"/>
            </w:r>
            <w:r w:rsidR="003227E9">
              <w:rPr>
                <w:noProof/>
                <w:webHidden/>
              </w:rPr>
              <w:t>8</w:t>
            </w:r>
            <w:r w:rsidR="00B8549E">
              <w:rPr>
                <w:noProof/>
                <w:webHidden/>
              </w:rPr>
              <w:fldChar w:fldCharType="end"/>
            </w:r>
          </w:hyperlink>
        </w:p>
        <w:p w:rsidR="00B8549E" w:rsidRDefault="00BB736D">
          <w:pPr>
            <w:pStyle w:val="TOC3"/>
            <w:rPr>
              <w:rFonts w:asciiTheme="minorHAnsi" w:eastAsiaTheme="minorEastAsia" w:hAnsiTheme="minorHAnsi" w:cstheme="minorBidi"/>
              <w:noProof/>
              <w:sz w:val="22"/>
              <w:szCs w:val="22"/>
              <w:lang w:eastAsia="en-AU"/>
            </w:rPr>
          </w:pPr>
          <w:hyperlink w:anchor="_Toc424644348" w:history="1">
            <w:r w:rsidR="00B8549E" w:rsidRPr="0058707A">
              <w:rPr>
                <w:rStyle w:val="Hyperlink"/>
                <w:i/>
                <w:noProof/>
              </w:rPr>
              <w:t>Cross border exports</w:t>
            </w:r>
            <w:r w:rsidR="00B8549E">
              <w:rPr>
                <w:noProof/>
                <w:webHidden/>
              </w:rPr>
              <w:tab/>
            </w:r>
            <w:r w:rsidR="00B8549E">
              <w:rPr>
                <w:noProof/>
                <w:webHidden/>
              </w:rPr>
              <w:fldChar w:fldCharType="begin"/>
            </w:r>
            <w:r w:rsidR="00B8549E">
              <w:rPr>
                <w:noProof/>
                <w:webHidden/>
              </w:rPr>
              <w:instrText xml:space="preserve"> PAGEREF _Toc424644348 \h </w:instrText>
            </w:r>
            <w:r w:rsidR="00B8549E">
              <w:rPr>
                <w:noProof/>
                <w:webHidden/>
              </w:rPr>
            </w:r>
            <w:r w:rsidR="00B8549E">
              <w:rPr>
                <w:noProof/>
                <w:webHidden/>
              </w:rPr>
              <w:fldChar w:fldCharType="separate"/>
            </w:r>
            <w:r w:rsidR="003227E9">
              <w:rPr>
                <w:noProof/>
                <w:webHidden/>
              </w:rPr>
              <w:t>8</w:t>
            </w:r>
            <w:r w:rsidR="00B8549E">
              <w:rPr>
                <w:noProof/>
                <w:webHidden/>
              </w:rPr>
              <w:fldChar w:fldCharType="end"/>
            </w:r>
          </w:hyperlink>
        </w:p>
        <w:p w:rsidR="00B8549E" w:rsidRDefault="00BB736D">
          <w:pPr>
            <w:pStyle w:val="TOC3"/>
            <w:rPr>
              <w:rFonts w:asciiTheme="minorHAnsi" w:eastAsiaTheme="minorEastAsia" w:hAnsiTheme="minorHAnsi" w:cstheme="minorBidi"/>
              <w:noProof/>
              <w:sz w:val="22"/>
              <w:szCs w:val="22"/>
              <w:lang w:eastAsia="en-AU"/>
            </w:rPr>
          </w:pPr>
          <w:hyperlink w:anchor="_Toc424644349" w:history="1">
            <w:r w:rsidR="00B8549E" w:rsidRPr="0058707A">
              <w:rPr>
                <w:rStyle w:val="Hyperlink"/>
                <w:i/>
                <w:noProof/>
              </w:rPr>
              <w:t>Assessing the value add of the services sector</w:t>
            </w:r>
            <w:r w:rsidR="00B8549E">
              <w:rPr>
                <w:noProof/>
                <w:webHidden/>
              </w:rPr>
              <w:tab/>
            </w:r>
            <w:r w:rsidR="00B8549E">
              <w:rPr>
                <w:noProof/>
                <w:webHidden/>
              </w:rPr>
              <w:fldChar w:fldCharType="begin"/>
            </w:r>
            <w:r w:rsidR="00B8549E">
              <w:rPr>
                <w:noProof/>
                <w:webHidden/>
              </w:rPr>
              <w:instrText xml:space="preserve"> PAGEREF _Toc424644349 \h </w:instrText>
            </w:r>
            <w:r w:rsidR="00B8549E">
              <w:rPr>
                <w:noProof/>
                <w:webHidden/>
              </w:rPr>
            </w:r>
            <w:r w:rsidR="00B8549E">
              <w:rPr>
                <w:noProof/>
                <w:webHidden/>
              </w:rPr>
              <w:fldChar w:fldCharType="separate"/>
            </w:r>
            <w:r w:rsidR="003227E9">
              <w:rPr>
                <w:noProof/>
                <w:webHidden/>
              </w:rPr>
              <w:t>9</w:t>
            </w:r>
            <w:r w:rsidR="00B8549E">
              <w:rPr>
                <w:noProof/>
                <w:webHidden/>
              </w:rPr>
              <w:fldChar w:fldCharType="end"/>
            </w:r>
          </w:hyperlink>
        </w:p>
        <w:p w:rsidR="00B8549E" w:rsidRDefault="00BB736D">
          <w:pPr>
            <w:pStyle w:val="TOC3"/>
            <w:rPr>
              <w:rFonts w:asciiTheme="minorHAnsi" w:eastAsiaTheme="minorEastAsia" w:hAnsiTheme="minorHAnsi" w:cstheme="minorBidi"/>
              <w:noProof/>
              <w:sz w:val="22"/>
              <w:szCs w:val="22"/>
              <w:lang w:eastAsia="en-AU"/>
            </w:rPr>
          </w:pPr>
          <w:hyperlink w:anchor="_Toc424644350" w:history="1">
            <w:r w:rsidR="00B8549E" w:rsidRPr="0058707A">
              <w:rPr>
                <w:rStyle w:val="Hyperlink"/>
                <w:i/>
                <w:noProof/>
              </w:rPr>
              <w:t>Service provision through foreign affiliates</w:t>
            </w:r>
            <w:r w:rsidR="00B8549E">
              <w:rPr>
                <w:noProof/>
                <w:webHidden/>
              </w:rPr>
              <w:tab/>
            </w:r>
            <w:r w:rsidR="00B8549E">
              <w:rPr>
                <w:noProof/>
                <w:webHidden/>
              </w:rPr>
              <w:fldChar w:fldCharType="begin"/>
            </w:r>
            <w:r w:rsidR="00B8549E">
              <w:rPr>
                <w:noProof/>
                <w:webHidden/>
              </w:rPr>
              <w:instrText xml:space="preserve"> PAGEREF _Toc424644350 \h </w:instrText>
            </w:r>
            <w:r w:rsidR="00B8549E">
              <w:rPr>
                <w:noProof/>
                <w:webHidden/>
              </w:rPr>
            </w:r>
            <w:r w:rsidR="00B8549E">
              <w:rPr>
                <w:noProof/>
                <w:webHidden/>
              </w:rPr>
              <w:fldChar w:fldCharType="separate"/>
            </w:r>
            <w:r w:rsidR="003227E9">
              <w:rPr>
                <w:noProof/>
                <w:webHidden/>
              </w:rPr>
              <w:t>10</w:t>
            </w:r>
            <w:r w:rsidR="00B8549E">
              <w:rPr>
                <w:noProof/>
                <w:webHidden/>
              </w:rPr>
              <w:fldChar w:fldCharType="end"/>
            </w:r>
          </w:hyperlink>
        </w:p>
        <w:p w:rsidR="00B8549E" w:rsidRDefault="00BB736D">
          <w:pPr>
            <w:pStyle w:val="TOC1"/>
            <w:rPr>
              <w:rFonts w:asciiTheme="minorHAnsi" w:eastAsiaTheme="minorEastAsia" w:hAnsiTheme="minorHAnsi" w:cstheme="minorBidi"/>
              <w:noProof/>
              <w:sz w:val="22"/>
              <w:szCs w:val="22"/>
              <w:lang w:eastAsia="en-AU"/>
            </w:rPr>
          </w:pPr>
          <w:hyperlink w:anchor="_Toc424644351" w:history="1">
            <w:r w:rsidR="00B8549E" w:rsidRPr="0058707A">
              <w:rPr>
                <w:rStyle w:val="Hyperlink"/>
                <w:noProof/>
              </w:rPr>
              <w:t>C. Services trade negotiations</w:t>
            </w:r>
            <w:r w:rsidR="00B8549E">
              <w:rPr>
                <w:noProof/>
                <w:webHidden/>
              </w:rPr>
              <w:tab/>
            </w:r>
            <w:r w:rsidR="00B8549E">
              <w:rPr>
                <w:noProof/>
                <w:webHidden/>
              </w:rPr>
              <w:fldChar w:fldCharType="begin"/>
            </w:r>
            <w:r w:rsidR="00B8549E">
              <w:rPr>
                <w:noProof/>
                <w:webHidden/>
              </w:rPr>
              <w:instrText xml:space="preserve"> PAGEREF _Toc424644351 \h </w:instrText>
            </w:r>
            <w:r w:rsidR="00B8549E">
              <w:rPr>
                <w:noProof/>
                <w:webHidden/>
              </w:rPr>
            </w:r>
            <w:r w:rsidR="00B8549E">
              <w:rPr>
                <w:noProof/>
                <w:webHidden/>
              </w:rPr>
              <w:fldChar w:fldCharType="separate"/>
            </w:r>
            <w:r w:rsidR="003227E9">
              <w:rPr>
                <w:noProof/>
                <w:webHidden/>
              </w:rPr>
              <w:t>11</w:t>
            </w:r>
            <w:r w:rsidR="00B8549E">
              <w:rPr>
                <w:noProof/>
                <w:webHidden/>
              </w:rPr>
              <w:fldChar w:fldCharType="end"/>
            </w:r>
          </w:hyperlink>
        </w:p>
        <w:p w:rsidR="00B8549E" w:rsidRDefault="00BB736D">
          <w:pPr>
            <w:pStyle w:val="TOC3"/>
            <w:rPr>
              <w:rFonts w:asciiTheme="minorHAnsi" w:eastAsiaTheme="minorEastAsia" w:hAnsiTheme="minorHAnsi" w:cstheme="minorBidi"/>
              <w:noProof/>
              <w:sz w:val="22"/>
              <w:szCs w:val="22"/>
              <w:lang w:eastAsia="en-AU"/>
            </w:rPr>
          </w:pPr>
          <w:hyperlink w:anchor="_Toc424644352" w:history="1">
            <w:r w:rsidR="00B8549E" w:rsidRPr="0058707A">
              <w:rPr>
                <w:rStyle w:val="Hyperlink"/>
                <w:i/>
                <w:noProof/>
              </w:rPr>
              <w:t>Multilateral</w:t>
            </w:r>
            <w:r w:rsidR="00B8549E">
              <w:rPr>
                <w:noProof/>
                <w:webHidden/>
              </w:rPr>
              <w:tab/>
            </w:r>
            <w:r w:rsidR="00B8549E">
              <w:rPr>
                <w:noProof/>
                <w:webHidden/>
              </w:rPr>
              <w:fldChar w:fldCharType="begin"/>
            </w:r>
            <w:r w:rsidR="00B8549E">
              <w:rPr>
                <w:noProof/>
                <w:webHidden/>
              </w:rPr>
              <w:instrText xml:space="preserve"> PAGEREF _Toc424644352 \h </w:instrText>
            </w:r>
            <w:r w:rsidR="00B8549E">
              <w:rPr>
                <w:noProof/>
                <w:webHidden/>
              </w:rPr>
            </w:r>
            <w:r w:rsidR="00B8549E">
              <w:rPr>
                <w:noProof/>
                <w:webHidden/>
              </w:rPr>
              <w:fldChar w:fldCharType="separate"/>
            </w:r>
            <w:r w:rsidR="003227E9">
              <w:rPr>
                <w:noProof/>
                <w:webHidden/>
              </w:rPr>
              <w:t>11</w:t>
            </w:r>
            <w:r w:rsidR="00B8549E">
              <w:rPr>
                <w:noProof/>
                <w:webHidden/>
              </w:rPr>
              <w:fldChar w:fldCharType="end"/>
            </w:r>
          </w:hyperlink>
        </w:p>
        <w:p w:rsidR="00B8549E" w:rsidRDefault="00BB736D">
          <w:pPr>
            <w:pStyle w:val="TOC3"/>
            <w:rPr>
              <w:rFonts w:asciiTheme="minorHAnsi" w:eastAsiaTheme="minorEastAsia" w:hAnsiTheme="minorHAnsi" w:cstheme="minorBidi"/>
              <w:noProof/>
              <w:sz w:val="22"/>
              <w:szCs w:val="22"/>
              <w:lang w:eastAsia="en-AU"/>
            </w:rPr>
          </w:pPr>
          <w:hyperlink w:anchor="_Toc424644353" w:history="1">
            <w:r w:rsidR="00B8549E" w:rsidRPr="0058707A">
              <w:rPr>
                <w:rStyle w:val="Hyperlink"/>
                <w:i/>
                <w:noProof/>
              </w:rPr>
              <w:t>Doha Development Agenda (Doha Round of WTO negotiations)</w:t>
            </w:r>
            <w:r w:rsidR="00B8549E">
              <w:rPr>
                <w:noProof/>
                <w:webHidden/>
              </w:rPr>
              <w:tab/>
            </w:r>
            <w:r w:rsidR="00B8549E">
              <w:rPr>
                <w:noProof/>
                <w:webHidden/>
              </w:rPr>
              <w:fldChar w:fldCharType="begin"/>
            </w:r>
            <w:r w:rsidR="00B8549E">
              <w:rPr>
                <w:noProof/>
                <w:webHidden/>
              </w:rPr>
              <w:instrText xml:space="preserve"> PAGEREF _Toc424644353 \h </w:instrText>
            </w:r>
            <w:r w:rsidR="00B8549E">
              <w:rPr>
                <w:noProof/>
                <w:webHidden/>
              </w:rPr>
            </w:r>
            <w:r w:rsidR="00B8549E">
              <w:rPr>
                <w:noProof/>
                <w:webHidden/>
              </w:rPr>
              <w:fldChar w:fldCharType="separate"/>
            </w:r>
            <w:r w:rsidR="003227E9">
              <w:rPr>
                <w:noProof/>
                <w:webHidden/>
              </w:rPr>
              <w:t>12</w:t>
            </w:r>
            <w:r w:rsidR="00B8549E">
              <w:rPr>
                <w:noProof/>
                <w:webHidden/>
              </w:rPr>
              <w:fldChar w:fldCharType="end"/>
            </w:r>
          </w:hyperlink>
        </w:p>
        <w:p w:rsidR="00B8549E" w:rsidRDefault="00BB736D">
          <w:pPr>
            <w:pStyle w:val="TOC3"/>
            <w:rPr>
              <w:rFonts w:asciiTheme="minorHAnsi" w:eastAsiaTheme="minorEastAsia" w:hAnsiTheme="minorHAnsi" w:cstheme="minorBidi"/>
              <w:noProof/>
              <w:sz w:val="22"/>
              <w:szCs w:val="22"/>
              <w:lang w:eastAsia="en-AU"/>
            </w:rPr>
          </w:pPr>
          <w:hyperlink w:anchor="_Toc424644354" w:history="1">
            <w:r w:rsidR="00B8549E" w:rsidRPr="0058707A">
              <w:rPr>
                <w:rStyle w:val="Hyperlink"/>
                <w:i/>
                <w:noProof/>
              </w:rPr>
              <w:t>Bilateral, regional and plurilateral</w:t>
            </w:r>
            <w:r w:rsidR="00B8549E">
              <w:rPr>
                <w:noProof/>
                <w:webHidden/>
              </w:rPr>
              <w:tab/>
            </w:r>
            <w:r w:rsidR="00B8549E">
              <w:rPr>
                <w:noProof/>
                <w:webHidden/>
              </w:rPr>
              <w:fldChar w:fldCharType="begin"/>
            </w:r>
            <w:r w:rsidR="00B8549E">
              <w:rPr>
                <w:noProof/>
                <w:webHidden/>
              </w:rPr>
              <w:instrText xml:space="preserve"> PAGEREF _Toc424644354 \h </w:instrText>
            </w:r>
            <w:r w:rsidR="00B8549E">
              <w:rPr>
                <w:noProof/>
                <w:webHidden/>
              </w:rPr>
            </w:r>
            <w:r w:rsidR="00B8549E">
              <w:rPr>
                <w:noProof/>
                <w:webHidden/>
              </w:rPr>
              <w:fldChar w:fldCharType="separate"/>
            </w:r>
            <w:r w:rsidR="003227E9">
              <w:rPr>
                <w:noProof/>
                <w:webHidden/>
              </w:rPr>
              <w:t>13</w:t>
            </w:r>
            <w:r w:rsidR="00B8549E">
              <w:rPr>
                <w:noProof/>
                <w:webHidden/>
              </w:rPr>
              <w:fldChar w:fldCharType="end"/>
            </w:r>
          </w:hyperlink>
        </w:p>
        <w:p w:rsidR="00B8549E" w:rsidRDefault="00BB736D">
          <w:pPr>
            <w:pStyle w:val="TOC3"/>
            <w:rPr>
              <w:rFonts w:asciiTheme="minorHAnsi" w:eastAsiaTheme="minorEastAsia" w:hAnsiTheme="minorHAnsi" w:cstheme="minorBidi"/>
              <w:noProof/>
              <w:sz w:val="22"/>
              <w:szCs w:val="22"/>
              <w:lang w:eastAsia="en-AU"/>
            </w:rPr>
          </w:pPr>
          <w:hyperlink w:anchor="_Toc424644355" w:history="1">
            <w:r w:rsidR="00B8549E" w:rsidRPr="0058707A">
              <w:rPr>
                <w:rStyle w:val="Hyperlink"/>
                <w:i/>
                <w:noProof/>
                <w:lang w:val="en" w:eastAsia="en-AU"/>
              </w:rPr>
              <w:t>Australia’s approach to preferential trade agreements</w:t>
            </w:r>
            <w:r w:rsidR="00B8549E">
              <w:rPr>
                <w:noProof/>
                <w:webHidden/>
              </w:rPr>
              <w:tab/>
            </w:r>
            <w:r w:rsidR="00B8549E">
              <w:rPr>
                <w:noProof/>
                <w:webHidden/>
              </w:rPr>
              <w:fldChar w:fldCharType="begin"/>
            </w:r>
            <w:r w:rsidR="00B8549E">
              <w:rPr>
                <w:noProof/>
                <w:webHidden/>
              </w:rPr>
              <w:instrText xml:space="preserve"> PAGEREF _Toc424644355 \h </w:instrText>
            </w:r>
            <w:r w:rsidR="00B8549E">
              <w:rPr>
                <w:noProof/>
                <w:webHidden/>
              </w:rPr>
            </w:r>
            <w:r w:rsidR="00B8549E">
              <w:rPr>
                <w:noProof/>
                <w:webHidden/>
              </w:rPr>
              <w:fldChar w:fldCharType="separate"/>
            </w:r>
            <w:r w:rsidR="003227E9">
              <w:rPr>
                <w:noProof/>
                <w:webHidden/>
              </w:rPr>
              <w:t>14</w:t>
            </w:r>
            <w:r w:rsidR="00B8549E">
              <w:rPr>
                <w:noProof/>
                <w:webHidden/>
              </w:rPr>
              <w:fldChar w:fldCharType="end"/>
            </w:r>
          </w:hyperlink>
        </w:p>
        <w:p w:rsidR="00B8549E" w:rsidRDefault="00BB736D">
          <w:pPr>
            <w:pStyle w:val="TOC3"/>
            <w:rPr>
              <w:rFonts w:asciiTheme="minorHAnsi" w:eastAsiaTheme="minorEastAsia" w:hAnsiTheme="minorHAnsi" w:cstheme="minorBidi"/>
              <w:noProof/>
              <w:sz w:val="22"/>
              <w:szCs w:val="22"/>
              <w:lang w:eastAsia="en-AU"/>
            </w:rPr>
          </w:pPr>
          <w:hyperlink w:anchor="_Toc424644356" w:history="1">
            <w:r w:rsidR="00B8549E" w:rsidRPr="0058707A">
              <w:rPr>
                <w:rStyle w:val="Hyperlink"/>
                <w:i/>
                <w:noProof/>
              </w:rPr>
              <w:t>Innovations in services negotiations</w:t>
            </w:r>
            <w:r w:rsidR="00B8549E">
              <w:rPr>
                <w:noProof/>
                <w:webHidden/>
              </w:rPr>
              <w:tab/>
            </w:r>
            <w:r w:rsidR="00B8549E">
              <w:rPr>
                <w:noProof/>
                <w:webHidden/>
              </w:rPr>
              <w:fldChar w:fldCharType="begin"/>
            </w:r>
            <w:r w:rsidR="00B8549E">
              <w:rPr>
                <w:noProof/>
                <w:webHidden/>
              </w:rPr>
              <w:instrText xml:space="preserve"> PAGEREF _Toc424644356 \h </w:instrText>
            </w:r>
            <w:r w:rsidR="00B8549E">
              <w:rPr>
                <w:noProof/>
                <w:webHidden/>
              </w:rPr>
            </w:r>
            <w:r w:rsidR="00B8549E">
              <w:rPr>
                <w:noProof/>
                <w:webHidden/>
              </w:rPr>
              <w:fldChar w:fldCharType="separate"/>
            </w:r>
            <w:r w:rsidR="003227E9">
              <w:rPr>
                <w:noProof/>
                <w:webHidden/>
              </w:rPr>
              <w:t>15</w:t>
            </w:r>
            <w:r w:rsidR="00B8549E">
              <w:rPr>
                <w:noProof/>
                <w:webHidden/>
              </w:rPr>
              <w:fldChar w:fldCharType="end"/>
            </w:r>
          </w:hyperlink>
        </w:p>
        <w:p w:rsidR="00B8549E" w:rsidRDefault="00BB736D">
          <w:pPr>
            <w:pStyle w:val="TOC3"/>
            <w:rPr>
              <w:rFonts w:asciiTheme="minorHAnsi" w:eastAsiaTheme="minorEastAsia" w:hAnsiTheme="minorHAnsi" w:cstheme="minorBidi"/>
              <w:noProof/>
              <w:sz w:val="22"/>
              <w:szCs w:val="22"/>
              <w:lang w:eastAsia="en-AU"/>
            </w:rPr>
          </w:pPr>
          <w:hyperlink w:anchor="_Toc424644357" w:history="1">
            <w:r w:rsidR="00B8549E" w:rsidRPr="0058707A">
              <w:rPr>
                <w:rStyle w:val="Hyperlink"/>
                <w:i/>
                <w:noProof/>
              </w:rPr>
              <w:t>Australia’s participation in trade negotiations – myths versus realities</w:t>
            </w:r>
            <w:r w:rsidR="00B8549E">
              <w:rPr>
                <w:noProof/>
                <w:webHidden/>
              </w:rPr>
              <w:tab/>
            </w:r>
            <w:r w:rsidR="00B8549E">
              <w:rPr>
                <w:noProof/>
                <w:webHidden/>
              </w:rPr>
              <w:fldChar w:fldCharType="begin"/>
            </w:r>
            <w:r w:rsidR="00B8549E">
              <w:rPr>
                <w:noProof/>
                <w:webHidden/>
              </w:rPr>
              <w:instrText xml:space="preserve"> PAGEREF _Toc424644357 \h </w:instrText>
            </w:r>
            <w:r w:rsidR="00B8549E">
              <w:rPr>
                <w:noProof/>
                <w:webHidden/>
              </w:rPr>
            </w:r>
            <w:r w:rsidR="00B8549E">
              <w:rPr>
                <w:noProof/>
                <w:webHidden/>
              </w:rPr>
              <w:fldChar w:fldCharType="separate"/>
            </w:r>
            <w:r w:rsidR="003227E9">
              <w:rPr>
                <w:noProof/>
                <w:webHidden/>
              </w:rPr>
              <w:t>21</w:t>
            </w:r>
            <w:r w:rsidR="00B8549E">
              <w:rPr>
                <w:noProof/>
                <w:webHidden/>
              </w:rPr>
              <w:fldChar w:fldCharType="end"/>
            </w:r>
          </w:hyperlink>
        </w:p>
        <w:p w:rsidR="00B8549E" w:rsidRDefault="00BB736D">
          <w:pPr>
            <w:pStyle w:val="TOC3"/>
            <w:rPr>
              <w:rFonts w:asciiTheme="minorHAnsi" w:eastAsiaTheme="minorEastAsia" w:hAnsiTheme="minorHAnsi" w:cstheme="minorBidi"/>
              <w:noProof/>
              <w:sz w:val="22"/>
              <w:szCs w:val="22"/>
              <w:lang w:eastAsia="en-AU"/>
            </w:rPr>
          </w:pPr>
          <w:hyperlink w:anchor="_Toc424644358" w:history="1">
            <w:r w:rsidR="00B8549E" w:rsidRPr="0058707A">
              <w:rPr>
                <w:rStyle w:val="Hyperlink"/>
                <w:i/>
                <w:noProof/>
              </w:rPr>
              <w:t>The free trade agreement consultation process</w:t>
            </w:r>
            <w:r w:rsidR="00B8549E">
              <w:rPr>
                <w:noProof/>
                <w:webHidden/>
              </w:rPr>
              <w:tab/>
            </w:r>
            <w:r w:rsidR="00B8549E">
              <w:rPr>
                <w:noProof/>
                <w:webHidden/>
              </w:rPr>
              <w:fldChar w:fldCharType="begin"/>
            </w:r>
            <w:r w:rsidR="00B8549E">
              <w:rPr>
                <w:noProof/>
                <w:webHidden/>
              </w:rPr>
              <w:instrText xml:space="preserve"> PAGEREF _Toc424644358 \h </w:instrText>
            </w:r>
            <w:r w:rsidR="00B8549E">
              <w:rPr>
                <w:noProof/>
                <w:webHidden/>
              </w:rPr>
            </w:r>
            <w:r w:rsidR="00B8549E">
              <w:rPr>
                <w:noProof/>
                <w:webHidden/>
              </w:rPr>
              <w:fldChar w:fldCharType="separate"/>
            </w:r>
            <w:r w:rsidR="003227E9">
              <w:rPr>
                <w:noProof/>
                <w:webHidden/>
              </w:rPr>
              <w:t>23</w:t>
            </w:r>
            <w:r w:rsidR="00B8549E">
              <w:rPr>
                <w:noProof/>
                <w:webHidden/>
              </w:rPr>
              <w:fldChar w:fldCharType="end"/>
            </w:r>
          </w:hyperlink>
        </w:p>
        <w:p w:rsidR="00B8549E" w:rsidRDefault="00BB736D">
          <w:pPr>
            <w:pStyle w:val="TOC1"/>
            <w:rPr>
              <w:rFonts w:asciiTheme="minorHAnsi" w:eastAsiaTheme="minorEastAsia" w:hAnsiTheme="minorHAnsi" w:cstheme="minorBidi"/>
              <w:noProof/>
              <w:sz w:val="22"/>
              <w:szCs w:val="22"/>
              <w:lang w:eastAsia="en-AU"/>
            </w:rPr>
          </w:pPr>
          <w:hyperlink w:anchor="_Toc424644359" w:history="1">
            <w:r w:rsidR="00B8549E" w:rsidRPr="0058707A">
              <w:rPr>
                <w:rStyle w:val="Hyperlink"/>
                <w:noProof/>
              </w:rPr>
              <w:t>D. Foreign barriers to services exports</w:t>
            </w:r>
            <w:r w:rsidR="00B8549E">
              <w:rPr>
                <w:noProof/>
                <w:webHidden/>
              </w:rPr>
              <w:tab/>
            </w:r>
            <w:r w:rsidR="00B8549E">
              <w:rPr>
                <w:noProof/>
                <w:webHidden/>
              </w:rPr>
              <w:fldChar w:fldCharType="begin"/>
            </w:r>
            <w:r w:rsidR="00B8549E">
              <w:rPr>
                <w:noProof/>
                <w:webHidden/>
              </w:rPr>
              <w:instrText xml:space="preserve"> PAGEREF _Toc424644359 \h </w:instrText>
            </w:r>
            <w:r w:rsidR="00B8549E">
              <w:rPr>
                <w:noProof/>
                <w:webHidden/>
              </w:rPr>
            </w:r>
            <w:r w:rsidR="00B8549E">
              <w:rPr>
                <w:noProof/>
                <w:webHidden/>
              </w:rPr>
              <w:fldChar w:fldCharType="separate"/>
            </w:r>
            <w:r w:rsidR="003227E9">
              <w:rPr>
                <w:noProof/>
                <w:webHidden/>
              </w:rPr>
              <w:t>25</w:t>
            </w:r>
            <w:r w:rsidR="00B8549E">
              <w:rPr>
                <w:noProof/>
                <w:webHidden/>
              </w:rPr>
              <w:fldChar w:fldCharType="end"/>
            </w:r>
          </w:hyperlink>
        </w:p>
        <w:p w:rsidR="00B8549E" w:rsidRDefault="00BB736D">
          <w:pPr>
            <w:pStyle w:val="TOC3"/>
            <w:rPr>
              <w:rFonts w:asciiTheme="minorHAnsi" w:eastAsiaTheme="minorEastAsia" w:hAnsiTheme="minorHAnsi" w:cstheme="minorBidi"/>
              <w:noProof/>
              <w:sz w:val="22"/>
              <w:szCs w:val="22"/>
              <w:lang w:eastAsia="en-AU"/>
            </w:rPr>
          </w:pPr>
          <w:hyperlink w:anchor="_Toc424644360" w:history="1">
            <w:r w:rsidR="00B8549E" w:rsidRPr="0058707A">
              <w:rPr>
                <w:rStyle w:val="Hyperlink"/>
                <w:i/>
                <w:noProof/>
              </w:rPr>
              <w:t>Foreign equity limitations</w:t>
            </w:r>
            <w:r w:rsidR="00B8549E">
              <w:rPr>
                <w:noProof/>
                <w:webHidden/>
              </w:rPr>
              <w:tab/>
            </w:r>
            <w:r w:rsidR="00B8549E">
              <w:rPr>
                <w:noProof/>
                <w:webHidden/>
              </w:rPr>
              <w:fldChar w:fldCharType="begin"/>
            </w:r>
            <w:r w:rsidR="00B8549E">
              <w:rPr>
                <w:noProof/>
                <w:webHidden/>
              </w:rPr>
              <w:instrText xml:space="preserve"> PAGEREF _Toc424644360 \h </w:instrText>
            </w:r>
            <w:r w:rsidR="00B8549E">
              <w:rPr>
                <w:noProof/>
                <w:webHidden/>
              </w:rPr>
            </w:r>
            <w:r w:rsidR="00B8549E">
              <w:rPr>
                <w:noProof/>
                <w:webHidden/>
              </w:rPr>
              <w:fldChar w:fldCharType="separate"/>
            </w:r>
            <w:r w:rsidR="003227E9">
              <w:rPr>
                <w:noProof/>
                <w:webHidden/>
              </w:rPr>
              <w:t>26</w:t>
            </w:r>
            <w:r w:rsidR="00B8549E">
              <w:rPr>
                <w:noProof/>
                <w:webHidden/>
              </w:rPr>
              <w:fldChar w:fldCharType="end"/>
            </w:r>
          </w:hyperlink>
        </w:p>
        <w:p w:rsidR="00B8549E" w:rsidRDefault="00BB736D">
          <w:pPr>
            <w:pStyle w:val="TOC3"/>
            <w:rPr>
              <w:rFonts w:asciiTheme="minorHAnsi" w:eastAsiaTheme="minorEastAsia" w:hAnsiTheme="minorHAnsi" w:cstheme="minorBidi"/>
              <w:noProof/>
              <w:sz w:val="22"/>
              <w:szCs w:val="22"/>
              <w:lang w:eastAsia="en-AU"/>
            </w:rPr>
          </w:pPr>
          <w:hyperlink w:anchor="_Toc424644361" w:history="1">
            <w:r w:rsidR="00B8549E" w:rsidRPr="0058707A">
              <w:rPr>
                <w:rStyle w:val="Hyperlink"/>
                <w:i/>
                <w:noProof/>
              </w:rPr>
              <w:t>Nationality/citizenship/residency restrictions</w:t>
            </w:r>
            <w:r w:rsidR="00B8549E">
              <w:rPr>
                <w:noProof/>
                <w:webHidden/>
              </w:rPr>
              <w:tab/>
            </w:r>
            <w:r w:rsidR="00B8549E">
              <w:rPr>
                <w:noProof/>
                <w:webHidden/>
              </w:rPr>
              <w:fldChar w:fldCharType="begin"/>
            </w:r>
            <w:r w:rsidR="00B8549E">
              <w:rPr>
                <w:noProof/>
                <w:webHidden/>
              </w:rPr>
              <w:instrText xml:space="preserve"> PAGEREF _Toc424644361 \h </w:instrText>
            </w:r>
            <w:r w:rsidR="00B8549E">
              <w:rPr>
                <w:noProof/>
                <w:webHidden/>
              </w:rPr>
            </w:r>
            <w:r w:rsidR="00B8549E">
              <w:rPr>
                <w:noProof/>
                <w:webHidden/>
              </w:rPr>
              <w:fldChar w:fldCharType="separate"/>
            </w:r>
            <w:r w:rsidR="003227E9">
              <w:rPr>
                <w:noProof/>
                <w:webHidden/>
              </w:rPr>
              <w:t>26</w:t>
            </w:r>
            <w:r w:rsidR="00B8549E">
              <w:rPr>
                <w:noProof/>
                <w:webHidden/>
              </w:rPr>
              <w:fldChar w:fldCharType="end"/>
            </w:r>
          </w:hyperlink>
        </w:p>
        <w:p w:rsidR="00B8549E" w:rsidRDefault="00BB736D">
          <w:pPr>
            <w:pStyle w:val="TOC3"/>
            <w:rPr>
              <w:rFonts w:asciiTheme="minorHAnsi" w:eastAsiaTheme="minorEastAsia" w:hAnsiTheme="minorHAnsi" w:cstheme="minorBidi"/>
              <w:noProof/>
              <w:sz w:val="22"/>
              <w:szCs w:val="22"/>
              <w:lang w:eastAsia="en-AU"/>
            </w:rPr>
          </w:pPr>
          <w:hyperlink w:anchor="_Toc424644362" w:history="1">
            <w:r w:rsidR="00B8549E" w:rsidRPr="0058707A">
              <w:rPr>
                <w:rStyle w:val="Hyperlink"/>
                <w:i/>
                <w:noProof/>
              </w:rPr>
              <w:t>Quantitative restrictions/limitations</w:t>
            </w:r>
            <w:r w:rsidR="00B8549E">
              <w:rPr>
                <w:noProof/>
                <w:webHidden/>
              </w:rPr>
              <w:tab/>
            </w:r>
            <w:r w:rsidR="00B8549E">
              <w:rPr>
                <w:noProof/>
                <w:webHidden/>
              </w:rPr>
              <w:fldChar w:fldCharType="begin"/>
            </w:r>
            <w:r w:rsidR="00B8549E">
              <w:rPr>
                <w:noProof/>
                <w:webHidden/>
              </w:rPr>
              <w:instrText xml:space="preserve"> PAGEREF _Toc424644362 \h </w:instrText>
            </w:r>
            <w:r w:rsidR="00B8549E">
              <w:rPr>
                <w:noProof/>
                <w:webHidden/>
              </w:rPr>
            </w:r>
            <w:r w:rsidR="00B8549E">
              <w:rPr>
                <w:noProof/>
                <w:webHidden/>
              </w:rPr>
              <w:fldChar w:fldCharType="separate"/>
            </w:r>
            <w:r w:rsidR="003227E9">
              <w:rPr>
                <w:noProof/>
                <w:webHidden/>
              </w:rPr>
              <w:t>26</w:t>
            </w:r>
            <w:r w:rsidR="00B8549E">
              <w:rPr>
                <w:noProof/>
                <w:webHidden/>
              </w:rPr>
              <w:fldChar w:fldCharType="end"/>
            </w:r>
          </w:hyperlink>
        </w:p>
        <w:p w:rsidR="00B8549E" w:rsidRDefault="00BB736D">
          <w:pPr>
            <w:pStyle w:val="TOC3"/>
            <w:rPr>
              <w:rFonts w:asciiTheme="minorHAnsi" w:eastAsiaTheme="minorEastAsia" w:hAnsiTheme="minorHAnsi" w:cstheme="minorBidi"/>
              <w:noProof/>
              <w:sz w:val="22"/>
              <w:szCs w:val="22"/>
              <w:lang w:eastAsia="en-AU"/>
            </w:rPr>
          </w:pPr>
          <w:hyperlink w:anchor="_Toc424644363" w:history="1">
            <w:r w:rsidR="00B8549E" w:rsidRPr="0058707A">
              <w:rPr>
                <w:rStyle w:val="Hyperlink"/>
                <w:i/>
                <w:noProof/>
              </w:rPr>
              <w:t>Specifications on mode of supply</w:t>
            </w:r>
            <w:r w:rsidR="00B8549E">
              <w:rPr>
                <w:noProof/>
                <w:webHidden/>
              </w:rPr>
              <w:tab/>
            </w:r>
            <w:r w:rsidR="00B8549E">
              <w:rPr>
                <w:noProof/>
                <w:webHidden/>
              </w:rPr>
              <w:fldChar w:fldCharType="begin"/>
            </w:r>
            <w:r w:rsidR="00B8549E">
              <w:rPr>
                <w:noProof/>
                <w:webHidden/>
              </w:rPr>
              <w:instrText xml:space="preserve"> PAGEREF _Toc424644363 \h </w:instrText>
            </w:r>
            <w:r w:rsidR="00B8549E">
              <w:rPr>
                <w:noProof/>
                <w:webHidden/>
              </w:rPr>
            </w:r>
            <w:r w:rsidR="00B8549E">
              <w:rPr>
                <w:noProof/>
                <w:webHidden/>
              </w:rPr>
              <w:fldChar w:fldCharType="separate"/>
            </w:r>
            <w:r w:rsidR="003227E9">
              <w:rPr>
                <w:noProof/>
                <w:webHidden/>
              </w:rPr>
              <w:t>27</w:t>
            </w:r>
            <w:r w:rsidR="00B8549E">
              <w:rPr>
                <w:noProof/>
                <w:webHidden/>
              </w:rPr>
              <w:fldChar w:fldCharType="end"/>
            </w:r>
          </w:hyperlink>
        </w:p>
        <w:p w:rsidR="00B8549E" w:rsidRDefault="00BB736D">
          <w:pPr>
            <w:pStyle w:val="TOC3"/>
            <w:rPr>
              <w:rFonts w:asciiTheme="minorHAnsi" w:eastAsiaTheme="minorEastAsia" w:hAnsiTheme="minorHAnsi" w:cstheme="minorBidi"/>
              <w:noProof/>
              <w:sz w:val="22"/>
              <w:szCs w:val="22"/>
              <w:lang w:eastAsia="en-AU"/>
            </w:rPr>
          </w:pPr>
          <w:hyperlink w:anchor="_Toc424644364" w:history="1">
            <w:r w:rsidR="00B8549E" w:rsidRPr="0058707A">
              <w:rPr>
                <w:rStyle w:val="Hyperlink"/>
                <w:i/>
                <w:noProof/>
              </w:rPr>
              <w:t>Non-recognition of qualifications</w:t>
            </w:r>
            <w:r w:rsidR="00B8549E">
              <w:rPr>
                <w:noProof/>
                <w:webHidden/>
              </w:rPr>
              <w:tab/>
            </w:r>
            <w:r w:rsidR="00B8549E">
              <w:rPr>
                <w:noProof/>
                <w:webHidden/>
              </w:rPr>
              <w:fldChar w:fldCharType="begin"/>
            </w:r>
            <w:r w:rsidR="00B8549E">
              <w:rPr>
                <w:noProof/>
                <w:webHidden/>
              </w:rPr>
              <w:instrText xml:space="preserve"> PAGEREF _Toc424644364 \h </w:instrText>
            </w:r>
            <w:r w:rsidR="00B8549E">
              <w:rPr>
                <w:noProof/>
                <w:webHidden/>
              </w:rPr>
            </w:r>
            <w:r w:rsidR="00B8549E">
              <w:rPr>
                <w:noProof/>
                <w:webHidden/>
              </w:rPr>
              <w:fldChar w:fldCharType="separate"/>
            </w:r>
            <w:r w:rsidR="003227E9">
              <w:rPr>
                <w:noProof/>
                <w:webHidden/>
              </w:rPr>
              <w:t>27</w:t>
            </w:r>
            <w:r w:rsidR="00B8549E">
              <w:rPr>
                <w:noProof/>
                <w:webHidden/>
              </w:rPr>
              <w:fldChar w:fldCharType="end"/>
            </w:r>
          </w:hyperlink>
        </w:p>
        <w:p w:rsidR="00B8549E" w:rsidRDefault="00BB736D">
          <w:pPr>
            <w:pStyle w:val="TOC3"/>
            <w:rPr>
              <w:rFonts w:asciiTheme="minorHAnsi" w:eastAsiaTheme="minorEastAsia" w:hAnsiTheme="minorHAnsi" w:cstheme="minorBidi"/>
              <w:noProof/>
              <w:sz w:val="22"/>
              <w:szCs w:val="22"/>
              <w:lang w:eastAsia="en-AU"/>
            </w:rPr>
          </w:pPr>
          <w:hyperlink w:anchor="_Toc424644365" w:history="1">
            <w:r w:rsidR="00B8549E" w:rsidRPr="0058707A">
              <w:rPr>
                <w:rStyle w:val="Hyperlink"/>
                <w:i/>
                <w:noProof/>
              </w:rPr>
              <w:t>Restrictions on the temporary entry/movement of business persons</w:t>
            </w:r>
            <w:r w:rsidR="00B8549E">
              <w:rPr>
                <w:noProof/>
                <w:webHidden/>
              </w:rPr>
              <w:tab/>
            </w:r>
            <w:r w:rsidR="00B8549E">
              <w:rPr>
                <w:noProof/>
                <w:webHidden/>
              </w:rPr>
              <w:fldChar w:fldCharType="begin"/>
            </w:r>
            <w:r w:rsidR="00B8549E">
              <w:rPr>
                <w:noProof/>
                <w:webHidden/>
              </w:rPr>
              <w:instrText xml:space="preserve"> PAGEREF _Toc424644365 \h </w:instrText>
            </w:r>
            <w:r w:rsidR="00B8549E">
              <w:rPr>
                <w:noProof/>
                <w:webHidden/>
              </w:rPr>
            </w:r>
            <w:r w:rsidR="00B8549E">
              <w:rPr>
                <w:noProof/>
                <w:webHidden/>
              </w:rPr>
              <w:fldChar w:fldCharType="separate"/>
            </w:r>
            <w:r w:rsidR="003227E9">
              <w:rPr>
                <w:noProof/>
                <w:webHidden/>
              </w:rPr>
              <w:t>27</w:t>
            </w:r>
            <w:r w:rsidR="00B8549E">
              <w:rPr>
                <w:noProof/>
                <w:webHidden/>
              </w:rPr>
              <w:fldChar w:fldCharType="end"/>
            </w:r>
          </w:hyperlink>
        </w:p>
        <w:p w:rsidR="00B8549E" w:rsidRDefault="00BB736D">
          <w:pPr>
            <w:pStyle w:val="TOC3"/>
            <w:rPr>
              <w:rFonts w:asciiTheme="minorHAnsi" w:eastAsiaTheme="minorEastAsia" w:hAnsiTheme="minorHAnsi" w:cstheme="minorBidi"/>
              <w:noProof/>
              <w:sz w:val="22"/>
              <w:szCs w:val="22"/>
              <w:lang w:eastAsia="en-AU"/>
            </w:rPr>
          </w:pPr>
          <w:hyperlink w:anchor="_Toc424644366" w:history="1">
            <w:r w:rsidR="00B8549E" w:rsidRPr="0058707A">
              <w:rPr>
                <w:rStyle w:val="Hyperlink"/>
                <w:i/>
                <w:noProof/>
              </w:rPr>
              <w:t>Lack of transparency/regulatory uncertainty</w:t>
            </w:r>
            <w:r w:rsidR="00B8549E">
              <w:rPr>
                <w:noProof/>
                <w:webHidden/>
              </w:rPr>
              <w:tab/>
            </w:r>
            <w:r w:rsidR="00B8549E">
              <w:rPr>
                <w:noProof/>
                <w:webHidden/>
              </w:rPr>
              <w:fldChar w:fldCharType="begin"/>
            </w:r>
            <w:r w:rsidR="00B8549E">
              <w:rPr>
                <w:noProof/>
                <w:webHidden/>
              </w:rPr>
              <w:instrText xml:space="preserve"> PAGEREF _Toc424644366 \h </w:instrText>
            </w:r>
            <w:r w:rsidR="00B8549E">
              <w:rPr>
                <w:noProof/>
                <w:webHidden/>
              </w:rPr>
            </w:r>
            <w:r w:rsidR="00B8549E">
              <w:rPr>
                <w:noProof/>
                <w:webHidden/>
              </w:rPr>
              <w:fldChar w:fldCharType="separate"/>
            </w:r>
            <w:r w:rsidR="003227E9">
              <w:rPr>
                <w:noProof/>
                <w:webHidden/>
              </w:rPr>
              <w:t>28</w:t>
            </w:r>
            <w:r w:rsidR="00B8549E">
              <w:rPr>
                <w:noProof/>
                <w:webHidden/>
              </w:rPr>
              <w:fldChar w:fldCharType="end"/>
            </w:r>
          </w:hyperlink>
        </w:p>
        <w:p w:rsidR="00B8549E" w:rsidRDefault="00BB736D">
          <w:pPr>
            <w:pStyle w:val="TOC1"/>
            <w:rPr>
              <w:rFonts w:asciiTheme="minorHAnsi" w:eastAsiaTheme="minorEastAsia" w:hAnsiTheme="minorHAnsi" w:cstheme="minorBidi"/>
              <w:noProof/>
              <w:sz w:val="22"/>
              <w:szCs w:val="22"/>
              <w:lang w:eastAsia="en-AU"/>
            </w:rPr>
          </w:pPr>
          <w:hyperlink w:anchor="_Toc424644367" w:history="1">
            <w:r w:rsidR="00B8549E" w:rsidRPr="0058707A">
              <w:rPr>
                <w:rStyle w:val="Hyperlink"/>
                <w:noProof/>
              </w:rPr>
              <w:t>E. Domestic issues affecting services exports</w:t>
            </w:r>
            <w:r w:rsidR="00B8549E">
              <w:rPr>
                <w:noProof/>
                <w:webHidden/>
              </w:rPr>
              <w:tab/>
            </w:r>
            <w:r w:rsidR="00B8549E">
              <w:rPr>
                <w:noProof/>
                <w:webHidden/>
              </w:rPr>
              <w:fldChar w:fldCharType="begin"/>
            </w:r>
            <w:r w:rsidR="00B8549E">
              <w:rPr>
                <w:noProof/>
                <w:webHidden/>
              </w:rPr>
              <w:instrText xml:space="preserve"> PAGEREF _Toc424644367 \h </w:instrText>
            </w:r>
            <w:r w:rsidR="00B8549E">
              <w:rPr>
                <w:noProof/>
                <w:webHidden/>
              </w:rPr>
            </w:r>
            <w:r w:rsidR="00B8549E">
              <w:rPr>
                <w:noProof/>
                <w:webHidden/>
              </w:rPr>
              <w:fldChar w:fldCharType="separate"/>
            </w:r>
            <w:r w:rsidR="003227E9">
              <w:rPr>
                <w:noProof/>
                <w:webHidden/>
              </w:rPr>
              <w:t>30</w:t>
            </w:r>
            <w:r w:rsidR="00B8549E">
              <w:rPr>
                <w:noProof/>
                <w:webHidden/>
              </w:rPr>
              <w:fldChar w:fldCharType="end"/>
            </w:r>
          </w:hyperlink>
        </w:p>
        <w:p w:rsidR="00B8549E" w:rsidRDefault="00BB736D">
          <w:pPr>
            <w:pStyle w:val="TOC3"/>
            <w:rPr>
              <w:rFonts w:asciiTheme="minorHAnsi" w:eastAsiaTheme="minorEastAsia" w:hAnsiTheme="minorHAnsi" w:cstheme="minorBidi"/>
              <w:noProof/>
              <w:sz w:val="22"/>
              <w:szCs w:val="22"/>
              <w:lang w:eastAsia="en-AU"/>
            </w:rPr>
          </w:pPr>
          <w:hyperlink w:anchor="_Toc424644368" w:history="1">
            <w:r w:rsidR="00B8549E" w:rsidRPr="0058707A">
              <w:rPr>
                <w:rStyle w:val="Hyperlink"/>
                <w:i/>
                <w:noProof/>
              </w:rPr>
              <w:t>Role of domestic reform</w:t>
            </w:r>
            <w:r w:rsidR="00B8549E">
              <w:rPr>
                <w:noProof/>
                <w:webHidden/>
              </w:rPr>
              <w:tab/>
            </w:r>
            <w:r w:rsidR="00B8549E">
              <w:rPr>
                <w:noProof/>
                <w:webHidden/>
              </w:rPr>
              <w:fldChar w:fldCharType="begin"/>
            </w:r>
            <w:r w:rsidR="00B8549E">
              <w:rPr>
                <w:noProof/>
                <w:webHidden/>
              </w:rPr>
              <w:instrText xml:space="preserve"> PAGEREF _Toc424644368 \h </w:instrText>
            </w:r>
            <w:r w:rsidR="00B8549E">
              <w:rPr>
                <w:noProof/>
                <w:webHidden/>
              </w:rPr>
            </w:r>
            <w:r w:rsidR="00B8549E">
              <w:rPr>
                <w:noProof/>
                <w:webHidden/>
              </w:rPr>
              <w:fldChar w:fldCharType="separate"/>
            </w:r>
            <w:r w:rsidR="003227E9">
              <w:rPr>
                <w:noProof/>
                <w:webHidden/>
              </w:rPr>
              <w:t>30</w:t>
            </w:r>
            <w:r w:rsidR="00B8549E">
              <w:rPr>
                <w:noProof/>
                <w:webHidden/>
              </w:rPr>
              <w:fldChar w:fldCharType="end"/>
            </w:r>
          </w:hyperlink>
        </w:p>
        <w:p w:rsidR="00B8549E" w:rsidRDefault="00BB736D">
          <w:pPr>
            <w:pStyle w:val="TOC1"/>
            <w:rPr>
              <w:rFonts w:asciiTheme="minorHAnsi" w:eastAsiaTheme="minorEastAsia" w:hAnsiTheme="minorHAnsi" w:cstheme="minorBidi"/>
              <w:noProof/>
              <w:sz w:val="22"/>
              <w:szCs w:val="22"/>
              <w:lang w:eastAsia="en-AU"/>
            </w:rPr>
          </w:pPr>
          <w:hyperlink w:anchor="_Toc424644369" w:history="1">
            <w:r w:rsidR="00B8549E" w:rsidRPr="0058707A">
              <w:rPr>
                <w:rStyle w:val="Hyperlink"/>
                <w:noProof/>
              </w:rPr>
              <w:t>F. Measures to assist services exporters</w:t>
            </w:r>
            <w:r w:rsidR="00B8549E">
              <w:rPr>
                <w:noProof/>
                <w:webHidden/>
              </w:rPr>
              <w:tab/>
            </w:r>
            <w:r w:rsidR="00B8549E">
              <w:rPr>
                <w:noProof/>
                <w:webHidden/>
              </w:rPr>
              <w:fldChar w:fldCharType="begin"/>
            </w:r>
            <w:r w:rsidR="00B8549E">
              <w:rPr>
                <w:noProof/>
                <w:webHidden/>
              </w:rPr>
              <w:instrText xml:space="preserve"> PAGEREF _Toc424644369 \h </w:instrText>
            </w:r>
            <w:r w:rsidR="00B8549E">
              <w:rPr>
                <w:noProof/>
                <w:webHidden/>
              </w:rPr>
            </w:r>
            <w:r w:rsidR="00B8549E">
              <w:rPr>
                <w:noProof/>
                <w:webHidden/>
              </w:rPr>
              <w:fldChar w:fldCharType="separate"/>
            </w:r>
            <w:r w:rsidR="003227E9">
              <w:rPr>
                <w:noProof/>
                <w:webHidden/>
              </w:rPr>
              <w:t>32</w:t>
            </w:r>
            <w:r w:rsidR="00B8549E">
              <w:rPr>
                <w:noProof/>
                <w:webHidden/>
              </w:rPr>
              <w:fldChar w:fldCharType="end"/>
            </w:r>
          </w:hyperlink>
        </w:p>
        <w:p w:rsidR="00B8549E" w:rsidRDefault="00BB736D">
          <w:pPr>
            <w:pStyle w:val="TOC3"/>
            <w:rPr>
              <w:rFonts w:asciiTheme="minorHAnsi" w:eastAsiaTheme="minorEastAsia" w:hAnsiTheme="minorHAnsi" w:cstheme="minorBidi"/>
              <w:noProof/>
              <w:sz w:val="22"/>
              <w:szCs w:val="22"/>
              <w:lang w:eastAsia="en-AU"/>
            </w:rPr>
          </w:pPr>
          <w:hyperlink w:anchor="_Toc424644370" w:history="1">
            <w:r w:rsidR="00B8549E" w:rsidRPr="0058707A">
              <w:rPr>
                <w:rStyle w:val="Hyperlink"/>
                <w:i/>
                <w:noProof/>
              </w:rPr>
              <w:t>Austrade</w:t>
            </w:r>
            <w:r w:rsidR="00B8549E">
              <w:rPr>
                <w:noProof/>
                <w:webHidden/>
              </w:rPr>
              <w:tab/>
            </w:r>
            <w:r w:rsidR="00B8549E">
              <w:rPr>
                <w:noProof/>
                <w:webHidden/>
              </w:rPr>
              <w:fldChar w:fldCharType="begin"/>
            </w:r>
            <w:r w:rsidR="00B8549E">
              <w:rPr>
                <w:noProof/>
                <w:webHidden/>
              </w:rPr>
              <w:instrText xml:space="preserve"> PAGEREF _Toc424644370 \h </w:instrText>
            </w:r>
            <w:r w:rsidR="00B8549E">
              <w:rPr>
                <w:noProof/>
                <w:webHidden/>
              </w:rPr>
            </w:r>
            <w:r w:rsidR="00B8549E">
              <w:rPr>
                <w:noProof/>
                <w:webHidden/>
              </w:rPr>
              <w:fldChar w:fldCharType="separate"/>
            </w:r>
            <w:r w:rsidR="003227E9">
              <w:rPr>
                <w:noProof/>
                <w:webHidden/>
              </w:rPr>
              <w:t>32</w:t>
            </w:r>
            <w:r w:rsidR="00B8549E">
              <w:rPr>
                <w:noProof/>
                <w:webHidden/>
              </w:rPr>
              <w:fldChar w:fldCharType="end"/>
            </w:r>
          </w:hyperlink>
        </w:p>
        <w:p w:rsidR="00B8549E" w:rsidRDefault="00BB736D">
          <w:pPr>
            <w:pStyle w:val="TOC3"/>
            <w:rPr>
              <w:rFonts w:asciiTheme="minorHAnsi" w:eastAsiaTheme="minorEastAsia" w:hAnsiTheme="minorHAnsi" w:cstheme="minorBidi"/>
              <w:noProof/>
              <w:sz w:val="22"/>
              <w:szCs w:val="22"/>
              <w:lang w:eastAsia="en-AU"/>
            </w:rPr>
          </w:pPr>
          <w:hyperlink w:anchor="_Toc424644371" w:history="1">
            <w:r w:rsidR="00B8549E" w:rsidRPr="0058707A">
              <w:rPr>
                <w:rStyle w:val="Hyperlink"/>
                <w:i/>
                <w:noProof/>
              </w:rPr>
              <w:t>The Export Finance and Insurance Corporation</w:t>
            </w:r>
            <w:r w:rsidR="00B8549E">
              <w:rPr>
                <w:noProof/>
                <w:webHidden/>
              </w:rPr>
              <w:tab/>
            </w:r>
            <w:r w:rsidR="00B8549E">
              <w:rPr>
                <w:noProof/>
                <w:webHidden/>
              </w:rPr>
              <w:fldChar w:fldCharType="begin"/>
            </w:r>
            <w:r w:rsidR="00B8549E">
              <w:rPr>
                <w:noProof/>
                <w:webHidden/>
              </w:rPr>
              <w:instrText xml:space="preserve"> PAGEREF _Toc424644371 \h </w:instrText>
            </w:r>
            <w:r w:rsidR="00B8549E">
              <w:rPr>
                <w:noProof/>
                <w:webHidden/>
              </w:rPr>
            </w:r>
            <w:r w:rsidR="00B8549E">
              <w:rPr>
                <w:noProof/>
                <w:webHidden/>
              </w:rPr>
              <w:fldChar w:fldCharType="separate"/>
            </w:r>
            <w:r w:rsidR="003227E9">
              <w:rPr>
                <w:noProof/>
                <w:webHidden/>
              </w:rPr>
              <w:t>36</w:t>
            </w:r>
            <w:r w:rsidR="00B8549E">
              <w:rPr>
                <w:noProof/>
                <w:webHidden/>
              </w:rPr>
              <w:fldChar w:fldCharType="end"/>
            </w:r>
          </w:hyperlink>
        </w:p>
        <w:p w:rsidR="00B8549E" w:rsidRDefault="00BB736D">
          <w:pPr>
            <w:pStyle w:val="TOC1"/>
            <w:rPr>
              <w:rFonts w:asciiTheme="minorHAnsi" w:eastAsiaTheme="minorEastAsia" w:hAnsiTheme="minorHAnsi" w:cstheme="minorBidi"/>
              <w:noProof/>
              <w:sz w:val="22"/>
              <w:szCs w:val="22"/>
              <w:lang w:eastAsia="en-AU"/>
            </w:rPr>
          </w:pPr>
          <w:hyperlink w:anchor="_Toc424644372" w:history="1">
            <w:r w:rsidR="00B8549E" w:rsidRPr="0058707A">
              <w:rPr>
                <w:rStyle w:val="Hyperlink"/>
                <w:noProof/>
              </w:rPr>
              <w:t>G. Conclusion</w:t>
            </w:r>
            <w:r w:rsidR="00B8549E">
              <w:rPr>
                <w:noProof/>
                <w:webHidden/>
              </w:rPr>
              <w:tab/>
            </w:r>
            <w:r w:rsidR="00B8549E">
              <w:rPr>
                <w:noProof/>
                <w:webHidden/>
              </w:rPr>
              <w:fldChar w:fldCharType="begin"/>
            </w:r>
            <w:r w:rsidR="00B8549E">
              <w:rPr>
                <w:noProof/>
                <w:webHidden/>
              </w:rPr>
              <w:instrText xml:space="preserve"> PAGEREF _Toc424644372 \h </w:instrText>
            </w:r>
            <w:r w:rsidR="00B8549E">
              <w:rPr>
                <w:noProof/>
                <w:webHidden/>
              </w:rPr>
            </w:r>
            <w:r w:rsidR="00B8549E">
              <w:rPr>
                <w:noProof/>
                <w:webHidden/>
              </w:rPr>
              <w:fldChar w:fldCharType="separate"/>
            </w:r>
            <w:r w:rsidR="003227E9">
              <w:rPr>
                <w:noProof/>
                <w:webHidden/>
              </w:rPr>
              <w:t>38</w:t>
            </w:r>
            <w:r w:rsidR="00B8549E">
              <w:rPr>
                <w:noProof/>
                <w:webHidden/>
              </w:rPr>
              <w:fldChar w:fldCharType="end"/>
            </w:r>
          </w:hyperlink>
        </w:p>
        <w:p w:rsidR="00B8549E" w:rsidRDefault="00BB736D">
          <w:pPr>
            <w:pStyle w:val="TOC1"/>
            <w:rPr>
              <w:rFonts w:asciiTheme="minorHAnsi" w:eastAsiaTheme="minorEastAsia" w:hAnsiTheme="minorHAnsi" w:cstheme="minorBidi"/>
              <w:noProof/>
              <w:sz w:val="22"/>
              <w:szCs w:val="22"/>
              <w:lang w:eastAsia="en-AU"/>
            </w:rPr>
          </w:pPr>
          <w:hyperlink w:anchor="_Toc424644373" w:history="1">
            <w:r w:rsidR="00B8549E" w:rsidRPr="0058707A">
              <w:rPr>
                <w:rStyle w:val="Hyperlink"/>
                <w:noProof/>
              </w:rPr>
              <w:t>Annex</w:t>
            </w:r>
            <w:r w:rsidR="00B8549E">
              <w:rPr>
                <w:noProof/>
                <w:webHidden/>
              </w:rPr>
              <w:tab/>
            </w:r>
            <w:r w:rsidR="00B8549E">
              <w:rPr>
                <w:noProof/>
                <w:webHidden/>
              </w:rPr>
              <w:fldChar w:fldCharType="begin"/>
            </w:r>
            <w:r w:rsidR="00B8549E">
              <w:rPr>
                <w:noProof/>
                <w:webHidden/>
              </w:rPr>
              <w:instrText xml:space="preserve"> PAGEREF _Toc424644373 \h </w:instrText>
            </w:r>
            <w:r w:rsidR="00B8549E">
              <w:rPr>
                <w:noProof/>
                <w:webHidden/>
              </w:rPr>
            </w:r>
            <w:r w:rsidR="00B8549E">
              <w:rPr>
                <w:noProof/>
                <w:webHidden/>
              </w:rPr>
              <w:fldChar w:fldCharType="separate"/>
            </w:r>
            <w:r w:rsidR="003227E9">
              <w:rPr>
                <w:noProof/>
                <w:webHidden/>
              </w:rPr>
              <w:t>39</w:t>
            </w:r>
            <w:r w:rsidR="00B8549E">
              <w:rPr>
                <w:noProof/>
                <w:webHidden/>
              </w:rPr>
              <w:fldChar w:fldCharType="end"/>
            </w:r>
          </w:hyperlink>
        </w:p>
        <w:p w:rsidR="00B8549E" w:rsidRDefault="00BB736D">
          <w:pPr>
            <w:pStyle w:val="TOC1"/>
            <w:rPr>
              <w:rFonts w:asciiTheme="minorHAnsi" w:eastAsiaTheme="minorEastAsia" w:hAnsiTheme="minorHAnsi" w:cstheme="minorBidi"/>
              <w:noProof/>
              <w:sz w:val="22"/>
              <w:szCs w:val="22"/>
              <w:lang w:eastAsia="en-AU"/>
            </w:rPr>
          </w:pPr>
          <w:hyperlink w:anchor="_Toc424644374" w:history="1">
            <w:r w:rsidR="00B8549E" w:rsidRPr="0058707A">
              <w:rPr>
                <w:rStyle w:val="Hyperlink"/>
                <w:noProof/>
              </w:rPr>
              <w:t>Note on services data</w:t>
            </w:r>
            <w:r w:rsidR="00B8549E">
              <w:rPr>
                <w:noProof/>
                <w:webHidden/>
              </w:rPr>
              <w:tab/>
            </w:r>
            <w:r w:rsidR="00B8549E">
              <w:rPr>
                <w:noProof/>
                <w:webHidden/>
              </w:rPr>
              <w:fldChar w:fldCharType="begin"/>
            </w:r>
            <w:r w:rsidR="00B8549E">
              <w:rPr>
                <w:noProof/>
                <w:webHidden/>
              </w:rPr>
              <w:instrText xml:space="preserve"> PAGEREF _Toc424644374 \h </w:instrText>
            </w:r>
            <w:r w:rsidR="00B8549E">
              <w:rPr>
                <w:noProof/>
                <w:webHidden/>
              </w:rPr>
            </w:r>
            <w:r w:rsidR="00B8549E">
              <w:rPr>
                <w:noProof/>
                <w:webHidden/>
              </w:rPr>
              <w:fldChar w:fldCharType="separate"/>
            </w:r>
            <w:r w:rsidR="003227E9">
              <w:rPr>
                <w:noProof/>
                <w:webHidden/>
              </w:rPr>
              <w:t>39</w:t>
            </w:r>
            <w:r w:rsidR="00B8549E">
              <w:rPr>
                <w:noProof/>
                <w:webHidden/>
              </w:rPr>
              <w:fldChar w:fldCharType="end"/>
            </w:r>
          </w:hyperlink>
        </w:p>
        <w:p w:rsidR="00182CC9" w:rsidRPr="00182CC9" w:rsidRDefault="00182CC9" w:rsidP="00182CC9">
          <w:r w:rsidRPr="00CF0230">
            <w:rPr>
              <w:b/>
              <w:bCs/>
              <w:noProof/>
            </w:rPr>
            <w:fldChar w:fldCharType="end"/>
          </w:r>
        </w:p>
      </w:sdtContent>
    </w:sdt>
    <w:p w:rsidR="00182CC9" w:rsidRPr="00182CC9" w:rsidRDefault="00182CC9" w:rsidP="00182CC9"/>
    <w:p w:rsidR="00993D4B" w:rsidRDefault="00993D4B">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br w:type="page"/>
      </w:r>
    </w:p>
    <w:p w:rsidR="00993D4B" w:rsidRPr="00B8614C" w:rsidRDefault="00993D4B" w:rsidP="00B8614C">
      <w:pPr>
        <w:pStyle w:val="Heading1"/>
      </w:pPr>
      <w:bookmarkStart w:id="1" w:name="_Toc424564730"/>
      <w:bookmarkStart w:id="2" w:name="_Toc424568026"/>
      <w:bookmarkStart w:id="3" w:name="_Toc424574691"/>
      <w:bookmarkStart w:id="4" w:name="_Toc424644336"/>
      <w:r w:rsidRPr="00B8614C">
        <w:lastRenderedPageBreak/>
        <w:t>Overview</w:t>
      </w:r>
      <w:bookmarkEnd w:id="1"/>
      <w:bookmarkEnd w:id="2"/>
      <w:bookmarkEnd w:id="3"/>
      <w:bookmarkEnd w:id="4"/>
      <w:r w:rsidRPr="00B8614C">
        <w:t xml:space="preserve"> </w:t>
      </w:r>
    </w:p>
    <w:p w:rsidR="001F3A9F" w:rsidRDefault="00566ABD" w:rsidP="001F3A9F">
      <w:pPr>
        <w:keepNext/>
        <w:keepLines/>
        <w:spacing w:before="240" w:after="240" w:line="276" w:lineRule="auto"/>
        <w:outlineLvl w:val="0"/>
      </w:pPr>
      <w:bookmarkStart w:id="5" w:name="_Toc424564215"/>
      <w:bookmarkStart w:id="6" w:name="_Toc424564731"/>
      <w:bookmarkStart w:id="7" w:name="_Toc424568027"/>
      <w:bookmarkStart w:id="8" w:name="_Toc424574692"/>
      <w:bookmarkStart w:id="9" w:name="_Toc424644337"/>
      <w:r>
        <w:t>Th</w:t>
      </w:r>
      <w:r w:rsidR="00EA14A1">
        <w:t>e services sector now accounts for almost th</w:t>
      </w:r>
      <w:r>
        <w:t xml:space="preserve">ree quarters of Australia’s GDP and makes an important contribution to the competitiveness of other sectors.  </w:t>
      </w:r>
      <w:r w:rsidR="00660120">
        <w:t>S</w:t>
      </w:r>
      <w:r w:rsidR="00EA14A1">
        <w:t xml:space="preserve">trengthening its international competitiveness and export performance </w:t>
      </w:r>
      <w:r>
        <w:t>is</w:t>
      </w:r>
      <w:r w:rsidR="00EA14A1">
        <w:t xml:space="preserve"> central to Australia’s economic future.</w:t>
      </w:r>
      <w:bookmarkEnd w:id="5"/>
      <w:bookmarkEnd w:id="6"/>
      <w:bookmarkEnd w:id="7"/>
      <w:bookmarkEnd w:id="8"/>
      <w:bookmarkEnd w:id="9"/>
      <w:r w:rsidR="00EA14A1">
        <w:t xml:space="preserve"> </w:t>
      </w:r>
    </w:p>
    <w:p w:rsidR="00B64795" w:rsidRDefault="00B64795" w:rsidP="001F3A9F">
      <w:pPr>
        <w:keepNext/>
        <w:keepLines/>
        <w:spacing w:before="240" w:after="240" w:line="276" w:lineRule="auto"/>
        <w:outlineLvl w:val="0"/>
      </w:pPr>
      <w:bookmarkStart w:id="10" w:name="_Toc424564217"/>
      <w:bookmarkStart w:id="11" w:name="_Toc424564733"/>
      <w:bookmarkStart w:id="12" w:name="_Toc424568029"/>
      <w:bookmarkStart w:id="13" w:name="_Toc424574693"/>
      <w:bookmarkStart w:id="14" w:name="_Toc424644338"/>
      <w:r>
        <w:t xml:space="preserve">The contribution of services to Australia’s trade and economic performance is generally undervalued.  On a trade value basis, services account for only 18 per cent of direct export earnings.  However, the OECD has found that </w:t>
      </w:r>
      <w:r w:rsidR="001F3A9F">
        <w:t>services contribute 41 per cent of Australia’s export earnings</w:t>
      </w:r>
      <w:bookmarkEnd w:id="10"/>
      <w:bookmarkEnd w:id="11"/>
      <w:bookmarkEnd w:id="12"/>
      <w:r>
        <w:t xml:space="preserve"> on a value-added basis, given that services embedded in merchandise exports contribute significant value-add to merchandise exports.  In addition to this share, services provided abroad through foreign affiliates of Australian companies are significant compared to direct exports of Australian services.</w:t>
      </w:r>
      <w:bookmarkEnd w:id="13"/>
      <w:bookmarkEnd w:id="14"/>
      <w:r>
        <w:t xml:space="preserve">  </w:t>
      </w:r>
    </w:p>
    <w:p w:rsidR="00182CC9" w:rsidRDefault="00B64795" w:rsidP="001F3A9F">
      <w:pPr>
        <w:keepNext/>
        <w:keepLines/>
        <w:spacing w:before="240" w:after="240" w:line="276" w:lineRule="auto"/>
        <w:outlineLvl w:val="0"/>
      </w:pPr>
      <w:bookmarkStart w:id="15" w:name="_Toc424574694"/>
      <w:bookmarkStart w:id="16" w:name="_Toc424644339"/>
      <w:r>
        <w:t>Taking into account the earnings from direct services exports and the value added by services supplied to other export industries, the services sector generated more than $100 billion in value-added export earnings in 2013.</w:t>
      </w:r>
      <w:bookmarkEnd w:id="15"/>
      <w:bookmarkEnd w:id="16"/>
      <w:r>
        <w:t xml:space="preserve">  </w:t>
      </w:r>
    </w:p>
    <w:p w:rsidR="00B64795" w:rsidRDefault="00421CFB" w:rsidP="001F3A9F">
      <w:pPr>
        <w:keepNext/>
        <w:keepLines/>
        <w:spacing w:before="240" w:after="240" w:line="276" w:lineRule="auto"/>
        <w:outlineLvl w:val="0"/>
      </w:pPr>
      <w:bookmarkStart w:id="17" w:name="_Toc424574695"/>
      <w:bookmarkStart w:id="18" w:name="_Toc424644340"/>
      <w:r>
        <w:t xml:space="preserve">Australia’s ability to tap into global and regional value chains will be enhanced by making our services sector more internationally competitive.  </w:t>
      </w:r>
      <w:r w:rsidR="00B64795">
        <w:t>Over 70 percent of global trade is in intermediate goods and services, and capital goods, which feed into global production of final goods and services.  Ser</w:t>
      </w:r>
      <w:r>
        <w:t>vices play a significant role in</w:t>
      </w:r>
      <w:r w:rsidR="00B64795">
        <w:t xml:space="preserve"> global </w:t>
      </w:r>
      <w:r>
        <w:t xml:space="preserve">and regional </w:t>
      </w:r>
      <w:r w:rsidR="00B64795">
        <w:t xml:space="preserve">value chains including in transportation; logistics; communication; managerial, legal, technical and marketing business services; </w:t>
      </w:r>
      <w:r w:rsidR="004C1D99">
        <w:t>and research and development,</w:t>
      </w:r>
      <w:r w:rsidR="00B64795">
        <w:t xml:space="preserve"> innovation and design.  </w:t>
      </w:r>
      <w:bookmarkEnd w:id="17"/>
      <w:bookmarkEnd w:id="18"/>
    </w:p>
    <w:p w:rsidR="00AC1E7A" w:rsidRDefault="001F3A9F" w:rsidP="00AC1E7A">
      <w:pPr>
        <w:keepNext/>
        <w:keepLines/>
        <w:spacing w:before="240" w:after="240" w:line="276" w:lineRule="auto"/>
        <w:outlineLvl w:val="0"/>
        <w:rPr>
          <w:lang w:eastAsia="en-AU"/>
        </w:rPr>
      </w:pPr>
      <w:bookmarkStart w:id="19" w:name="_Toc424564219"/>
      <w:bookmarkStart w:id="20" w:name="_Toc424564735"/>
      <w:bookmarkStart w:id="21" w:name="_Toc424568031"/>
      <w:bookmarkStart w:id="22" w:name="_Toc424574696"/>
      <w:bookmarkStart w:id="23" w:name="_Toc424644341"/>
      <w:r w:rsidRPr="00BA668E">
        <w:rPr>
          <w:lang w:eastAsia="en-AU"/>
        </w:rPr>
        <w:t>Barrie</w:t>
      </w:r>
      <w:r>
        <w:rPr>
          <w:lang w:eastAsia="en-AU"/>
        </w:rPr>
        <w:t>rs to international trade in</w:t>
      </w:r>
      <w:r w:rsidRPr="00BA668E">
        <w:rPr>
          <w:lang w:eastAsia="en-AU"/>
        </w:rPr>
        <w:t xml:space="preserve"> services are </w:t>
      </w:r>
      <w:r>
        <w:rPr>
          <w:lang w:eastAsia="en-AU"/>
        </w:rPr>
        <w:t>complex and take a wide</w:t>
      </w:r>
      <w:r w:rsidR="00AC44EB">
        <w:rPr>
          <w:lang w:eastAsia="en-AU"/>
        </w:rPr>
        <w:t xml:space="preserve"> range of forms.  In many cases they</w:t>
      </w:r>
      <w:r>
        <w:rPr>
          <w:lang w:eastAsia="en-AU"/>
        </w:rPr>
        <w:t xml:space="preserve"> are </w:t>
      </w:r>
      <w:r w:rsidRPr="00BA668E">
        <w:rPr>
          <w:lang w:eastAsia="en-AU"/>
        </w:rPr>
        <w:t xml:space="preserve">domestic regulations which are </w:t>
      </w:r>
      <w:r>
        <w:rPr>
          <w:lang w:eastAsia="en-AU"/>
        </w:rPr>
        <w:t xml:space="preserve">difficult to </w:t>
      </w:r>
      <w:r w:rsidRPr="00BA668E">
        <w:rPr>
          <w:lang w:eastAsia="en-AU"/>
        </w:rPr>
        <w:t xml:space="preserve">measure </w:t>
      </w:r>
      <w:r>
        <w:rPr>
          <w:lang w:eastAsia="en-AU"/>
        </w:rPr>
        <w:t>and, because their policy rationale is often non-trade related, are often difficult to eliminate or reduce</w:t>
      </w:r>
      <w:r w:rsidRPr="00BA668E">
        <w:rPr>
          <w:lang w:eastAsia="en-AU"/>
        </w:rPr>
        <w:t>.</w:t>
      </w:r>
      <w:bookmarkEnd w:id="19"/>
      <w:bookmarkEnd w:id="20"/>
      <w:bookmarkEnd w:id="21"/>
      <w:bookmarkEnd w:id="22"/>
      <w:bookmarkEnd w:id="23"/>
      <w:r>
        <w:rPr>
          <w:lang w:eastAsia="en-AU"/>
        </w:rPr>
        <w:t xml:space="preserve">  </w:t>
      </w:r>
    </w:p>
    <w:p w:rsidR="00AC1E7A" w:rsidRDefault="00AC1E7A" w:rsidP="00AC1E7A">
      <w:pPr>
        <w:keepNext/>
        <w:keepLines/>
        <w:spacing w:before="240" w:after="240" w:line="276" w:lineRule="auto"/>
        <w:outlineLvl w:val="0"/>
        <w:rPr>
          <w:lang w:eastAsia="en-AU"/>
        </w:rPr>
      </w:pPr>
      <w:bookmarkStart w:id="24" w:name="_Toc424564220"/>
      <w:bookmarkStart w:id="25" w:name="_Toc424564736"/>
      <w:bookmarkStart w:id="26" w:name="_Toc424568032"/>
      <w:bookmarkStart w:id="27" w:name="_Toc424574697"/>
      <w:bookmarkStart w:id="28" w:name="_Toc424644342"/>
      <w:r w:rsidRPr="00126E16">
        <w:t xml:space="preserve">The Department of Foreign Affairs and Trade and Austrade (and their respective overseas networks) as well as </w:t>
      </w:r>
      <w:proofErr w:type="spellStart"/>
      <w:r w:rsidRPr="00126E16">
        <w:t>Efic</w:t>
      </w:r>
      <w:proofErr w:type="spellEnd"/>
      <w:r w:rsidRPr="00126E16">
        <w:t xml:space="preserve"> </w:t>
      </w:r>
      <w:r>
        <w:t xml:space="preserve">actively seek </w:t>
      </w:r>
      <w:r w:rsidRPr="00126E16">
        <w:t>information on specific barriers and difficulties through a range of different approaches and mechanisms</w:t>
      </w:r>
      <w:r>
        <w:t>.</w:t>
      </w:r>
      <w:bookmarkEnd w:id="24"/>
      <w:bookmarkEnd w:id="25"/>
      <w:bookmarkEnd w:id="26"/>
      <w:bookmarkEnd w:id="27"/>
      <w:bookmarkEnd w:id="28"/>
      <w:r>
        <w:t xml:space="preserve">  </w:t>
      </w:r>
    </w:p>
    <w:p w:rsidR="00AC1E7A" w:rsidRDefault="001F3A9F" w:rsidP="00AC1E7A">
      <w:pPr>
        <w:keepNext/>
        <w:keepLines/>
        <w:spacing w:before="240" w:after="240" w:line="276" w:lineRule="auto"/>
        <w:outlineLvl w:val="0"/>
        <w:rPr>
          <w:lang w:eastAsia="en-AU"/>
        </w:rPr>
      </w:pPr>
      <w:bookmarkStart w:id="29" w:name="_Toc424564221"/>
      <w:bookmarkStart w:id="30" w:name="_Toc424564737"/>
      <w:bookmarkStart w:id="31" w:name="_Toc424568033"/>
      <w:bookmarkStart w:id="32" w:name="_Toc424574698"/>
      <w:bookmarkStart w:id="33" w:name="_Toc424644343"/>
      <w:r>
        <w:rPr>
          <w:lang w:eastAsia="en-AU"/>
        </w:rPr>
        <w:t xml:space="preserve">Australia has pursued </w:t>
      </w:r>
      <w:r w:rsidR="00AC1E7A">
        <w:rPr>
          <w:lang w:eastAsia="en-AU"/>
        </w:rPr>
        <w:t xml:space="preserve">an ambitious </w:t>
      </w:r>
      <w:r>
        <w:rPr>
          <w:lang w:eastAsia="en-AU"/>
        </w:rPr>
        <w:t xml:space="preserve">services trade liberalisation and reform </w:t>
      </w:r>
      <w:r w:rsidR="00AC1E7A">
        <w:rPr>
          <w:lang w:eastAsia="en-AU"/>
        </w:rPr>
        <w:t xml:space="preserve">agenda </w:t>
      </w:r>
      <w:r>
        <w:rPr>
          <w:lang w:eastAsia="en-AU"/>
        </w:rPr>
        <w:t>through a</w:t>
      </w:r>
      <w:r w:rsidR="00AC44EB">
        <w:rPr>
          <w:lang w:eastAsia="en-AU"/>
        </w:rPr>
        <w:t xml:space="preserve"> range of multilateral regional, </w:t>
      </w:r>
      <w:proofErr w:type="spellStart"/>
      <w:r>
        <w:rPr>
          <w:lang w:eastAsia="en-AU"/>
        </w:rPr>
        <w:t>plurilateral</w:t>
      </w:r>
      <w:proofErr w:type="spellEnd"/>
      <w:r>
        <w:rPr>
          <w:lang w:eastAsia="en-AU"/>
        </w:rPr>
        <w:t xml:space="preserve"> and bilateral trade negotiations. Significant progres</w:t>
      </w:r>
      <w:r w:rsidR="00B64795">
        <w:rPr>
          <w:lang w:eastAsia="en-AU"/>
        </w:rPr>
        <w:t xml:space="preserve">s has been made in recent times, </w:t>
      </w:r>
      <w:r w:rsidR="00AC1E7A">
        <w:rPr>
          <w:lang w:eastAsia="en-AU"/>
        </w:rPr>
        <w:t xml:space="preserve">most notably </w:t>
      </w:r>
      <w:r w:rsidR="00B64795">
        <w:rPr>
          <w:lang w:eastAsia="en-AU"/>
        </w:rPr>
        <w:t xml:space="preserve">in </w:t>
      </w:r>
      <w:r w:rsidR="00AC1E7A">
        <w:rPr>
          <w:lang w:eastAsia="en-AU"/>
        </w:rPr>
        <w:t>the three free trade agreements negotiated with North Asian economies in 2013-14 (China, Japan and R</w:t>
      </w:r>
      <w:r w:rsidR="00AC44EB">
        <w:rPr>
          <w:lang w:eastAsia="en-AU"/>
        </w:rPr>
        <w:t>epublic of Korea</w:t>
      </w:r>
      <w:r w:rsidR="00AC1E7A">
        <w:rPr>
          <w:lang w:eastAsia="en-AU"/>
        </w:rPr>
        <w:t>) which together account for 19 per cent of our total services exports.</w:t>
      </w:r>
      <w:bookmarkEnd w:id="29"/>
      <w:bookmarkEnd w:id="30"/>
      <w:bookmarkEnd w:id="31"/>
      <w:bookmarkEnd w:id="32"/>
      <w:bookmarkEnd w:id="33"/>
      <w:r w:rsidR="00AC1E7A">
        <w:rPr>
          <w:lang w:eastAsia="en-AU"/>
        </w:rPr>
        <w:t xml:space="preserve">  </w:t>
      </w:r>
      <w:r w:rsidR="00421CFB">
        <w:rPr>
          <w:lang w:eastAsia="en-AU"/>
        </w:rPr>
        <w:t xml:space="preserve">Ongoing bilateral trade negotiations with India and the </w:t>
      </w:r>
      <w:proofErr w:type="spellStart"/>
      <w:r w:rsidR="00421CFB">
        <w:rPr>
          <w:lang w:eastAsia="en-AU"/>
        </w:rPr>
        <w:t>plurilateral</w:t>
      </w:r>
      <w:proofErr w:type="spellEnd"/>
      <w:r w:rsidR="00421CFB">
        <w:rPr>
          <w:lang w:eastAsia="en-AU"/>
        </w:rPr>
        <w:t xml:space="preserve"> Trade in Services Agreement (</w:t>
      </w:r>
      <w:proofErr w:type="spellStart"/>
      <w:r w:rsidR="00421CFB">
        <w:rPr>
          <w:lang w:eastAsia="en-AU"/>
        </w:rPr>
        <w:t>TiSA</w:t>
      </w:r>
      <w:proofErr w:type="spellEnd"/>
      <w:r w:rsidR="00421CFB">
        <w:rPr>
          <w:lang w:eastAsia="en-AU"/>
        </w:rPr>
        <w:t>) offer the prospect of further market openings for Australian services exports.</w:t>
      </w:r>
    </w:p>
    <w:p w:rsidR="00AC1E7A" w:rsidRDefault="00421CFB" w:rsidP="00AC1E7A">
      <w:pPr>
        <w:keepNext/>
        <w:keepLines/>
        <w:spacing w:before="240" w:after="240" w:line="276" w:lineRule="auto"/>
        <w:outlineLvl w:val="0"/>
        <w:rPr>
          <w:lang w:eastAsia="en-AU"/>
        </w:rPr>
      </w:pPr>
      <w:bookmarkStart w:id="34" w:name="_Toc424564222"/>
      <w:bookmarkStart w:id="35" w:name="_Toc424564738"/>
      <w:bookmarkStart w:id="36" w:name="_Toc424568034"/>
      <w:bookmarkStart w:id="37" w:name="_Toc424574699"/>
      <w:bookmarkStart w:id="38" w:name="_Toc424644344"/>
      <w:r>
        <w:rPr>
          <w:lang w:eastAsia="en-AU"/>
        </w:rPr>
        <w:lastRenderedPageBreak/>
        <w:t>In addition to sound macroeconomic fundamentals, d</w:t>
      </w:r>
      <w:r w:rsidR="00AC1E7A">
        <w:rPr>
          <w:lang w:eastAsia="en-AU"/>
        </w:rPr>
        <w:t>omestic reforms</w:t>
      </w:r>
      <w:r>
        <w:rPr>
          <w:lang w:eastAsia="en-AU"/>
        </w:rPr>
        <w:t>, particularly</w:t>
      </w:r>
      <w:r w:rsidR="00AC1E7A">
        <w:rPr>
          <w:lang w:eastAsia="en-AU"/>
        </w:rPr>
        <w:t xml:space="preserve"> in areas such as competition policy and visas</w:t>
      </w:r>
      <w:r>
        <w:rPr>
          <w:lang w:eastAsia="en-AU"/>
        </w:rPr>
        <w:t>,</w:t>
      </w:r>
      <w:r w:rsidR="00AC1E7A">
        <w:rPr>
          <w:lang w:eastAsia="en-AU"/>
        </w:rPr>
        <w:t xml:space="preserve"> are crucial in driving the development of an internationally competitive, export-oriented services sector</w:t>
      </w:r>
      <w:bookmarkEnd w:id="34"/>
      <w:bookmarkEnd w:id="35"/>
      <w:bookmarkEnd w:id="36"/>
      <w:bookmarkEnd w:id="37"/>
      <w:bookmarkEnd w:id="38"/>
      <w:r>
        <w:rPr>
          <w:lang w:eastAsia="en-AU"/>
        </w:rPr>
        <w:t xml:space="preserve"> that is capable of taking advantage of new access opportunities and participating in global and regional value chains.</w:t>
      </w:r>
    </w:p>
    <w:p w:rsidR="00AC1E7A" w:rsidRDefault="00AC1E7A" w:rsidP="00AC1E7A">
      <w:pPr>
        <w:keepNext/>
        <w:keepLines/>
        <w:spacing w:before="240" w:after="240" w:line="276" w:lineRule="auto"/>
        <w:outlineLvl w:val="0"/>
        <w:rPr>
          <w:lang w:eastAsia="en-AU"/>
        </w:rPr>
      </w:pPr>
      <w:bookmarkStart w:id="39" w:name="_Toc424564223"/>
      <w:bookmarkStart w:id="40" w:name="_Toc424564739"/>
      <w:bookmarkStart w:id="41" w:name="_Toc424568035"/>
      <w:bookmarkStart w:id="42" w:name="_Toc424574700"/>
      <w:bookmarkStart w:id="43" w:name="_Toc424644345"/>
      <w:r w:rsidRPr="00F525A3">
        <w:t>Austrade</w:t>
      </w:r>
      <w:r w:rsidRPr="00182CC9">
        <w:t xml:space="preserve"> and </w:t>
      </w:r>
      <w:proofErr w:type="spellStart"/>
      <w:r w:rsidRPr="00182CC9">
        <w:t>Efic</w:t>
      </w:r>
      <w:proofErr w:type="spellEnd"/>
      <w:r>
        <w:t xml:space="preserve"> </w:t>
      </w:r>
      <w:r w:rsidRPr="00182CC9">
        <w:t xml:space="preserve">play complementary roles in assisting </w:t>
      </w:r>
      <w:r>
        <w:t xml:space="preserve">companies involved in </w:t>
      </w:r>
      <w:r w:rsidRPr="00182CC9">
        <w:t xml:space="preserve">the export of services, particularly </w:t>
      </w:r>
      <w:r>
        <w:t>s</w:t>
      </w:r>
      <w:r w:rsidRPr="00182CC9">
        <w:t xml:space="preserve">mall and </w:t>
      </w:r>
      <w:r>
        <w:t>m</w:t>
      </w:r>
      <w:r w:rsidRPr="00182CC9">
        <w:t xml:space="preserve">edium </w:t>
      </w:r>
      <w:r>
        <w:t>enterprises</w:t>
      </w:r>
      <w:r w:rsidRPr="00182CC9">
        <w:t>.</w:t>
      </w:r>
      <w:bookmarkEnd w:id="39"/>
      <w:bookmarkEnd w:id="40"/>
      <w:bookmarkEnd w:id="41"/>
      <w:bookmarkEnd w:id="42"/>
      <w:bookmarkEnd w:id="43"/>
      <w:r w:rsidRPr="00182CC9">
        <w:t xml:space="preserve">  </w:t>
      </w:r>
    </w:p>
    <w:p w:rsidR="00EA14A1" w:rsidRPr="00182CC9" w:rsidRDefault="00EA14A1" w:rsidP="001F3A9F">
      <w:pPr>
        <w:keepNext/>
        <w:keepLines/>
        <w:spacing w:before="240" w:after="240"/>
        <w:outlineLvl w:val="0"/>
        <w:rPr>
          <w:rFonts w:asciiTheme="majorHAnsi" w:eastAsiaTheme="majorEastAsia" w:hAnsiTheme="majorHAnsi" w:cstheme="majorBidi"/>
          <w:b/>
          <w:bCs/>
          <w:color w:val="365F91" w:themeColor="accent1" w:themeShade="BF"/>
          <w:sz w:val="28"/>
          <w:szCs w:val="28"/>
        </w:rPr>
      </w:pPr>
    </w:p>
    <w:p w:rsidR="00182CC9" w:rsidRPr="00182CC9" w:rsidRDefault="00182CC9" w:rsidP="00182CC9">
      <w:pPr>
        <w:rPr>
          <w:rFonts w:asciiTheme="majorHAnsi" w:eastAsiaTheme="majorEastAsia" w:hAnsiTheme="majorHAnsi" w:cstheme="majorBidi"/>
          <w:b/>
          <w:bCs/>
          <w:color w:val="365F91" w:themeColor="accent1" w:themeShade="BF"/>
          <w:sz w:val="28"/>
          <w:szCs w:val="28"/>
        </w:rPr>
      </w:pPr>
      <w:r w:rsidRPr="00182CC9">
        <w:br w:type="page"/>
      </w:r>
    </w:p>
    <w:p w:rsidR="00182CC9" w:rsidRPr="00B8614C" w:rsidRDefault="00B83F20" w:rsidP="00B8614C">
      <w:pPr>
        <w:pStyle w:val="Heading1"/>
      </w:pPr>
      <w:bookmarkStart w:id="44" w:name="_Toc424644346"/>
      <w:r w:rsidRPr="00B8614C">
        <w:lastRenderedPageBreak/>
        <w:t xml:space="preserve">A. </w:t>
      </w:r>
      <w:r w:rsidR="003422AC" w:rsidRPr="00B8614C">
        <w:t>Context</w:t>
      </w:r>
      <w:bookmarkEnd w:id="44"/>
    </w:p>
    <w:p w:rsidR="00513007" w:rsidRDefault="00F80A2C" w:rsidP="008F067D">
      <w:pPr>
        <w:pStyle w:val="ListParagraph"/>
        <w:numPr>
          <w:ilvl w:val="0"/>
          <w:numId w:val="24"/>
        </w:numPr>
        <w:spacing w:before="240" w:after="240" w:line="276" w:lineRule="auto"/>
        <w:ind w:left="641" w:hanging="357"/>
      </w:pPr>
      <w:r>
        <w:t xml:space="preserve">The services sector </w:t>
      </w:r>
      <w:r w:rsidR="003C3972">
        <w:t xml:space="preserve">is </w:t>
      </w:r>
      <w:r>
        <w:t>an important foundation of the Australian economy.  R</w:t>
      </w:r>
      <w:r w:rsidR="002E1524">
        <w:t>eflecting rising real incomes and consumer demand, s</w:t>
      </w:r>
      <w:r w:rsidR="00513007" w:rsidRPr="00513007">
        <w:t>ervice industries have grown strongly over the past 50 years</w:t>
      </w:r>
      <w:r w:rsidR="000D18D7">
        <w:t xml:space="preserve"> to the point where the </w:t>
      </w:r>
      <w:r>
        <w:t>sector now accounts for almost three quarters of</w:t>
      </w:r>
      <w:r w:rsidR="003C3972">
        <w:t xml:space="preserve"> Australia’s</w:t>
      </w:r>
      <w:r>
        <w:t xml:space="preserve"> </w:t>
      </w:r>
      <w:r w:rsidR="00513007">
        <w:t>GDP</w:t>
      </w:r>
      <w:r w:rsidR="00681706">
        <w:rPr>
          <w:rStyle w:val="FootnoteReference"/>
        </w:rPr>
        <w:footnoteReference w:id="1"/>
      </w:r>
      <w:r w:rsidR="00513007">
        <w:t>.</w:t>
      </w:r>
      <w:r>
        <w:t xml:space="preserve">  </w:t>
      </w:r>
    </w:p>
    <w:p w:rsidR="00182CC9" w:rsidRPr="00CA6FC0" w:rsidRDefault="00182CC9" w:rsidP="00716E4D">
      <w:pPr>
        <w:spacing w:before="120" w:after="120"/>
        <w:jc w:val="center"/>
        <w:rPr>
          <w:lang w:val="en-US" w:eastAsia="en-AU"/>
        </w:rPr>
      </w:pPr>
      <w:r w:rsidRPr="00182CC9">
        <w:rPr>
          <w:noProof/>
          <w:lang w:eastAsia="en-AU"/>
        </w:rPr>
        <w:drawing>
          <wp:inline distT="0" distB="0" distL="0" distR="0" wp14:anchorId="75BD0737" wp14:editId="6FCACAD4">
            <wp:extent cx="3990975" cy="2667000"/>
            <wp:effectExtent l="3810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C3972" w:rsidRDefault="003C3972" w:rsidP="008F067D">
      <w:pPr>
        <w:pStyle w:val="ListParagraph"/>
        <w:numPr>
          <w:ilvl w:val="0"/>
          <w:numId w:val="24"/>
        </w:numPr>
        <w:spacing w:before="240" w:after="240" w:line="276" w:lineRule="auto"/>
      </w:pPr>
      <w:r>
        <w:t>While in the past s</w:t>
      </w:r>
      <w:r w:rsidRPr="00513007">
        <w:t xml:space="preserve">ervices </w:t>
      </w:r>
      <w:r>
        <w:t>tended to b</w:t>
      </w:r>
      <w:r w:rsidRPr="00513007">
        <w:t>e c</w:t>
      </w:r>
      <w:r>
        <w:t>losely linked to manufacturing, this has changed in recent years with the impact of globalisation, technological change</w:t>
      </w:r>
      <w:r w:rsidR="00B64795">
        <w:t>, emergence of global value chains</w:t>
      </w:r>
      <w:r>
        <w:t xml:space="preserve"> as well as trade and investment liberalisation and other economic reforms.  B</w:t>
      </w:r>
      <w:r w:rsidRPr="00513007">
        <w:t xml:space="preserve">usiness services, including financial and professional services, and health and education </w:t>
      </w:r>
      <w:r>
        <w:t>are now major elements of the Australian economy.  About a half of the ASX’s top 20 corporations are services companies.</w:t>
      </w:r>
    </w:p>
    <w:p w:rsidR="003C3972" w:rsidRDefault="003C3972" w:rsidP="008F067D">
      <w:pPr>
        <w:pStyle w:val="ListParagraph"/>
        <w:numPr>
          <w:ilvl w:val="0"/>
          <w:numId w:val="24"/>
        </w:numPr>
        <w:spacing w:before="240" w:after="240" w:line="276" w:lineRule="auto"/>
      </w:pPr>
      <w:r w:rsidRPr="00513007">
        <w:t>Service industries are generally more labour intensive (and less capital intensive)</w:t>
      </w:r>
      <w:r>
        <w:t xml:space="preserve"> than manufacturing.  The sector now employs almost 90 per cent of Australia’s workforce and it has been responsible for the vast bulk of new jobs in Australia over the past decade.  </w:t>
      </w:r>
    </w:p>
    <w:p w:rsidR="00BA668E" w:rsidRDefault="0097390E" w:rsidP="008F067D">
      <w:pPr>
        <w:pStyle w:val="ListParagraph"/>
        <w:numPr>
          <w:ilvl w:val="0"/>
          <w:numId w:val="24"/>
        </w:numPr>
        <w:spacing w:before="240" w:after="240" w:line="276" w:lineRule="auto"/>
      </w:pPr>
      <w:r>
        <w:t>Services – led by financial, transport, education and pr</w:t>
      </w:r>
      <w:r w:rsidR="00B64795">
        <w:t xml:space="preserve">ofessional services – have </w:t>
      </w:r>
      <w:r>
        <w:t xml:space="preserve">delivered substantial export earnings </w:t>
      </w:r>
      <w:r w:rsidR="00260E4F">
        <w:t xml:space="preserve">for Australia </w:t>
      </w:r>
      <w:r>
        <w:t xml:space="preserve">over the past 30 years. </w:t>
      </w:r>
      <w:r w:rsidR="00B64795">
        <w:t xml:space="preserve">Australia’s services exports were valued at over $60 billion in 2014.  However, this figure understates the real contribution of services to Australia’s exports and economic performance.  </w:t>
      </w:r>
      <w:r w:rsidR="00464130">
        <w:t xml:space="preserve">Taking into account the value added by services supplied to other export industries, </w:t>
      </w:r>
      <w:r w:rsidR="004C1D99">
        <w:t xml:space="preserve">including services embedded in merchandise exports, </w:t>
      </w:r>
      <w:r w:rsidR="00464130">
        <w:t>the services secto</w:t>
      </w:r>
      <w:r>
        <w:t>r</w:t>
      </w:r>
      <w:r w:rsidR="00464130">
        <w:t xml:space="preserve"> generated more than $100 billion in value-added export earnings in 2013</w:t>
      </w:r>
      <w:r w:rsidR="00464130">
        <w:rPr>
          <w:rStyle w:val="FootnoteReference"/>
        </w:rPr>
        <w:footnoteReference w:id="2"/>
      </w:r>
      <w:r w:rsidR="00464130">
        <w:t xml:space="preserve">.  </w:t>
      </w:r>
    </w:p>
    <w:p w:rsidR="004C1D99" w:rsidRDefault="004C1D99" w:rsidP="008F067D">
      <w:pPr>
        <w:pStyle w:val="ListParagraph"/>
        <w:numPr>
          <w:ilvl w:val="0"/>
          <w:numId w:val="24"/>
        </w:numPr>
        <w:spacing w:before="240" w:after="240" w:line="276" w:lineRule="auto"/>
      </w:pPr>
      <w:r>
        <w:lastRenderedPageBreak/>
        <w:t xml:space="preserve">Foreign affiliates of Australian businesses contribute significantly to Australia’s services provisions through commercial presence in overseas markets.  ABS data from a 2009-10 survey, indicates around 96 per cent of Australia’s financial and insurance services trade in 2009-10 was delivered through commercial presence by Australia’s foreign affiliates abroad ($35.9 billion delivered by foreign affiliates compared with $1.3 billion by cross-border trade).  </w:t>
      </w:r>
      <w:proofErr w:type="spellStart"/>
      <w:r>
        <w:t>AsiaLink</w:t>
      </w:r>
      <w:proofErr w:type="spellEnd"/>
      <w:r>
        <w:t xml:space="preserve"> indicates services trade through foreign affiliates in 2013 was valued at $138 billion, more than double Australia’s services exports delivered through cross-border trade.  Publication of current foreign </w:t>
      </w:r>
      <w:r w:rsidR="001D7538">
        <w:t>affiliate’s</w:t>
      </w:r>
      <w:r>
        <w:t xml:space="preserve"> trade in services data would enhance analysis of trends in services trade delivery through commercial presence in other economies.</w:t>
      </w:r>
    </w:p>
    <w:p w:rsidR="003C3972" w:rsidRDefault="003C3972" w:rsidP="008F067D">
      <w:pPr>
        <w:pStyle w:val="ListParagraph"/>
        <w:numPr>
          <w:ilvl w:val="0"/>
          <w:numId w:val="24"/>
        </w:numPr>
        <w:spacing w:before="240" w:after="240" w:line="276" w:lineRule="auto"/>
        <w:rPr>
          <w:lang w:eastAsia="en-AU"/>
        </w:rPr>
      </w:pPr>
      <w:r>
        <w:t xml:space="preserve">Global and regional value chains are now a major </w:t>
      </w:r>
      <w:r w:rsidR="008F067D">
        <w:t xml:space="preserve">feature of the global economy, in which </w:t>
      </w:r>
      <w:r w:rsidR="004C1D99">
        <w:t>goods and services</w:t>
      </w:r>
      <w:r>
        <w:t xml:space="preserve"> mov</w:t>
      </w:r>
      <w:r w:rsidR="008F067D">
        <w:t xml:space="preserve">e </w:t>
      </w:r>
      <w:r w:rsidR="004C1D99">
        <w:t xml:space="preserve">(often </w:t>
      </w:r>
      <w:r w:rsidR="008F067D">
        <w:t>many times</w:t>
      </w:r>
      <w:r w:rsidR="004C1D99">
        <w:t>)</w:t>
      </w:r>
      <w:r w:rsidR="008F067D">
        <w:t xml:space="preserve"> </w:t>
      </w:r>
      <w:r>
        <w:t>across borders as they are developed in</w:t>
      </w:r>
      <w:r w:rsidR="008F067D">
        <w:t>to the final product</w:t>
      </w:r>
      <w:r w:rsidR="004C1D99">
        <w:t xml:space="preserve"> or service to end users.  At the global level, 70 per cent of all exports of goods and services from anywhere in the world are intermediate or capital inputs to some other product or service.  </w:t>
      </w:r>
    </w:p>
    <w:p w:rsidR="004C1D99" w:rsidRDefault="004C1D99" w:rsidP="008F067D">
      <w:pPr>
        <w:pStyle w:val="ListParagraph"/>
        <w:numPr>
          <w:ilvl w:val="0"/>
          <w:numId w:val="24"/>
        </w:numPr>
        <w:spacing w:before="240" w:after="240" w:line="276" w:lineRule="auto"/>
        <w:rPr>
          <w:lang w:eastAsia="en-AU"/>
        </w:rPr>
      </w:pPr>
      <w:r>
        <w:t xml:space="preserve">The 2013 OECD-WTO-UNCTAD report to G20 Leaders, </w:t>
      </w:r>
      <w:r w:rsidRPr="004C1D99">
        <w:rPr>
          <w:i/>
        </w:rPr>
        <w:t>Implicati</w:t>
      </w:r>
      <w:r>
        <w:rPr>
          <w:i/>
        </w:rPr>
        <w:t>ons of Global Value Chains for T</w:t>
      </w:r>
      <w:r w:rsidRPr="004C1D99">
        <w:rPr>
          <w:i/>
        </w:rPr>
        <w:t>rade, Investment, Development and Jobs</w:t>
      </w:r>
      <w:r>
        <w:t>, provided a clear message: global value chains reflect 21</w:t>
      </w:r>
      <w:r w:rsidRPr="004C1D99">
        <w:rPr>
          <w:vertAlign w:val="superscript"/>
        </w:rPr>
        <w:t>st</w:t>
      </w:r>
      <w:r>
        <w:t xml:space="preserve"> century production and provide potential mechanisms for countries – large and small, developed and developing – to improve income, employment and productivity.</w:t>
      </w:r>
    </w:p>
    <w:p w:rsidR="00B95516" w:rsidRDefault="00485050" w:rsidP="008F067D">
      <w:pPr>
        <w:pStyle w:val="ListParagraph"/>
        <w:numPr>
          <w:ilvl w:val="0"/>
          <w:numId w:val="24"/>
        </w:numPr>
        <w:spacing w:before="240" w:after="240" w:line="276" w:lineRule="auto"/>
        <w:rPr>
          <w:lang w:eastAsia="en-AU"/>
        </w:rPr>
      </w:pPr>
      <w:r>
        <w:t xml:space="preserve">Australian governments have placed a high priority on pursuing the </w:t>
      </w:r>
      <w:r w:rsidR="00BA668E">
        <w:t>liberalisation of s</w:t>
      </w:r>
      <w:r w:rsidR="00BA668E" w:rsidRPr="00BA668E">
        <w:rPr>
          <w:lang w:eastAsia="en-AU"/>
        </w:rPr>
        <w:t xml:space="preserve">ervices </w:t>
      </w:r>
      <w:r w:rsidR="00BA668E">
        <w:rPr>
          <w:lang w:eastAsia="en-AU"/>
        </w:rPr>
        <w:t>tra</w:t>
      </w:r>
      <w:r w:rsidR="00B95516">
        <w:rPr>
          <w:lang w:eastAsia="en-AU"/>
        </w:rPr>
        <w:t xml:space="preserve">de globally </w:t>
      </w:r>
      <w:r>
        <w:rPr>
          <w:lang w:eastAsia="en-AU"/>
        </w:rPr>
        <w:t xml:space="preserve">and </w:t>
      </w:r>
      <w:r w:rsidR="008F067D">
        <w:rPr>
          <w:lang w:eastAsia="en-AU"/>
        </w:rPr>
        <w:t xml:space="preserve">on </w:t>
      </w:r>
      <w:r>
        <w:rPr>
          <w:lang w:eastAsia="en-AU"/>
        </w:rPr>
        <w:t>establish</w:t>
      </w:r>
      <w:r w:rsidR="008F067D">
        <w:rPr>
          <w:lang w:eastAsia="en-AU"/>
        </w:rPr>
        <w:t xml:space="preserve">ing </w:t>
      </w:r>
      <w:r>
        <w:rPr>
          <w:lang w:eastAsia="en-AU"/>
        </w:rPr>
        <w:t xml:space="preserve">a global regime of rules to ensure transparency and predictability in services trade.  This </w:t>
      </w:r>
      <w:r w:rsidR="008F067D">
        <w:rPr>
          <w:lang w:eastAsia="en-AU"/>
        </w:rPr>
        <w:t xml:space="preserve">has </w:t>
      </w:r>
      <w:r>
        <w:rPr>
          <w:lang w:eastAsia="en-AU"/>
        </w:rPr>
        <w:t>reflect</w:t>
      </w:r>
      <w:r w:rsidR="008F067D">
        <w:rPr>
          <w:lang w:eastAsia="en-AU"/>
        </w:rPr>
        <w:t xml:space="preserve">ed </w:t>
      </w:r>
      <w:r w:rsidR="001D7538">
        <w:rPr>
          <w:lang w:eastAsia="en-AU"/>
        </w:rPr>
        <w:t>recognition</w:t>
      </w:r>
      <w:r>
        <w:rPr>
          <w:lang w:eastAsia="en-AU"/>
        </w:rPr>
        <w:t xml:space="preserve"> of the potential benefits from new market openings </w:t>
      </w:r>
      <w:r w:rsidR="00BA668E">
        <w:rPr>
          <w:lang w:eastAsia="en-AU"/>
        </w:rPr>
        <w:t xml:space="preserve">in </w:t>
      </w:r>
      <w:r w:rsidR="00B95516">
        <w:rPr>
          <w:lang w:eastAsia="en-AU"/>
        </w:rPr>
        <w:t xml:space="preserve">terms of </w:t>
      </w:r>
      <w:r>
        <w:rPr>
          <w:lang w:eastAsia="en-AU"/>
        </w:rPr>
        <w:t xml:space="preserve">future </w:t>
      </w:r>
      <w:r w:rsidR="008F067D">
        <w:rPr>
          <w:lang w:eastAsia="en-AU"/>
        </w:rPr>
        <w:t xml:space="preserve">services exports </w:t>
      </w:r>
      <w:r>
        <w:rPr>
          <w:lang w:eastAsia="en-AU"/>
        </w:rPr>
        <w:t>growth</w:t>
      </w:r>
      <w:r w:rsidR="008F067D">
        <w:rPr>
          <w:lang w:eastAsia="en-AU"/>
        </w:rPr>
        <w:t xml:space="preserve"> and foreign exchange and employment benefits</w:t>
      </w:r>
      <w:r w:rsidR="00B95516">
        <w:rPr>
          <w:lang w:eastAsia="en-AU"/>
        </w:rPr>
        <w:t xml:space="preserve">.  </w:t>
      </w:r>
    </w:p>
    <w:p w:rsidR="008F067D" w:rsidRDefault="00BA668E" w:rsidP="008F067D">
      <w:pPr>
        <w:pStyle w:val="ListParagraph"/>
        <w:numPr>
          <w:ilvl w:val="0"/>
          <w:numId w:val="24"/>
        </w:numPr>
        <w:spacing w:before="240" w:after="240" w:line="276" w:lineRule="auto"/>
        <w:rPr>
          <w:lang w:eastAsia="en-AU"/>
        </w:rPr>
      </w:pPr>
      <w:r w:rsidRPr="00BA668E">
        <w:rPr>
          <w:lang w:eastAsia="en-AU"/>
        </w:rPr>
        <w:t>Barrie</w:t>
      </w:r>
      <w:r>
        <w:rPr>
          <w:lang w:eastAsia="en-AU"/>
        </w:rPr>
        <w:t>rs to international trade in</w:t>
      </w:r>
      <w:r w:rsidRPr="00BA668E">
        <w:rPr>
          <w:lang w:eastAsia="en-AU"/>
        </w:rPr>
        <w:t xml:space="preserve"> services are </w:t>
      </w:r>
      <w:r w:rsidR="008F067D">
        <w:rPr>
          <w:lang w:eastAsia="en-AU"/>
        </w:rPr>
        <w:t xml:space="preserve">complex and take </w:t>
      </w:r>
      <w:r w:rsidR="0005497F">
        <w:rPr>
          <w:lang w:eastAsia="en-AU"/>
        </w:rPr>
        <w:t xml:space="preserve">a wide range of forms. </w:t>
      </w:r>
      <w:r w:rsidR="008F067D">
        <w:rPr>
          <w:lang w:eastAsia="en-AU"/>
        </w:rPr>
        <w:t xml:space="preserve"> In many cases, </w:t>
      </w:r>
      <w:r w:rsidR="0005497F">
        <w:rPr>
          <w:lang w:eastAsia="en-AU"/>
        </w:rPr>
        <w:t xml:space="preserve">they are </w:t>
      </w:r>
      <w:r w:rsidRPr="00BA668E">
        <w:rPr>
          <w:lang w:eastAsia="en-AU"/>
        </w:rPr>
        <w:t xml:space="preserve">domestic regulations which are </w:t>
      </w:r>
      <w:r w:rsidR="008F067D">
        <w:rPr>
          <w:lang w:eastAsia="en-AU"/>
        </w:rPr>
        <w:t xml:space="preserve">difficult to </w:t>
      </w:r>
      <w:r w:rsidRPr="00BA668E">
        <w:rPr>
          <w:lang w:eastAsia="en-AU"/>
        </w:rPr>
        <w:t xml:space="preserve">measure </w:t>
      </w:r>
      <w:r w:rsidR="0005497F">
        <w:rPr>
          <w:lang w:eastAsia="en-AU"/>
        </w:rPr>
        <w:t xml:space="preserve">and, because their </w:t>
      </w:r>
      <w:r w:rsidR="008F067D">
        <w:rPr>
          <w:lang w:eastAsia="en-AU"/>
        </w:rPr>
        <w:t xml:space="preserve">policy </w:t>
      </w:r>
      <w:r w:rsidR="0005497F">
        <w:rPr>
          <w:lang w:eastAsia="en-AU"/>
        </w:rPr>
        <w:t xml:space="preserve">rationale is often non-trade related, </w:t>
      </w:r>
      <w:r w:rsidR="00D34B81">
        <w:rPr>
          <w:lang w:eastAsia="en-AU"/>
        </w:rPr>
        <w:t xml:space="preserve">they </w:t>
      </w:r>
      <w:r w:rsidR="009E56F9">
        <w:rPr>
          <w:lang w:eastAsia="en-AU"/>
        </w:rPr>
        <w:t>are often hard</w:t>
      </w:r>
      <w:r>
        <w:rPr>
          <w:lang w:eastAsia="en-AU"/>
        </w:rPr>
        <w:t xml:space="preserve"> to eliminate or reduce</w:t>
      </w:r>
      <w:r w:rsidRPr="00BA668E">
        <w:rPr>
          <w:lang w:eastAsia="en-AU"/>
        </w:rPr>
        <w:t>.</w:t>
      </w:r>
      <w:r w:rsidR="00B95516">
        <w:rPr>
          <w:lang w:eastAsia="en-AU"/>
        </w:rPr>
        <w:t xml:space="preserve">  </w:t>
      </w:r>
    </w:p>
    <w:p w:rsidR="0005497F" w:rsidRDefault="0005497F" w:rsidP="008F067D">
      <w:pPr>
        <w:pStyle w:val="ListParagraph"/>
        <w:numPr>
          <w:ilvl w:val="0"/>
          <w:numId w:val="24"/>
        </w:numPr>
        <w:spacing w:before="240" w:after="240" w:line="276" w:lineRule="auto"/>
        <w:rPr>
          <w:lang w:eastAsia="en-AU"/>
        </w:rPr>
      </w:pPr>
      <w:r>
        <w:rPr>
          <w:lang w:eastAsia="en-AU"/>
        </w:rPr>
        <w:t xml:space="preserve">Services </w:t>
      </w:r>
      <w:r w:rsidR="008F067D">
        <w:rPr>
          <w:lang w:eastAsia="en-AU"/>
        </w:rPr>
        <w:t xml:space="preserve">trade </w:t>
      </w:r>
      <w:r>
        <w:rPr>
          <w:lang w:eastAsia="en-AU"/>
        </w:rPr>
        <w:t>barriers are generally higher in developing country eco</w:t>
      </w:r>
      <w:r w:rsidR="008F067D">
        <w:rPr>
          <w:lang w:eastAsia="en-AU"/>
        </w:rPr>
        <w:t xml:space="preserve">nomies where there is often also </w:t>
      </w:r>
      <w:r w:rsidR="00DA273C">
        <w:rPr>
          <w:lang w:eastAsia="en-AU"/>
        </w:rPr>
        <w:t xml:space="preserve">strong </w:t>
      </w:r>
      <w:r>
        <w:rPr>
          <w:lang w:eastAsia="en-AU"/>
        </w:rPr>
        <w:t>resistance</w:t>
      </w:r>
      <w:r w:rsidR="008F067D">
        <w:rPr>
          <w:lang w:eastAsia="en-AU"/>
        </w:rPr>
        <w:t xml:space="preserve"> to liberalisation and reform. There is, however, a strong economic argument in favour of services trade liberalisation and reform in these countries, particularly in the Asia-Pacific region, to underpin the continued process of economic transformation underway, most notably in China, characterised by the emergence of a large and increasingly prosperous middle class.</w:t>
      </w:r>
    </w:p>
    <w:p w:rsidR="004105B5" w:rsidRPr="00F80A2C" w:rsidRDefault="004105B5" w:rsidP="00021E72">
      <w:pPr>
        <w:pStyle w:val="ListParagraph"/>
        <w:numPr>
          <w:ilvl w:val="0"/>
          <w:numId w:val="24"/>
        </w:numPr>
        <w:spacing w:before="240" w:after="240" w:line="276" w:lineRule="auto"/>
      </w:pPr>
      <w:r>
        <w:br w:type="page"/>
      </w:r>
    </w:p>
    <w:p w:rsidR="00182CC9" w:rsidRPr="00182CC9" w:rsidRDefault="00B83F20" w:rsidP="00A73BD6">
      <w:pPr>
        <w:pStyle w:val="Heading1"/>
        <w:spacing w:before="240" w:after="240"/>
      </w:pPr>
      <w:bookmarkStart w:id="45" w:name="_Toc424644347"/>
      <w:r w:rsidRPr="00B8614C">
        <w:lastRenderedPageBreak/>
        <w:t xml:space="preserve">B. </w:t>
      </w:r>
      <w:r w:rsidR="00182CC9" w:rsidRPr="00B8614C">
        <w:t>Trends in Australia’s services exports</w:t>
      </w:r>
      <w:r w:rsidR="006767A1">
        <w:rPr>
          <w:rStyle w:val="FootnoteReference"/>
        </w:rPr>
        <w:footnoteReference w:id="3"/>
      </w:r>
      <w:bookmarkEnd w:id="45"/>
    </w:p>
    <w:p w:rsidR="006767A1" w:rsidRDefault="006767A1" w:rsidP="00D40476">
      <w:pPr>
        <w:pStyle w:val="ListParagraph"/>
        <w:numPr>
          <w:ilvl w:val="0"/>
          <w:numId w:val="24"/>
        </w:numPr>
        <w:spacing w:before="240" w:after="240" w:line="276" w:lineRule="auto"/>
      </w:pPr>
      <w:r>
        <w:t xml:space="preserve">Services are exported in three primary ways: </w:t>
      </w:r>
    </w:p>
    <w:p w:rsidR="006767A1" w:rsidRDefault="006F222A" w:rsidP="00D40476">
      <w:pPr>
        <w:pStyle w:val="ListParagraph"/>
        <w:numPr>
          <w:ilvl w:val="1"/>
          <w:numId w:val="24"/>
        </w:numPr>
        <w:spacing w:before="240" w:after="240" w:line="276" w:lineRule="auto"/>
      </w:pPr>
      <w:r>
        <w:t xml:space="preserve">cross-border, </w:t>
      </w:r>
      <w:r w:rsidR="00D34B81">
        <w:t>direct exports, t</w:t>
      </w:r>
      <w:r w:rsidR="006767A1">
        <w:t>hese are typically sales of services from Australian service providers</w:t>
      </w:r>
      <w:r w:rsidR="00106EAC">
        <w:t>;</w:t>
      </w:r>
    </w:p>
    <w:p w:rsidR="002401DA" w:rsidRDefault="002401DA" w:rsidP="00D40476">
      <w:pPr>
        <w:pStyle w:val="ListParagraph"/>
        <w:numPr>
          <w:ilvl w:val="1"/>
          <w:numId w:val="24"/>
        </w:numPr>
        <w:spacing w:before="240" w:after="240" w:line="276" w:lineRule="auto"/>
      </w:pPr>
      <w:r>
        <w:t xml:space="preserve">embodied in other goods and services exports.  For example iron ore exports from Australia are underpinned by a range of services including technical services (such as geological services) engineering services, construction, provision of utilities, telecommunications, legal, insurance and transport and logistics services; and, </w:t>
      </w:r>
    </w:p>
    <w:p w:rsidR="006767A1" w:rsidRDefault="006767A1" w:rsidP="002401DA">
      <w:pPr>
        <w:pStyle w:val="ListParagraph"/>
        <w:numPr>
          <w:ilvl w:val="1"/>
          <w:numId w:val="24"/>
        </w:numPr>
        <w:spacing w:before="240" w:after="240" w:line="276" w:lineRule="auto"/>
      </w:pPr>
      <w:r>
        <w:t>through a commercial presence in another market</w:t>
      </w:r>
      <w:r w:rsidR="006F222A">
        <w:t>, for example as foreign affiliate sales</w:t>
      </w:r>
      <w:r w:rsidR="002401DA">
        <w:t>.</w:t>
      </w:r>
    </w:p>
    <w:p w:rsidR="00D2042F" w:rsidRPr="00B8614C" w:rsidRDefault="00CC0174" w:rsidP="00B8614C">
      <w:pPr>
        <w:pStyle w:val="Heading3"/>
        <w:rPr>
          <w:b w:val="0"/>
          <w:i/>
        </w:rPr>
      </w:pPr>
      <w:bookmarkStart w:id="46" w:name="_Toc424644348"/>
      <w:r w:rsidRPr="00B8614C">
        <w:rPr>
          <w:b w:val="0"/>
          <w:i/>
        </w:rPr>
        <w:t xml:space="preserve">Cross border </w:t>
      </w:r>
      <w:r w:rsidR="00D2042F" w:rsidRPr="00B8614C">
        <w:rPr>
          <w:b w:val="0"/>
          <w:i/>
        </w:rPr>
        <w:t>exports</w:t>
      </w:r>
      <w:bookmarkEnd w:id="46"/>
      <w:r w:rsidR="00D2042F" w:rsidRPr="00B8614C">
        <w:rPr>
          <w:b w:val="0"/>
          <w:i/>
        </w:rPr>
        <w:t xml:space="preserve"> </w:t>
      </w:r>
    </w:p>
    <w:p w:rsidR="00F80A2C" w:rsidRDefault="008C26E4" w:rsidP="006767A1">
      <w:pPr>
        <w:pStyle w:val="ListParagraph"/>
        <w:numPr>
          <w:ilvl w:val="0"/>
          <w:numId w:val="24"/>
        </w:numPr>
        <w:spacing w:before="240" w:after="240" w:line="276" w:lineRule="auto"/>
      </w:pPr>
      <w:r>
        <w:t>A</w:t>
      </w:r>
      <w:r w:rsidR="00716E4D">
        <w:t xml:space="preserve">vailable </w:t>
      </w:r>
      <w:r w:rsidR="00106EAC">
        <w:t xml:space="preserve">official </w:t>
      </w:r>
      <w:r w:rsidR="00716E4D">
        <w:t xml:space="preserve">data </w:t>
      </w:r>
      <w:r w:rsidR="00106EAC">
        <w:t>covers only the value of cross-border exports.</w:t>
      </w:r>
      <w:r w:rsidR="00106EAC" w:rsidRPr="00FB576A">
        <w:t xml:space="preserve"> </w:t>
      </w:r>
      <w:r w:rsidR="00106EAC">
        <w:t xml:space="preserve"> </w:t>
      </w:r>
      <w:r w:rsidR="00106EAC" w:rsidRPr="00FB576A">
        <w:t>In 2014, they were</w:t>
      </w:r>
      <w:r w:rsidR="00106EAC">
        <w:t xml:space="preserve"> v</w:t>
      </w:r>
      <w:r w:rsidR="00106EAC" w:rsidRPr="00182CC9">
        <w:t>alued at $60.1 billion.</w:t>
      </w:r>
      <w:r w:rsidR="00106EAC">
        <w:t xml:space="preserve"> The value of </w:t>
      </w:r>
      <w:r w:rsidR="00F52D51" w:rsidRPr="00182CC9">
        <w:t xml:space="preserve">services exports values have grown on average by 3.9 per cent per </w:t>
      </w:r>
      <w:r w:rsidR="00F52D51" w:rsidRPr="00FB576A">
        <w:t>annum (1.4 per cent in volume terms) over the last ten years</w:t>
      </w:r>
      <w:r w:rsidR="00F52D51" w:rsidRPr="00182CC9">
        <w:t xml:space="preserve"> </w:t>
      </w:r>
      <w:r w:rsidR="004105B5">
        <w:t xml:space="preserve"> </w:t>
      </w:r>
      <w:r w:rsidR="00F52D51">
        <w:t xml:space="preserve">In percentage terms, </w:t>
      </w:r>
      <w:r w:rsidR="00054F30">
        <w:t>services exports</w:t>
      </w:r>
      <w:r w:rsidR="00182CC9" w:rsidRPr="00182CC9">
        <w:t xml:space="preserve"> on a gross basis accounted for 18.4 per cent of Au</w:t>
      </w:r>
      <w:r w:rsidR="007420DD">
        <w:t>stralia’s total exports in 2014</w:t>
      </w:r>
      <w:r w:rsidR="00182CC9" w:rsidRPr="00182CC9">
        <w:rPr>
          <w:vertAlign w:val="superscript"/>
        </w:rPr>
        <w:footnoteReference w:id="4"/>
      </w:r>
      <w:r w:rsidR="007420DD">
        <w:t>.</w:t>
      </w:r>
    </w:p>
    <w:p w:rsidR="00F80A2C" w:rsidRDefault="00681706" w:rsidP="006767A1">
      <w:pPr>
        <w:pStyle w:val="ListParagraph"/>
        <w:numPr>
          <w:ilvl w:val="0"/>
          <w:numId w:val="24"/>
        </w:numPr>
        <w:spacing w:before="240" w:after="240" w:line="276" w:lineRule="auto"/>
      </w:pPr>
      <w:r>
        <w:t xml:space="preserve">Since 2008, education-related travel </w:t>
      </w:r>
      <w:r w:rsidR="004839C6">
        <w:t xml:space="preserve">services have overtaken </w:t>
      </w:r>
      <w:r w:rsidR="00765C3D">
        <w:t>o</w:t>
      </w:r>
      <w:r>
        <w:t xml:space="preserve">ther personal </w:t>
      </w:r>
      <w:r w:rsidR="004839C6">
        <w:t xml:space="preserve">travel services to become Australia’s </w:t>
      </w:r>
      <w:r w:rsidR="00F52D51">
        <w:t xml:space="preserve">largest </w:t>
      </w:r>
      <w:r w:rsidR="004839C6">
        <w:t xml:space="preserve">source of services </w:t>
      </w:r>
      <w:r w:rsidR="00F52D51">
        <w:t>export</w:t>
      </w:r>
      <w:r w:rsidR="004839C6">
        <w:t>s</w:t>
      </w:r>
      <w:r w:rsidR="00765C3D">
        <w:rPr>
          <w:rStyle w:val="FootnoteReference"/>
        </w:rPr>
        <w:footnoteReference w:id="5"/>
      </w:r>
      <w:r w:rsidR="004839C6">
        <w:t>. Other</w:t>
      </w:r>
      <w:r w:rsidR="006E2A6F">
        <w:t xml:space="preserve"> major </w:t>
      </w:r>
      <w:r w:rsidR="004839C6">
        <w:t xml:space="preserve">services exports include </w:t>
      </w:r>
      <w:r w:rsidR="006F222A">
        <w:t xml:space="preserve">business services, </w:t>
      </w:r>
      <w:r w:rsidR="004839C6">
        <w:t>professional service</w:t>
      </w:r>
      <w:r w:rsidR="006F222A">
        <w:t xml:space="preserve">s, travel, </w:t>
      </w:r>
      <w:r w:rsidR="004839C6">
        <w:t>financ</w:t>
      </w:r>
      <w:r w:rsidR="009E56F9">
        <w:t>e, insurance and transport services.</w:t>
      </w:r>
    </w:p>
    <w:p w:rsidR="00F80A2C" w:rsidRDefault="006E2A6F" w:rsidP="006767A1">
      <w:pPr>
        <w:pStyle w:val="ListParagraph"/>
        <w:numPr>
          <w:ilvl w:val="0"/>
          <w:numId w:val="24"/>
        </w:numPr>
        <w:spacing w:before="240" w:after="240" w:line="276" w:lineRule="auto"/>
      </w:pPr>
      <w:r>
        <w:t xml:space="preserve">In </w:t>
      </w:r>
      <w:r w:rsidR="004839C6">
        <w:t>2</w:t>
      </w:r>
      <w:r>
        <w:t>013-</w:t>
      </w:r>
      <w:r w:rsidR="00681706">
        <w:t>1</w:t>
      </w:r>
      <w:r>
        <w:t>4</w:t>
      </w:r>
      <w:r w:rsidR="004839C6">
        <w:t>, China (</w:t>
      </w:r>
      <w:r w:rsidR="004839C6" w:rsidRPr="00182CC9">
        <w:t>$7.5 billion</w:t>
      </w:r>
      <w:r w:rsidR="004839C6">
        <w:t>), the United States (</w:t>
      </w:r>
      <w:r w:rsidR="004839C6" w:rsidRPr="00182CC9">
        <w:t>$6.4 billion</w:t>
      </w:r>
      <w:r w:rsidR="004839C6">
        <w:t>) and the</w:t>
      </w:r>
      <w:r>
        <w:t xml:space="preserve"> United Kingdom ($4.2 billion) we</w:t>
      </w:r>
      <w:r w:rsidR="004839C6">
        <w:t>re Australia’s top services e</w:t>
      </w:r>
      <w:r w:rsidR="00D34B81">
        <w:t>xport destinations</w:t>
      </w:r>
      <w:r w:rsidR="004839C6" w:rsidRPr="00182CC9">
        <w:rPr>
          <w:vertAlign w:val="superscript"/>
        </w:rPr>
        <w:footnoteReference w:id="6"/>
      </w:r>
      <w:r w:rsidR="00D34B81">
        <w:t xml:space="preserve">.  </w:t>
      </w:r>
      <w:r w:rsidR="00681706">
        <w:t xml:space="preserve">Within the top ten export destinations, </w:t>
      </w:r>
      <w:r w:rsidR="00FB576A">
        <w:t xml:space="preserve">Asian markets have been the fastest growing annual markets </w:t>
      </w:r>
      <w:r>
        <w:t xml:space="preserve">for our services </w:t>
      </w:r>
      <w:r w:rsidR="00FB576A">
        <w:t>export</w:t>
      </w:r>
      <w:r>
        <w:t xml:space="preserve">s, notably </w:t>
      </w:r>
      <w:r w:rsidR="00FB576A">
        <w:t xml:space="preserve">China </w:t>
      </w:r>
      <w:r>
        <w:t xml:space="preserve">where they have </w:t>
      </w:r>
      <w:r w:rsidR="00FB576A">
        <w:t xml:space="preserve">recorded </w:t>
      </w:r>
      <w:r w:rsidR="00FB576A" w:rsidRPr="00182CC9">
        <w:t xml:space="preserve">average </w:t>
      </w:r>
      <w:r w:rsidR="00FB576A">
        <w:t xml:space="preserve">growth of </w:t>
      </w:r>
      <w:r w:rsidR="00FB576A" w:rsidRPr="00182CC9">
        <w:t>11.9 per cent a</w:t>
      </w:r>
      <w:r w:rsidR="00FB576A">
        <w:t>nnually over the last ten years</w:t>
      </w:r>
      <w:r>
        <w:t>.  S</w:t>
      </w:r>
      <w:r w:rsidR="00FB576A">
        <w:t xml:space="preserve">ervice exports to India </w:t>
      </w:r>
      <w:r w:rsidR="00FB576A" w:rsidRPr="00182CC9">
        <w:t>(10.5 per cent), Malaysia (4.2 per cent) and Singapore (3.5 per cent)</w:t>
      </w:r>
      <w:r w:rsidR="00FB576A">
        <w:t xml:space="preserve"> also recording strong growth</w:t>
      </w:r>
      <w:r w:rsidR="00FB576A" w:rsidRPr="00182CC9">
        <w:t>.</w:t>
      </w:r>
    </w:p>
    <w:p w:rsidR="00FB576A" w:rsidRPr="00182CC9" w:rsidRDefault="00FB576A" w:rsidP="006F222A">
      <w:pPr>
        <w:pStyle w:val="ListParagraph"/>
        <w:numPr>
          <w:ilvl w:val="0"/>
          <w:numId w:val="24"/>
        </w:numPr>
        <w:spacing w:before="240" w:after="240" w:line="276" w:lineRule="auto"/>
      </w:pPr>
      <w:r w:rsidRPr="00182CC9">
        <w:t xml:space="preserve">The growth in Australia’s services exports to Asia have been dominated by </w:t>
      </w:r>
      <w:r w:rsidR="006E2A6F" w:rsidRPr="006F222A">
        <w:t>t</w:t>
      </w:r>
      <w:r w:rsidRPr="006F222A">
        <w:t>ravel services</w:t>
      </w:r>
      <w:r w:rsidRPr="00182CC9">
        <w:t>.</w:t>
      </w:r>
      <w:r>
        <w:t xml:space="preserve"> </w:t>
      </w:r>
      <w:r w:rsidRPr="00182CC9">
        <w:t xml:space="preserve">The largest market for </w:t>
      </w:r>
      <w:r w:rsidR="006E2A6F" w:rsidRPr="006F222A">
        <w:t>b</w:t>
      </w:r>
      <w:r w:rsidRPr="006F222A">
        <w:t>usiness services</w:t>
      </w:r>
      <w:r w:rsidRPr="00182CC9">
        <w:rPr>
          <w:i/>
          <w:vertAlign w:val="superscript"/>
        </w:rPr>
        <w:footnoteReference w:id="7"/>
      </w:r>
      <w:r w:rsidRPr="00182CC9">
        <w:t xml:space="preserve"> exports was the United St</w:t>
      </w:r>
      <w:r>
        <w:t xml:space="preserve">ates valued at $3.5 billion which </w:t>
      </w:r>
      <w:r w:rsidRPr="00182CC9">
        <w:t xml:space="preserve">accounted for 15.3 per cent of total </w:t>
      </w:r>
      <w:r w:rsidR="006E2A6F" w:rsidRPr="006F222A">
        <w:t>b</w:t>
      </w:r>
      <w:r w:rsidRPr="006F222A">
        <w:t>usiness services</w:t>
      </w:r>
      <w:r w:rsidRPr="00182CC9">
        <w:t xml:space="preserve"> exports in 20</w:t>
      </w:r>
      <w:r w:rsidR="00765C3D">
        <w:t>13-</w:t>
      </w:r>
      <w:r w:rsidRPr="00182CC9">
        <w:t>14, followed by Singapore (valued $1.7 billion), the United Kingdom (valued at $1.3 billion) and New Zealand (valued at $1.2 billion).</w:t>
      </w:r>
    </w:p>
    <w:p w:rsidR="00765C3D" w:rsidRDefault="00765C3D" w:rsidP="00681706">
      <w:pPr>
        <w:jc w:val="center"/>
        <w:rPr>
          <w:sz w:val="22"/>
          <w:szCs w:val="22"/>
        </w:rPr>
      </w:pPr>
      <w:r>
        <w:rPr>
          <w:noProof/>
          <w:lang w:eastAsia="en-AU"/>
        </w:rPr>
        <w:lastRenderedPageBreak/>
        <w:drawing>
          <wp:inline distT="0" distB="0" distL="0" distR="0" wp14:anchorId="4B98BAB3" wp14:editId="3D3F34E7">
            <wp:extent cx="5097780" cy="2636520"/>
            <wp:effectExtent l="0" t="0" r="762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2042F" w:rsidRPr="00EC09EF" w:rsidRDefault="00D2042F" w:rsidP="00D2042F">
      <w:pPr>
        <w:pStyle w:val="Heading3"/>
        <w:spacing w:before="240" w:after="240"/>
        <w:rPr>
          <w:b w:val="0"/>
          <w:i/>
        </w:rPr>
      </w:pPr>
      <w:bookmarkStart w:id="47" w:name="_Toc424644349"/>
      <w:r>
        <w:rPr>
          <w:b w:val="0"/>
          <w:i/>
        </w:rPr>
        <w:t xml:space="preserve">Assessing </w:t>
      </w:r>
      <w:r w:rsidR="002665E4">
        <w:rPr>
          <w:b w:val="0"/>
          <w:i/>
        </w:rPr>
        <w:t xml:space="preserve">the </w:t>
      </w:r>
      <w:r>
        <w:rPr>
          <w:b w:val="0"/>
          <w:i/>
        </w:rPr>
        <w:t>value add</w:t>
      </w:r>
      <w:r w:rsidRPr="00EC09EF">
        <w:rPr>
          <w:b w:val="0"/>
          <w:i/>
        </w:rPr>
        <w:t xml:space="preserve"> </w:t>
      </w:r>
      <w:r w:rsidR="002665E4">
        <w:rPr>
          <w:b w:val="0"/>
          <w:i/>
        </w:rPr>
        <w:t>of the services sector</w:t>
      </w:r>
      <w:bookmarkEnd w:id="47"/>
    </w:p>
    <w:p w:rsidR="002665E4" w:rsidRDefault="00307BEF" w:rsidP="002665E4">
      <w:pPr>
        <w:pStyle w:val="ListParagraph"/>
        <w:numPr>
          <w:ilvl w:val="0"/>
          <w:numId w:val="24"/>
        </w:numPr>
        <w:spacing w:before="240" w:after="240" w:line="276" w:lineRule="auto"/>
      </w:pPr>
      <w:r>
        <w:t xml:space="preserve">Quantifying the value-add of services </w:t>
      </w:r>
      <w:r w:rsidR="00D2042F">
        <w:t xml:space="preserve">has been the subject of a range of research projects.  </w:t>
      </w:r>
      <w:r>
        <w:t>In 2011, the Institute of Developing Economies (IDE-JE</w:t>
      </w:r>
      <w:r w:rsidR="009E56F9">
        <w:t>TRO) and the World Trade Organiz</w:t>
      </w:r>
      <w:r>
        <w:t xml:space="preserve">ation </w:t>
      </w:r>
      <w:r w:rsidR="009E56F9">
        <w:t xml:space="preserve">(WTO) </w:t>
      </w:r>
      <w:r>
        <w:t>released a joint report examining the significance of global value chains in international trade.  The OECD built on this work to compile the Trade in Value-Added (</w:t>
      </w:r>
      <w:proofErr w:type="spellStart"/>
      <w:r>
        <w:t>TiVA</w:t>
      </w:r>
      <w:proofErr w:type="spellEnd"/>
      <w:r>
        <w:t>) database which harmonises national input-output tables from t</w:t>
      </w:r>
      <w:r w:rsidR="006F222A">
        <w:t>he</w:t>
      </w:r>
      <w:r>
        <w:t xml:space="preserve"> top 57 economies and reveals how much value is added by each industry in each country to goods and services that are internationally traded.  </w:t>
      </w:r>
      <w:r w:rsidR="006F222A">
        <w:t xml:space="preserve"> </w:t>
      </w:r>
      <w:r w:rsidR="00D2042F">
        <w:t>Using this value-add methodology, it has been estimated that services contribute 41 per cent of Australia’s export earnings</w:t>
      </w:r>
      <w:r w:rsidR="00CC0174">
        <w:rPr>
          <w:rStyle w:val="FootnoteReference"/>
        </w:rPr>
        <w:footnoteReference w:id="8"/>
      </w:r>
      <w:r w:rsidR="00CC0174">
        <w:t xml:space="preserve">.  </w:t>
      </w:r>
    </w:p>
    <w:p w:rsidR="001D7538" w:rsidRDefault="001D7538" w:rsidP="001D7538">
      <w:pPr>
        <w:pStyle w:val="ListParagraph"/>
        <w:numPr>
          <w:ilvl w:val="0"/>
          <w:numId w:val="24"/>
        </w:numPr>
        <w:spacing w:before="240" w:after="240" w:line="276" w:lineRule="auto"/>
      </w:pPr>
      <w:r>
        <w:t>GVCs are currently less developed for services than for manufactures. According to the World Investment Report 2013, in 2010 the global average share of foreign value-added in exports in the services sector of 14.2 per cent was less than half the level of the manufacturing sector, 29.4 per cent. The average was lower still in the agriculture sector, at just 9.6 per cent. This suggests that the process of regional specialisation in services and agriculture has much further to run, two areas where Australia has particular advantages.</w:t>
      </w:r>
    </w:p>
    <w:p w:rsidR="001D7538" w:rsidRDefault="001D7538">
      <w:r>
        <w:br w:type="page"/>
      </w:r>
    </w:p>
    <w:p w:rsidR="001D7538" w:rsidRDefault="001D7538" w:rsidP="001D7538">
      <w:pPr>
        <w:spacing w:before="240" w:after="240" w:line="276" w:lineRule="auto"/>
        <w:ind w:left="284"/>
      </w:pPr>
    </w:p>
    <w:p w:rsidR="00604C20" w:rsidRPr="00604C20" w:rsidRDefault="00604C20" w:rsidP="00604C20">
      <w:pPr>
        <w:pStyle w:val="Heading3"/>
        <w:rPr>
          <w:b w:val="0"/>
          <w:i/>
        </w:rPr>
      </w:pPr>
      <w:bookmarkStart w:id="48" w:name="_Toc424644350"/>
      <w:r w:rsidRPr="00604C20">
        <w:rPr>
          <w:b w:val="0"/>
          <w:i/>
        </w:rPr>
        <w:t>Service provision through foreign affiliates</w:t>
      </w:r>
      <w:bookmarkEnd w:id="48"/>
    </w:p>
    <w:p w:rsidR="00604C20" w:rsidRDefault="00604C20" w:rsidP="002665E4">
      <w:pPr>
        <w:pStyle w:val="ListParagraph"/>
        <w:numPr>
          <w:ilvl w:val="0"/>
          <w:numId w:val="24"/>
        </w:numPr>
        <w:spacing w:before="240" w:after="240" w:line="276" w:lineRule="auto"/>
      </w:pPr>
      <w:r>
        <w:t xml:space="preserve">Foreign affiliates of Australian businesses contribute significantly to Australia’s services provision through commercial presence in overseas markets.  These services are not directly included in trade in services export data (see Annex).  However, ABS data indicates around 96 per cent of Australia’s financial and insurance services trade in 2009-10 was delivered through commercial presence by Australia’s foreign affiliates abroad (($35.9 billion delivered by foreign affiliates compared with $1.3 billion by cross-border trade).  </w:t>
      </w:r>
      <w:proofErr w:type="spellStart"/>
      <w:r>
        <w:t>AsiaLink</w:t>
      </w:r>
      <w:proofErr w:type="spellEnd"/>
      <w:r>
        <w:t xml:space="preserve"> indicates services trade through foreign affiliates in 2013 was valued at $138 billion, more than double Australia’s services exports delivered through cross-border trade.  Promoting investment – both to Australia and from Australia to the region – is an important part of growing Australia’s participation in global value chains.  </w:t>
      </w:r>
    </w:p>
    <w:p w:rsidR="00604C20" w:rsidRDefault="00604C20" w:rsidP="002665E4">
      <w:pPr>
        <w:pStyle w:val="ListParagraph"/>
        <w:numPr>
          <w:ilvl w:val="0"/>
          <w:numId w:val="24"/>
        </w:numPr>
        <w:spacing w:before="240" w:after="240" w:line="276" w:lineRule="auto"/>
      </w:pPr>
      <w:r>
        <w:t>The absence of current foreign affiliate trade in services data is a major gap which impacts on analysis of trade and the benefits accruing to Australian businesses from trade liberalisation.  In particular, full analysis of market access trends under Australia’s North-</w:t>
      </w:r>
      <w:r w:rsidR="001D7538">
        <w:t>Asia</w:t>
      </w:r>
      <w:r>
        <w:t xml:space="preserve"> FTAs will not be possible without foreign </w:t>
      </w:r>
      <w:r w:rsidR="001D7538">
        <w:t>affiliate’s</w:t>
      </w:r>
      <w:r>
        <w:t xml:space="preserve"> trade data.</w:t>
      </w:r>
    </w:p>
    <w:p w:rsidR="00604C20" w:rsidRPr="00182CC9" w:rsidRDefault="00604C20" w:rsidP="00604C20">
      <w:pPr>
        <w:spacing w:before="240" w:after="240" w:line="276" w:lineRule="auto"/>
      </w:pPr>
    </w:p>
    <w:p w:rsidR="00F80A2C" w:rsidRDefault="00F80A2C">
      <w:pPr>
        <w:rPr>
          <w:rFonts w:asciiTheme="majorHAnsi" w:eastAsiaTheme="majorEastAsia" w:hAnsiTheme="majorHAnsi" w:cstheme="majorBidi"/>
          <w:b/>
          <w:bCs/>
          <w:color w:val="365F91" w:themeColor="accent1" w:themeShade="BF"/>
          <w:sz w:val="28"/>
          <w:szCs w:val="28"/>
        </w:rPr>
      </w:pPr>
      <w:r>
        <w:br w:type="page"/>
      </w:r>
    </w:p>
    <w:p w:rsidR="00182CC9" w:rsidRPr="001F4418" w:rsidRDefault="00B83F20" w:rsidP="00A73BD6">
      <w:pPr>
        <w:pStyle w:val="Heading1"/>
        <w:spacing w:before="240" w:after="240"/>
      </w:pPr>
      <w:bookmarkStart w:id="49" w:name="_Toc424644351"/>
      <w:r>
        <w:lastRenderedPageBreak/>
        <w:t>C. S</w:t>
      </w:r>
      <w:r w:rsidR="00182CC9" w:rsidRPr="001F4418">
        <w:t>ervices trade negotiations</w:t>
      </w:r>
      <w:bookmarkEnd w:id="49"/>
    </w:p>
    <w:p w:rsidR="00D40476" w:rsidRDefault="00D40476" w:rsidP="008C2128">
      <w:pPr>
        <w:pStyle w:val="ListParagraph"/>
        <w:numPr>
          <w:ilvl w:val="0"/>
          <w:numId w:val="24"/>
        </w:numPr>
        <w:spacing w:before="240" w:after="240" w:line="276" w:lineRule="auto"/>
        <w:rPr>
          <w:lang w:eastAsia="en-AU"/>
        </w:rPr>
      </w:pPr>
      <w:r>
        <w:rPr>
          <w:lang w:eastAsia="en-AU"/>
        </w:rPr>
        <w:t xml:space="preserve">Australia pursues services trade liberalisation and reform at the multilateral, regional, </w:t>
      </w:r>
      <w:proofErr w:type="spellStart"/>
      <w:r>
        <w:rPr>
          <w:lang w:eastAsia="en-AU"/>
        </w:rPr>
        <w:t>plurilateral</w:t>
      </w:r>
      <w:proofErr w:type="spellEnd"/>
      <w:r>
        <w:rPr>
          <w:lang w:eastAsia="en-AU"/>
        </w:rPr>
        <w:t xml:space="preserve"> and bilateral levels.  </w:t>
      </w:r>
    </w:p>
    <w:p w:rsidR="00D40476" w:rsidRPr="00B8614C" w:rsidRDefault="00D40476" w:rsidP="00B8614C">
      <w:pPr>
        <w:pStyle w:val="Heading3"/>
        <w:rPr>
          <w:b w:val="0"/>
          <w:i/>
        </w:rPr>
      </w:pPr>
      <w:bookmarkStart w:id="50" w:name="_Toc424644352"/>
      <w:r w:rsidRPr="00B8614C">
        <w:rPr>
          <w:b w:val="0"/>
          <w:i/>
        </w:rPr>
        <w:t>Multilateral</w:t>
      </w:r>
      <w:bookmarkEnd w:id="50"/>
      <w:r w:rsidRPr="00B8614C">
        <w:rPr>
          <w:b w:val="0"/>
          <w:i/>
        </w:rPr>
        <w:t xml:space="preserve"> </w:t>
      </w:r>
    </w:p>
    <w:p w:rsidR="00D40476" w:rsidRDefault="00D40476" w:rsidP="008C2128">
      <w:pPr>
        <w:pStyle w:val="ListParagraph"/>
        <w:numPr>
          <w:ilvl w:val="0"/>
          <w:numId w:val="24"/>
        </w:numPr>
        <w:spacing w:before="240" w:after="240" w:line="276" w:lineRule="auto"/>
      </w:pPr>
      <w:r w:rsidRPr="00182CC9">
        <w:t xml:space="preserve">The </w:t>
      </w:r>
      <w:r>
        <w:t xml:space="preserve">first comprehensive multilateral </w:t>
      </w:r>
      <w:r w:rsidRPr="00182CC9">
        <w:t xml:space="preserve">rules </w:t>
      </w:r>
      <w:r>
        <w:t xml:space="preserve">governing trade in </w:t>
      </w:r>
      <w:r w:rsidRPr="00182CC9">
        <w:t xml:space="preserve">services </w:t>
      </w:r>
      <w:r>
        <w:t xml:space="preserve">were established in the </w:t>
      </w:r>
      <w:r w:rsidRPr="00182CC9">
        <w:t xml:space="preserve">General Agreement on Trade on Services (GATS) </w:t>
      </w:r>
      <w:r>
        <w:t xml:space="preserve">which was negotiated as part of the </w:t>
      </w:r>
      <w:r w:rsidRPr="00182CC9">
        <w:t xml:space="preserve">Uruguay Round </w:t>
      </w:r>
      <w:r>
        <w:t>of negotiations under the auspices of the General Agreement on Tariffs and Trade (GATT, the predec</w:t>
      </w:r>
      <w:r w:rsidR="009E56F9">
        <w:t>essor of the WTO</w:t>
      </w:r>
      <w:r>
        <w:t xml:space="preserve">).  It entered into force in 1995. </w:t>
      </w:r>
    </w:p>
    <w:p w:rsidR="00D40476" w:rsidRDefault="00D40476" w:rsidP="008C2128">
      <w:pPr>
        <w:pStyle w:val="ListParagraph"/>
        <w:numPr>
          <w:ilvl w:val="0"/>
          <w:numId w:val="24"/>
        </w:numPr>
        <w:spacing w:before="240" w:after="240" w:line="276" w:lineRule="auto"/>
      </w:pPr>
      <w:r>
        <w:t xml:space="preserve">The GATS comprises three pillars: </w:t>
      </w:r>
    </w:p>
    <w:p w:rsidR="00D40476" w:rsidRDefault="00D40476" w:rsidP="008C2128">
      <w:pPr>
        <w:pStyle w:val="ListParagraph"/>
        <w:numPr>
          <w:ilvl w:val="1"/>
          <w:numId w:val="24"/>
        </w:numPr>
        <w:spacing w:before="240" w:after="240" w:line="276" w:lineRule="auto"/>
      </w:pPr>
      <w:r>
        <w:t xml:space="preserve">a Framework Agreement containing basic obligations which apply to all member countries; </w:t>
      </w:r>
    </w:p>
    <w:p w:rsidR="00D40476" w:rsidRDefault="00D40476" w:rsidP="008C2128">
      <w:pPr>
        <w:pStyle w:val="ListParagraph"/>
        <w:numPr>
          <w:ilvl w:val="1"/>
          <w:numId w:val="24"/>
        </w:numPr>
        <w:spacing w:before="240" w:after="240" w:line="276" w:lineRule="auto"/>
      </w:pPr>
      <w:r>
        <w:t xml:space="preserve">national schedules of commitments containing specific national commitments; and </w:t>
      </w:r>
    </w:p>
    <w:p w:rsidR="00D40476" w:rsidRDefault="00D40476" w:rsidP="008C2128">
      <w:pPr>
        <w:pStyle w:val="ListParagraph"/>
        <w:numPr>
          <w:ilvl w:val="1"/>
          <w:numId w:val="24"/>
        </w:numPr>
        <w:spacing w:before="240" w:after="240" w:line="276" w:lineRule="auto"/>
      </w:pPr>
      <w:r>
        <w:t>annexes addressing the special situations of individual services sectors (e.g. movement of labour, telecommunications, financial services, air transport).</w:t>
      </w:r>
    </w:p>
    <w:p w:rsidR="00D40476" w:rsidRDefault="00D40476" w:rsidP="008C2128">
      <w:pPr>
        <w:pStyle w:val="ListParagraph"/>
        <w:numPr>
          <w:ilvl w:val="0"/>
          <w:numId w:val="24"/>
        </w:numPr>
        <w:spacing w:before="240" w:after="240" w:line="276" w:lineRule="auto"/>
      </w:pPr>
      <w:r>
        <w:rPr>
          <w:lang w:eastAsia="en-AU"/>
        </w:rPr>
        <w:t>An important feature of the GATS is a</w:t>
      </w:r>
      <w:r w:rsidRPr="007860BE">
        <w:rPr>
          <w:lang w:eastAsia="en-AU"/>
        </w:rPr>
        <w:t xml:space="preserve"> most-favoured-nation (</w:t>
      </w:r>
      <w:r>
        <w:rPr>
          <w:lang w:eastAsia="en-AU"/>
        </w:rPr>
        <w:t xml:space="preserve">MFN) provision which </w:t>
      </w:r>
      <w:r w:rsidRPr="007860BE">
        <w:rPr>
          <w:lang w:eastAsia="en-AU"/>
        </w:rPr>
        <w:t xml:space="preserve">states that each party “shall accord immediately and unconditionally to services and service providers of any other Party, treatment no less favourable than that it accords to like services and service providers of any other country”. </w:t>
      </w:r>
      <w:r>
        <w:rPr>
          <w:lang w:eastAsia="en-AU"/>
        </w:rPr>
        <w:t xml:space="preserve"> The Agreement recognises, however, that MFN </w:t>
      </w:r>
      <w:r w:rsidRPr="007860BE">
        <w:rPr>
          <w:lang w:eastAsia="en-AU"/>
        </w:rPr>
        <w:t>may not be possible for every service activity and</w:t>
      </w:r>
      <w:r>
        <w:rPr>
          <w:lang w:eastAsia="en-AU"/>
        </w:rPr>
        <w:t xml:space="preserve"> allows scope (and defines conditions) for </w:t>
      </w:r>
      <w:r w:rsidRPr="007860BE">
        <w:rPr>
          <w:lang w:eastAsia="en-AU"/>
        </w:rPr>
        <w:t xml:space="preserve">specific </w:t>
      </w:r>
      <w:r>
        <w:rPr>
          <w:lang w:eastAsia="en-AU"/>
        </w:rPr>
        <w:t xml:space="preserve">MFN </w:t>
      </w:r>
      <w:r w:rsidRPr="007860BE">
        <w:rPr>
          <w:lang w:eastAsia="en-AU"/>
        </w:rPr>
        <w:t>exemp</w:t>
      </w:r>
      <w:r>
        <w:rPr>
          <w:lang w:eastAsia="en-AU"/>
        </w:rPr>
        <w:t>tions</w:t>
      </w:r>
      <w:r w:rsidRPr="007860BE">
        <w:rPr>
          <w:lang w:eastAsia="en-AU"/>
        </w:rPr>
        <w:t xml:space="preserve">. </w:t>
      </w:r>
    </w:p>
    <w:p w:rsidR="00D40476" w:rsidRDefault="00D40476" w:rsidP="008C2128">
      <w:pPr>
        <w:pStyle w:val="ListParagraph"/>
        <w:numPr>
          <w:ilvl w:val="0"/>
          <w:numId w:val="24"/>
        </w:numPr>
        <w:spacing w:before="240" w:after="240" w:line="276" w:lineRule="auto"/>
      </w:pPr>
      <w:r>
        <w:rPr>
          <w:lang w:eastAsia="en-AU"/>
        </w:rPr>
        <w:t xml:space="preserve">The </w:t>
      </w:r>
      <w:r w:rsidRPr="00AC716C">
        <w:rPr>
          <w:lang w:eastAsia="en-AU"/>
        </w:rPr>
        <w:t>market access</w:t>
      </w:r>
      <w:r>
        <w:rPr>
          <w:lang w:eastAsia="en-AU"/>
        </w:rPr>
        <w:t xml:space="preserve"> provisions of the GATS are aimed at the </w:t>
      </w:r>
      <w:r w:rsidRPr="00AC716C">
        <w:rPr>
          <w:lang w:eastAsia="en-AU"/>
        </w:rPr>
        <w:t>progressive eliminat</w:t>
      </w:r>
      <w:r>
        <w:rPr>
          <w:lang w:eastAsia="en-AU"/>
        </w:rPr>
        <w:t xml:space="preserve">ion (through negotiations) </w:t>
      </w:r>
      <w:r w:rsidRPr="00AC716C">
        <w:rPr>
          <w:lang w:eastAsia="en-AU"/>
        </w:rPr>
        <w:t>of measures</w:t>
      </w:r>
      <w:r>
        <w:rPr>
          <w:lang w:eastAsia="en-AU"/>
        </w:rPr>
        <w:t xml:space="preserve"> that limit</w:t>
      </w:r>
      <w:r w:rsidRPr="00AC716C">
        <w:rPr>
          <w:lang w:eastAsia="en-AU"/>
        </w:rPr>
        <w:t xml:space="preserve">: </w:t>
      </w:r>
      <w:r>
        <w:rPr>
          <w:lang w:eastAsia="en-AU"/>
        </w:rPr>
        <w:t xml:space="preserve">the </w:t>
      </w:r>
      <w:r w:rsidRPr="00AC716C">
        <w:rPr>
          <w:lang w:eastAsia="en-AU"/>
        </w:rPr>
        <w:t>n</w:t>
      </w:r>
      <w:r>
        <w:rPr>
          <w:lang w:eastAsia="en-AU"/>
        </w:rPr>
        <w:t xml:space="preserve">umbers of service providers; </w:t>
      </w:r>
      <w:r w:rsidRPr="00AC716C">
        <w:rPr>
          <w:lang w:eastAsia="en-AU"/>
        </w:rPr>
        <w:t>the total valu</w:t>
      </w:r>
      <w:r>
        <w:rPr>
          <w:lang w:eastAsia="en-AU"/>
        </w:rPr>
        <w:t xml:space="preserve">e of service transactions; or, </w:t>
      </w:r>
      <w:r w:rsidRPr="00AC716C">
        <w:rPr>
          <w:lang w:eastAsia="en-AU"/>
        </w:rPr>
        <w:t xml:space="preserve">the total number of service operations or people employed. Equally, restrictions on the kind of legal entity or joint venture through which a service is provided or any limitations relating to </w:t>
      </w:r>
      <w:r>
        <w:rPr>
          <w:lang w:eastAsia="en-AU"/>
        </w:rPr>
        <w:t>the maximum level</w:t>
      </w:r>
      <w:r w:rsidRPr="00AC716C">
        <w:rPr>
          <w:lang w:eastAsia="en-AU"/>
        </w:rPr>
        <w:t xml:space="preserve"> of foreign participation are to be progressively eliminated. </w:t>
      </w:r>
    </w:p>
    <w:p w:rsidR="00A138E4" w:rsidRDefault="00D40476" w:rsidP="00A138E4">
      <w:pPr>
        <w:pStyle w:val="ListParagraph"/>
        <w:numPr>
          <w:ilvl w:val="0"/>
          <w:numId w:val="24"/>
        </w:numPr>
        <w:spacing w:before="240" w:after="240" w:line="276" w:lineRule="auto"/>
        <w:rPr>
          <w:lang w:eastAsia="en-AU"/>
        </w:rPr>
      </w:pPr>
      <w:r>
        <w:rPr>
          <w:lang w:eastAsia="en-AU"/>
        </w:rPr>
        <w:t xml:space="preserve">The national </w:t>
      </w:r>
      <w:r w:rsidRPr="00AC716C">
        <w:rPr>
          <w:lang w:eastAsia="en-AU"/>
        </w:rPr>
        <w:t>treatment provision contains the obligation to treat foreign service suppliers and domestic service suppliers in the same manner. However, it does provide the possibility of differ</w:t>
      </w:r>
      <w:r>
        <w:rPr>
          <w:lang w:eastAsia="en-AU"/>
        </w:rPr>
        <w:t>ent treatment being accorded to</w:t>
      </w:r>
      <w:r w:rsidRPr="00AC716C">
        <w:rPr>
          <w:lang w:eastAsia="en-AU"/>
        </w:rPr>
        <w:t xml:space="preserve"> service providers of other parties to that accorded to domestic service providers. </w:t>
      </w:r>
      <w:r>
        <w:rPr>
          <w:lang w:eastAsia="en-AU"/>
        </w:rPr>
        <w:t xml:space="preserve"> In these exceptional </w:t>
      </w:r>
      <w:r w:rsidRPr="00AC716C">
        <w:rPr>
          <w:lang w:eastAsia="en-AU"/>
        </w:rPr>
        <w:t xml:space="preserve">cases the conditions of competition should not, as a result, be modified in favour of the domestic service providers. </w:t>
      </w:r>
    </w:p>
    <w:p w:rsidR="00A138E4" w:rsidRDefault="00A138E4" w:rsidP="00A138E4">
      <w:pPr>
        <w:spacing w:before="240" w:after="240" w:line="276" w:lineRule="auto"/>
        <w:rPr>
          <w:lang w:eastAsia="en-AU"/>
        </w:rPr>
      </w:pPr>
    </w:p>
    <w:p w:rsidR="00A138E4" w:rsidRDefault="00A138E4" w:rsidP="00A138E4">
      <w:pPr>
        <w:spacing w:before="240" w:after="240" w:line="276" w:lineRule="auto"/>
        <w:rPr>
          <w:lang w:eastAsia="en-AU"/>
        </w:rPr>
      </w:pPr>
    </w:p>
    <w:p w:rsidR="00D40476" w:rsidRPr="00182CC9" w:rsidRDefault="00D40476" w:rsidP="008C2128">
      <w:pPr>
        <w:pStyle w:val="ListParagraph"/>
        <w:numPr>
          <w:ilvl w:val="0"/>
          <w:numId w:val="24"/>
        </w:numPr>
        <w:spacing w:before="240" w:after="240" w:line="276" w:lineRule="auto"/>
      </w:pPr>
      <w:r>
        <w:lastRenderedPageBreak/>
        <w:t xml:space="preserve">The GATS employs a ‘positive list’ approach to services trade commitments inscribed in countries’ national schedules.  </w:t>
      </w:r>
      <w:r w:rsidRPr="00182CC9">
        <w:t xml:space="preserve">Under </w:t>
      </w:r>
      <w:r>
        <w:t>this model</w:t>
      </w:r>
      <w:r w:rsidRPr="00182CC9">
        <w:t>, market access and nati</w:t>
      </w:r>
      <w:r>
        <w:t xml:space="preserve">onal treatment obligations </w:t>
      </w:r>
      <w:r w:rsidRPr="00182CC9">
        <w:t xml:space="preserve">apply </w:t>
      </w:r>
      <w:r>
        <w:t xml:space="preserve">only </w:t>
      </w:r>
      <w:r w:rsidRPr="00182CC9">
        <w:t xml:space="preserve">to </w:t>
      </w:r>
      <w:r>
        <w:t xml:space="preserve">the </w:t>
      </w:r>
      <w:r w:rsidRPr="00182CC9">
        <w:t>services and service suppliers/investors and investments to the extent that a party makes a specific commitment to that effect in its schedule.</w:t>
      </w:r>
      <w:r>
        <w:t xml:space="preserve">  Any services commitments not explicitly listed are deemed to be unbound (i.e. no legal obligations on market access and national treatment apply).</w:t>
      </w:r>
    </w:p>
    <w:p w:rsidR="00D40476" w:rsidRDefault="00D40476" w:rsidP="008C2128">
      <w:pPr>
        <w:pStyle w:val="ListParagraph"/>
        <w:numPr>
          <w:ilvl w:val="0"/>
          <w:numId w:val="24"/>
        </w:numPr>
        <w:spacing w:before="240" w:after="240" w:line="276" w:lineRule="auto"/>
        <w:rPr>
          <w:lang w:eastAsia="en-AU"/>
        </w:rPr>
      </w:pPr>
      <w:r>
        <w:rPr>
          <w:lang w:eastAsia="en-AU"/>
        </w:rPr>
        <w:t xml:space="preserve">Since domestic regulations are </w:t>
      </w:r>
      <w:r w:rsidRPr="007860BE">
        <w:rPr>
          <w:lang w:eastAsia="en-AU"/>
        </w:rPr>
        <w:t xml:space="preserve">the most significant influence on services trade, </w:t>
      </w:r>
      <w:r>
        <w:rPr>
          <w:lang w:eastAsia="en-AU"/>
        </w:rPr>
        <w:t xml:space="preserve">GATS </w:t>
      </w:r>
      <w:r w:rsidRPr="007860BE">
        <w:rPr>
          <w:lang w:eastAsia="en-AU"/>
        </w:rPr>
        <w:t>provisions spell out that all such measures of general application should be administered in a reasonable, objective and impartial manner. Th</w:t>
      </w:r>
      <w:r>
        <w:rPr>
          <w:lang w:eastAsia="en-AU"/>
        </w:rPr>
        <w:t xml:space="preserve">e GATS provisions establish a </w:t>
      </w:r>
      <w:r w:rsidRPr="007860BE">
        <w:rPr>
          <w:lang w:eastAsia="en-AU"/>
        </w:rPr>
        <w:t xml:space="preserve">requirement </w:t>
      </w:r>
      <w:r>
        <w:rPr>
          <w:lang w:eastAsia="en-AU"/>
        </w:rPr>
        <w:t xml:space="preserve">for </w:t>
      </w:r>
      <w:r w:rsidRPr="007860BE">
        <w:rPr>
          <w:lang w:eastAsia="en-AU"/>
        </w:rPr>
        <w:t xml:space="preserve">parties </w:t>
      </w:r>
      <w:r>
        <w:rPr>
          <w:lang w:eastAsia="en-AU"/>
        </w:rPr>
        <w:t>to ensure that there is a mechanism in place to</w:t>
      </w:r>
      <w:r w:rsidRPr="007860BE">
        <w:rPr>
          <w:lang w:eastAsia="en-AU"/>
        </w:rPr>
        <w:t xml:space="preserve"> prompt</w:t>
      </w:r>
      <w:r>
        <w:rPr>
          <w:lang w:eastAsia="en-AU"/>
        </w:rPr>
        <w:t>ly review</w:t>
      </w:r>
      <w:r w:rsidRPr="007860BE">
        <w:rPr>
          <w:lang w:eastAsia="en-AU"/>
        </w:rPr>
        <w:t xml:space="preserve"> administrative decisions relating to the supply of services. </w:t>
      </w:r>
    </w:p>
    <w:p w:rsidR="00D40476" w:rsidRPr="00182CC9" w:rsidRDefault="00D40476" w:rsidP="008C2128">
      <w:pPr>
        <w:pStyle w:val="ListParagraph"/>
        <w:numPr>
          <w:ilvl w:val="0"/>
          <w:numId w:val="24"/>
        </w:numPr>
        <w:spacing w:before="240" w:after="240" w:line="276" w:lineRule="auto"/>
      </w:pPr>
      <w:r w:rsidRPr="007860BE">
        <w:rPr>
          <w:lang w:eastAsia="en-AU"/>
        </w:rPr>
        <w:t>The</w:t>
      </w:r>
      <w:r>
        <w:rPr>
          <w:lang w:eastAsia="en-AU"/>
        </w:rPr>
        <w:t xml:space="preserve"> GATS</w:t>
      </w:r>
      <w:r w:rsidRPr="007860BE">
        <w:rPr>
          <w:lang w:eastAsia="en-AU"/>
        </w:rPr>
        <w:t xml:space="preserve"> agreement contains obligations with respect to recognition requirements (</w:t>
      </w:r>
      <w:r w:rsidR="00FD0D2A">
        <w:rPr>
          <w:lang w:eastAsia="en-AU"/>
        </w:rPr>
        <w:t xml:space="preserve">for instance </w:t>
      </w:r>
      <w:r w:rsidRPr="007860BE">
        <w:rPr>
          <w:lang w:eastAsia="en-AU"/>
        </w:rPr>
        <w:t>educ</w:t>
      </w:r>
      <w:r w:rsidR="00FD0D2A">
        <w:rPr>
          <w:lang w:eastAsia="en-AU"/>
        </w:rPr>
        <w:t>ational background</w:t>
      </w:r>
      <w:r w:rsidRPr="007860BE">
        <w:rPr>
          <w:lang w:eastAsia="en-AU"/>
        </w:rPr>
        <w:t xml:space="preserve">) for </w:t>
      </w:r>
      <w:r w:rsidR="00FD0D2A">
        <w:rPr>
          <w:lang w:eastAsia="en-AU"/>
        </w:rPr>
        <w:t>the purpose of securing authoris</w:t>
      </w:r>
      <w:r w:rsidRPr="007860BE">
        <w:rPr>
          <w:lang w:eastAsia="en-AU"/>
        </w:rPr>
        <w:t xml:space="preserve">ations, licenses or certification in the services area. It encourages recognition requirements achieved through harmonization and internationally-agreed criteria. The agreement contains both general exceptions and security </w:t>
      </w:r>
      <w:r>
        <w:rPr>
          <w:lang w:eastAsia="en-AU"/>
        </w:rPr>
        <w:t xml:space="preserve">exceptions provisions </w:t>
      </w:r>
      <w:r w:rsidRPr="007860BE">
        <w:rPr>
          <w:lang w:eastAsia="en-AU"/>
        </w:rPr>
        <w:t xml:space="preserve">similar to </w:t>
      </w:r>
      <w:r>
        <w:rPr>
          <w:lang w:eastAsia="en-AU"/>
        </w:rPr>
        <w:t>those in t</w:t>
      </w:r>
      <w:r w:rsidRPr="007860BE">
        <w:rPr>
          <w:lang w:eastAsia="en-AU"/>
        </w:rPr>
        <w:t>he GATT</w:t>
      </w:r>
      <w:r>
        <w:rPr>
          <w:lang w:eastAsia="en-AU"/>
        </w:rPr>
        <w:t>/WTO</w:t>
      </w:r>
      <w:r w:rsidRPr="007860BE">
        <w:rPr>
          <w:lang w:eastAsia="en-AU"/>
        </w:rPr>
        <w:t xml:space="preserve">. </w:t>
      </w:r>
    </w:p>
    <w:p w:rsidR="00D40476" w:rsidRPr="00B8614C" w:rsidRDefault="00D40476" w:rsidP="00B8614C">
      <w:pPr>
        <w:pStyle w:val="Heading3"/>
        <w:rPr>
          <w:b w:val="0"/>
          <w:i/>
        </w:rPr>
      </w:pPr>
      <w:bookmarkStart w:id="51" w:name="_Toc424644353"/>
      <w:r w:rsidRPr="00B8614C">
        <w:rPr>
          <w:b w:val="0"/>
          <w:i/>
        </w:rPr>
        <w:t>Doha Development Agenda (Doha Round of WTO negotiations)</w:t>
      </w:r>
      <w:bookmarkEnd w:id="51"/>
      <w:r w:rsidRPr="00B8614C">
        <w:rPr>
          <w:b w:val="0"/>
          <w:i/>
        </w:rPr>
        <w:t xml:space="preserve"> </w:t>
      </w:r>
    </w:p>
    <w:p w:rsidR="00D40476" w:rsidRDefault="00D40476" w:rsidP="008C2128">
      <w:pPr>
        <w:pStyle w:val="ListParagraph"/>
        <w:numPr>
          <w:ilvl w:val="0"/>
          <w:numId w:val="24"/>
        </w:numPr>
        <w:spacing w:before="240" w:after="240" w:line="276" w:lineRule="auto"/>
        <w:rPr>
          <w:lang w:eastAsia="en-AU"/>
        </w:rPr>
      </w:pPr>
      <w:r w:rsidRPr="00D40476">
        <w:t>The G</w:t>
      </w:r>
      <w:r>
        <w:t xml:space="preserve">ATS </w:t>
      </w:r>
      <w:r w:rsidRPr="00D40476">
        <w:t>mandates WTO member governments to progressively liberali</w:t>
      </w:r>
      <w:r>
        <w:t>s</w:t>
      </w:r>
      <w:r w:rsidRPr="00D40476">
        <w:t>e trade in services through successive rounds of neg</w:t>
      </w:r>
      <w:r>
        <w:t>otiations. I</w:t>
      </w:r>
      <w:r w:rsidRPr="00D40476">
        <w:t>n March 2001</w:t>
      </w:r>
      <w:r>
        <w:t>,</w:t>
      </w:r>
      <w:r w:rsidRPr="00D40476">
        <w:t xml:space="preserve"> the Guidelines and Procedures for the Negotiations on Trade in Services were adopted by the </w:t>
      </w:r>
      <w:r>
        <w:t xml:space="preserve">WTO </w:t>
      </w:r>
      <w:r w:rsidRPr="00D40476">
        <w:t>Council for Trade in Services. At the Doha Ministerial Conference in November 2001 the services negotiations became part of the “single undertaking” under the Doha Development Agenda, whereby all subjects under the negotiations are to be concluded at the same time</w:t>
      </w:r>
      <w:r>
        <w:t>.</w:t>
      </w:r>
    </w:p>
    <w:p w:rsidR="00D40476" w:rsidRDefault="00D40476" w:rsidP="008C2128">
      <w:pPr>
        <w:pStyle w:val="ListParagraph"/>
        <w:numPr>
          <w:ilvl w:val="0"/>
          <w:numId w:val="24"/>
        </w:numPr>
        <w:spacing w:before="240" w:after="240" w:line="276" w:lineRule="auto"/>
        <w:rPr>
          <w:lang w:eastAsia="en-AU"/>
        </w:rPr>
      </w:pPr>
      <w:r>
        <w:rPr>
          <w:lang w:eastAsia="en-AU"/>
        </w:rPr>
        <w:t xml:space="preserve">Negotiations in the </w:t>
      </w:r>
      <w:r w:rsidR="002401DA">
        <w:rPr>
          <w:lang w:eastAsia="en-AU"/>
        </w:rPr>
        <w:t xml:space="preserve">Doha </w:t>
      </w:r>
      <w:r w:rsidRPr="00D40476">
        <w:rPr>
          <w:lang w:eastAsia="en-AU"/>
        </w:rPr>
        <w:t>Round are being condu</w:t>
      </w:r>
      <w:r>
        <w:rPr>
          <w:lang w:eastAsia="en-AU"/>
        </w:rPr>
        <w:t>cted essentially on two tracks:</w:t>
      </w:r>
    </w:p>
    <w:p w:rsidR="00D40476" w:rsidRDefault="00D40476" w:rsidP="008C2128">
      <w:pPr>
        <w:pStyle w:val="ListParagraph"/>
        <w:numPr>
          <w:ilvl w:val="1"/>
          <w:numId w:val="24"/>
        </w:numPr>
        <w:spacing w:before="240" w:after="240" w:line="276" w:lineRule="auto"/>
        <w:rPr>
          <w:lang w:eastAsia="en-AU"/>
        </w:rPr>
      </w:pPr>
      <w:r w:rsidRPr="00D40476">
        <w:rPr>
          <w:lang w:eastAsia="en-AU"/>
        </w:rPr>
        <w:t xml:space="preserve">bilateral and/or </w:t>
      </w:r>
      <w:proofErr w:type="spellStart"/>
      <w:r w:rsidRPr="00D40476">
        <w:rPr>
          <w:lang w:eastAsia="en-AU"/>
        </w:rPr>
        <w:t>plurilateral</w:t>
      </w:r>
      <w:proofErr w:type="spellEnd"/>
      <w:r w:rsidRPr="00D40476">
        <w:rPr>
          <w:lang w:eastAsia="en-AU"/>
        </w:rPr>
        <w:t xml:space="preserve"> negotiations to improve market conditions for trade in services — this mostly involves improving specific commitments on market access and national treatment (i.e. ensuring that privileges given to local companies are also given to foreign companies) and promoting most-favoured nation treatment (more equal treatment among WTO members)</w:t>
      </w:r>
      <w:r>
        <w:rPr>
          <w:lang w:eastAsia="en-AU"/>
        </w:rPr>
        <w:t>; and</w:t>
      </w:r>
    </w:p>
    <w:p w:rsidR="00D40476" w:rsidRDefault="00D40476" w:rsidP="008C2128">
      <w:pPr>
        <w:pStyle w:val="ListParagraph"/>
        <w:numPr>
          <w:ilvl w:val="1"/>
          <w:numId w:val="24"/>
        </w:numPr>
        <w:spacing w:before="240" w:after="240" w:line="276" w:lineRule="auto"/>
        <w:rPr>
          <w:lang w:eastAsia="en-AU"/>
        </w:rPr>
      </w:pPr>
      <w:r w:rsidRPr="00D40476">
        <w:rPr>
          <w:lang w:eastAsia="en-AU"/>
        </w:rPr>
        <w:t xml:space="preserve">multilateral negotiations among all WTO members to establish any necessary rules and disciplines (such as on domestic regulation, emergency safeguard measures, government procurement and subsidies) which will apply to the whole WTO membership, with certain special provisions for developing and least-developed countries. </w:t>
      </w:r>
    </w:p>
    <w:p w:rsidR="00A138E4" w:rsidRPr="00D40476" w:rsidRDefault="00A138E4" w:rsidP="00A138E4">
      <w:pPr>
        <w:spacing w:before="240" w:after="240" w:line="276" w:lineRule="auto"/>
        <w:ind w:left="720"/>
        <w:rPr>
          <w:lang w:eastAsia="en-AU"/>
        </w:rPr>
      </w:pPr>
    </w:p>
    <w:p w:rsidR="00263D60" w:rsidRDefault="00D40476" w:rsidP="008C2128">
      <w:pPr>
        <w:pStyle w:val="ListParagraph"/>
        <w:numPr>
          <w:ilvl w:val="0"/>
          <w:numId w:val="24"/>
        </w:numPr>
        <w:spacing w:before="240" w:after="240" w:line="276" w:lineRule="auto"/>
        <w:ind w:left="641" w:hanging="357"/>
        <w:rPr>
          <w:lang w:eastAsia="en-AU"/>
        </w:rPr>
      </w:pPr>
      <w:r>
        <w:lastRenderedPageBreak/>
        <w:t xml:space="preserve">The </w:t>
      </w:r>
      <w:r w:rsidR="00263D60">
        <w:t xml:space="preserve">services elements of the </w:t>
      </w:r>
      <w:r w:rsidR="002401DA">
        <w:t xml:space="preserve">Doha </w:t>
      </w:r>
      <w:r w:rsidR="00263D60">
        <w:t xml:space="preserve">Round have been affected by the overall situation affecting the negotiations.  In the most recent multilateral discussion of services among the WTO membership, the </w:t>
      </w:r>
      <w:r>
        <w:t>majority</w:t>
      </w:r>
      <w:r w:rsidR="00263D60">
        <w:t xml:space="preserve"> </w:t>
      </w:r>
      <w:r>
        <w:t xml:space="preserve">expressed </w:t>
      </w:r>
      <w:r w:rsidR="00263D60">
        <w:t xml:space="preserve">their </w:t>
      </w:r>
      <w:r>
        <w:t>readiness to start defin</w:t>
      </w:r>
      <w:r w:rsidR="00263D60">
        <w:t>ing a work program to conclude the services negotiations, but others argued that the s</w:t>
      </w:r>
      <w:r>
        <w:t xml:space="preserve">ervices negotiations would have to wait until it is clearer what the work programme will contain for agriculture and industrial goods. </w:t>
      </w:r>
    </w:p>
    <w:p w:rsidR="00263D60" w:rsidRDefault="00263D60" w:rsidP="008C2128">
      <w:pPr>
        <w:pStyle w:val="ListParagraph"/>
        <w:numPr>
          <w:ilvl w:val="0"/>
          <w:numId w:val="24"/>
        </w:numPr>
        <w:spacing w:before="240" w:after="240" w:line="276" w:lineRule="auto"/>
        <w:rPr>
          <w:lang w:eastAsia="en-AU"/>
        </w:rPr>
      </w:pPr>
      <w:r>
        <w:t xml:space="preserve">The outlook for the Doha Round is likely to be an issue for discussion at the Tenth WTO Ministerial Conference in Nairobi in December 2015. </w:t>
      </w:r>
    </w:p>
    <w:p w:rsidR="00203D1E" w:rsidRDefault="00203D1E" w:rsidP="008C2128">
      <w:pPr>
        <w:pStyle w:val="ListParagraph"/>
        <w:numPr>
          <w:ilvl w:val="0"/>
          <w:numId w:val="24"/>
        </w:numPr>
        <w:spacing w:before="240" w:after="240" w:line="276" w:lineRule="auto"/>
      </w:pPr>
      <w:r>
        <w:t xml:space="preserve">Notwithstanding the difficulties confronting the negotiating arm of the WTO, it is important to recall that the </w:t>
      </w:r>
      <w:r w:rsidRPr="00182CC9">
        <w:t xml:space="preserve">WTO provides through </w:t>
      </w:r>
      <w:r>
        <w:t xml:space="preserve">its </w:t>
      </w:r>
      <w:r w:rsidRPr="00182CC9">
        <w:t>dispute settle</w:t>
      </w:r>
      <w:r>
        <w:t>ment system</w:t>
      </w:r>
      <w:r w:rsidRPr="00182CC9">
        <w:t xml:space="preserve"> an opportunity for Australia</w:t>
      </w:r>
      <w:r>
        <w:t xml:space="preserve"> and all </w:t>
      </w:r>
      <w:r w:rsidRPr="00182CC9">
        <w:t xml:space="preserve">WTO </w:t>
      </w:r>
      <w:r>
        <w:t xml:space="preserve">member countries </w:t>
      </w:r>
      <w:r w:rsidRPr="00182CC9">
        <w:t xml:space="preserve">to raise issues </w:t>
      </w:r>
      <w:r>
        <w:t>of non-compliance and to seek redress. The WTO’s judicial arm is functioning in a highly effective way and is currently playing a valuable role in terms of ensuring some ongoing multilateral-level momentum for liberalisation.</w:t>
      </w:r>
    </w:p>
    <w:p w:rsidR="00263D60" w:rsidRPr="00B8614C" w:rsidRDefault="00D40476" w:rsidP="00B8614C">
      <w:pPr>
        <w:pStyle w:val="Heading3"/>
        <w:rPr>
          <w:b w:val="0"/>
          <w:i/>
        </w:rPr>
      </w:pPr>
      <w:r w:rsidRPr="00B8614C">
        <w:rPr>
          <w:b w:val="0"/>
          <w:i/>
        </w:rPr>
        <w:t xml:space="preserve"> </w:t>
      </w:r>
      <w:bookmarkStart w:id="52" w:name="_Toc424644354"/>
      <w:r w:rsidR="00263D60" w:rsidRPr="00B8614C">
        <w:rPr>
          <w:b w:val="0"/>
          <w:i/>
        </w:rPr>
        <w:t xml:space="preserve">Bilateral, regional and </w:t>
      </w:r>
      <w:proofErr w:type="spellStart"/>
      <w:r w:rsidR="00263D60" w:rsidRPr="00B8614C">
        <w:rPr>
          <w:b w:val="0"/>
          <w:i/>
        </w:rPr>
        <w:t>plurilateral</w:t>
      </w:r>
      <w:bookmarkEnd w:id="52"/>
      <w:proofErr w:type="spellEnd"/>
      <w:r w:rsidR="00263D60" w:rsidRPr="00B8614C">
        <w:rPr>
          <w:b w:val="0"/>
          <w:i/>
        </w:rPr>
        <w:t xml:space="preserve">  </w:t>
      </w:r>
    </w:p>
    <w:p w:rsidR="00263D60" w:rsidRDefault="00263D60" w:rsidP="00203D1E">
      <w:pPr>
        <w:pStyle w:val="ListParagraph"/>
        <w:numPr>
          <w:ilvl w:val="0"/>
          <w:numId w:val="24"/>
        </w:numPr>
        <w:spacing w:before="240" w:after="240" w:line="276" w:lineRule="auto"/>
        <w:ind w:left="641" w:hanging="357"/>
        <w:rPr>
          <w:lang w:eastAsia="en-AU"/>
        </w:rPr>
      </w:pPr>
      <w:r>
        <w:rPr>
          <w:lang w:eastAsia="en-AU"/>
        </w:rPr>
        <w:t>S</w:t>
      </w:r>
      <w:r w:rsidR="00D40476">
        <w:rPr>
          <w:lang w:eastAsia="en-AU"/>
        </w:rPr>
        <w:t xml:space="preserve">ubstantial progress has been made in </w:t>
      </w:r>
      <w:r>
        <w:rPr>
          <w:lang w:eastAsia="en-AU"/>
        </w:rPr>
        <w:t xml:space="preserve">Australia’s </w:t>
      </w:r>
      <w:r w:rsidR="00D40476">
        <w:rPr>
          <w:lang w:eastAsia="en-AU"/>
        </w:rPr>
        <w:t xml:space="preserve">bilateral free trade agreements </w:t>
      </w:r>
      <w:r>
        <w:rPr>
          <w:lang w:eastAsia="en-AU"/>
        </w:rPr>
        <w:t>(</w:t>
      </w:r>
      <w:proofErr w:type="spellStart"/>
      <w:r>
        <w:rPr>
          <w:lang w:eastAsia="en-AU"/>
        </w:rPr>
        <w:t>FTAs</w:t>
      </w:r>
      <w:proofErr w:type="spellEnd"/>
      <w:r>
        <w:rPr>
          <w:lang w:eastAsia="en-AU"/>
        </w:rPr>
        <w:t xml:space="preserve">) </w:t>
      </w:r>
      <w:r w:rsidR="00D40476">
        <w:rPr>
          <w:lang w:eastAsia="en-AU"/>
        </w:rPr>
        <w:t xml:space="preserve">and </w:t>
      </w:r>
      <w:r>
        <w:rPr>
          <w:lang w:eastAsia="en-AU"/>
        </w:rPr>
        <w:t>regional/</w:t>
      </w:r>
      <w:proofErr w:type="spellStart"/>
      <w:r w:rsidR="00D40476">
        <w:rPr>
          <w:lang w:eastAsia="en-AU"/>
        </w:rPr>
        <w:t>plurilateral</w:t>
      </w:r>
      <w:proofErr w:type="spellEnd"/>
      <w:r w:rsidR="00D40476">
        <w:rPr>
          <w:lang w:eastAsia="en-AU"/>
        </w:rPr>
        <w:t xml:space="preserve"> agreements, most notably the three </w:t>
      </w:r>
      <w:r>
        <w:rPr>
          <w:lang w:eastAsia="en-AU"/>
        </w:rPr>
        <w:t xml:space="preserve">FTAs </w:t>
      </w:r>
      <w:r w:rsidR="00D40476">
        <w:rPr>
          <w:lang w:eastAsia="en-AU"/>
        </w:rPr>
        <w:t xml:space="preserve">negotiated with North Asian economies in 2013-14 (China, Japan and ROK) which together account for 19 per cent of our total services exports.  </w:t>
      </w:r>
    </w:p>
    <w:p w:rsidR="00D40476" w:rsidRDefault="00D40476" w:rsidP="00203D1E">
      <w:pPr>
        <w:pStyle w:val="ListParagraph"/>
        <w:numPr>
          <w:ilvl w:val="0"/>
          <w:numId w:val="24"/>
        </w:numPr>
        <w:spacing w:before="240" w:after="240" w:line="276" w:lineRule="auto"/>
        <w:ind w:left="641" w:hanging="357"/>
        <w:rPr>
          <w:lang w:eastAsia="en-AU"/>
        </w:rPr>
      </w:pPr>
      <w:r>
        <w:rPr>
          <w:lang w:eastAsia="en-AU"/>
        </w:rPr>
        <w:t xml:space="preserve">In addition to these agreements, Australia is also </w:t>
      </w:r>
      <w:r w:rsidR="00FD0D2A">
        <w:rPr>
          <w:lang w:eastAsia="en-AU"/>
        </w:rPr>
        <w:t>a party to FTAs</w:t>
      </w:r>
      <w:r>
        <w:rPr>
          <w:lang w:eastAsia="en-AU"/>
        </w:rPr>
        <w:t xml:space="preserve"> with services provisions with NZ, ASEAN, Singapore, the United States, Thailand, Chile and Malaysia.  </w:t>
      </w:r>
    </w:p>
    <w:p w:rsidR="00203D1E" w:rsidRPr="00B81F17" w:rsidRDefault="00203D1E" w:rsidP="00203D1E">
      <w:pPr>
        <w:pStyle w:val="ListParagraph"/>
        <w:numPr>
          <w:ilvl w:val="0"/>
          <w:numId w:val="24"/>
        </w:numPr>
        <w:spacing w:before="240" w:after="240" w:line="276" w:lineRule="auto"/>
        <w:rPr>
          <w:lang w:val="en" w:eastAsia="en-AU"/>
        </w:rPr>
      </w:pPr>
      <w:r>
        <w:rPr>
          <w:lang w:eastAsia="en-AU"/>
        </w:rPr>
        <w:t>At the time of writing, Australia is engaged in regional trade negotiations, for</w:t>
      </w:r>
      <w:r w:rsidR="00D34B81">
        <w:rPr>
          <w:lang w:eastAsia="en-AU"/>
        </w:rPr>
        <w:t xml:space="preserve"> the Trans-Pacific Partnership A</w:t>
      </w:r>
      <w:r>
        <w:rPr>
          <w:lang w:eastAsia="en-AU"/>
        </w:rPr>
        <w:t xml:space="preserve">greement (TPP) as well as the Regional Comprehensive Economic Partnership (RCEP) both of which promise substantive progress toward enhanced services market access and non-discrimination. These </w:t>
      </w:r>
      <w:r w:rsidR="00FD0D2A">
        <w:rPr>
          <w:lang w:eastAsia="en-AU"/>
        </w:rPr>
        <w:t xml:space="preserve">FTAs </w:t>
      </w:r>
      <w:r>
        <w:rPr>
          <w:lang w:eastAsia="en-AU"/>
        </w:rPr>
        <w:t xml:space="preserve">represent important potential steps toward more liberalised global trade in services. </w:t>
      </w:r>
    </w:p>
    <w:p w:rsidR="00B81F17" w:rsidRPr="00B81F17" w:rsidRDefault="00B81F17" w:rsidP="00B81F17">
      <w:pPr>
        <w:rPr>
          <w:lang w:val="en" w:eastAsia="en-AU"/>
        </w:rPr>
      </w:pPr>
      <w:r>
        <w:rPr>
          <w:lang w:val="en" w:eastAsia="en-AU"/>
        </w:rPr>
        <w:br w:type="page"/>
      </w:r>
    </w:p>
    <w:tbl>
      <w:tblPr>
        <w:tblStyle w:val="TableGrid"/>
        <w:tblW w:w="5000" w:type="pct"/>
        <w:tblLook w:val="04A0" w:firstRow="1" w:lastRow="0" w:firstColumn="1" w:lastColumn="0" w:noHBand="0" w:noVBand="1"/>
      </w:tblPr>
      <w:tblGrid>
        <w:gridCol w:w="8528"/>
      </w:tblGrid>
      <w:tr w:rsidR="005C2A1A" w:rsidTr="00CB1387">
        <w:tc>
          <w:tcPr>
            <w:tcW w:w="5000" w:type="pct"/>
            <w:shd w:val="clear" w:color="auto" w:fill="DBE5F1" w:themeFill="accent1" w:themeFillTint="33"/>
          </w:tcPr>
          <w:p w:rsidR="005C2A1A" w:rsidRPr="00602918" w:rsidRDefault="00930DA4" w:rsidP="00602918">
            <w:pPr>
              <w:pStyle w:val="Heading3"/>
              <w:rPr>
                <w:i/>
                <w:color w:val="1F497D" w:themeColor="text2"/>
                <w:lang w:val="en" w:eastAsia="en-AU"/>
              </w:rPr>
            </w:pPr>
            <w:bookmarkStart w:id="53" w:name="_Toc424644355"/>
            <w:r w:rsidRPr="00602918">
              <w:rPr>
                <w:i/>
                <w:color w:val="1F497D" w:themeColor="text2"/>
                <w:lang w:val="en" w:eastAsia="en-AU"/>
              </w:rPr>
              <w:lastRenderedPageBreak/>
              <w:t>Australia’s approach to preferential trade agreements</w:t>
            </w:r>
            <w:bookmarkEnd w:id="53"/>
            <w:r w:rsidRPr="00602918">
              <w:rPr>
                <w:i/>
                <w:color w:val="1F497D" w:themeColor="text2"/>
                <w:lang w:val="en" w:eastAsia="en-AU"/>
              </w:rPr>
              <w:t xml:space="preserve"> </w:t>
            </w:r>
          </w:p>
          <w:p w:rsidR="00930DA4" w:rsidRPr="00B81F17" w:rsidRDefault="00930DA4" w:rsidP="005C2A1A">
            <w:pPr>
              <w:spacing w:before="240" w:after="240" w:line="276" w:lineRule="auto"/>
              <w:rPr>
                <w:sz w:val="23"/>
                <w:szCs w:val="23"/>
                <w:lang w:val="en" w:eastAsia="en-AU"/>
              </w:rPr>
            </w:pPr>
            <w:r w:rsidRPr="00B81F17">
              <w:rPr>
                <w:sz w:val="23"/>
                <w:szCs w:val="23"/>
                <w:lang w:val="en" w:eastAsia="en-AU"/>
              </w:rPr>
              <w:t xml:space="preserve">Australia approaches all </w:t>
            </w:r>
            <w:r w:rsidR="007D7D86" w:rsidRPr="00B81F17">
              <w:rPr>
                <w:sz w:val="23"/>
                <w:szCs w:val="23"/>
                <w:lang w:val="en" w:eastAsia="en-AU"/>
              </w:rPr>
              <w:t xml:space="preserve">of its FTA negotiations with clear, well-developed commercial objectives – based on extensive consultations and input from business and other stakeholders, including </w:t>
            </w:r>
            <w:proofErr w:type="spellStart"/>
            <w:r w:rsidR="007D7D86" w:rsidRPr="00B81F17">
              <w:rPr>
                <w:sz w:val="23"/>
                <w:szCs w:val="23"/>
                <w:lang w:val="en" w:eastAsia="en-AU"/>
              </w:rPr>
              <w:t>Austrade</w:t>
            </w:r>
            <w:proofErr w:type="spellEnd"/>
            <w:r w:rsidR="007D7D86" w:rsidRPr="00B81F17">
              <w:rPr>
                <w:sz w:val="23"/>
                <w:szCs w:val="23"/>
                <w:lang w:val="en" w:eastAsia="en-AU"/>
              </w:rPr>
              <w:t xml:space="preserve"> which provides advice on key sectors of commercial opportunity and priority barriers to trade and investment.  Reflecting the prominence of the sector, services issues are accorded a priority in all trade negotiations to which Australia is a party.  Key objectives include:</w:t>
            </w:r>
          </w:p>
          <w:p w:rsidR="007D7D86" w:rsidRPr="00B81F17" w:rsidRDefault="007D7D86" w:rsidP="007D7D86">
            <w:pPr>
              <w:pStyle w:val="ListParagraph"/>
              <w:numPr>
                <w:ilvl w:val="0"/>
                <w:numId w:val="47"/>
              </w:numPr>
              <w:spacing w:before="240" w:after="240" w:line="276" w:lineRule="auto"/>
              <w:rPr>
                <w:sz w:val="23"/>
                <w:szCs w:val="23"/>
                <w:lang w:val="en" w:eastAsia="en-AU"/>
              </w:rPr>
            </w:pPr>
            <w:r w:rsidRPr="00B81F17">
              <w:rPr>
                <w:sz w:val="23"/>
                <w:szCs w:val="23"/>
                <w:lang w:val="en" w:eastAsia="en-AU"/>
              </w:rPr>
              <w:t xml:space="preserve">binding (i.e. legal guarantees) existing levels of market openness to the maximum extent; </w:t>
            </w:r>
          </w:p>
          <w:p w:rsidR="007D7D86" w:rsidRPr="00B81F17" w:rsidRDefault="007D7D86" w:rsidP="007D7D86">
            <w:pPr>
              <w:pStyle w:val="ListParagraph"/>
              <w:numPr>
                <w:ilvl w:val="0"/>
                <w:numId w:val="47"/>
              </w:numPr>
              <w:spacing w:before="240" w:after="240" w:line="276" w:lineRule="auto"/>
              <w:rPr>
                <w:sz w:val="23"/>
                <w:szCs w:val="23"/>
                <w:lang w:val="en" w:eastAsia="en-AU"/>
              </w:rPr>
            </w:pPr>
            <w:r w:rsidRPr="00B81F17">
              <w:rPr>
                <w:sz w:val="23"/>
                <w:szCs w:val="23"/>
                <w:lang w:val="en" w:eastAsia="en-AU"/>
              </w:rPr>
              <w:t>negotiating new market access in sectors of priority commercial interest;</w:t>
            </w:r>
          </w:p>
          <w:p w:rsidR="007D7D86" w:rsidRPr="00B81F17" w:rsidRDefault="007D7D86" w:rsidP="007D7D86">
            <w:pPr>
              <w:pStyle w:val="ListParagraph"/>
              <w:numPr>
                <w:ilvl w:val="0"/>
                <w:numId w:val="47"/>
              </w:numPr>
              <w:spacing w:before="240" w:after="240" w:line="276" w:lineRule="auto"/>
              <w:rPr>
                <w:sz w:val="23"/>
                <w:szCs w:val="23"/>
                <w:lang w:val="en" w:eastAsia="en-AU"/>
              </w:rPr>
            </w:pPr>
            <w:r w:rsidRPr="00B81F17">
              <w:rPr>
                <w:sz w:val="23"/>
                <w:szCs w:val="23"/>
                <w:lang w:val="en" w:eastAsia="en-AU"/>
              </w:rPr>
              <w:t>securing disciplines on domestic re</w:t>
            </w:r>
            <w:r w:rsidR="002401DA">
              <w:rPr>
                <w:sz w:val="23"/>
                <w:szCs w:val="23"/>
                <w:lang w:val="en" w:eastAsia="en-AU"/>
              </w:rPr>
              <w:t>gu</w:t>
            </w:r>
            <w:r w:rsidRPr="00B81F17">
              <w:rPr>
                <w:sz w:val="23"/>
                <w:szCs w:val="23"/>
                <w:lang w:val="en" w:eastAsia="en-AU"/>
              </w:rPr>
              <w:t xml:space="preserve">lation (which address licensing, qualification requirements (behind-the-border type issues)); </w:t>
            </w:r>
          </w:p>
          <w:p w:rsidR="007D7D86" w:rsidRPr="00B81F17" w:rsidRDefault="007D7D86" w:rsidP="007D7D86">
            <w:pPr>
              <w:pStyle w:val="ListParagraph"/>
              <w:numPr>
                <w:ilvl w:val="0"/>
                <w:numId w:val="47"/>
              </w:numPr>
              <w:spacing w:before="240" w:after="240" w:line="276" w:lineRule="auto"/>
              <w:rPr>
                <w:sz w:val="23"/>
                <w:szCs w:val="23"/>
                <w:lang w:val="en" w:eastAsia="en-AU"/>
              </w:rPr>
            </w:pPr>
            <w:r w:rsidRPr="00B81F17">
              <w:rPr>
                <w:sz w:val="23"/>
                <w:szCs w:val="23"/>
                <w:lang w:val="en" w:eastAsia="en-AU"/>
              </w:rPr>
              <w:t>ensuring that Australian service suppliers and investors are treated no less favorably than service suppliers and investors of the negotiating partner country or any other country; and</w:t>
            </w:r>
          </w:p>
          <w:p w:rsidR="007D7D86" w:rsidRPr="00B81F17" w:rsidRDefault="007D7D86" w:rsidP="007D7D86">
            <w:pPr>
              <w:pStyle w:val="ListParagraph"/>
              <w:numPr>
                <w:ilvl w:val="0"/>
                <w:numId w:val="47"/>
              </w:numPr>
              <w:spacing w:before="240" w:after="240" w:line="276" w:lineRule="auto"/>
              <w:rPr>
                <w:sz w:val="23"/>
                <w:szCs w:val="23"/>
                <w:lang w:val="en" w:eastAsia="en-AU"/>
              </w:rPr>
            </w:pPr>
            <w:r w:rsidRPr="00B81F17">
              <w:rPr>
                <w:sz w:val="23"/>
                <w:szCs w:val="23"/>
                <w:lang w:val="en" w:eastAsia="en-AU"/>
              </w:rPr>
              <w:t xml:space="preserve">pursuing a mechanism to ensure future autonomous </w:t>
            </w:r>
            <w:proofErr w:type="spellStart"/>
            <w:r w:rsidRPr="00B81F17">
              <w:rPr>
                <w:sz w:val="23"/>
                <w:szCs w:val="23"/>
                <w:lang w:val="en" w:eastAsia="en-AU"/>
              </w:rPr>
              <w:t>liberalisation</w:t>
            </w:r>
            <w:proofErr w:type="spellEnd"/>
            <w:r w:rsidRPr="00B81F17">
              <w:rPr>
                <w:sz w:val="23"/>
                <w:szCs w:val="23"/>
                <w:lang w:val="en" w:eastAsia="en-AU"/>
              </w:rPr>
              <w:t xml:space="preserve"> by trading partners is locked in (i.e</w:t>
            </w:r>
            <w:r w:rsidR="00FD0D2A">
              <w:rPr>
                <w:sz w:val="23"/>
                <w:szCs w:val="23"/>
                <w:lang w:val="en" w:eastAsia="en-AU"/>
              </w:rPr>
              <w:t>.</w:t>
            </w:r>
            <w:r w:rsidRPr="00B81F17">
              <w:rPr>
                <w:sz w:val="23"/>
                <w:szCs w:val="23"/>
                <w:lang w:val="en" w:eastAsia="en-AU"/>
              </w:rPr>
              <w:t xml:space="preserve"> ratchet mechanisms or future work programs).</w:t>
            </w:r>
          </w:p>
          <w:p w:rsidR="007D7D86" w:rsidRPr="00B81F17" w:rsidRDefault="007D7D86" w:rsidP="007D7D86">
            <w:pPr>
              <w:spacing w:before="240" w:after="240" w:line="276" w:lineRule="auto"/>
              <w:rPr>
                <w:sz w:val="23"/>
                <w:szCs w:val="23"/>
                <w:lang w:val="en" w:eastAsia="en-AU"/>
              </w:rPr>
            </w:pPr>
            <w:r w:rsidRPr="00B81F17">
              <w:rPr>
                <w:sz w:val="23"/>
                <w:szCs w:val="23"/>
                <w:lang w:val="en" w:eastAsia="en-AU"/>
              </w:rPr>
              <w:t xml:space="preserve">The comprehensive and high ambition model adopted </w:t>
            </w:r>
            <w:r w:rsidR="00FD0D2A">
              <w:rPr>
                <w:sz w:val="23"/>
                <w:szCs w:val="23"/>
                <w:lang w:val="en" w:eastAsia="en-AU"/>
              </w:rPr>
              <w:t>by Australia in negotiating FTAs</w:t>
            </w:r>
            <w:r w:rsidRPr="00B81F17">
              <w:rPr>
                <w:sz w:val="23"/>
                <w:szCs w:val="23"/>
                <w:lang w:val="en" w:eastAsia="en-AU"/>
              </w:rPr>
              <w:t xml:space="preserve"> means that, when the agreements are fully implemented, they contain tangible outcomes that are commercially meaningful for Australian business.</w:t>
            </w:r>
          </w:p>
          <w:p w:rsidR="007D7D86" w:rsidRPr="00B81F17" w:rsidRDefault="007D7D86" w:rsidP="007D7D86">
            <w:pPr>
              <w:spacing w:before="240" w:after="240" w:line="276" w:lineRule="auto"/>
              <w:rPr>
                <w:sz w:val="23"/>
                <w:szCs w:val="23"/>
                <w:lang w:val="en" w:eastAsia="en-AU"/>
              </w:rPr>
            </w:pPr>
            <w:r w:rsidRPr="00B81F17">
              <w:rPr>
                <w:sz w:val="23"/>
                <w:szCs w:val="23"/>
                <w:lang w:val="en" w:eastAsia="en-AU"/>
              </w:rPr>
              <w:t xml:space="preserve">Key outcomes include </w:t>
            </w:r>
            <w:r w:rsidR="00B81F17" w:rsidRPr="00B81F17">
              <w:rPr>
                <w:sz w:val="23"/>
                <w:szCs w:val="23"/>
                <w:lang w:val="en" w:eastAsia="en-AU"/>
              </w:rPr>
              <w:t>market openings for services that promote transparency and regulatory certainty in behind the border measures and institutional provisions that ensure that the legally binding commitments contained in the agreements can be enforced through dispute settlement procedures.</w:t>
            </w:r>
          </w:p>
          <w:p w:rsidR="00B81F17" w:rsidRPr="00B81F17" w:rsidRDefault="00B81F17" w:rsidP="007D7D86">
            <w:pPr>
              <w:spacing w:before="240" w:after="240" w:line="276" w:lineRule="auto"/>
              <w:rPr>
                <w:sz w:val="23"/>
                <w:szCs w:val="23"/>
                <w:lang w:val="en" w:eastAsia="en-AU"/>
              </w:rPr>
            </w:pPr>
            <w:r w:rsidRPr="00B81F17">
              <w:rPr>
                <w:sz w:val="23"/>
                <w:szCs w:val="23"/>
                <w:lang w:val="en" w:eastAsia="en-AU"/>
              </w:rPr>
              <w:t>While FTAs are effective in addressing a suite of barriers to trade and investment, there are of course many companies that are successful in offshore markets before any FTA enters into force, and on the other hand, a range of barriers often remain followi</w:t>
            </w:r>
            <w:r>
              <w:rPr>
                <w:sz w:val="23"/>
                <w:szCs w:val="23"/>
                <w:lang w:val="en" w:eastAsia="en-AU"/>
              </w:rPr>
              <w:t>ng a FTA that limit</w:t>
            </w:r>
            <w:r w:rsidRPr="00B81F17">
              <w:rPr>
                <w:sz w:val="23"/>
                <w:szCs w:val="23"/>
                <w:lang w:val="en" w:eastAsia="en-AU"/>
              </w:rPr>
              <w:t xml:space="preserve"> opportunities.  The gains for businesses can be transformative in some sectors, while incremental gains across a larger group of sectors ensures Australian business retain a level playing field with respect to third party competitors in offshore markets.</w:t>
            </w:r>
          </w:p>
          <w:p w:rsidR="00B81F17" w:rsidRPr="00B81F17" w:rsidRDefault="00B81F17" w:rsidP="007D7D86">
            <w:pPr>
              <w:spacing w:before="240" w:after="240" w:line="276" w:lineRule="auto"/>
              <w:rPr>
                <w:sz w:val="23"/>
                <w:szCs w:val="23"/>
                <w:lang w:val="en" w:eastAsia="en-AU"/>
              </w:rPr>
            </w:pPr>
            <w:r w:rsidRPr="00B81F17">
              <w:rPr>
                <w:sz w:val="23"/>
                <w:szCs w:val="23"/>
                <w:lang w:val="en" w:eastAsia="en-AU"/>
              </w:rPr>
              <w:t xml:space="preserve">As compared to goods, attributing changes in services trade and investment flows to the implementation of FTAs is necessarily less precise.  Whereas a goods transaction will apply to take advantage of a preferential tariff at the time of clearance, service suppliers and investors are not required to fill in a particular form to order to benefit under the </w:t>
            </w:r>
            <w:proofErr w:type="spellStart"/>
            <w:r w:rsidRPr="00B81F17">
              <w:rPr>
                <w:sz w:val="23"/>
                <w:szCs w:val="23"/>
                <w:lang w:val="en" w:eastAsia="en-AU"/>
              </w:rPr>
              <w:t>FTA</w:t>
            </w:r>
            <w:proofErr w:type="spellEnd"/>
            <w:r w:rsidRPr="00B81F17">
              <w:rPr>
                <w:sz w:val="23"/>
                <w:szCs w:val="23"/>
                <w:lang w:val="en" w:eastAsia="en-AU"/>
              </w:rPr>
              <w:t xml:space="preserve">, making </w:t>
            </w:r>
            <w:proofErr w:type="spellStart"/>
            <w:r w:rsidRPr="00B81F17">
              <w:rPr>
                <w:sz w:val="23"/>
                <w:szCs w:val="23"/>
                <w:lang w:val="en" w:eastAsia="en-AU"/>
              </w:rPr>
              <w:t>utilisation</w:t>
            </w:r>
            <w:proofErr w:type="spellEnd"/>
            <w:r w:rsidRPr="00B81F17">
              <w:rPr>
                <w:sz w:val="23"/>
                <w:szCs w:val="23"/>
                <w:lang w:val="en" w:eastAsia="en-AU"/>
              </w:rPr>
              <w:t xml:space="preserve"> more difficult to track.  </w:t>
            </w:r>
          </w:p>
          <w:p w:rsidR="00B81F17" w:rsidRPr="007D7D86" w:rsidRDefault="00B81F17" w:rsidP="00E362FE">
            <w:pPr>
              <w:spacing w:before="240" w:after="240" w:line="276" w:lineRule="auto"/>
              <w:rPr>
                <w:lang w:val="en" w:eastAsia="en-AU"/>
              </w:rPr>
            </w:pPr>
            <w:r w:rsidRPr="00B81F17">
              <w:rPr>
                <w:sz w:val="23"/>
                <w:szCs w:val="23"/>
                <w:lang w:val="en" w:eastAsia="en-AU"/>
              </w:rPr>
              <w:t xml:space="preserve">Evidence of </w:t>
            </w:r>
            <w:proofErr w:type="spellStart"/>
            <w:r w:rsidRPr="00B81F17">
              <w:rPr>
                <w:sz w:val="23"/>
                <w:szCs w:val="23"/>
                <w:lang w:val="en" w:eastAsia="en-AU"/>
              </w:rPr>
              <w:t>FTA</w:t>
            </w:r>
            <w:proofErr w:type="spellEnd"/>
            <w:r w:rsidRPr="00B81F17">
              <w:rPr>
                <w:sz w:val="23"/>
                <w:szCs w:val="23"/>
                <w:lang w:val="en" w:eastAsia="en-AU"/>
              </w:rPr>
              <w:t xml:space="preserve"> </w:t>
            </w:r>
            <w:proofErr w:type="spellStart"/>
            <w:r w:rsidRPr="00B81F17">
              <w:rPr>
                <w:sz w:val="23"/>
                <w:szCs w:val="23"/>
                <w:lang w:val="en" w:eastAsia="en-AU"/>
              </w:rPr>
              <w:t>utilisation</w:t>
            </w:r>
            <w:proofErr w:type="spellEnd"/>
            <w:r w:rsidRPr="00B81F17">
              <w:rPr>
                <w:sz w:val="23"/>
                <w:szCs w:val="23"/>
                <w:lang w:val="en" w:eastAsia="en-AU"/>
              </w:rPr>
              <w:t xml:space="preserve"> by service suppliers and investors is ther</w:t>
            </w:r>
            <w:r>
              <w:rPr>
                <w:sz w:val="23"/>
                <w:szCs w:val="23"/>
                <w:lang w:val="en" w:eastAsia="en-AU"/>
              </w:rPr>
              <w:t>e</w:t>
            </w:r>
            <w:r w:rsidRPr="00B81F17">
              <w:rPr>
                <w:sz w:val="23"/>
                <w:szCs w:val="23"/>
                <w:lang w:val="en" w:eastAsia="en-AU"/>
              </w:rPr>
              <w:t>fore generally anecdotal.  Moreover, an investor’s decision to invest is generally based on a range of factors, making attribution of an investment decision to one factor somewhat problematic.</w:t>
            </w:r>
          </w:p>
        </w:tc>
      </w:tr>
      <w:tr w:rsidR="00E362FE" w:rsidTr="00CB1387">
        <w:tc>
          <w:tcPr>
            <w:tcW w:w="5000" w:type="pct"/>
            <w:shd w:val="clear" w:color="auto" w:fill="DBE5F1" w:themeFill="accent1" w:themeFillTint="33"/>
          </w:tcPr>
          <w:p w:rsidR="00E362FE" w:rsidRPr="00602918" w:rsidRDefault="00E362FE" w:rsidP="00602918">
            <w:pPr>
              <w:pStyle w:val="Heading3"/>
              <w:rPr>
                <w:i/>
                <w:color w:val="1F497D" w:themeColor="text2"/>
              </w:rPr>
            </w:pPr>
            <w:bookmarkStart w:id="54" w:name="_Toc424644356"/>
            <w:r w:rsidRPr="00602918">
              <w:rPr>
                <w:i/>
                <w:color w:val="1F497D" w:themeColor="text2"/>
              </w:rPr>
              <w:lastRenderedPageBreak/>
              <w:t>Innovations in services negotiations</w:t>
            </w:r>
            <w:bookmarkEnd w:id="54"/>
            <w:r w:rsidRPr="00602918">
              <w:rPr>
                <w:i/>
                <w:color w:val="1F497D" w:themeColor="text2"/>
              </w:rPr>
              <w:t xml:space="preserve"> </w:t>
            </w:r>
          </w:p>
          <w:p w:rsidR="00E362FE" w:rsidRPr="00FD0D2A" w:rsidRDefault="00E362FE" w:rsidP="00E362FE">
            <w:pPr>
              <w:spacing w:before="240" w:after="240" w:line="276" w:lineRule="auto"/>
              <w:jc w:val="both"/>
              <w:rPr>
                <w:sz w:val="23"/>
                <w:szCs w:val="23"/>
              </w:rPr>
            </w:pPr>
            <w:r w:rsidRPr="00FD0D2A">
              <w:rPr>
                <w:sz w:val="23"/>
                <w:szCs w:val="23"/>
              </w:rPr>
              <w:t xml:space="preserve">In trade negotiations since the GATS, Australia has sought to introduce a number of innovations to its approach to services negotiations with the aim of achieving a broader and deeper level of liberalisation than was the case in the GATS.  In practice, this has resulted in Australian pursuing to the extent possible the listing of services commitments on market access and national treatment using a so-called ‘negative list’ approach to scheduling our sectoral commitments. </w:t>
            </w:r>
          </w:p>
          <w:p w:rsidR="00E362FE" w:rsidRPr="00182CC9" w:rsidRDefault="00E362FE" w:rsidP="00E362FE">
            <w:pPr>
              <w:jc w:val="both"/>
            </w:pPr>
            <w:r w:rsidRPr="00182CC9">
              <w:rPr>
                <w:noProof/>
                <w:lang w:eastAsia="en-AU"/>
              </w:rPr>
              <w:drawing>
                <wp:inline distT="0" distB="0" distL="0" distR="0" wp14:anchorId="0B80621F" wp14:editId="5740FBE1">
                  <wp:extent cx="4733925" cy="2324100"/>
                  <wp:effectExtent l="0" t="38100" r="0" b="952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Pr="00182CC9">
              <w:t xml:space="preserve"> </w:t>
            </w:r>
          </w:p>
          <w:p w:rsidR="00E362FE" w:rsidRPr="00FD0D2A" w:rsidRDefault="00E362FE" w:rsidP="00E362FE">
            <w:pPr>
              <w:spacing w:before="240" w:after="240" w:line="276" w:lineRule="auto"/>
              <w:jc w:val="both"/>
              <w:rPr>
                <w:sz w:val="23"/>
                <w:szCs w:val="23"/>
              </w:rPr>
            </w:pPr>
            <w:r w:rsidRPr="00FD0D2A">
              <w:rPr>
                <w:sz w:val="23"/>
                <w:szCs w:val="23"/>
              </w:rPr>
              <w:t xml:space="preserve">Under a negative list approach, market access and national treatment obligations apply to all services and service suppliers/investors and investments unless an explicit reservation is made by a party and inscribed in its national schedule.  In compiling such a negative list, a government would typically conduct an audit of relevant legislative and regulatory measures that are barriers to market access and/or national treatment.  This can be a resource-intensive exercise, but it has the virtue of identifying existing barriers and promoting an assessment of the ongoing validity of the policy basis for them and whether that goal might be achieved in a less trade-distorting way.  </w:t>
            </w:r>
          </w:p>
          <w:p w:rsidR="00E362FE" w:rsidRPr="00FD0D2A" w:rsidRDefault="00E362FE" w:rsidP="00E362FE">
            <w:pPr>
              <w:spacing w:before="240" w:after="240" w:line="276" w:lineRule="auto"/>
              <w:jc w:val="both"/>
              <w:rPr>
                <w:sz w:val="23"/>
                <w:szCs w:val="23"/>
              </w:rPr>
            </w:pPr>
            <w:r w:rsidRPr="00FD0D2A">
              <w:rPr>
                <w:sz w:val="23"/>
                <w:szCs w:val="23"/>
              </w:rPr>
              <w:t>While Australia’s clear preference is for a negative list approach, a number of our trading partners prefer a positive list. We have, therefore, taken a flexible approach to scheduling while maintaining a strong focus on securing high quality commitments that address key restrictions.</w:t>
            </w:r>
          </w:p>
          <w:p w:rsidR="00E362FE" w:rsidRDefault="00E362FE" w:rsidP="00E362FE">
            <w:pPr>
              <w:spacing w:before="240" w:after="240" w:line="276" w:lineRule="auto"/>
              <w:rPr>
                <w:sz w:val="23"/>
                <w:szCs w:val="23"/>
              </w:rPr>
            </w:pPr>
            <w:r w:rsidRPr="00FD0D2A">
              <w:rPr>
                <w:sz w:val="23"/>
                <w:szCs w:val="23"/>
              </w:rPr>
              <w:t>In addition, where possible we negotiate a single schedule for services and investment.  Where an investment chapter is included in an FTA, the supply of services through a covered investment is often dealt with in the investment chapter rather than the services chapter.  To achieve transparency, Australia’s preferred approach is to list, in one schedule, all relevant restrictions or measures that do not conform to the core obligations of the services and investment chapters.</w:t>
            </w:r>
          </w:p>
          <w:p w:rsidR="00FD0D2A" w:rsidRDefault="00FD0D2A" w:rsidP="00E362FE">
            <w:pPr>
              <w:spacing w:before="240" w:after="240" w:line="276" w:lineRule="auto"/>
            </w:pPr>
          </w:p>
        </w:tc>
      </w:tr>
      <w:tr w:rsidR="00CB1387" w:rsidTr="004039C3">
        <w:tc>
          <w:tcPr>
            <w:tcW w:w="8528" w:type="dxa"/>
            <w:shd w:val="clear" w:color="auto" w:fill="DBE5F1" w:themeFill="accent1" w:themeFillTint="33"/>
          </w:tcPr>
          <w:p w:rsidR="00CB1387" w:rsidRPr="00602918" w:rsidRDefault="00CB1387" w:rsidP="00CB1387">
            <w:pPr>
              <w:spacing w:before="240" w:after="240" w:line="276" w:lineRule="auto"/>
              <w:rPr>
                <w:b/>
                <w:i/>
                <w:color w:val="1F497D" w:themeColor="text2"/>
              </w:rPr>
            </w:pPr>
            <w:r w:rsidRPr="00602918">
              <w:rPr>
                <w:b/>
                <w:i/>
                <w:color w:val="1F497D" w:themeColor="text2"/>
              </w:rPr>
              <w:lastRenderedPageBreak/>
              <w:t>Innovations in services negotiations (cont</w:t>
            </w:r>
            <w:r w:rsidR="00602918">
              <w:rPr>
                <w:b/>
                <w:i/>
                <w:color w:val="1F497D" w:themeColor="text2"/>
              </w:rPr>
              <w:t>inued</w:t>
            </w:r>
            <w:r w:rsidRPr="00602918">
              <w:rPr>
                <w:b/>
                <w:i/>
                <w:color w:val="1F497D" w:themeColor="text2"/>
              </w:rPr>
              <w:t>)</w:t>
            </w:r>
          </w:p>
          <w:p w:rsidR="00CB1387" w:rsidRPr="00FD0D2A" w:rsidRDefault="00CB1387" w:rsidP="00E362FE">
            <w:pPr>
              <w:spacing w:before="240" w:after="240" w:line="276" w:lineRule="auto"/>
              <w:rPr>
                <w:sz w:val="23"/>
                <w:szCs w:val="23"/>
              </w:rPr>
            </w:pPr>
            <w:r w:rsidRPr="00FD0D2A">
              <w:rPr>
                <w:sz w:val="23"/>
                <w:szCs w:val="23"/>
              </w:rPr>
              <w:t>In our FTAs, in line with the GATS model, Australian has been successful in ensuring that flexibility is preserved to allow for changes in domestic policy settings in certain high priority areas as required by government.  This has been the case for example in areas such as foreign investment in urban and agricultural land; agribusiness, indigenous issues; maritime transport (</w:t>
            </w:r>
            <w:proofErr w:type="spellStart"/>
            <w:r w:rsidRPr="00FD0D2A">
              <w:rPr>
                <w:sz w:val="23"/>
                <w:szCs w:val="23"/>
              </w:rPr>
              <w:t>cabotage</w:t>
            </w:r>
            <w:proofErr w:type="spellEnd"/>
            <w:r w:rsidRPr="00FD0D2A">
              <w:rPr>
                <w:sz w:val="23"/>
                <w:szCs w:val="23"/>
              </w:rPr>
              <w:t xml:space="preserve"> and coastal shipping); broadcasting and audio-visual services; creative arts and cultural heritage; provision of social services; distribution of tobacco, alcohol, firearms; and, gambling.  We also exclude all services supplied in the exercise of government authority from our services trade commitments.</w:t>
            </w:r>
          </w:p>
          <w:p w:rsidR="00CB1387" w:rsidRDefault="00CB1387" w:rsidP="00E362FE">
            <w:pPr>
              <w:spacing w:before="240" w:after="240" w:line="276" w:lineRule="auto"/>
            </w:pPr>
            <w:r w:rsidRPr="00FD0D2A">
              <w:rPr>
                <w:sz w:val="23"/>
                <w:szCs w:val="23"/>
              </w:rPr>
              <w:t>In rel</w:t>
            </w:r>
            <w:r w:rsidR="004039C3" w:rsidRPr="00FD0D2A">
              <w:rPr>
                <w:sz w:val="23"/>
                <w:szCs w:val="23"/>
              </w:rPr>
              <w:t>ation to the digital economy, Australia’s approach in all trade negotiations is to strike an appropriate balance between providing certainty for businesses and ensuring that governments maintain their ability to regulate in the public interest, including to protect privacy</w:t>
            </w:r>
            <w:r w:rsidR="004039C3">
              <w:t>.</w:t>
            </w:r>
            <w:r>
              <w:t xml:space="preserve"> </w:t>
            </w:r>
          </w:p>
        </w:tc>
      </w:tr>
    </w:tbl>
    <w:p w:rsidR="00A138E4" w:rsidRDefault="00A138E4" w:rsidP="00B8614C">
      <w:pPr>
        <w:pStyle w:val="Heading4"/>
        <w:rPr>
          <w:b w:val="0"/>
          <w:color w:val="C0504D" w:themeColor="accent2"/>
        </w:rPr>
      </w:pPr>
    </w:p>
    <w:p w:rsidR="007D7D86" w:rsidRPr="00B8614C" w:rsidRDefault="007D7D86" w:rsidP="00B8614C">
      <w:pPr>
        <w:pStyle w:val="Heading4"/>
        <w:rPr>
          <w:b w:val="0"/>
          <w:color w:val="C0504D" w:themeColor="accent2"/>
        </w:rPr>
      </w:pPr>
      <w:r w:rsidRPr="00B8614C">
        <w:rPr>
          <w:b w:val="0"/>
          <w:color w:val="C0504D" w:themeColor="accent2"/>
        </w:rPr>
        <w:t>Trans-Pacific Partnership Agreement (TPP)</w:t>
      </w:r>
    </w:p>
    <w:p w:rsidR="007D7D86" w:rsidRPr="00182CC9" w:rsidRDefault="007D7D86" w:rsidP="00E362FE">
      <w:pPr>
        <w:pStyle w:val="ListParagraph"/>
        <w:numPr>
          <w:ilvl w:val="0"/>
          <w:numId w:val="24"/>
        </w:numPr>
        <w:spacing w:before="240" w:after="240" w:line="276" w:lineRule="auto"/>
      </w:pPr>
      <w:r>
        <w:t xml:space="preserve">TPP negotiations commenced in 2010.  The </w:t>
      </w:r>
      <w:r w:rsidRPr="00B77AFC">
        <w:t>countries</w:t>
      </w:r>
      <w:r>
        <w:t xml:space="preserve"> involved in the TPP negotiations</w:t>
      </w:r>
      <w:r w:rsidRPr="00B77AFC">
        <w:t xml:space="preserve"> (</w:t>
      </w:r>
      <w:hyperlink r:id="rId19" w:tooltip="Australia" w:history="1">
        <w:r w:rsidRPr="00B77AFC">
          <w:rPr>
            <w:lang w:val="en"/>
          </w:rPr>
          <w:t>Australia</w:t>
        </w:r>
      </w:hyperlink>
      <w:r w:rsidRPr="00B77AFC">
        <w:rPr>
          <w:lang w:val="en"/>
        </w:rPr>
        <w:t xml:space="preserve">, </w:t>
      </w:r>
      <w:hyperlink r:id="rId20" w:tooltip="Brunei" w:history="1">
        <w:r w:rsidRPr="00B77AFC">
          <w:rPr>
            <w:lang w:val="en"/>
          </w:rPr>
          <w:t>Brunei</w:t>
        </w:r>
      </w:hyperlink>
      <w:r w:rsidRPr="00B77AFC">
        <w:rPr>
          <w:lang w:val="en"/>
        </w:rPr>
        <w:t xml:space="preserve">, </w:t>
      </w:r>
      <w:hyperlink r:id="rId21" w:tooltip="Canada" w:history="1">
        <w:r w:rsidRPr="00B77AFC">
          <w:rPr>
            <w:lang w:val="en"/>
          </w:rPr>
          <w:t>Canada</w:t>
        </w:r>
      </w:hyperlink>
      <w:r w:rsidRPr="00B77AFC">
        <w:rPr>
          <w:lang w:val="en"/>
        </w:rPr>
        <w:t xml:space="preserve">, </w:t>
      </w:r>
      <w:hyperlink r:id="rId22" w:tooltip="Chile" w:history="1">
        <w:r w:rsidRPr="00B77AFC">
          <w:rPr>
            <w:lang w:val="en"/>
          </w:rPr>
          <w:t>Chile</w:t>
        </w:r>
      </w:hyperlink>
      <w:r w:rsidRPr="00B77AFC">
        <w:rPr>
          <w:lang w:val="en"/>
        </w:rPr>
        <w:t xml:space="preserve">, </w:t>
      </w:r>
      <w:hyperlink r:id="rId23" w:tooltip="Japan" w:history="1">
        <w:r w:rsidRPr="00B77AFC">
          <w:rPr>
            <w:lang w:val="en"/>
          </w:rPr>
          <w:t>Japan</w:t>
        </w:r>
      </w:hyperlink>
      <w:r w:rsidRPr="00B77AFC">
        <w:rPr>
          <w:lang w:val="en"/>
        </w:rPr>
        <w:t xml:space="preserve">, </w:t>
      </w:r>
      <w:hyperlink r:id="rId24" w:tooltip="Malaysia" w:history="1">
        <w:r w:rsidRPr="00B77AFC">
          <w:rPr>
            <w:lang w:val="en"/>
          </w:rPr>
          <w:t>Malaysia</w:t>
        </w:r>
      </w:hyperlink>
      <w:r w:rsidRPr="00B77AFC">
        <w:rPr>
          <w:lang w:val="en"/>
        </w:rPr>
        <w:t xml:space="preserve">, </w:t>
      </w:r>
      <w:hyperlink r:id="rId25" w:tooltip="Mexico" w:history="1">
        <w:r w:rsidRPr="00B77AFC">
          <w:rPr>
            <w:lang w:val="en"/>
          </w:rPr>
          <w:t>Mexico</w:t>
        </w:r>
      </w:hyperlink>
      <w:r w:rsidRPr="00B77AFC">
        <w:rPr>
          <w:lang w:val="en"/>
        </w:rPr>
        <w:t xml:space="preserve">, </w:t>
      </w:r>
      <w:hyperlink r:id="rId26" w:tooltip="New Zealand" w:history="1">
        <w:r w:rsidRPr="00B77AFC">
          <w:rPr>
            <w:lang w:val="en"/>
          </w:rPr>
          <w:t>New Zealand</w:t>
        </w:r>
      </w:hyperlink>
      <w:r w:rsidRPr="00B77AFC">
        <w:rPr>
          <w:lang w:val="en"/>
        </w:rPr>
        <w:t xml:space="preserve">, </w:t>
      </w:r>
      <w:hyperlink r:id="rId27" w:tooltip="Peru" w:history="1">
        <w:r w:rsidRPr="00B77AFC">
          <w:rPr>
            <w:lang w:val="en"/>
          </w:rPr>
          <w:t>Peru</w:t>
        </w:r>
      </w:hyperlink>
      <w:r w:rsidRPr="00B77AFC">
        <w:rPr>
          <w:lang w:val="en"/>
        </w:rPr>
        <w:t xml:space="preserve">, </w:t>
      </w:r>
      <w:hyperlink r:id="rId28" w:tooltip="Singapore" w:history="1">
        <w:r w:rsidRPr="00B77AFC">
          <w:rPr>
            <w:lang w:val="en"/>
          </w:rPr>
          <w:t>Singapore</w:t>
        </w:r>
      </w:hyperlink>
      <w:r w:rsidRPr="00B77AFC">
        <w:rPr>
          <w:lang w:val="en"/>
        </w:rPr>
        <w:t xml:space="preserve">, the </w:t>
      </w:r>
      <w:hyperlink r:id="rId29" w:tooltip="United States" w:history="1">
        <w:r w:rsidRPr="00B77AFC">
          <w:rPr>
            <w:lang w:val="en"/>
          </w:rPr>
          <w:t>U</w:t>
        </w:r>
        <w:r>
          <w:rPr>
            <w:lang w:val="en"/>
          </w:rPr>
          <w:t>S</w:t>
        </w:r>
      </w:hyperlink>
      <w:r w:rsidRPr="00B77AFC">
        <w:rPr>
          <w:lang w:val="en"/>
        </w:rPr>
        <w:t xml:space="preserve"> and </w:t>
      </w:r>
      <w:hyperlink r:id="rId30" w:tooltip="Vietnam" w:history="1">
        <w:r w:rsidRPr="00B77AFC">
          <w:rPr>
            <w:lang w:val="en"/>
          </w:rPr>
          <w:t>Vietnam</w:t>
        </w:r>
      </w:hyperlink>
      <w:r>
        <w:rPr>
          <w:lang w:val="en"/>
        </w:rPr>
        <w:t xml:space="preserve">) </w:t>
      </w:r>
      <w:r w:rsidRPr="00B77AFC">
        <w:t xml:space="preserve">account </w:t>
      </w:r>
      <w:r>
        <w:t>for 26 per cent o</w:t>
      </w:r>
      <w:r w:rsidRPr="00182CC9">
        <w:t xml:space="preserve">f </w:t>
      </w:r>
      <w:r>
        <w:t xml:space="preserve">global </w:t>
      </w:r>
      <w:r w:rsidRPr="00182CC9">
        <w:t>trade in services</w:t>
      </w:r>
      <w:r>
        <w:t>.  A</w:t>
      </w:r>
      <w:r w:rsidRPr="00182CC9">
        <w:t xml:space="preserve">ustralian </w:t>
      </w:r>
      <w:r>
        <w:t xml:space="preserve">services </w:t>
      </w:r>
      <w:r w:rsidRPr="00182CC9">
        <w:t xml:space="preserve">exports to TPP markets </w:t>
      </w:r>
      <w:r>
        <w:t xml:space="preserve">were valued at </w:t>
      </w:r>
      <w:r w:rsidRPr="00182CC9">
        <w:t>around $20 billion in 2013-14 (almost 35</w:t>
      </w:r>
      <w:r>
        <w:t xml:space="preserve"> per cent o</w:t>
      </w:r>
      <w:r w:rsidRPr="00182CC9">
        <w:t>f total</w:t>
      </w:r>
      <w:r>
        <w:t xml:space="preserve"> Australian</w:t>
      </w:r>
      <w:r w:rsidRPr="00182CC9">
        <w:t xml:space="preserve"> services exports).  </w:t>
      </w:r>
    </w:p>
    <w:tbl>
      <w:tblPr>
        <w:tblStyle w:val="TableGrid"/>
        <w:tblW w:w="0" w:type="auto"/>
        <w:tblInd w:w="250" w:type="dxa"/>
        <w:shd w:val="clear" w:color="auto" w:fill="DBE5F1" w:themeFill="accent1" w:themeFillTint="33"/>
        <w:tblLook w:val="04A0" w:firstRow="1" w:lastRow="0" w:firstColumn="1" w:lastColumn="0" w:noHBand="0" w:noVBand="1"/>
      </w:tblPr>
      <w:tblGrid>
        <w:gridCol w:w="8278"/>
      </w:tblGrid>
      <w:tr w:rsidR="007D7D86" w:rsidRPr="00182CC9" w:rsidTr="00CB1387">
        <w:tc>
          <w:tcPr>
            <w:tcW w:w="8647" w:type="dxa"/>
            <w:shd w:val="clear" w:color="auto" w:fill="DBE5F1" w:themeFill="accent1" w:themeFillTint="33"/>
          </w:tcPr>
          <w:p w:rsidR="007D7D86" w:rsidRPr="00182CC9" w:rsidRDefault="007D7D86" w:rsidP="00CB1387">
            <w:pPr>
              <w:numPr>
                <w:ilvl w:val="0"/>
                <w:numId w:val="13"/>
              </w:numPr>
              <w:spacing w:line="276" w:lineRule="auto"/>
              <w:contextualSpacing/>
            </w:pPr>
            <w:r w:rsidRPr="00182CC9">
              <w:t xml:space="preserve">Five of the TPP countries were in the </w:t>
            </w:r>
            <w:r w:rsidRPr="00941029">
              <w:rPr>
                <w:b/>
                <w:color w:val="1F497D" w:themeColor="text2"/>
              </w:rPr>
              <w:t>top ten destinations for Australian services exports</w:t>
            </w:r>
            <w:r>
              <w:t xml:space="preserve"> in 2013-14 (United States, New Zealand, Malaysia, </w:t>
            </w:r>
            <w:r w:rsidRPr="00182CC9">
              <w:t>Japan and Singapore)</w:t>
            </w:r>
          </w:p>
          <w:p w:rsidR="007D7D86" w:rsidRPr="00182CC9" w:rsidRDefault="007D7D86" w:rsidP="00CB1387">
            <w:pPr>
              <w:numPr>
                <w:ilvl w:val="0"/>
                <w:numId w:val="13"/>
              </w:numPr>
              <w:spacing w:line="276" w:lineRule="auto"/>
              <w:contextualSpacing/>
            </w:pPr>
            <w:r w:rsidRPr="00182CC9">
              <w:t xml:space="preserve">Negotiating parties support the expansion of the TPP membership over time to other Asia-Pacific economies to further progress the APEC vision for an </w:t>
            </w:r>
            <w:r w:rsidRPr="00941029">
              <w:rPr>
                <w:b/>
                <w:color w:val="1F497D" w:themeColor="text2"/>
              </w:rPr>
              <w:t>economically integrated Asia-Pacific community</w:t>
            </w:r>
            <w:r w:rsidRPr="00182CC9">
              <w:rPr>
                <w:b/>
              </w:rPr>
              <w:t>.</w:t>
            </w:r>
          </w:p>
        </w:tc>
      </w:tr>
    </w:tbl>
    <w:p w:rsidR="007D7D86" w:rsidRDefault="007D7D86" w:rsidP="00E362FE">
      <w:pPr>
        <w:pStyle w:val="ListParagraph"/>
        <w:numPr>
          <w:ilvl w:val="0"/>
          <w:numId w:val="24"/>
        </w:numPr>
        <w:tabs>
          <w:tab w:val="left" w:pos="993"/>
        </w:tabs>
        <w:spacing w:before="240" w:after="240" w:line="276" w:lineRule="auto"/>
      </w:pPr>
      <w:r>
        <w:rPr>
          <w:szCs w:val="22"/>
        </w:rPr>
        <w:t xml:space="preserve">As the TPP region develops further, consumers – particularly the burgeoning middle class in Asia – will increasingly demand services of the highest quality.  </w:t>
      </w:r>
      <w:r w:rsidRPr="00B77AFC">
        <w:rPr>
          <w:szCs w:val="22"/>
        </w:rPr>
        <w:t>The commitments Australia will be striving to sec</w:t>
      </w:r>
      <w:r>
        <w:rPr>
          <w:szCs w:val="22"/>
        </w:rPr>
        <w:t xml:space="preserve">ure on services and investment </w:t>
      </w:r>
      <w:r w:rsidRPr="00B77AFC">
        <w:rPr>
          <w:szCs w:val="22"/>
        </w:rPr>
        <w:t>and temporary entry will be more ambitious than Australia’s existing trade agreements, thus providing a range of new opportunities for Australian businesses in the TPP markets</w:t>
      </w:r>
      <w:r>
        <w:t>.  The TPP’s ratchet mechanism will also capture and bind any liberalising reforms taken by governments in future, ensuring that the TPP is a living agreement.</w:t>
      </w:r>
    </w:p>
    <w:p w:rsidR="007666C7" w:rsidRDefault="007666C7" w:rsidP="007666C7">
      <w:pPr>
        <w:tabs>
          <w:tab w:val="left" w:pos="993"/>
        </w:tabs>
        <w:spacing w:before="240" w:after="240" w:line="276" w:lineRule="auto"/>
      </w:pPr>
    </w:p>
    <w:p w:rsidR="008C2128" w:rsidRDefault="007D7D86" w:rsidP="004039C3">
      <w:pPr>
        <w:pStyle w:val="ListParagraph"/>
        <w:numPr>
          <w:ilvl w:val="0"/>
          <w:numId w:val="24"/>
        </w:numPr>
        <w:tabs>
          <w:tab w:val="left" w:pos="993"/>
        </w:tabs>
        <w:spacing w:before="240" w:after="240" w:line="276" w:lineRule="auto"/>
      </w:pPr>
      <w:r>
        <w:lastRenderedPageBreak/>
        <w:t>The TPP’s ground breaking new rules on state-owned enterprises (SOEs) will also assist Australian businesses to compete on a level playing field with large SOEs in the TPP region, and help ensure Australian suppliers of goods and services to SOEs can compete on equal terms with other suppliers.</w:t>
      </w:r>
    </w:p>
    <w:p w:rsidR="00B77AFC" w:rsidRPr="00B8614C" w:rsidRDefault="00B77AFC" w:rsidP="00B8614C">
      <w:pPr>
        <w:pStyle w:val="Heading4"/>
        <w:rPr>
          <w:b w:val="0"/>
          <w:color w:val="C0504D" w:themeColor="accent2"/>
        </w:rPr>
      </w:pPr>
      <w:r w:rsidRPr="00B8614C">
        <w:rPr>
          <w:b w:val="0"/>
          <w:color w:val="C0504D" w:themeColor="accent2"/>
        </w:rPr>
        <w:t xml:space="preserve">Regional Comprehensive Economic Agreement (RCEP) </w:t>
      </w:r>
    </w:p>
    <w:p w:rsidR="001F458E" w:rsidRPr="00203D1E" w:rsidRDefault="007F143B" w:rsidP="00E362FE">
      <w:pPr>
        <w:pStyle w:val="ListParagraph"/>
        <w:numPr>
          <w:ilvl w:val="0"/>
          <w:numId w:val="24"/>
        </w:numPr>
        <w:spacing w:before="240" w:after="240" w:line="276" w:lineRule="auto"/>
        <w:rPr>
          <w:lang w:val="en-US"/>
        </w:rPr>
      </w:pPr>
      <w:r w:rsidRPr="00203D1E">
        <w:rPr>
          <w:lang w:val="en-US"/>
        </w:rPr>
        <w:t>The RCEP</w:t>
      </w:r>
      <w:r w:rsidR="00B77AFC" w:rsidRPr="00203D1E">
        <w:rPr>
          <w:lang w:val="en-US"/>
        </w:rPr>
        <w:t xml:space="preserve"> negotiations were launched on 20 November 2012.  </w:t>
      </w:r>
      <w:r w:rsidR="00B77AFC" w:rsidRPr="00182CC9">
        <w:t xml:space="preserve">RCEP has the potential to advance Australia’s economic interests by streamlining and simplifying regional trade and investment rules.  RCEP can also promote reform on issues like trade facilitation, regulatory cooperation and competition policy that enable increased trade and investment. </w:t>
      </w:r>
    </w:p>
    <w:tbl>
      <w:tblPr>
        <w:tblStyle w:val="TableGrid"/>
        <w:tblW w:w="0" w:type="auto"/>
        <w:tblInd w:w="108" w:type="dxa"/>
        <w:shd w:val="clear" w:color="auto" w:fill="DBE5F1" w:themeFill="accent1" w:themeFillTint="33"/>
        <w:tblLook w:val="04A0" w:firstRow="1" w:lastRow="0" w:firstColumn="1" w:lastColumn="0" w:noHBand="0" w:noVBand="1"/>
      </w:tblPr>
      <w:tblGrid>
        <w:gridCol w:w="8420"/>
      </w:tblGrid>
      <w:tr w:rsidR="00B77AFC" w:rsidRPr="00182CC9" w:rsidTr="004347CC">
        <w:tc>
          <w:tcPr>
            <w:tcW w:w="8789" w:type="dxa"/>
            <w:shd w:val="clear" w:color="auto" w:fill="DBE5F1" w:themeFill="accent1" w:themeFillTint="33"/>
          </w:tcPr>
          <w:p w:rsidR="00B77AFC" w:rsidRPr="00941029" w:rsidRDefault="00B77AFC" w:rsidP="00B83F20">
            <w:pPr>
              <w:numPr>
                <w:ilvl w:val="0"/>
                <w:numId w:val="11"/>
              </w:numPr>
              <w:spacing w:line="276" w:lineRule="auto"/>
              <w:contextualSpacing/>
              <w:rPr>
                <w:b/>
                <w:color w:val="1F497D" w:themeColor="text2"/>
                <w:lang w:val="en-US"/>
              </w:rPr>
            </w:pPr>
            <w:r w:rsidRPr="00182CC9">
              <w:rPr>
                <w:lang w:val="en-US"/>
              </w:rPr>
              <w:t>RCEP will initially include</w:t>
            </w:r>
            <w:r w:rsidRPr="00182CC9">
              <w:rPr>
                <w:b/>
                <w:lang w:val="en-US"/>
              </w:rPr>
              <w:t xml:space="preserve"> </w:t>
            </w:r>
            <w:r w:rsidRPr="00182CC9">
              <w:rPr>
                <w:lang w:val="en-US"/>
              </w:rPr>
              <w:t xml:space="preserve">the </w:t>
            </w:r>
            <w:r w:rsidRPr="00941029">
              <w:rPr>
                <w:b/>
                <w:color w:val="1F497D" w:themeColor="text2"/>
                <w:lang w:val="en-US"/>
              </w:rPr>
              <w:t>ten ASEAN member states</w:t>
            </w:r>
            <w:r w:rsidRPr="00941029">
              <w:rPr>
                <w:color w:val="1F497D" w:themeColor="text2"/>
                <w:lang w:val="en-US"/>
              </w:rPr>
              <w:t xml:space="preserve"> </w:t>
            </w:r>
            <w:r w:rsidRPr="00182CC9">
              <w:rPr>
                <w:lang w:val="en-US"/>
              </w:rPr>
              <w:t>and those countries which have existing FTAs with ASEAN</w:t>
            </w:r>
            <w:r w:rsidR="00A80B0E">
              <w:rPr>
                <w:lang w:val="en-US"/>
              </w:rPr>
              <w:t xml:space="preserve"> members</w:t>
            </w:r>
            <w:r w:rsidRPr="00182CC9">
              <w:rPr>
                <w:lang w:val="en-US"/>
              </w:rPr>
              <w:t xml:space="preserve"> – </w:t>
            </w:r>
            <w:r w:rsidRPr="00941029">
              <w:rPr>
                <w:b/>
                <w:color w:val="1F497D" w:themeColor="text2"/>
                <w:lang w:val="en-US"/>
              </w:rPr>
              <w:t>Australia, China, India, Japan, Republic of Korea and New Zealand.</w:t>
            </w:r>
          </w:p>
          <w:p w:rsidR="00B77AFC" w:rsidRPr="00941029" w:rsidRDefault="00B77AFC" w:rsidP="00B83F20">
            <w:pPr>
              <w:numPr>
                <w:ilvl w:val="0"/>
                <w:numId w:val="11"/>
              </w:numPr>
              <w:spacing w:line="276" w:lineRule="auto"/>
              <w:contextualSpacing/>
              <w:rPr>
                <w:b/>
                <w:color w:val="1F497D" w:themeColor="text2"/>
                <w:lang w:val="en-US"/>
              </w:rPr>
            </w:pPr>
            <w:r w:rsidRPr="00182CC9">
              <w:rPr>
                <w:lang w:val="en-US"/>
              </w:rPr>
              <w:t>RCEP has the potential to deliver significant opportunities for Australian businesses. The 16 countries participating in RCEP account for</w:t>
            </w:r>
            <w:r w:rsidR="001F458E">
              <w:rPr>
                <w:lang w:val="en-US"/>
              </w:rPr>
              <w:t xml:space="preserve"> </w:t>
            </w:r>
            <w:r w:rsidRPr="00A80B0E">
              <w:rPr>
                <w:lang w:val="en-US"/>
              </w:rPr>
              <w:t>almost half of the world’s population,</w:t>
            </w:r>
            <w:r w:rsidRPr="00182CC9">
              <w:rPr>
                <w:b/>
                <w:lang w:val="en-US"/>
              </w:rPr>
              <w:t xml:space="preserve"> </w:t>
            </w:r>
            <w:r w:rsidRPr="00941029">
              <w:rPr>
                <w:b/>
                <w:color w:val="1F497D" w:themeColor="text2"/>
                <w:lang w:val="en-US"/>
              </w:rPr>
              <w:t xml:space="preserve">almost 30 per cent of global GDP </w:t>
            </w:r>
            <w:r w:rsidRPr="00941029">
              <w:rPr>
                <w:color w:val="1F497D" w:themeColor="text2"/>
                <w:lang w:val="en-US"/>
              </w:rPr>
              <w:t>and</w:t>
            </w:r>
            <w:r w:rsidRPr="00941029">
              <w:rPr>
                <w:b/>
                <w:color w:val="1F497D" w:themeColor="text2"/>
                <w:lang w:val="en-US"/>
              </w:rPr>
              <w:t xml:space="preserve"> over a quarter of world exports.</w:t>
            </w:r>
          </w:p>
          <w:p w:rsidR="00B77AFC" w:rsidRPr="001F458E" w:rsidRDefault="00B77AFC" w:rsidP="00B83F20">
            <w:pPr>
              <w:numPr>
                <w:ilvl w:val="0"/>
                <w:numId w:val="12"/>
              </w:numPr>
              <w:spacing w:line="276" w:lineRule="auto"/>
              <w:contextualSpacing/>
              <w:rPr>
                <w:lang w:val="en-US"/>
              </w:rPr>
            </w:pPr>
            <w:r w:rsidRPr="00941029">
              <w:rPr>
                <w:b/>
                <w:bCs/>
                <w:color w:val="1F497D" w:themeColor="text2"/>
                <w:lang w:val="en-US"/>
              </w:rPr>
              <w:t>Nine of Australia’s top 12 trading partners</w:t>
            </w:r>
            <w:r w:rsidRPr="00941029">
              <w:rPr>
                <w:color w:val="1F497D" w:themeColor="text2"/>
                <w:lang w:val="en-US"/>
              </w:rPr>
              <w:t xml:space="preserve"> </w:t>
            </w:r>
            <w:r w:rsidRPr="00182CC9">
              <w:rPr>
                <w:lang w:val="en-US"/>
              </w:rPr>
              <w:t>(China, Japan, R</w:t>
            </w:r>
            <w:r w:rsidR="00D0479D">
              <w:rPr>
                <w:lang w:val="en-US"/>
              </w:rPr>
              <w:t xml:space="preserve">epublic of </w:t>
            </w:r>
            <w:r w:rsidRPr="00182CC9">
              <w:rPr>
                <w:lang w:val="en-US"/>
              </w:rPr>
              <w:t>K</w:t>
            </w:r>
            <w:r w:rsidR="00D0479D">
              <w:rPr>
                <w:lang w:val="en-US"/>
              </w:rPr>
              <w:t>orea</w:t>
            </w:r>
            <w:r w:rsidRPr="00182CC9">
              <w:rPr>
                <w:lang w:val="en-US"/>
              </w:rPr>
              <w:t xml:space="preserve">, Singapore, New Zealand, </w:t>
            </w:r>
            <w:r w:rsidR="00D0479D">
              <w:rPr>
                <w:lang w:val="en-US"/>
              </w:rPr>
              <w:t xml:space="preserve">Malaysia, Thailand, </w:t>
            </w:r>
            <w:r w:rsidRPr="00182CC9">
              <w:rPr>
                <w:lang w:val="en-US"/>
              </w:rPr>
              <w:t>Indonesia</w:t>
            </w:r>
            <w:r w:rsidR="00D0479D">
              <w:rPr>
                <w:lang w:val="en-US"/>
              </w:rPr>
              <w:t xml:space="preserve"> and India</w:t>
            </w:r>
            <w:r w:rsidRPr="00182CC9">
              <w:rPr>
                <w:lang w:val="en-US"/>
              </w:rPr>
              <w:t>) are participating in the RCEP negotiations, and with the other six participatin</w:t>
            </w:r>
            <w:r w:rsidR="00765C3D">
              <w:rPr>
                <w:lang w:val="en-US"/>
              </w:rPr>
              <w:t xml:space="preserve">g countries, account for </w:t>
            </w:r>
            <w:r w:rsidRPr="00941029">
              <w:rPr>
                <w:b/>
                <w:bCs/>
                <w:color w:val="1F497D" w:themeColor="text2"/>
                <w:lang w:val="en-US"/>
              </w:rPr>
              <w:t>60 per cent of Australia’s two-way trade</w:t>
            </w:r>
            <w:r w:rsidR="00765C3D" w:rsidRPr="00941029">
              <w:rPr>
                <w:b/>
                <w:bCs/>
                <w:color w:val="1F497D" w:themeColor="text2"/>
                <w:lang w:val="en-US"/>
              </w:rPr>
              <w:t xml:space="preserve"> in goods and services</w:t>
            </w:r>
            <w:r w:rsidRPr="00941029">
              <w:rPr>
                <w:b/>
                <w:bCs/>
                <w:color w:val="1F497D" w:themeColor="text2"/>
                <w:lang w:val="en-US"/>
              </w:rPr>
              <w:t xml:space="preserve">, </w:t>
            </w:r>
            <w:r w:rsidRPr="00941029">
              <w:rPr>
                <w:color w:val="1F497D" w:themeColor="text2"/>
                <w:lang w:val="en-US"/>
              </w:rPr>
              <w:t>and</w:t>
            </w:r>
            <w:r w:rsidR="00316E03" w:rsidRPr="00941029">
              <w:rPr>
                <w:b/>
                <w:bCs/>
                <w:color w:val="1F497D" w:themeColor="text2"/>
                <w:lang w:val="en-US"/>
              </w:rPr>
              <w:t xml:space="preserve"> </w:t>
            </w:r>
            <w:r w:rsidR="00243861" w:rsidRPr="00941029">
              <w:rPr>
                <w:b/>
                <w:bCs/>
                <w:color w:val="1F497D" w:themeColor="text2"/>
                <w:lang w:val="en-US"/>
              </w:rPr>
              <w:t xml:space="preserve">over </w:t>
            </w:r>
            <w:r w:rsidRPr="00941029">
              <w:rPr>
                <w:b/>
                <w:bCs/>
                <w:color w:val="1F497D" w:themeColor="text2"/>
                <w:lang w:val="en-US"/>
              </w:rPr>
              <w:t>70 per cent of Australia’s goods and services exports</w:t>
            </w:r>
            <w:r w:rsidRPr="00182CC9">
              <w:rPr>
                <w:lang w:val="en-US"/>
              </w:rPr>
              <w:t>.</w:t>
            </w:r>
          </w:p>
        </w:tc>
      </w:tr>
    </w:tbl>
    <w:p w:rsidR="004502E2" w:rsidRDefault="004502E2" w:rsidP="004502E2">
      <w:pPr>
        <w:pStyle w:val="ListParagraph"/>
        <w:autoSpaceDE w:val="0"/>
        <w:autoSpaceDN w:val="0"/>
        <w:adjustRightInd w:val="0"/>
        <w:spacing w:before="240" w:after="240"/>
        <w:ind w:left="0"/>
      </w:pPr>
    </w:p>
    <w:p w:rsidR="006F7871" w:rsidRDefault="00B77AFC" w:rsidP="00E362FE">
      <w:pPr>
        <w:pStyle w:val="ListParagraph"/>
        <w:numPr>
          <w:ilvl w:val="0"/>
          <w:numId w:val="24"/>
        </w:numPr>
        <w:autoSpaceDE w:val="0"/>
        <w:autoSpaceDN w:val="0"/>
        <w:adjustRightInd w:val="0"/>
        <w:spacing w:before="240" w:after="240" w:line="276" w:lineRule="auto"/>
      </w:pPr>
      <w:r w:rsidRPr="00182CC9">
        <w:t>RCEP will also support Australian businesses participatio</w:t>
      </w:r>
      <w:r w:rsidR="00243861">
        <w:t xml:space="preserve">n in regional and global value </w:t>
      </w:r>
      <w:r w:rsidR="006226D6">
        <w:t>chains</w:t>
      </w:r>
      <w:r w:rsidRPr="00182CC9">
        <w:t xml:space="preserve"> by strengthening regional commitments to trade disciplines and othe</w:t>
      </w:r>
      <w:r w:rsidR="006226D6">
        <w:t>r measures that optimise the global value chain</w:t>
      </w:r>
      <w:r w:rsidRPr="00182CC9">
        <w:t xml:space="preserve"> environment. The RCEP region offers the full range of inputs for a modern supply chain in close geographic proximity. These include access to low-cost labour, proximity to significant energy suppliers, strong regional connections, high-tech capabilities and a large pool of highly-skilled workers.</w:t>
      </w:r>
    </w:p>
    <w:p w:rsidR="004039C3" w:rsidRDefault="00B77AFC" w:rsidP="004039C3">
      <w:pPr>
        <w:pStyle w:val="ListParagraph"/>
        <w:numPr>
          <w:ilvl w:val="0"/>
          <w:numId w:val="24"/>
        </w:numPr>
        <w:autoSpaceDE w:val="0"/>
        <w:autoSpaceDN w:val="0"/>
        <w:adjustRightInd w:val="0"/>
        <w:spacing w:before="240" w:after="240" w:line="276" w:lineRule="auto"/>
      </w:pPr>
      <w:r w:rsidRPr="00182CC9">
        <w:t>A key focus of RCEP negotiations is to add value to existing ASEAN+1 FTAs. These FTAs are of varying sc</w:t>
      </w:r>
      <w:r w:rsidR="005E23CC">
        <w:t xml:space="preserve">ope, scale, depth and degree of </w:t>
      </w:r>
      <w:r w:rsidRPr="00182CC9">
        <w:t xml:space="preserve">comprehensiveness. This reflects a diverse region with countries at different stages of development and varying capacities to negotiate across the full range of issues. Reflecting the different stages of development, economic and technical cooperation is a key element of the negotiations. The main focus is to support ASEAN developing countries, particularly the three Least Developed Countries (Burma, Cambodia and Laos), by enhancing their capacity to implement RCEP commitments. </w:t>
      </w:r>
    </w:p>
    <w:p w:rsidR="00B77AFC" w:rsidRPr="00B8614C" w:rsidRDefault="00B77AFC" w:rsidP="00B8614C">
      <w:pPr>
        <w:pStyle w:val="Heading4"/>
        <w:rPr>
          <w:b w:val="0"/>
          <w:color w:val="C0504D" w:themeColor="accent2"/>
        </w:rPr>
      </w:pPr>
      <w:r w:rsidRPr="00B8614C">
        <w:rPr>
          <w:b w:val="0"/>
          <w:color w:val="C0504D" w:themeColor="accent2"/>
        </w:rPr>
        <w:lastRenderedPageBreak/>
        <w:t>Trade in Services Agreement (</w:t>
      </w:r>
      <w:proofErr w:type="spellStart"/>
      <w:r w:rsidRPr="00B8614C">
        <w:rPr>
          <w:b w:val="0"/>
          <w:color w:val="C0504D" w:themeColor="accent2"/>
        </w:rPr>
        <w:t>TiSA</w:t>
      </w:r>
      <w:proofErr w:type="spellEnd"/>
      <w:r w:rsidRPr="00B8614C">
        <w:rPr>
          <w:b w:val="0"/>
          <w:color w:val="C0504D" w:themeColor="accent2"/>
        </w:rPr>
        <w:t>)</w:t>
      </w:r>
    </w:p>
    <w:p w:rsidR="001F458E" w:rsidRDefault="00B77AFC" w:rsidP="00E362FE">
      <w:pPr>
        <w:pStyle w:val="ListParagraph"/>
        <w:numPr>
          <w:ilvl w:val="0"/>
          <w:numId w:val="24"/>
        </w:numPr>
        <w:spacing w:before="240" w:after="240" w:line="276" w:lineRule="auto"/>
      </w:pPr>
      <w:r w:rsidRPr="00203D1E">
        <w:rPr>
          <w:lang w:val="en-US"/>
        </w:rPr>
        <w:t>Formal negotiations for a Trade in Services Agreement (</w:t>
      </w:r>
      <w:proofErr w:type="spellStart"/>
      <w:r w:rsidRPr="00203D1E">
        <w:rPr>
          <w:lang w:val="en-US"/>
        </w:rPr>
        <w:t>TiSA</w:t>
      </w:r>
      <w:proofErr w:type="spellEnd"/>
      <w:r w:rsidRPr="00203D1E">
        <w:rPr>
          <w:lang w:val="en-US"/>
        </w:rPr>
        <w:t xml:space="preserve">) began in early 2013, following 12 months of exploratory discussions.  The negotiations are taking place between a subset of WTO members with an interest in and commitment to progressing services trade </w:t>
      </w:r>
      <w:proofErr w:type="spellStart"/>
      <w:r w:rsidRPr="00203D1E">
        <w:rPr>
          <w:lang w:val="en-US"/>
        </w:rPr>
        <w:t>liberalisation</w:t>
      </w:r>
      <w:proofErr w:type="spellEnd"/>
      <w:r w:rsidRPr="00203D1E">
        <w:rPr>
          <w:lang w:val="en-US"/>
        </w:rPr>
        <w:t xml:space="preserve"> in multilateral trade negotiations.  The </w:t>
      </w:r>
      <w:proofErr w:type="spellStart"/>
      <w:r w:rsidRPr="00203D1E">
        <w:rPr>
          <w:lang w:val="en-US"/>
        </w:rPr>
        <w:t>TiSA</w:t>
      </w:r>
      <w:proofErr w:type="spellEnd"/>
      <w:r w:rsidRPr="00203D1E">
        <w:rPr>
          <w:lang w:val="en-US"/>
        </w:rPr>
        <w:t xml:space="preserve"> is an example of an </w:t>
      </w:r>
      <w:r w:rsidR="0079241E" w:rsidRPr="00182CC9">
        <w:t>innovative</w:t>
      </w:r>
      <w:r w:rsidRPr="00182CC9">
        <w:t xml:space="preserve"> approach</w:t>
      </w:r>
      <w:r>
        <w:t xml:space="preserve"> to post-GATS services trade liberalisation.  In the </w:t>
      </w:r>
      <w:proofErr w:type="spellStart"/>
      <w:r>
        <w:t>TiSA</w:t>
      </w:r>
      <w:proofErr w:type="spellEnd"/>
      <w:r w:rsidR="00243861">
        <w:t xml:space="preserve"> negotiations</w:t>
      </w:r>
      <w:r>
        <w:t xml:space="preserve">, parties are </w:t>
      </w:r>
      <w:r w:rsidRPr="00182CC9">
        <w:t xml:space="preserve">looking to adopt a hybrid approach which combines </w:t>
      </w:r>
      <w:r>
        <w:t xml:space="preserve">a positive and a negative list: a </w:t>
      </w:r>
      <w:r w:rsidRPr="00182CC9">
        <w:t>positive</w:t>
      </w:r>
      <w:r>
        <w:t xml:space="preserve"> list for</w:t>
      </w:r>
      <w:r w:rsidRPr="00182CC9">
        <w:t xml:space="preserve"> market access commitments and a negative list approach to national treatment</w:t>
      </w:r>
      <w:r>
        <w:t xml:space="preserve"> commitments</w:t>
      </w:r>
      <w:r w:rsidRPr="00182CC9">
        <w:t>, in an effort to raise levels of ambition.</w:t>
      </w:r>
      <w:r>
        <w:t xml:space="preserve">  Parties which are less comfortable with adopting a negative list for market access commitments, are more comfortable with the idea that once the market is opened, foreign service providers should be treated no less favourably than domestic service providers.</w:t>
      </w:r>
      <w:r w:rsidR="00203D1E">
        <w:t xml:space="preserve">  </w:t>
      </w:r>
    </w:p>
    <w:tbl>
      <w:tblPr>
        <w:tblStyle w:val="TableGrid"/>
        <w:tblW w:w="0" w:type="auto"/>
        <w:tblInd w:w="392" w:type="dxa"/>
        <w:shd w:val="clear" w:color="auto" w:fill="DBE5F1" w:themeFill="accent1" w:themeFillTint="33"/>
        <w:tblLook w:val="04A0" w:firstRow="1" w:lastRow="0" w:firstColumn="1" w:lastColumn="0" w:noHBand="0" w:noVBand="1"/>
      </w:tblPr>
      <w:tblGrid>
        <w:gridCol w:w="8136"/>
      </w:tblGrid>
      <w:tr w:rsidR="00B77AFC" w:rsidRPr="00182CC9" w:rsidTr="008C2128">
        <w:tc>
          <w:tcPr>
            <w:tcW w:w="8136" w:type="dxa"/>
            <w:shd w:val="clear" w:color="auto" w:fill="DBE5F1" w:themeFill="accent1" w:themeFillTint="33"/>
          </w:tcPr>
          <w:p w:rsidR="00B77AFC" w:rsidRPr="00182CC9" w:rsidRDefault="00B77AFC" w:rsidP="00B83F20">
            <w:pPr>
              <w:numPr>
                <w:ilvl w:val="0"/>
                <w:numId w:val="15"/>
              </w:numPr>
              <w:spacing w:line="276" w:lineRule="auto"/>
              <w:contextualSpacing/>
              <w:rPr>
                <w:lang w:val="en-US"/>
              </w:rPr>
            </w:pPr>
            <w:r w:rsidRPr="00182CC9">
              <w:rPr>
                <w:lang w:val="en-US"/>
              </w:rPr>
              <w:t xml:space="preserve">Since discussions began, participation in the </w:t>
            </w:r>
            <w:proofErr w:type="spellStart"/>
            <w:r w:rsidRPr="00182CC9">
              <w:rPr>
                <w:lang w:val="en-US"/>
              </w:rPr>
              <w:t>TiSA</w:t>
            </w:r>
            <w:proofErr w:type="spellEnd"/>
            <w:r w:rsidRPr="00182CC9">
              <w:rPr>
                <w:lang w:val="en-US"/>
              </w:rPr>
              <w:t xml:space="preserve"> has expanded from </w:t>
            </w:r>
            <w:r w:rsidR="00316E03">
              <w:rPr>
                <w:lang w:val="en-US"/>
              </w:rPr>
              <w:t xml:space="preserve">      </w:t>
            </w:r>
            <w:r w:rsidRPr="00941029">
              <w:rPr>
                <w:b/>
                <w:color w:val="1F497D" w:themeColor="text2"/>
                <w:lang w:val="en-US"/>
              </w:rPr>
              <w:t>16 to</w:t>
            </w:r>
            <w:r w:rsidRPr="00941029">
              <w:rPr>
                <w:color w:val="1F497D" w:themeColor="text2"/>
                <w:lang w:val="en-US"/>
              </w:rPr>
              <w:t xml:space="preserve"> </w:t>
            </w:r>
            <w:r w:rsidRPr="00941029">
              <w:rPr>
                <w:b/>
                <w:color w:val="1F497D" w:themeColor="text2"/>
                <w:lang w:val="en-US"/>
              </w:rPr>
              <w:t>24 parties</w:t>
            </w:r>
            <w:r w:rsidRPr="00182CC9">
              <w:rPr>
                <w:lang w:val="en-US"/>
              </w:rPr>
              <w:t xml:space="preserve">, with the European Union representing its 28 Member States, for a total of </w:t>
            </w:r>
            <w:r w:rsidRPr="00941029">
              <w:rPr>
                <w:b/>
                <w:color w:val="1F497D" w:themeColor="text2"/>
                <w:lang w:val="en-US"/>
              </w:rPr>
              <w:t>51 WTO Members</w:t>
            </w:r>
            <w:r w:rsidRPr="00941029">
              <w:rPr>
                <w:color w:val="1F497D" w:themeColor="text2"/>
                <w:lang w:val="en-US"/>
              </w:rPr>
              <w:t>.</w:t>
            </w:r>
          </w:p>
          <w:p w:rsidR="00B77AFC" w:rsidRPr="00182CC9" w:rsidRDefault="00B77AFC" w:rsidP="00B83F20">
            <w:pPr>
              <w:numPr>
                <w:ilvl w:val="0"/>
                <w:numId w:val="15"/>
              </w:numPr>
              <w:spacing w:line="276" w:lineRule="auto"/>
              <w:contextualSpacing/>
              <w:rPr>
                <w:lang w:val="en-US"/>
              </w:rPr>
            </w:pPr>
            <w:r>
              <w:rPr>
                <w:lang w:val="en-US"/>
              </w:rPr>
              <w:t>Six</w:t>
            </w:r>
            <w:r w:rsidRPr="00182CC9">
              <w:rPr>
                <w:lang w:val="en-US"/>
              </w:rPr>
              <w:t xml:space="preserve"> of the </w:t>
            </w:r>
            <w:proofErr w:type="spellStart"/>
            <w:r w:rsidRPr="00182CC9">
              <w:rPr>
                <w:lang w:val="en-US"/>
              </w:rPr>
              <w:t>TiSA</w:t>
            </w:r>
            <w:proofErr w:type="spellEnd"/>
            <w:r w:rsidRPr="00182CC9">
              <w:rPr>
                <w:lang w:val="en-US"/>
              </w:rPr>
              <w:t xml:space="preserve"> Parties were in </w:t>
            </w:r>
            <w:r w:rsidRPr="00941029">
              <w:rPr>
                <w:b/>
                <w:color w:val="1F497D" w:themeColor="text2"/>
                <w:lang w:val="en-US"/>
              </w:rPr>
              <w:t>Australia’s top ten destinations for services exports</w:t>
            </w:r>
            <w:r w:rsidR="003B2F6E">
              <w:rPr>
                <w:lang w:val="en-US"/>
              </w:rPr>
              <w:t xml:space="preserve"> in 2013-14</w:t>
            </w:r>
            <w:r w:rsidRPr="00182CC9">
              <w:rPr>
                <w:lang w:val="en-US"/>
              </w:rPr>
              <w:t xml:space="preserve"> – the United States, United Kingdom (as part</w:t>
            </w:r>
            <w:r>
              <w:rPr>
                <w:lang w:val="en-US"/>
              </w:rPr>
              <w:t xml:space="preserve"> of EU), New Zealand, Japan, Hong Kong and Republic of Korea.</w:t>
            </w:r>
          </w:p>
          <w:p w:rsidR="00B77AFC" w:rsidRPr="00941029" w:rsidRDefault="00B77AFC" w:rsidP="00B83F20">
            <w:pPr>
              <w:numPr>
                <w:ilvl w:val="0"/>
                <w:numId w:val="16"/>
              </w:numPr>
              <w:spacing w:line="276" w:lineRule="auto"/>
              <w:contextualSpacing/>
              <w:rPr>
                <w:color w:val="1F497D" w:themeColor="text2"/>
                <w:lang w:val="en-US"/>
              </w:rPr>
            </w:pPr>
            <w:proofErr w:type="spellStart"/>
            <w:r w:rsidRPr="00182CC9">
              <w:rPr>
                <w:lang w:val="en-US"/>
              </w:rPr>
              <w:t>TiSA</w:t>
            </w:r>
            <w:proofErr w:type="spellEnd"/>
            <w:r w:rsidRPr="00182CC9">
              <w:rPr>
                <w:lang w:val="en-US"/>
              </w:rPr>
              <w:t xml:space="preserve"> parties </w:t>
            </w:r>
            <w:r w:rsidR="009118E4">
              <w:rPr>
                <w:lang w:val="en-US"/>
              </w:rPr>
              <w:t xml:space="preserve">collectively account for around </w:t>
            </w:r>
            <w:r w:rsidRPr="00941029">
              <w:rPr>
                <w:b/>
                <w:color w:val="1F497D" w:themeColor="text2"/>
                <w:lang w:val="en-US"/>
              </w:rPr>
              <w:t>70 per cent of global trade in services</w:t>
            </w:r>
            <w:r w:rsidRPr="00941029">
              <w:rPr>
                <w:color w:val="1F497D" w:themeColor="text2"/>
                <w:lang w:val="en-US"/>
              </w:rPr>
              <w:t>.</w:t>
            </w:r>
          </w:p>
          <w:p w:rsidR="00B77AFC" w:rsidRPr="00182CC9" w:rsidRDefault="00B77AFC" w:rsidP="00B83F20">
            <w:pPr>
              <w:numPr>
                <w:ilvl w:val="0"/>
                <w:numId w:val="16"/>
              </w:numPr>
              <w:spacing w:line="276" w:lineRule="auto"/>
              <w:contextualSpacing/>
              <w:rPr>
                <w:lang w:val="en-US"/>
              </w:rPr>
            </w:pPr>
            <w:r w:rsidRPr="00182CC9">
              <w:rPr>
                <w:lang w:val="en-US"/>
              </w:rPr>
              <w:t xml:space="preserve">The group represents a </w:t>
            </w:r>
            <w:r w:rsidRPr="00941029">
              <w:rPr>
                <w:b/>
                <w:color w:val="1F497D" w:themeColor="text2"/>
                <w:lang w:val="en-US"/>
              </w:rPr>
              <w:t>range of developed and developing economies</w:t>
            </w:r>
            <w:r w:rsidRPr="00941029">
              <w:rPr>
                <w:color w:val="1F497D" w:themeColor="text2"/>
                <w:lang w:val="en-US"/>
              </w:rPr>
              <w:t xml:space="preserve"> </w:t>
            </w:r>
            <w:r w:rsidRPr="00182CC9">
              <w:rPr>
                <w:lang w:val="en-US"/>
              </w:rPr>
              <w:t>and will expand to include other WTO Members as the negotiations progress.</w:t>
            </w:r>
          </w:p>
        </w:tc>
      </w:tr>
    </w:tbl>
    <w:p w:rsidR="00B77AFC" w:rsidRPr="00B77AFC" w:rsidRDefault="00B77AFC" w:rsidP="00E362FE">
      <w:pPr>
        <w:pStyle w:val="ListParagraph"/>
        <w:numPr>
          <w:ilvl w:val="0"/>
          <w:numId w:val="24"/>
        </w:numPr>
        <w:spacing w:before="240" w:after="240" w:line="276" w:lineRule="auto"/>
        <w:rPr>
          <w:lang w:val="en-US"/>
        </w:rPr>
      </w:pPr>
      <w:r w:rsidRPr="00B77AFC">
        <w:rPr>
          <w:lang w:val="en-US"/>
        </w:rPr>
        <w:t>The objective is to negotiate an agreement which is compatible with the WTO GATS, will attract broad participation, and will support and feed back into multilateral trade negotiations.</w:t>
      </w:r>
    </w:p>
    <w:p w:rsidR="00B77AFC" w:rsidRDefault="00B77AFC" w:rsidP="00E362FE">
      <w:pPr>
        <w:pStyle w:val="ListParagraph"/>
        <w:numPr>
          <w:ilvl w:val="0"/>
          <w:numId w:val="24"/>
        </w:numPr>
        <w:spacing w:before="240" w:after="240" w:line="276" w:lineRule="auto"/>
        <w:rPr>
          <w:lang w:val="en-US"/>
        </w:rPr>
      </w:pPr>
      <w:r w:rsidRPr="00B77AFC">
        <w:rPr>
          <w:lang w:val="en-US"/>
        </w:rPr>
        <w:t>In addition to improved market access commitments, the negotiations will provide an opportunity to develop new disciplines (or trade rules) in areas where there has been significant developments since the WTO Uruguay Round negotiations.</w:t>
      </w:r>
    </w:p>
    <w:p w:rsidR="004502E2" w:rsidRDefault="00B77AFC" w:rsidP="00E362FE">
      <w:pPr>
        <w:pStyle w:val="ListParagraph"/>
        <w:numPr>
          <w:ilvl w:val="0"/>
          <w:numId w:val="24"/>
        </w:numPr>
        <w:spacing w:before="240" w:after="240" w:line="276" w:lineRule="auto"/>
        <w:rPr>
          <w:lang w:val="en-US"/>
        </w:rPr>
      </w:pPr>
      <w:r w:rsidRPr="00B77AFC">
        <w:rPr>
          <w:lang w:val="en-US"/>
        </w:rPr>
        <w:t>The negotiations cover trade in all services, including financial services; ICT services (including telecommunications and e-commerce); professional services; transport services; delivery services; energy services; temporary entry of business persons; government procurement; and new rules on domestic regulation to ensure regulatory settings do not operate as a barrier to trade in services.</w:t>
      </w:r>
    </w:p>
    <w:p w:rsidR="00B8549E" w:rsidRPr="00B8549E" w:rsidRDefault="00B8549E" w:rsidP="00B8549E">
      <w:pPr>
        <w:spacing w:before="240" w:after="240" w:line="276" w:lineRule="auto"/>
        <w:ind w:left="284"/>
        <w:rPr>
          <w:lang w:val="en-US"/>
        </w:rPr>
      </w:pPr>
    </w:p>
    <w:p w:rsidR="00B77AFC" w:rsidRPr="004502E2" w:rsidRDefault="00B77AFC" w:rsidP="00E362FE">
      <w:pPr>
        <w:pStyle w:val="ListParagraph"/>
        <w:numPr>
          <w:ilvl w:val="0"/>
          <w:numId w:val="24"/>
        </w:numPr>
        <w:spacing w:before="240" w:after="240" w:line="276" w:lineRule="auto"/>
        <w:rPr>
          <w:lang w:val="en-US"/>
        </w:rPr>
      </w:pPr>
      <w:r w:rsidRPr="004502E2">
        <w:rPr>
          <w:lang w:val="en-US"/>
        </w:rPr>
        <w:lastRenderedPageBreak/>
        <w:t xml:space="preserve">The </w:t>
      </w:r>
      <w:proofErr w:type="spellStart"/>
      <w:r w:rsidRPr="004502E2">
        <w:rPr>
          <w:lang w:val="en-US"/>
        </w:rPr>
        <w:t>TiSA</w:t>
      </w:r>
      <w:proofErr w:type="spellEnd"/>
      <w:r w:rsidRPr="004502E2">
        <w:rPr>
          <w:lang w:val="en-US"/>
        </w:rPr>
        <w:t xml:space="preserve"> will set a new standard in services trade commitments, capturing the progress that has been made through u</w:t>
      </w:r>
      <w:r w:rsidR="00FD0D2A">
        <w:rPr>
          <w:lang w:val="en-US"/>
        </w:rPr>
        <w:t xml:space="preserve">nilateral </w:t>
      </w:r>
      <w:proofErr w:type="spellStart"/>
      <w:r w:rsidR="00FD0D2A">
        <w:rPr>
          <w:lang w:val="en-US"/>
        </w:rPr>
        <w:t>liberalisation</w:t>
      </w:r>
      <w:proofErr w:type="spellEnd"/>
      <w:r w:rsidR="00FD0D2A">
        <w:rPr>
          <w:lang w:val="en-US"/>
        </w:rPr>
        <w:t xml:space="preserve"> and in </w:t>
      </w:r>
      <w:proofErr w:type="spellStart"/>
      <w:r w:rsidR="00FD0D2A">
        <w:rPr>
          <w:lang w:val="en-US"/>
        </w:rPr>
        <w:t>FTAs</w:t>
      </w:r>
      <w:proofErr w:type="spellEnd"/>
      <w:r w:rsidR="00FD0D2A">
        <w:rPr>
          <w:lang w:val="en-US"/>
        </w:rPr>
        <w:t xml:space="preserve"> </w:t>
      </w:r>
      <w:r w:rsidRPr="004502E2">
        <w:rPr>
          <w:lang w:val="en-US"/>
        </w:rPr>
        <w:t xml:space="preserve">outside the multilateral system. Many of the current parties already have relatively open services markets. Locking in existing market access would provide certainty for Australian services suppliers. As participation continues to expand, the </w:t>
      </w:r>
      <w:proofErr w:type="spellStart"/>
      <w:r w:rsidRPr="004502E2">
        <w:rPr>
          <w:lang w:val="en-US"/>
        </w:rPr>
        <w:t>TiSA</w:t>
      </w:r>
      <w:proofErr w:type="spellEnd"/>
      <w:r w:rsidRPr="004502E2">
        <w:rPr>
          <w:lang w:val="en-US"/>
        </w:rPr>
        <w:t xml:space="preserve"> could offer significant additional benefits, particularly for Australian business if countries from our region join and </w:t>
      </w:r>
      <w:proofErr w:type="spellStart"/>
      <w:r w:rsidRPr="004502E2">
        <w:rPr>
          <w:lang w:val="en-US"/>
        </w:rPr>
        <w:t>liberalise</w:t>
      </w:r>
      <w:proofErr w:type="spellEnd"/>
      <w:r w:rsidRPr="004502E2">
        <w:rPr>
          <w:lang w:val="en-US"/>
        </w:rPr>
        <w:t xml:space="preserve"> to meet level of ambition.</w:t>
      </w:r>
    </w:p>
    <w:p w:rsidR="00B77AFC" w:rsidRPr="00182CC9" w:rsidRDefault="00B77AFC" w:rsidP="00182CC9"/>
    <w:p w:rsidR="00182CC9" w:rsidRPr="00182CC9" w:rsidRDefault="00182CC9" w:rsidP="00182CC9">
      <w:r w:rsidRPr="00182CC9">
        <w:rPr>
          <w:noProof/>
          <w:lang w:eastAsia="en-AU"/>
        </w:rPr>
        <w:drawing>
          <wp:inline distT="0" distB="0" distL="0" distR="0" wp14:anchorId="27923E3D" wp14:editId="306A6A00">
            <wp:extent cx="5274310" cy="6251686"/>
            <wp:effectExtent l="0" t="0" r="0" b="0"/>
            <wp:docPr id="12" name="Picture 12" descr="C:\Users\jguivarr\AppData\Local\Microsoft\Windows\Temporary Internet Files\Content.Outlook\69PPELBF\TiSA_TPP_RCEP_Ve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guivarr\AppData\Local\Microsoft\Windows\Temporary Internet Files\Content.Outlook\69PPELBF\TiSA_TPP_RCEP_Venn.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4310" cy="6251686"/>
                    </a:xfrm>
                    <a:prstGeom prst="rect">
                      <a:avLst/>
                    </a:prstGeom>
                    <a:noFill/>
                    <a:ln>
                      <a:noFill/>
                    </a:ln>
                  </pic:spPr>
                </pic:pic>
              </a:graphicData>
            </a:graphic>
          </wp:inline>
        </w:drawing>
      </w:r>
    </w:p>
    <w:p w:rsidR="006F7871" w:rsidRDefault="006F7871">
      <w:pPr>
        <w:rPr>
          <w:rFonts w:asciiTheme="majorHAnsi" w:eastAsiaTheme="majorEastAsia" w:hAnsiTheme="majorHAnsi" w:cstheme="majorBidi"/>
          <w:bCs/>
          <w:i/>
          <w:iCs/>
          <w:color w:val="C0504D" w:themeColor="accent2"/>
          <w:lang w:eastAsia="zh-CN"/>
        </w:rPr>
      </w:pPr>
    </w:p>
    <w:p w:rsidR="00602918" w:rsidRDefault="00602918">
      <w:pPr>
        <w:rPr>
          <w:rFonts w:asciiTheme="majorHAnsi" w:eastAsiaTheme="majorEastAsia" w:hAnsiTheme="majorHAnsi" w:cstheme="majorBidi"/>
          <w:bCs/>
          <w:i/>
          <w:iCs/>
          <w:color w:val="C0504D" w:themeColor="accent2"/>
          <w:lang w:eastAsia="zh-CN"/>
        </w:rPr>
      </w:pPr>
      <w:r>
        <w:rPr>
          <w:b/>
          <w:color w:val="C0504D" w:themeColor="accent2"/>
        </w:rPr>
        <w:br w:type="page"/>
      </w:r>
    </w:p>
    <w:p w:rsidR="00182CC9" w:rsidRPr="00B8614C" w:rsidRDefault="008C2128" w:rsidP="00B8614C">
      <w:pPr>
        <w:pStyle w:val="Heading4"/>
        <w:rPr>
          <w:b w:val="0"/>
          <w:color w:val="C0504D" w:themeColor="accent2"/>
        </w:rPr>
      </w:pPr>
      <w:r w:rsidRPr="00B8614C">
        <w:rPr>
          <w:b w:val="0"/>
          <w:color w:val="C0504D" w:themeColor="accent2"/>
        </w:rPr>
        <w:lastRenderedPageBreak/>
        <w:t>Pacific Agreement on Closer Economic Relations (PACER Plus)</w:t>
      </w:r>
    </w:p>
    <w:p w:rsidR="00182CC9" w:rsidRPr="00182CC9" w:rsidRDefault="00182CC9" w:rsidP="00E362FE">
      <w:pPr>
        <w:pStyle w:val="ListParagraph"/>
        <w:numPr>
          <w:ilvl w:val="0"/>
          <w:numId w:val="24"/>
        </w:numPr>
        <w:spacing w:before="240" w:after="240" w:line="276" w:lineRule="auto"/>
      </w:pPr>
      <w:r w:rsidRPr="00182CC9">
        <w:t>Australia is negotiating the Pacific Agreement on Clos</w:t>
      </w:r>
      <w:r w:rsidR="00B65ED9">
        <w:t>er Economic Relations, (</w:t>
      </w:r>
      <w:r w:rsidRPr="00182CC9">
        <w:t>PACER Plus</w:t>
      </w:r>
      <w:r w:rsidR="00B65ED9">
        <w:t xml:space="preserve">) </w:t>
      </w:r>
      <w:r w:rsidRPr="00182CC9">
        <w:t xml:space="preserve">as part of the government’s efforts to foster regional economic growth, integration and stability in the Pacific.  </w:t>
      </w:r>
      <w:r w:rsidR="00552F4F">
        <w:t>Pacific Islands Forum Leaders launched negotiations on PACER Plus at their 40</w:t>
      </w:r>
      <w:r w:rsidR="00552F4F" w:rsidRPr="00552F4F">
        <w:rPr>
          <w:vertAlign w:val="superscript"/>
        </w:rPr>
        <w:t>th</w:t>
      </w:r>
      <w:r w:rsidR="00552F4F">
        <w:t xml:space="preserve"> meeting in August 2009.</w:t>
      </w:r>
      <w:r w:rsidR="003B2F6E">
        <w:t xml:space="preserve">  </w:t>
      </w:r>
    </w:p>
    <w:p w:rsidR="00182CC9" w:rsidRPr="00182CC9" w:rsidRDefault="00182CC9" w:rsidP="00E362FE">
      <w:pPr>
        <w:pStyle w:val="ListParagraph"/>
        <w:numPr>
          <w:ilvl w:val="0"/>
          <w:numId w:val="24"/>
        </w:numPr>
        <w:spacing w:before="240" w:after="240" w:line="276" w:lineRule="auto"/>
      </w:pPr>
      <w:r w:rsidRPr="00182CC9">
        <w:t>PACER Plus aims to improve the economic growth prospects of the 14 negotiating Pacific Island Count</w:t>
      </w:r>
      <w:r w:rsidR="005E23CC">
        <w:t>r</w:t>
      </w:r>
      <w:r w:rsidRPr="00182CC9">
        <w:t>ies, many of which are not members of the W</w:t>
      </w:r>
      <w:r w:rsidR="00B65ED9">
        <w:t>TO</w:t>
      </w:r>
      <w:r w:rsidRPr="00182CC9">
        <w:t>, by integrating them with</w:t>
      </w:r>
      <w:r w:rsidR="003E4EF4">
        <w:t>in</w:t>
      </w:r>
      <w:r w:rsidRPr="00182CC9">
        <w:t xml:space="preserve"> the global trading system and building cohesive tra</w:t>
      </w:r>
      <w:r w:rsidR="003E4EF4">
        <w:t xml:space="preserve">de and investment links with </w:t>
      </w:r>
      <w:r w:rsidRPr="00182CC9">
        <w:t xml:space="preserve">Australia and New Zealand, their closest major trading partners.  In recognition of the differing capacities of the Parties, Australia and New Zealand will assist the Pacific Island Countries to implement their trade and investment obligations through a Development and Economic Cooperation chapter. </w:t>
      </w:r>
    </w:p>
    <w:tbl>
      <w:tblPr>
        <w:tblStyle w:val="TableGrid"/>
        <w:tblW w:w="0" w:type="auto"/>
        <w:tblInd w:w="392" w:type="dxa"/>
        <w:shd w:val="clear" w:color="auto" w:fill="DBE5F1" w:themeFill="accent1" w:themeFillTint="33"/>
        <w:tblLook w:val="04A0" w:firstRow="1" w:lastRow="0" w:firstColumn="1" w:lastColumn="0" w:noHBand="0" w:noVBand="1"/>
      </w:tblPr>
      <w:tblGrid>
        <w:gridCol w:w="8136"/>
      </w:tblGrid>
      <w:tr w:rsidR="00182CC9" w:rsidRPr="00182CC9" w:rsidTr="00A80B0E">
        <w:tc>
          <w:tcPr>
            <w:tcW w:w="8647" w:type="dxa"/>
            <w:shd w:val="clear" w:color="auto" w:fill="DBE5F1" w:themeFill="accent1" w:themeFillTint="33"/>
          </w:tcPr>
          <w:p w:rsidR="00702C5E" w:rsidRPr="00544A97" w:rsidRDefault="00702C5E" w:rsidP="00702C5E">
            <w:pPr>
              <w:numPr>
                <w:ilvl w:val="0"/>
                <w:numId w:val="14"/>
              </w:numPr>
              <w:contextualSpacing/>
            </w:pPr>
            <w:r w:rsidRPr="00544A97">
              <w:t xml:space="preserve">Participants in the PACER Plus negotiations include Australia, Cook Islands, Federated States of Micronesia, Fiji, Kiribati, Nauru, New Zealand, Niue, Palau, Papua New Guinea, Republic of Marshall Islands, Samoa, Solomon Islands, Tonga, </w:t>
            </w:r>
            <w:proofErr w:type="spellStart"/>
            <w:r w:rsidRPr="00544A97">
              <w:t>Tulavu</w:t>
            </w:r>
            <w:proofErr w:type="spellEnd"/>
            <w:r w:rsidRPr="00544A97">
              <w:t xml:space="preserve"> and Vanuatu.</w:t>
            </w:r>
          </w:p>
          <w:p w:rsidR="00702C5E" w:rsidRPr="00544A97" w:rsidRDefault="00702C5E" w:rsidP="00702C5E">
            <w:pPr>
              <w:numPr>
                <w:ilvl w:val="0"/>
                <w:numId w:val="14"/>
              </w:numPr>
              <w:contextualSpacing/>
              <w:rPr>
                <w:b/>
              </w:rPr>
            </w:pPr>
            <w:r w:rsidRPr="00544A97">
              <w:rPr>
                <w:lang w:val="en-US"/>
              </w:rPr>
              <w:t xml:space="preserve">The value of </w:t>
            </w:r>
            <w:r w:rsidRPr="00941029">
              <w:rPr>
                <w:b/>
                <w:color w:val="1F497D" w:themeColor="text2"/>
                <w:lang w:val="en-US"/>
              </w:rPr>
              <w:t>Australia’s merchandise trade with PACER Plus countries</w:t>
            </w:r>
            <w:r w:rsidRPr="00941029">
              <w:rPr>
                <w:color w:val="1F497D" w:themeColor="text2"/>
                <w:lang w:val="en-US"/>
              </w:rPr>
              <w:t xml:space="preserve"> </w:t>
            </w:r>
            <w:r w:rsidRPr="00544A97">
              <w:rPr>
                <w:lang w:val="en-US"/>
              </w:rPr>
              <w:t xml:space="preserve">was valued at </w:t>
            </w:r>
            <w:r w:rsidRPr="00941029">
              <w:rPr>
                <w:b/>
                <w:color w:val="1F497D" w:themeColor="text2"/>
                <w:lang w:val="en-US"/>
              </w:rPr>
              <w:t xml:space="preserve">$22.5 billion </w:t>
            </w:r>
            <w:r w:rsidR="000E7564">
              <w:rPr>
                <w:lang w:val="en-US"/>
              </w:rPr>
              <w:t>(</w:t>
            </w:r>
            <w:r w:rsidRPr="00544A97">
              <w:rPr>
                <w:lang w:val="en-US"/>
              </w:rPr>
              <w:t>$6.9 billion with</w:t>
            </w:r>
            <w:r w:rsidR="000E7564">
              <w:rPr>
                <w:lang w:val="en-US"/>
              </w:rPr>
              <w:t xml:space="preserve"> Pacific Island Countries and </w:t>
            </w:r>
            <w:r w:rsidRPr="00544A97">
              <w:rPr>
                <w:lang w:val="en-US"/>
              </w:rPr>
              <w:t>$15.5 billion with New Zealand) in 2013-14</w:t>
            </w:r>
            <w:r w:rsidRPr="00544A97">
              <w:rPr>
                <w:b/>
                <w:lang w:val="en-US"/>
              </w:rPr>
              <w:t>.</w:t>
            </w:r>
          </w:p>
          <w:p w:rsidR="00182CC9" w:rsidRPr="00552F4F" w:rsidRDefault="00702C5E" w:rsidP="00702C5E">
            <w:pPr>
              <w:numPr>
                <w:ilvl w:val="0"/>
                <w:numId w:val="14"/>
              </w:numPr>
              <w:contextualSpacing/>
            </w:pPr>
            <w:r w:rsidRPr="00544A97">
              <w:t xml:space="preserve">The value of </w:t>
            </w:r>
            <w:r w:rsidRPr="00941029">
              <w:rPr>
                <w:b/>
                <w:color w:val="1F497D" w:themeColor="text2"/>
              </w:rPr>
              <w:t>Australia’s services trade with PACER Plus countries</w:t>
            </w:r>
            <w:r w:rsidRPr="00941029">
              <w:rPr>
                <w:color w:val="1F497D" w:themeColor="text2"/>
              </w:rPr>
              <w:t xml:space="preserve"> </w:t>
            </w:r>
            <w:r w:rsidRPr="00544A97">
              <w:t xml:space="preserve">was valued at </w:t>
            </w:r>
            <w:r w:rsidRPr="00941029">
              <w:rPr>
                <w:b/>
                <w:color w:val="1F497D" w:themeColor="text2"/>
              </w:rPr>
              <w:t>$9.7 billion</w:t>
            </w:r>
            <w:r w:rsidRPr="00941029">
              <w:rPr>
                <w:color w:val="1F497D" w:themeColor="text2"/>
              </w:rPr>
              <w:t xml:space="preserve"> </w:t>
            </w:r>
            <w:r w:rsidR="000E7564">
              <w:t>(</w:t>
            </w:r>
            <w:r w:rsidRPr="00544A97">
              <w:t>$2.5 billion with Pacific Island Countries (principally travel</w:t>
            </w:r>
            <w:r w:rsidR="000E7564">
              <w:t xml:space="preserve"> services data only), and </w:t>
            </w:r>
            <w:r w:rsidRPr="00544A97">
              <w:t xml:space="preserve">$7.2 billion with New Zealand) </w:t>
            </w:r>
            <w:r w:rsidRPr="00544A97">
              <w:rPr>
                <w:lang w:val="en-US"/>
              </w:rPr>
              <w:t>in 2013-14.</w:t>
            </w:r>
            <w:r w:rsidR="00270317">
              <w:rPr>
                <w:rStyle w:val="FootnoteReference"/>
                <w:lang w:val="en-US"/>
              </w:rPr>
              <w:footnoteReference w:id="9"/>
            </w:r>
          </w:p>
          <w:p w:rsidR="00552F4F" w:rsidRPr="00182CC9" w:rsidRDefault="00552F4F" w:rsidP="00702C5E">
            <w:pPr>
              <w:numPr>
                <w:ilvl w:val="0"/>
                <w:numId w:val="14"/>
              </w:numPr>
              <w:contextualSpacing/>
            </w:pPr>
            <w:r>
              <w:rPr>
                <w:lang w:val="en-US"/>
              </w:rPr>
              <w:t xml:space="preserve">The PACER Plus negotiations will include elements of </w:t>
            </w:r>
            <w:r w:rsidRPr="00941029">
              <w:rPr>
                <w:b/>
                <w:color w:val="1F497D" w:themeColor="text2"/>
                <w:lang w:val="en-US"/>
              </w:rPr>
              <w:t>trade capacity-building,</w:t>
            </w:r>
            <w:r>
              <w:rPr>
                <w:lang w:val="en-US"/>
              </w:rPr>
              <w:t xml:space="preserve"> and trade assistance designed to strengthen Pacific Island Countries’ </w:t>
            </w:r>
            <w:r w:rsidRPr="00941029">
              <w:rPr>
                <w:b/>
                <w:color w:val="1F497D" w:themeColor="text2"/>
                <w:lang w:val="en-US"/>
              </w:rPr>
              <w:t>ability to trade.</w:t>
            </w:r>
          </w:p>
        </w:tc>
      </w:tr>
    </w:tbl>
    <w:p w:rsidR="00182CC9" w:rsidRDefault="00182CC9" w:rsidP="00E362FE">
      <w:pPr>
        <w:pStyle w:val="ListParagraph"/>
        <w:numPr>
          <w:ilvl w:val="0"/>
          <w:numId w:val="24"/>
        </w:numPr>
        <w:spacing w:before="240" w:after="240" w:line="276" w:lineRule="auto"/>
      </w:pPr>
      <w:r w:rsidRPr="00182CC9">
        <w:t>The proposed Agreement will encourage greater cross-border trade in services and investment amongst the Parties through improved rules, greater transparency and less discrimination against foreign service</w:t>
      </w:r>
      <w:r w:rsidR="00B72EFD">
        <w:t xml:space="preserve"> providers and investors.  I</w:t>
      </w:r>
      <w:r w:rsidRPr="00182CC9">
        <w:t xml:space="preserve">mplementation will help </w:t>
      </w:r>
      <w:r w:rsidR="00552F4F">
        <w:t>stimulate the development of Pacific Island Countries’</w:t>
      </w:r>
      <w:r w:rsidRPr="00182CC9">
        <w:t xml:space="preserve"> domestic services sectors, which are often the dominant sectors in each economy</w:t>
      </w:r>
      <w:r w:rsidR="00B72EFD">
        <w:t>, driving</w:t>
      </w:r>
      <w:r w:rsidRPr="00182CC9">
        <w:t xml:space="preserve"> growth and emp</w:t>
      </w:r>
      <w:r w:rsidR="00B72EFD">
        <w:t>loyment opportunities</w:t>
      </w:r>
      <w:r w:rsidRPr="00182CC9">
        <w:t>.  A more liberal and integrated regional market for goods, services and investment will increase and broaden opportunities for investment across the Pac</w:t>
      </w:r>
      <w:r w:rsidR="00552F4F">
        <w:t>ific, and for Australian and Pacific</w:t>
      </w:r>
      <w:r w:rsidRPr="00182CC9">
        <w:t xml:space="preserve"> businesses to participate in regional and global value chains. </w:t>
      </w:r>
    </w:p>
    <w:p w:rsidR="009913F3" w:rsidRDefault="009913F3" w:rsidP="009913F3">
      <w:pPr>
        <w:ind w:left="284"/>
        <w:rPr>
          <w:rFonts w:asciiTheme="minorHAnsi" w:hAnsiTheme="minorHAnsi" w:cstheme="minorHAnsi"/>
          <w:color w:val="000000" w:themeColor="text1"/>
          <w:sz w:val="23"/>
          <w:szCs w:val="23"/>
        </w:rPr>
      </w:pPr>
    </w:p>
    <w:p w:rsidR="009913F3" w:rsidRPr="009913F3" w:rsidRDefault="009913F3" w:rsidP="009913F3">
      <w:pPr>
        <w:ind w:left="284"/>
        <w:rPr>
          <w:rFonts w:asciiTheme="minorHAnsi" w:hAnsiTheme="minorHAnsi" w:cstheme="minorHAnsi"/>
          <w:color w:val="000000" w:themeColor="text1"/>
          <w:sz w:val="23"/>
          <w:szCs w:val="23"/>
        </w:rPr>
      </w:pPr>
    </w:p>
    <w:tbl>
      <w:tblPr>
        <w:tblStyle w:val="TableGrid"/>
        <w:tblW w:w="0" w:type="auto"/>
        <w:shd w:val="clear" w:color="auto" w:fill="DBE5F1" w:themeFill="accent1" w:themeFillTint="33"/>
        <w:tblLook w:val="04A0" w:firstRow="1" w:lastRow="0" w:firstColumn="1" w:lastColumn="0" w:noHBand="0" w:noVBand="1"/>
      </w:tblPr>
      <w:tblGrid>
        <w:gridCol w:w="8522"/>
      </w:tblGrid>
      <w:tr w:rsidR="009913F3" w:rsidTr="009913F3">
        <w:tc>
          <w:tcPr>
            <w:tcW w:w="8522" w:type="dxa"/>
            <w:shd w:val="clear" w:color="auto" w:fill="DBE5F1" w:themeFill="accent1" w:themeFillTint="33"/>
          </w:tcPr>
          <w:p w:rsidR="009913F3" w:rsidRPr="009913F3" w:rsidRDefault="009913F3" w:rsidP="0050634E">
            <w:pPr>
              <w:pStyle w:val="Heading3"/>
              <w:jc w:val="center"/>
              <w:rPr>
                <w:i/>
                <w:color w:val="1F497D" w:themeColor="text2"/>
              </w:rPr>
            </w:pPr>
            <w:bookmarkStart w:id="55" w:name="_Toc424644357"/>
            <w:r w:rsidRPr="009913F3">
              <w:rPr>
                <w:i/>
                <w:color w:val="1F497D" w:themeColor="text2"/>
              </w:rPr>
              <w:lastRenderedPageBreak/>
              <w:t>Australia’s participation in trade negotiations – myths versus realities</w:t>
            </w:r>
            <w:bookmarkEnd w:id="55"/>
          </w:p>
          <w:p w:rsidR="009913F3" w:rsidRDefault="009913F3" w:rsidP="0050634E">
            <w:pPr>
              <w:rPr>
                <w:b/>
                <w:bCs/>
                <w:iCs/>
                <w:caps/>
                <w:color w:val="1F497D" w:themeColor="text2"/>
                <w:sz w:val="23"/>
                <w:szCs w:val="23"/>
              </w:rPr>
            </w:pPr>
          </w:p>
          <w:p w:rsidR="00B53D46" w:rsidRDefault="00B53D46" w:rsidP="0050634E">
            <w:pPr>
              <w:rPr>
                <w:b/>
                <w:bCs/>
                <w:iCs/>
                <w:caps/>
                <w:color w:val="1F497D" w:themeColor="text2"/>
                <w:sz w:val="23"/>
                <w:szCs w:val="23"/>
              </w:rPr>
            </w:pPr>
          </w:p>
          <w:p w:rsidR="009913F3" w:rsidRDefault="009913F3" w:rsidP="009913F3">
            <w:pPr>
              <w:rPr>
                <w:b/>
                <w:bCs/>
                <w:iCs/>
                <w:caps/>
                <w:color w:val="1F497D" w:themeColor="text2"/>
                <w:sz w:val="23"/>
                <w:szCs w:val="23"/>
              </w:rPr>
            </w:pPr>
            <w:r w:rsidRPr="00602918">
              <w:rPr>
                <w:b/>
                <w:bCs/>
                <w:iCs/>
                <w:caps/>
                <w:color w:val="1F497D" w:themeColor="text2"/>
                <w:sz w:val="23"/>
                <w:szCs w:val="23"/>
              </w:rPr>
              <w:t>Myth: trade NEGOTIATIONS WILL lead to the privatisation of Australia’s public services, including health services</w:t>
            </w:r>
          </w:p>
          <w:p w:rsidR="009913F3" w:rsidRPr="009913F3" w:rsidRDefault="009913F3" w:rsidP="009913F3">
            <w:pPr>
              <w:rPr>
                <w:b/>
                <w:bCs/>
                <w:iCs/>
                <w:caps/>
                <w:color w:val="1F497D" w:themeColor="text2"/>
                <w:sz w:val="12"/>
                <w:szCs w:val="12"/>
              </w:rPr>
            </w:pPr>
          </w:p>
          <w:p w:rsidR="009913F3" w:rsidRPr="00602918" w:rsidRDefault="009913F3" w:rsidP="0050634E">
            <w:pPr>
              <w:rPr>
                <w:b/>
                <w:color w:val="1F497D" w:themeColor="text2"/>
                <w:sz w:val="23"/>
                <w:szCs w:val="23"/>
              </w:rPr>
            </w:pPr>
            <w:r w:rsidRPr="00602918">
              <w:rPr>
                <w:b/>
                <w:color w:val="1F497D" w:themeColor="text2"/>
                <w:sz w:val="23"/>
                <w:szCs w:val="23"/>
              </w:rPr>
              <w:t>Reality: No</w:t>
            </w:r>
          </w:p>
          <w:p w:rsidR="009913F3" w:rsidRPr="00602918" w:rsidRDefault="009913F3" w:rsidP="0050634E">
            <w:pPr>
              <w:rPr>
                <w:sz w:val="23"/>
                <w:szCs w:val="23"/>
              </w:rPr>
            </w:pPr>
            <w:r w:rsidRPr="00602918">
              <w:rPr>
                <w:sz w:val="23"/>
                <w:szCs w:val="23"/>
              </w:rPr>
              <w:t xml:space="preserve">Australia’s negotiation of services as part of a bilateral, regional or multilateral trade negotiation will not prevent the Australian Government from regulating in the public interest.  Australia will not agree to requirements that necessitate the privatisation of public services.  It is standard practice for Australia not to offer to make any commitments that would impact on public services in our trade agreements.  This includes health, public education, public utilities, social security and other public services. </w:t>
            </w:r>
          </w:p>
          <w:p w:rsidR="009913F3" w:rsidRPr="00602918" w:rsidRDefault="009913F3" w:rsidP="0050634E">
            <w:pPr>
              <w:rPr>
                <w:sz w:val="23"/>
                <w:szCs w:val="23"/>
              </w:rPr>
            </w:pPr>
          </w:p>
          <w:p w:rsidR="009913F3" w:rsidRPr="00602918" w:rsidRDefault="009913F3" w:rsidP="0050634E">
            <w:pPr>
              <w:rPr>
                <w:b/>
                <w:caps/>
                <w:color w:val="1F497D" w:themeColor="text2"/>
                <w:sz w:val="23"/>
                <w:szCs w:val="23"/>
              </w:rPr>
            </w:pPr>
            <w:r w:rsidRPr="00602918">
              <w:rPr>
                <w:b/>
                <w:caps/>
                <w:color w:val="1F497D" w:themeColor="text2"/>
                <w:sz w:val="23"/>
                <w:szCs w:val="23"/>
              </w:rPr>
              <w:t>Myth: TRADE negotiations will undermine the stability of Australia’s banks</w:t>
            </w:r>
          </w:p>
          <w:p w:rsidR="009913F3" w:rsidRPr="009913F3" w:rsidRDefault="009913F3" w:rsidP="0050634E">
            <w:pPr>
              <w:rPr>
                <w:sz w:val="12"/>
                <w:szCs w:val="12"/>
              </w:rPr>
            </w:pPr>
          </w:p>
          <w:p w:rsidR="009913F3" w:rsidRPr="00602918" w:rsidRDefault="00941029" w:rsidP="0050634E">
            <w:pPr>
              <w:rPr>
                <w:b/>
                <w:color w:val="1F497D" w:themeColor="text2"/>
                <w:sz w:val="23"/>
                <w:szCs w:val="23"/>
              </w:rPr>
            </w:pPr>
            <w:r>
              <w:rPr>
                <w:b/>
                <w:color w:val="1F497D" w:themeColor="text2"/>
                <w:sz w:val="23"/>
                <w:szCs w:val="23"/>
              </w:rPr>
              <w:t>Reality: No</w:t>
            </w:r>
          </w:p>
          <w:p w:rsidR="009913F3" w:rsidRPr="00602918" w:rsidRDefault="009913F3" w:rsidP="0050634E">
            <w:pPr>
              <w:rPr>
                <w:sz w:val="23"/>
                <w:szCs w:val="23"/>
              </w:rPr>
            </w:pPr>
            <w:r w:rsidRPr="00602918">
              <w:rPr>
                <w:sz w:val="23"/>
                <w:szCs w:val="23"/>
              </w:rPr>
              <w:t>Australia’s system of prudential measures has been central to the stability of our financial system.  Nothing in our trade negotiations will require Australia to take action that limits our right to maintain prudential measures that are in Australia’s economic interests.  Or, affect the Government’s ability to maintain the “four pillars” banking policy in Australia.</w:t>
            </w:r>
          </w:p>
          <w:p w:rsidR="009913F3" w:rsidRPr="00602918" w:rsidRDefault="009913F3" w:rsidP="0050634E">
            <w:pPr>
              <w:rPr>
                <w:sz w:val="23"/>
                <w:szCs w:val="23"/>
              </w:rPr>
            </w:pPr>
          </w:p>
          <w:p w:rsidR="009913F3" w:rsidRPr="00602918" w:rsidRDefault="009913F3" w:rsidP="0050634E">
            <w:pPr>
              <w:rPr>
                <w:b/>
                <w:caps/>
                <w:color w:val="1F497D" w:themeColor="text2"/>
                <w:sz w:val="23"/>
                <w:szCs w:val="23"/>
              </w:rPr>
            </w:pPr>
            <w:r w:rsidRPr="00602918">
              <w:rPr>
                <w:b/>
                <w:caps/>
                <w:color w:val="1F497D" w:themeColor="text2"/>
                <w:sz w:val="23"/>
                <w:szCs w:val="23"/>
              </w:rPr>
              <w:t>Myth: trade NEGOTIATIONS will undermine australia’s world class profeessional qualifications and standards</w:t>
            </w:r>
          </w:p>
          <w:p w:rsidR="009913F3" w:rsidRPr="009913F3" w:rsidRDefault="009913F3" w:rsidP="0050634E">
            <w:pPr>
              <w:rPr>
                <w:sz w:val="12"/>
                <w:szCs w:val="12"/>
              </w:rPr>
            </w:pPr>
          </w:p>
          <w:p w:rsidR="009913F3" w:rsidRPr="00602918" w:rsidRDefault="009913F3" w:rsidP="0050634E">
            <w:pPr>
              <w:rPr>
                <w:b/>
                <w:color w:val="1F497D" w:themeColor="text2"/>
                <w:sz w:val="23"/>
                <w:szCs w:val="23"/>
              </w:rPr>
            </w:pPr>
            <w:r w:rsidRPr="00602918">
              <w:rPr>
                <w:b/>
                <w:color w:val="1F497D" w:themeColor="text2"/>
                <w:sz w:val="23"/>
                <w:szCs w:val="23"/>
              </w:rPr>
              <w:t>Realit</w:t>
            </w:r>
            <w:r w:rsidR="00941029">
              <w:rPr>
                <w:b/>
                <w:color w:val="1F497D" w:themeColor="text2"/>
                <w:sz w:val="23"/>
                <w:szCs w:val="23"/>
              </w:rPr>
              <w:t>y: No</w:t>
            </w:r>
          </w:p>
          <w:p w:rsidR="009913F3" w:rsidRPr="00602918" w:rsidRDefault="009913F3" w:rsidP="0050634E">
            <w:pPr>
              <w:rPr>
                <w:sz w:val="23"/>
                <w:szCs w:val="23"/>
              </w:rPr>
            </w:pPr>
            <w:r w:rsidRPr="00602918">
              <w:rPr>
                <w:sz w:val="23"/>
                <w:szCs w:val="23"/>
              </w:rPr>
              <w:t>The Australian Government wants Australian professionals to have improved access to overseas markets at the same level of openness we provide for foreign professionals in Australia.  This ambition will not impact on Australia’s ability to regulate professional services or result in any changes to Australia’s immigration arrangements system.</w:t>
            </w:r>
          </w:p>
          <w:p w:rsidR="009913F3" w:rsidRPr="00602918" w:rsidRDefault="009913F3" w:rsidP="0050634E">
            <w:pPr>
              <w:rPr>
                <w:sz w:val="23"/>
                <w:szCs w:val="23"/>
              </w:rPr>
            </w:pPr>
          </w:p>
          <w:p w:rsidR="009913F3" w:rsidRPr="00602918" w:rsidRDefault="009913F3" w:rsidP="0050634E">
            <w:pPr>
              <w:rPr>
                <w:b/>
                <w:caps/>
                <w:color w:val="1F497D" w:themeColor="text2"/>
                <w:sz w:val="23"/>
                <w:szCs w:val="23"/>
              </w:rPr>
            </w:pPr>
            <w:r w:rsidRPr="00602918">
              <w:rPr>
                <w:b/>
                <w:caps/>
                <w:color w:val="1F497D" w:themeColor="text2"/>
                <w:sz w:val="23"/>
                <w:szCs w:val="23"/>
              </w:rPr>
              <w:t>Myth: trade negotiations will resULT in a FLOOD of Foreign workers entering Australia</w:t>
            </w:r>
          </w:p>
          <w:p w:rsidR="009913F3" w:rsidRPr="00602918" w:rsidRDefault="009913F3" w:rsidP="0050634E">
            <w:pPr>
              <w:pStyle w:val="PlainText"/>
              <w:rPr>
                <w:rFonts w:ascii="Times New Roman" w:hAnsi="Times New Roman" w:cs="Times New Roman"/>
                <w:b/>
                <w:sz w:val="23"/>
                <w:szCs w:val="23"/>
              </w:rPr>
            </w:pPr>
          </w:p>
          <w:p w:rsidR="009913F3" w:rsidRPr="00602918" w:rsidRDefault="009913F3" w:rsidP="0050634E">
            <w:pPr>
              <w:pStyle w:val="PlainText"/>
              <w:rPr>
                <w:rFonts w:ascii="Times New Roman" w:hAnsi="Times New Roman" w:cs="Times New Roman"/>
                <w:b/>
                <w:color w:val="1F497D" w:themeColor="text2"/>
                <w:sz w:val="23"/>
                <w:szCs w:val="23"/>
              </w:rPr>
            </w:pPr>
            <w:r w:rsidRPr="00602918">
              <w:rPr>
                <w:rFonts w:ascii="Times New Roman" w:hAnsi="Times New Roman" w:cs="Times New Roman"/>
                <w:b/>
                <w:color w:val="1F497D" w:themeColor="text2"/>
                <w:sz w:val="23"/>
                <w:szCs w:val="23"/>
              </w:rPr>
              <w:t>Reality: No</w:t>
            </w:r>
          </w:p>
          <w:p w:rsidR="009913F3" w:rsidRPr="00602918" w:rsidRDefault="009913F3" w:rsidP="0050634E">
            <w:pPr>
              <w:pStyle w:val="PlainText"/>
              <w:rPr>
                <w:rFonts w:ascii="Times New Roman" w:hAnsi="Times New Roman" w:cs="Times New Roman"/>
                <w:sz w:val="23"/>
                <w:szCs w:val="23"/>
              </w:rPr>
            </w:pPr>
            <w:r w:rsidRPr="00602918">
              <w:rPr>
                <w:rFonts w:ascii="Times New Roman" w:hAnsi="Times New Roman" w:cs="Times New Roman"/>
                <w:sz w:val="23"/>
                <w:szCs w:val="23"/>
              </w:rPr>
              <w:t xml:space="preserve">Participation in trade agreements will not result in foreign workers having unfettered access to the Australian labour market.  Australia’s existing 457 visa program, which is designed to enable employers to address labour shortages by bringing in genuinely skilled workers where they cannot find an appropriately skilled Australian, is the basis for all of Australia’s temporary entry commitments and negotiations.  Negotiation of trade agreements will not remove the need for employer sponsorship of skilled foreign workers, nor the need to meet market salary rates and employment conditions equivalent to Australian workers.  </w:t>
            </w:r>
          </w:p>
          <w:p w:rsidR="009913F3" w:rsidRDefault="009913F3" w:rsidP="00B53D46"/>
        </w:tc>
      </w:tr>
    </w:tbl>
    <w:p w:rsidR="009913F3" w:rsidRDefault="009913F3" w:rsidP="009913F3">
      <w:pPr>
        <w:spacing w:before="240" w:after="240" w:line="276" w:lineRule="auto"/>
      </w:pPr>
    </w:p>
    <w:p w:rsidR="00B53D46" w:rsidRPr="00182CC9" w:rsidRDefault="00B53D46" w:rsidP="009913F3">
      <w:pPr>
        <w:spacing w:before="240" w:after="240" w:line="276" w:lineRule="auto"/>
      </w:pPr>
    </w:p>
    <w:p w:rsidR="00182CC9" w:rsidRPr="00B8614C" w:rsidRDefault="00182CC9" w:rsidP="00B8614C">
      <w:pPr>
        <w:pStyle w:val="Heading4"/>
        <w:rPr>
          <w:b w:val="0"/>
          <w:color w:val="C0504D" w:themeColor="accent2"/>
        </w:rPr>
      </w:pPr>
      <w:r w:rsidRPr="00B8614C">
        <w:rPr>
          <w:b w:val="0"/>
          <w:color w:val="C0504D" w:themeColor="accent2"/>
        </w:rPr>
        <w:lastRenderedPageBreak/>
        <w:t>APEC</w:t>
      </w:r>
    </w:p>
    <w:p w:rsidR="00B65ED9" w:rsidRDefault="00182CC9" w:rsidP="00E362FE">
      <w:pPr>
        <w:pStyle w:val="ListParagraph"/>
        <w:numPr>
          <w:ilvl w:val="0"/>
          <w:numId w:val="24"/>
        </w:numPr>
        <w:spacing w:before="240" w:after="240" w:line="276" w:lineRule="auto"/>
      </w:pPr>
      <w:r w:rsidRPr="00B65ED9">
        <w:rPr>
          <w:lang w:val="en"/>
        </w:rPr>
        <w:t>The Asia-Pacific Economic Cooperation (APEC) forum</w:t>
      </w:r>
      <w:r w:rsidRPr="00182CC9">
        <w:t xml:space="preserve"> is used by Australia to advocate unilateral reform and promote open and transparent markets in the Asia Pacific region.  APEC’s focus is on practical, “behind the border” issues and institutional and regulatory c</w:t>
      </w:r>
      <w:r w:rsidR="00421349">
        <w:t>apacity building.  S</w:t>
      </w:r>
      <w:r w:rsidRPr="00182CC9">
        <w:t xml:space="preserve">ervices </w:t>
      </w:r>
      <w:r w:rsidR="00421349">
        <w:t xml:space="preserve">trade </w:t>
      </w:r>
      <w:r w:rsidRPr="00182CC9">
        <w:t xml:space="preserve">and investment </w:t>
      </w:r>
      <w:r w:rsidR="00421349">
        <w:t xml:space="preserve">liberalisation </w:t>
      </w:r>
      <w:r w:rsidRPr="00182CC9">
        <w:t xml:space="preserve">is a high priority for Australia within APEC.  </w:t>
      </w:r>
      <w:r w:rsidR="00421349" w:rsidRPr="00CF0230">
        <w:t>DFAT’s investment work in APEC is aimed at improving the enabling “behind the border” environment for Australian services exports and investors and complements the legally binding commitments secured through trade negotiations.</w:t>
      </w:r>
    </w:p>
    <w:p w:rsidR="00B83F20" w:rsidRDefault="00182CC9" w:rsidP="00E362FE">
      <w:pPr>
        <w:pStyle w:val="ListParagraph"/>
        <w:numPr>
          <w:ilvl w:val="0"/>
          <w:numId w:val="24"/>
        </w:numPr>
        <w:spacing w:before="240" w:after="240" w:line="276" w:lineRule="auto"/>
      </w:pPr>
      <w:r w:rsidRPr="00182CC9">
        <w:t>Australia is working closely with the Philippines during its APEC host year in 2015 to develop an overarching APEC Services Cooperation Framework (ASCF).  The ASCF is envisioned to be an action plan for multi-fora and multi-stakeholder dialogue and collaboration to build on and implement the services elements of APEC’s work.  One of its components will be an APEC Services Knowledge Centre.  Building on the</w:t>
      </w:r>
      <w:r w:rsidR="002D505B">
        <w:t xml:space="preserve"> Australia-led</w:t>
      </w:r>
      <w:r w:rsidRPr="00182CC9">
        <w:t xml:space="preserve"> APEC STAR Database</w:t>
      </w:r>
      <w:r w:rsidR="002D505B">
        <w:rPr>
          <w:rStyle w:val="FootnoteReference"/>
        </w:rPr>
        <w:footnoteReference w:id="10"/>
      </w:r>
      <w:r w:rsidRPr="00182CC9">
        <w:t>, it will be a virtual knowledge-sharing platform of information and best practices of services-related policies and programs of</w:t>
      </w:r>
      <w:r w:rsidR="00B83F20">
        <w:t xml:space="preserve"> the 21 APEC member economies.</w:t>
      </w:r>
    </w:p>
    <w:p w:rsidR="00B83F20" w:rsidRDefault="002D505B" w:rsidP="00E362FE">
      <w:pPr>
        <w:pStyle w:val="ListParagraph"/>
        <w:numPr>
          <w:ilvl w:val="0"/>
          <w:numId w:val="24"/>
        </w:numPr>
        <w:spacing w:before="240" w:after="240" w:line="276" w:lineRule="auto"/>
      </w:pPr>
      <w:r w:rsidRPr="00CF0230">
        <w:t>A</w:t>
      </w:r>
      <w:r w:rsidR="007420DD" w:rsidRPr="00CF0230">
        <w:t>ustralia is also leading work</w:t>
      </w:r>
      <w:r w:rsidRPr="00CF0230">
        <w:t xml:space="preserve"> in APEC to build capacity in good practice regulation to facilitate trade and investment in specific services sectors.  Since 2011, Australia has hosted seven good practice regulation workshops to encourage unilateral reform in the accounting, legal, financial, cross-border education, transport and logistics, telecommunications and ICT sectors.  Further workshops are planned in 2015 on mining and energy, engineering and architecture and cross-cutting services reform issues.  The workshops bring together business, regulatory and academic experts to identify barriers, agree on good practice approaches and discuss further capacity building needs.  </w:t>
      </w:r>
    </w:p>
    <w:p w:rsidR="00602918" w:rsidRDefault="00602918" w:rsidP="00602918">
      <w:pPr>
        <w:spacing w:before="240" w:after="240" w:line="276" w:lineRule="auto"/>
        <w:ind w:left="284"/>
      </w:pPr>
    </w:p>
    <w:tbl>
      <w:tblPr>
        <w:tblStyle w:val="TableGrid"/>
        <w:tblW w:w="8613" w:type="dxa"/>
        <w:tblLook w:val="04A0" w:firstRow="1" w:lastRow="0" w:firstColumn="1" w:lastColumn="0" w:noHBand="0" w:noVBand="1"/>
      </w:tblPr>
      <w:tblGrid>
        <w:gridCol w:w="8766"/>
      </w:tblGrid>
      <w:tr w:rsidR="00B30461" w:rsidTr="00DC3B39">
        <w:tc>
          <w:tcPr>
            <w:tcW w:w="8613" w:type="dxa"/>
            <w:shd w:val="clear" w:color="auto" w:fill="DBE5F1" w:themeFill="accent1" w:themeFillTint="33"/>
          </w:tcPr>
          <w:p w:rsidR="00B30461" w:rsidRPr="00310C74" w:rsidRDefault="00B30461" w:rsidP="0050634E">
            <w:pPr>
              <w:pStyle w:val="Heading3"/>
              <w:rPr>
                <w:i/>
                <w:color w:val="1F497D" w:themeColor="text2"/>
              </w:rPr>
            </w:pPr>
            <w:bookmarkStart w:id="56" w:name="_Toc424644358"/>
            <w:r w:rsidRPr="00310C74">
              <w:rPr>
                <w:i/>
                <w:color w:val="1F497D" w:themeColor="text2"/>
              </w:rPr>
              <w:lastRenderedPageBreak/>
              <w:t>The free trade agreement consultation process</w:t>
            </w:r>
            <w:bookmarkEnd w:id="56"/>
          </w:p>
          <w:p w:rsidR="00DC3B39" w:rsidRPr="00310C74" w:rsidRDefault="00B30461" w:rsidP="00B30461">
            <w:pPr>
              <w:spacing w:before="240" w:after="240" w:line="276" w:lineRule="auto"/>
              <w:rPr>
                <w:sz w:val="23"/>
                <w:szCs w:val="23"/>
              </w:rPr>
            </w:pPr>
            <w:r w:rsidRPr="00310C74">
              <w:rPr>
                <w:sz w:val="23"/>
                <w:szCs w:val="23"/>
              </w:rPr>
              <w:t xml:space="preserve">Because of the structured nature of </w:t>
            </w:r>
            <w:r w:rsidR="00DC3B39" w:rsidRPr="00310C74">
              <w:rPr>
                <w:sz w:val="23"/>
                <w:szCs w:val="23"/>
              </w:rPr>
              <w:t>free trade agreement negotiations</w:t>
            </w:r>
            <w:r w:rsidR="009B33C6">
              <w:rPr>
                <w:sz w:val="23"/>
                <w:szCs w:val="23"/>
              </w:rPr>
              <w:t>, the d</w:t>
            </w:r>
            <w:r w:rsidR="00DC3B39" w:rsidRPr="00310C74">
              <w:rPr>
                <w:sz w:val="23"/>
                <w:szCs w:val="23"/>
              </w:rPr>
              <w:t>epartment holds extensive consultations with stakeholders to obtain their input at the outset.  Consultations with private sector stakeholders are held regularly during the negotiations.  Information provided on barriers is reflected in the development of Australia’s priorities and negotiating mandate.  Primary stakeholders engaged during the consultation process include representatives from business, peak industry bodies, sub-federal levels of government, academia and other bodies with an interest.</w:t>
            </w:r>
            <w:r w:rsidR="00310C74">
              <w:rPr>
                <w:sz w:val="23"/>
                <w:szCs w:val="23"/>
              </w:rPr>
              <w:t xml:space="preserve">  </w:t>
            </w:r>
            <w:r w:rsidR="00DC3B39" w:rsidRPr="00310C74">
              <w:rPr>
                <w:sz w:val="23"/>
                <w:szCs w:val="23"/>
              </w:rPr>
              <w:t>The following is an outline of the stakeholder outreach process during the different stages of the FTA process:</w:t>
            </w:r>
          </w:p>
          <w:p w:rsidR="00DC3B39" w:rsidRDefault="00DC3B39" w:rsidP="00B30461">
            <w:pPr>
              <w:spacing w:before="240" w:after="240" w:line="276" w:lineRule="auto"/>
            </w:pPr>
            <w:r>
              <w:rPr>
                <w:noProof/>
                <w:lang w:eastAsia="en-AU"/>
              </w:rPr>
              <w:drawing>
                <wp:inline distT="0" distB="0" distL="0" distR="0" wp14:anchorId="0107310F" wp14:editId="0BF1B164">
                  <wp:extent cx="5417820" cy="1295400"/>
                  <wp:effectExtent l="0" t="0" r="1143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DC3B39" w:rsidRPr="00310C74" w:rsidRDefault="00DC3B39" w:rsidP="00DC3B39">
            <w:pPr>
              <w:spacing w:line="276" w:lineRule="auto"/>
              <w:rPr>
                <w:sz w:val="23"/>
                <w:szCs w:val="23"/>
              </w:rPr>
            </w:pPr>
            <w:r w:rsidRPr="00310C74">
              <w:rPr>
                <w:b/>
                <w:color w:val="C0504D" w:themeColor="accent2"/>
                <w:sz w:val="23"/>
                <w:szCs w:val="23"/>
              </w:rPr>
              <w:t>Feasibility:</w:t>
            </w:r>
            <w:r w:rsidRPr="00310C74">
              <w:rPr>
                <w:color w:val="C0504D" w:themeColor="accent2"/>
                <w:sz w:val="23"/>
                <w:szCs w:val="23"/>
              </w:rPr>
              <w:t xml:space="preserve"> </w:t>
            </w:r>
            <w:r w:rsidRPr="00310C74">
              <w:rPr>
                <w:sz w:val="23"/>
                <w:szCs w:val="23"/>
              </w:rPr>
              <w:t>As part of the formal consideration of whether to initiate trade negotiations, a feasibility study is often prepared which examines the potential merits of negotiating the agreement.  Information from key stakeholders is accorded a high priority, as these views assist in informing the broad judgements and detail of the study.  Calls for submissions are generally publicised via the department’s website, supplemented by targeted approaches to industry groups, media advertisements and consultation sessions in capital cities.  The department remains open to receiving submissions through the entire negotiation process.</w:t>
            </w:r>
          </w:p>
          <w:p w:rsidR="00DC3B39" w:rsidRPr="00310C74" w:rsidRDefault="00DC3B39" w:rsidP="00DC3B39">
            <w:pPr>
              <w:spacing w:line="276" w:lineRule="auto"/>
              <w:rPr>
                <w:sz w:val="12"/>
                <w:szCs w:val="12"/>
              </w:rPr>
            </w:pPr>
          </w:p>
          <w:p w:rsidR="00DC3B39" w:rsidRPr="00310C74" w:rsidRDefault="00DC3B39" w:rsidP="00DC3B39">
            <w:pPr>
              <w:spacing w:line="276" w:lineRule="auto"/>
              <w:rPr>
                <w:sz w:val="23"/>
                <w:szCs w:val="23"/>
              </w:rPr>
            </w:pPr>
            <w:r w:rsidRPr="00310C74">
              <w:rPr>
                <w:b/>
                <w:color w:val="4F6228" w:themeColor="accent3" w:themeShade="80"/>
                <w:sz w:val="23"/>
                <w:szCs w:val="23"/>
              </w:rPr>
              <w:t>Launch:</w:t>
            </w:r>
            <w:r w:rsidRPr="00310C74">
              <w:rPr>
                <w:color w:val="4F6228" w:themeColor="accent3" w:themeShade="80"/>
                <w:sz w:val="23"/>
                <w:szCs w:val="23"/>
              </w:rPr>
              <w:t xml:space="preserve"> </w:t>
            </w:r>
            <w:r w:rsidRPr="00310C74">
              <w:rPr>
                <w:sz w:val="23"/>
                <w:szCs w:val="23"/>
              </w:rPr>
              <w:t xml:space="preserve">Decisions on whether to commence negotiations are taken by Cabinet, drawing on advice and input from the department, as well as any feasibility study.  If approval to launch is granted, the new negotiating team, headed by a chief negotiator, will typically seek additional and/or more detailed information from stakeholders on barriers and, as in the feasibility phase, consultations take the form of open public sessions, one-on-one meetings with individual businesses and roundtables with industry representatives.  </w:t>
            </w:r>
          </w:p>
          <w:p w:rsidR="00DC3B39" w:rsidRPr="00310C74" w:rsidRDefault="00DC3B39" w:rsidP="00DC3B39">
            <w:pPr>
              <w:spacing w:line="276" w:lineRule="auto"/>
              <w:rPr>
                <w:sz w:val="12"/>
                <w:szCs w:val="12"/>
              </w:rPr>
            </w:pPr>
          </w:p>
          <w:p w:rsidR="00DC3B39" w:rsidRPr="00310C74" w:rsidRDefault="00DC3B39" w:rsidP="00DC3B39">
            <w:pPr>
              <w:spacing w:line="276" w:lineRule="auto"/>
              <w:rPr>
                <w:sz w:val="23"/>
                <w:szCs w:val="23"/>
              </w:rPr>
            </w:pPr>
            <w:r w:rsidRPr="00310C74">
              <w:rPr>
                <w:b/>
                <w:color w:val="5F497A" w:themeColor="accent4" w:themeShade="BF"/>
                <w:sz w:val="23"/>
                <w:szCs w:val="23"/>
              </w:rPr>
              <w:t>Negotiations:</w:t>
            </w:r>
            <w:r w:rsidRPr="00310C74">
              <w:rPr>
                <w:color w:val="5F497A" w:themeColor="accent4" w:themeShade="BF"/>
                <w:sz w:val="23"/>
                <w:szCs w:val="23"/>
              </w:rPr>
              <w:t xml:space="preserve"> </w:t>
            </w:r>
            <w:r w:rsidRPr="00310C74">
              <w:rPr>
                <w:sz w:val="23"/>
                <w:szCs w:val="23"/>
              </w:rPr>
              <w:t>There is no set period for such negotiations, and they often take place over several years.  During the negotiations, Australia’s negotiators undertake ongoing consultations with interested stakeholders and provide updates on progress.  These consultations often intensify as the negotiations approach conclusion. They can be in many formats including open public sessions in capital cities and roundtables with industry groups or professions.</w:t>
            </w:r>
          </w:p>
          <w:p w:rsidR="00DC3B39" w:rsidRPr="00310C74" w:rsidRDefault="00DC3B39" w:rsidP="00DC3B39">
            <w:pPr>
              <w:spacing w:line="276" w:lineRule="auto"/>
              <w:rPr>
                <w:sz w:val="12"/>
                <w:szCs w:val="12"/>
              </w:rPr>
            </w:pPr>
          </w:p>
          <w:p w:rsidR="00DC3B39" w:rsidRDefault="00DC3B39" w:rsidP="00DC3B39">
            <w:pPr>
              <w:spacing w:line="276" w:lineRule="auto"/>
            </w:pPr>
            <w:r w:rsidRPr="00310C74">
              <w:rPr>
                <w:b/>
                <w:color w:val="4BACC6" w:themeColor="accent5"/>
                <w:sz w:val="23"/>
                <w:szCs w:val="23"/>
              </w:rPr>
              <w:t>Conclusion:</w:t>
            </w:r>
            <w:r w:rsidRPr="00310C74">
              <w:rPr>
                <w:color w:val="4BACC6" w:themeColor="accent5"/>
                <w:sz w:val="23"/>
                <w:szCs w:val="23"/>
              </w:rPr>
              <w:t xml:space="preserve"> </w:t>
            </w:r>
            <w:r w:rsidRPr="00310C74">
              <w:rPr>
                <w:sz w:val="23"/>
                <w:szCs w:val="23"/>
              </w:rPr>
              <w:t>At the conclusion of a trade negotiation, interested stakeholders are briefed on what was achieved to assist businesses in utilising the agreements.  An advocacy program is generally conducted by government to enhance business understanding and utilisation of the agreement.  Communication with businesses on the FTAs continues through the implementation and compliance phase.</w:t>
            </w:r>
            <w:r>
              <w:t xml:space="preserve">  </w:t>
            </w:r>
          </w:p>
        </w:tc>
      </w:tr>
    </w:tbl>
    <w:p w:rsidR="00B30461" w:rsidRDefault="00B30461" w:rsidP="00B30461">
      <w:pPr>
        <w:spacing w:before="240" w:after="240" w:line="276" w:lineRule="auto"/>
      </w:pPr>
    </w:p>
    <w:p w:rsidR="00B21E09" w:rsidRPr="0035218E" w:rsidRDefault="00B21E09" w:rsidP="00EC0366">
      <w:pPr>
        <w:spacing w:line="276" w:lineRule="auto"/>
      </w:pPr>
      <w:r w:rsidRPr="0035218E">
        <w:t xml:space="preserve">The following sets out </w:t>
      </w:r>
      <w:r>
        <w:t>broad details of the scope of business consultations undertaken for the FTAs with China and Japan and the Trans-Pacific Partnership Agreement (TPP) negotiations.</w:t>
      </w:r>
    </w:p>
    <w:p w:rsidR="00B21E09" w:rsidRDefault="00B21E09" w:rsidP="00B21E09">
      <w:pPr>
        <w:pStyle w:val="ListParagraph"/>
        <w:ind w:left="360"/>
        <w:jc w:val="both"/>
      </w:pPr>
    </w:p>
    <w:p w:rsidR="00B83F20" w:rsidRDefault="00B21E09" w:rsidP="00B21E09">
      <w:pPr>
        <w:pStyle w:val="ListParagraph"/>
        <w:ind w:left="360"/>
        <w:jc w:val="both"/>
      </w:pPr>
      <w:r>
        <w:rPr>
          <w:noProof/>
          <w:lang w:eastAsia="en-AU"/>
        </w:rPr>
        <w:drawing>
          <wp:inline distT="0" distB="0" distL="0" distR="0" wp14:anchorId="7703B5CA" wp14:editId="64620F33">
            <wp:extent cx="5278120" cy="3079115"/>
            <wp:effectExtent l="0" t="0" r="17780" b="2603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rsidR="00DC3B39" w:rsidRDefault="00DC3B39">
      <w:pPr>
        <w:rPr>
          <w:rFonts w:asciiTheme="majorHAnsi" w:eastAsiaTheme="majorEastAsia" w:hAnsiTheme="majorHAnsi" w:cstheme="majorBidi"/>
          <w:b/>
          <w:bCs/>
          <w:color w:val="365F91" w:themeColor="accent1" w:themeShade="BF"/>
          <w:sz w:val="28"/>
          <w:szCs w:val="28"/>
        </w:rPr>
      </w:pPr>
      <w:r>
        <w:br w:type="page"/>
      </w:r>
    </w:p>
    <w:p w:rsidR="00182CC9" w:rsidRPr="001F4418" w:rsidRDefault="00B83F20" w:rsidP="00595315">
      <w:pPr>
        <w:pStyle w:val="Heading1"/>
        <w:spacing w:before="240" w:after="240"/>
      </w:pPr>
      <w:bookmarkStart w:id="57" w:name="_Toc424644359"/>
      <w:r>
        <w:lastRenderedPageBreak/>
        <w:t xml:space="preserve">D. </w:t>
      </w:r>
      <w:r w:rsidR="0040174C">
        <w:t>Foreign b</w:t>
      </w:r>
      <w:r w:rsidR="00182CC9" w:rsidRPr="001F4418">
        <w:t>arriers to services exports</w:t>
      </w:r>
      <w:bookmarkEnd w:id="57"/>
    </w:p>
    <w:p w:rsidR="00126E16" w:rsidRDefault="005F3489" w:rsidP="00E362FE">
      <w:pPr>
        <w:pStyle w:val="ListParagraph"/>
        <w:numPr>
          <w:ilvl w:val="0"/>
          <w:numId w:val="24"/>
        </w:numPr>
        <w:spacing w:before="240" w:after="240" w:line="276" w:lineRule="auto"/>
      </w:pPr>
      <w:r w:rsidRPr="00126E16">
        <w:t>The Department of Foreign Affairs and Trade</w:t>
      </w:r>
      <w:r w:rsidR="00126E16" w:rsidRPr="00126E16">
        <w:t xml:space="preserve"> and </w:t>
      </w:r>
      <w:r w:rsidRPr="00126E16">
        <w:t xml:space="preserve">Austrade </w:t>
      </w:r>
      <w:r w:rsidR="00126E16" w:rsidRPr="00126E16">
        <w:t xml:space="preserve">(and their respective overseas networks) as well as </w:t>
      </w:r>
      <w:proofErr w:type="spellStart"/>
      <w:r w:rsidR="00EC0366">
        <w:t>Efic</w:t>
      </w:r>
      <w:proofErr w:type="spellEnd"/>
      <w:r w:rsidR="00EC0366">
        <w:t xml:space="preserve"> </w:t>
      </w:r>
      <w:r w:rsidR="00126E16" w:rsidRPr="00126E16">
        <w:t>obtain i</w:t>
      </w:r>
      <w:r w:rsidRPr="00126E16">
        <w:t>nformation on specific barriers and difficulties through a range of different approaches and mechanisms, including</w:t>
      </w:r>
      <w:r w:rsidR="00126E16" w:rsidRPr="00126E16">
        <w:t>:</w:t>
      </w:r>
      <w:r w:rsidRPr="00126E16">
        <w:t xml:space="preserve"> </w:t>
      </w:r>
    </w:p>
    <w:p w:rsidR="00126E16" w:rsidRDefault="007420DD" w:rsidP="00E362FE">
      <w:pPr>
        <w:pStyle w:val="ListParagraph"/>
        <w:numPr>
          <w:ilvl w:val="2"/>
          <w:numId w:val="48"/>
        </w:numPr>
        <w:spacing w:before="240" w:after="240" w:line="276" w:lineRule="auto"/>
      </w:pPr>
      <w:r w:rsidRPr="00126E16">
        <w:t>direct contact</w:t>
      </w:r>
      <w:r w:rsidR="00126E16" w:rsidRPr="00126E16">
        <w:t xml:space="preserve"> from the business sector, including individual firms and peak industry bodies, and other stakeholders; and </w:t>
      </w:r>
      <w:r w:rsidRPr="00126E16">
        <w:t xml:space="preserve"> </w:t>
      </w:r>
      <w:r w:rsidR="005F3489" w:rsidRPr="00126E16">
        <w:t xml:space="preserve"> </w:t>
      </w:r>
    </w:p>
    <w:p w:rsidR="00126E16" w:rsidRPr="00126E16" w:rsidRDefault="00126E16" w:rsidP="00E362FE">
      <w:pPr>
        <w:pStyle w:val="ListParagraph"/>
        <w:numPr>
          <w:ilvl w:val="2"/>
          <w:numId w:val="48"/>
        </w:numPr>
        <w:spacing w:before="240" w:after="240" w:line="276" w:lineRule="auto"/>
      </w:pPr>
      <w:r w:rsidRPr="00126E16">
        <w:t>surveys and other public sources and market intelligence.</w:t>
      </w:r>
    </w:p>
    <w:p w:rsidR="00B53D46" w:rsidRPr="00B53D46" w:rsidRDefault="00B53D46" w:rsidP="009B55AE">
      <w:pPr>
        <w:pStyle w:val="ListParagraph"/>
        <w:numPr>
          <w:ilvl w:val="0"/>
          <w:numId w:val="24"/>
        </w:numPr>
        <w:spacing w:before="240" w:after="240" w:line="276" w:lineRule="auto"/>
      </w:pPr>
      <w:r>
        <w:rPr>
          <w:bCs/>
        </w:rPr>
        <w:t xml:space="preserve">In addition to domestic sources the portfolio also routinely makes use of data from international sources.  A number of examples are as follows. </w:t>
      </w:r>
    </w:p>
    <w:p w:rsidR="00126E16" w:rsidRPr="00EC0366" w:rsidRDefault="00126E16" w:rsidP="009B55AE">
      <w:pPr>
        <w:pStyle w:val="ListParagraph"/>
        <w:numPr>
          <w:ilvl w:val="0"/>
          <w:numId w:val="24"/>
        </w:numPr>
        <w:spacing w:before="240" w:after="240" w:line="276" w:lineRule="auto"/>
      </w:pPr>
      <w:r>
        <w:rPr>
          <w:bCs/>
        </w:rPr>
        <w:t xml:space="preserve">A valuable source of information is </w:t>
      </w:r>
      <w:r w:rsidRPr="00126E16">
        <w:rPr>
          <w:bCs/>
        </w:rPr>
        <w:t>I-TIP Services</w:t>
      </w:r>
      <w:r>
        <w:rPr>
          <w:bCs/>
        </w:rPr>
        <w:t xml:space="preserve">, </w:t>
      </w:r>
      <w:r w:rsidRPr="00126E16">
        <w:rPr>
          <w:bCs/>
        </w:rPr>
        <w:t>a joint initiative of the W</w:t>
      </w:r>
      <w:r>
        <w:rPr>
          <w:bCs/>
        </w:rPr>
        <w:t xml:space="preserve">TO and the </w:t>
      </w:r>
      <w:r w:rsidR="00775BCE">
        <w:rPr>
          <w:bCs/>
        </w:rPr>
        <w:t>World Bank (</w:t>
      </w:r>
      <w:hyperlink r:id="rId42" w:history="1">
        <w:r w:rsidR="00775BCE" w:rsidRPr="00E530B1">
          <w:rPr>
            <w:rStyle w:val="Hyperlink"/>
          </w:rPr>
          <w:t>https://www.wto.org/english/res_e/statis_e/itip_e.htm</w:t>
        </w:r>
      </w:hyperlink>
      <w:r w:rsidR="00775BCE">
        <w:t>)</w:t>
      </w:r>
      <w:r w:rsidR="009B55AE">
        <w:t xml:space="preserve">.  </w:t>
      </w:r>
      <w:r w:rsidR="005C4B6C">
        <w:t xml:space="preserve">It </w:t>
      </w:r>
      <w:r w:rsidRPr="009B55AE">
        <w:rPr>
          <w:bCs/>
        </w:rPr>
        <w:t xml:space="preserve">is a set of linked databases that provides information on Members' commitments under the GATS, services commitments in </w:t>
      </w:r>
      <w:r w:rsidR="00365B47">
        <w:rPr>
          <w:bCs/>
        </w:rPr>
        <w:t>regional trade agreements</w:t>
      </w:r>
      <w:r w:rsidRPr="009B55AE">
        <w:rPr>
          <w:bCs/>
        </w:rPr>
        <w:t>, applied measures in services, and services statistics.</w:t>
      </w:r>
    </w:p>
    <w:p w:rsidR="00EC0366" w:rsidRPr="00157CCC" w:rsidRDefault="00BE0174" w:rsidP="00157CCC">
      <w:pPr>
        <w:pStyle w:val="ListParagraph"/>
        <w:numPr>
          <w:ilvl w:val="0"/>
          <w:numId w:val="24"/>
        </w:numPr>
        <w:spacing w:before="240" w:after="240" w:line="276" w:lineRule="auto"/>
        <w:rPr>
          <w:bCs/>
        </w:rPr>
      </w:pPr>
      <w:r>
        <w:rPr>
          <w:bCs/>
        </w:rPr>
        <w:t>Another useful reference is the</w:t>
      </w:r>
      <w:r w:rsidR="00775BCE">
        <w:rPr>
          <w:bCs/>
        </w:rPr>
        <w:t xml:space="preserve"> Global Innovation Index (GII) report (</w:t>
      </w:r>
      <w:hyperlink r:id="rId43" w:history="1">
        <w:r w:rsidR="00775BCE" w:rsidRPr="00E530B1">
          <w:rPr>
            <w:rStyle w:val="Hyperlink"/>
            <w:bCs/>
          </w:rPr>
          <w:t>www.globalinnovationindex.org</w:t>
        </w:r>
      </w:hyperlink>
      <w:r w:rsidR="00775BCE">
        <w:rPr>
          <w:bCs/>
        </w:rPr>
        <w:t>), an annual publication co-published by the World Intellectual Property Organization (WIPO), Cornell University and I</w:t>
      </w:r>
      <w:r>
        <w:rPr>
          <w:bCs/>
        </w:rPr>
        <w:t xml:space="preserve">NSEAD.  </w:t>
      </w:r>
      <w:r w:rsidR="00775BCE">
        <w:rPr>
          <w:bCs/>
        </w:rPr>
        <w:t xml:space="preserve">The GII Report </w:t>
      </w:r>
      <w:r w:rsidR="00157CCC">
        <w:rPr>
          <w:bCs/>
        </w:rPr>
        <w:t xml:space="preserve">ranks </w:t>
      </w:r>
      <w:r w:rsidR="00775BCE">
        <w:rPr>
          <w:bCs/>
        </w:rPr>
        <w:t xml:space="preserve">143 world economies </w:t>
      </w:r>
      <w:r w:rsidR="00775BCE" w:rsidRPr="00157CCC">
        <w:rPr>
          <w:bCs/>
        </w:rPr>
        <w:t xml:space="preserve">in terms of their </w:t>
      </w:r>
      <w:r w:rsidR="00157CCC">
        <w:rPr>
          <w:bCs/>
        </w:rPr>
        <w:t>innovation capabilities and results</w:t>
      </w:r>
      <w:r w:rsidR="00941029">
        <w:rPr>
          <w:bCs/>
        </w:rPr>
        <w:t xml:space="preserve"> and includes</w:t>
      </w:r>
      <w:r>
        <w:rPr>
          <w:bCs/>
        </w:rPr>
        <w:t xml:space="preserve"> </w:t>
      </w:r>
      <w:r w:rsidR="00157CCC">
        <w:rPr>
          <w:bCs/>
        </w:rPr>
        <w:t>indicators that go beyond the traditional measures of innovation</w:t>
      </w:r>
      <w:r w:rsidR="008618F5">
        <w:rPr>
          <w:bCs/>
        </w:rPr>
        <w:t>,</w:t>
      </w:r>
      <w:r w:rsidR="00157CCC">
        <w:rPr>
          <w:bCs/>
        </w:rPr>
        <w:t xml:space="preserve"> such as the level of research and development.</w:t>
      </w:r>
    </w:p>
    <w:p w:rsidR="00EC0366" w:rsidRPr="00EE4CA0" w:rsidRDefault="00157CCC" w:rsidP="00157CCC">
      <w:pPr>
        <w:pStyle w:val="ListParagraph"/>
        <w:numPr>
          <w:ilvl w:val="0"/>
          <w:numId w:val="24"/>
        </w:numPr>
        <w:spacing w:before="240" w:after="240" w:line="276" w:lineRule="auto"/>
      </w:pPr>
      <w:r>
        <w:rPr>
          <w:bCs/>
        </w:rPr>
        <w:t xml:space="preserve">The </w:t>
      </w:r>
      <w:r w:rsidR="00EC0366">
        <w:rPr>
          <w:bCs/>
        </w:rPr>
        <w:t>W</w:t>
      </w:r>
      <w:r>
        <w:rPr>
          <w:bCs/>
        </w:rPr>
        <w:t xml:space="preserve">orld </w:t>
      </w:r>
      <w:r w:rsidR="00EC0366">
        <w:rPr>
          <w:bCs/>
        </w:rPr>
        <w:t>E</w:t>
      </w:r>
      <w:r>
        <w:rPr>
          <w:bCs/>
        </w:rPr>
        <w:t xml:space="preserve">conomic </w:t>
      </w:r>
      <w:r w:rsidR="00EC0366">
        <w:rPr>
          <w:bCs/>
        </w:rPr>
        <w:t>F</w:t>
      </w:r>
      <w:r>
        <w:rPr>
          <w:bCs/>
        </w:rPr>
        <w:t>orum (WEF) Global Competitiveness Report</w:t>
      </w:r>
      <w:r w:rsidR="00EC0366">
        <w:rPr>
          <w:bCs/>
        </w:rPr>
        <w:t xml:space="preserve"> </w:t>
      </w:r>
      <w:r>
        <w:rPr>
          <w:bCs/>
        </w:rPr>
        <w:t>(</w:t>
      </w:r>
      <w:hyperlink r:id="rId44" w:history="1">
        <w:r w:rsidRPr="00E530B1">
          <w:rPr>
            <w:rStyle w:val="Hyperlink"/>
            <w:bCs/>
          </w:rPr>
          <w:t>http://www.weforum.org/reports/global-competitiveness-report-2014-2015</w:t>
        </w:r>
      </w:hyperlink>
      <w:r>
        <w:rPr>
          <w:bCs/>
        </w:rPr>
        <w:t xml:space="preserve">) </w:t>
      </w:r>
      <w:r w:rsidR="00B97943">
        <w:rPr>
          <w:bCs/>
        </w:rPr>
        <w:t>assesses the co</w:t>
      </w:r>
      <w:r w:rsidR="00BE0174">
        <w:rPr>
          <w:bCs/>
        </w:rPr>
        <w:t>mpetitiveness of 144 economies and the</w:t>
      </w:r>
      <w:r w:rsidR="00B97943">
        <w:rPr>
          <w:bCs/>
        </w:rPr>
        <w:t xml:space="preserve"> drivers of their productivity and prosperity.  The different aspects of competitiveness are measured in 12 pillars, which compose the</w:t>
      </w:r>
      <w:r w:rsidR="004D5C3A">
        <w:rPr>
          <w:bCs/>
        </w:rPr>
        <w:t xml:space="preserve"> Global Competitiveness Index.  </w:t>
      </w:r>
    </w:p>
    <w:p w:rsidR="00EE4CA0" w:rsidRPr="00EC0366" w:rsidRDefault="00BE0174" w:rsidP="00BE0174">
      <w:pPr>
        <w:pStyle w:val="ListParagraph"/>
        <w:numPr>
          <w:ilvl w:val="0"/>
          <w:numId w:val="24"/>
        </w:numPr>
        <w:spacing w:before="240" w:after="240" w:line="276" w:lineRule="auto"/>
      </w:pPr>
      <w:r>
        <w:rPr>
          <w:bCs/>
        </w:rPr>
        <w:t xml:space="preserve">The WEF </w:t>
      </w:r>
      <w:r w:rsidR="00EE4CA0">
        <w:rPr>
          <w:bCs/>
        </w:rPr>
        <w:t>unde</w:t>
      </w:r>
      <w:r>
        <w:rPr>
          <w:bCs/>
        </w:rPr>
        <w:t xml:space="preserve">rtakes research and analysis across </w:t>
      </w:r>
      <w:r w:rsidR="008618F5">
        <w:rPr>
          <w:bCs/>
        </w:rPr>
        <w:t>a broad spectrum</w:t>
      </w:r>
      <w:r w:rsidR="00EE4CA0">
        <w:rPr>
          <w:bCs/>
        </w:rPr>
        <w:t xml:space="preserve"> of </w:t>
      </w:r>
      <w:r w:rsidR="00941029">
        <w:rPr>
          <w:bCs/>
        </w:rPr>
        <w:t xml:space="preserve">issues </w:t>
      </w:r>
      <w:r w:rsidR="008618F5">
        <w:rPr>
          <w:bCs/>
        </w:rPr>
        <w:t xml:space="preserve">related to </w:t>
      </w:r>
      <w:r w:rsidR="00941029">
        <w:rPr>
          <w:bCs/>
        </w:rPr>
        <w:t xml:space="preserve">international trade and development.  </w:t>
      </w:r>
      <w:r w:rsidR="00EE4CA0">
        <w:rPr>
          <w:bCs/>
        </w:rPr>
        <w:t>The WEF’</w:t>
      </w:r>
      <w:r>
        <w:rPr>
          <w:bCs/>
        </w:rPr>
        <w:t xml:space="preserve">s </w:t>
      </w:r>
      <w:r w:rsidR="00941029">
        <w:rPr>
          <w:bCs/>
        </w:rPr>
        <w:t xml:space="preserve">annual </w:t>
      </w:r>
      <w:r w:rsidR="00EE4CA0">
        <w:rPr>
          <w:bCs/>
        </w:rPr>
        <w:t>report on E</w:t>
      </w:r>
      <w:r>
        <w:rPr>
          <w:bCs/>
        </w:rPr>
        <w:t>nabling Trade (</w:t>
      </w:r>
      <w:hyperlink r:id="rId45" w:history="1">
        <w:r w:rsidR="00941029" w:rsidRPr="00E530B1">
          <w:rPr>
            <w:rStyle w:val="Hyperlink"/>
            <w:bCs/>
          </w:rPr>
          <w:t>http://www.weforum.org/reports/enabling-trade-valuation-action</w:t>
        </w:r>
      </w:hyperlink>
      <w:r w:rsidR="00941029">
        <w:rPr>
          <w:bCs/>
        </w:rPr>
        <w:t xml:space="preserve">) </w:t>
      </w:r>
      <w:r w:rsidR="00E06007">
        <w:rPr>
          <w:bCs/>
        </w:rPr>
        <w:t>examining</w:t>
      </w:r>
      <w:r>
        <w:rPr>
          <w:bCs/>
        </w:rPr>
        <w:t xml:space="preserve"> means of achieving reform</w:t>
      </w:r>
      <w:r w:rsidR="005242F7">
        <w:rPr>
          <w:bCs/>
        </w:rPr>
        <w:t>,</w:t>
      </w:r>
      <w:r>
        <w:rPr>
          <w:bCs/>
        </w:rPr>
        <w:t xml:space="preserve"> including via the reduc</w:t>
      </w:r>
      <w:r w:rsidR="00941029">
        <w:rPr>
          <w:bCs/>
        </w:rPr>
        <w:t>tion of supply chain barriers</w:t>
      </w:r>
      <w:r w:rsidR="005242F7">
        <w:rPr>
          <w:bCs/>
        </w:rPr>
        <w:t>,</w:t>
      </w:r>
      <w:r w:rsidR="008618F5">
        <w:rPr>
          <w:bCs/>
        </w:rPr>
        <w:t xml:space="preserve"> </w:t>
      </w:r>
      <w:r w:rsidR="005242F7">
        <w:rPr>
          <w:bCs/>
        </w:rPr>
        <w:t xml:space="preserve">is a </w:t>
      </w:r>
      <w:r w:rsidR="008618F5">
        <w:rPr>
          <w:bCs/>
        </w:rPr>
        <w:t>pertinent source of ideas and analysis.</w:t>
      </w:r>
    </w:p>
    <w:p w:rsidR="00EC0366" w:rsidRPr="00EC0366" w:rsidRDefault="00B97943" w:rsidP="00225857">
      <w:pPr>
        <w:pStyle w:val="ListParagraph"/>
        <w:numPr>
          <w:ilvl w:val="0"/>
          <w:numId w:val="24"/>
        </w:numPr>
        <w:spacing w:before="240" w:after="240" w:line="276" w:lineRule="auto"/>
      </w:pPr>
      <w:r>
        <w:rPr>
          <w:bCs/>
        </w:rPr>
        <w:t>The E15 Initiative</w:t>
      </w:r>
      <w:r w:rsidR="009B55AE">
        <w:rPr>
          <w:bCs/>
        </w:rPr>
        <w:t xml:space="preserve"> </w:t>
      </w:r>
      <w:r w:rsidR="00225857">
        <w:rPr>
          <w:bCs/>
        </w:rPr>
        <w:t>(</w:t>
      </w:r>
      <w:hyperlink r:id="rId46" w:history="1">
        <w:r w:rsidR="00225857" w:rsidRPr="00E530B1">
          <w:rPr>
            <w:rStyle w:val="Hyperlink"/>
            <w:bCs/>
          </w:rPr>
          <w:t>http://e15initiative.org/</w:t>
        </w:r>
      </w:hyperlink>
      <w:r w:rsidR="00225857">
        <w:rPr>
          <w:bCs/>
        </w:rPr>
        <w:t xml:space="preserve">) </w:t>
      </w:r>
      <w:r w:rsidR="002A71C8" w:rsidRPr="009B55AE">
        <w:rPr>
          <w:lang w:val="en-US"/>
        </w:rPr>
        <w:t>convenes</w:t>
      </w:r>
      <w:r w:rsidR="009B55AE" w:rsidRPr="009B55AE">
        <w:rPr>
          <w:lang w:val="en-US"/>
        </w:rPr>
        <w:t xml:space="preserve"> world-class experts and institutions to generate strategic analysis and recommendations </w:t>
      </w:r>
      <w:r w:rsidR="002A71C8">
        <w:rPr>
          <w:lang w:val="en-US"/>
        </w:rPr>
        <w:t xml:space="preserve">geared towards </w:t>
      </w:r>
      <w:r w:rsidR="009B55AE" w:rsidRPr="009B55AE">
        <w:rPr>
          <w:lang w:val="en-US"/>
        </w:rPr>
        <w:t>strengthening the global trade and investment system</w:t>
      </w:r>
      <w:r w:rsidR="009B55AE">
        <w:rPr>
          <w:bCs/>
        </w:rPr>
        <w:t xml:space="preserve">.  The E15 </w:t>
      </w:r>
      <w:r w:rsidR="008618F5">
        <w:rPr>
          <w:bCs/>
        </w:rPr>
        <w:t>examines</w:t>
      </w:r>
      <w:r w:rsidR="005242F7">
        <w:rPr>
          <w:bCs/>
        </w:rPr>
        <w:t xml:space="preserve"> an extensive range of </w:t>
      </w:r>
      <w:r w:rsidR="00E06007">
        <w:rPr>
          <w:bCs/>
        </w:rPr>
        <w:t xml:space="preserve">subject </w:t>
      </w:r>
      <w:r w:rsidR="009B55AE">
        <w:rPr>
          <w:bCs/>
        </w:rPr>
        <w:t xml:space="preserve">areas including competition policy, the digital economy, global value chains, investment policy, innovation, regulatory coherence and services.  The work by the E15’s </w:t>
      </w:r>
      <w:r>
        <w:rPr>
          <w:bCs/>
        </w:rPr>
        <w:t>Expert Group on Services</w:t>
      </w:r>
      <w:r w:rsidR="00365B47">
        <w:rPr>
          <w:bCs/>
        </w:rPr>
        <w:t>,</w:t>
      </w:r>
      <w:r>
        <w:rPr>
          <w:bCs/>
        </w:rPr>
        <w:t xml:space="preserve"> </w:t>
      </w:r>
      <w:r w:rsidR="009B55AE">
        <w:rPr>
          <w:bCs/>
        </w:rPr>
        <w:t>(</w:t>
      </w:r>
      <w:hyperlink r:id="rId47" w:history="1">
        <w:r w:rsidR="009B55AE" w:rsidRPr="00E530B1">
          <w:rPr>
            <w:rStyle w:val="Hyperlink"/>
            <w:bCs/>
          </w:rPr>
          <w:t>http://e15initiative.org/themes/services/</w:t>
        </w:r>
      </w:hyperlink>
      <w:r w:rsidR="009B55AE">
        <w:rPr>
          <w:bCs/>
        </w:rPr>
        <w:t xml:space="preserve">) </w:t>
      </w:r>
      <w:r w:rsidR="005242F7">
        <w:rPr>
          <w:bCs/>
        </w:rPr>
        <w:t>analysing</w:t>
      </w:r>
      <w:r w:rsidR="008618F5">
        <w:rPr>
          <w:bCs/>
        </w:rPr>
        <w:t xml:space="preserve"> </w:t>
      </w:r>
      <w:r w:rsidR="009B55AE">
        <w:rPr>
          <w:bCs/>
        </w:rPr>
        <w:t>how cooperation through</w:t>
      </w:r>
      <w:r>
        <w:rPr>
          <w:bCs/>
        </w:rPr>
        <w:t xml:space="preserve"> </w:t>
      </w:r>
      <w:r w:rsidR="009B55AE">
        <w:rPr>
          <w:bCs/>
        </w:rPr>
        <w:t>t</w:t>
      </w:r>
      <w:r>
        <w:rPr>
          <w:bCs/>
        </w:rPr>
        <w:t>he WTO and other mechanisms can promote the contribution of services to growth and development</w:t>
      </w:r>
      <w:r w:rsidR="00365B47">
        <w:rPr>
          <w:bCs/>
        </w:rPr>
        <w:t>,</w:t>
      </w:r>
      <w:r>
        <w:rPr>
          <w:bCs/>
        </w:rPr>
        <w:t xml:space="preserve"> </w:t>
      </w:r>
      <w:r w:rsidR="00502C28">
        <w:rPr>
          <w:bCs/>
        </w:rPr>
        <w:t>provide</w:t>
      </w:r>
      <w:r w:rsidR="005242F7">
        <w:rPr>
          <w:bCs/>
        </w:rPr>
        <w:t>s</w:t>
      </w:r>
      <w:r w:rsidR="00502C28">
        <w:rPr>
          <w:bCs/>
        </w:rPr>
        <w:t xml:space="preserve"> valuable insights</w:t>
      </w:r>
      <w:r w:rsidR="002A71C8">
        <w:rPr>
          <w:bCs/>
        </w:rPr>
        <w:t xml:space="preserve"> into the barriers and difficulties faced by </w:t>
      </w:r>
      <w:r w:rsidR="008618F5">
        <w:rPr>
          <w:bCs/>
        </w:rPr>
        <w:t xml:space="preserve">services exporters. </w:t>
      </w:r>
    </w:p>
    <w:p w:rsidR="00126E16" w:rsidRPr="00126E16" w:rsidRDefault="00126E16" w:rsidP="00E362FE">
      <w:pPr>
        <w:pStyle w:val="ListParagraph"/>
        <w:numPr>
          <w:ilvl w:val="0"/>
          <w:numId w:val="24"/>
        </w:numPr>
        <w:spacing w:before="240" w:after="240" w:line="276" w:lineRule="auto"/>
      </w:pPr>
      <w:r w:rsidRPr="00126E16">
        <w:lastRenderedPageBreak/>
        <w:t>Portfolio agencies engage extensively with the services sector to ensure they retain a contemporary picture of priority access barriers and limitations on national treatment</w:t>
      </w:r>
      <w:r w:rsidR="005F3489" w:rsidRPr="00126E16">
        <w:t xml:space="preserve">. </w:t>
      </w:r>
      <w:r w:rsidRPr="00126E16">
        <w:t xml:space="preserve">  </w:t>
      </w:r>
    </w:p>
    <w:p w:rsidR="005C4B6C" w:rsidRDefault="005C4B6C" w:rsidP="00E362FE">
      <w:pPr>
        <w:pStyle w:val="ListParagraph"/>
        <w:numPr>
          <w:ilvl w:val="0"/>
          <w:numId w:val="24"/>
        </w:numPr>
        <w:spacing w:before="240" w:after="240" w:line="276" w:lineRule="auto"/>
      </w:pPr>
      <w:r>
        <w:t>T</w:t>
      </w:r>
      <w:r w:rsidR="005F3489">
        <w:t>he following is a short description of the more prominent and visible services a</w:t>
      </w:r>
      <w:r w:rsidR="00802221">
        <w:t xml:space="preserve">ccess barriers and impediments - the boxes </w:t>
      </w:r>
      <w:r w:rsidR="00B53D46">
        <w:t xml:space="preserve">on the following pages </w:t>
      </w:r>
      <w:r w:rsidR="00802221">
        <w:t xml:space="preserve">contain examples of how such barriers have been addressed in some </w:t>
      </w:r>
      <w:r w:rsidR="00B53D46">
        <w:t>of Australia’s more recent FTAs, specifically, the Korean-Australia Free Trade Agreement (KAFTA) and China-Australia Free Trade Agreement (</w:t>
      </w:r>
      <w:proofErr w:type="spellStart"/>
      <w:r w:rsidR="00B53D46">
        <w:t>ChAFTA</w:t>
      </w:r>
      <w:proofErr w:type="spellEnd"/>
      <w:r w:rsidR="00B53D46">
        <w:t xml:space="preserve">).  </w:t>
      </w:r>
    </w:p>
    <w:p w:rsidR="005C4B6C" w:rsidRPr="00602918" w:rsidRDefault="005C4B6C" w:rsidP="00EC0366">
      <w:pPr>
        <w:pStyle w:val="Heading3"/>
        <w:spacing w:before="240" w:after="240"/>
        <w:ind w:left="284"/>
        <w:rPr>
          <w:b w:val="0"/>
          <w:i/>
        </w:rPr>
      </w:pPr>
      <w:bookmarkStart w:id="58" w:name="_Toc424644360"/>
      <w:r w:rsidRPr="00602918">
        <w:rPr>
          <w:b w:val="0"/>
          <w:i/>
        </w:rPr>
        <w:t>Foreign equity limitations</w:t>
      </w:r>
      <w:bookmarkEnd w:id="58"/>
    </w:p>
    <w:p w:rsidR="005C4B6C" w:rsidRDefault="005F3489" w:rsidP="00E362FE">
      <w:pPr>
        <w:pStyle w:val="ListParagraph"/>
        <w:numPr>
          <w:ilvl w:val="0"/>
          <w:numId w:val="24"/>
        </w:numPr>
        <w:spacing w:before="240" w:after="240" w:line="276" w:lineRule="auto"/>
      </w:pPr>
      <w:r>
        <w:t>In some overseas markets, governments disallow foreign equity or limit foreign participation in s</w:t>
      </w:r>
      <w:r w:rsidR="003E4EF4">
        <w:t xml:space="preserve">ervices sectors, often doing so </w:t>
      </w:r>
      <w:r>
        <w:t>by maintaining comprehensive listings of sectors and business activities in which foreign capital is restricted (for example, to less than a 50 or 25 per cent stake)</w:t>
      </w:r>
      <w:r w:rsidRPr="005C4B6C">
        <w:rPr>
          <w:lang w:val="en-US" w:eastAsia="en-AU"/>
        </w:rPr>
        <w:t xml:space="preserve">.  </w:t>
      </w:r>
      <w:r>
        <w:t xml:space="preserve">Foreign equity limitations have proven particularly difficult for some Australian service supplies in select Asian markets.  </w:t>
      </w:r>
    </w:p>
    <w:p w:rsidR="005F3489" w:rsidRDefault="005F3489" w:rsidP="00E362FE">
      <w:pPr>
        <w:pStyle w:val="ListParagraph"/>
        <w:numPr>
          <w:ilvl w:val="0"/>
          <w:numId w:val="24"/>
        </w:numPr>
        <w:spacing w:before="240" w:after="240" w:line="276" w:lineRule="auto"/>
      </w:pPr>
      <w:r>
        <w:t xml:space="preserve">Australian companies have confronted a series of restrictions such as: </w:t>
      </w:r>
      <w:r w:rsidRPr="005C4B6C">
        <w:rPr>
          <w:lang w:val="en-US" w:eastAsia="en-AU"/>
        </w:rPr>
        <w:t>low equity limitations for foreign holdings in domestic banks; limits to overall foreign ownership and inter-bank financing; imposition o</w:t>
      </w:r>
      <w:r w:rsidR="003E4EF4" w:rsidRPr="005C4B6C">
        <w:rPr>
          <w:lang w:val="en-US" w:eastAsia="en-AU"/>
        </w:rPr>
        <w:t>f wholesale funding limitations; and,</w:t>
      </w:r>
      <w:r w:rsidRPr="005C4B6C">
        <w:rPr>
          <w:lang w:val="en-US" w:eastAsia="en-AU"/>
        </w:rPr>
        <w:t xml:space="preserve"> discriminatory p</w:t>
      </w:r>
      <w:r w:rsidR="003E4EF4" w:rsidRPr="005C4B6C">
        <w:rPr>
          <w:lang w:val="en-US" w:eastAsia="en-AU"/>
        </w:rPr>
        <w:t>rudential policies.  A</w:t>
      </w:r>
      <w:r w:rsidRPr="005C4B6C">
        <w:rPr>
          <w:lang w:val="en-US" w:eastAsia="en-AU"/>
        </w:rPr>
        <w:t xml:space="preserve">dditional capital requirements </w:t>
      </w:r>
      <w:r w:rsidR="003E4EF4" w:rsidRPr="005C4B6C">
        <w:rPr>
          <w:lang w:val="en-US" w:eastAsia="en-AU"/>
        </w:rPr>
        <w:t xml:space="preserve">may also prevent or delay investors </w:t>
      </w:r>
      <w:r w:rsidRPr="005C4B6C">
        <w:rPr>
          <w:lang w:val="en-US" w:eastAsia="en-AU"/>
        </w:rPr>
        <w:t xml:space="preserve">from providing services in an overseas market.  Australian businesses often report that rigorous and time-consuming foreign investment-approval processes and excessive red tape can act as further disincentives.  </w:t>
      </w:r>
      <w:r>
        <w:t xml:space="preserve">In some cases, such limitations can be implemented in an inconsistent way.  </w:t>
      </w:r>
    </w:p>
    <w:p w:rsidR="005C4B6C" w:rsidRPr="00602918" w:rsidRDefault="005C4B6C" w:rsidP="00EC0366">
      <w:pPr>
        <w:pStyle w:val="Heading3"/>
        <w:spacing w:before="240" w:after="240"/>
        <w:ind w:left="284"/>
        <w:rPr>
          <w:b w:val="0"/>
          <w:i/>
        </w:rPr>
      </w:pPr>
      <w:bookmarkStart w:id="59" w:name="_Toc424644361"/>
      <w:r w:rsidRPr="00602918">
        <w:rPr>
          <w:b w:val="0"/>
          <w:i/>
        </w:rPr>
        <w:t>Nationality/citizenship/residency restrictions</w:t>
      </w:r>
      <w:bookmarkEnd w:id="59"/>
    </w:p>
    <w:p w:rsidR="005F3489" w:rsidRDefault="005F3489" w:rsidP="00E362FE">
      <w:pPr>
        <w:pStyle w:val="ListParagraph"/>
        <w:numPr>
          <w:ilvl w:val="0"/>
          <w:numId w:val="24"/>
        </w:numPr>
        <w:spacing w:before="240" w:after="240" w:line="276" w:lineRule="auto"/>
      </w:pPr>
      <w:r>
        <w:t xml:space="preserve">In some markets, services market access is limited by requirements for citizenship or residency.  For example, in some countries foreign </w:t>
      </w:r>
      <w:r w:rsidR="00243861">
        <w:t>professionals</w:t>
      </w:r>
      <w:r>
        <w:t xml:space="preserve"> are subject to additional registration requirements </w:t>
      </w:r>
      <w:r w:rsidR="003E4EF4">
        <w:t xml:space="preserve">and </w:t>
      </w:r>
      <w:r>
        <w:t xml:space="preserve">foreign education providers are prohibited from teaching certain subjects.  Service suppliers may also be required to meet certain residency periods in country, notably for professional services.  </w:t>
      </w:r>
    </w:p>
    <w:p w:rsidR="005C4B6C" w:rsidRPr="00602918" w:rsidRDefault="005C4B6C" w:rsidP="00EC0366">
      <w:pPr>
        <w:pStyle w:val="Heading3"/>
        <w:spacing w:before="240" w:after="240"/>
        <w:ind w:left="284"/>
        <w:rPr>
          <w:b w:val="0"/>
          <w:i/>
        </w:rPr>
      </w:pPr>
      <w:bookmarkStart w:id="60" w:name="_Toc424644362"/>
      <w:r w:rsidRPr="00602918">
        <w:rPr>
          <w:b w:val="0"/>
          <w:i/>
        </w:rPr>
        <w:t>Quantitative restrictions/limitations</w:t>
      </w:r>
      <w:bookmarkEnd w:id="60"/>
    </w:p>
    <w:p w:rsidR="00B8549E" w:rsidRDefault="005F3489" w:rsidP="00B8549E">
      <w:pPr>
        <w:pStyle w:val="ListParagraph"/>
        <w:numPr>
          <w:ilvl w:val="0"/>
          <w:numId w:val="24"/>
        </w:numPr>
        <w:spacing w:before="240" w:after="240" w:line="276" w:lineRule="auto"/>
      </w:pPr>
      <w:r>
        <w:t xml:space="preserve">The ability of Australian service supplies to enter and compete in overseas markets is also inhibited in some cases by limits on the number of service suppliers that are permitted to operate in the market.  Such limitations are often operationalised through licencing or registration requirements.  </w:t>
      </w:r>
    </w:p>
    <w:p w:rsidR="00B8549E" w:rsidRDefault="00B8549E" w:rsidP="00B8549E"/>
    <w:p w:rsidR="00B8549E" w:rsidRDefault="00B8549E" w:rsidP="00B8549E"/>
    <w:p w:rsidR="00B8549E" w:rsidRPr="00B8549E" w:rsidRDefault="00B8549E" w:rsidP="00B8549E"/>
    <w:tbl>
      <w:tblPr>
        <w:tblStyle w:val="TableGrid"/>
        <w:tblW w:w="0" w:type="auto"/>
        <w:tblLook w:val="04A0" w:firstRow="1" w:lastRow="0" w:firstColumn="1" w:lastColumn="0" w:noHBand="0" w:noVBand="1"/>
      </w:tblPr>
      <w:tblGrid>
        <w:gridCol w:w="8528"/>
      </w:tblGrid>
      <w:tr w:rsidR="00B8549E" w:rsidTr="00B8549E">
        <w:tc>
          <w:tcPr>
            <w:tcW w:w="8528" w:type="dxa"/>
            <w:shd w:val="clear" w:color="auto" w:fill="DBE5F1" w:themeFill="accent1" w:themeFillTint="33"/>
          </w:tcPr>
          <w:p w:rsidR="00B8549E" w:rsidRPr="00802221" w:rsidRDefault="00B8549E" w:rsidP="00B8549E">
            <w:pPr>
              <w:rPr>
                <w:b/>
                <w:i/>
                <w:color w:val="1F497D" w:themeColor="text2"/>
                <w:sz w:val="23"/>
                <w:szCs w:val="23"/>
                <w:lang w:val="en-US"/>
              </w:rPr>
            </w:pPr>
            <w:r w:rsidRPr="00802221">
              <w:rPr>
                <w:b/>
                <w:i/>
                <w:color w:val="1F497D" w:themeColor="text2"/>
                <w:sz w:val="23"/>
                <w:szCs w:val="23"/>
                <w:lang w:val="en-US"/>
              </w:rPr>
              <w:lastRenderedPageBreak/>
              <w:t>Outcomes for Australian accountants in the Korea-Australia FTA</w:t>
            </w:r>
            <w:r w:rsidR="00B53D46">
              <w:rPr>
                <w:b/>
                <w:i/>
                <w:color w:val="1F497D" w:themeColor="text2"/>
                <w:sz w:val="23"/>
                <w:szCs w:val="23"/>
                <w:lang w:val="en-US"/>
              </w:rPr>
              <w:t xml:space="preserve"> (KAFTA)</w:t>
            </w:r>
          </w:p>
          <w:p w:rsidR="00B8549E" w:rsidRPr="00B8549E" w:rsidRDefault="00B8549E" w:rsidP="00B8549E">
            <w:pPr>
              <w:rPr>
                <w:sz w:val="23"/>
                <w:szCs w:val="23"/>
                <w:lang w:val="en-US"/>
              </w:rPr>
            </w:pPr>
          </w:p>
          <w:p w:rsidR="00B8549E" w:rsidRPr="00B8549E" w:rsidRDefault="00B53D46" w:rsidP="00B8549E">
            <w:pPr>
              <w:rPr>
                <w:sz w:val="23"/>
                <w:szCs w:val="23"/>
                <w:lang w:val="en-US"/>
              </w:rPr>
            </w:pPr>
            <w:r>
              <w:rPr>
                <w:sz w:val="23"/>
                <w:szCs w:val="23"/>
                <w:lang w:val="en-US"/>
              </w:rPr>
              <w:t xml:space="preserve">KAFTA </w:t>
            </w:r>
            <w:r w:rsidR="00B8549E" w:rsidRPr="00B8549E">
              <w:rPr>
                <w:sz w:val="23"/>
                <w:szCs w:val="23"/>
                <w:lang w:val="en-US"/>
              </w:rPr>
              <w:t>delivered substantial improvements in market access for Australian accountants in the Korean accounting market.  As a result of KAFTA, Australian accountants (holders of Certified Practicing Accountant and holders of Chartered Accountant qualifications) are now able to establish offices in Korea to provide accountancy consultancy services on Australian and international tax and accounting law.  Within five years (by 12 December 2019), Australian accountants will be able to work and invest in Korean tax or accounting corporations.  This access did not exist prior to the FTA.  It represents a strong first step, bound under treaty commitments, that opens up the Korean market for Australian accountants.</w:t>
            </w:r>
          </w:p>
          <w:p w:rsidR="00B8549E" w:rsidRPr="00B8549E" w:rsidRDefault="00B8549E" w:rsidP="00B8549E">
            <w:pPr>
              <w:rPr>
                <w:sz w:val="23"/>
                <w:szCs w:val="23"/>
                <w:lang w:val="en-US"/>
              </w:rPr>
            </w:pPr>
          </w:p>
          <w:p w:rsidR="00B8549E" w:rsidRPr="00B8549E" w:rsidRDefault="00B8549E" w:rsidP="00454E84">
            <w:pPr>
              <w:rPr>
                <w:sz w:val="23"/>
                <w:szCs w:val="23"/>
                <w:lang w:val="en-US"/>
              </w:rPr>
            </w:pPr>
            <w:r w:rsidRPr="00B8549E">
              <w:rPr>
                <w:sz w:val="23"/>
                <w:szCs w:val="23"/>
                <w:lang w:val="en-US"/>
              </w:rPr>
              <w:t>The process of delivering outcomes included extensive consultation with Australia’s three peak accounting bodies.  Undertakings in the treaty provide for continuing discussions to further open the Korean market and to extend benefits of KAFTA to holders of other Australian accounting qualifications.  Korea’s accounting commitments are subject to a ‘Most-</w:t>
            </w:r>
            <w:proofErr w:type="spellStart"/>
            <w:r w:rsidRPr="00B8549E">
              <w:rPr>
                <w:sz w:val="23"/>
                <w:szCs w:val="23"/>
                <w:lang w:val="en-US"/>
              </w:rPr>
              <w:t>Favoured</w:t>
            </w:r>
            <w:proofErr w:type="spellEnd"/>
            <w:r w:rsidRPr="00B8549E">
              <w:rPr>
                <w:sz w:val="23"/>
                <w:szCs w:val="23"/>
                <w:lang w:val="en-US"/>
              </w:rPr>
              <w:t>-Nation’ (</w:t>
            </w:r>
            <w:proofErr w:type="spellStart"/>
            <w:r w:rsidRPr="00B8549E">
              <w:rPr>
                <w:sz w:val="23"/>
                <w:szCs w:val="23"/>
                <w:lang w:val="en-US"/>
              </w:rPr>
              <w:t>MFN</w:t>
            </w:r>
            <w:proofErr w:type="spellEnd"/>
            <w:r w:rsidRPr="00B8549E">
              <w:rPr>
                <w:sz w:val="23"/>
                <w:szCs w:val="23"/>
                <w:lang w:val="en-US"/>
              </w:rPr>
              <w:t>) treatment provision, which provides that any future more-beneficial treatment provided to accountants from other countries is automatically extended to Australia.</w:t>
            </w:r>
          </w:p>
        </w:tc>
      </w:tr>
    </w:tbl>
    <w:p w:rsidR="00454E84" w:rsidRPr="00454E84" w:rsidRDefault="00454E84" w:rsidP="00454E84"/>
    <w:p w:rsidR="005C4B6C" w:rsidRPr="00602918" w:rsidRDefault="005C4B6C" w:rsidP="00EC0366">
      <w:pPr>
        <w:pStyle w:val="Heading3"/>
        <w:spacing w:before="240" w:after="240"/>
        <w:ind w:left="284"/>
        <w:rPr>
          <w:b w:val="0"/>
          <w:i/>
        </w:rPr>
      </w:pPr>
      <w:bookmarkStart w:id="61" w:name="_Toc424644363"/>
      <w:r w:rsidRPr="00602918">
        <w:rPr>
          <w:b w:val="0"/>
          <w:i/>
        </w:rPr>
        <w:t>Specifications on mode of supply</w:t>
      </w:r>
      <w:bookmarkEnd w:id="61"/>
      <w:r w:rsidRPr="00602918">
        <w:rPr>
          <w:b w:val="0"/>
          <w:i/>
        </w:rPr>
        <w:t xml:space="preserve"> </w:t>
      </w:r>
    </w:p>
    <w:p w:rsidR="005C4B6C" w:rsidRDefault="005F3489" w:rsidP="00E362FE">
      <w:pPr>
        <w:pStyle w:val="ListParagraph"/>
        <w:numPr>
          <w:ilvl w:val="0"/>
          <w:numId w:val="24"/>
        </w:numPr>
        <w:spacing w:before="240" w:after="240" w:line="276" w:lineRule="auto"/>
      </w:pPr>
      <w:r>
        <w:t>Some markets require businesses to provide their services through a particular form of commercial presence, such as a joint venture with a local partner.  In addition, foreign service providers can be subject to conditions which require that a minimum number of directors, or employees within an entity are of the local nationality.</w:t>
      </w:r>
    </w:p>
    <w:p w:rsidR="005C4B6C" w:rsidRPr="00602918" w:rsidRDefault="005C4B6C" w:rsidP="00EC0366">
      <w:pPr>
        <w:pStyle w:val="Heading3"/>
        <w:spacing w:before="240" w:after="240"/>
        <w:ind w:left="284"/>
        <w:rPr>
          <w:b w:val="0"/>
          <w:i/>
        </w:rPr>
      </w:pPr>
      <w:bookmarkStart w:id="62" w:name="_Toc424644364"/>
      <w:r w:rsidRPr="00602918">
        <w:rPr>
          <w:b w:val="0"/>
          <w:i/>
        </w:rPr>
        <w:t>Non-recognition of qualifications</w:t>
      </w:r>
      <w:bookmarkEnd w:id="62"/>
      <w:r w:rsidRPr="00602918">
        <w:rPr>
          <w:b w:val="0"/>
          <w:i/>
        </w:rPr>
        <w:t xml:space="preserve">  </w:t>
      </w:r>
    </w:p>
    <w:p w:rsidR="005C4B6C" w:rsidRDefault="005F3489" w:rsidP="00E362FE">
      <w:pPr>
        <w:pStyle w:val="ListParagraph"/>
        <w:numPr>
          <w:ilvl w:val="0"/>
          <w:numId w:val="24"/>
        </w:numPr>
        <w:spacing w:before="240" w:after="240" w:line="276" w:lineRule="auto"/>
      </w:pPr>
      <w:r>
        <w:t xml:space="preserve">In some markets, there are non-transparent or unsatisfactory procedures for the recognition of professional qualifications, effectively acting as a barrier to the export of services in these sectors.  Arrangements may be agreed between countries to mutually recognise qualifications, where qualifications are of comparable quality and standard.  In trade agreements governments can play an important facilitating role in establishing frameworks for countries and their professional bodies to work together by developing mechanisms such as Mutual Recognition Arrangements.  </w:t>
      </w:r>
    </w:p>
    <w:p w:rsidR="005C4B6C" w:rsidRPr="00602918" w:rsidRDefault="005C4B6C" w:rsidP="00EC0366">
      <w:pPr>
        <w:pStyle w:val="Heading3"/>
        <w:spacing w:before="240" w:after="240"/>
        <w:ind w:left="284"/>
        <w:rPr>
          <w:b w:val="0"/>
          <w:i/>
        </w:rPr>
      </w:pPr>
      <w:bookmarkStart w:id="63" w:name="_Toc424644365"/>
      <w:r w:rsidRPr="00602918">
        <w:rPr>
          <w:b w:val="0"/>
          <w:i/>
        </w:rPr>
        <w:t>Restrictions on the temporary entry/movement of business persons</w:t>
      </w:r>
      <w:bookmarkEnd w:id="63"/>
      <w:r w:rsidRPr="00602918">
        <w:rPr>
          <w:b w:val="0"/>
          <w:i/>
        </w:rPr>
        <w:t xml:space="preserve">  </w:t>
      </w:r>
    </w:p>
    <w:p w:rsidR="005C4B6C" w:rsidRDefault="005F3489" w:rsidP="00E362FE">
      <w:pPr>
        <w:pStyle w:val="ListParagraph"/>
        <w:numPr>
          <w:ilvl w:val="0"/>
          <w:numId w:val="24"/>
        </w:numPr>
        <w:spacing w:before="240" w:after="240" w:line="276" w:lineRule="auto"/>
      </w:pPr>
      <w:r>
        <w:t xml:space="preserve">Limitations applying to the temporary entry of business persons are common and include labour market testing requirements, quotas or numerical limits, lengthy and complex visa processes and/or fees and uncertainty about </w:t>
      </w:r>
      <w:r w:rsidR="005463F5">
        <w:t>permitted length of stay</w:t>
      </w:r>
      <w:r>
        <w:t xml:space="preserve"> and conditions.  </w:t>
      </w:r>
    </w:p>
    <w:p w:rsidR="00B8549E" w:rsidRDefault="00B8549E" w:rsidP="00B8549E">
      <w:pPr>
        <w:spacing w:before="240" w:after="240" w:line="276" w:lineRule="auto"/>
        <w:ind w:left="284"/>
      </w:pPr>
    </w:p>
    <w:tbl>
      <w:tblPr>
        <w:tblStyle w:val="TableGrid"/>
        <w:tblW w:w="0" w:type="auto"/>
        <w:tblInd w:w="284" w:type="dxa"/>
        <w:tblLook w:val="04A0" w:firstRow="1" w:lastRow="0" w:firstColumn="1" w:lastColumn="0" w:noHBand="0" w:noVBand="1"/>
      </w:tblPr>
      <w:tblGrid>
        <w:gridCol w:w="8244"/>
      </w:tblGrid>
      <w:tr w:rsidR="00B8549E" w:rsidTr="00B8549E">
        <w:tc>
          <w:tcPr>
            <w:tcW w:w="8528" w:type="dxa"/>
            <w:shd w:val="clear" w:color="auto" w:fill="DBE5F1" w:themeFill="accent1" w:themeFillTint="33"/>
          </w:tcPr>
          <w:p w:rsidR="00B8549E" w:rsidRPr="00802221" w:rsidRDefault="00B8549E" w:rsidP="00B8549E">
            <w:pPr>
              <w:rPr>
                <w:b/>
                <w:i/>
                <w:color w:val="1F497D" w:themeColor="text2"/>
                <w:sz w:val="23"/>
                <w:szCs w:val="23"/>
                <w:lang w:val="en-US"/>
              </w:rPr>
            </w:pPr>
            <w:r w:rsidRPr="00B53D46">
              <w:rPr>
                <w:b/>
                <w:i/>
                <w:color w:val="1F497D" w:themeColor="text2"/>
                <w:sz w:val="23"/>
                <w:szCs w:val="23"/>
                <w:lang w:val="en-US"/>
              </w:rPr>
              <w:lastRenderedPageBreak/>
              <w:t xml:space="preserve">Outcomes for Australian lawyers in the Korea-Australia FTA and the China-Australia </w:t>
            </w:r>
            <w:proofErr w:type="spellStart"/>
            <w:r w:rsidRPr="00B53D46">
              <w:rPr>
                <w:b/>
                <w:i/>
                <w:color w:val="1F497D" w:themeColor="text2"/>
                <w:sz w:val="23"/>
                <w:szCs w:val="23"/>
                <w:lang w:val="en-US"/>
              </w:rPr>
              <w:t>FTA</w:t>
            </w:r>
            <w:proofErr w:type="spellEnd"/>
            <w:r w:rsidR="00B53D46" w:rsidRPr="00B53D46">
              <w:rPr>
                <w:b/>
                <w:i/>
                <w:color w:val="1F497D" w:themeColor="text2"/>
                <w:sz w:val="23"/>
                <w:szCs w:val="23"/>
                <w:lang w:val="en-US"/>
              </w:rPr>
              <w:t xml:space="preserve"> (</w:t>
            </w:r>
            <w:proofErr w:type="spellStart"/>
            <w:r w:rsidR="00B53D46" w:rsidRPr="00B53D46">
              <w:rPr>
                <w:b/>
                <w:i/>
                <w:color w:val="1F497D" w:themeColor="text2"/>
                <w:sz w:val="23"/>
                <w:szCs w:val="23"/>
                <w:lang w:val="en-US"/>
              </w:rPr>
              <w:t>ChAFTA</w:t>
            </w:r>
            <w:proofErr w:type="spellEnd"/>
            <w:r w:rsidR="00B53D46" w:rsidRPr="00B53D46">
              <w:rPr>
                <w:b/>
                <w:i/>
                <w:color w:val="1F497D" w:themeColor="text2"/>
                <w:sz w:val="23"/>
                <w:szCs w:val="23"/>
                <w:lang w:val="en-US"/>
              </w:rPr>
              <w:t>)</w:t>
            </w:r>
          </w:p>
          <w:p w:rsidR="00B8549E" w:rsidRPr="00B8549E" w:rsidRDefault="00B8549E" w:rsidP="00B8549E">
            <w:pPr>
              <w:spacing w:before="100" w:beforeAutospacing="1" w:after="100" w:afterAutospacing="1"/>
              <w:rPr>
                <w:sz w:val="23"/>
                <w:szCs w:val="23"/>
                <w:lang w:val="en-US" w:eastAsia="en-AU"/>
              </w:rPr>
            </w:pPr>
            <w:r w:rsidRPr="00B8549E">
              <w:rPr>
                <w:sz w:val="23"/>
                <w:szCs w:val="23"/>
                <w:lang w:val="en-US" w:eastAsia="en-AU"/>
              </w:rPr>
              <w:t xml:space="preserve">DFAT worked closely with Australian law firms and peak legal bodies (including the Law Council of Australia) to deliver commercially meaningful outcomes on legal </w:t>
            </w:r>
            <w:r w:rsidR="00B53D46">
              <w:rPr>
                <w:sz w:val="23"/>
                <w:szCs w:val="23"/>
                <w:lang w:val="en-US" w:eastAsia="en-AU"/>
              </w:rPr>
              <w:t xml:space="preserve">services in </w:t>
            </w:r>
            <w:proofErr w:type="spellStart"/>
            <w:r w:rsidR="00B53D46">
              <w:rPr>
                <w:sz w:val="23"/>
                <w:szCs w:val="23"/>
                <w:lang w:val="en-US" w:eastAsia="en-AU"/>
              </w:rPr>
              <w:t>KAFTA</w:t>
            </w:r>
            <w:proofErr w:type="spellEnd"/>
            <w:r w:rsidR="00B53D46">
              <w:rPr>
                <w:sz w:val="23"/>
                <w:szCs w:val="23"/>
                <w:lang w:val="en-US" w:eastAsia="en-AU"/>
              </w:rPr>
              <w:t xml:space="preserve"> and </w:t>
            </w:r>
            <w:proofErr w:type="spellStart"/>
            <w:r w:rsidR="00B53D46">
              <w:rPr>
                <w:sz w:val="23"/>
                <w:szCs w:val="23"/>
                <w:lang w:val="en-US" w:eastAsia="en-AU"/>
              </w:rPr>
              <w:t>ChAFTA</w:t>
            </w:r>
            <w:proofErr w:type="spellEnd"/>
            <w:r w:rsidRPr="00B8549E">
              <w:rPr>
                <w:sz w:val="23"/>
                <w:szCs w:val="23"/>
                <w:lang w:val="en-US" w:eastAsia="en-AU"/>
              </w:rPr>
              <w:t>.</w:t>
            </w:r>
          </w:p>
          <w:p w:rsidR="00B8549E" w:rsidRPr="00B8549E" w:rsidRDefault="00B8549E" w:rsidP="00B8549E">
            <w:pPr>
              <w:spacing w:before="100" w:beforeAutospacing="1" w:after="100" w:afterAutospacing="1"/>
              <w:rPr>
                <w:sz w:val="23"/>
                <w:szCs w:val="23"/>
                <w:lang w:val="en-US" w:eastAsia="en-AU"/>
              </w:rPr>
            </w:pPr>
            <w:r w:rsidRPr="00B8549E">
              <w:rPr>
                <w:sz w:val="23"/>
                <w:szCs w:val="23"/>
                <w:lang w:val="en-US" w:eastAsia="en-AU"/>
              </w:rPr>
              <w:t xml:space="preserve">New market access commitments for Australian lawyers in KAFTA include commitments enabling Australian legal firms to establish representative offices in Korea and which ensure the right of Australian lawyers to advise on Australian and public international law.  By 12 December 2016, Australian law firms will be able to enter into cooperative agreements with Korean law firms and from 12 December 2019 Australian law firms will be able to establish joint venture law firms in Korea.    </w:t>
            </w:r>
            <w:r w:rsidRPr="00B8549E">
              <w:rPr>
                <w:sz w:val="23"/>
                <w:szCs w:val="23"/>
                <w:lang w:val="en-US"/>
              </w:rPr>
              <w:t>Korea’s legal services commitments are subject to a MFN treatment provision, which provides that any future more-beneficial treatment provided to lawyers from other countries is automatically extended to Australia.</w:t>
            </w:r>
          </w:p>
          <w:p w:rsidR="00B8549E" w:rsidRPr="00B8549E" w:rsidRDefault="00B8549E" w:rsidP="00B8549E">
            <w:pPr>
              <w:spacing w:before="100" w:beforeAutospacing="1" w:after="100" w:afterAutospacing="1"/>
              <w:rPr>
                <w:sz w:val="23"/>
                <w:szCs w:val="23"/>
                <w:lang w:val="en-US" w:eastAsia="en-AU"/>
              </w:rPr>
            </w:pPr>
            <w:r w:rsidRPr="00B8549E">
              <w:rPr>
                <w:sz w:val="23"/>
                <w:szCs w:val="23"/>
                <w:lang w:val="en-US" w:eastAsia="en-AU"/>
              </w:rPr>
              <w:t xml:space="preserve">China made commitments on legal services in </w:t>
            </w:r>
            <w:proofErr w:type="spellStart"/>
            <w:r w:rsidRPr="00B8549E">
              <w:rPr>
                <w:sz w:val="23"/>
                <w:szCs w:val="23"/>
                <w:lang w:val="en-US" w:eastAsia="en-AU"/>
              </w:rPr>
              <w:t>ChAFTA</w:t>
            </w:r>
            <w:proofErr w:type="spellEnd"/>
            <w:r w:rsidRPr="00B8549E">
              <w:rPr>
                <w:sz w:val="23"/>
                <w:szCs w:val="23"/>
                <w:lang w:val="en-US" w:eastAsia="en-AU"/>
              </w:rPr>
              <w:t xml:space="preserve"> that extend beyond those it has made with any other trading partner, </w:t>
            </w:r>
            <w:r w:rsidRPr="00B8549E">
              <w:rPr>
                <w:sz w:val="23"/>
                <w:szCs w:val="23"/>
              </w:rPr>
              <w:t>providing Australian law firms unprecedented and integrated access to the Chinese market.  China has guaranteed access for Australian law firms that seek to establish commercial associations with Chinese law firms in its Shanghai Free Trade Zone.  This commitment allows Australian firms to offer Australian, Chinese and international legal services through a commercial presence, without restrictions on the location of clients.  Provision of such services by Australian legal firms in China was previously denied.  China and Australia also agreed to promote increased mobility for Australian and Chinese lawyers, including through secondment arrangements.</w:t>
            </w:r>
          </w:p>
        </w:tc>
      </w:tr>
    </w:tbl>
    <w:p w:rsidR="00B8549E" w:rsidRDefault="00B8549E" w:rsidP="00B8549E">
      <w:pPr>
        <w:pStyle w:val="Heading3"/>
        <w:spacing w:before="240" w:after="240"/>
        <w:rPr>
          <w:b w:val="0"/>
          <w:i/>
        </w:rPr>
      </w:pPr>
    </w:p>
    <w:p w:rsidR="005C4B6C" w:rsidRPr="00602918" w:rsidRDefault="005C4B6C" w:rsidP="00B8549E">
      <w:pPr>
        <w:pStyle w:val="Heading3"/>
        <w:spacing w:before="240" w:after="240"/>
        <w:rPr>
          <w:b w:val="0"/>
          <w:i/>
        </w:rPr>
      </w:pPr>
      <w:bookmarkStart w:id="64" w:name="_Toc424644366"/>
      <w:r w:rsidRPr="00602918">
        <w:rPr>
          <w:b w:val="0"/>
          <w:i/>
        </w:rPr>
        <w:t>Lack of transparency/regulatory uncertainty</w:t>
      </w:r>
      <w:bookmarkEnd w:id="64"/>
      <w:r w:rsidRPr="00602918">
        <w:rPr>
          <w:b w:val="0"/>
          <w:i/>
        </w:rPr>
        <w:t xml:space="preserve">  </w:t>
      </w:r>
    </w:p>
    <w:p w:rsidR="005F3489" w:rsidRDefault="005F3489" w:rsidP="00E362FE">
      <w:pPr>
        <w:pStyle w:val="ListParagraph"/>
        <w:numPr>
          <w:ilvl w:val="0"/>
          <w:numId w:val="24"/>
        </w:numPr>
        <w:spacing w:before="240" w:after="240" w:line="276" w:lineRule="auto"/>
      </w:pPr>
      <w:r>
        <w:t xml:space="preserve">Many service suppliers report that a lack of transparency and regulatory uncertainties in many overseas business environments is the biggest barrier, particularly in terms of possible discrimination against foreign service providers.  </w:t>
      </w:r>
    </w:p>
    <w:p w:rsidR="00F8189F" w:rsidRPr="00602918" w:rsidRDefault="005F3489" w:rsidP="00E362FE">
      <w:pPr>
        <w:pStyle w:val="ListParagraph"/>
        <w:numPr>
          <w:ilvl w:val="0"/>
          <w:numId w:val="24"/>
        </w:numPr>
        <w:spacing w:before="240" w:after="240" w:line="276" w:lineRule="auto"/>
      </w:pPr>
      <w:r>
        <w:t>The structure of some trade agreements also enables existing market openness to be locked in and to capture any future liberalisation</w:t>
      </w:r>
      <w:r w:rsidR="005C4B6C">
        <w:t>, such that where a country eas</w:t>
      </w:r>
      <w:r>
        <w:t>es or lifts certain existing restrictions, they will not be able to subsequently revert to the more restrictive measures in the future.</w:t>
      </w:r>
      <w:r w:rsidRPr="00EF630E">
        <w:rPr>
          <w:lang w:val="en-US" w:eastAsia="en-AU"/>
        </w:rPr>
        <w:t xml:space="preserve"> </w:t>
      </w:r>
      <w:r>
        <w:rPr>
          <w:lang w:val="en-US" w:eastAsia="en-AU"/>
        </w:rPr>
        <w:t xml:space="preserve"> Trade agreements also provide a vehicle for negotiations to address </w:t>
      </w:r>
      <w:r w:rsidRPr="00EF630E">
        <w:rPr>
          <w:lang w:val="en-US" w:eastAsia="en-AU"/>
        </w:rPr>
        <w:t>regulatory barriers, secure preferences for Australian firms and</w:t>
      </w:r>
      <w:r>
        <w:rPr>
          <w:lang w:val="en-US" w:eastAsia="en-AU"/>
        </w:rPr>
        <w:t xml:space="preserve"> develop bilateral mechanisms which</w:t>
      </w:r>
      <w:r w:rsidRPr="00EF630E">
        <w:rPr>
          <w:lang w:val="en-US" w:eastAsia="en-AU"/>
        </w:rPr>
        <w:t xml:space="preserve"> address Australian service supplier concerns in the administration of laws, regulations and policies.   </w:t>
      </w:r>
    </w:p>
    <w:p w:rsidR="00602918" w:rsidRDefault="00602918">
      <w:r>
        <w:br w:type="page"/>
      </w:r>
    </w:p>
    <w:p w:rsidR="00602918" w:rsidRPr="00D109D3" w:rsidRDefault="00602918" w:rsidP="00602918">
      <w:pPr>
        <w:spacing w:before="240" w:after="240" w:line="276" w:lineRule="auto"/>
        <w:ind w:left="284"/>
      </w:pPr>
    </w:p>
    <w:tbl>
      <w:tblPr>
        <w:tblStyle w:val="TableGrid"/>
        <w:tblW w:w="0" w:type="auto"/>
        <w:tblInd w:w="284" w:type="dxa"/>
        <w:tblLook w:val="04A0" w:firstRow="1" w:lastRow="0" w:firstColumn="1" w:lastColumn="0" w:noHBand="0" w:noVBand="1"/>
      </w:tblPr>
      <w:tblGrid>
        <w:gridCol w:w="8244"/>
      </w:tblGrid>
      <w:tr w:rsidR="00D109D3" w:rsidTr="00D109D3">
        <w:tc>
          <w:tcPr>
            <w:tcW w:w="8528" w:type="dxa"/>
            <w:shd w:val="clear" w:color="auto" w:fill="DBE5F1" w:themeFill="accent1" w:themeFillTint="33"/>
          </w:tcPr>
          <w:p w:rsidR="00D109D3" w:rsidRPr="00941029" w:rsidRDefault="00D109D3" w:rsidP="00D109D3">
            <w:pPr>
              <w:spacing w:before="240" w:after="240" w:line="276" w:lineRule="auto"/>
              <w:rPr>
                <w:b/>
                <w:i/>
                <w:color w:val="1F497D" w:themeColor="text2"/>
              </w:rPr>
            </w:pPr>
            <w:r w:rsidRPr="00941029">
              <w:rPr>
                <w:b/>
                <w:i/>
                <w:color w:val="1F497D" w:themeColor="text2"/>
              </w:rPr>
              <w:t>Australia’s International Business Survey</w:t>
            </w:r>
          </w:p>
          <w:p w:rsidR="00D109D3" w:rsidRDefault="00D109D3" w:rsidP="00D109D3">
            <w:pPr>
              <w:spacing w:before="240" w:after="240" w:line="276" w:lineRule="auto"/>
            </w:pPr>
            <w:r>
              <w:rPr>
                <w:i/>
              </w:rPr>
              <w:t xml:space="preserve">Australia’s International </w:t>
            </w:r>
            <w:r w:rsidRPr="00B21E09">
              <w:rPr>
                <w:i/>
              </w:rPr>
              <w:t>Business Survey</w:t>
            </w:r>
            <w:r w:rsidRPr="00B21E09">
              <w:t>,</w:t>
            </w:r>
            <w:r w:rsidRPr="00B21E09">
              <w:rPr>
                <w:vertAlign w:val="superscript"/>
              </w:rPr>
              <w:footnoteReference w:id="11"/>
            </w:r>
            <w:r w:rsidRPr="00B21E09">
              <w:t xml:space="preserve"> an annual survey commissioned by Austrade, </w:t>
            </w:r>
            <w:proofErr w:type="spellStart"/>
            <w:r w:rsidRPr="00B21E09">
              <w:t>Efic</w:t>
            </w:r>
            <w:proofErr w:type="spellEnd"/>
            <w:r w:rsidRPr="00B21E09">
              <w:t xml:space="preserve">, the Export Council of Australia of Australia and University of Sydney, is an example of information on the experiences and perspectives of the services sector.  The 2014 survey, of which 58 per cent of the 1600 surveyed exporters were from the services sector, identified lack </w:t>
            </w:r>
            <w:r w:rsidR="00D115E4">
              <w:t>of information on local culture; business practices; language; consumer requirements;</w:t>
            </w:r>
            <w:r w:rsidRPr="00B21E09">
              <w:t xml:space="preserve"> local regulation and tariffs as prominent challenges of doing business overseas.  </w:t>
            </w:r>
            <w:r w:rsidRPr="00B21E09">
              <w:rPr>
                <w:lang w:eastAsia="zh-CN"/>
              </w:rPr>
              <w:t>As the 2014-15 survey requested that businesses indicate what percentage of their services exports are delivered through each mode</w:t>
            </w:r>
            <w:r w:rsidRPr="00B21E09">
              <w:rPr>
                <w:rStyle w:val="FootnoteReference"/>
                <w:lang w:eastAsia="zh-CN"/>
              </w:rPr>
              <w:footnoteReference w:id="12"/>
            </w:r>
            <w:r w:rsidRPr="00B21E09">
              <w:rPr>
                <w:lang w:eastAsia="zh-CN"/>
              </w:rPr>
              <w:t xml:space="preserve"> of supply, in future it will be possible to use the survey data to examine barriers for all modes of delivery, including to establishing a commercial presence overseas</w:t>
            </w:r>
            <w:r>
              <w:rPr>
                <w:lang w:eastAsia="zh-CN"/>
              </w:rPr>
              <w:t xml:space="preserve"> (mode three).</w:t>
            </w:r>
          </w:p>
        </w:tc>
      </w:tr>
    </w:tbl>
    <w:p w:rsidR="00602918" w:rsidRDefault="00602918" w:rsidP="0040174C">
      <w:pPr>
        <w:pStyle w:val="Heading1"/>
        <w:spacing w:before="240" w:after="240"/>
        <w:ind w:left="284"/>
      </w:pPr>
    </w:p>
    <w:p w:rsidR="00602918" w:rsidRDefault="00602918">
      <w:pPr>
        <w:rPr>
          <w:rFonts w:asciiTheme="majorHAnsi" w:eastAsiaTheme="majorEastAsia" w:hAnsiTheme="majorHAnsi" w:cstheme="majorBidi"/>
          <w:b/>
          <w:bCs/>
          <w:color w:val="365F91" w:themeColor="accent1" w:themeShade="BF"/>
          <w:sz w:val="28"/>
          <w:szCs w:val="28"/>
        </w:rPr>
      </w:pPr>
      <w:r>
        <w:br w:type="page"/>
      </w:r>
    </w:p>
    <w:p w:rsidR="0040174C" w:rsidRPr="001F4418" w:rsidRDefault="0040174C" w:rsidP="0040174C">
      <w:pPr>
        <w:pStyle w:val="Heading1"/>
        <w:spacing w:before="240" w:after="240"/>
        <w:ind w:left="284"/>
      </w:pPr>
      <w:bookmarkStart w:id="65" w:name="_Toc424644367"/>
      <w:r>
        <w:lastRenderedPageBreak/>
        <w:t xml:space="preserve">E. Domestic issues affecting </w:t>
      </w:r>
      <w:r w:rsidRPr="001F4418">
        <w:t>services exports</w:t>
      </w:r>
      <w:bookmarkEnd w:id="65"/>
    </w:p>
    <w:p w:rsidR="00951178" w:rsidRDefault="005463F5" w:rsidP="00E362FE">
      <w:pPr>
        <w:pStyle w:val="ListParagraph"/>
        <w:numPr>
          <w:ilvl w:val="0"/>
          <w:numId w:val="24"/>
        </w:numPr>
        <w:spacing w:before="240" w:after="240" w:line="276" w:lineRule="auto"/>
      </w:pPr>
      <w:r>
        <w:t xml:space="preserve">Ensuring </w:t>
      </w:r>
      <w:r w:rsidR="005F3489" w:rsidRPr="00182CC9">
        <w:t>Austra</w:t>
      </w:r>
      <w:r>
        <w:t>lian service suppliers and investors</w:t>
      </w:r>
      <w:r w:rsidR="005F3489" w:rsidRPr="00182CC9">
        <w:t xml:space="preserve"> are competitive in an international context </w:t>
      </w:r>
      <w:r w:rsidR="0040174C">
        <w:t>also</w:t>
      </w:r>
      <w:r>
        <w:t xml:space="preserve"> </w:t>
      </w:r>
      <w:r w:rsidR="005F3489" w:rsidRPr="00182CC9">
        <w:t xml:space="preserve">requires an examination of domestic regulatory constraints. </w:t>
      </w:r>
    </w:p>
    <w:p w:rsidR="0040174C" w:rsidRPr="00602918" w:rsidRDefault="0040174C" w:rsidP="00EC0366">
      <w:pPr>
        <w:pStyle w:val="Heading3"/>
        <w:rPr>
          <w:b w:val="0"/>
          <w:i/>
        </w:rPr>
      </w:pPr>
      <w:bookmarkStart w:id="66" w:name="_Toc424644368"/>
      <w:r w:rsidRPr="00602918">
        <w:rPr>
          <w:b w:val="0"/>
          <w:i/>
        </w:rPr>
        <w:t>Role of domestic reform</w:t>
      </w:r>
      <w:bookmarkEnd w:id="66"/>
    </w:p>
    <w:p w:rsidR="0040174C" w:rsidRPr="00CF0230" w:rsidRDefault="0040174C" w:rsidP="00E362FE">
      <w:pPr>
        <w:pStyle w:val="ListParagraph"/>
        <w:numPr>
          <w:ilvl w:val="0"/>
          <w:numId w:val="24"/>
        </w:numPr>
        <w:spacing w:before="240" w:after="240" w:line="276" w:lineRule="auto"/>
      </w:pPr>
      <w:r w:rsidRPr="00CF0230">
        <w:rPr>
          <w:rFonts w:cs="Calibri"/>
          <w:lang w:val="en"/>
        </w:rPr>
        <w:t xml:space="preserve">Reform in competition policy, in particular those that result in Australia’s competition policies, laws, and institutions being flexible, responsive and adaptive will benefit the Australian services sector.  </w:t>
      </w:r>
      <w:r w:rsidRPr="00CF0230">
        <w:rPr>
          <w:rFonts w:cs="Calibri"/>
          <w:lang w:eastAsia="en-AU"/>
        </w:rPr>
        <w:t>Greater competition within Australia will provide incentives for domestic producers, including in the services sector, to innovate and lift their productivity, while greater market access will enable exporters to achieve global scale.</w:t>
      </w:r>
    </w:p>
    <w:p w:rsidR="0040174C" w:rsidRPr="00CF0230" w:rsidRDefault="0040174C" w:rsidP="00E362FE">
      <w:pPr>
        <w:pStyle w:val="ListParagraph"/>
        <w:numPr>
          <w:ilvl w:val="0"/>
          <w:numId w:val="24"/>
        </w:numPr>
        <w:spacing w:before="240" w:after="240" w:line="276" w:lineRule="auto"/>
      </w:pPr>
      <w:r w:rsidRPr="00CF0230">
        <w:t>Investment in services is an increasingly significant dimension in the development of global value chains.  Australia is a nation that places great value on global value chains.  Australia has a global competitive advantage in services industries that sit alongside our strengths, such as in mining where we have well developed professional services industries such as engineering and environmental management to mining technology.  Attracting investment to services will be increasingly important as part of the rebalancing of the economy post the mining boom.</w:t>
      </w:r>
    </w:p>
    <w:p w:rsidR="0040174C" w:rsidRPr="00CF0230" w:rsidRDefault="0040174C" w:rsidP="00E362FE">
      <w:pPr>
        <w:pStyle w:val="ListParagraph"/>
        <w:numPr>
          <w:ilvl w:val="0"/>
          <w:numId w:val="24"/>
        </w:numPr>
        <w:spacing w:before="240" w:after="240" w:line="276" w:lineRule="auto"/>
      </w:pPr>
      <w:r w:rsidRPr="00CF0230">
        <w:rPr>
          <w:rFonts w:cs="Calibri"/>
          <w:lang w:eastAsia="en-AU"/>
        </w:rPr>
        <w:t xml:space="preserve">The value of the stock of foreign direct investment (FDI) in the services sector in Australia has increased from $286.4 billion in 2010 to $334.3 billion in 2014.   Despite the increase in value, the share of services in inwards FDI has dropped from 55.2 </w:t>
      </w:r>
      <w:r w:rsidRPr="00CF0230">
        <w:t>per cent to 48.6 per cent, which could in part be explained by the strong growth in FDI to the mining sector during this period.  The value of outward stock of FDI in services has also grown, from $153.1 billion in 2010 to $198.5 billion in 2014</w:t>
      </w:r>
      <w:r w:rsidRPr="00CF0230">
        <w:rPr>
          <w:rStyle w:val="FootnoteReference"/>
        </w:rPr>
        <w:footnoteReference w:id="13"/>
      </w:r>
      <w:r w:rsidRPr="00CF0230">
        <w:t>, increasing services share in outward FDI from 34.6 per cent to 36.7 per cent over the same period</w:t>
      </w:r>
      <w:r>
        <w:t>.</w:t>
      </w:r>
    </w:p>
    <w:p w:rsidR="00602918" w:rsidRDefault="0040174C" w:rsidP="00E362FE">
      <w:pPr>
        <w:pStyle w:val="ListParagraph"/>
        <w:numPr>
          <w:ilvl w:val="0"/>
          <w:numId w:val="24"/>
        </w:numPr>
        <w:spacing w:before="240" w:after="240" w:line="276" w:lineRule="auto"/>
      </w:pPr>
      <w:r w:rsidRPr="00182CC9">
        <w:t xml:space="preserve">Often </w:t>
      </w:r>
      <w:r>
        <w:t xml:space="preserve">Australia’s </w:t>
      </w:r>
      <w:r w:rsidRPr="00182CC9">
        <w:t xml:space="preserve">trading partners seek to address what they perceive as barriers to trade through </w:t>
      </w:r>
      <w:r>
        <w:t xml:space="preserve">their formal trade negotiations with us.  </w:t>
      </w:r>
      <w:r w:rsidRPr="00182CC9">
        <w:t xml:space="preserve">The depth and complexity of requests to address barriers often depends on the nature of the relationship with a particular trading partner.  It would be reasonable to characterise trading partners concerns with Australia as generally not relating to traditional market access barriers as defined in the GATS but rather domestic regulatory issues which are seen to impede trade.  Examples of some </w:t>
      </w:r>
      <w:r>
        <w:t>o</w:t>
      </w:r>
      <w:r w:rsidRPr="00182CC9">
        <w:t>f the issues which have been raised with Austra</w:t>
      </w:r>
      <w:r w:rsidR="00602918">
        <w:t>lia previously are listed on the next page.</w:t>
      </w:r>
    </w:p>
    <w:p w:rsidR="00602918" w:rsidRDefault="00602918">
      <w:r>
        <w:br w:type="page"/>
      </w:r>
    </w:p>
    <w:p w:rsidR="0040174C" w:rsidRDefault="0040174C" w:rsidP="00602918">
      <w:pPr>
        <w:spacing w:before="240" w:after="240" w:line="276" w:lineRule="auto"/>
      </w:pPr>
    </w:p>
    <w:tbl>
      <w:tblPr>
        <w:tblStyle w:val="TableGrid"/>
        <w:tblW w:w="0" w:type="auto"/>
        <w:shd w:val="clear" w:color="auto" w:fill="DBE5F1" w:themeFill="accent1" w:themeFillTint="33"/>
        <w:tblLook w:val="04A0" w:firstRow="1" w:lastRow="0" w:firstColumn="1" w:lastColumn="0" w:noHBand="0" w:noVBand="1"/>
      </w:tblPr>
      <w:tblGrid>
        <w:gridCol w:w="8522"/>
      </w:tblGrid>
      <w:tr w:rsidR="0040174C" w:rsidRPr="00182CC9" w:rsidTr="00C25E2F">
        <w:tc>
          <w:tcPr>
            <w:tcW w:w="8522" w:type="dxa"/>
            <w:shd w:val="clear" w:color="auto" w:fill="DBE5F1" w:themeFill="accent1" w:themeFillTint="33"/>
          </w:tcPr>
          <w:p w:rsidR="0040174C" w:rsidRPr="00911D2D" w:rsidRDefault="0040174C" w:rsidP="00C25E2F">
            <w:pPr>
              <w:rPr>
                <w:sz w:val="4"/>
                <w:szCs w:val="4"/>
              </w:rPr>
            </w:pPr>
          </w:p>
          <w:p w:rsidR="0040174C" w:rsidRPr="00182CC9" w:rsidRDefault="0040174C" w:rsidP="0040174C">
            <w:pPr>
              <w:numPr>
                <w:ilvl w:val="0"/>
                <w:numId w:val="6"/>
              </w:numPr>
              <w:spacing w:line="276" w:lineRule="auto"/>
              <w:contextualSpacing/>
            </w:pPr>
            <w:r w:rsidRPr="00182CC9">
              <w:t>Australia’s visa system, including requirements associated with obtaining visas such as:</w:t>
            </w:r>
          </w:p>
          <w:p w:rsidR="0040174C" w:rsidRPr="00182CC9" w:rsidRDefault="0040174C" w:rsidP="0040174C">
            <w:pPr>
              <w:numPr>
                <w:ilvl w:val="1"/>
                <w:numId w:val="17"/>
              </w:numPr>
              <w:spacing w:line="276" w:lineRule="auto"/>
              <w:contextualSpacing/>
            </w:pPr>
            <w:r w:rsidRPr="00182CC9">
              <w:t>English language requirements;</w:t>
            </w:r>
          </w:p>
          <w:p w:rsidR="0040174C" w:rsidRPr="00182CC9" w:rsidRDefault="0040174C" w:rsidP="0040174C">
            <w:pPr>
              <w:numPr>
                <w:ilvl w:val="1"/>
                <w:numId w:val="17"/>
              </w:numPr>
              <w:spacing w:line="276" w:lineRule="auto"/>
              <w:contextualSpacing/>
            </w:pPr>
            <w:r w:rsidRPr="00182CC9">
              <w:t>skills assessment requirements;</w:t>
            </w:r>
          </w:p>
          <w:p w:rsidR="0040174C" w:rsidRDefault="0040174C" w:rsidP="0040174C">
            <w:pPr>
              <w:numPr>
                <w:ilvl w:val="1"/>
                <w:numId w:val="17"/>
              </w:numPr>
              <w:spacing w:line="276" w:lineRule="auto"/>
              <w:contextualSpacing/>
            </w:pPr>
            <w:r w:rsidRPr="00182CC9">
              <w:t>wage requirements;</w:t>
            </w:r>
          </w:p>
          <w:p w:rsidR="0040174C" w:rsidRPr="00182CC9" w:rsidRDefault="0040174C" w:rsidP="0040174C">
            <w:pPr>
              <w:numPr>
                <w:ilvl w:val="1"/>
                <w:numId w:val="17"/>
              </w:numPr>
              <w:spacing w:line="276" w:lineRule="auto"/>
              <w:contextualSpacing/>
            </w:pPr>
            <w:r w:rsidRPr="00182CC9">
              <w:t>amount of documentation required to obtain and process visas.</w:t>
            </w:r>
          </w:p>
          <w:p w:rsidR="0040174C" w:rsidRPr="00911D2D" w:rsidRDefault="0040174C" w:rsidP="0040174C">
            <w:pPr>
              <w:spacing w:line="276" w:lineRule="auto"/>
              <w:ind w:left="1080"/>
              <w:contextualSpacing/>
              <w:rPr>
                <w:sz w:val="16"/>
                <w:szCs w:val="16"/>
              </w:rPr>
            </w:pPr>
          </w:p>
          <w:p w:rsidR="0040174C" w:rsidRPr="00182CC9" w:rsidRDefault="0040174C" w:rsidP="0040174C">
            <w:pPr>
              <w:numPr>
                <w:ilvl w:val="0"/>
                <w:numId w:val="6"/>
              </w:numPr>
              <w:spacing w:line="276" w:lineRule="auto"/>
              <w:contextualSpacing/>
            </w:pPr>
            <w:r w:rsidRPr="00182CC9">
              <w:t>Australia’s vocational occupation licensing system, including the complexity associated with licensing administered at a State and Territory level and the effect of this on mobility for foreign services suppliers.</w:t>
            </w:r>
          </w:p>
          <w:p w:rsidR="0040174C" w:rsidRPr="00911D2D" w:rsidRDefault="0040174C" w:rsidP="0040174C">
            <w:pPr>
              <w:spacing w:line="276" w:lineRule="auto"/>
              <w:contextualSpacing/>
              <w:rPr>
                <w:sz w:val="16"/>
                <w:szCs w:val="16"/>
              </w:rPr>
            </w:pPr>
          </w:p>
          <w:p w:rsidR="0040174C" w:rsidRPr="00182CC9" w:rsidRDefault="0040174C" w:rsidP="0040174C">
            <w:pPr>
              <w:numPr>
                <w:ilvl w:val="0"/>
                <w:numId w:val="6"/>
              </w:numPr>
              <w:spacing w:line="276" w:lineRule="auto"/>
              <w:contextualSpacing/>
            </w:pPr>
            <w:r w:rsidRPr="00182CC9">
              <w:t>The independence of Australia’s professional qualifications system from government and that responsibility for professional qualifications can fall to multiple independent bodies (as opposed to a single national interface with which to negotiate mutual recognition).</w:t>
            </w:r>
          </w:p>
          <w:p w:rsidR="0040174C" w:rsidRPr="00911D2D" w:rsidRDefault="0040174C" w:rsidP="0040174C">
            <w:pPr>
              <w:spacing w:line="276" w:lineRule="auto"/>
              <w:ind w:left="1080"/>
              <w:contextualSpacing/>
              <w:rPr>
                <w:sz w:val="16"/>
                <w:szCs w:val="16"/>
              </w:rPr>
            </w:pPr>
          </w:p>
          <w:p w:rsidR="0040174C" w:rsidRPr="00182CC9" w:rsidRDefault="0040174C" w:rsidP="0040174C">
            <w:pPr>
              <w:numPr>
                <w:ilvl w:val="0"/>
                <w:numId w:val="6"/>
              </w:numPr>
              <w:spacing w:line="276" w:lineRule="auto"/>
              <w:contextualSpacing/>
            </w:pPr>
            <w:r w:rsidRPr="00182CC9">
              <w:t>A lack of recognition by Australia of financial services approaches in other jurisdictions, inhibiting the provision of financial services products in the Australian market and the ability for skills and experience obtained in negotiating partner countries to be recognised in Australia.</w:t>
            </w:r>
          </w:p>
          <w:p w:rsidR="0040174C" w:rsidRPr="00911D2D" w:rsidRDefault="0040174C" w:rsidP="0040174C">
            <w:pPr>
              <w:spacing w:line="276" w:lineRule="auto"/>
              <w:ind w:left="1080"/>
              <w:contextualSpacing/>
              <w:rPr>
                <w:sz w:val="16"/>
                <w:szCs w:val="16"/>
              </w:rPr>
            </w:pPr>
          </w:p>
          <w:p w:rsidR="0040174C" w:rsidRDefault="0040174C" w:rsidP="0040174C">
            <w:pPr>
              <w:numPr>
                <w:ilvl w:val="0"/>
                <w:numId w:val="6"/>
              </w:numPr>
              <w:spacing w:line="276" w:lineRule="auto"/>
              <w:contextualSpacing/>
            </w:pPr>
            <w:r w:rsidRPr="00182CC9">
              <w:t>A lack of clarity on Australia’s approach to internet-based services and ability by Australia to provide market</w:t>
            </w:r>
            <w:r w:rsidR="002401DA">
              <w:t xml:space="preserve"> access guarantees in this area.</w:t>
            </w:r>
          </w:p>
          <w:p w:rsidR="002401DA" w:rsidRDefault="002401DA" w:rsidP="002401DA">
            <w:pPr>
              <w:pStyle w:val="ListParagraph"/>
            </w:pPr>
          </w:p>
          <w:p w:rsidR="0040174C" w:rsidRPr="00182CC9" w:rsidRDefault="0040174C" w:rsidP="0040174C">
            <w:pPr>
              <w:numPr>
                <w:ilvl w:val="0"/>
                <w:numId w:val="6"/>
              </w:numPr>
              <w:spacing w:line="276" w:lineRule="auto"/>
              <w:contextualSpacing/>
            </w:pPr>
            <w:r w:rsidRPr="00182CC9">
              <w:t>Access for service suppliers in occupations specific to negotiating partner countries, such as martial arts and traditional medicine, and recognition of foreign qualifications and approaches to quality assurance in this area, including by Australia’s Medicare system.</w:t>
            </w:r>
          </w:p>
        </w:tc>
      </w:tr>
    </w:tbl>
    <w:p w:rsidR="001466B6" w:rsidRPr="00CF0230" w:rsidRDefault="00AD7172" w:rsidP="0040174C">
      <w:pPr>
        <w:spacing w:before="240" w:after="240" w:line="276" w:lineRule="auto"/>
        <w:ind w:left="284"/>
        <w:jc w:val="both"/>
      </w:pPr>
      <w:r w:rsidRPr="00CF0230">
        <w:t xml:space="preserve"> </w:t>
      </w:r>
    </w:p>
    <w:p w:rsidR="0040174C" w:rsidRDefault="0040174C">
      <w:pPr>
        <w:rPr>
          <w:rFonts w:asciiTheme="majorHAnsi" w:eastAsiaTheme="majorEastAsia" w:hAnsiTheme="majorHAnsi" w:cstheme="majorBidi"/>
          <w:b/>
          <w:bCs/>
          <w:color w:val="365F91" w:themeColor="accent1" w:themeShade="BF"/>
          <w:sz w:val="28"/>
          <w:szCs w:val="28"/>
        </w:rPr>
      </w:pPr>
      <w:r>
        <w:br w:type="page"/>
      </w:r>
    </w:p>
    <w:p w:rsidR="00695F70" w:rsidRPr="001F4418" w:rsidRDefault="0040174C" w:rsidP="0074282B">
      <w:pPr>
        <w:pStyle w:val="Heading1"/>
        <w:spacing w:before="240" w:after="240"/>
      </w:pPr>
      <w:bookmarkStart w:id="67" w:name="_Toc424644369"/>
      <w:r>
        <w:lastRenderedPageBreak/>
        <w:t>F. Measures to a</w:t>
      </w:r>
      <w:r w:rsidR="00695F70" w:rsidRPr="001F4418">
        <w:t>ssist services exporters</w:t>
      </w:r>
      <w:bookmarkEnd w:id="67"/>
    </w:p>
    <w:p w:rsidR="005F3489" w:rsidRDefault="0074282B" w:rsidP="00E362FE">
      <w:pPr>
        <w:pStyle w:val="ListParagraph"/>
        <w:numPr>
          <w:ilvl w:val="0"/>
          <w:numId w:val="24"/>
        </w:numPr>
        <w:spacing w:before="240" w:after="240" w:line="276" w:lineRule="auto"/>
      </w:pPr>
      <w:r w:rsidRPr="00F525A3">
        <w:t>Austrade)</w:t>
      </w:r>
      <w:r w:rsidRPr="00182CC9">
        <w:t xml:space="preserve"> </w:t>
      </w:r>
      <w:r w:rsidR="00182CC9" w:rsidRPr="00182CC9">
        <w:t xml:space="preserve">and </w:t>
      </w:r>
      <w:proofErr w:type="spellStart"/>
      <w:r w:rsidR="00182CC9" w:rsidRPr="00182CC9">
        <w:t>Efic</w:t>
      </w:r>
      <w:proofErr w:type="spellEnd"/>
      <w:r w:rsidR="00595315">
        <w:t xml:space="preserve"> </w:t>
      </w:r>
      <w:r w:rsidR="00182CC9" w:rsidRPr="00182CC9">
        <w:t xml:space="preserve">play complementary roles in assisting the export of services, particularly by </w:t>
      </w:r>
      <w:r>
        <w:t>s</w:t>
      </w:r>
      <w:r w:rsidR="00182CC9" w:rsidRPr="00182CC9">
        <w:t xml:space="preserve">mall and </w:t>
      </w:r>
      <w:r>
        <w:t>m</w:t>
      </w:r>
      <w:r w:rsidR="00182CC9" w:rsidRPr="00182CC9">
        <w:t xml:space="preserve">edium </w:t>
      </w:r>
      <w:r>
        <w:t>e</w:t>
      </w:r>
      <w:r w:rsidR="00182CC9" w:rsidRPr="00182CC9">
        <w:t xml:space="preserve">nterprises (SMEs), at different stages of the export process.  </w:t>
      </w:r>
    </w:p>
    <w:p w:rsidR="00F525A3" w:rsidRPr="00EC09EF" w:rsidRDefault="00F525A3" w:rsidP="00EC0366">
      <w:pPr>
        <w:pStyle w:val="Heading3"/>
        <w:spacing w:before="240" w:after="240"/>
        <w:rPr>
          <w:b w:val="0"/>
          <w:i/>
        </w:rPr>
      </w:pPr>
      <w:bookmarkStart w:id="68" w:name="_Toc424644370"/>
      <w:r w:rsidRPr="00EC09EF">
        <w:rPr>
          <w:b w:val="0"/>
          <w:i/>
        </w:rPr>
        <w:t>Austrade</w:t>
      </w:r>
      <w:bookmarkEnd w:id="68"/>
    </w:p>
    <w:p w:rsidR="00182CC9" w:rsidRDefault="00182CC9" w:rsidP="00E362FE">
      <w:pPr>
        <w:pStyle w:val="ListParagraph"/>
        <w:numPr>
          <w:ilvl w:val="0"/>
          <w:numId w:val="24"/>
        </w:numPr>
        <w:spacing w:before="240" w:after="240" w:line="276" w:lineRule="auto"/>
      </w:pPr>
      <w:r w:rsidRPr="00182CC9">
        <w:t xml:space="preserve">Austrade has a presence in 48 overseas markets and uses its comprehensive sectoral knowledge to provide opportunities for Australian businesses.  </w:t>
      </w:r>
      <w:r w:rsidR="0040174C">
        <w:t xml:space="preserve">It </w:t>
      </w:r>
      <w:r w:rsidRPr="00182CC9">
        <w:t xml:space="preserve">provides a range of support to assist Australian services exporters including by: </w:t>
      </w:r>
    </w:p>
    <w:p w:rsidR="00C25E2F" w:rsidRDefault="00C25E2F" w:rsidP="00C25E2F">
      <w:pPr>
        <w:pStyle w:val="ListParagraph"/>
        <w:spacing w:before="240" w:after="240" w:line="276" w:lineRule="auto"/>
        <w:ind w:left="644"/>
      </w:pPr>
    </w:p>
    <w:p w:rsidR="00C25E2F" w:rsidRDefault="00695F70" w:rsidP="00C25E2F">
      <w:pPr>
        <w:pStyle w:val="ListParagraph"/>
        <w:numPr>
          <w:ilvl w:val="0"/>
          <w:numId w:val="43"/>
        </w:numPr>
        <w:spacing w:before="240" w:after="240" w:line="276" w:lineRule="auto"/>
      </w:pPr>
      <w:r w:rsidRPr="00182CC9">
        <w:t>articulating and promoting Australian supply, capacity  capability across markets</w:t>
      </w:r>
      <w:r w:rsidR="00C25E2F">
        <w:t>;</w:t>
      </w:r>
    </w:p>
    <w:p w:rsidR="00C25E2F" w:rsidRDefault="00695F70" w:rsidP="00C25E2F">
      <w:pPr>
        <w:pStyle w:val="ListParagraph"/>
        <w:numPr>
          <w:ilvl w:val="0"/>
          <w:numId w:val="43"/>
        </w:numPr>
        <w:spacing w:before="240" w:after="240" w:line="276" w:lineRule="auto"/>
      </w:pPr>
      <w:r w:rsidRPr="00182CC9">
        <w:t>identifying, building and managing clusters of internationally-competitive Australian firms in response to international customer demand;</w:t>
      </w:r>
    </w:p>
    <w:p w:rsidR="00C25E2F" w:rsidRDefault="00695F70" w:rsidP="00C25E2F">
      <w:pPr>
        <w:pStyle w:val="ListParagraph"/>
        <w:numPr>
          <w:ilvl w:val="0"/>
          <w:numId w:val="43"/>
        </w:numPr>
        <w:spacing w:before="240" w:after="240" w:line="276" w:lineRule="auto"/>
      </w:pPr>
      <w:r w:rsidRPr="00182CC9">
        <w:t xml:space="preserve">working with industry associations, research institutions and other government departments to develop and implement international trade strategies; and, </w:t>
      </w:r>
    </w:p>
    <w:p w:rsidR="00695F70" w:rsidRDefault="00695F70" w:rsidP="00C25E2F">
      <w:pPr>
        <w:pStyle w:val="ListParagraph"/>
        <w:numPr>
          <w:ilvl w:val="0"/>
          <w:numId w:val="43"/>
        </w:numPr>
        <w:spacing w:before="240" w:after="240" w:line="276" w:lineRule="auto"/>
      </w:pPr>
      <w:r w:rsidRPr="00182CC9">
        <w:t xml:space="preserve">providing information and advice to individual Australian companies to reduce the time, cost and barriers to exporting. </w:t>
      </w:r>
    </w:p>
    <w:p w:rsidR="00C25E2F" w:rsidRDefault="00C25E2F" w:rsidP="00C25E2F">
      <w:pPr>
        <w:pStyle w:val="ListParagraph"/>
        <w:spacing w:before="240" w:after="240" w:line="276" w:lineRule="auto"/>
        <w:ind w:left="1004"/>
      </w:pPr>
    </w:p>
    <w:p w:rsidR="00182CC9" w:rsidRDefault="00182CC9" w:rsidP="00E362FE">
      <w:pPr>
        <w:pStyle w:val="ListParagraph"/>
        <w:numPr>
          <w:ilvl w:val="0"/>
          <w:numId w:val="24"/>
        </w:numPr>
        <w:spacing w:before="240" w:after="240" w:line="276" w:lineRule="auto"/>
      </w:pPr>
      <w:proofErr w:type="spellStart"/>
      <w:r w:rsidRPr="00695F70">
        <w:rPr>
          <w:lang w:val="en"/>
        </w:rPr>
        <w:t>Austrade</w:t>
      </w:r>
      <w:proofErr w:type="spellEnd"/>
      <w:r w:rsidRPr="00695F70">
        <w:rPr>
          <w:lang w:val="en"/>
        </w:rPr>
        <w:t xml:space="preserve"> has also developed a number of </w:t>
      </w:r>
      <w:r w:rsidRPr="00182CC9">
        <w:t xml:space="preserve">market-based initiatives </w:t>
      </w:r>
      <w:r w:rsidRPr="00695F70">
        <w:rPr>
          <w:lang w:val="en"/>
        </w:rPr>
        <w:t xml:space="preserve">to assist Australian services exporters.  In doing so, </w:t>
      </w:r>
      <w:proofErr w:type="spellStart"/>
      <w:r w:rsidRPr="00695F70">
        <w:rPr>
          <w:lang w:val="en"/>
        </w:rPr>
        <w:t>Austrade</w:t>
      </w:r>
      <w:proofErr w:type="spellEnd"/>
      <w:r w:rsidRPr="00695F70">
        <w:rPr>
          <w:lang w:val="en"/>
        </w:rPr>
        <w:t xml:space="preserve"> focuses on areas of comparative advantage for Australia such as education and tourism services, financial services (funds management, infrastructure financing, pension system management), legal/business advisory (international arbitration, dispute resolution and IP law), health (research, aged care, clinical trials), infrastructure services (project management design, urban sustainability, transport, logistics), ICT and disruptive technologies (as an ‘</w:t>
      </w:r>
      <w:r w:rsidRPr="00182CC9">
        <w:t xml:space="preserve">enabler’ across industries), beef and dairy and services, mining services (such as mine safety), advanced manufacturing services (aviation training; MRO, engineering and design services across auto, marine and aerospace). </w:t>
      </w:r>
    </w:p>
    <w:p w:rsidR="00695F70" w:rsidRPr="00182CC9" w:rsidRDefault="00316E03" w:rsidP="00695F70">
      <w:r>
        <w:br w:type="page"/>
      </w:r>
    </w:p>
    <w:tbl>
      <w:tblPr>
        <w:tblStyle w:val="TableGrid"/>
        <w:tblW w:w="0" w:type="auto"/>
        <w:tblInd w:w="250" w:type="dxa"/>
        <w:shd w:val="clear" w:color="auto" w:fill="8DB3E2" w:themeFill="text2" w:themeFillTint="66"/>
        <w:tblLook w:val="04A0" w:firstRow="1" w:lastRow="0" w:firstColumn="1" w:lastColumn="0" w:noHBand="0" w:noVBand="1"/>
      </w:tblPr>
      <w:tblGrid>
        <w:gridCol w:w="8080"/>
      </w:tblGrid>
      <w:tr w:rsidR="00695F70" w:rsidRPr="00182CC9" w:rsidTr="00A80B0E">
        <w:tc>
          <w:tcPr>
            <w:tcW w:w="8080" w:type="dxa"/>
            <w:tcBorders>
              <w:bottom w:val="single" w:sz="4" w:space="0" w:color="auto"/>
            </w:tcBorders>
            <w:shd w:val="clear" w:color="auto" w:fill="B8CCE4" w:themeFill="accent1" w:themeFillTint="66"/>
          </w:tcPr>
          <w:p w:rsidR="00695F70" w:rsidRPr="00B53D46" w:rsidRDefault="00695F70" w:rsidP="0040174C">
            <w:pPr>
              <w:spacing w:line="276" w:lineRule="auto"/>
              <w:jc w:val="center"/>
              <w:rPr>
                <w:b/>
                <w:color w:val="1F497D" w:themeColor="text2"/>
                <w:lang w:val="en"/>
              </w:rPr>
            </w:pPr>
            <w:r w:rsidRPr="00B53D46">
              <w:rPr>
                <w:b/>
                <w:color w:val="1F497D" w:themeColor="text2"/>
                <w:lang w:val="en"/>
              </w:rPr>
              <w:lastRenderedPageBreak/>
              <w:t xml:space="preserve">Examples of how </w:t>
            </w:r>
            <w:proofErr w:type="spellStart"/>
            <w:r w:rsidRPr="00B53D46">
              <w:rPr>
                <w:b/>
                <w:color w:val="1F497D" w:themeColor="text2"/>
                <w:lang w:val="en"/>
              </w:rPr>
              <w:t>Austrade</w:t>
            </w:r>
            <w:proofErr w:type="spellEnd"/>
            <w:r w:rsidRPr="00B53D46">
              <w:rPr>
                <w:b/>
                <w:color w:val="1F497D" w:themeColor="text2"/>
                <w:lang w:val="en"/>
              </w:rPr>
              <w:t xml:space="preserve"> assists </w:t>
            </w:r>
          </w:p>
          <w:p w:rsidR="00695F70" w:rsidRPr="00182CC9" w:rsidRDefault="00695F70" w:rsidP="0040174C">
            <w:pPr>
              <w:spacing w:line="276" w:lineRule="auto"/>
              <w:jc w:val="center"/>
              <w:rPr>
                <w:b/>
                <w:i/>
                <w:lang w:val="en"/>
              </w:rPr>
            </w:pPr>
            <w:r w:rsidRPr="00B53D46">
              <w:rPr>
                <w:b/>
                <w:color w:val="1F497D" w:themeColor="text2"/>
                <w:lang w:val="en"/>
              </w:rPr>
              <w:t>Australian services exporters</w:t>
            </w:r>
          </w:p>
        </w:tc>
      </w:tr>
      <w:tr w:rsidR="00695F70" w:rsidRPr="00182CC9" w:rsidTr="00A80B0E">
        <w:tc>
          <w:tcPr>
            <w:tcW w:w="8080" w:type="dxa"/>
            <w:shd w:val="clear" w:color="auto" w:fill="DBE5F1" w:themeFill="accent1" w:themeFillTint="33"/>
          </w:tcPr>
          <w:p w:rsidR="00695F70" w:rsidRPr="00182CC9" w:rsidRDefault="00695F70" w:rsidP="0040174C">
            <w:pPr>
              <w:numPr>
                <w:ilvl w:val="0"/>
                <w:numId w:val="18"/>
              </w:numPr>
              <w:spacing w:line="276" w:lineRule="auto"/>
              <w:contextualSpacing/>
              <w:rPr>
                <w:b/>
              </w:rPr>
            </w:pPr>
            <w:r w:rsidRPr="00182CC9">
              <w:rPr>
                <w:rFonts w:eastAsiaTheme="minorEastAsia"/>
                <w:color w:val="000000"/>
                <w:lang w:eastAsia="zh-CN"/>
              </w:rPr>
              <w:t xml:space="preserve">Organising high level financial services delegations to Hong Kong, China, South Korea and Japan, to introduce Australian </w:t>
            </w:r>
            <w:r w:rsidRPr="00182CC9">
              <w:rPr>
                <w:color w:val="000000"/>
                <w:lang w:eastAsia="ja-JP"/>
              </w:rPr>
              <w:t>firms to in-market regulatory, diplomatic, policy making stakeholders</w:t>
            </w:r>
            <w:r w:rsidRPr="00182CC9">
              <w:rPr>
                <w:color w:val="000000"/>
              </w:rPr>
              <w:t xml:space="preserve"> and </w:t>
            </w:r>
            <w:r w:rsidRPr="00182CC9">
              <w:rPr>
                <w:color w:val="000000"/>
                <w:lang w:eastAsia="ja-JP"/>
              </w:rPr>
              <w:t>institutional investors.</w:t>
            </w:r>
          </w:p>
          <w:p w:rsidR="00695F70" w:rsidRPr="00182CC9" w:rsidRDefault="00695F70" w:rsidP="0040174C">
            <w:pPr>
              <w:numPr>
                <w:ilvl w:val="0"/>
                <w:numId w:val="18"/>
              </w:numPr>
              <w:spacing w:line="276" w:lineRule="auto"/>
              <w:contextualSpacing/>
            </w:pPr>
            <w:r w:rsidRPr="00182CC9">
              <w:t>Providing information on opportunities and barriers for Australian legal and advisory firms across Japan, Korea, Singapore and Indonesia. This is being delivered via a qualitative research project in partnership with the Department of Industry and Science and the Australian Services Roundtable.</w:t>
            </w:r>
          </w:p>
          <w:p w:rsidR="00695F70" w:rsidRPr="00182CC9" w:rsidRDefault="00695F70" w:rsidP="0040174C">
            <w:pPr>
              <w:numPr>
                <w:ilvl w:val="0"/>
                <w:numId w:val="18"/>
              </w:numPr>
              <w:spacing w:line="276" w:lineRule="auto"/>
              <w:contextualSpacing/>
            </w:pPr>
            <w:r w:rsidRPr="00182CC9">
              <w:t>Delivering market information sessions for Australian ICT firms, providing practical information on market entry models and regulatory requirements, across South K</w:t>
            </w:r>
            <w:r w:rsidR="00A47AFC">
              <w:t>orea, Singapore, Taiwan, the United States and the United Kingdom</w:t>
            </w:r>
            <w:r w:rsidRPr="00182CC9">
              <w:t>.</w:t>
            </w:r>
          </w:p>
          <w:p w:rsidR="00695F70" w:rsidRPr="00182CC9" w:rsidRDefault="00695F70" w:rsidP="0040174C">
            <w:pPr>
              <w:numPr>
                <w:ilvl w:val="0"/>
                <w:numId w:val="18"/>
              </w:numPr>
              <w:spacing w:line="276" w:lineRule="auto"/>
              <w:contextualSpacing/>
            </w:pPr>
            <w:r w:rsidRPr="00182CC9">
              <w:rPr>
                <w:color w:val="000000" w:themeColor="text1"/>
              </w:rPr>
              <w:t>Promoting Australian firms with capability in disaster management including policy, standards, regulations, training and capacity building, to key decision makers in the Philippines and other ASEAN markets.</w:t>
            </w:r>
          </w:p>
          <w:p w:rsidR="00695F70" w:rsidRPr="00A47AFC" w:rsidRDefault="00695F70" w:rsidP="00A47AFC">
            <w:pPr>
              <w:numPr>
                <w:ilvl w:val="0"/>
                <w:numId w:val="18"/>
              </w:numPr>
              <w:spacing w:line="276" w:lineRule="auto"/>
              <w:contextualSpacing/>
            </w:pPr>
            <w:r w:rsidRPr="00182CC9">
              <w:rPr>
                <w:color w:val="000000" w:themeColor="text1"/>
              </w:rPr>
              <w:t>Introduction of Australian infrastructure firms to multilateral aid agencies such as A</w:t>
            </w:r>
            <w:r w:rsidR="00A47AFC">
              <w:rPr>
                <w:color w:val="000000" w:themeColor="text1"/>
              </w:rPr>
              <w:t xml:space="preserve">sian </w:t>
            </w:r>
            <w:r w:rsidRPr="00182CC9">
              <w:rPr>
                <w:color w:val="000000" w:themeColor="text1"/>
              </w:rPr>
              <w:t>D</w:t>
            </w:r>
            <w:r w:rsidR="00A47AFC">
              <w:rPr>
                <w:color w:val="000000" w:themeColor="text1"/>
              </w:rPr>
              <w:t xml:space="preserve">evelopment </w:t>
            </w:r>
            <w:r w:rsidRPr="00182CC9">
              <w:rPr>
                <w:color w:val="000000" w:themeColor="text1"/>
              </w:rPr>
              <w:t>B</w:t>
            </w:r>
            <w:r w:rsidR="00A47AFC">
              <w:rPr>
                <w:color w:val="000000" w:themeColor="text1"/>
              </w:rPr>
              <w:t>ank</w:t>
            </w:r>
            <w:r w:rsidRPr="00182CC9">
              <w:rPr>
                <w:color w:val="000000" w:themeColor="text1"/>
              </w:rPr>
              <w:t>, World Bank and Australian Aid, to increase engagement in key projects.</w:t>
            </w:r>
          </w:p>
        </w:tc>
      </w:tr>
    </w:tbl>
    <w:p w:rsidR="0074282B" w:rsidRDefault="00182CC9" w:rsidP="00E362FE">
      <w:pPr>
        <w:pStyle w:val="ListParagraph"/>
        <w:numPr>
          <w:ilvl w:val="0"/>
          <w:numId w:val="24"/>
        </w:numPr>
        <w:spacing w:before="240" w:after="240" w:line="276" w:lineRule="auto"/>
      </w:pPr>
      <w:r w:rsidRPr="00F525A3">
        <w:t>The Export Market Development Grants (EMDG) scheme</w:t>
      </w:r>
      <w:r w:rsidRPr="00182CC9">
        <w:t xml:space="preserve"> is an Australian Government financial assistance programme for small to medium aspiring and growing export-ready businesses.  It encourages businesses to increase international marketing and promotion expenditure to achieve more sustainable international sales.  It also provides businesses with an opportunity to enter and embed themselves in global value chains.</w:t>
      </w:r>
    </w:p>
    <w:p w:rsidR="0074282B" w:rsidRDefault="00182CC9" w:rsidP="00E362FE">
      <w:pPr>
        <w:pStyle w:val="ListParagraph"/>
        <w:numPr>
          <w:ilvl w:val="0"/>
          <w:numId w:val="24"/>
        </w:numPr>
        <w:spacing w:before="240" w:after="240" w:line="276" w:lineRule="auto"/>
      </w:pPr>
      <w:r w:rsidRPr="00182CC9">
        <w:t>EMDG recipients include many of Australia’s best known exporters.  The vast majority of recipients report that the scheme is invaluable in helping them access new markets, and develop stronger international business and cultural understanding.</w:t>
      </w:r>
    </w:p>
    <w:p w:rsidR="0074282B" w:rsidRDefault="00182CC9" w:rsidP="00E362FE">
      <w:pPr>
        <w:pStyle w:val="ListParagraph"/>
        <w:numPr>
          <w:ilvl w:val="0"/>
          <w:numId w:val="24"/>
        </w:numPr>
        <w:spacing w:before="240" w:after="240" w:line="276" w:lineRule="auto"/>
      </w:pPr>
      <w:r w:rsidRPr="00182CC9">
        <w:t xml:space="preserve">The EMDG scheme reimburses up to 50 per cent of eligible export promotion expenses above $5 000, provided that the total expenses are at least $15 000.  The maximum grant value is $150 000.  A company can receive up to eight grants.  For the 2012-13 grant year, 65 per cent of EMDG recipients were from the services sector.  This was comprised of: </w:t>
      </w:r>
    </w:p>
    <w:p w:rsidR="0074282B" w:rsidRDefault="00695F70" w:rsidP="00C25E2F">
      <w:pPr>
        <w:pStyle w:val="ListParagraph"/>
        <w:numPr>
          <w:ilvl w:val="1"/>
          <w:numId w:val="46"/>
        </w:numPr>
        <w:spacing w:before="240" w:after="240" w:line="276" w:lineRule="auto"/>
      </w:pPr>
      <w:r w:rsidRPr="00182CC9">
        <w:t>9.3 per cent from ‘t</w:t>
      </w:r>
      <w:r w:rsidR="0074282B">
        <w:t>ourism and related industries’</w:t>
      </w:r>
      <w:r w:rsidR="00C25E2F">
        <w:t>;</w:t>
      </w:r>
    </w:p>
    <w:p w:rsidR="0074282B" w:rsidRDefault="00695F70" w:rsidP="00C25E2F">
      <w:pPr>
        <w:pStyle w:val="ListParagraph"/>
        <w:numPr>
          <w:ilvl w:val="1"/>
          <w:numId w:val="46"/>
        </w:numPr>
        <w:spacing w:before="240" w:after="240" w:line="276" w:lineRule="auto"/>
      </w:pPr>
      <w:r w:rsidRPr="00182CC9">
        <w:t>11.9 per cent from ‘professional, scie</w:t>
      </w:r>
      <w:r w:rsidR="0074282B">
        <w:t>ntific and technical services’</w:t>
      </w:r>
      <w:r w:rsidR="00C25E2F">
        <w:t>;</w:t>
      </w:r>
    </w:p>
    <w:p w:rsidR="0074282B" w:rsidRDefault="00C25E2F" w:rsidP="00C25E2F">
      <w:pPr>
        <w:pStyle w:val="ListParagraph"/>
        <w:numPr>
          <w:ilvl w:val="1"/>
          <w:numId w:val="46"/>
        </w:numPr>
        <w:spacing w:before="240" w:after="240" w:line="276" w:lineRule="auto"/>
      </w:pPr>
      <w:r>
        <w:t xml:space="preserve"> </w:t>
      </w:r>
      <w:r w:rsidR="0074282B">
        <w:t>per cent from ‘ICT services’</w:t>
      </w:r>
      <w:r>
        <w:t>;</w:t>
      </w:r>
    </w:p>
    <w:p w:rsidR="00C25E2F" w:rsidRDefault="00695F70" w:rsidP="00C25E2F">
      <w:pPr>
        <w:pStyle w:val="ListParagraph"/>
        <w:numPr>
          <w:ilvl w:val="1"/>
          <w:numId w:val="46"/>
        </w:numPr>
        <w:spacing w:before="240" w:after="240" w:line="276" w:lineRule="auto"/>
      </w:pPr>
      <w:r w:rsidRPr="00182CC9">
        <w:t>15.3 per cent f</w:t>
      </w:r>
      <w:r w:rsidR="00C25E2F">
        <w:t>rom ‘education and culture’; and,</w:t>
      </w:r>
    </w:p>
    <w:p w:rsidR="005D21D1" w:rsidRDefault="00695F70" w:rsidP="00C25E2F">
      <w:pPr>
        <w:pStyle w:val="ListParagraph"/>
        <w:numPr>
          <w:ilvl w:val="1"/>
          <w:numId w:val="46"/>
        </w:numPr>
        <w:spacing w:before="240" w:after="240" w:line="276" w:lineRule="auto"/>
      </w:pPr>
      <w:r w:rsidRPr="00182CC9">
        <w:t>16.8 per cent from ‘other services’.</w:t>
      </w:r>
    </w:p>
    <w:p w:rsidR="00A47AFC" w:rsidRPr="00CF0230" w:rsidRDefault="0040174C" w:rsidP="00B8549E">
      <w:pPr>
        <w:pStyle w:val="ListParagraph"/>
        <w:numPr>
          <w:ilvl w:val="0"/>
          <w:numId w:val="24"/>
        </w:numPr>
        <w:spacing w:before="240" w:after="240" w:line="276" w:lineRule="auto"/>
      </w:pPr>
      <w:r w:rsidRPr="00CF0230">
        <w:rPr>
          <w:bCs/>
        </w:rPr>
        <w:lastRenderedPageBreak/>
        <w:t>Austrade has been responsible for the international marketing and promotion of Australia’s education and training sector since 2010</w:t>
      </w:r>
      <w:r w:rsidRPr="00CF0230">
        <w:t>. Austrade helps to grow demand for Australian education and training by improving perceptions of Australia’s international education sector, identifying commercial opportunities for Australian international education providers, engaging with offshore education agents, and providing market research.</w:t>
      </w:r>
      <w:r>
        <w:t xml:space="preserve">  </w:t>
      </w:r>
      <w:r w:rsidRPr="00CF0230">
        <w:t xml:space="preserve">Austrade uses its insights from its international network, and engagement with the education sector, to advocate for pro-growth immigration and education policy settings. </w:t>
      </w:r>
    </w:p>
    <w:tbl>
      <w:tblPr>
        <w:tblStyle w:val="TableGrid"/>
        <w:tblW w:w="0" w:type="auto"/>
        <w:tblLook w:val="04A0" w:firstRow="1" w:lastRow="0" w:firstColumn="1" w:lastColumn="0" w:noHBand="0" w:noVBand="1"/>
      </w:tblPr>
      <w:tblGrid>
        <w:gridCol w:w="8522"/>
      </w:tblGrid>
      <w:tr w:rsidR="00A47AFC" w:rsidTr="00B64795">
        <w:tc>
          <w:tcPr>
            <w:tcW w:w="8522" w:type="dxa"/>
            <w:shd w:val="clear" w:color="auto" w:fill="DBE5F1" w:themeFill="accent1" w:themeFillTint="33"/>
          </w:tcPr>
          <w:p w:rsidR="00A47AFC" w:rsidRPr="00310C74" w:rsidRDefault="00A47AFC" w:rsidP="00B64795">
            <w:pPr>
              <w:spacing w:line="276" w:lineRule="auto"/>
              <w:rPr>
                <w:b/>
                <w:i/>
                <w:color w:val="1F497D" w:themeColor="text2"/>
              </w:rPr>
            </w:pPr>
            <w:r w:rsidRPr="00310C74">
              <w:rPr>
                <w:b/>
                <w:i/>
                <w:color w:val="1F497D" w:themeColor="text2"/>
              </w:rPr>
              <w:t>Barriers to education exports</w:t>
            </w:r>
          </w:p>
          <w:p w:rsidR="00A47AFC" w:rsidRDefault="00A47AFC" w:rsidP="00B64795">
            <w:pPr>
              <w:spacing w:line="276" w:lineRule="auto"/>
            </w:pPr>
          </w:p>
          <w:p w:rsidR="00A47AFC" w:rsidRDefault="00A47AFC" w:rsidP="00B64795">
            <w:pPr>
              <w:spacing w:line="276" w:lineRule="auto"/>
            </w:pPr>
            <w:r w:rsidRPr="00182CC9">
              <w:t>Australia’s international education sector has grown rapidly in the last decade</w:t>
            </w:r>
            <w:r>
              <w:t xml:space="preserve"> and in 2014 was</w:t>
            </w:r>
            <w:r w:rsidRPr="00182CC9">
              <w:t xml:space="preserve"> </w:t>
            </w:r>
            <w:r>
              <w:t>valued at $17.6 billion</w:t>
            </w:r>
            <w:r>
              <w:rPr>
                <w:rStyle w:val="FootnoteReference"/>
              </w:rPr>
              <w:footnoteReference w:id="14"/>
            </w:r>
            <w:r>
              <w:t xml:space="preserve">.  </w:t>
            </w:r>
            <w:r w:rsidRPr="00182CC9">
              <w:t xml:space="preserve">Austrade is working </w:t>
            </w:r>
            <w:r>
              <w:t>to</w:t>
            </w:r>
            <w:r w:rsidRPr="00182CC9">
              <w:t xml:space="preserve"> substantial</w:t>
            </w:r>
            <w:r>
              <w:t>ly</w:t>
            </w:r>
            <w:r w:rsidRPr="00182CC9">
              <w:t xml:space="preserve"> increase the numbers of students and visitors engaged with Australian education and training onshore</w:t>
            </w:r>
            <w:r>
              <w:t>,</w:t>
            </w:r>
            <w:r w:rsidRPr="00182CC9">
              <w:t xml:space="preserve"> as well as deliver transnational education offshore.</w:t>
            </w:r>
          </w:p>
          <w:p w:rsidR="00A47AFC" w:rsidRPr="00182CC9" w:rsidRDefault="00A47AFC" w:rsidP="00B64795">
            <w:pPr>
              <w:spacing w:line="276" w:lineRule="auto"/>
            </w:pPr>
            <w:r w:rsidRPr="00182CC9">
              <w:t>Growth in Australia’s education sector will need to be supported by appropriate domestic regulatory and policy settings.  Australia’s education sector will furthermore require a substantial increase in its student support infrastructure to support the potential growth of the sector. In addition to possible domestic constraints on futur</w:t>
            </w:r>
            <w:r>
              <w:t xml:space="preserve">e growth, the education sector may </w:t>
            </w:r>
            <w:r w:rsidRPr="00182CC9">
              <w:t>be restricted by local laws and regulations of overseas countries, such as:</w:t>
            </w:r>
          </w:p>
          <w:p w:rsidR="00A47AFC" w:rsidRDefault="00A47AFC" w:rsidP="00B64795">
            <w:pPr>
              <w:numPr>
                <w:ilvl w:val="0"/>
                <w:numId w:val="19"/>
              </w:numPr>
              <w:spacing w:line="276" w:lineRule="auto"/>
              <w:contextualSpacing/>
            </w:pPr>
            <w:r w:rsidRPr="00182CC9">
              <w:t>restrictions on the establishment of local officers of Australian education providers, or rules about taking local partners and repatriation of profits;</w:t>
            </w:r>
          </w:p>
          <w:p w:rsidR="00A47AFC" w:rsidRPr="00182CC9" w:rsidRDefault="00A47AFC" w:rsidP="00B64795">
            <w:pPr>
              <w:numPr>
                <w:ilvl w:val="0"/>
                <w:numId w:val="19"/>
              </w:numPr>
              <w:spacing w:line="276" w:lineRule="auto"/>
              <w:contextualSpacing/>
            </w:pPr>
            <w:r>
              <w:t>limitations on the disciplines able to be offered by foreign education providers;</w:t>
            </w:r>
          </w:p>
          <w:p w:rsidR="00A47AFC" w:rsidRPr="00182CC9" w:rsidRDefault="00A47AFC" w:rsidP="00B64795">
            <w:pPr>
              <w:numPr>
                <w:ilvl w:val="0"/>
                <w:numId w:val="19"/>
              </w:numPr>
              <w:spacing w:line="276" w:lineRule="auto"/>
              <w:contextualSpacing/>
            </w:pPr>
            <w:r w:rsidRPr="00182CC9">
              <w:t>limits on the operations of Australian education agents offshore and/or use of education agents;</w:t>
            </w:r>
          </w:p>
          <w:p w:rsidR="00A47AFC" w:rsidRPr="00182CC9" w:rsidRDefault="00A47AFC" w:rsidP="00B64795">
            <w:pPr>
              <w:numPr>
                <w:ilvl w:val="0"/>
                <w:numId w:val="19"/>
              </w:numPr>
              <w:spacing w:line="276" w:lineRule="auto"/>
              <w:contextualSpacing/>
            </w:pPr>
            <w:r w:rsidRPr="00182CC9">
              <w:t>constraints on local promotional activities to support the recruitment of international students to study in Australia;</w:t>
            </w:r>
          </w:p>
          <w:p w:rsidR="00A47AFC" w:rsidRPr="00182CC9" w:rsidRDefault="00A47AFC" w:rsidP="00B64795">
            <w:pPr>
              <w:numPr>
                <w:ilvl w:val="0"/>
                <w:numId w:val="19"/>
              </w:numPr>
              <w:spacing w:line="276" w:lineRule="auto"/>
              <w:contextualSpacing/>
            </w:pPr>
            <w:r w:rsidRPr="00182CC9">
              <w:t>non-recognition of Australian qualifications by local education authorities which restricts either the future local studies of Australian graduates or their local employment opportunities; and</w:t>
            </w:r>
          </w:p>
          <w:p w:rsidR="00A47AFC" w:rsidRPr="00ED6C9A" w:rsidRDefault="00A47AFC" w:rsidP="00B64795">
            <w:pPr>
              <w:numPr>
                <w:ilvl w:val="0"/>
                <w:numId w:val="19"/>
              </w:numPr>
              <w:spacing w:line="276" w:lineRule="auto"/>
              <w:contextualSpacing/>
            </w:pPr>
            <w:r w:rsidRPr="00182CC9">
              <w:t>non-recognition of online qualifications delivered by Australian education providers.</w:t>
            </w:r>
          </w:p>
        </w:tc>
      </w:tr>
    </w:tbl>
    <w:p w:rsidR="0040174C" w:rsidRPr="00CF0230" w:rsidRDefault="0040174C" w:rsidP="00E362FE">
      <w:pPr>
        <w:pStyle w:val="ListParagraph"/>
        <w:numPr>
          <w:ilvl w:val="0"/>
          <w:numId w:val="24"/>
        </w:numPr>
        <w:spacing w:before="240" w:after="240" w:line="276" w:lineRule="auto"/>
      </w:pPr>
      <w:r w:rsidRPr="00CF0230">
        <w:rPr>
          <w:bCs/>
        </w:rPr>
        <w:t>Austrade is also the central co-ordination point for progressing tourism policy and regulatory reform at the Commonwealth level</w:t>
      </w:r>
      <w:r w:rsidRPr="00CF0230">
        <w:t>, including identifying regulatory burdens which inhibit growth in the sector.  Austrade works across all levels of government to identify policy reforms and implement changes to increase the industry’s competitiveness and growth.</w:t>
      </w:r>
    </w:p>
    <w:p w:rsidR="00A47AFC" w:rsidRPr="00B8549E" w:rsidRDefault="0040174C" w:rsidP="00A47AFC">
      <w:pPr>
        <w:pStyle w:val="ListParagraph"/>
        <w:numPr>
          <w:ilvl w:val="0"/>
          <w:numId w:val="24"/>
        </w:numPr>
        <w:spacing w:before="240" w:after="240" w:line="276" w:lineRule="auto"/>
        <w:rPr>
          <w:color w:val="FF0000"/>
        </w:rPr>
      </w:pPr>
      <w:r w:rsidRPr="00CF0230">
        <w:lastRenderedPageBreak/>
        <w:t xml:space="preserve">Austrade is working to pursue reforms which address impediments to the growth of tourism as a services export industry around aviation access, the labour and skills market, tourism infrastructure investment, and Australia’s visitor visa system. Austrade provided detailed input on each of these to the Productivity Commission’s recent research paper on </w:t>
      </w:r>
      <w:r w:rsidRPr="00CF0230">
        <w:rPr>
          <w:i/>
          <w:iCs/>
        </w:rPr>
        <w:t>Australia’s International Tourism Industry.</w:t>
      </w:r>
      <w:r w:rsidR="00B8549E">
        <w:rPr>
          <w:color w:val="FF0000"/>
        </w:rPr>
        <w:t xml:space="preserve"> </w:t>
      </w:r>
    </w:p>
    <w:p w:rsidR="0040174C" w:rsidRDefault="00A47AFC" w:rsidP="0040174C">
      <w:pPr>
        <w:pStyle w:val="ListParagraph"/>
        <w:numPr>
          <w:ilvl w:val="0"/>
          <w:numId w:val="24"/>
        </w:numPr>
        <w:spacing w:line="276" w:lineRule="auto"/>
      </w:pPr>
      <w:r w:rsidRPr="00CF0230">
        <w:t xml:space="preserve">The tourism sector is a prime example of where barriers to growth primarily require domestic changes rather than for foreign market access barriers to be addressed.  The key barriers to growth in Australia’s tourism exports are visa costs and processing times; aviation capacity; taxation and other regulatory burdens; labour and skills challenges; and, outdated or insufficient tourism infrastructure.  </w:t>
      </w:r>
    </w:p>
    <w:p w:rsidR="00B8549E" w:rsidRDefault="00B8549E" w:rsidP="00B8549E">
      <w:pPr>
        <w:pStyle w:val="ListParagraph"/>
        <w:spacing w:line="276" w:lineRule="auto"/>
        <w:ind w:left="644"/>
      </w:pPr>
    </w:p>
    <w:tbl>
      <w:tblPr>
        <w:tblStyle w:val="TableGrid"/>
        <w:tblW w:w="0" w:type="auto"/>
        <w:tblLook w:val="04A0" w:firstRow="1" w:lastRow="0" w:firstColumn="1" w:lastColumn="0" w:noHBand="0" w:noVBand="1"/>
      </w:tblPr>
      <w:tblGrid>
        <w:gridCol w:w="8528"/>
      </w:tblGrid>
      <w:tr w:rsidR="0040174C" w:rsidRPr="00CF0230" w:rsidTr="00C25E2F">
        <w:tc>
          <w:tcPr>
            <w:tcW w:w="8528" w:type="dxa"/>
            <w:shd w:val="clear" w:color="auto" w:fill="DBE5F1" w:themeFill="accent1" w:themeFillTint="33"/>
          </w:tcPr>
          <w:p w:rsidR="0040174C" w:rsidRPr="00310C74" w:rsidRDefault="0040174C" w:rsidP="00C25E2F">
            <w:pPr>
              <w:spacing w:line="276" w:lineRule="auto"/>
              <w:contextualSpacing/>
              <w:rPr>
                <w:b/>
                <w:i/>
                <w:color w:val="1F497D" w:themeColor="text2"/>
              </w:rPr>
            </w:pPr>
            <w:r w:rsidRPr="00310C74">
              <w:rPr>
                <w:b/>
                <w:i/>
                <w:color w:val="1F497D" w:themeColor="text2"/>
              </w:rPr>
              <w:t>Barriers to tourism exports</w:t>
            </w:r>
          </w:p>
          <w:p w:rsidR="00310C74" w:rsidRDefault="00310C74" w:rsidP="00C25E2F">
            <w:pPr>
              <w:spacing w:line="276" w:lineRule="auto"/>
            </w:pPr>
          </w:p>
          <w:p w:rsidR="0040174C" w:rsidRPr="00CF0230" w:rsidRDefault="0040174C" w:rsidP="00C25E2F">
            <w:pPr>
              <w:spacing w:line="276" w:lineRule="auto"/>
            </w:pPr>
            <w:r w:rsidRPr="00CF0230">
              <w:t>Australia’s 6.3 million international arrivals contributed a record $30.7 billion in tourism exports in the year ended September 2014, up 9 per cent on the previous year</w:t>
            </w:r>
            <w:r w:rsidRPr="00CF0230">
              <w:rPr>
                <w:rStyle w:val="FootnoteReference"/>
              </w:rPr>
              <w:footnoteReference w:id="15"/>
            </w:r>
            <w:r w:rsidRPr="00CF0230">
              <w:t>.</w:t>
            </w:r>
          </w:p>
          <w:p w:rsidR="0040174C" w:rsidRPr="00CF0230" w:rsidRDefault="0040174C" w:rsidP="00C25E2F">
            <w:pPr>
              <w:spacing w:line="276" w:lineRule="auto"/>
            </w:pPr>
          </w:p>
          <w:p w:rsidR="0040174C" w:rsidRPr="00CF0230" w:rsidRDefault="0040174C" w:rsidP="00C25E2F">
            <w:pPr>
              <w:spacing w:line="276" w:lineRule="auto"/>
            </w:pPr>
            <w:r w:rsidRPr="00CF0230">
              <w:t xml:space="preserve">The Australian Government is working with industry, through </w:t>
            </w:r>
            <w:r w:rsidRPr="00CF0230">
              <w:rPr>
                <w:i/>
              </w:rPr>
              <w:t>Tourism 2020</w:t>
            </w:r>
            <w:r w:rsidRPr="00CF0230">
              <w:t xml:space="preserve">, to grow overnight visitor expenditure to more than $115 billion by 2020.  Growing Australia’s tourism exports is key to achieving this national objective and will need to be supported by research, policy reform to reduce barriers, and promotion of Australia as an international tourism destination. </w:t>
            </w:r>
          </w:p>
          <w:p w:rsidR="0040174C" w:rsidRPr="00CF0230" w:rsidRDefault="0040174C" w:rsidP="00C25E2F">
            <w:pPr>
              <w:spacing w:line="276" w:lineRule="auto"/>
            </w:pPr>
            <w:r w:rsidRPr="00CF0230">
              <w:t>Key reforms include:</w:t>
            </w:r>
          </w:p>
          <w:p w:rsidR="0040174C" w:rsidRPr="00CF0230" w:rsidRDefault="0040174C" w:rsidP="00C25E2F">
            <w:pPr>
              <w:pStyle w:val="NoSpacing"/>
              <w:numPr>
                <w:ilvl w:val="0"/>
                <w:numId w:val="31"/>
              </w:numPr>
              <w:spacing w:line="276" w:lineRule="auto"/>
              <w:rPr>
                <w:rFonts w:ascii="Times New Roman" w:hAnsi="Times New Roman" w:cs="Times New Roman"/>
                <w:sz w:val="24"/>
                <w:szCs w:val="24"/>
              </w:rPr>
            </w:pPr>
            <w:r w:rsidRPr="00310C74">
              <w:rPr>
                <w:rFonts w:ascii="Times New Roman" w:hAnsi="Times New Roman" w:cs="Times New Roman"/>
                <w:b/>
                <w:color w:val="1F497D" w:themeColor="text2"/>
                <w:sz w:val="24"/>
                <w:szCs w:val="24"/>
              </w:rPr>
              <w:t>Increasing cross portfolio collaboration within all levels of Australian Governments</w:t>
            </w:r>
            <w:r w:rsidRPr="00310C74">
              <w:rPr>
                <w:rFonts w:ascii="Times New Roman" w:hAnsi="Times New Roman" w:cs="Times New Roman"/>
                <w:color w:val="1F497D" w:themeColor="text2"/>
                <w:sz w:val="24"/>
                <w:szCs w:val="24"/>
              </w:rPr>
              <w:t xml:space="preserve"> </w:t>
            </w:r>
            <w:r w:rsidRPr="00CF0230">
              <w:rPr>
                <w:rFonts w:ascii="Times New Roman" w:hAnsi="Times New Roman" w:cs="Times New Roman"/>
                <w:sz w:val="24"/>
                <w:szCs w:val="24"/>
              </w:rPr>
              <w:t>to plan and drive reform of the visitor economy.</w:t>
            </w:r>
          </w:p>
          <w:p w:rsidR="0040174C" w:rsidRPr="00CF0230" w:rsidRDefault="0040174C" w:rsidP="00C25E2F">
            <w:pPr>
              <w:pStyle w:val="NoSpacing"/>
              <w:numPr>
                <w:ilvl w:val="0"/>
                <w:numId w:val="31"/>
              </w:numPr>
              <w:spacing w:line="276" w:lineRule="auto"/>
              <w:rPr>
                <w:rFonts w:ascii="Times New Roman" w:hAnsi="Times New Roman" w:cs="Times New Roman"/>
                <w:sz w:val="24"/>
                <w:szCs w:val="24"/>
              </w:rPr>
            </w:pPr>
            <w:r w:rsidRPr="00310C74">
              <w:rPr>
                <w:rFonts w:ascii="Times New Roman" w:hAnsi="Times New Roman" w:cs="Times New Roman"/>
                <w:b/>
                <w:color w:val="1F497D" w:themeColor="text2"/>
                <w:sz w:val="24"/>
                <w:szCs w:val="24"/>
              </w:rPr>
              <w:t>Improving visa arrangements</w:t>
            </w:r>
            <w:r w:rsidRPr="00310C74">
              <w:rPr>
                <w:rFonts w:ascii="Times New Roman" w:hAnsi="Times New Roman" w:cs="Times New Roman"/>
                <w:color w:val="1F497D" w:themeColor="text2"/>
                <w:sz w:val="24"/>
                <w:szCs w:val="24"/>
              </w:rPr>
              <w:t xml:space="preserve"> </w:t>
            </w:r>
            <w:r w:rsidRPr="00CF0230">
              <w:rPr>
                <w:rFonts w:ascii="Times New Roman" w:hAnsi="Times New Roman" w:cs="Times New Roman"/>
                <w:sz w:val="24"/>
                <w:szCs w:val="24"/>
              </w:rPr>
              <w:t>to encourage more people to visit Australia, improve visitor experiences and the competitiveness of Australia.</w:t>
            </w:r>
          </w:p>
          <w:p w:rsidR="0040174C" w:rsidRPr="00CF0230" w:rsidRDefault="0040174C" w:rsidP="00C25E2F">
            <w:pPr>
              <w:pStyle w:val="NoSpacing"/>
              <w:numPr>
                <w:ilvl w:val="0"/>
                <w:numId w:val="31"/>
              </w:numPr>
              <w:spacing w:line="276" w:lineRule="auto"/>
              <w:rPr>
                <w:rFonts w:ascii="Times New Roman" w:hAnsi="Times New Roman" w:cs="Times New Roman"/>
                <w:sz w:val="24"/>
                <w:szCs w:val="24"/>
              </w:rPr>
            </w:pPr>
            <w:r w:rsidRPr="00310C74">
              <w:rPr>
                <w:rFonts w:ascii="Times New Roman" w:hAnsi="Times New Roman" w:cs="Times New Roman"/>
                <w:b/>
                <w:color w:val="1F497D" w:themeColor="text2"/>
                <w:sz w:val="24"/>
                <w:szCs w:val="24"/>
              </w:rPr>
              <w:t>Improving aviation capacity and customer experience</w:t>
            </w:r>
            <w:r w:rsidRPr="00310C74">
              <w:rPr>
                <w:rFonts w:ascii="Times New Roman" w:hAnsi="Times New Roman" w:cs="Times New Roman"/>
                <w:color w:val="1F497D" w:themeColor="text2"/>
                <w:sz w:val="24"/>
                <w:szCs w:val="24"/>
              </w:rPr>
              <w:t xml:space="preserve"> </w:t>
            </w:r>
            <w:r w:rsidRPr="00CF0230">
              <w:rPr>
                <w:rFonts w:ascii="Times New Roman" w:hAnsi="Times New Roman" w:cs="Times New Roman"/>
                <w:sz w:val="24"/>
                <w:szCs w:val="24"/>
              </w:rPr>
              <w:t>to improve access and flexibility to meet demand in the tourism transport environment.</w:t>
            </w:r>
          </w:p>
          <w:p w:rsidR="0040174C" w:rsidRPr="00CF0230" w:rsidRDefault="0040174C" w:rsidP="00C25E2F">
            <w:pPr>
              <w:pStyle w:val="NoSpacing"/>
              <w:numPr>
                <w:ilvl w:val="0"/>
                <w:numId w:val="31"/>
              </w:numPr>
              <w:spacing w:line="276" w:lineRule="auto"/>
              <w:rPr>
                <w:rFonts w:ascii="Times New Roman" w:hAnsi="Times New Roman" w:cs="Times New Roman"/>
                <w:sz w:val="24"/>
                <w:szCs w:val="24"/>
              </w:rPr>
            </w:pPr>
            <w:r w:rsidRPr="00310C74">
              <w:rPr>
                <w:rFonts w:ascii="Times New Roman" w:hAnsi="Times New Roman" w:cs="Times New Roman"/>
                <w:b/>
                <w:color w:val="1F497D" w:themeColor="text2"/>
                <w:sz w:val="24"/>
                <w:szCs w:val="24"/>
              </w:rPr>
              <w:t>Developing a more productive labour system</w:t>
            </w:r>
            <w:r w:rsidRPr="00310C74">
              <w:rPr>
                <w:rFonts w:ascii="Times New Roman" w:hAnsi="Times New Roman" w:cs="Times New Roman"/>
                <w:color w:val="1F497D" w:themeColor="text2"/>
                <w:sz w:val="24"/>
                <w:szCs w:val="24"/>
              </w:rPr>
              <w:t xml:space="preserve"> </w:t>
            </w:r>
            <w:r w:rsidRPr="00CF0230">
              <w:rPr>
                <w:rFonts w:ascii="Times New Roman" w:hAnsi="Times New Roman" w:cs="Times New Roman"/>
                <w:sz w:val="24"/>
                <w:szCs w:val="24"/>
              </w:rPr>
              <w:t>to better service the visitor economy.</w:t>
            </w:r>
          </w:p>
          <w:p w:rsidR="0040174C" w:rsidRPr="00CF0230" w:rsidRDefault="0040174C" w:rsidP="00C25E2F">
            <w:pPr>
              <w:pStyle w:val="NoSpacing"/>
              <w:numPr>
                <w:ilvl w:val="0"/>
                <w:numId w:val="31"/>
              </w:numPr>
              <w:spacing w:line="276" w:lineRule="auto"/>
              <w:rPr>
                <w:rFonts w:ascii="Times New Roman" w:hAnsi="Times New Roman" w:cs="Times New Roman"/>
                <w:sz w:val="24"/>
                <w:szCs w:val="24"/>
              </w:rPr>
            </w:pPr>
            <w:r w:rsidRPr="00310C74">
              <w:rPr>
                <w:rFonts w:ascii="Times New Roman" w:hAnsi="Times New Roman" w:cs="Times New Roman"/>
                <w:b/>
                <w:color w:val="1F497D" w:themeColor="text2"/>
                <w:sz w:val="24"/>
                <w:szCs w:val="24"/>
              </w:rPr>
              <w:t xml:space="preserve">Integrating national and state tourism plans into regional development and local government planning </w:t>
            </w:r>
            <w:r w:rsidRPr="00CF0230">
              <w:rPr>
                <w:rFonts w:ascii="Times New Roman" w:hAnsi="Times New Roman" w:cs="Times New Roman"/>
                <w:sz w:val="24"/>
                <w:szCs w:val="24"/>
              </w:rPr>
              <w:t>to generate effective infrastructure to service regional communities, provide services to visitors, and encourage private investment in tourism infrastructure.</w:t>
            </w:r>
          </w:p>
          <w:p w:rsidR="0040174C" w:rsidRPr="00CF0230" w:rsidRDefault="0040174C" w:rsidP="00C25E2F">
            <w:pPr>
              <w:pStyle w:val="NoSpacing"/>
              <w:numPr>
                <w:ilvl w:val="0"/>
                <w:numId w:val="31"/>
              </w:numPr>
              <w:spacing w:line="276" w:lineRule="auto"/>
              <w:rPr>
                <w:rFonts w:ascii="Times New Roman" w:hAnsi="Times New Roman" w:cs="Times New Roman"/>
                <w:sz w:val="24"/>
                <w:szCs w:val="24"/>
              </w:rPr>
            </w:pPr>
            <w:r w:rsidRPr="00310C74">
              <w:rPr>
                <w:rFonts w:ascii="Times New Roman" w:hAnsi="Times New Roman" w:cs="Times New Roman"/>
                <w:b/>
                <w:color w:val="1F497D" w:themeColor="text2"/>
                <w:sz w:val="24"/>
                <w:szCs w:val="24"/>
              </w:rPr>
              <w:t>Identifying partnerships</w:t>
            </w:r>
            <w:r w:rsidRPr="00310C74">
              <w:rPr>
                <w:rFonts w:ascii="Times New Roman" w:hAnsi="Times New Roman" w:cs="Times New Roman"/>
                <w:color w:val="1F497D" w:themeColor="text2"/>
                <w:sz w:val="24"/>
                <w:szCs w:val="24"/>
              </w:rPr>
              <w:t xml:space="preserve">, </w:t>
            </w:r>
            <w:r w:rsidRPr="00CF0230">
              <w:rPr>
                <w:rFonts w:ascii="Times New Roman" w:hAnsi="Times New Roman" w:cs="Times New Roman"/>
                <w:sz w:val="24"/>
                <w:szCs w:val="24"/>
              </w:rPr>
              <w:t>efficiencies and opportunities to increase funding to drive demand for travel to Australia and improve conversion.</w:t>
            </w:r>
          </w:p>
        </w:tc>
      </w:tr>
    </w:tbl>
    <w:p w:rsidR="00695F70" w:rsidRPr="00182CC9" w:rsidRDefault="0040174C" w:rsidP="0040174C">
      <w:pPr>
        <w:spacing w:line="276" w:lineRule="auto"/>
      </w:pPr>
      <w:r>
        <w:br w:type="page"/>
      </w:r>
    </w:p>
    <w:p w:rsidR="00F525A3" w:rsidRPr="00EC09EF" w:rsidRDefault="00F525A3" w:rsidP="0074282B">
      <w:pPr>
        <w:pStyle w:val="Heading3"/>
        <w:spacing w:before="240" w:after="240"/>
        <w:rPr>
          <w:b w:val="0"/>
          <w:i/>
        </w:rPr>
      </w:pPr>
      <w:bookmarkStart w:id="69" w:name="_Toc424644371"/>
      <w:r w:rsidRPr="00EC09EF">
        <w:rPr>
          <w:b w:val="0"/>
          <w:i/>
        </w:rPr>
        <w:lastRenderedPageBreak/>
        <w:t>The Export Finance and Insurance Corporation</w:t>
      </w:r>
      <w:bookmarkEnd w:id="69"/>
      <w:r w:rsidRPr="00EC09EF">
        <w:rPr>
          <w:b w:val="0"/>
          <w:i/>
        </w:rPr>
        <w:t xml:space="preserve"> </w:t>
      </w:r>
    </w:p>
    <w:p w:rsidR="0074282B" w:rsidRDefault="00182CC9" w:rsidP="00E362FE">
      <w:pPr>
        <w:pStyle w:val="ListParagraph"/>
        <w:numPr>
          <w:ilvl w:val="0"/>
          <w:numId w:val="24"/>
        </w:numPr>
        <w:spacing w:before="240" w:after="240" w:line="276" w:lineRule="auto"/>
      </w:pPr>
      <w:r w:rsidRPr="00F525A3">
        <w:t xml:space="preserve">The Export </w:t>
      </w:r>
      <w:r w:rsidR="00F525A3" w:rsidRPr="00182CC9">
        <w:t>Finance and Insurance Corporation (</w:t>
      </w:r>
      <w:proofErr w:type="spellStart"/>
      <w:r w:rsidR="00F525A3" w:rsidRPr="00182CC9">
        <w:t>Efic</w:t>
      </w:r>
      <w:proofErr w:type="spellEnd"/>
      <w:r w:rsidR="00F525A3" w:rsidRPr="00182CC9">
        <w:t xml:space="preserve">), as the Australian Government’s export credit agency, facilitates the exports of Australian service suppliers through the provision of tailored financial support.  </w:t>
      </w:r>
      <w:proofErr w:type="spellStart"/>
      <w:r w:rsidR="00F525A3" w:rsidRPr="00182CC9">
        <w:t>Efic’s</w:t>
      </w:r>
      <w:proofErr w:type="spellEnd"/>
      <w:r w:rsidR="00F525A3" w:rsidRPr="00182CC9">
        <w:t xml:space="preserve"> core focus is on providing working capital for Small-to-Medium Enterprises (SMEs) to </w:t>
      </w:r>
      <w:r w:rsidR="00F525A3">
        <w:t xml:space="preserve">enable </w:t>
      </w:r>
      <w:r w:rsidR="00F525A3" w:rsidRPr="00182CC9">
        <w:t xml:space="preserve">SMEs to fulfil export contracts.  </w:t>
      </w:r>
    </w:p>
    <w:p w:rsidR="0074282B" w:rsidRDefault="00F525A3" w:rsidP="00E362FE">
      <w:pPr>
        <w:pStyle w:val="ListParagraph"/>
        <w:numPr>
          <w:ilvl w:val="0"/>
          <w:numId w:val="24"/>
        </w:numPr>
        <w:spacing w:before="240" w:after="240" w:line="276" w:lineRule="auto"/>
      </w:pPr>
      <w:r>
        <w:t xml:space="preserve">The Government </w:t>
      </w:r>
      <w:r w:rsidR="008C26E4">
        <w:t xml:space="preserve">has ensured that </w:t>
      </w:r>
      <w:proofErr w:type="spellStart"/>
      <w:r w:rsidR="008C26E4">
        <w:t>Efic’s</w:t>
      </w:r>
      <w:proofErr w:type="spellEnd"/>
      <w:r w:rsidR="008C26E4">
        <w:t xml:space="preserve"> focus is</w:t>
      </w:r>
      <w:r>
        <w:t xml:space="preserve"> on supporting SMEs</w:t>
      </w:r>
      <w:r>
        <w:rPr>
          <w:rStyle w:val="FootnoteReference"/>
          <w:rFonts w:eastAsiaTheme="majorEastAsia"/>
        </w:rPr>
        <w:footnoteReference w:id="16"/>
      </w:r>
      <w:r>
        <w:t xml:space="preserve">  – the section of the market where viable exporters are most likely to be underserviced by private financiers. Recent administrative and legislative amendments to the Export Finance and Insurance Corporation (</w:t>
      </w:r>
      <w:proofErr w:type="spellStart"/>
      <w:r>
        <w:t>Efic</w:t>
      </w:r>
      <w:proofErr w:type="spellEnd"/>
      <w:r>
        <w:t xml:space="preserve">) Act 1991, have given </w:t>
      </w:r>
      <w:proofErr w:type="spellStart"/>
      <w:r>
        <w:t>Efic</w:t>
      </w:r>
      <w:proofErr w:type="spellEnd"/>
      <w:r>
        <w:t xml:space="preserve"> the capacity t</w:t>
      </w:r>
      <w:r w:rsidR="008C26E4">
        <w:t>o make direct loans for</w:t>
      </w:r>
      <w:r>
        <w:t xml:space="preserve"> all goods, not just capital goods. This will remove the need for exporters of non-capital goods to obtain a guarantee from </w:t>
      </w:r>
      <w:proofErr w:type="spellStart"/>
      <w:r>
        <w:t>Efic</w:t>
      </w:r>
      <w:proofErr w:type="spellEnd"/>
      <w:r>
        <w:t xml:space="preserve"> before securing funds from a bank, reducing the due diligence processing time and reducing the documentation and legal fees required. To ensure that </w:t>
      </w:r>
      <w:proofErr w:type="spellStart"/>
      <w:r>
        <w:t>Efic’s</w:t>
      </w:r>
      <w:proofErr w:type="spellEnd"/>
      <w:r>
        <w:t xml:space="preserve"> additional lending flexibility does not inadvertently bring it into competition with private financiers, the Government has also amended the </w:t>
      </w:r>
      <w:proofErr w:type="spellStart"/>
      <w:r>
        <w:t>Efic</w:t>
      </w:r>
      <w:proofErr w:type="spellEnd"/>
      <w:r>
        <w:t xml:space="preserve"> Act to remove </w:t>
      </w:r>
      <w:proofErr w:type="spellStart"/>
      <w:r>
        <w:t>Efic’s</w:t>
      </w:r>
      <w:proofErr w:type="spellEnd"/>
      <w:r>
        <w:t xml:space="preserve"> exemption from competitive neutrality principles. </w:t>
      </w:r>
    </w:p>
    <w:p w:rsidR="0074282B" w:rsidRDefault="00F525A3" w:rsidP="00E362FE">
      <w:pPr>
        <w:pStyle w:val="ListParagraph"/>
        <w:numPr>
          <w:ilvl w:val="0"/>
          <w:numId w:val="24"/>
        </w:numPr>
        <w:spacing w:before="240" w:after="240" w:line="276" w:lineRule="auto"/>
      </w:pPr>
      <w:r w:rsidRPr="00182CC9">
        <w:t xml:space="preserve">Research undertaken by </w:t>
      </w:r>
      <w:proofErr w:type="spellStart"/>
      <w:r w:rsidRPr="00182CC9">
        <w:t>Efic</w:t>
      </w:r>
      <w:proofErr w:type="spellEnd"/>
      <w:r w:rsidRPr="00182CC9">
        <w:t xml:space="preserve"> has highlighted that accessing appropriate finance is a barrier for many </w:t>
      </w:r>
      <w:r>
        <w:t xml:space="preserve">SME </w:t>
      </w:r>
      <w:r w:rsidRPr="00182CC9">
        <w:t>exporters.  Preliminary results from the 2015 Australian International Business Survey</w:t>
      </w:r>
      <w:r w:rsidRPr="00182CC9">
        <w:rPr>
          <w:vertAlign w:val="superscript"/>
        </w:rPr>
        <w:footnoteReference w:id="17"/>
      </w:r>
      <w:r w:rsidR="005463F5">
        <w:t xml:space="preserve"> indicate that 34 per cent</w:t>
      </w:r>
      <w:r w:rsidRPr="00182CC9">
        <w:t xml:space="preserve"> of applications for additional finance were unsuccessful or </w:t>
      </w:r>
      <w:r>
        <w:t>remain</w:t>
      </w:r>
      <w:r w:rsidRPr="00182CC9">
        <w:t xml:space="preserve"> ongoing, </w:t>
      </w:r>
      <w:r>
        <w:t xml:space="preserve">with </w:t>
      </w:r>
      <w:r w:rsidRPr="00182CC9">
        <w:t xml:space="preserve">the most common </w:t>
      </w:r>
      <w:r>
        <w:t>obstacle</w:t>
      </w:r>
      <w:r w:rsidRPr="00182CC9">
        <w:t xml:space="preserve"> being inadequate security.  The challenge of accessing finance is likely to be compounded in the service-related industries, as many exporters are unable to offer </w:t>
      </w:r>
      <w:r>
        <w:t xml:space="preserve">the </w:t>
      </w:r>
      <w:r w:rsidRPr="00182CC9">
        <w:t xml:space="preserve">conventional collateral </w:t>
      </w:r>
      <w:r>
        <w:t>(</w:t>
      </w:r>
      <w:r w:rsidRPr="00182CC9">
        <w:t>such as “bricks and mortar” and inventory</w:t>
      </w:r>
      <w:r>
        <w:t>)</w:t>
      </w:r>
      <w:r w:rsidRPr="00182CC9">
        <w:t xml:space="preserve"> on which banks typically base and determine their appetite for risk.</w:t>
      </w:r>
    </w:p>
    <w:p w:rsidR="00F525A3" w:rsidRDefault="00F525A3" w:rsidP="00E362FE">
      <w:pPr>
        <w:pStyle w:val="ListParagraph"/>
        <w:numPr>
          <w:ilvl w:val="0"/>
          <w:numId w:val="24"/>
        </w:numPr>
        <w:spacing w:before="240" w:after="240" w:line="276" w:lineRule="auto"/>
      </w:pPr>
      <w:proofErr w:type="spellStart"/>
      <w:r w:rsidRPr="00182CC9">
        <w:t>Efic</w:t>
      </w:r>
      <w:proofErr w:type="spellEnd"/>
      <w:r>
        <w:t xml:space="preserve"> primarily </w:t>
      </w:r>
      <w:r w:rsidRPr="00182CC9">
        <w:t>work</w:t>
      </w:r>
      <w:r>
        <w:t>s</w:t>
      </w:r>
      <w:r w:rsidRPr="00182CC9">
        <w:t xml:space="preserve"> with banks to ensure SMEs have sufficient working capital to fulfil a contract, either via a loan or guarantee, or the provision of bond(s).  While it operates alongside private financiers, </w:t>
      </w:r>
      <w:proofErr w:type="spellStart"/>
      <w:r w:rsidRPr="00182CC9">
        <w:t>Efic</w:t>
      </w:r>
      <w:proofErr w:type="spellEnd"/>
      <w:r w:rsidRPr="00182CC9">
        <w:t xml:space="preserve"> does not compete with the private financiers and is subject to competitively neutrality principles.  </w:t>
      </w:r>
      <w:proofErr w:type="spellStart"/>
      <w:r w:rsidRPr="00182CC9">
        <w:t>Efic’s</w:t>
      </w:r>
      <w:proofErr w:type="spellEnd"/>
      <w:r w:rsidRPr="00182CC9">
        <w:t xml:space="preserve"> point of difference, is that it: </w:t>
      </w:r>
    </w:p>
    <w:p w:rsidR="00F525A3" w:rsidRPr="00182CC9" w:rsidRDefault="00C25E2F" w:rsidP="00EC0366">
      <w:pPr>
        <w:numPr>
          <w:ilvl w:val="0"/>
          <w:numId w:val="10"/>
        </w:numPr>
        <w:spacing w:before="240" w:after="240" w:line="276" w:lineRule="auto"/>
        <w:contextualSpacing/>
      </w:pPr>
      <w:r>
        <w:t>a</w:t>
      </w:r>
      <w:r w:rsidR="00F525A3" w:rsidRPr="00182CC9">
        <w:t>dopts a more capability-focused approach to due diligence</w:t>
      </w:r>
      <w:r w:rsidR="00F525A3">
        <w:t>,</w:t>
      </w:r>
      <w:r w:rsidR="00F525A3" w:rsidRPr="00182CC9">
        <w:t xml:space="preserve"> which ensures </w:t>
      </w:r>
      <w:r w:rsidR="008C26E4">
        <w:t xml:space="preserve">that </w:t>
      </w:r>
      <w:r w:rsidR="004F775B">
        <w:t>viable SMEs</w:t>
      </w:r>
      <w:r w:rsidR="00F525A3" w:rsidRPr="00182CC9">
        <w:t>, who may lack tangible security, still have the finance to fulfil their export contracts</w:t>
      </w:r>
      <w:r w:rsidR="00F525A3">
        <w:t>;</w:t>
      </w:r>
      <w:r w:rsidR="00F525A3" w:rsidRPr="00182CC9">
        <w:t xml:space="preserve"> and </w:t>
      </w:r>
    </w:p>
    <w:p w:rsidR="00F525A3" w:rsidRDefault="00C25E2F" w:rsidP="00EC0366">
      <w:pPr>
        <w:numPr>
          <w:ilvl w:val="0"/>
          <w:numId w:val="10"/>
        </w:numPr>
        <w:spacing w:before="240" w:after="240" w:line="276" w:lineRule="auto"/>
        <w:contextualSpacing/>
      </w:pPr>
      <w:r>
        <w:t>i</w:t>
      </w:r>
      <w:r w:rsidR="00F525A3" w:rsidRPr="00182CC9">
        <w:t xml:space="preserve">s willing to take commercial risks in distant and emerging markets.  These are markets where information gaps are larger, private capital </w:t>
      </w:r>
      <w:r w:rsidR="00F525A3">
        <w:t xml:space="preserve">is </w:t>
      </w:r>
      <w:r w:rsidR="00F525A3" w:rsidRPr="00182CC9">
        <w:t xml:space="preserve">scarce and volatile, and domestic banks immature or non-existent.   </w:t>
      </w:r>
    </w:p>
    <w:p w:rsidR="0074282B" w:rsidRDefault="00F525A3" w:rsidP="00E362FE">
      <w:pPr>
        <w:pStyle w:val="ListParagraph"/>
        <w:numPr>
          <w:ilvl w:val="0"/>
          <w:numId w:val="24"/>
        </w:numPr>
        <w:spacing w:before="240" w:after="240" w:line="276" w:lineRule="auto"/>
      </w:pPr>
      <w:r>
        <w:lastRenderedPageBreak/>
        <w:t xml:space="preserve">In line with </w:t>
      </w:r>
      <w:proofErr w:type="spellStart"/>
      <w:r>
        <w:t>Efic’s</w:t>
      </w:r>
      <w:proofErr w:type="spellEnd"/>
      <w:r>
        <w:t xml:space="preserve"> </w:t>
      </w:r>
      <w:proofErr w:type="spellStart"/>
      <w:r>
        <w:t>SME</w:t>
      </w:r>
      <w:proofErr w:type="spellEnd"/>
      <w:r>
        <w:t xml:space="preserve"> focus, it is continuing to implement initiatives to benefit SMEs. For example, </w:t>
      </w:r>
      <w:proofErr w:type="spellStart"/>
      <w:r>
        <w:t>Efic</w:t>
      </w:r>
      <w:proofErr w:type="spellEnd"/>
      <w:r>
        <w:t xml:space="preserve"> has expanded its SME teams in Melbourne, Perth and Brisbane and has streamlined the assessment of SME facilities to better service smaller exporters.</w:t>
      </w:r>
    </w:p>
    <w:p w:rsidR="00F525A3" w:rsidRPr="00182CC9" w:rsidRDefault="00F525A3" w:rsidP="00E362FE">
      <w:pPr>
        <w:pStyle w:val="ListParagraph"/>
        <w:numPr>
          <w:ilvl w:val="0"/>
          <w:numId w:val="24"/>
        </w:numPr>
        <w:spacing w:before="240" w:after="240" w:line="276" w:lineRule="auto"/>
      </w:pPr>
      <w:proofErr w:type="spellStart"/>
      <w:r w:rsidRPr="00182CC9">
        <w:t>Efic</w:t>
      </w:r>
      <w:proofErr w:type="spellEnd"/>
      <w:r w:rsidRPr="00182CC9">
        <w:t xml:space="preserve"> will continue to implement initiatives to ensure its services are meeting the requirements of Australia’s exporting SMEs, including services exporters.  The main aim of these ongoing initiatives will be to ensure</w:t>
      </w:r>
      <w:r w:rsidR="008C26E4">
        <w:t xml:space="preserve"> that</w:t>
      </w:r>
      <w:r w:rsidRPr="00182CC9">
        <w:t xml:space="preserve"> </w:t>
      </w:r>
      <w:proofErr w:type="spellStart"/>
      <w:r w:rsidRPr="00182CC9">
        <w:t>Efic</w:t>
      </w:r>
      <w:proofErr w:type="spellEnd"/>
      <w:r w:rsidRPr="00182CC9">
        <w:t xml:space="preserve"> can efficiently and cost-effectively service smaller exporters who have smaller financing needs.</w:t>
      </w:r>
    </w:p>
    <w:tbl>
      <w:tblPr>
        <w:tblStyle w:val="TableGrid"/>
        <w:tblW w:w="0" w:type="auto"/>
        <w:tblLook w:val="04A0" w:firstRow="1" w:lastRow="0" w:firstColumn="1" w:lastColumn="0" w:noHBand="0" w:noVBand="1"/>
      </w:tblPr>
      <w:tblGrid>
        <w:gridCol w:w="8528"/>
      </w:tblGrid>
      <w:tr w:rsidR="008F0B6C" w:rsidTr="00A80B0E">
        <w:tc>
          <w:tcPr>
            <w:tcW w:w="8528" w:type="dxa"/>
            <w:shd w:val="clear" w:color="auto" w:fill="B8CCE4" w:themeFill="accent1" w:themeFillTint="66"/>
          </w:tcPr>
          <w:p w:rsidR="008F0B6C" w:rsidRPr="008F0B6C" w:rsidRDefault="008F0B6C" w:rsidP="00F525A3">
            <w:pPr>
              <w:rPr>
                <w:color w:val="4F81BD" w:themeColor="accent1"/>
              </w:rPr>
            </w:pPr>
            <w:r w:rsidRPr="00316E03">
              <w:rPr>
                <w:b/>
                <w:lang w:eastAsia="en-AU"/>
              </w:rPr>
              <w:t>Case Study – Miles Morgan Australia</w:t>
            </w:r>
          </w:p>
        </w:tc>
      </w:tr>
      <w:tr w:rsidR="008F0B6C" w:rsidTr="008F0B6C">
        <w:tc>
          <w:tcPr>
            <w:tcW w:w="8528" w:type="dxa"/>
            <w:shd w:val="clear" w:color="auto" w:fill="DBE5F1" w:themeFill="accent1" w:themeFillTint="33"/>
          </w:tcPr>
          <w:p w:rsidR="008F0B6C" w:rsidRDefault="008F0B6C" w:rsidP="00F525A3">
            <w:r>
              <w:t>Perth-based SME, Miles Morgan Australia, was established in 1997 and provides research, policy and consultancy services.</w:t>
            </w:r>
          </w:p>
          <w:p w:rsidR="008F0B6C" w:rsidRDefault="008F0B6C" w:rsidP="00F525A3"/>
          <w:p w:rsidR="008F0B6C" w:rsidRDefault="008F0B6C" w:rsidP="00F525A3">
            <w:r>
              <w:t>A key area of Miles Morgan’s work is providing career development and transition support, vocational education and training, and occupation and career profiling services.</w:t>
            </w:r>
          </w:p>
          <w:p w:rsidR="008F0B6C" w:rsidRDefault="008F0B6C" w:rsidP="00F525A3"/>
          <w:p w:rsidR="008F0B6C" w:rsidRDefault="008F0B6C" w:rsidP="00F525A3">
            <w:r>
              <w:t xml:space="preserve">Miles Morgan won a contract to design the policy framework, national quality standards and governance protocol for career education and development in Saudi Arabia.  In Saudi Arabia, foreign nationals make up a significant proportion of the workforce.  The Saudi Ministry of </w:t>
            </w:r>
            <w:proofErr w:type="spellStart"/>
            <w:r>
              <w:t>Labor</w:t>
            </w:r>
            <w:proofErr w:type="spellEnd"/>
            <w:r>
              <w:t xml:space="preserve"> and the Human Resources Development Fund (HRDF) initiated the project to encourage Saudi nationals into more diversified career pathways, as they recognised the large number of foreign nationals in the workforce was not sustainable over the long term.</w:t>
            </w:r>
          </w:p>
          <w:p w:rsidR="008F0B6C" w:rsidRDefault="008F0B6C" w:rsidP="00F525A3"/>
          <w:p w:rsidR="008F0B6C" w:rsidRPr="00792317" w:rsidRDefault="008F0B6C" w:rsidP="00F525A3">
            <w:pPr>
              <w:rPr>
                <w:b/>
                <w:color w:val="1F497D" w:themeColor="text2"/>
              </w:rPr>
            </w:pPr>
            <w:r w:rsidRPr="00792317">
              <w:rPr>
                <w:b/>
                <w:color w:val="1F497D" w:themeColor="text2"/>
              </w:rPr>
              <w:t xml:space="preserve">How </w:t>
            </w:r>
            <w:proofErr w:type="spellStart"/>
            <w:r w:rsidRPr="00792317">
              <w:rPr>
                <w:b/>
                <w:color w:val="1F497D" w:themeColor="text2"/>
              </w:rPr>
              <w:t>Efic</w:t>
            </w:r>
            <w:proofErr w:type="spellEnd"/>
            <w:r w:rsidRPr="00792317">
              <w:rPr>
                <w:b/>
                <w:color w:val="1F497D" w:themeColor="text2"/>
              </w:rPr>
              <w:t xml:space="preserve"> helped</w:t>
            </w:r>
          </w:p>
          <w:p w:rsidR="008F0B6C" w:rsidRDefault="008F0B6C" w:rsidP="00F525A3">
            <w:r>
              <w:t xml:space="preserve">Under the contract, Miles Morgan was required to provide a bond (A$113,000) to guarantee its performance under the contract, which </w:t>
            </w:r>
            <w:proofErr w:type="spellStart"/>
            <w:r>
              <w:t>Efic</w:t>
            </w:r>
            <w:proofErr w:type="spellEnd"/>
            <w:r>
              <w:t xml:space="preserve"> helped provide.  From the bank’s perspective Miles Morgan lacked the required security and was operating in what is considered a challenging export market.</w:t>
            </w:r>
          </w:p>
          <w:p w:rsidR="008F0B6C" w:rsidRDefault="008F0B6C" w:rsidP="00F525A3"/>
          <w:p w:rsidR="008F0B6C" w:rsidRDefault="008F0B6C" w:rsidP="00F525A3">
            <w:r>
              <w:t>Miles Morgan is now pursuing other export opportunities within Saudi Arabia and elsewhere in the Gulf.</w:t>
            </w:r>
          </w:p>
        </w:tc>
      </w:tr>
    </w:tbl>
    <w:p w:rsidR="008F0B6C" w:rsidRDefault="008F0B6C" w:rsidP="00F525A3"/>
    <w:p w:rsidR="00F525A3" w:rsidRDefault="00F525A3">
      <w:pPr>
        <w:rPr>
          <w:rFonts w:asciiTheme="majorHAnsi" w:eastAsiaTheme="majorEastAsia" w:hAnsiTheme="majorHAnsi" w:cstheme="majorBidi"/>
          <w:b/>
          <w:bCs/>
          <w:color w:val="365F91" w:themeColor="accent1" w:themeShade="BF"/>
          <w:sz w:val="28"/>
          <w:szCs w:val="28"/>
        </w:rPr>
      </w:pPr>
      <w:r>
        <w:br w:type="page"/>
      </w:r>
    </w:p>
    <w:p w:rsidR="00695F70" w:rsidRPr="00EC09EF" w:rsidRDefault="001F3A9F" w:rsidP="0074282B">
      <w:pPr>
        <w:pStyle w:val="Heading1"/>
        <w:spacing w:before="240" w:after="240"/>
      </w:pPr>
      <w:bookmarkStart w:id="70" w:name="_Toc424644372"/>
      <w:r>
        <w:lastRenderedPageBreak/>
        <w:t xml:space="preserve">G. </w:t>
      </w:r>
      <w:r w:rsidR="00695F70" w:rsidRPr="00EC09EF">
        <w:t>Conclusion</w:t>
      </w:r>
      <w:bookmarkEnd w:id="70"/>
    </w:p>
    <w:p w:rsidR="001D7538" w:rsidRDefault="00604C20" w:rsidP="00E362FE">
      <w:pPr>
        <w:pStyle w:val="ListParagraph"/>
        <w:numPr>
          <w:ilvl w:val="0"/>
          <w:numId w:val="24"/>
        </w:numPr>
        <w:spacing w:before="240" w:after="240" w:line="276" w:lineRule="auto"/>
        <w:rPr>
          <w:lang w:eastAsia="en-AU"/>
        </w:rPr>
      </w:pPr>
      <w:r>
        <w:rPr>
          <w:lang w:eastAsia="en-AU"/>
        </w:rPr>
        <w:t>Services contribute significantly to the performance of the Australian economy.  While services account for around three quarters of Australia’s economy</w:t>
      </w:r>
      <w:r w:rsidR="001D7538">
        <w:rPr>
          <w:lang w:eastAsia="en-AU"/>
        </w:rPr>
        <w:t>, they contribute around 41 per cent of our exports on a value-added basis (and around 18 per cent in direct export terms).  Conventional trade data undervalues the significant contribution to Australia’s trade performance of services embedded in merchandise exports.</w:t>
      </w:r>
    </w:p>
    <w:p w:rsidR="001D7538" w:rsidRDefault="001D7538" w:rsidP="00E362FE">
      <w:pPr>
        <w:pStyle w:val="ListParagraph"/>
        <w:numPr>
          <w:ilvl w:val="0"/>
          <w:numId w:val="24"/>
        </w:numPr>
        <w:spacing w:before="240" w:after="240" w:line="276" w:lineRule="auto"/>
        <w:rPr>
          <w:lang w:eastAsia="en-AU"/>
        </w:rPr>
      </w:pPr>
      <w:r>
        <w:rPr>
          <w:lang w:eastAsia="en-AU"/>
        </w:rPr>
        <w:t>Services play a key role in global and regional value chains.  Breaking down barriers to services trade will enhance Australia’s linkages with global value chains and contribute to Australia’s prosperity.</w:t>
      </w:r>
    </w:p>
    <w:p w:rsidR="001F3A9F" w:rsidRDefault="00604C20" w:rsidP="00E362FE">
      <w:pPr>
        <w:pStyle w:val="ListParagraph"/>
        <w:numPr>
          <w:ilvl w:val="0"/>
          <w:numId w:val="24"/>
        </w:numPr>
        <w:spacing w:before="240" w:after="240" w:line="276" w:lineRule="auto"/>
        <w:rPr>
          <w:lang w:eastAsia="en-AU"/>
        </w:rPr>
      </w:pPr>
      <w:r>
        <w:rPr>
          <w:lang w:eastAsia="en-AU"/>
        </w:rPr>
        <w:t xml:space="preserve"> </w:t>
      </w:r>
      <w:r w:rsidR="001F3A9F" w:rsidRPr="00BA668E">
        <w:rPr>
          <w:lang w:eastAsia="en-AU"/>
        </w:rPr>
        <w:t>Barrie</w:t>
      </w:r>
      <w:r w:rsidR="001F3A9F">
        <w:rPr>
          <w:lang w:eastAsia="en-AU"/>
        </w:rPr>
        <w:t>rs to international trade in</w:t>
      </w:r>
      <w:r w:rsidR="001F3A9F" w:rsidRPr="00BA668E">
        <w:rPr>
          <w:lang w:eastAsia="en-AU"/>
        </w:rPr>
        <w:t xml:space="preserve"> services are </w:t>
      </w:r>
      <w:r w:rsidR="001F3A9F">
        <w:rPr>
          <w:lang w:eastAsia="en-AU"/>
        </w:rPr>
        <w:t xml:space="preserve">complex and take a wide range of forms.  In many cases, they are </w:t>
      </w:r>
      <w:r w:rsidR="001F3A9F" w:rsidRPr="00BA668E">
        <w:rPr>
          <w:lang w:eastAsia="en-AU"/>
        </w:rPr>
        <w:t xml:space="preserve">domestic regulations which are </w:t>
      </w:r>
      <w:r w:rsidR="001F3A9F">
        <w:rPr>
          <w:lang w:eastAsia="en-AU"/>
        </w:rPr>
        <w:t xml:space="preserve">difficult to </w:t>
      </w:r>
      <w:r w:rsidR="001F3A9F" w:rsidRPr="00BA668E">
        <w:rPr>
          <w:lang w:eastAsia="en-AU"/>
        </w:rPr>
        <w:t xml:space="preserve">measure </w:t>
      </w:r>
      <w:r w:rsidR="001F3A9F">
        <w:rPr>
          <w:lang w:eastAsia="en-AU"/>
        </w:rPr>
        <w:t>and, because their policy rationale is of</w:t>
      </w:r>
      <w:r w:rsidR="00A47AFC">
        <w:rPr>
          <w:lang w:eastAsia="en-AU"/>
        </w:rPr>
        <w:t>ten non-trade related, are frequently</w:t>
      </w:r>
      <w:r w:rsidR="001F3A9F">
        <w:rPr>
          <w:lang w:eastAsia="en-AU"/>
        </w:rPr>
        <w:t xml:space="preserve"> difficult to eliminate or reduce</w:t>
      </w:r>
      <w:r w:rsidR="001F3A9F" w:rsidRPr="00BA668E">
        <w:rPr>
          <w:lang w:eastAsia="en-AU"/>
        </w:rPr>
        <w:t>.</w:t>
      </w:r>
      <w:r w:rsidR="001F3A9F">
        <w:rPr>
          <w:lang w:eastAsia="en-AU"/>
        </w:rPr>
        <w:t xml:space="preserve">  </w:t>
      </w:r>
    </w:p>
    <w:p w:rsidR="001F3A9F" w:rsidRDefault="001F3A9F" w:rsidP="00E362FE">
      <w:pPr>
        <w:pStyle w:val="ListParagraph"/>
        <w:numPr>
          <w:ilvl w:val="0"/>
          <w:numId w:val="24"/>
        </w:numPr>
        <w:spacing w:before="240" w:after="240" w:line="276" w:lineRule="auto"/>
        <w:rPr>
          <w:lang w:eastAsia="en-AU"/>
        </w:rPr>
      </w:pPr>
      <w:r>
        <w:t>Australian governments have placed a high priority on pursuing the liberalisation of s</w:t>
      </w:r>
      <w:r w:rsidRPr="00BA668E">
        <w:rPr>
          <w:lang w:eastAsia="en-AU"/>
        </w:rPr>
        <w:t xml:space="preserve">ervices </w:t>
      </w:r>
      <w:r>
        <w:rPr>
          <w:lang w:eastAsia="en-AU"/>
        </w:rPr>
        <w:t xml:space="preserve">trade globally and on establishing a global regime of rules to ensure transparency and predictability in services trade.  This has reflected a recognition of the potential benefits from new market openings in terms of future services exports growth and foreign exchange and employment benefits.  </w:t>
      </w:r>
    </w:p>
    <w:p w:rsidR="001F3A9F" w:rsidRDefault="001F3A9F" w:rsidP="00E362FE">
      <w:pPr>
        <w:pStyle w:val="ListParagraph"/>
        <w:numPr>
          <w:ilvl w:val="0"/>
          <w:numId w:val="24"/>
        </w:numPr>
        <w:spacing w:before="240" w:after="240" w:line="276" w:lineRule="auto"/>
        <w:rPr>
          <w:lang w:eastAsia="en-AU"/>
        </w:rPr>
      </w:pPr>
      <w:r>
        <w:rPr>
          <w:lang w:eastAsia="en-AU"/>
        </w:rPr>
        <w:t>Pursuit of services trade liberalisation and reform in the Asia Pacific region is a high priority to underpin the continued process of economic transformation underway, most notably in China, characterised by the emergence of a large and increasingly prosperous middle class.</w:t>
      </w:r>
    </w:p>
    <w:p w:rsidR="001F3A9F" w:rsidRDefault="003E6D80" w:rsidP="00E362FE">
      <w:pPr>
        <w:pStyle w:val="ListParagraph"/>
        <w:numPr>
          <w:ilvl w:val="0"/>
          <w:numId w:val="24"/>
        </w:numPr>
        <w:spacing w:before="240" w:after="240" w:line="276" w:lineRule="auto"/>
      </w:pPr>
      <w:r w:rsidRPr="00182CC9">
        <w:t xml:space="preserve">The </w:t>
      </w:r>
      <w:r w:rsidR="0074282B">
        <w:t xml:space="preserve">agencies in the </w:t>
      </w:r>
      <w:r w:rsidRPr="00182CC9">
        <w:t xml:space="preserve">Foreign Affairs and Trade </w:t>
      </w:r>
      <w:r>
        <w:t>p</w:t>
      </w:r>
      <w:r w:rsidR="0074282B">
        <w:t>ortfolio play</w:t>
      </w:r>
      <w:r w:rsidRPr="00182CC9">
        <w:t xml:space="preserve"> a</w:t>
      </w:r>
      <w:r w:rsidR="0074282B">
        <w:t xml:space="preserve">n </w:t>
      </w:r>
      <w:r w:rsidR="001F3A9F">
        <w:t>active</w:t>
      </w:r>
      <w:r w:rsidR="0074282B">
        <w:t xml:space="preserve"> </w:t>
      </w:r>
      <w:r w:rsidRPr="00182CC9">
        <w:t>role in providing Australian services suppliers with</w:t>
      </w:r>
      <w:r w:rsidR="001F3A9F">
        <w:t xml:space="preserve"> comprehensive support </w:t>
      </w:r>
      <w:r w:rsidRPr="00182CC9">
        <w:t>extend</w:t>
      </w:r>
      <w:r w:rsidR="001F3A9F">
        <w:t>ing</w:t>
      </w:r>
      <w:r w:rsidRPr="00182CC9">
        <w:t xml:space="preserve"> from utilising assets overseas to prosecute the case on behalf of Australian business</w:t>
      </w:r>
      <w:r>
        <w:t xml:space="preserve">, advocating Australia’s interests when our trading partners are contemplating regulatory changes, and </w:t>
      </w:r>
      <w:r w:rsidRPr="00182CC9">
        <w:t>addressing</w:t>
      </w:r>
      <w:r w:rsidR="001F3A9F">
        <w:t xml:space="preserve"> concerns specifically in </w:t>
      </w:r>
      <w:r w:rsidRPr="00182CC9">
        <w:t xml:space="preserve">trade negotiations.  </w:t>
      </w:r>
    </w:p>
    <w:p w:rsidR="0074282B" w:rsidRDefault="001F3A9F" w:rsidP="00E362FE">
      <w:pPr>
        <w:pStyle w:val="ListParagraph"/>
        <w:numPr>
          <w:ilvl w:val="0"/>
          <w:numId w:val="24"/>
        </w:numPr>
        <w:spacing w:before="240" w:after="240" w:line="276" w:lineRule="auto"/>
      </w:pPr>
      <w:r>
        <w:t>I</w:t>
      </w:r>
      <w:r w:rsidR="003E6D80" w:rsidRPr="00182CC9">
        <w:t xml:space="preserve">t </w:t>
      </w:r>
      <w:r>
        <w:t xml:space="preserve">needs to be recognised that, while much can be achieved using the approaches described in this submission, </w:t>
      </w:r>
      <w:r w:rsidR="003E6D80" w:rsidRPr="00182CC9">
        <w:t>in some circumstances the ability to address behind-the-border barriers is beyond the reach of traditional trade “rules” and different approaches need to be examined (</w:t>
      </w:r>
      <w:r w:rsidR="0079241E" w:rsidRPr="00182CC9">
        <w:t>i.e.</w:t>
      </w:r>
      <w:r w:rsidR="003E6D80" w:rsidRPr="00182CC9">
        <w:t xml:space="preserve"> through better business to busine</w:t>
      </w:r>
      <w:r w:rsidR="003E6D80">
        <w:t>ss linkages</w:t>
      </w:r>
      <w:r w:rsidR="002D505B">
        <w:t xml:space="preserve"> </w:t>
      </w:r>
      <w:r w:rsidR="002D505B" w:rsidRPr="00CF0230">
        <w:t>and encouraging unilateral and structural reforms and delivery related institutional and regulatory capacity building, through economic cooperation forums such as APEC, G20 and OECD</w:t>
      </w:r>
      <w:r w:rsidR="003E6D80" w:rsidRPr="00CF0230">
        <w:t xml:space="preserve">).  </w:t>
      </w:r>
      <w:r w:rsidR="003E6D80">
        <w:t>Here again, the p</w:t>
      </w:r>
      <w:r w:rsidR="003E6D80" w:rsidRPr="00182CC9">
        <w:t>ortfolio does significant work with Australian business.</w:t>
      </w:r>
    </w:p>
    <w:p w:rsidR="003E6D80" w:rsidRPr="00182CC9" w:rsidRDefault="003E6D80" w:rsidP="001F3A9F">
      <w:pPr>
        <w:spacing w:before="240" w:after="240" w:line="276" w:lineRule="auto"/>
        <w:jc w:val="both"/>
      </w:pPr>
      <w:r w:rsidRPr="00182CC9">
        <w:t>.</w:t>
      </w:r>
    </w:p>
    <w:p w:rsidR="003E6D80" w:rsidRDefault="00F525A3" w:rsidP="00182CC9">
      <w:r>
        <w:br w:type="page"/>
      </w:r>
    </w:p>
    <w:p w:rsidR="006E2A6F" w:rsidRDefault="006E2A6F" w:rsidP="005A5C84">
      <w:pPr>
        <w:pStyle w:val="Heading1"/>
        <w:jc w:val="right"/>
      </w:pPr>
      <w:bookmarkStart w:id="71" w:name="_Toc421701294"/>
      <w:bookmarkStart w:id="72" w:name="_Toc424644373"/>
      <w:r>
        <w:lastRenderedPageBreak/>
        <w:t>Annex</w:t>
      </w:r>
      <w:bookmarkEnd w:id="71"/>
      <w:bookmarkEnd w:id="72"/>
    </w:p>
    <w:p w:rsidR="006E2A6F" w:rsidRPr="00005EC1" w:rsidRDefault="005A5C84" w:rsidP="005A5C84">
      <w:pPr>
        <w:pStyle w:val="Heading1"/>
        <w:spacing w:before="240" w:after="240"/>
        <w:rPr>
          <w:b w:val="0"/>
          <w:i/>
        </w:rPr>
      </w:pPr>
      <w:bookmarkStart w:id="73" w:name="_Toc424644374"/>
      <w:r>
        <w:t>Note on services data</w:t>
      </w:r>
      <w:bookmarkEnd w:id="73"/>
      <w:r>
        <w:t xml:space="preserve"> </w:t>
      </w:r>
      <w:r w:rsidR="006E2A6F" w:rsidRPr="00005EC1">
        <w:rPr>
          <w:b w:val="0"/>
          <w:i/>
        </w:rPr>
        <w:t xml:space="preserve"> </w:t>
      </w:r>
    </w:p>
    <w:p w:rsidR="006E2A6F" w:rsidRDefault="006E2A6F" w:rsidP="005A5C84">
      <w:pPr>
        <w:pStyle w:val="ListParagraph"/>
        <w:numPr>
          <w:ilvl w:val="0"/>
          <w:numId w:val="27"/>
        </w:numPr>
        <w:spacing w:before="240" w:after="240"/>
      </w:pPr>
      <w:r w:rsidRPr="00182CC9">
        <w:t>There are two gaps in Australia’s trade in services</w:t>
      </w:r>
      <w:r>
        <w:t xml:space="preserve"> data</w:t>
      </w:r>
      <w:r w:rsidRPr="00182CC9">
        <w:t xml:space="preserve"> that are not </w:t>
      </w:r>
      <w:r>
        <w:t>captured</w:t>
      </w:r>
      <w:r w:rsidRPr="00182CC9">
        <w:t xml:space="preserve"> by the Australian Bureau of Statistics (ABS)</w:t>
      </w:r>
      <w:r>
        <w:t>. These are:</w:t>
      </w:r>
    </w:p>
    <w:p w:rsidR="006E2A6F" w:rsidRDefault="006E2A6F" w:rsidP="005A5C84">
      <w:pPr>
        <w:pStyle w:val="ListParagraph"/>
        <w:numPr>
          <w:ilvl w:val="0"/>
          <w:numId w:val="22"/>
        </w:numPr>
        <w:spacing w:before="240" w:after="240"/>
      </w:pPr>
      <w:r w:rsidRPr="005571D7">
        <w:t>inwards and outwards foreign affiliates trade in services</w:t>
      </w:r>
      <w:r w:rsidRPr="00182CC9">
        <w:t xml:space="preserve"> statistics (FATS)</w:t>
      </w:r>
      <w:r>
        <w:t xml:space="preserve"> (</w:t>
      </w:r>
      <w:r w:rsidR="0079241E">
        <w:t>i.e.</w:t>
      </w:r>
      <w:r>
        <w:t>, where services trade in Australia is conducted by the local representative of a foreign service supplier, and vice-versa) ,</w:t>
      </w:r>
      <w:r w:rsidRPr="00182CC9">
        <w:t xml:space="preserve"> and</w:t>
      </w:r>
    </w:p>
    <w:p w:rsidR="00B8549E" w:rsidRDefault="006E2A6F" w:rsidP="00B8549E">
      <w:pPr>
        <w:pStyle w:val="ListParagraph"/>
        <w:numPr>
          <w:ilvl w:val="0"/>
          <w:numId w:val="22"/>
        </w:numPr>
        <w:spacing w:before="240" w:after="240"/>
      </w:pPr>
      <w:r w:rsidRPr="00182CC9">
        <w:t xml:space="preserve">data by </w:t>
      </w:r>
      <w:r>
        <w:t>‘m</w:t>
      </w:r>
      <w:r w:rsidRPr="00182CC9">
        <w:t>ode of supply</w:t>
      </w:r>
      <w:r>
        <w:t>’ (</w:t>
      </w:r>
      <w:r w:rsidR="0079241E">
        <w:t>e.g.</w:t>
      </w:r>
      <w:r>
        <w:t>, identifying whether a service is delivered on a cross-border basis from another country, or through the commercial presence of a foreign operator)</w:t>
      </w:r>
      <w:r w:rsidR="00103973" w:rsidRPr="00DC0A07">
        <w:footnoteReference w:id="18"/>
      </w:r>
      <w:r>
        <w:t>.</w:t>
      </w:r>
    </w:p>
    <w:p w:rsidR="00B8549E" w:rsidRDefault="006E2A6F" w:rsidP="00B8549E">
      <w:pPr>
        <w:pStyle w:val="ListParagraph"/>
        <w:numPr>
          <w:ilvl w:val="0"/>
          <w:numId w:val="27"/>
        </w:numPr>
        <w:spacing w:before="240" w:after="240"/>
      </w:pPr>
      <w:r>
        <w:t xml:space="preserve">The result is an almost certain </w:t>
      </w:r>
      <w:r w:rsidRPr="00182CC9">
        <w:t>underestimat</w:t>
      </w:r>
      <w:r>
        <w:t xml:space="preserve">ion of </w:t>
      </w:r>
      <w:r w:rsidRPr="00182CC9">
        <w:t xml:space="preserve">the </w:t>
      </w:r>
      <w:r>
        <w:t xml:space="preserve">type and </w:t>
      </w:r>
      <w:r w:rsidRPr="00182CC9">
        <w:t xml:space="preserve">amount of </w:t>
      </w:r>
      <w:r>
        <w:t xml:space="preserve">services </w:t>
      </w:r>
      <w:r w:rsidRPr="00182CC9">
        <w:t>trade</w:t>
      </w:r>
      <w:r>
        <w:t xml:space="preserve"> conducted in and from Australia</w:t>
      </w:r>
      <w:r w:rsidRPr="00182CC9">
        <w:t>.  This has implications for</w:t>
      </w:r>
      <w:r>
        <w:t xml:space="preserve"> the portfolio’s ability to </w:t>
      </w:r>
      <w:r w:rsidRPr="00182CC9">
        <w:t>prioritis</w:t>
      </w:r>
      <w:r>
        <w:t>e</w:t>
      </w:r>
      <w:r w:rsidRPr="00182CC9">
        <w:t xml:space="preserve"> resources and </w:t>
      </w:r>
      <w:r>
        <w:t>accurately identify</w:t>
      </w:r>
      <w:r w:rsidRPr="00182CC9">
        <w:t xml:space="preserve"> the </w:t>
      </w:r>
      <w:r>
        <w:t>key interest</w:t>
      </w:r>
      <w:r w:rsidRPr="00182CC9">
        <w:t xml:space="preserve">s of </w:t>
      </w:r>
      <w:r>
        <w:t>Australia’s service suppliers</w:t>
      </w:r>
      <w:r w:rsidRPr="00182CC9">
        <w:t>.</w:t>
      </w:r>
    </w:p>
    <w:p w:rsidR="00B8549E" w:rsidRDefault="006E2A6F" w:rsidP="00B8549E">
      <w:pPr>
        <w:pStyle w:val="ListParagraph"/>
        <w:numPr>
          <w:ilvl w:val="0"/>
          <w:numId w:val="27"/>
        </w:numPr>
        <w:spacing w:before="240" w:after="240"/>
      </w:pPr>
      <w:r>
        <w:t>For example, a</w:t>
      </w:r>
      <w:r w:rsidRPr="00182CC9">
        <w:t xml:space="preserve"> one-off study</w:t>
      </w:r>
      <w:r>
        <w:t xml:space="preserve"> conducted</w:t>
      </w:r>
      <w:r w:rsidRPr="00182CC9">
        <w:t xml:space="preserve"> by the ABS in 2002-03 found that outwards FATS was </w:t>
      </w:r>
      <w:r>
        <w:t xml:space="preserve">particularly </w:t>
      </w:r>
      <w:r w:rsidRPr="00182CC9">
        <w:t>significant for Australia, with nearly two-thirds of</w:t>
      </w:r>
      <w:r w:rsidR="00103973">
        <w:t xml:space="preserve"> the provision of</w:t>
      </w:r>
      <w:r w:rsidRPr="00182CC9">
        <w:t xml:space="preserve"> </w:t>
      </w:r>
      <w:r w:rsidR="00103973">
        <w:t>Australian services abroad</w:t>
      </w:r>
      <w:r>
        <w:t xml:space="preserve"> </w:t>
      </w:r>
      <w:r w:rsidRPr="00182CC9">
        <w:t>being sourced from an Australian affiliate abroad. A recent study by Asia link estimates that outward FATS was valued at around $138 billion in 2013</w:t>
      </w:r>
      <w:r>
        <w:t xml:space="preserve"> – more than double the figure for direct exports (</w:t>
      </w:r>
      <w:r w:rsidRPr="00182CC9">
        <w:t>$55 billion</w:t>
      </w:r>
      <w:r>
        <w:t>)</w:t>
      </w:r>
      <w:r w:rsidRPr="00DC0A07">
        <w:footnoteReference w:id="19"/>
      </w:r>
      <w:r w:rsidRPr="00182CC9">
        <w:t>.</w:t>
      </w:r>
    </w:p>
    <w:p w:rsidR="005A5C84" w:rsidRDefault="006E2A6F" w:rsidP="005A5C84">
      <w:pPr>
        <w:pStyle w:val="ListParagraph"/>
        <w:numPr>
          <w:ilvl w:val="0"/>
          <w:numId w:val="27"/>
        </w:numPr>
        <w:spacing w:before="240" w:after="240"/>
      </w:pPr>
      <w:r w:rsidRPr="00182CC9">
        <w:t xml:space="preserve">This gap </w:t>
      </w:r>
      <w:r>
        <w:t xml:space="preserve">also has implications for the implementation of trade agreements. </w:t>
      </w:r>
      <w:r w:rsidRPr="00182CC9">
        <w:t xml:space="preserve"> For example, </w:t>
      </w:r>
      <w:r>
        <w:t>many of the key gains for Australia’s services exporters under the China-Australia</w:t>
      </w:r>
      <w:r w:rsidRPr="00182CC9">
        <w:t xml:space="preserve"> </w:t>
      </w:r>
      <w:r>
        <w:t>(</w:t>
      </w:r>
      <w:proofErr w:type="spellStart"/>
      <w:r w:rsidRPr="00182CC9">
        <w:t>ChAFTA</w:t>
      </w:r>
      <w:proofErr w:type="spellEnd"/>
      <w:r>
        <w:t>)</w:t>
      </w:r>
      <w:r w:rsidRPr="00182CC9">
        <w:t xml:space="preserve"> agreement</w:t>
      </w:r>
      <w:r>
        <w:t xml:space="preserve"> will </w:t>
      </w:r>
      <w:r w:rsidRPr="00182CC9">
        <w:t>result in increased outwards FATS</w:t>
      </w:r>
      <w:r>
        <w:t xml:space="preserve"> activity (i.e. service suppliers will be have increased opportunities to deliver services from a presence in China)</w:t>
      </w:r>
      <w:r w:rsidRPr="00182CC9">
        <w:t xml:space="preserve">. The lack of FATS data will make it difficult to monitor trends in services trade </w:t>
      </w:r>
      <w:r>
        <w:t xml:space="preserve">resulting from the </w:t>
      </w:r>
      <w:proofErr w:type="spellStart"/>
      <w:r>
        <w:t>ChAFTA</w:t>
      </w:r>
      <w:proofErr w:type="spellEnd"/>
      <w:r>
        <w:t xml:space="preserve"> </w:t>
      </w:r>
      <w:r w:rsidRPr="00182CC9">
        <w:t>agreement.</w:t>
      </w:r>
    </w:p>
    <w:p w:rsidR="005A5C84" w:rsidRDefault="006E2A6F" w:rsidP="005A5C84">
      <w:pPr>
        <w:pStyle w:val="ListParagraph"/>
        <w:numPr>
          <w:ilvl w:val="0"/>
          <w:numId w:val="27"/>
        </w:numPr>
        <w:spacing w:before="240" w:after="240"/>
      </w:pPr>
      <w:r w:rsidRPr="00182CC9">
        <w:t xml:space="preserve">The services export figures also do not capture services </w:t>
      </w:r>
      <w:r>
        <w:t xml:space="preserve">which are </w:t>
      </w:r>
      <w:r w:rsidRPr="00182CC9">
        <w:t>used as inputs into the export of goods</w:t>
      </w:r>
      <w:r>
        <w:t xml:space="preserve"> (i.e. where services are part of the development of the goods)</w:t>
      </w:r>
      <w:r w:rsidRPr="00182CC9">
        <w:t xml:space="preserve">.  </w:t>
      </w:r>
    </w:p>
    <w:p w:rsidR="005A5C84" w:rsidRDefault="006E2A6F" w:rsidP="005A5C84">
      <w:pPr>
        <w:pStyle w:val="ListParagraph"/>
        <w:numPr>
          <w:ilvl w:val="0"/>
          <w:numId w:val="27"/>
        </w:numPr>
        <w:spacing w:before="240" w:after="240"/>
      </w:pPr>
      <w:r w:rsidRPr="00182CC9">
        <w:t xml:space="preserve">Services contributions to exports are more fully captured </w:t>
      </w:r>
      <w:r w:rsidR="00103973">
        <w:t>on a value-added basis.  In 2011</w:t>
      </w:r>
      <w:r w:rsidRPr="00182CC9">
        <w:t xml:space="preserve"> services exports accounted for only </w:t>
      </w:r>
      <w:r w:rsidR="00103973">
        <w:t xml:space="preserve">16 per cent </w:t>
      </w:r>
      <w:r w:rsidRPr="00182CC9">
        <w:t xml:space="preserve">of gross exports and this proportion has fallen since 2005.  However, the contribution of domestic services to </w:t>
      </w:r>
      <w:r>
        <w:t xml:space="preserve">the </w:t>
      </w:r>
      <w:r w:rsidRPr="00182CC9">
        <w:t>exports of goods and services measure</w:t>
      </w:r>
      <w:r>
        <w:t>d</w:t>
      </w:r>
      <w:r w:rsidRPr="00182CC9">
        <w:t xml:space="preserve"> by the OECD on a Trade in Value Added (</w:t>
      </w:r>
      <w:proofErr w:type="spellStart"/>
      <w:r w:rsidRPr="00182CC9">
        <w:t>TiVA</w:t>
      </w:r>
      <w:proofErr w:type="spellEnd"/>
      <w:r w:rsidRPr="00182CC9">
        <w:t xml:space="preserve">) basis amounted to over </w:t>
      </w:r>
      <w:r w:rsidR="00103973">
        <w:t xml:space="preserve">40% </w:t>
      </w:r>
      <w:r w:rsidRPr="00182CC9">
        <w:t>of gross exports.</w:t>
      </w:r>
      <w:r w:rsidRPr="00DC0A07">
        <w:footnoteReference w:id="20"/>
      </w:r>
    </w:p>
    <w:p w:rsidR="006E2A6F" w:rsidRPr="005A5C84" w:rsidRDefault="006E2A6F" w:rsidP="005A5C84">
      <w:pPr>
        <w:pStyle w:val="ListParagraph"/>
        <w:numPr>
          <w:ilvl w:val="0"/>
          <w:numId w:val="27"/>
        </w:numPr>
        <w:spacing w:before="240" w:after="240"/>
      </w:pPr>
      <w:r>
        <w:t>The analysis of v</w:t>
      </w:r>
      <w:r w:rsidRPr="00182CC9">
        <w:t>alue-added</w:t>
      </w:r>
      <w:r>
        <w:t xml:space="preserve"> services data</w:t>
      </w:r>
      <w:r w:rsidRPr="00182CC9">
        <w:t xml:space="preserve"> has helped to identify services where </w:t>
      </w:r>
      <w:r w:rsidRPr="00DC0A07">
        <w:t>Australia boasts relative comparative advantage. These include:</w:t>
      </w:r>
    </w:p>
    <w:p w:rsidR="006E2A6F" w:rsidRPr="00DC0A07" w:rsidRDefault="006E2A6F" w:rsidP="005A5C84">
      <w:pPr>
        <w:pStyle w:val="ListParagraph"/>
        <w:numPr>
          <w:ilvl w:val="0"/>
          <w:numId w:val="26"/>
        </w:numPr>
        <w:spacing w:before="240" w:after="240"/>
      </w:pPr>
      <w:r w:rsidRPr="00DC0A07">
        <w:t>financial services (funds management, infrastructure financing, pension system management)</w:t>
      </w:r>
      <w:r w:rsidR="00B8549E">
        <w:t>;</w:t>
      </w:r>
    </w:p>
    <w:p w:rsidR="006E2A6F" w:rsidRPr="00DC0A07" w:rsidRDefault="006E2A6F" w:rsidP="005A5C84">
      <w:pPr>
        <w:pStyle w:val="ListParagraph"/>
        <w:numPr>
          <w:ilvl w:val="0"/>
          <w:numId w:val="26"/>
        </w:numPr>
        <w:spacing w:before="240" w:after="240"/>
      </w:pPr>
      <w:r w:rsidRPr="00DC0A07">
        <w:t>legal/business advisory (international arbitration, dispute resolution and IP law)</w:t>
      </w:r>
      <w:r w:rsidR="00B8549E">
        <w:t>;</w:t>
      </w:r>
    </w:p>
    <w:p w:rsidR="006E2A6F" w:rsidRPr="00DC0A07" w:rsidRDefault="006E2A6F" w:rsidP="005A5C84">
      <w:pPr>
        <w:pStyle w:val="ListParagraph"/>
        <w:numPr>
          <w:ilvl w:val="0"/>
          <w:numId w:val="26"/>
        </w:numPr>
        <w:spacing w:before="240" w:after="240"/>
      </w:pPr>
      <w:r w:rsidRPr="00DC0A07">
        <w:t>health (research, aged care, clinical trials)</w:t>
      </w:r>
      <w:r w:rsidR="00B8549E">
        <w:t>;</w:t>
      </w:r>
    </w:p>
    <w:p w:rsidR="006E2A6F" w:rsidRPr="00DC0A07" w:rsidRDefault="006E2A6F" w:rsidP="005A5C84">
      <w:pPr>
        <w:pStyle w:val="ListParagraph"/>
        <w:numPr>
          <w:ilvl w:val="0"/>
          <w:numId w:val="26"/>
        </w:numPr>
        <w:spacing w:before="240" w:after="240"/>
      </w:pPr>
      <w:r w:rsidRPr="00DC0A07">
        <w:lastRenderedPageBreak/>
        <w:t>infrastructure services (project management design, urban sustainability, transport, logistics)</w:t>
      </w:r>
      <w:r w:rsidR="00B8549E">
        <w:t>;</w:t>
      </w:r>
    </w:p>
    <w:p w:rsidR="006E2A6F" w:rsidRDefault="006E2A6F" w:rsidP="005A5C84">
      <w:pPr>
        <w:pStyle w:val="ListParagraph"/>
        <w:numPr>
          <w:ilvl w:val="0"/>
          <w:numId w:val="26"/>
        </w:numPr>
        <w:spacing w:before="240" w:after="240"/>
      </w:pPr>
      <w:r w:rsidRPr="00DC0A07">
        <w:t>ICT and disruptive technologies (as an ‘</w:t>
      </w:r>
      <w:r w:rsidRPr="00182CC9">
        <w:t>enabler’ across industries)</w:t>
      </w:r>
      <w:r w:rsidR="00B8549E">
        <w:t>;</w:t>
      </w:r>
    </w:p>
    <w:p w:rsidR="006E2A6F" w:rsidRDefault="006E2A6F" w:rsidP="005A5C84">
      <w:pPr>
        <w:pStyle w:val="ListParagraph"/>
        <w:numPr>
          <w:ilvl w:val="0"/>
          <w:numId w:val="26"/>
        </w:numPr>
        <w:spacing w:before="240" w:after="240"/>
      </w:pPr>
      <w:r w:rsidRPr="00182CC9">
        <w:t>beef and dairy and services</w:t>
      </w:r>
      <w:r w:rsidR="00B8549E">
        <w:t>;</w:t>
      </w:r>
    </w:p>
    <w:p w:rsidR="006E2A6F" w:rsidRDefault="006E2A6F" w:rsidP="005A5C84">
      <w:pPr>
        <w:pStyle w:val="ListParagraph"/>
        <w:numPr>
          <w:ilvl w:val="0"/>
          <w:numId w:val="26"/>
        </w:numPr>
        <w:spacing w:before="240" w:after="240"/>
      </w:pPr>
      <w:r w:rsidRPr="00182CC9">
        <w:t>mining</w:t>
      </w:r>
      <w:r w:rsidR="00B8549E">
        <w:t xml:space="preserve"> services (such as mine safety); and,</w:t>
      </w:r>
    </w:p>
    <w:p w:rsidR="006E2A6F" w:rsidRPr="00DC0A07" w:rsidRDefault="006E2A6F" w:rsidP="005A5C84">
      <w:pPr>
        <w:pStyle w:val="ListParagraph"/>
        <w:numPr>
          <w:ilvl w:val="0"/>
          <w:numId w:val="26"/>
        </w:numPr>
        <w:spacing w:before="240" w:after="240"/>
      </w:pPr>
      <w:r w:rsidRPr="00182CC9">
        <w:t xml:space="preserve">advanced </w:t>
      </w:r>
      <w:r w:rsidR="00B72EFD" w:rsidRPr="00182CC9">
        <w:t>manufacturing services</w:t>
      </w:r>
      <w:r w:rsidRPr="00182CC9">
        <w:t xml:space="preserve"> (aviation training; MRO, engineering and design services across auto, marine and aerospace). </w:t>
      </w:r>
    </w:p>
    <w:p w:rsidR="00ED762B" w:rsidRPr="00ED762B" w:rsidRDefault="006E2A6F" w:rsidP="00ED762B">
      <w:pPr>
        <w:pStyle w:val="ListParagraph"/>
        <w:numPr>
          <w:ilvl w:val="0"/>
          <w:numId w:val="29"/>
        </w:numPr>
        <w:spacing w:before="240" w:after="240"/>
        <w:rPr>
          <w:rFonts w:asciiTheme="majorHAnsi" w:eastAsiaTheme="majorEastAsia" w:hAnsiTheme="majorHAnsi" w:cstheme="majorBidi"/>
          <w:b/>
          <w:bCs/>
          <w:color w:val="365F91" w:themeColor="accent1" w:themeShade="BF"/>
          <w:sz w:val="28"/>
          <w:szCs w:val="28"/>
        </w:rPr>
      </w:pPr>
      <w:r w:rsidRPr="00182CC9">
        <w:t xml:space="preserve">The under-estimation of trade in services as a result of the peculiarities of FATS statistics and better identification of comparative advantages in services through the work on </w:t>
      </w:r>
      <w:proofErr w:type="spellStart"/>
      <w:r w:rsidRPr="00182CC9">
        <w:t>TiVA</w:t>
      </w:r>
      <w:proofErr w:type="spellEnd"/>
      <w:r w:rsidRPr="00182CC9">
        <w:t xml:space="preserve"> suggest the potential for Australian services trade is </w:t>
      </w:r>
      <w:r>
        <w:t xml:space="preserve">even </w:t>
      </w:r>
      <w:r w:rsidRPr="00182CC9">
        <w:t>more significant than the current figures suggest.</w:t>
      </w:r>
    </w:p>
    <w:tbl>
      <w:tblPr>
        <w:tblStyle w:val="TableGrid"/>
        <w:tblW w:w="0" w:type="auto"/>
        <w:tblInd w:w="360" w:type="dxa"/>
        <w:tblLook w:val="04A0" w:firstRow="1" w:lastRow="0" w:firstColumn="1" w:lastColumn="0" w:noHBand="0" w:noVBand="1"/>
      </w:tblPr>
      <w:tblGrid>
        <w:gridCol w:w="8168"/>
      </w:tblGrid>
      <w:tr w:rsidR="00ED762B" w:rsidTr="00ED762B">
        <w:tc>
          <w:tcPr>
            <w:tcW w:w="8528" w:type="dxa"/>
            <w:shd w:val="clear" w:color="auto" w:fill="DBE5F1" w:themeFill="accent1" w:themeFillTint="33"/>
          </w:tcPr>
          <w:p w:rsidR="00ED762B" w:rsidRPr="00ED762B" w:rsidRDefault="00ED762B" w:rsidP="00ED762B">
            <w:pPr>
              <w:rPr>
                <w:rFonts w:eastAsia="SimSun"/>
                <w:lang w:val="en-US" w:eastAsia="zh-CN"/>
              </w:rPr>
            </w:pPr>
            <w:r w:rsidRPr="00ED762B">
              <w:rPr>
                <w:rFonts w:eastAsia="SimSun"/>
                <w:lang w:val="en-US" w:eastAsia="zh-CN"/>
              </w:rPr>
              <w:t xml:space="preserve">In 2013 </w:t>
            </w:r>
            <w:proofErr w:type="spellStart"/>
            <w:r w:rsidRPr="00ED762B">
              <w:rPr>
                <w:rFonts w:eastAsia="SimSun"/>
                <w:lang w:val="en-US" w:eastAsia="zh-CN"/>
              </w:rPr>
              <w:t>Austrade</w:t>
            </w:r>
            <w:proofErr w:type="spellEnd"/>
            <w:r w:rsidRPr="00ED762B">
              <w:rPr>
                <w:rFonts w:eastAsia="SimSun"/>
                <w:lang w:val="en-US" w:eastAsia="zh-CN"/>
              </w:rPr>
              <w:t xml:space="preserve"> </w:t>
            </w:r>
            <w:proofErr w:type="spellStart"/>
            <w:r w:rsidRPr="00ED762B">
              <w:rPr>
                <w:rFonts w:eastAsia="SimSun"/>
                <w:lang w:val="en-US" w:eastAsia="zh-CN"/>
              </w:rPr>
              <w:t>analysed</w:t>
            </w:r>
            <w:proofErr w:type="spellEnd"/>
            <w:r w:rsidRPr="00ED762B">
              <w:rPr>
                <w:rFonts w:eastAsia="SimSun"/>
                <w:lang w:val="en-US" w:eastAsia="zh-CN"/>
              </w:rPr>
              <w:t xml:space="preserve"> the overseas subsidiaries of Australia’s top 2,000 public and private Australian companies, including those in the services sector. The analysis found that one third of Australia’s top 2,000 companies held direct investment in an overseas market – that is, one third have a commercial presence overseas through a subsidiary or joint venture in which they own a significant (at least 10%) stake.</w:t>
            </w:r>
            <w:r w:rsidRPr="00ED762B">
              <w:rPr>
                <w:rFonts w:eastAsia="SimSun" w:hint="eastAsia"/>
                <w:lang w:val="en-US" w:eastAsia="zh-CN"/>
              </w:rPr>
              <w:t xml:space="preserve">  Companies </w:t>
            </w:r>
            <w:proofErr w:type="spellStart"/>
            <w:r w:rsidRPr="00ED762B">
              <w:rPr>
                <w:rFonts w:eastAsia="SimSun" w:hint="eastAsia"/>
                <w:lang w:val="en-US" w:eastAsia="zh-CN"/>
              </w:rPr>
              <w:t>analysed</w:t>
            </w:r>
            <w:proofErr w:type="spellEnd"/>
            <w:r w:rsidRPr="00ED762B">
              <w:rPr>
                <w:rFonts w:eastAsia="SimSun" w:hint="eastAsia"/>
                <w:lang w:val="en-US" w:eastAsia="zh-CN"/>
              </w:rPr>
              <w:t xml:space="preserve"> had revenue ranging from $60 million to $70 billion.</w:t>
            </w:r>
            <w:r>
              <w:rPr>
                <w:rStyle w:val="FootnoteReference"/>
                <w:rFonts w:eastAsia="SimSun"/>
                <w:lang w:val="en-US" w:eastAsia="zh-CN"/>
              </w:rPr>
              <w:footnoteReference w:id="21"/>
            </w:r>
          </w:p>
          <w:p w:rsidR="00ED762B" w:rsidRPr="00ED762B" w:rsidRDefault="00ED762B" w:rsidP="00ED762B">
            <w:pPr>
              <w:numPr>
                <w:ilvl w:val="0"/>
                <w:numId w:val="34"/>
              </w:numPr>
              <w:contextualSpacing/>
              <w:rPr>
                <w:rFonts w:eastAsia="SimSun"/>
                <w:lang w:val="en-US" w:eastAsia="zh-CN"/>
              </w:rPr>
            </w:pPr>
            <w:r w:rsidRPr="00ED762B">
              <w:rPr>
                <w:rFonts w:eastAsia="SimSun" w:hint="eastAsia"/>
                <w:lang w:val="en-US" w:eastAsia="zh-CN"/>
              </w:rPr>
              <w:t>Of top-2000 Australian companies in the p</w:t>
            </w:r>
            <w:r w:rsidRPr="00ED762B">
              <w:rPr>
                <w:rFonts w:eastAsia="SimSun"/>
                <w:lang w:val="en-US" w:eastAsia="zh-CN"/>
              </w:rPr>
              <w:t xml:space="preserve">rofessional, </w:t>
            </w:r>
            <w:r w:rsidRPr="00ED762B">
              <w:rPr>
                <w:rFonts w:eastAsia="SimSun" w:hint="eastAsia"/>
                <w:lang w:val="en-US" w:eastAsia="zh-CN"/>
              </w:rPr>
              <w:t>s</w:t>
            </w:r>
            <w:r w:rsidRPr="00ED762B">
              <w:rPr>
                <w:rFonts w:eastAsia="SimSun"/>
                <w:lang w:val="en-US" w:eastAsia="zh-CN"/>
              </w:rPr>
              <w:t xml:space="preserve">cientific and </w:t>
            </w:r>
            <w:r w:rsidRPr="00ED762B">
              <w:rPr>
                <w:rFonts w:eastAsia="SimSun" w:hint="eastAsia"/>
                <w:lang w:val="en-US" w:eastAsia="zh-CN"/>
              </w:rPr>
              <w:t>t</w:t>
            </w:r>
            <w:r w:rsidRPr="00ED762B">
              <w:rPr>
                <w:rFonts w:eastAsia="SimSun"/>
                <w:lang w:val="en-US" w:eastAsia="zh-CN"/>
              </w:rPr>
              <w:t xml:space="preserve">echnical </w:t>
            </w:r>
            <w:r w:rsidRPr="00ED762B">
              <w:rPr>
                <w:rFonts w:eastAsia="SimSun" w:hint="eastAsia"/>
                <w:lang w:val="en-US" w:eastAsia="zh-CN"/>
              </w:rPr>
              <w:t>s</w:t>
            </w:r>
            <w:r w:rsidRPr="00ED762B">
              <w:rPr>
                <w:rFonts w:eastAsia="SimSun"/>
                <w:lang w:val="en-US" w:eastAsia="zh-CN"/>
              </w:rPr>
              <w:t xml:space="preserve">ervices </w:t>
            </w:r>
            <w:r w:rsidRPr="00ED762B">
              <w:rPr>
                <w:rFonts w:eastAsia="SimSun" w:hint="eastAsia"/>
                <w:lang w:val="en-US" w:eastAsia="zh-CN"/>
              </w:rPr>
              <w:t xml:space="preserve">sector, 50 per cent had direct investment overseas, with the top five markets including New Zealand, the United Kingdom, the United States, Singapore and </w:t>
            </w:r>
            <w:r w:rsidRPr="00ED762B">
              <w:rPr>
                <w:rFonts w:eastAsia="SimSun"/>
                <w:lang w:val="en-US" w:eastAsia="zh-CN"/>
              </w:rPr>
              <w:t>Canada.</w:t>
            </w:r>
          </w:p>
          <w:p w:rsidR="00ED762B" w:rsidRPr="00ED762B" w:rsidRDefault="00ED762B" w:rsidP="00ED762B">
            <w:pPr>
              <w:numPr>
                <w:ilvl w:val="0"/>
                <w:numId w:val="34"/>
              </w:numPr>
              <w:contextualSpacing/>
              <w:rPr>
                <w:rFonts w:eastAsia="SimSun"/>
                <w:lang w:val="en-US" w:eastAsia="zh-CN"/>
              </w:rPr>
            </w:pPr>
            <w:r w:rsidRPr="00ED762B">
              <w:rPr>
                <w:rFonts w:eastAsia="SimSun" w:hint="eastAsia"/>
                <w:lang w:val="en-US" w:eastAsia="zh-CN"/>
              </w:rPr>
              <w:t xml:space="preserve">Of top-2000 financial and insurance services companies, 23 per cent had a direct </w:t>
            </w:r>
            <w:r w:rsidRPr="00ED762B">
              <w:rPr>
                <w:rFonts w:eastAsia="SimSun"/>
                <w:lang w:val="en-US" w:eastAsia="zh-CN"/>
              </w:rPr>
              <w:t>presence</w:t>
            </w:r>
            <w:r w:rsidRPr="00ED762B">
              <w:rPr>
                <w:rFonts w:eastAsia="SimSun" w:hint="eastAsia"/>
                <w:lang w:val="en-US" w:eastAsia="zh-CN"/>
              </w:rPr>
              <w:t xml:space="preserve"> overseas, with the top five markets by number of investee companies being New Zealand, the United Kingdom, the United States, Singapore and Luxembourg.</w:t>
            </w:r>
          </w:p>
          <w:p w:rsidR="00ED762B" w:rsidRPr="00ED762B" w:rsidRDefault="00ED762B" w:rsidP="00ED762B">
            <w:pPr>
              <w:numPr>
                <w:ilvl w:val="0"/>
                <w:numId w:val="34"/>
              </w:numPr>
              <w:autoSpaceDE w:val="0"/>
              <w:autoSpaceDN w:val="0"/>
              <w:adjustRightInd w:val="0"/>
              <w:rPr>
                <w:rFonts w:eastAsia="SimSun"/>
                <w:lang w:val="en-US" w:eastAsia="zh-CN"/>
              </w:rPr>
            </w:pPr>
            <w:r w:rsidRPr="00ED762B">
              <w:rPr>
                <w:rFonts w:eastAsia="SimSun" w:hint="eastAsia"/>
                <w:lang w:val="en-US" w:eastAsia="zh-CN"/>
              </w:rPr>
              <w:t>Of top-2000 Australian companies in the i</w:t>
            </w:r>
            <w:r w:rsidRPr="00ED762B">
              <w:rPr>
                <w:rFonts w:eastAsia="SimSun"/>
                <w:lang w:val="en-US" w:eastAsia="zh-CN"/>
              </w:rPr>
              <w:t xml:space="preserve">nformation </w:t>
            </w:r>
            <w:r w:rsidRPr="00ED762B">
              <w:rPr>
                <w:rFonts w:eastAsia="SimSun" w:hint="eastAsia"/>
                <w:lang w:val="en-US" w:eastAsia="zh-CN"/>
              </w:rPr>
              <w:t>m</w:t>
            </w:r>
            <w:r w:rsidRPr="00ED762B">
              <w:rPr>
                <w:rFonts w:eastAsia="SimSun"/>
                <w:lang w:val="en-US" w:eastAsia="zh-CN"/>
              </w:rPr>
              <w:t xml:space="preserve">edia and </w:t>
            </w:r>
            <w:r w:rsidRPr="00ED762B">
              <w:rPr>
                <w:rFonts w:eastAsia="SimSun" w:hint="eastAsia"/>
                <w:lang w:val="en-US" w:eastAsia="zh-CN"/>
              </w:rPr>
              <w:t>t</w:t>
            </w:r>
            <w:r w:rsidRPr="00ED762B">
              <w:rPr>
                <w:rFonts w:eastAsia="SimSun"/>
                <w:lang w:val="en-US" w:eastAsia="zh-CN"/>
              </w:rPr>
              <w:t xml:space="preserve">elecommunications </w:t>
            </w:r>
            <w:r w:rsidRPr="00ED762B">
              <w:rPr>
                <w:rFonts w:eastAsia="SimSun" w:hint="eastAsia"/>
                <w:lang w:val="en-US" w:eastAsia="zh-CN"/>
              </w:rPr>
              <w:t>sector, 49 per cent had direct investment overseas.</w:t>
            </w:r>
          </w:p>
        </w:tc>
      </w:tr>
    </w:tbl>
    <w:p w:rsidR="00ED762B" w:rsidRPr="00ED762B" w:rsidRDefault="00ED762B" w:rsidP="00ED762B">
      <w:pPr>
        <w:pStyle w:val="ListParagraph"/>
        <w:spacing w:before="240" w:after="240"/>
        <w:ind w:left="360"/>
        <w:rPr>
          <w:rFonts w:asciiTheme="majorHAnsi" w:eastAsiaTheme="majorEastAsia" w:hAnsiTheme="majorHAnsi" w:cstheme="majorBidi"/>
          <w:b/>
          <w:bCs/>
          <w:color w:val="365F91" w:themeColor="accent1" w:themeShade="BF"/>
          <w:sz w:val="28"/>
          <w:szCs w:val="28"/>
        </w:rPr>
      </w:pPr>
    </w:p>
    <w:sectPr w:rsidR="00ED762B" w:rsidRPr="00ED762B" w:rsidSect="000A0D01">
      <w:pgSz w:w="11906" w:h="16838"/>
      <w:pgMar w:top="1440" w:right="1797" w:bottom="1440" w:left="1797"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D46" w:rsidRDefault="00B53D46" w:rsidP="00B048FE">
      <w:r>
        <w:separator/>
      </w:r>
    </w:p>
  </w:endnote>
  <w:endnote w:type="continuationSeparator" w:id="0">
    <w:p w:rsidR="00B53D46" w:rsidRDefault="00B53D46" w:rsidP="00B04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761085"/>
      <w:docPartObj>
        <w:docPartGallery w:val="Page Numbers (Bottom of Page)"/>
        <w:docPartUnique/>
      </w:docPartObj>
    </w:sdtPr>
    <w:sdtEndPr>
      <w:rPr>
        <w:noProof/>
      </w:rPr>
    </w:sdtEndPr>
    <w:sdtContent>
      <w:p w:rsidR="00B53D46" w:rsidRPr="00462744" w:rsidRDefault="00B53D46">
        <w:pPr>
          <w:pStyle w:val="Footer"/>
          <w:jc w:val="center"/>
        </w:pPr>
        <w:r w:rsidRPr="00462744">
          <w:fldChar w:fldCharType="begin"/>
        </w:r>
        <w:r w:rsidRPr="00462744">
          <w:instrText xml:space="preserve"> PAGE   \* MERGEFORMAT </w:instrText>
        </w:r>
        <w:r w:rsidRPr="00462744">
          <w:fldChar w:fldCharType="separate"/>
        </w:r>
        <w:r w:rsidR="00BB736D">
          <w:rPr>
            <w:noProof/>
          </w:rPr>
          <w:t>2</w:t>
        </w:r>
        <w:r w:rsidRPr="00462744">
          <w:rPr>
            <w:noProof/>
          </w:rPr>
          <w:fldChar w:fldCharType="end"/>
        </w:r>
      </w:p>
    </w:sdtContent>
  </w:sdt>
  <w:p w:rsidR="00B53D46" w:rsidRDefault="00B53D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D46" w:rsidRDefault="00B53D46" w:rsidP="00B048FE">
      <w:r>
        <w:separator/>
      </w:r>
    </w:p>
  </w:footnote>
  <w:footnote w:type="continuationSeparator" w:id="0">
    <w:p w:rsidR="00B53D46" w:rsidRDefault="00B53D46" w:rsidP="00B048FE">
      <w:r>
        <w:continuationSeparator/>
      </w:r>
    </w:p>
  </w:footnote>
  <w:footnote w:id="1">
    <w:p w:rsidR="00B53D46" w:rsidRDefault="00B53D46">
      <w:pPr>
        <w:pStyle w:val="FootnoteText"/>
      </w:pPr>
      <w:r>
        <w:rPr>
          <w:rStyle w:val="FootnoteReference"/>
        </w:rPr>
        <w:footnoteRef/>
      </w:r>
      <w:r>
        <w:t xml:space="preserve"> </w:t>
      </w:r>
      <w:r w:rsidRPr="00681706">
        <w:t>ABS catalogue 5206.0</w:t>
      </w:r>
      <w:r>
        <w:t xml:space="preserve"> Contribution to GDP (Dec quarter 2014): Services 72%; Mining 15.8%; Other 11.9%; Agriculture, forestry and fishing (1.7%) and Manufacturing (-1.4%)</w:t>
      </w:r>
    </w:p>
  </w:footnote>
  <w:footnote w:id="2">
    <w:p w:rsidR="00B53D46" w:rsidRDefault="00B53D46">
      <w:pPr>
        <w:pStyle w:val="FootnoteText"/>
      </w:pPr>
      <w:r>
        <w:rPr>
          <w:rStyle w:val="FootnoteReference"/>
        </w:rPr>
        <w:footnoteRef/>
      </w:r>
      <w:r>
        <w:t xml:space="preserve"> ‘Australia’s Jobs Future, </w:t>
      </w:r>
      <w:proofErr w:type="spellStart"/>
      <w:r>
        <w:t>ANZ</w:t>
      </w:r>
      <w:proofErr w:type="spellEnd"/>
      <w:r>
        <w:t xml:space="preserve"> PwC </w:t>
      </w:r>
      <w:proofErr w:type="spellStart"/>
      <w:r>
        <w:t>AsiaLink</w:t>
      </w:r>
      <w:proofErr w:type="spellEnd"/>
      <w:r>
        <w:t xml:space="preserve"> Business Services Report</w:t>
      </w:r>
    </w:p>
  </w:footnote>
  <w:footnote w:id="3">
    <w:p w:rsidR="00B53D46" w:rsidRDefault="00B53D46">
      <w:pPr>
        <w:pStyle w:val="FootnoteText"/>
      </w:pPr>
      <w:r>
        <w:rPr>
          <w:rStyle w:val="FootnoteReference"/>
        </w:rPr>
        <w:footnoteRef/>
      </w:r>
      <w:r>
        <w:t xml:space="preserve"> </w:t>
      </w:r>
      <w:r w:rsidRPr="006767A1">
        <w:rPr>
          <w:sz w:val="16"/>
          <w:szCs w:val="16"/>
        </w:rPr>
        <w:t>There are a number of shortcomings in services trade data (outlined in the annex to this submission) and this makes it difficult to define trends.</w:t>
      </w:r>
      <w:r>
        <w:t xml:space="preserve"> </w:t>
      </w:r>
    </w:p>
  </w:footnote>
  <w:footnote w:id="4">
    <w:p w:rsidR="00B53D46" w:rsidRPr="00684758" w:rsidRDefault="00B53D46" w:rsidP="00182CC9">
      <w:pPr>
        <w:pStyle w:val="FootnoteText"/>
        <w:rPr>
          <w:sz w:val="16"/>
          <w:szCs w:val="16"/>
        </w:rPr>
      </w:pPr>
      <w:r w:rsidRPr="00684758">
        <w:rPr>
          <w:rStyle w:val="FootnoteReference"/>
          <w:rFonts w:eastAsiaTheme="majorEastAsia"/>
          <w:sz w:val="16"/>
          <w:szCs w:val="16"/>
        </w:rPr>
        <w:footnoteRef/>
      </w:r>
      <w:r w:rsidRPr="00684758">
        <w:rPr>
          <w:sz w:val="16"/>
          <w:szCs w:val="16"/>
        </w:rPr>
        <w:t xml:space="preserve"> Based on Australian Bureau of Statistics (ABS) trade statistics which do not include services provide by Australian foreign affiliates abroad or embodied services in goods exports.</w:t>
      </w:r>
    </w:p>
  </w:footnote>
  <w:footnote w:id="5">
    <w:p w:rsidR="00B53D46" w:rsidRDefault="00B53D46">
      <w:pPr>
        <w:pStyle w:val="FootnoteText"/>
      </w:pPr>
      <w:r>
        <w:rPr>
          <w:rStyle w:val="FootnoteReference"/>
        </w:rPr>
        <w:footnoteRef/>
      </w:r>
      <w:r>
        <w:t xml:space="preserve"> </w:t>
      </w:r>
      <w:r w:rsidRPr="00765C3D">
        <w:rPr>
          <w:sz w:val="16"/>
          <w:szCs w:val="16"/>
        </w:rPr>
        <w:t>ABS catalogue 5368.0 (March 2015)</w:t>
      </w:r>
    </w:p>
  </w:footnote>
  <w:footnote w:id="6">
    <w:p w:rsidR="00B53D46" w:rsidRPr="00E658E8" w:rsidRDefault="00B53D46" w:rsidP="004839C6">
      <w:pPr>
        <w:pStyle w:val="FootnoteText"/>
        <w:rPr>
          <w:sz w:val="16"/>
          <w:szCs w:val="16"/>
        </w:rPr>
      </w:pPr>
      <w:r w:rsidRPr="00E658E8">
        <w:rPr>
          <w:rStyle w:val="FootnoteReference"/>
          <w:rFonts w:eastAsiaTheme="majorEastAsia"/>
          <w:sz w:val="16"/>
          <w:szCs w:val="16"/>
        </w:rPr>
        <w:footnoteRef/>
      </w:r>
      <w:r w:rsidRPr="00E658E8">
        <w:rPr>
          <w:sz w:val="16"/>
          <w:szCs w:val="16"/>
        </w:rPr>
        <w:t xml:space="preserve"> Note calendar year 2014 services data by country will not be released by the ABS until 22 June 2015.</w:t>
      </w:r>
    </w:p>
  </w:footnote>
  <w:footnote w:id="7">
    <w:p w:rsidR="00B53D46" w:rsidRPr="00E658E8" w:rsidRDefault="00B53D46" w:rsidP="00FB576A">
      <w:pPr>
        <w:pStyle w:val="FootnoteText"/>
      </w:pPr>
      <w:r w:rsidRPr="008D1F11">
        <w:rPr>
          <w:rStyle w:val="FootnoteReference"/>
          <w:rFonts w:eastAsiaTheme="majorEastAsia"/>
          <w:sz w:val="16"/>
          <w:szCs w:val="16"/>
        </w:rPr>
        <w:footnoteRef/>
      </w:r>
      <w:r>
        <w:t xml:space="preserve"> </w:t>
      </w:r>
      <w:r w:rsidRPr="00E658E8">
        <w:rPr>
          <w:i/>
          <w:sz w:val="16"/>
          <w:szCs w:val="16"/>
        </w:rPr>
        <w:t>Business services</w:t>
      </w:r>
      <w:r w:rsidRPr="00E658E8">
        <w:rPr>
          <w:sz w:val="16"/>
          <w:szCs w:val="16"/>
        </w:rPr>
        <w:t xml:space="preserve"> includes: </w:t>
      </w:r>
      <w:r w:rsidRPr="00E658E8">
        <w:rPr>
          <w:i/>
          <w:sz w:val="16"/>
          <w:szCs w:val="16"/>
        </w:rPr>
        <w:t>Construction services; Financial &amp; insurance services</w:t>
      </w:r>
      <w:r w:rsidRPr="00E658E8">
        <w:rPr>
          <w:sz w:val="16"/>
          <w:szCs w:val="16"/>
        </w:rPr>
        <w:t xml:space="preserve">; </w:t>
      </w:r>
      <w:r w:rsidRPr="00E658E8">
        <w:rPr>
          <w:i/>
          <w:sz w:val="16"/>
          <w:szCs w:val="16"/>
        </w:rPr>
        <w:t xml:space="preserve">Charges for the use of intellectual property </w:t>
      </w:r>
      <w:proofErr w:type="spellStart"/>
      <w:r w:rsidRPr="00E658E8">
        <w:rPr>
          <w:i/>
          <w:sz w:val="16"/>
          <w:szCs w:val="16"/>
        </w:rPr>
        <w:t>nie</w:t>
      </w:r>
      <w:proofErr w:type="spellEnd"/>
      <w:r w:rsidRPr="00E658E8">
        <w:rPr>
          <w:sz w:val="16"/>
          <w:szCs w:val="16"/>
        </w:rPr>
        <w:t xml:space="preserve">; </w:t>
      </w:r>
      <w:r w:rsidRPr="00E658E8">
        <w:rPr>
          <w:i/>
          <w:sz w:val="16"/>
          <w:szCs w:val="16"/>
        </w:rPr>
        <w:t>Telecommunication, computer &amp; information services</w:t>
      </w:r>
      <w:r w:rsidRPr="00E658E8">
        <w:rPr>
          <w:sz w:val="16"/>
          <w:szCs w:val="16"/>
        </w:rPr>
        <w:t xml:space="preserve">; and </w:t>
      </w:r>
      <w:r w:rsidRPr="00E658E8">
        <w:rPr>
          <w:i/>
          <w:sz w:val="16"/>
          <w:szCs w:val="16"/>
        </w:rPr>
        <w:t>Other business services</w:t>
      </w:r>
      <w:r w:rsidRPr="00E658E8">
        <w:rPr>
          <w:sz w:val="16"/>
          <w:szCs w:val="16"/>
        </w:rPr>
        <w:t>.</w:t>
      </w:r>
    </w:p>
  </w:footnote>
  <w:footnote w:id="8">
    <w:p w:rsidR="00B53D46" w:rsidRDefault="00B53D46">
      <w:pPr>
        <w:pStyle w:val="FootnoteText"/>
      </w:pPr>
      <w:r>
        <w:rPr>
          <w:rStyle w:val="FootnoteReference"/>
        </w:rPr>
        <w:footnoteRef/>
      </w:r>
      <w:r>
        <w:t xml:space="preserve"> ‘Australia’s Jobs Future’ </w:t>
      </w:r>
      <w:proofErr w:type="spellStart"/>
      <w:r>
        <w:t>ANZ</w:t>
      </w:r>
      <w:proofErr w:type="spellEnd"/>
      <w:r>
        <w:t xml:space="preserve"> PwC </w:t>
      </w:r>
      <w:proofErr w:type="spellStart"/>
      <w:r>
        <w:t>AsiaLink</w:t>
      </w:r>
      <w:proofErr w:type="spellEnd"/>
      <w:r>
        <w:t xml:space="preserve"> Business Services Report</w:t>
      </w:r>
    </w:p>
  </w:footnote>
  <w:footnote w:id="9">
    <w:p w:rsidR="00B53D46" w:rsidRDefault="00B53D46">
      <w:pPr>
        <w:pStyle w:val="FootnoteText"/>
      </w:pPr>
      <w:r>
        <w:rPr>
          <w:rStyle w:val="FootnoteReference"/>
        </w:rPr>
        <w:footnoteRef/>
      </w:r>
      <w:r>
        <w:t xml:space="preserve"> </w:t>
      </w:r>
      <w:r w:rsidRPr="00270317">
        <w:rPr>
          <w:sz w:val="16"/>
          <w:szCs w:val="16"/>
        </w:rPr>
        <w:t xml:space="preserve">Includes total services for Fiji, Papua New Guinea and New Zealand only and travel services component only for Cook Islands, Federated States of Micronesia, Kiribati, Nauru, Niue, Republic of Marshall Islands, Samoa, Solomon Islands, Tonga, </w:t>
      </w:r>
      <w:proofErr w:type="spellStart"/>
      <w:r w:rsidRPr="00270317">
        <w:rPr>
          <w:sz w:val="16"/>
          <w:szCs w:val="16"/>
        </w:rPr>
        <w:t>Tulavu</w:t>
      </w:r>
      <w:proofErr w:type="spellEnd"/>
      <w:r w:rsidRPr="00270317">
        <w:rPr>
          <w:sz w:val="16"/>
          <w:szCs w:val="16"/>
        </w:rPr>
        <w:t xml:space="preserve"> and Vanuatu.</w:t>
      </w:r>
    </w:p>
  </w:footnote>
  <w:footnote w:id="10">
    <w:p w:rsidR="00B53D46" w:rsidRDefault="00B53D46">
      <w:pPr>
        <w:pStyle w:val="FootnoteText"/>
      </w:pPr>
      <w:r>
        <w:rPr>
          <w:rStyle w:val="FootnoteReference"/>
        </w:rPr>
        <w:footnoteRef/>
      </w:r>
      <w:r>
        <w:t xml:space="preserve"> </w:t>
      </w:r>
      <w:r w:rsidRPr="002D505B">
        <w:rPr>
          <w:sz w:val="16"/>
          <w:szCs w:val="16"/>
        </w:rPr>
        <w:t>APEC STAR Database: www.servicestradeforum.org</w:t>
      </w:r>
    </w:p>
  </w:footnote>
  <w:footnote w:id="11">
    <w:p w:rsidR="00B53D46" w:rsidRPr="001402CA" w:rsidRDefault="00B53D46" w:rsidP="00D109D3">
      <w:pPr>
        <w:pStyle w:val="FootnoteText"/>
        <w:rPr>
          <w:sz w:val="16"/>
          <w:szCs w:val="16"/>
        </w:rPr>
      </w:pPr>
      <w:r w:rsidRPr="001402CA">
        <w:rPr>
          <w:rStyle w:val="FootnoteReference"/>
          <w:rFonts w:eastAsiaTheme="majorEastAsia"/>
          <w:sz w:val="16"/>
          <w:szCs w:val="16"/>
        </w:rPr>
        <w:footnoteRef/>
      </w:r>
      <w:r w:rsidRPr="001402CA">
        <w:rPr>
          <w:sz w:val="16"/>
          <w:szCs w:val="16"/>
        </w:rPr>
        <w:t xml:space="preserve"> See: https://www.austrade.gov.au/about-austrade/news/latest-from-austrade/2014/australias-international-business-survey-2014</w:t>
      </w:r>
    </w:p>
  </w:footnote>
  <w:footnote w:id="12">
    <w:p w:rsidR="00B53D46" w:rsidRDefault="00B53D46" w:rsidP="00D109D3">
      <w:pPr>
        <w:pStyle w:val="FootnoteText"/>
      </w:pPr>
      <w:r>
        <w:rPr>
          <w:rStyle w:val="FootnoteReference"/>
        </w:rPr>
        <w:footnoteRef/>
      </w:r>
      <w:r>
        <w:t xml:space="preserve"> </w:t>
      </w:r>
      <w:r w:rsidRPr="00103973">
        <w:rPr>
          <w:sz w:val="16"/>
          <w:szCs w:val="16"/>
        </w:rPr>
        <w:t>There are four modes of supply in services: Mode</w:t>
      </w:r>
      <w:r>
        <w:rPr>
          <w:sz w:val="16"/>
          <w:szCs w:val="16"/>
        </w:rPr>
        <w:t xml:space="preserve"> </w:t>
      </w:r>
      <w:r w:rsidRPr="00103973">
        <w:rPr>
          <w:sz w:val="16"/>
          <w:szCs w:val="16"/>
        </w:rPr>
        <w:t>1-Cross border trade; Mode 2-Consumption abroad; Mode 3-Commerical presence; and, Mode 4-Presence of natural persons.</w:t>
      </w:r>
    </w:p>
  </w:footnote>
  <w:footnote w:id="13">
    <w:p w:rsidR="00B53D46" w:rsidRDefault="00B53D46" w:rsidP="0040174C">
      <w:pPr>
        <w:pStyle w:val="FootnoteText"/>
      </w:pPr>
      <w:r>
        <w:rPr>
          <w:rStyle w:val="FootnoteReference"/>
        </w:rPr>
        <w:footnoteRef/>
      </w:r>
      <w:r>
        <w:t xml:space="preserve"> Excludes confidential services industries: accommodation and food services; professional, scientific and technical services; administrative and support services; arts, entertainment and recreational services; and, other services.</w:t>
      </w:r>
    </w:p>
  </w:footnote>
  <w:footnote w:id="14">
    <w:p w:rsidR="00B53D46" w:rsidRDefault="00B53D46" w:rsidP="00A47AFC">
      <w:pPr>
        <w:pStyle w:val="FootnoteText"/>
      </w:pPr>
      <w:r>
        <w:rPr>
          <w:rStyle w:val="FootnoteReference"/>
        </w:rPr>
        <w:footnoteRef/>
      </w:r>
      <w:r>
        <w:t xml:space="preserve"> </w:t>
      </w:r>
      <w:r w:rsidRPr="001F660E">
        <w:rPr>
          <w:sz w:val="16"/>
          <w:szCs w:val="16"/>
        </w:rPr>
        <w:t>Education services sector includes education-related travel services, royalties on education services and other education services (such as consultancy and correspondence courses).</w:t>
      </w:r>
    </w:p>
  </w:footnote>
  <w:footnote w:id="15">
    <w:p w:rsidR="00B53D46" w:rsidRDefault="00B53D46" w:rsidP="0040174C">
      <w:pPr>
        <w:pStyle w:val="FootnoteText"/>
      </w:pPr>
      <w:r>
        <w:rPr>
          <w:rStyle w:val="FootnoteReference"/>
        </w:rPr>
        <w:footnoteRef/>
      </w:r>
      <w:r>
        <w:t xml:space="preserve"> </w:t>
      </w:r>
      <w:r w:rsidRPr="00F057CE">
        <w:rPr>
          <w:sz w:val="16"/>
          <w:szCs w:val="16"/>
        </w:rPr>
        <w:t>Refers to total trip expenditure; all expenditure made by international visitors when travelling to Australia.  Includes international pre-paid airfares and packages expenditure.</w:t>
      </w:r>
    </w:p>
  </w:footnote>
  <w:footnote w:id="16">
    <w:p w:rsidR="00B53D46" w:rsidRDefault="00B53D46" w:rsidP="00F525A3">
      <w:pPr>
        <w:pStyle w:val="FootnoteText"/>
      </w:pPr>
      <w:r>
        <w:rPr>
          <w:rStyle w:val="FootnoteReference"/>
          <w:rFonts w:eastAsiaTheme="majorEastAsia"/>
        </w:rPr>
        <w:footnoteRef/>
      </w:r>
      <w:r>
        <w:t xml:space="preserve"> </w:t>
      </w:r>
      <w:proofErr w:type="spellStart"/>
      <w:r>
        <w:t>Efic’s</w:t>
      </w:r>
      <w:proofErr w:type="spellEnd"/>
      <w:r>
        <w:t xml:space="preserve"> updated Statement of Expectations is available on its website. </w:t>
      </w:r>
    </w:p>
  </w:footnote>
  <w:footnote w:id="17">
    <w:p w:rsidR="00B53D46" w:rsidRPr="00C67B3C" w:rsidRDefault="00B53D46" w:rsidP="00F525A3">
      <w:pPr>
        <w:pStyle w:val="FootnoteText"/>
      </w:pPr>
      <w:r>
        <w:rPr>
          <w:rStyle w:val="FootnoteReference"/>
          <w:rFonts w:eastAsiaTheme="majorEastAsia"/>
        </w:rPr>
        <w:footnoteRef/>
      </w:r>
      <w:r>
        <w:t xml:space="preserve"> </w:t>
      </w:r>
      <w:r w:rsidRPr="00C67B3C">
        <w:t xml:space="preserve">Australia’s International Business Survey (AIBS) (2015) [Report due for release in 2015].  This will be the second year the survey has been undertaken.  It is a joint initiative between </w:t>
      </w:r>
      <w:proofErr w:type="spellStart"/>
      <w:r w:rsidRPr="00C67B3C">
        <w:t>Efic</w:t>
      </w:r>
      <w:proofErr w:type="spellEnd"/>
      <w:r w:rsidRPr="00C67B3C">
        <w:t>, Australia, the Export Council of Australia and the University of Sydney.</w:t>
      </w:r>
    </w:p>
  </w:footnote>
  <w:footnote w:id="18">
    <w:p w:rsidR="00B53D46" w:rsidRDefault="00B53D46">
      <w:pPr>
        <w:pStyle w:val="FootnoteText"/>
      </w:pPr>
      <w:r>
        <w:rPr>
          <w:rStyle w:val="FootnoteReference"/>
        </w:rPr>
        <w:footnoteRef/>
      </w:r>
      <w:r>
        <w:t xml:space="preserve"> </w:t>
      </w:r>
      <w:r w:rsidRPr="00103973">
        <w:rPr>
          <w:sz w:val="16"/>
          <w:szCs w:val="16"/>
        </w:rPr>
        <w:t>There are four modes of supply in services: Mode1-Cross border trade; Mode 2-Consumption abroad; Mode 3-Commerical presence; and, Mode 4-Presence of natural persons.</w:t>
      </w:r>
    </w:p>
  </w:footnote>
  <w:footnote w:id="19">
    <w:p w:rsidR="00B53D46" w:rsidRPr="0066144F" w:rsidRDefault="00B53D46" w:rsidP="006E2A6F">
      <w:pPr>
        <w:pStyle w:val="FootnoteText"/>
        <w:rPr>
          <w:rFonts w:cs="Arial"/>
          <w:sz w:val="16"/>
          <w:szCs w:val="16"/>
        </w:rPr>
      </w:pPr>
      <w:r w:rsidRPr="00814415">
        <w:rPr>
          <w:rStyle w:val="FootnoteReference"/>
          <w:rFonts w:eastAsiaTheme="majorEastAsia" w:cs="Arial"/>
          <w:sz w:val="16"/>
          <w:szCs w:val="16"/>
        </w:rPr>
        <w:footnoteRef/>
      </w:r>
      <w:r w:rsidRPr="00814415">
        <w:rPr>
          <w:rFonts w:cs="Arial"/>
          <w:sz w:val="16"/>
          <w:szCs w:val="16"/>
        </w:rPr>
        <w:t xml:space="preserve"> </w:t>
      </w:r>
      <w:r w:rsidRPr="001402CA">
        <w:rPr>
          <w:sz w:val="16"/>
          <w:szCs w:val="16"/>
        </w:rPr>
        <w:t xml:space="preserve">Asia link - </w:t>
      </w:r>
      <w:hyperlink r:id="rId1" w:history="1">
        <w:r w:rsidRPr="001402CA">
          <w:rPr>
            <w:rStyle w:val="Hyperlink"/>
            <w:rFonts w:eastAsiaTheme="majorEastAsia"/>
            <w:sz w:val="16"/>
            <w:szCs w:val="16"/>
          </w:rPr>
          <w:t>Australia's Jobs Future: The rise of Asia and the services opportunity</w:t>
        </w:r>
      </w:hyperlink>
    </w:p>
  </w:footnote>
  <w:footnote w:id="20">
    <w:p w:rsidR="00B53D46" w:rsidRPr="008D1F11" w:rsidRDefault="00B53D46" w:rsidP="006E2A6F">
      <w:pPr>
        <w:rPr>
          <w:color w:val="222222"/>
          <w:sz w:val="16"/>
          <w:szCs w:val="16"/>
        </w:rPr>
      </w:pPr>
      <w:r w:rsidRPr="008D1F11">
        <w:rPr>
          <w:rStyle w:val="FootnoteReference"/>
          <w:rFonts w:eastAsiaTheme="majorEastAsia"/>
          <w:sz w:val="16"/>
          <w:szCs w:val="16"/>
        </w:rPr>
        <w:footnoteRef/>
      </w:r>
      <w:r>
        <w:t xml:space="preserve"> </w:t>
      </w:r>
      <w:r w:rsidRPr="00103973">
        <w:rPr>
          <w:sz w:val="16"/>
          <w:szCs w:val="16"/>
        </w:rPr>
        <w:t xml:space="preserve">OECD </w:t>
      </w:r>
      <w:proofErr w:type="spellStart"/>
      <w:r w:rsidRPr="00103973">
        <w:rPr>
          <w:sz w:val="16"/>
          <w:szCs w:val="16"/>
        </w:rPr>
        <w:t>TiVA</w:t>
      </w:r>
      <w:proofErr w:type="spellEnd"/>
      <w:r w:rsidRPr="00103973">
        <w:rPr>
          <w:sz w:val="16"/>
          <w:szCs w:val="16"/>
        </w:rPr>
        <w:t xml:space="preserve"> database (at-</w:t>
      </w:r>
      <w:proofErr w:type="spellStart"/>
      <w:r w:rsidRPr="00103973">
        <w:rPr>
          <w:sz w:val="16"/>
          <w:szCs w:val="16"/>
        </w:rPr>
        <w:t>stats.oeced.org</w:t>
      </w:r>
      <w:proofErr w:type="spellEnd"/>
      <w:r w:rsidRPr="00103973">
        <w:rPr>
          <w:sz w:val="16"/>
          <w:szCs w:val="16"/>
        </w:rPr>
        <w:t>)</w:t>
      </w:r>
    </w:p>
    <w:p w:rsidR="00B53D46" w:rsidRDefault="00B53D46" w:rsidP="006E2A6F">
      <w:pPr>
        <w:pStyle w:val="FootnoteText"/>
      </w:pPr>
    </w:p>
  </w:footnote>
  <w:footnote w:id="21">
    <w:p w:rsidR="00B53D46" w:rsidRDefault="00B53D46">
      <w:pPr>
        <w:pStyle w:val="FootnoteText"/>
      </w:pPr>
      <w:r>
        <w:rPr>
          <w:rStyle w:val="FootnoteReference"/>
        </w:rPr>
        <w:footnoteRef/>
      </w:r>
      <w:r>
        <w:t xml:space="preserve"> </w:t>
      </w:r>
      <w:r w:rsidRPr="00ED762B">
        <w:rPr>
          <w:sz w:val="16"/>
          <w:szCs w:val="16"/>
        </w:rPr>
        <w:t xml:space="preserve">Austrade, </w:t>
      </w:r>
      <w:r w:rsidRPr="00ED762B">
        <w:rPr>
          <w:i/>
          <w:sz w:val="16"/>
          <w:szCs w:val="16"/>
        </w:rPr>
        <w:t xml:space="preserve">Trade and Investment Note: Overseas Investment of Australian Companies, </w:t>
      </w:r>
      <w:r w:rsidRPr="00ED762B">
        <w:rPr>
          <w:sz w:val="16"/>
          <w:szCs w:val="16"/>
        </w:rPr>
        <w:t>April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D46" w:rsidRDefault="00B53D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1495"/>
    <w:multiLevelType w:val="multilevel"/>
    <w:tmpl w:val="9AB82028"/>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
    <w:nsid w:val="032B44B4"/>
    <w:multiLevelType w:val="hybridMultilevel"/>
    <w:tmpl w:val="C2D28D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D80E60"/>
    <w:multiLevelType w:val="multilevel"/>
    <w:tmpl w:val="DC9AB1CA"/>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
    <w:nsid w:val="07A45BB0"/>
    <w:multiLevelType w:val="hybridMultilevel"/>
    <w:tmpl w:val="E968D0E2"/>
    <w:lvl w:ilvl="0" w:tplc="16B6BB56">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8D0486A"/>
    <w:multiLevelType w:val="hybridMultilevel"/>
    <w:tmpl w:val="7AB4DFBC"/>
    <w:lvl w:ilvl="0" w:tplc="0C09000F">
      <w:start w:val="1"/>
      <w:numFmt w:val="decimal"/>
      <w:lvlText w:val="%1."/>
      <w:lvlJc w:val="left"/>
      <w:pPr>
        <w:ind w:left="644"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0C38685A"/>
    <w:multiLevelType w:val="hybridMultilevel"/>
    <w:tmpl w:val="E9B0CCF0"/>
    <w:lvl w:ilvl="0" w:tplc="9C444EF2">
      <w:start w:val="1"/>
      <w:numFmt w:val="lowerLetter"/>
      <w:lvlText w:val="%1."/>
      <w:lvlJc w:val="left"/>
      <w:pPr>
        <w:ind w:left="720" w:hanging="360"/>
      </w:pPr>
      <w:rPr>
        <w:rFonts w:hint="default"/>
        <w:color w:val="1F497D" w:themeColor="text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D327649"/>
    <w:multiLevelType w:val="hybridMultilevel"/>
    <w:tmpl w:val="9B6A99F8"/>
    <w:lvl w:ilvl="0" w:tplc="40C6706C">
      <w:start w:val="1"/>
      <w:numFmt w:val="decimal"/>
      <w:lvlText w:val="%1."/>
      <w:lvlJc w:val="left"/>
      <w:pPr>
        <w:ind w:left="644" w:hanging="360"/>
      </w:pPr>
      <w:rPr>
        <w:rFonts w:hint="default"/>
        <w:color w:val="auto"/>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13A0231E"/>
    <w:multiLevelType w:val="hybridMultilevel"/>
    <w:tmpl w:val="06F2B924"/>
    <w:lvl w:ilvl="0" w:tplc="0C09000F">
      <w:start w:val="1"/>
      <w:numFmt w:val="decimal"/>
      <w:lvlText w:val="%1."/>
      <w:lvlJc w:val="left"/>
      <w:pPr>
        <w:ind w:left="644"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14792372"/>
    <w:multiLevelType w:val="multilevel"/>
    <w:tmpl w:val="630EAAE2"/>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9">
    <w:nsid w:val="164475E7"/>
    <w:multiLevelType w:val="hybridMultilevel"/>
    <w:tmpl w:val="0504D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6DD4EE2"/>
    <w:multiLevelType w:val="hybridMultilevel"/>
    <w:tmpl w:val="800CD2B2"/>
    <w:lvl w:ilvl="0" w:tplc="4992EBAC">
      <w:start w:val="1"/>
      <w:numFmt w:val="decimal"/>
      <w:lvlText w:val="%1."/>
      <w:lvlJc w:val="left"/>
      <w:pPr>
        <w:ind w:left="644"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18047690"/>
    <w:multiLevelType w:val="hybridMultilevel"/>
    <w:tmpl w:val="7CC4E866"/>
    <w:lvl w:ilvl="0" w:tplc="75083A1A">
      <w:start w:val="72"/>
      <w:numFmt w:val="decimal"/>
      <w:lvlText w:val="%1."/>
      <w:lvlJc w:val="left"/>
      <w:pPr>
        <w:ind w:left="644" w:hanging="360"/>
      </w:pPr>
      <w:rPr>
        <w:rFonts w:hint="default"/>
      </w:rPr>
    </w:lvl>
    <w:lvl w:ilvl="1" w:tplc="0C090019">
      <w:start w:val="1"/>
      <w:numFmt w:val="lowerLetter"/>
      <w:lvlText w:val="%2."/>
      <w:lvlJc w:val="left"/>
      <w:pPr>
        <w:ind w:left="1069"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1FE4AB8"/>
    <w:multiLevelType w:val="hybridMultilevel"/>
    <w:tmpl w:val="422E62BC"/>
    <w:lvl w:ilvl="0" w:tplc="16B6BB56">
      <w:start w:val="1"/>
      <w:numFmt w:val="lowerRoman"/>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22F66594"/>
    <w:multiLevelType w:val="hybridMultilevel"/>
    <w:tmpl w:val="565ED7B4"/>
    <w:lvl w:ilvl="0" w:tplc="16B6BB56">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233B3927"/>
    <w:multiLevelType w:val="hybridMultilevel"/>
    <w:tmpl w:val="6EAC4E56"/>
    <w:lvl w:ilvl="0" w:tplc="BE9C0F22">
      <w:start w:val="7"/>
      <w:numFmt w:val="lowerRoman"/>
      <w:lvlText w:val="%1."/>
      <w:lvlJc w:val="left"/>
      <w:pPr>
        <w:ind w:left="360" w:hanging="360"/>
      </w:pPr>
      <w:rPr>
        <w:rFonts w:hint="default"/>
        <w:b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5B42F31"/>
    <w:multiLevelType w:val="multilevel"/>
    <w:tmpl w:val="D2F83324"/>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6">
    <w:nsid w:val="26DF639B"/>
    <w:multiLevelType w:val="multilevel"/>
    <w:tmpl w:val="5BC29DE8"/>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7">
    <w:nsid w:val="2C9B7A16"/>
    <w:multiLevelType w:val="hybridMultilevel"/>
    <w:tmpl w:val="B936D8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1DC0A5B"/>
    <w:multiLevelType w:val="hybridMultilevel"/>
    <w:tmpl w:val="E968D0E2"/>
    <w:lvl w:ilvl="0" w:tplc="16B6BB56">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4845E7F"/>
    <w:multiLevelType w:val="hybridMultilevel"/>
    <w:tmpl w:val="0A689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7B26576"/>
    <w:multiLevelType w:val="hybridMultilevel"/>
    <w:tmpl w:val="D84ED042"/>
    <w:lvl w:ilvl="0" w:tplc="4992EBAC">
      <w:start w:val="1"/>
      <w:numFmt w:val="decimal"/>
      <w:lvlText w:val="%1."/>
      <w:lvlJc w:val="left"/>
      <w:pPr>
        <w:ind w:left="644"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3D5B033E"/>
    <w:multiLevelType w:val="hybridMultilevel"/>
    <w:tmpl w:val="A3AA2B0A"/>
    <w:lvl w:ilvl="0" w:tplc="923A4E7E">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nsid w:val="403030F2"/>
    <w:multiLevelType w:val="hybridMultilevel"/>
    <w:tmpl w:val="DB8C3400"/>
    <w:lvl w:ilvl="0" w:tplc="0C090019">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nsid w:val="44967DB1"/>
    <w:multiLevelType w:val="multilevel"/>
    <w:tmpl w:val="FEAE03B4"/>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4">
    <w:nsid w:val="47E96F43"/>
    <w:multiLevelType w:val="hybridMultilevel"/>
    <w:tmpl w:val="3E8AC64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8EC4875"/>
    <w:multiLevelType w:val="multilevel"/>
    <w:tmpl w:val="E542A634"/>
    <w:lvl w:ilvl="0">
      <w:start w:val="1"/>
      <w:numFmt w:val="lowerLetter"/>
      <w:lvlText w:val="%1."/>
      <w:lvlJc w:val="left"/>
      <w:pPr>
        <w:tabs>
          <w:tab w:val="num" w:pos="1134"/>
        </w:tabs>
        <w:ind w:left="1134" w:hanging="567"/>
      </w:pPr>
      <w:rPr>
        <w:rFonts w:hint="default"/>
        <w:sz w:val="24"/>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Symbol" w:hAnsi="Symbol"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3084"/>
        </w:tabs>
        <w:ind w:left="3084" w:hanging="357"/>
      </w:pPr>
      <w:rPr>
        <w:rFonts w:ascii="Symbol" w:hAnsi="Symbol" w:hint="default"/>
      </w:rPr>
    </w:lvl>
    <w:lvl w:ilvl="7">
      <w:start w:val="1"/>
      <w:numFmt w:val="bullet"/>
      <w:lvlText w:val=""/>
      <w:lvlJc w:val="left"/>
      <w:pPr>
        <w:tabs>
          <w:tab w:val="num" w:pos="3447"/>
        </w:tabs>
        <w:ind w:left="3447" w:hanging="363"/>
      </w:pPr>
      <w:rPr>
        <w:rFonts w:ascii="Symbol" w:hAnsi="Symbol" w:hint="default"/>
      </w:rPr>
    </w:lvl>
    <w:lvl w:ilvl="8">
      <w:start w:val="1"/>
      <w:numFmt w:val="bullet"/>
      <w:lvlText w:val=""/>
      <w:lvlJc w:val="left"/>
      <w:pPr>
        <w:tabs>
          <w:tab w:val="num" w:pos="3804"/>
        </w:tabs>
        <w:ind w:left="3804" w:hanging="357"/>
      </w:pPr>
      <w:rPr>
        <w:rFonts w:ascii="Symbol" w:hAnsi="Symbol" w:hint="default"/>
      </w:rPr>
    </w:lvl>
  </w:abstractNum>
  <w:abstractNum w:abstractNumId="26">
    <w:nsid w:val="4BE608A2"/>
    <w:multiLevelType w:val="multilevel"/>
    <w:tmpl w:val="BEE83D8A"/>
    <w:lvl w:ilvl="0">
      <w:start w:val="15"/>
      <w:numFmt w:val="decimal"/>
      <w:lvlText w:val="%1"/>
      <w:lvlJc w:val="left"/>
      <w:pPr>
        <w:ind w:left="420" w:hanging="420"/>
      </w:pPr>
      <w:rPr>
        <w:rFonts w:hint="default"/>
      </w:rPr>
    </w:lvl>
    <w:lvl w:ilvl="1">
      <w:start w:val="3"/>
      <w:numFmt w:val="decimal"/>
      <w:lvlText w:val="%1.%2"/>
      <w:lvlJc w:val="left"/>
      <w:pPr>
        <w:ind w:left="1489" w:hanging="4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7">
    <w:nsid w:val="4E3F79F8"/>
    <w:multiLevelType w:val="multilevel"/>
    <w:tmpl w:val="C01209EA"/>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8">
    <w:nsid w:val="4FCC0770"/>
    <w:multiLevelType w:val="hybridMultilevel"/>
    <w:tmpl w:val="F43C5D8C"/>
    <w:lvl w:ilvl="0" w:tplc="4992EBAC">
      <w:start w:val="1"/>
      <w:numFmt w:val="decimal"/>
      <w:lvlText w:val="%1."/>
      <w:lvlJc w:val="left"/>
      <w:pPr>
        <w:ind w:left="644"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517A6CBB"/>
    <w:multiLevelType w:val="hybridMultilevel"/>
    <w:tmpl w:val="864A69D8"/>
    <w:lvl w:ilvl="0" w:tplc="0C09000F">
      <w:start w:val="1"/>
      <w:numFmt w:val="decimal"/>
      <w:lvlText w:val="%1."/>
      <w:lvlJc w:val="left"/>
      <w:pPr>
        <w:ind w:left="644"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539E1179"/>
    <w:multiLevelType w:val="hybridMultilevel"/>
    <w:tmpl w:val="F52AFB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6456F4E"/>
    <w:multiLevelType w:val="hybridMultilevel"/>
    <w:tmpl w:val="E912D8E2"/>
    <w:lvl w:ilvl="0" w:tplc="1A70B80A">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nsid w:val="57786FF9"/>
    <w:multiLevelType w:val="multilevel"/>
    <w:tmpl w:val="5BC29DE8"/>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3">
    <w:nsid w:val="58625D73"/>
    <w:multiLevelType w:val="hybridMultilevel"/>
    <w:tmpl w:val="E7621CB6"/>
    <w:lvl w:ilvl="0" w:tplc="16B6BB56">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nsid w:val="5A4F5816"/>
    <w:multiLevelType w:val="hybridMultilevel"/>
    <w:tmpl w:val="767C03B4"/>
    <w:lvl w:ilvl="0" w:tplc="0C09000F">
      <w:start w:val="1"/>
      <w:numFmt w:val="decimal"/>
      <w:lvlText w:val="%1."/>
      <w:lvlJc w:val="left"/>
      <w:pPr>
        <w:ind w:left="644"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nsid w:val="648D4CAC"/>
    <w:multiLevelType w:val="multilevel"/>
    <w:tmpl w:val="EF7E3AC4"/>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6">
    <w:nsid w:val="66A22532"/>
    <w:multiLevelType w:val="multilevel"/>
    <w:tmpl w:val="38AC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152A9F"/>
    <w:multiLevelType w:val="multilevel"/>
    <w:tmpl w:val="120CCEF2"/>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8">
    <w:nsid w:val="68443D7B"/>
    <w:multiLevelType w:val="hybridMultilevel"/>
    <w:tmpl w:val="D5329C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nsid w:val="68B363DC"/>
    <w:multiLevelType w:val="hybridMultilevel"/>
    <w:tmpl w:val="364A1CE0"/>
    <w:lvl w:ilvl="0" w:tplc="16B6BB56">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EFCE52E0">
      <w:numFmt w:val="bullet"/>
      <w:lvlText w:val="-"/>
      <w:lvlJc w:val="left"/>
      <w:pPr>
        <w:ind w:left="2880" w:hanging="360"/>
      </w:pPr>
      <w:rPr>
        <w:rFonts w:ascii="Times New Roman" w:eastAsia="Times New Roman" w:hAnsi="Times New Roman" w:cs="Times New Roman" w:hint="default"/>
      </w:rPr>
    </w:lvl>
    <w:lvl w:ilvl="4" w:tplc="2AB0FCFE">
      <w:start w:val="1"/>
      <w:numFmt w:val="decimal"/>
      <w:lvlText w:val="(%5)"/>
      <w:lvlJc w:val="left"/>
      <w:pPr>
        <w:ind w:left="3600" w:hanging="360"/>
      </w:pPr>
      <w:rPr>
        <w:rFonts w:hint="default"/>
      </w:rPr>
    </w:lvl>
    <w:lvl w:ilvl="5" w:tplc="18FE3CBA">
      <w:start w:val="1"/>
      <w:numFmt w:val="lowerRoman"/>
      <w:lvlText w:val="(%6)"/>
      <w:lvlJc w:val="left"/>
      <w:pPr>
        <w:ind w:left="4860" w:hanging="720"/>
      </w:pPr>
      <w:rPr>
        <w:rFonts w:hint="default"/>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6DBA4CE1"/>
    <w:multiLevelType w:val="hybridMultilevel"/>
    <w:tmpl w:val="F3DA8FF0"/>
    <w:lvl w:ilvl="0" w:tplc="6B5ADF74">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1">
    <w:nsid w:val="72C01014"/>
    <w:multiLevelType w:val="hybridMultilevel"/>
    <w:tmpl w:val="F0080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nsid w:val="76920669"/>
    <w:multiLevelType w:val="multilevel"/>
    <w:tmpl w:val="D5B40396"/>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43">
    <w:nsid w:val="79FB7750"/>
    <w:multiLevelType w:val="hybridMultilevel"/>
    <w:tmpl w:val="F6828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ABB24F5"/>
    <w:multiLevelType w:val="multilevel"/>
    <w:tmpl w:val="9AB82028"/>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45">
    <w:nsid w:val="7E61152D"/>
    <w:multiLevelType w:val="multilevel"/>
    <w:tmpl w:val="9F9E00D4"/>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num w:numId="1">
    <w:abstractNumId w:val="27"/>
  </w:num>
  <w:num w:numId="2">
    <w:abstractNumId w:val="17"/>
  </w:num>
  <w:num w:numId="3">
    <w:abstractNumId w:val="3"/>
  </w:num>
  <w:num w:numId="4">
    <w:abstractNumId w:val="18"/>
  </w:num>
  <w:num w:numId="5">
    <w:abstractNumId w:val="39"/>
  </w:num>
  <w:num w:numId="6">
    <w:abstractNumId w:val="12"/>
  </w:num>
  <w:num w:numId="7">
    <w:abstractNumId w:val="1"/>
  </w:num>
  <w:num w:numId="8">
    <w:abstractNumId w:val="19"/>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
  </w:num>
  <w:num w:numId="13">
    <w:abstractNumId w:val="16"/>
  </w:num>
  <w:num w:numId="14">
    <w:abstractNumId w:val="32"/>
  </w:num>
  <w:num w:numId="15">
    <w:abstractNumId w:val="23"/>
  </w:num>
  <w:num w:numId="16">
    <w:abstractNumId w:val="42"/>
  </w:num>
  <w:num w:numId="17">
    <w:abstractNumId w:val="0"/>
  </w:num>
  <w:num w:numId="18">
    <w:abstractNumId w:val="44"/>
  </w:num>
  <w:num w:numId="19">
    <w:abstractNumId w:val="35"/>
  </w:num>
  <w:num w:numId="20">
    <w:abstractNumId w:val="43"/>
  </w:num>
  <w:num w:numId="21">
    <w:abstractNumId w:val="38"/>
  </w:num>
  <w:num w:numId="22">
    <w:abstractNumId w:val="22"/>
  </w:num>
  <w:num w:numId="23">
    <w:abstractNumId w:val="9"/>
  </w:num>
  <w:num w:numId="24">
    <w:abstractNumId w:val="6"/>
  </w:num>
  <w:num w:numId="25">
    <w:abstractNumId w:val="45"/>
  </w:num>
  <w:num w:numId="26">
    <w:abstractNumId w:val="25"/>
  </w:num>
  <w:num w:numId="27">
    <w:abstractNumId w:val="33"/>
  </w:num>
  <w:num w:numId="28">
    <w:abstractNumId w:val="13"/>
  </w:num>
  <w:num w:numId="29">
    <w:abstractNumId w:val="14"/>
  </w:num>
  <w:num w:numId="30">
    <w:abstractNumId w:val="41"/>
  </w:num>
  <w:num w:numId="31">
    <w:abstractNumId w:val="15"/>
  </w:num>
  <w:num w:numId="32">
    <w:abstractNumId w:val="32"/>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11"/>
  </w:num>
  <w:num w:numId="36">
    <w:abstractNumId w:val="34"/>
  </w:num>
  <w:num w:numId="37">
    <w:abstractNumId w:val="7"/>
  </w:num>
  <w:num w:numId="38">
    <w:abstractNumId w:val="29"/>
  </w:num>
  <w:num w:numId="39">
    <w:abstractNumId w:val="36"/>
  </w:num>
  <w:num w:numId="40">
    <w:abstractNumId w:val="4"/>
  </w:num>
  <w:num w:numId="41">
    <w:abstractNumId w:val="28"/>
  </w:num>
  <w:num w:numId="42">
    <w:abstractNumId w:val="20"/>
  </w:num>
  <w:num w:numId="43">
    <w:abstractNumId w:val="40"/>
  </w:num>
  <w:num w:numId="44">
    <w:abstractNumId w:val="26"/>
  </w:num>
  <w:num w:numId="45">
    <w:abstractNumId w:val="30"/>
  </w:num>
  <w:num w:numId="46">
    <w:abstractNumId w:val="24"/>
  </w:num>
  <w:num w:numId="47">
    <w:abstractNumId w:val="5"/>
  </w:num>
  <w:num w:numId="4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0A3"/>
    <w:rsid w:val="00005EC1"/>
    <w:rsid w:val="00012517"/>
    <w:rsid w:val="00021E72"/>
    <w:rsid w:val="000279B6"/>
    <w:rsid w:val="00033F39"/>
    <w:rsid w:val="000340A3"/>
    <w:rsid w:val="0003455F"/>
    <w:rsid w:val="00035266"/>
    <w:rsid w:val="00041A22"/>
    <w:rsid w:val="00043BFD"/>
    <w:rsid w:val="00045AEF"/>
    <w:rsid w:val="00046D64"/>
    <w:rsid w:val="00047F63"/>
    <w:rsid w:val="00050A66"/>
    <w:rsid w:val="00050E24"/>
    <w:rsid w:val="0005497F"/>
    <w:rsid w:val="00054F30"/>
    <w:rsid w:val="00055B9F"/>
    <w:rsid w:val="00065BCA"/>
    <w:rsid w:val="0006767D"/>
    <w:rsid w:val="000678C3"/>
    <w:rsid w:val="00070C21"/>
    <w:rsid w:val="00075CB4"/>
    <w:rsid w:val="00084DFD"/>
    <w:rsid w:val="000927E4"/>
    <w:rsid w:val="000952DD"/>
    <w:rsid w:val="000A0D01"/>
    <w:rsid w:val="000A42CC"/>
    <w:rsid w:val="000A48CD"/>
    <w:rsid w:val="000A7D22"/>
    <w:rsid w:val="000A7D99"/>
    <w:rsid w:val="000C0214"/>
    <w:rsid w:val="000C08CD"/>
    <w:rsid w:val="000C0B73"/>
    <w:rsid w:val="000C0F33"/>
    <w:rsid w:val="000C10E8"/>
    <w:rsid w:val="000C3BC3"/>
    <w:rsid w:val="000C6585"/>
    <w:rsid w:val="000D053C"/>
    <w:rsid w:val="000D18D7"/>
    <w:rsid w:val="000D433C"/>
    <w:rsid w:val="000E0D23"/>
    <w:rsid w:val="000E47B0"/>
    <w:rsid w:val="000E7564"/>
    <w:rsid w:val="000E7751"/>
    <w:rsid w:val="000E7AD0"/>
    <w:rsid w:val="000F2C57"/>
    <w:rsid w:val="000F6C3E"/>
    <w:rsid w:val="00100B81"/>
    <w:rsid w:val="00103973"/>
    <w:rsid w:val="00104663"/>
    <w:rsid w:val="00106018"/>
    <w:rsid w:val="00106EAC"/>
    <w:rsid w:val="00111B6A"/>
    <w:rsid w:val="0011460C"/>
    <w:rsid w:val="001150CE"/>
    <w:rsid w:val="001251BF"/>
    <w:rsid w:val="00126E16"/>
    <w:rsid w:val="00132046"/>
    <w:rsid w:val="00133AC0"/>
    <w:rsid w:val="0013488C"/>
    <w:rsid w:val="0013502C"/>
    <w:rsid w:val="00136F93"/>
    <w:rsid w:val="0014029B"/>
    <w:rsid w:val="00143A3D"/>
    <w:rsid w:val="001466B6"/>
    <w:rsid w:val="00153B24"/>
    <w:rsid w:val="00157CCC"/>
    <w:rsid w:val="00164709"/>
    <w:rsid w:val="00164B18"/>
    <w:rsid w:val="00171D0B"/>
    <w:rsid w:val="001736E3"/>
    <w:rsid w:val="00177E6F"/>
    <w:rsid w:val="001800AD"/>
    <w:rsid w:val="00182CC9"/>
    <w:rsid w:val="00183D89"/>
    <w:rsid w:val="00194C04"/>
    <w:rsid w:val="00195379"/>
    <w:rsid w:val="0019586B"/>
    <w:rsid w:val="00196B55"/>
    <w:rsid w:val="0019731D"/>
    <w:rsid w:val="001A1098"/>
    <w:rsid w:val="001A2CA5"/>
    <w:rsid w:val="001B266F"/>
    <w:rsid w:val="001B4376"/>
    <w:rsid w:val="001C1B2F"/>
    <w:rsid w:val="001C3A56"/>
    <w:rsid w:val="001C4F4E"/>
    <w:rsid w:val="001D05A2"/>
    <w:rsid w:val="001D7291"/>
    <w:rsid w:val="001D7368"/>
    <w:rsid w:val="001D7538"/>
    <w:rsid w:val="001D7DA0"/>
    <w:rsid w:val="001E15BA"/>
    <w:rsid w:val="001E636A"/>
    <w:rsid w:val="001E6679"/>
    <w:rsid w:val="001F26A3"/>
    <w:rsid w:val="001F3A9F"/>
    <w:rsid w:val="001F3B5D"/>
    <w:rsid w:val="001F3DCD"/>
    <w:rsid w:val="001F4043"/>
    <w:rsid w:val="001F4418"/>
    <w:rsid w:val="001F458E"/>
    <w:rsid w:val="001F660E"/>
    <w:rsid w:val="00200EC7"/>
    <w:rsid w:val="00201517"/>
    <w:rsid w:val="00203D1E"/>
    <w:rsid w:val="00211658"/>
    <w:rsid w:val="00212189"/>
    <w:rsid w:val="002167FB"/>
    <w:rsid w:val="00221EA4"/>
    <w:rsid w:val="002235D8"/>
    <w:rsid w:val="00225857"/>
    <w:rsid w:val="00234739"/>
    <w:rsid w:val="002401DA"/>
    <w:rsid w:val="00243842"/>
    <w:rsid w:val="00243861"/>
    <w:rsid w:val="002463CC"/>
    <w:rsid w:val="0025403C"/>
    <w:rsid w:val="002541D1"/>
    <w:rsid w:val="00255CD2"/>
    <w:rsid w:val="002608FA"/>
    <w:rsid w:val="00260E4F"/>
    <w:rsid w:val="00260FCF"/>
    <w:rsid w:val="00263C7D"/>
    <w:rsid w:val="00263D60"/>
    <w:rsid w:val="00263EA3"/>
    <w:rsid w:val="00265190"/>
    <w:rsid w:val="002665E4"/>
    <w:rsid w:val="0026723A"/>
    <w:rsid w:val="00270317"/>
    <w:rsid w:val="002734DE"/>
    <w:rsid w:val="0027384A"/>
    <w:rsid w:val="00280013"/>
    <w:rsid w:val="00283B5C"/>
    <w:rsid w:val="00285341"/>
    <w:rsid w:val="002862FF"/>
    <w:rsid w:val="00286D0E"/>
    <w:rsid w:val="0029515C"/>
    <w:rsid w:val="002A71C8"/>
    <w:rsid w:val="002A73D7"/>
    <w:rsid w:val="002B1312"/>
    <w:rsid w:val="002B4213"/>
    <w:rsid w:val="002B5670"/>
    <w:rsid w:val="002C09D6"/>
    <w:rsid w:val="002C3FE6"/>
    <w:rsid w:val="002C766B"/>
    <w:rsid w:val="002C77DB"/>
    <w:rsid w:val="002C7A8D"/>
    <w:rsid w:val="002D0CA1"/>
    <w:rsid w:val="002D505B"/>
    <w:rsid w:val="002D52ED"/>
    <w:rsid w:val="002E1524"/>
    <w:rsid w:val="002E2202"/>
    <w:rsid w:val="002F01CD"/>
    <w:rsid w:val="002F33CF"/>
    <w:rsid w:val="002F500D"/>
    <w:rsid w:val="00300F4F"/>
    <w:rsid w:val="00307BEF"/>
    <w:rsid w:val="00310C74"/>
    <w:rsid w:val="003117D3"/>
    <w:rsid w:val="00316E03"/>
    <w:rsid w:val="003227E9"/>
    <w:rsid w:val="003230F0"/>
    <w:rsid w:val="0032427C"/>
    <w:rsid w:val="00326E58"/>
    <w:rsid w:val="003311F3"/>
    <w:rsid w:val="00333C8F"/>
    <w:rsid w:val="00336061"/>
    <w:rsid w:val="00336CB5"/>
    <w:rsid w:val="00340DBD"/>
    <w:rsid w:val="003422AC"/>
    <w:rsid w:val="00342A35"/>
    <w:rsid w:val="00344A74"/>
    <w:rsid w:val="0034552B"/>
    <w:rsid w:val="00345847"/>
    <w:rsid w:val="00351F07"/>
    <w:rsid w:val="003536B7"/>
    <w:rsid w:val="0035501A"/>
    <w:rsid w:val="0036119E"/>
    <w:rsid w:val="003620E4"/>
    <w:rsid w:val="00365B47"/>
    <w:rsid w:val="003676CC"/>
    <w:rsid w:val="00367DA8"/>
    <w:rsid w:val="00370EB2"/>
    <w:rsid w:val="003732EB"/>
    <w:rsid w:val="00382887"/>
    <w:rsid w:val="00384DD6"/>
    <w:rsid w:val="00385D74"/>
    <w:rsid w:val="003938B4"/>
    <w:rsid w:val="003A66AA"/>
    <w:rsid w:val="003B0B27"/>
    <w:rsid w:val="003B2F6E"/>
    <w:rsid w:val="003C38AC"/>
    <w:rsid w:val="003C3972"/>
    <w:rsid w:val="003C49A0"/>
    <w:rsid w:val="003C62AA"/>
    <w:rsid w:val="003D3398"/>
    <w:rsid w:val="003E4EF4"/>
    <w:rsid w:val="003E6D80"/>
    <w:rsid w:val="003E7558"/>
    <w:rsid w:val="003E78B9"/>
    <w:rsid w:val="003E7C82"/>
    <w:rsid w:val="003F6042"/>
    <w:rsid w:val="0040174C"/>
    <w:rsid w:val="00403023"/>
    <w:rsid w:val="004039C3"/>
    <w:rsid w:val="004105B5"/>
    <w:rsid w:val="00417360"/>
    <w:rsid w:val="00421349"/>
    <w:rsid w:val="004213DA"/>
    <w:rsid w:val="00421CFB"/>
    <w:rsid w:val="004259D1"/>
    <w:rsid w:val="00432809"/>
    <w:rsid w:val="004347CC"/>
    <w:rsid w:val="00440736"/>
    <w:rsid w:val="00443F25"/>
    <w:rsid w:val="00447271"/>
    <w:rsid w:val="004502E2"/>
    <w:rsid w:val="00450E82"/>
    <w:rsid w:val="0045140B"/>
    <w:rsid w:val="00453495"/>
    <w:rsid w:val="00454E84"/>
    <w:rsid w:val="00457A8B"/>
    <w:rsid w:val="00461C50"/>
    <w:rsid w:val="00462744"/>
    <w:rsid w:val="00464130"/>
    <w:rsid w:val="00465160"/>
    <w:rsid w:val="00467BFE"/>
    <w:rsid w:val="00473102"/>
    <w:rsid w:val="0047767E"/>
    <w:rsid w:val="00480A1E"/>
    <w:rsid w:val="00481A80"/>
    <w:rsid w:val="004833FA"/>
    <w:rsid w:val="004839C6"/>
    <w:rsid w:val="00483B6F"/>
    <w:rsid w:val="00485050"/>
    <w:rsid w:val="00492ACA"/>
    <w:rsid w:val="004A0B2E"/>
    <w:rsid w:val="004A1A40"/>
    <w:rsid w:val="004A276A"/>
    <w:rsid w:val="004A34AE"/>
    <w:rsid w:val="004A52FA"/>
    <w:rsid w:val="004A65CC"/>
    <w:rsid w:val="004A7EE4"/>
    <w:rsid w:val="004B0C84"/>
    <w:rsid w:val="004B6D22"/>
    <w:rsid w:val="004B7260"/>
    <w:rsid w:val="004C1D99"/>
    <w:rsid w:val="004C2BA4"/>
    <w:rsid w:val="004D253A"/>
    <w:rsid w:val="004D2D98"/>
    <w:rsid w:val="004D5C3A"/>
    <w:rsid w:val="004D651E"/>
    <w:rsid w:val="004E11FB"/>
    <w:rsid w:val="004E2AEE"/>
    <w:rsid w:val="004E7304"/>
    <w:rsid w:val="004F121D"/>
    <w:rsid w:val="004F28C7"/>
    <w:rsid w:val="004F28DE"/>
    <w:rsid w:val="004F500C"/>
    <w:rsid w:val="004F775B"/>
    <w:rsid w:val="00502C28"/>
    <w:rsid w:val="005031DB"/>
    <w:rsid w:val="00503994"/>
    <w:rsid w:val="0050634E"/>
    <w:rsid w:val="00506524"/>
    <w:rsid w:val="00513007"/>
    <w:rsid w:val="005211F7"/>
    <w:rsid w:val="005242F7"/>
    <w:rsid w:val="0053634D"/>
    <w:rsid w:val="00536998"/>
    <w:rsid w:val="005431D1"/>
    <w:rsid w:val="005463F5"/>
    <w:rsid w:val="005505FE"/>
    <w:rsid w:val="005515A7"/>
    <w:rsid w:val="00551DFF"/>
    <w:rsid w:val="00552F4F"/>
    <w:rsid w:val="00555E46"/>
    <w:rsid w:val="005571D7"/>
    <w:rsid w:val="005605F3"/>
    <w:rsid w:val="00561076"/>
    <w:rsid w:val="00566ABD"/>
    <w:rsid w:val="00567981"/>
    <w:rsid w:val="005709A4"/>
    <w:rsid w:val="0058165C"/>
    <w:rsid w:val="00584ADE"/>
    <w:rsid w:val="00595315"/>
    <w:rsid w:val="005957B2"/>
    <w:rsid w:val="005A10B2"/>
    <w:rsid w:val="005A3214"/>
    <w:rsid w:val="005A4457"/>
    <w:rsid w:val="005A5C84"/>
    <w:rsid w:val="005A7718"/>
    <w:rsid w:val="005B6605"/>
    <w:rsid w:val="005B6FD4"/>
    <w:rsid w:val="005C1573"/>
    <w:rsid w:val="005C2A1A"/>
    <w:rsid w:val="005C3D38"/>
    <w:rsid w:val="005C4B6C"/>
    <w:rsid w:val="005C54FC"/>
    <w:rsid w:val="005D21D1"/>
    <w:rsid w:val="005D25DC"/>
    <w:rsid w:val="005D7BD7"/>
    <w:rsid w:val="005E2026"/>
    <w:rsid w:val="005E23CC"/>
    <w:rsid w:val="005F1565"/>
    <w:rsid w:val="005F1F21"/>
    <w:rsid w:val="005F3489"/>
    <w:rsid w:val="005F3BF1"/>
    <w:rsid w:val="005F41E8"/>
    <w:rsid w:val="006000C5"/>
    <w:rsid w:val="00602918"/>
    <w:rsid w:val="00604C20"/>
    <w:rsid w:val="006060A8"/>
    <w:rsid w:val="006062A7"/>
    <w:rsid w:val="00606419"/>
    <w:rsid w:val="006074CD"/>
    <w:rsid w:val="00610C43"/>
    <w:rsid w:val="00614E2E"/>
    <w:rsid w:val="00615DF2"/>
    <w:rsid w:val="0061602A"/>
    <w:rsid w:val="006172A1"/>
    <w:rsid w:val="006226D6"/>
    <w:rsid w:val="00625FBC"/>
    <w:rsid w:val="00634B69"/>
    <w:rsid w:val="00641F92"/>
    <w:rsid w:val="0064236F"/>
    <w:rsid w:val="00643EF5"/>
    <w:rsid w:val="00645D10"/>
    <w:rsid w:val="00646326"/>
    <w:rsid w:val="006474D2"/>
    <w:rsid w:val="00647666"/>
    <w:rsid w:val="00650815"/>
    <w:rsid w:val="00653C49"/>
    <w:rsid w:val="0066010F"/>
    <w:rsid w:val="00660120"/>
    <w:rsid w:val="00673E4E"/>
    <w:rsid w:val="00673ED0"/>
    <w:rsid w:val="006767A1"/>
    <w:rsid w:val="00680BB0"/>
    <w:rsid w:val="00681706"/>
    <w:rsid w:val="00690090"/>
    <w:rsid w:val="00691184"/>
    <w:rsid w:val="006927F8"/>
    <w:rsid w:val="00694E56"/>
    <w:rsid w:val="00695F70"/>
    <w:rsid w:val="006A17B3"/>
    <w:rsid w:val="006A25B1"/>
    <w:rsid w:val="006A4822"/>
    <w:rsid w:val="006B101F"/>
    <w:rsid w:val="006B1D37"/>
    <w:rsid w:val="006B797F"/>
    <w:rsid w:val="006C1FE7"/>
    <w:rsid w:val="006C7DAD"/>
    <w:rsid w:val="006D250D"/>
    <w:rsid w:val="006D5A14"/>
    <w:rsid w:val="006D660F"/>
    <w:rsid w:val="006E2A6F"/>
    <w:rsid w:val="006E4C3B"/>
    <w:rsid w:val="006E57DF"/>
    <w:rsid w:val="006F0556"/>
    <w:rsid w:val="006F12C2"/>
    <w:rsid w:val="006F222A"/>
    <w:rsid w:val="006F37B7"/>
    <w:rsid w:val="006F69DC"/>
    <w:rsid w:val="006F7871"/>
    <w:rsid w:val="007005F6"/>
    <w:rsid w:val="00702577"/>
    <w:rsid w:val="00702C5E"/>
    <w:rsid w:val="007043B6"/>
    <w:rsid w:val="0070703B"/>
    <w:rsid w:val="0070780B"/>
    <w:rsid w:val="007103A5"/>
    <w:rsid w:val="007148F2"/>
    <w:rsid w:val="00716E4D"/>
    <w:rsid w:val="0072022E"/>
    <w:rsid w:val="00723008"/>
    <w:rsid w:val="00724868"/>
    <w:rsid w:val="00732833"/>
    <w:rsid w:val="00734612"/>
    <w:rsid w:val="00737CE9"/>
    <w:rsid w:val="007420DD"/>
    <w:rsid w:val="0074232C"/>
    <w:rsid w:val="0074282B"/>
    <w:rsid w:val="0074546B"/>
    <w:rsid w:val="007455B1"/>
    <w:rsid w:val="00750BD7"/>
    <w:rsid w:val="007546C4"/>
    <w:rsid w:val="00756CB2"/>
    <w:rsid w:val="00757F40"/>
    <w:rsid w:val="00760DC6"/>
    <w:rsid w:val="00765C3D"/>
    <w:rsid w:val="00765F31"/>
    <w:rsid w:val="007666C7"/>
    <w:rsid w:val="00775BCE"/>
    <w:rsid w:val="007815ED"/>
    <w:rsid w:val="007818A1"/>
    <w:rsid w:val="007849DF"/>
    <w:rsid w:val="007854E6"/>
    <w:rsid w:val="007860BE"/>
    <w:rsid w:val="00790614"/>
    <w:rsid w:val="00790F30"/>
    <w:rsid w:val="00792317"/>
    <w:rsid w:val="0079241E"/>
    <w:rsid w:val="0079634A"/>
    <w:rsid w:val="007966A8"/>
    <w:rsid w:val="007A0971"/>
    <w:rsid w:val="007A0D35"/>
    <w:rsid w:val="007A6F1B"/>
    <w:rsid w:val="007B0C2C"/>
    <w:rsid w:val="007B17EB"/>
    <w:rsid w:val="007B283D"/>
    <w:rsid w:val="007C2DA0"/>
    <w:rsid w:val="007D0AF7"/>
    <w:rsid w:val="007D4A55"/>
    <w:rsid w:val="007D702F"/>
    <w:rsid w:val="007D7D86"/>
    <w:rsid w:val="007E09AE"/>
    <w:rsid w:val="007F02F3"/>
    <w:rsid w:val="007F0656"/>
    <w:rsid w:val="007F143B"/>
    <w:rsid w:val="007F4C1F"/>
    <w:rsid w:val="007F5ADA"/>
    <w:rsid w:val="007F783F"/>
    <w:rsid w:val="007F7F49"/>
    <w:rsid w:val="00802221"/>
    <w:rsid w:val="00803700"/>
    <w:rsid w:val="00804C72"/>
    <w:rsid w:val="00805A4D"/>
    <w:rsid w:val="008069AF"/>
    <w:rsid w:val="0080724A"/>
    <w:rsid w:val="0081078E"/>
    <w:rsid w:val="00811FFF"/>
    <w:rsid w:val="00812337"/>
    <w:rsid w:val="008149DC"/>
    <w:rsid w:val="008153EC"/>
    <w:rsid w:val="00816AB2"/>
    <w:rsid w:val="00817F0C"/>
    <w:rsid w:val="00823923"/>
    <w:rsid w:val="00824BFB"/>
    <w:rsid w:val="00827C0D"/>
    <w:rsid w:val="00831F88"/>
    <w:rsid w:val="00836A5E"/>
    <w:rsid w:val="00844973"/>
    <w:rsid w:val="00852F05"/>
    <w:rsid w:val="00853162"/>
    <w:rsid w:val="00857A8F"/>
    <w:rsid w:val="008618F5"/>
    <w:rsid w:val="00862019"/>
    <w:rsid w:val="0086224E"/>
    <w:rsid w:val="00867168"/>
    <w:rsid w:val="0086766C"/>
    <w:rsid w:val="00870F56"/>
    <w:rsid w:val="00873B35"/>
    <w:rsid w:val="00885553"/>
    <w:rsid w:val="00886257"/>
    <w:rsid w:val="008914A5"/>
    <w:rsid w:val="008B0DDF"/>
    <w:rsid w:val="008B5208"/>
    <w:rsid w:val="008B5D78"/>
    <w:rsid w:val="008B75C0"/>
    <w:rsid w:val="008C2128"/>
    <w:rsid w:val="008C26E4"/>
    <w:rsid w:val="008C629D"/>
    <w:rsid w:val="008C6388"/>
    <w:rsid w:val="008C6DAE"/>
    <w:rsid w:val="008D3E80"/>
    <w:rsid w:val="008D4ED0"/>
    <w:rsid w:val="008D6E67"/>
    <w:rsid w:val="008E01C4"/>
    <w:rsid w:val="008E024D"/>
    <w:rsid w:val="008E0BB5"/>
    <w:rsid w:val="008E438A"/>
    <w:rsid w:val="008E523A"/>
    <w:rsid w:val="008E66CB"/>
    <w:rsid w:val="008F054C"/>
    <w:rsid w:val="008F067D"/>
    <w:rsid w:val="008F0B6C"/>
    <w:rsid w:val="008F0F77"/>
    <w:rsid w:val="008F13F7"/>
    <w:rsid w:val="008F2CF5"/>
    <w:rsid w:val="008F3FF7"/>
    <w:rsid w:val="008F745D"/>
    <w:rsid w:val="009009A7"/>
    <w:rsid w:val="00910391"/>
    <w:rsid w:val="009118E4"/>
    <w:rsid w:val="00911D03"/>
    <w:rsid w:val="00911D2D"/>
    <w:rsid w:val="00913F38"/>
    <w:rsid w:val="00923602"/>
    <w:rsid w:val="00930DA4"/>
    <w:rsid w:val="00933C45"/>
    <w:rsid w:val="00933C8E"/>
    <w:rsid w:val="00933F6E"/>
    <w:rsid w:val="00940A9F"/>
    <w:rsid w:val="00941029"/>
    <w:rsid w:val="009449C8"/>
    <w:rsid w:val="00946779"/>
    <w:rsid w:val="00950DC1"/>
    <w:rsid w:val="00951178"/>
    <w:rsid w:val="00952ED4"/>
    <w:rsid w:val="00956676"/>
    <w:rsid w:val="0095728D"/>
    <w:rsid w:val="00964B6E"/>
    <w:rsid w:val="00966654"/>
    <w:rsid w:val="00967347"/>
    <w:rsid w:val="0097390E"/>
    <w:rsid w:val="00983E53"/>
    <w:rsid w:val="0098410E"/>
    <w:rsid w:val="009860E5"/>
    <w:rsid w:val="009913F3"/>
    <w:rsid w:val="00993D4B"/>
    <w:rsid w:val="009A1E73"/>
    <w:rsid w:val="009B09AF"/>
    <w:rsid w:val="009B0E29"/>
    <w:rsid w:val="009B113C"/>
    <w:rsid w:val="009B33C6"/>
    <w:rsid w:val="009B540E"/>
    <w:rsid w:val="009B55AE"/>
    <w:rsid w:val="009B55F6"/>
    <w:rsid w:val="009C2405"/>
    <w:rsid w:val="009C48B6"/>
    <w:rsid w:val="009C52FD"/>
    <w:rsid w:val="009C702D"/>
    <w:rsid w:val="009D1A0A"/>
    <w:rsid w:val="009D6DD1"/>
    <w:rsid w:val="009E1109"/>
    <w:rsid w:val="009E297E"/>
    <w:rsid w:val="009E39A1"/>
    <w:rsid w:val="009E409F"/>
    <w:rsid w:val="009E4F7C"/>
    <w:rsid w:val="009E56F9"/>
    <w:rsid w:val="009E6838"/>
    <w:rsid w:val="009F0676"/>
    <w:rsid w:val="009F0701"/>
    <w:rsid w:val="009F0DE9"/>
    <w:rsid w:val="009F459C"/>
    <w:rsid w:val="009F4922"/>
    <w:rsid w:val="009F6E9B"/>
    <w:rsid w:val="00A01BEF"/>
    <w:rsid w:val="00A0258A"/>
    <w:rsid w:val="00A02DFE"/>
    <w:rsid w:val="00A03314"/>
    <w:rsid w:val="00A064CD"/>
    <w:rsid w:val="00A064CF"/>
    <w:rsid w:val="00A102CE"/>
    <w:rsid w:val="00A131DC"/>
    <w:rsid w:val="00A138E4"/>
    <w:rsid w:val="00A14383"/>
    <w:rsid w:val="00A161C7"/>
    <w:rsid w:val="00A179F5"/>
    <w:rsid w:val="00A20910"/>
    <w:rsid w:val="00A2442C"/>
    <w:rsid w:val="00A263A7"/>
    <w:rsid w:val="00A27D31"/>
    <w:rsid w:val="00A27F6B"/>
    <w:rsid w:val="00A3046A"/>
    <w:rsid w:val="00A31FF3"/>
    <w:rsid w:val="00A329F3"/>
    <w:rsid w:val="00A368C8"/>
    <w:rsid w:val="00A36C28"/>
    <w:rsid w:val="00A36D44"/>
    <w:rsid w:val="00A407C8"/>
    <w:rsid w:val="00A43DCF"/>
    <w:rsid w:val="00A47AFC"/>
    <w:rsid w:val="00A5077B"/>
    <w:rsid w:val="00A5221D"/>
    <w:rsid w:val="00A63BFB"/>
    <w:rsid w:val="00A64983"/>
    <w:rsid w:val="00A73BD6"/>
    <w:rsid w:val="00A7770B"/>
    <w:rsid w:val="00A77846"/>
    <w:rsid w:val="00A80B0E"/>
    <w:rsid w:val="00A81AD5"/>
    <w:rsid w:val="00A82E87"/>
    <w:rsid w:val="00A835DF"/>
    <w:rsid w:val="00A84709"/>
    <w:rsid w:val="00A90987"/>
    <w:rsid w:val="00A93F0A"/>
    <w:rsid w:val="00A97EE1"/>
    <w:rsid w:val="00AA1146"/>
    <w:rsid w:val="00AA1D0E"/>
    <w:rsid w:val="00AA4DA2"/>
    <w:rsid w:val="00AB0715"/>
    <w:rsid w:val="00AB161A"/>
    <w:rsid w:val="00AC1E7A"/>
    <w:rsid w:val="00AC1F6B"/>
    <w:rsid w:val="00AC3E16"/>
    <w:rsid w:val="00AC44EB"/>
    <w:rsid w:val="00AC57B4"/>
    <w:rsid w:val="00AC6B5A"/>
    <w:rsid w:val="00AC716C"/>
    <w:rsid w:val="00AC73F9"/>
    <w:rsid w:val="00AD1767"/>
    <w:rsid w:val="00AD37B5"/>
    <w:rsid w:val="00AD52E7"/>
    <w:rsid w:val="00AD5DA9"/>
    <w:rsid w:val="00AD7172"/>
    <w:rsid w:val="00AE268A"/>
    <w:rsid w:val="00AE3C00"/>
    <w:rsid w:val="00AE438D"/>
    <w:rsid w:val="00AE5843"/>
    <w:rsid w:val="00AE6172"/>
    <w:rsid w:val="00AF3176"/>
    <w:rsid w:val="00B02D29"/>
    <w:rsid w:val="00B048FE"/>
    <w:rsid w:val="00B06F4B"/>
    <w:rsid w:val="00B11172"/>
    <w:rsid w:val="00B13C30"/>
    <w:rsid w:val="00B1673C"/>
    <w:rsid w:val="00B21E09"/>
    <w:rsid w:val="00B23F16"/>
    <w:rsid w:val="00B273D4"/>
    <w:rsid w:val="00B30461"/>
    <w:rsid w:val="00B37191"/>
    <w:rsid w:val="00B412D9"/>
    <w:rsid w:val="00B4539F"/>
    <w:rsid w:val="00B50260"/>
    <w:rsid w:val="00B50A7A"/>
    <w:rsid w:val="00B53D46"/>
    <w:rsid w:val="00B55DD8"/>
    <w:rsid w:val="00B6061B"/>
    <w:rsid w:val="00B61CB8"/>
    <w:rsid w:val="00B62239"/>
    <w:rsid w:val="00B62778"/>
    <w:rsid w:val="00B64795"/>
    <w:rsid w:val="00B65ED9"/>
    <w:rsid w:val="00B67C1B"/>
    <w:rsid w:val="00B72EFD"/>
    <w:rsid w:val="00B75DCF"/>
    <w:rsid w:val="00B77AFC"/>
    <w:rsid w:val="00B81F17"/>
    <w:rsid w:val="00B83F20"/>
    <w:rsid w:val="00B84B93"/>
    <w:rsid w:val="00B8549E"/>
    <w:rsid w:val="00B85CE3"/>
    <w:rsid w:val="00B8614C"/>
    <w:rsid w:val="00B869A2"/>
    <w:rsid w:val="00B95516"/>
    <w:rsid w:val="00B970EB"/>
    <w:rsid w:val="00B97943"/>
    <w:rsid w:val="00BA13B3"/>
    <w:rsid w:val="00BA35DA"/>
    <w:rsid w:val="00BA668E"/>
    <w:rsid w:val="00BB736D"/>
    <w:rsid w:val="00BD3DF1"/>
    <w:rsid w:val="00BD55F5"/>
    <w:rsid w:val="00BD6AD9"/>
    <w:rsid w:val="00BE0174"/>
    <w:rsid w:val="00BE0B95"/>
    <w:rsid w:val="00BE6A3F"/>
    <w:rsid w:val="00BF0A67"/>
    <w:rsid w:val="00BF1424"/>
    <w:rsid w:val="00BF46D3"/>
    <w:rsid w:val="00BF78B0"/>
    <w:rsid w:val="00BF7CF2"/>
    <w:rsid w:val="00C04E63"/>
    <w:rsid w:val="00C111AB"/>
    <w:rsid w:val="00C1133D"/>
    <w:rsid w:val="00C1365C"/>
    <w:rsid w:val="00C1716E"/>
    <w:rsid w:val="00C17DEB"/>
    <w:rsid w:val="00C20C99"/>
    <w:rsid w:val="00C231C7"/>
    <w:rsid w:val="00C25E2F"/>
    <w:rsid w:val="00C27A82"/>
    <w:rsid w:val="00C32D65"/>
    <w:rsid w:val="00C34B13"/>
    <w:rsid w:val="00C361FC"/>
    <w:rsid w:val="00C37AF5"/>
    <w:rsid w:val="00C46D6E"/>
    <w:rsid w:val="00C51771"/>
    <w:rsid w:val="00C526DC"/>
    <w:rsid w:val="00C5592D"/>
    <w:rsid w:val="00C63A5F"/>
    <w:rsid w:val="00C7168F"/>
    <w:rsid w:val="00C72DD4"/>
    <w:rsid w:val="00C749E4"/>
    <w:rsid w:val="00C959C9"/>
    <w:rsid w:val="00CA1A65"/>
    <w:rsid w:val="00CA52D3"/>
    <w:rsid w:val="00CA6FC0"/>
    <w:rsid w:val="00CA7CA4"/>
    <w:rsid w:val="00CB1387"/>
    <w:rsid w:val="00CC0174"/>
    <w:rsid w:val="00CC0FE8"/>
    <w:rsid w:val="00CC613D"/>
    <w:rsid w:val="00CC78A6"/>
    <w:rsid w:val="00CC7B94"/>
    <w:rsid w:val="00CD57BF"/>
    <w:rsid w:val="00CD71CB"/>
    <w:rsid w:val="00CE0FE9"/>
    <w:rsid w:val="00CE6E81"/>
    <w:rsid w:val="00CF0230"/>
    <w:rsid w:val="00CF3F75"/>
    <w:rsid w:val="00CF4EAE"/>
    <w:rsid w:val="00CF6376"/>
    <w:rsid w:val="00D03DA8"/>
    <w:rsid w:val="00D041AA"/>
    <w:rsid w:val="00D0479D"/>
    <w:rsid w:val="00D04D00"/>
    <w:rsid w:val="00D109D3"/>
    <w:rsid w:val="00D10DE1"/>
    <w:rsid w:val="00D115E4"/>
    <w:rsid w:val="00D13094"/>
    <w:rsid w:val="00D14C33"/>
    <w:rsid w:val="00D15831"/>
    <w:rsid w:val="00D2042F"/>
    <w:rsid w:val="00D21C94"/>
    <w:rsid w:val="00D25D20"/>
    <w:rsid w:val="00D26D2E"/>
    <w:rsid w:val="00D30478"/>
    <w:rsid w:val="00D3237B"/>
    <w:rsid w:val="00D34B81"/>
    <w:rsid w:val="00D35903"/>
    <w:rsid w:val="00D40038"/>
    <w:rsid w:val="00D40476"/>
    <w:rsid w:val="00D43B5A"/>
    <w:rsid w:val="00D44AA3"/>
    <w:rsid w:val="00D455D5"/>
    <w:rsid w:val="00D5103E"/>
    <w:rsid w:val="00D51B33"/>
    <w:rsid w:val="00D537FE"/>
    <w:rsid w:val="00D560A4"/>
    <w:rsid w:val="00D56DDE"/>
    <w:rsid w:val="00D57712"/>
    <w:rsid w:val="00D63D9C"/>
    <w:rsid w:val="00D64185"/>
    <w:rsid w:val="00D74393"/>
    <w:rsid w:val="00D744FF"/>
    <w:rsid w:val="00D750C4"/>
    <w:rsid w:val="00D76DA9"/>
    <w:rsid w:val="00D81AED"/>
    <w:rsid w:val="00D81D51"/>
    <w:rsid w:val="00D87F82"/>
    <w:rsid w:val="00D93524"/>
    <w:rsid w:val="00DA0C90"/>
    <w:rsid w:val="00DA273C"/>
    <w:rsid w:val="00DA30CC"/>
    <w:rsid w:val="00DA3439"/>
    <w:rsid w:val="00DA390F"/>
    <w:rsid w:val="00DA4175"/>
    <w:rsid w:val="00DB26A0"/>
    <w:rsid w:val="00DB4457"/>
    <w:rsid w:val="00DC09F6"/>
    <w:rsid w:val="00DC0A07"/>
    <w:rsid w:val="00DC11CF"/>
    <w:rsid w:val="00DC3B39"/>
    <w:rsid w:val="00DC4D8E"/>
    <w:rsid w:val="00DD6BBE"/>
    <w:rsid w:val="00DE78A0"/>
    <w:rsid w:val="00DF5998"/>
    <w:rsid w:val="00E06007"/>
    <w:rsid w:val="00E068C9"/>
    <w:rsid w:val="00E10E31"/>
    <w:rsid w:val="00E132C4"/>
    <w:rsid w:val="00E13DA1"/>
    <w:rsid w:val="00E27062"/>
    <w:rsid w:val="00E35810"/>
    <w:rsid w:val="00E362FE"/>
    <w:rsid w:val="00E378EB"/>
    <w:rsid w:val="00E476C2"/>
    <w:rsid w:val="00E53BCC"/>
    <w:rsid w:val="00E55F14"/>
    <w:rsid w:val="00E6222B"/>
    <w:rsid w:val="00E64D17"/>
    <w:rsid w:val="00E65896"/>
    <w:rsid w:val="00E71F15"/>
    <w:rsid w:val="00E72123"/>
    <w:rsid w:val="00E73A38"/>
    <w:rsid w:val="00E8429E"/>
    <w:rsid w:val="00EA0CAB"/>
    <w:rsid w:val="00EA14A1"/>
    <w:rsid w:val="00EA4BE8"/>
    <w:rsid w:val="00EA7B45"/>
    <w:rsid w:val="00EB2D67"/>
    <w:rsid w:val="00EB3927"/>
    <w:rsid w:val="00EC0366"/>
    <w:rsid w:val="00EC09EF"/>
    <w:rsid w:val="00EC580A"/>
    <w:rsid w:val="00EC7B79"/>
    <w:rsid w:val="00ED2A71"/>
    <w:rsid w:val="00ED4FD1"/>
    <w:rsid w:val="00ED6C9A"/>
    <w:rsid w:val="00ED762B"/>
    <w:rsid w:val="00EE1317"/>
    <w:rsid w:val="00EE2D21"/>
    <w:rsid w:val="00EE47CD"/>
    <w:rsid w:val="00EE4CA0"/>
    <w:rsid w:val="00EE74FE"/>
    <w:rsid w:val="00EF2A72"/>
    <w:rsid w:val="00EF2DF4"/>
    <w:rsid w:val="00EF5C38"/>
    <w:rsid w:val="00EF630E"/>
    <w:rsid w:val="00EF77D0"/>
    <w:rsid w:val="00EF7B07"/>
    <w:rsid w:val="00F00D97"/>
    <w:rsid w:val="00F02C92"/>
    <w:rsid w:val="00F057CE"/>
    <w:rsid w:val="00F0765A"/>
    <w:rsid w:val="00F1027E"/>
    <w:rsid w:val="00F10B6D"/>
    <w:rsid w:val="00F16276"/>
    <w:rsid w:val="00F350C8"/>
    <w:rsid w:val="00F412D7"/>
    <w:rsid w:val="00F418AB"/>
    <w:rsid w:val="00F42952"/>
    <w:rsid w:val="00F45E2D"/>
    <w:rsid w:val="00F470C7"/>
    <w:rsid w:val="00F51B28"/>
    <w:rsid w:val="00F525A3"/>
    <w:rsid w:val="00F52D51"/>
    <w:rsid w:val="00F5454A"/>
    <w:rsid w:val="00F54703"/>
    <w:rsid w:val="00F54FB7"/>
    <w:rsid w:val="00F56DC1"/>
    <w:rsid w:val="00F61472"/>
    <w:rsid w:val="00F63E13"/>
    <w:rsid w:val="00F729C9"/>
    <w:rsid w:val="00F734AE"/>
    <w:rsid w:val="00F80A2C"/>
    <w:rsid w:val="00F80FB9"/>
    <w:rsid w:val="00F8189F"/>
    <w:rsid w:val="00F83E71"/>
    <w:rsid w:val="00F8405B"/>
    <w:rsid w:val="00F84DDB"/>
    <w:rsid w:val="00F862B3"/>
    <w:rsid w:val="00F90613"/>
    <w:rsid w:val="00F91855"/>
    <w:rsid w:val="00F91AC7"/>
    <w:rsid w:val="00F9343A"/>
    <w:rsid w:val="00FA4779"/>
    <w:rsid w:val="00FB2401"/>
    <w:rsid w:val="00FB33CD"/>
    <w:rsid w:val="00FB576A"/>
    <w:rsid w:val="00FB6D31"/>
    <w:rsid w:val="00FB6E45"/>
    <w:rsid w:val="00FC060D"/>
    <w:rsid w:val="00FC13A9"/>
    <w:rsid w:val="00FC175F"/>
    <w:rsid w:val="00FC3D5C"/>
    <w:rsid w:val="00FC556D"/>
    <w:rsid w:val="00FC78E8"/>
    <w:rsid w:val="00FD0D2A"/>
    <w:rsid w:val="00FD0D34"/>
    <w:rsid w:val="00FE0078"/>
    <w:rsid w:val="00FE652F"/>
    <w:rsid w:val="00FF0816"/>
    <w:rsid w:val="00FF0B90"/>
    <w:rsid w:val="00FF1D4B"/>
    <w:rsid w:val="00FF4672"/>
    <w:rsid w:val="00FF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uiPriority="99" w:qFormat="1"/>
    <w:lsdException w:name="Hyperlink" w:uiPriority="99"/>
    <w:lsdException w:name="Strong" w:uiPriority="22" w:qFormat="1"/>
    <w:lsdException w:name="Emphasis" w:qFormat="1"/>
    <w:lsdException w:name="Plain Text" w:uiPriority="99"/>
    <w:lsdException w:name="Normal (Web)" w:uiPriority="99"/>
    <w:lsdException w:name="HTML Cite"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2CC9"/>
    <w:rPr>
      <w:sz w:val="24"/>
      <w:szCs w:val="24"/>
      <w:lang w:eastAsia="en-US"/>
    </w:rPr>
  </w:style>
  <w:style w:type="paragraph" w:styleId="Heading1">
    <w:name w:val="heading 1"/>
    <w:basedOn w:val="Normal"/>
    <w:next w:val="Normal"/>
    <w:link w:val="Heading1Char"/>
    <w:qFormat/>
    <w:rsid w:val="00D63D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870F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211F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9F0676"/>
    <w:pPr>
      <w:keepNext/>
      <w:keepLines/>
      <w:spacing w:before="200"/>
      <w:outlineLvl w:val="3"/>
    </w:pPr>
    <w:rPr>
      <w:rFonts w:asciiTheme="majorHAnsi" w:eastAsiaTheme="majorEastAsia" w:hAnsiTheme="majorHAnsi" w:cstheme="majorBidi"/>
      <w:b/>
      <w:bCs/>
      <w:i/>
      <w:iCs/>
      <w:color w:val="4F81BD" w:themeColor="accent1"/>
      <w:lang w:eastAsia="zh-CN"/>
    </w:rPr>
  </w:style>
  <w:style w:type="paragraph" w:styleId="Heading5">
    <w:name w:val="heading 5"/>
    <w:basedOn w:val="Normal"/>
    <w:next w:val="BodyText"/>
    <w:link w:val="Heading5Char"/>
    <w:qFormat/>
    <w:rsid w:val="009F0676"/>
    <w:pPr>
      <w:keepNext/>
      <w:keepLines/>
      <w:tabs>
        <w:tab w:val="num" w:pos="720"/>
      </w:tabs>
      <w:spacing w:after="240"/>
      <w:ind w:left="720" w:hanging="720"/>
      <w:jc w:val="both"/>
      <w:outlineLvl w:val="4"/>
    </w:pPr>
    <w:rPr>
      <w:i/>
      <w:sz w:val="22"/>
      <w:szCs w:val="20"/>
      <w:lang w:val="en-GB"/>
    </w:rPr>
  </w:style>
  <w:style w:type="paragraph" w:styleId="Heading6">
    <w:name w:val="heading 6"/>
    <w:basedOn w:val="Normal"/>
    <w:next w:val="Normal"/>
    <w:link w:val="Heading6Char"/>
    <w:unhideWhenUsed/>
    <w:qFormat/>
    <w:rsid w:val="001C3A5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48FE"/>
    <w:pPr>
      <w:tabs>
        <w:tab w:val="center" w:pos="4513"/>
        <w:tab w:val="right" w:pos="9026"/>
      </w:tabs>
    </w:pPr>
  </w:style>
  <w:style w:type="character" w:customStyle="1" w:styleId="HeaderChar">
    <w:name w:val="Header Char"/>
    <w:basedOn w:val="DefaultParagraphFont"/>
    <w:link w:val="Header"/>
    <w:uiPriority w:val="99"/>
    <w:rsid w:val="00B048FE"/>
    <w:rPr>
      <w:sz w:val="24"/>
      <w:szCs w:val="24"/>
      <w:lang w:eastAsia="en-US"/>
    </w:rPr>
  </w:style>
  <w:style w:type="paragraph" w:styleId="Footer">
    <w:name w:val="footer"/>
    <w:basedOn w:val="Normal"/>
    <w:link w:val="FooterChar"/>
    <w:uiPriority w:val="99"/>
    <w:rsid w:val="00B048FE"/>
    <w:pPr>
      <w:tabs>
        <w:tab w:val="center" w:pos="4513"/>
        <w:tab w:val="right" w:pos="9026"/>
      </w:tabs>
    </w:pPr>
  </w:style>
  <w:style w:type="character" w:customStyle="1" w:styleId="FooterChar">
    <w:name w:val="Footer Char"/>
    <w:basedOn w:val="DefaultParagraphFont"/>
    <w:link w:val="Footer"/>
    <w:uiPriority w:val="99"/>
    <w:rsid w:val="00B048FE"/>
    <w:rPr>
      <w:sz w:val="24"/>
      <w:szCs w:val="24"/>
      <w:lang w:eastAsia="en-US"/>
    </w:rPr>
  </w:style>
  <w:style w:type="table" w:styleId="TableGrid">
    <w:name w:val="Table Grid"/>
    <w:basedOn w:val="TableNormal"/>
    <w:rsid w:val="00B048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63D9C"/>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870F56"/>
    <w:rPr>
      <w:rFonts w:asciiTheme="majorHAnsi" w:eastAsiaTheme="majorEastAsia" w:hAnsiTheme="majorHAnsi" w:cstheme="majorBidi"/>
      <w:b/>
      <w:bCs/>
      <w:color w:val="4F81BD" w:themeColor="accent1"/>
      <w:sz w:val="26"/>
      <w:szCs w:val="26"/>
      <w:lang w:eastAsia="en-US"/>
    </w:rPr>
  </w:style>
  <w:style w:type="paragraph" w:styleId="ListParagraph">
    <w:name w:val="List Paragraph"/>
    <w:aliases w:val="Recommendation,List Paragraph11,Bulleted Para,NFP GP Bulleted List,FooterText,numbered,Paragraphe de liste1,Bulletr List Paragraph,列出段落,列出段落1,List Paragraph2,List Paragraph21,Listeafsnit1,Parágrafo da Lista1,リスト段落1,L,CV text,Table text"/>
    <w:basedOn w:val="Normal"/>
    <w:link w:val="ListParagraphChar"/>
    <w:uiPriority w:val="34"/>
    <w:qFormat/>
    <w:rsid w:val="00A3046A"/>
    <w:pPr>
      <w:ind w:left="720"/>
      <w:contextualSpacing/>
    </w:pPr>
  </w:style>
  <w:style w:type="paragraph" w:styleId="FootnoteText">
    <w:name w:val="footnote text"/>
    <w:basedOn w:val="Normal"/>
    <w:link w:val="FootnoteTextChar"/>
    <w:uiPriority w:val="99"/>
    <w:rsid w:val="000C6585"/>
    <w:rPr>
      <w:sz w:val="20"/>
      <w:szCs w:val="20"/>
    </w:rPr>
  </w:style>
  <w:style w:type="character" w:customStyle="1" w:styleId="FootnoteTextChar">
    <w:name w:val="Footnote Text Char"/>
    <w:basedOn w:val="DefaultParagraphFont"/>
    <w:link w:val="FootnoteText"/>
    <w:uiPriority w:val="99"/>
    <w:rsid w:val="000C6585"/>
    <w:rPr>
      <w:lang w:eastAsia="en-US"/>
    </w:rPr>
  </w:style>
  <w:style w:type="character" w:styleId="FootnoteReference">
    <w:name w:val="footnote reference"/>
    <w:uiPriority w:val="99"/>
    <w:rsid w:val="000C6585"/>
    <w:rPr>
      <w:vertAlign w:val="superscript"/>
    </w:rPr>
  </w:style>
  <w:style w:type="paragraph" w:styleId="TOCHeading">
    <w:name w:val="TOC Heading"/>
    <w:basedOn w:val="Heading1"/>
    <w:next w:val="Normal"/>
    <w:uiPriority w:val="39"/>
    <w:semiHidden/>
    <w:unhideWhenUsed/>
    <w:qFormat/>
    <w:rsid w:val="005211F7"/>
    <w:pPr>
      <w:spacing w:line="276" w:lineRule="auto"/>
      <w:outlineLvl w:val="9"/>
    </w:pPr>
    <w:rPr>
      <w:lang w:val="en-US" w:eastAsia="ja-JP"/>
    </w:rPr>
  </w:style>
  <w:style w:type="paragraph" w:styleId="TOC1">
    <w:name w:val="toc 1"/>
    <w:basedOn w:val="Normal"/>
    <w:next w:val="Normal"/>
    <w:autoRedefine/>
    <w:uiPriority w:val="39"/>
    <w:qFormat/>
    <w:rsid w:val="00260E4F"/>
    <w:pPr>
      <w:tabs>
        <w:tab w:val="right" w:leader="dot" w:pos="8302"/>
      </w:tabs>
      <w:spacing w:after="100"/>
    </w:pPr>
  </w:style>
  <w:style w:type="paragraph" w:styleId="TOC2">
    <w:name w:val="toc 2"/>
    <w:basedOn w:val="Normal"/>
    <w:next w:val="Normal"/>
    <w:autoRedefine/>
    <w:uiPriority w:val="39"/>
    <w:rsid w:val="00673ED0"/>
    <w:pPr>
      <w:tabs>
        <w:tab w:val="right" w:leader="dot" w:pos="8296"/>
      </w:tabs>
      <w:spacing w:after="100"/>
    </w:pPr>
    <w:rPr>
      <w:b/>
      <w:noProof/>
    </w:rPr>
  </w:style>
  <w:style w:type="character" w:styleId="Hyperlink">
    <w:name w:val="Hyperlink"/>
    <w:basedOn w:val="DefaultParagraphFont"/>
    <w:uiPriority w:val="99"/>
    <w:unhideWhenUsed/>
    <w:rsid w:val="005211F7"/>
    <w:rPr>
      <w:color w:val="0000FF" w:themeColor="hyperlink"/>
      <w:u w:val="single"/>
    </w:rPr>
  </w:style>
  <w:style w:type="paragraph" w:styleId="BalloonText">
    <w:name w:val="Balloon Text"/>
    <w:basedOn w:val="Normal"/>
    <w:link w:val="BalloonTextChar"/>
    <w:uiPriority w:val="99"/>
    <w:rsid w:val="005211F7"/>
    <w:rPr>
      <w:rFonts w:ascii="Tahoma" w:hAnsi="Tahoma" w:cs="Tahoma"/>
      <w:sz w:val="16"/>
      <w:szCs w:val="16"/>
    </w:rPr>
  </w:style>
  <w:style w:type="character" w:customStyle="1" w:styleId="BalloonTextChar">
    <w:name w:val="Balloon Text Char"/>
    <w:basedOn w:val="DefaultParagraphFont"/>
    <w:link w:val="BalloonText"/>
    <w:uiPriority w:val="99"/>
    <w:rsid w:val="005211F7"/>
    <w:rPr>
      <w:rFonts w:ascii="Tahoma" w:hAnsi="Tahoma" w:cs="Tahoma"/>
      <w:sz w:val="16"/>
      <w:szCs w:val="16"/>
      <w:lang w:eastAsia="en-US"/>
    </w:rPr>
  </w:style>
  <w:style w:type="character" w:customStyle="1" w:styleId="Heading3Char">
    <w:name w:val="Heading 3 Char"/>
    <w:basedOn w:val="DefaultParagraphFont"/>
    <w:link w:val="Heading3"/>
    <w:rsid w:val="005211F7"/>
    <w:rPr>
      <w:rFonts w:asciiTheme="majorHAnsi" w:eastAsiaTheme="majorEastAsia" w:hAnsiTheme="majorHAnsi" w:cstheme="majorBidi"/>
      <w:b/>
      <w:bCs/>
      <w:color w:val="4F81BD" w:themeColor="accent1"/>
      <w:sz w:val="24"/>
      <w:szCs w:val="24"/>
      <w:lang w:eastAsia="en-US"/>
    </w:rPr>
  </w:style>
  <w:style w:type="paragraph" w:styleId="TOC3">
    <w:name w:val="toc 3"/>
    <w:basedOn w:val="Normal"/>
    <w:next w:val="Normal"/>
    <w:autoRedefine/>
    <w:uiPriority w:val="39"/>
    <w:rsid w:val="00F80FB9"/>
    <w:pPr>
      <w:tabs>
        <w:tab w:val="right" w:leader="dot" w:pos="8302"/>
      </w:tabs>
      <w:spacing w:after="100"/>
      <w:ind w:left="480"/>
    </w:pPr>
  </w:style>
  <w:style w:type="character" w:styleId="Emphasis">
    <w:name w:val="Emphasis"/>
    <w:basedOn w:val="DefaultParagraphFont"/>
    <w:qFormat/>
    <w:rsid w:val="009F0676"/>
    <w:rPr>
      <w:i/>
      <w:iCs/>
    </w:rPr>
  </w:style>
  <w:style w:type="character" w:customStyle="1" w:styleId="Heading4Char">
    <w:name w:val="Heading 4 Char"/>
    <w:basedOn w:val="DefaultParagraphFont"/>
    <w:link w:val="Heading4"/>
    <w:rsid w:val="009F0676"/>
    <w:rPr>
      <w:rFonts w:asciiTheme="majorHAnsi" w:eastAsiaTheme="majorEastAsia" w:hAnsiTheme="majorHAnsi" w:cstheme="majorBidi"/>
      <w:b/>
      <w:bCs/>
      <w:i/>
      <w:iCs/>
      <w:color w:val="4F81BD" w:themeColor="accent1"/>
      <w:sz w:val="24"/>
      <w:szCs w:val="24"/>
      <w:lang w:eastAsia="zh-CN"/>
    </w:rPr>
  </w:style>
  <w:style w:type="character" w:customStyle="1" w:styleId="Heading5Char">
    <w:name w:val="Heading 5 Char"/>
    <w:basedOn w:val="DefaultParagraphFont"/>
    <w:link w:val="Heading5"/>
    <w:rsid w:val="009F0676"/>
    <w:rPr>
      <w:i/>
      <w:sz w:val="22"/>
      <w:lang w:val="en-GB" w:eastAsia="en-US"/>
    </w:rPr>
  </w:style>
  <w:style w:type="paragraph" w:styleId="BodyText">
    <w:name w:val="Body Text"/>
    <w:basedOn w:val="Normal"/>
    <w:link w:val="BodyTextChar"/>
    <w:rsid w:val="009F0676"/>
    <w:pPr>
      <w:tabs>
        <w:tab w:val="num" w:pos="720"/>
      </w:tabs>
      <w:spacing w:after="240"/>
      <w:jc w:val="both"/>
    </w:pPr>
    <w:rPr>
      <w:sz w:val="22"/>
      <w:szCs w:val="20"/>
      <w:lang w:val="en-GB"/>
    </w:rPr>
  </w:style>
  <w:style w:type="character" w:customStyle="1" w:styleId="BodyTextChar">
    <w:name w:val="Body Text Char"/>
    <w:basedOn w:val="DefaultParagraphFont"/>
    <w:link w:val="BodyText"/>
    <w:rsid w:val="009F0676"/>
    <w:rPr>
      <w:sz w:val="22"/>
      <w:lang w:val="en-GB" w:eastAsia="en-US"/>
    </w:rPr>
  </w:style>
  <w:style w:type="paragraph" w:styleId="PlainText">
    <w:name w:val="Plain Text"/>
    <w:basedOn w:val="Normal"/>
    <w:link w:val="PlainTextChar"/>
    <w:uiPriority w:val="99"/>
    <w:unhideWhenUsed/>
    <w:rsid w:val="00DA0C9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A0C90"/>
    <w:rPr>
      <w:rFonts w:ascii="Calibri" w:eastAsiaTheme="minorHAnsi" w:hAnsi="Calibri" w:cstheme="minorBidi"/>
      <w:sz w:val="22"/>
      <w:szCs w:val="21"/>
      <w:lang w:eastAsia="en-US"/>
    </w:rPr>
  </w:style>
  <w:style w:type="paragraph" w:customStyle="1" w:styleId="paranormaltext">
    <w:name w:val="paranormaltext"/>
    <w:basedOn w:val="Normal"/>
    <w:rsid w:val="00A368C8"/>
    <w:pPr>
      <w:spacing w:before="100" w:beforeAutospacing="1" w:after="100" w:afterAutospacing="1"/>
    </w:pPr>
    <w:rPr>
      <w:sz w:val="20"/>
      <w:szCs w:val="20"/>
      <w:lang w:eastAsia="en-AU"/>
    </w:rPr>
  </w:style>
  <w:style w:type="paragraph" w:styleId="NormalWeb">
    <w:name w:val="Normal (Web)"/>
    <w:basedOn w:val="Normal"/>
    <w:uiPriority w:val="99"/>
    <w:rsid w:val="00ED2A71"/>
    <w:rPr>
      <w:rFonts w:eastAsia="MS Mincho"/>
      <w:lang w:val="en-US"/>
    </w:rPr>
  </w:style>
  <w:style w:type="paragraph" w:customStyle="1" w:styleId="ListParagraph1">
    <w:name w:val="List Paragraph1"/>
    <w:basedOn w:val="Normal"/>
    <w:uiPriority w:val="99"/>
    <w:rsid w:val="00ED2A71"/>
    <w:pPr>
      <w:ind w:left="720"/>
      <w:contextualSpacing/>
    </w:pPr>
    <w:rPr>
      <w:rFonts w:eastAsia="MS Mincho"/>
      <w:lang w:val="en-US"/>
    </w:rPr>
  </w:style>
  <w:style w:type="character" w:customStyle="1" w:styleId="Heading6Char">
    <w:name w:val="Heading 6 Char"/>
    <w:basedOn w:val="DefaultParagraphFont"/>
    <w:link w:val="Heading6"/>
    <w:rsid w:val="001C3A56"/>
    <w:rPr>
      <w:rFonts w:asciiTheme="majorHAnsi" w:eastAsiaTheme="majorEastAsia" w:hAnsiTheme="majorHAnsi" w:cstheme="majorBidi"/>
      <w:i/>
      <w:iCs/>
      <w:color w:val="243F60" w:themeColor="accent1" w:themeShade="7F"/>
      <w:sz w:val="24"/>
      <w:szCs w:val="24"/>
      <w:lang w:eastAsia="en-US"/>
    </w:rPr>
  </w:style>
  <w:style w:type="character" w:styleId="CommentReference">
    <w:name w:val="annotation reference"/>
    <w:basedOn w:val="DefaultParagraphFont"/>
    <w:uiPriority w:val="99"/>
    <w:rsid w:val="00D3237B"/>
    <w:rPr>
      <w:sz w:val="16"/>
      <w:szCs w:val="16"/>
    </w:rPr>
  </w:style>
  <w:style w:type="paragraph" w:styleId="CommentText">
    <w:name w:val="annotation text"/>
    <w:basedOn w:val="Normal"/>
    <w:link w:val="CommentTextChar"/>
    <w:uiPriority w:val="99"/>
    <w:rsid w:val="00D3237B"/>
    <w:rPr>
      <w:sz w:val="20"/>
      <w:szCs w:val="20"/>
    </w:rPr>
  </w:style>
  <w:style w:type="character" w:customStyle="1" w:styleId="CommentTextChar">
    <w:name w:val="Comment Text Char"/>
    <w:basedOn w:val="DefaultParagraphFont"/>
    <w:link w:val="CommentText"/>
    <w:uiPriority w:val="99"/>
    <w:rsid w:val="00D3237B"/>
    <w:rPr>
      <w:lang w:eastAsia="en-US"/>
    </w:rPr>
  </w:style>
  <w:style w:type="paragraph" w:styleId="CommentSubject">
    <w:name w:val="annotation subject"/>
    <w:basedOn w:val="CommentText"/>
    <w:next w:val="CommentText"/>
    <w:link w:val="CommentSubjectChar"/>
    <w:uiPriority w:val="99"/>
    <w:rsid w:val="00D3237B"/>
    <w:rPr>
      <w:b/>
      <w:bCs/>
    </w:rPr>
  </w:style>
  <w:style w:type="character" w:customStyle="1" w:styleId="CommentSubjectChar">
    <w:name w:val="Comment Subject Char"/>
    <w:basedOn w:val="CommentTextChar"/>
    <w:link w:val="CommentSubject"/>
    <w:uiPriority w:val="99"/>
    <w:rsid w:val="00D3237B"/>
    <w:rPr>
      <w:b/>
      <w:bCs/>
      <w:lang w:eastAsia="en-US"/>
    </w:rPr>
  </w:style>
  <w:style w:type="numbering" w:customStyle="1" w:styleId="NoList1">
    <w:name w:val="No List1"/>
    <w:next w:val="NoList"/>
    <w:uiPriority w:val="99"/>
    <w:semiHidden/>
    <w:unhideWhenUsed/>
    <w:rsid w:val="00805A4D"/>
  </w:style>
  <w:style w:type="character" w:styleId="PageNumber">
    <w:name w:val="page number"/>
    <w:basedOn w:val="DefaultParagraphFont"/>
    <w:uiPriority w:val="99"/>
    <w:rsid w:val="00805A4D"/>
    <w:rPr>
      <w:rFonts w:cs="Times New Roman"/>
    </w:rPr>
  </w:style>
  <w:style w:type="character" w:customStyle="1" w:styleId="HeaderChar1">
    <w:name w:val="Header Char1"/>
    <w:uiPriority w:val="99"/>
    <w:locked/>
    <w:rsid w:val="00805A4D"/>
    <w:rPr>
      <w:rFonts w:ascii="Times New Roman" w:eastAsia="MS Mincho" w:hAnsi="Times New Roman"/>
      <w:sz w:val="24"/>
      <w:lang w:val="en-US"/>
    </w:rPr>
  </w:style>
  <w:style w:type="paragraph" w:styleId="EndnoteText">
    <w:name w:val="endnote text"/>
    <w:basedOn w:val="Normal"/>
    <w:link w:val="EndnoteTextChar"/>
    <w:uiPriority w:val="99"/>
    <w:rsid w:val="00805A4D"/>
    <w:rPr>
      <w:rFonts w:eastAsia="MS Mincho"/>
      <w:sz w:val="20"/>
      <w:szCs w:val="20"/>
      <w:lang w:val="en-US" w:eastAsia="en-GB"/>
    </w:rPr>
  </w:style>
  <w:style w:type="character" w:customStyle="1" w:styleId="EndnoteTextChar">
    <w:name w:val="Endnote Text Char"/>
    <w:basedOn w:val="DefaultParagraphFont"/>
    <w:link w:val="EndnoteText"/>
    <w:uiPriority w:val="99"/>
    <w:rsid w:val="00805A4D"/>
    <w:rPr>
      <w:rFonts w:eastAsia="MS Mincho"/>
      <w:lang w:val="en-US" w:eastAsia="en-GB"/>
    </w:rPr>
  </w:style>
  <w:style w:type="character" w:styleId="EndnoteReference">
    <w:name w:val="endnote reference"/>
    <w:basedOn w:val="DefaultParagraphFont"/>
    <w:uiPriority w:val="99"/>
    <w:rsid w:val="00805A4D"/>
    <w:rPr>
      <w:rFonts w:cs="Times New Roman"/>
      <w:vertAlign w:val="superscript"/>
    </w:rPr>
  </w:style>
  <w:style w:type="character" w:customStyle="1" w:styleId="CommentTextChar1">
    <w:name w:val="Comment Text Char1"/>
    <w:uiPriority w:val="99"/>
    <w:locked/>
    <w:rsid w:val="00805A4D"/>
    <w:rPr>
      <w:rFonts w:ascii="Times New Roman" w:eastAsia="MS Mincho" w:hAnsi="Times New Roman"/>
      <w:lang w:val="en-US" w:eastAsia="en-US"/>
    </w:rPr>
  </w:style>
  <w:style w:type="paragraph" w:customStyle="1" w:styleId="Style">
    <w:name w:val="Style"/>
    <w:uiPriority w:val="99"/>
    <w:rsid w:val="00805A4D"/>
    <w:pPr>
      <w:autoSpaceDE w:val="0"/>
      <w:autoSpaceDN w:val="0"/>
      <w:adjustRightInd w:val="0"/>
    </w:pPr>
    <w:rPr>
      <w:rFonts w:ascii="Arial" w:eastAsia="Batang" w:hAnsi="Arial"/>
      <w:sz w:val="24"/>
      <w:szCs w:val="24"/>
      <w:lang w:val="en-CA" w:eastAsia="en-CA"/>
    </w:rPr>
  </w:style>
  <w:style w:type="character" w:customStyle="1" w:styleId="apple-converted-space">
    <w:name w:val="apple-converted-space"/>
    <w:basedOn w:val="DefaultParagraphFont"/>
    <w:uiPriority w:val="99"/>
    <w:rsid w:val="00805A4D"/>
    <w:rPr>
      <w:rFonts w:cs="Times New Roman"/>
    </w:rPr>
  </w:style>
  <w:style w:type="paragraph" w:styleId="Revision">
    <w:name w:val="Revision"/>
    <w:hidden/>
    <w:uiPriority w:val="99"/>
    <w:semiHidden/>
    <w:rsid w:val="00805A4D"/>
    <w:rPr>
      <w:rFonts w:eastAsia="MS Mincho"/>
      <w:sz w:val="24"/>
      <w:szCs w:val="24"/>
      <w:lang w:val="en-US" w:eastAsia="en-US"/>
    </w:rPr>
  </w:style>
  <w:style w:type="table" w:customStyle="1" w:styleId="TableGrid1">
    <w:name w:val="Table Grid1"/>
    <w:basedOn w:val="TableNormal"/>
    <w:next w:val="TableGrid"/>
    <w:locked/>
    <w:rsid w:val="00805A4D"/>
    <w:rPr>
      <w:rFonts w:ascii="Calibri" w:eastAsia="PMingLiU"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678C3"/>
    <w:rPr>
      <w:b/>
      <w:bCs/>
    </w:rPr>
  </w:style>
  <w:style w:type="paragraph" w:styleId="Subtitle">
    <w:name w:val="Subtitle"/>
    <w:basedOn w:val="Normal"/>
    <w:next w:val="Normal"/>
    <w:link w:val="SubtitleChar"/>
    <w:uiPriority w:val="99"/>
    <w:qFormat/>
    <w:rsid w:val="00182CC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99"/>
    <w:rsid w:val="00182CC9"/>
    <w:rPr>
      <w:rFonts w:asciiTheme="majorHAnsi" w:eastAsiaTheme="majorEastAsia" w:hAnsiTheme="majorHAnsi" w:cstheme="majorBidi"/>
      <w:i/>
      <w:iCs/>
      <w:color w:val="4F81BD" w:themeColor="accent1"/>
      <w:spacing w:val="15"/>
      <w:sz w:val="24"/>
      <w:szCs w:val="24"/>
      <w:lang w:eastAsia="en-US"/>
    </w:rPr>
  </w:style>
  <w:style w:type="character" w:customStyle="1" w:styleId="ListParagraphChar">
    <w:name w:val="List Paragraph Char"/>
    <w:aliases w:val="Recommendation Char,List Paragraph11 Char,Bulleted Para Char,NFP GP Bulleted List Char,FooterText Char,numbered Char,Paragraphe de liste1 Char,Bulletr List Paragraph Char,列出段落 Char,列出段落1 Char,List Paragraph2 Char,Listeafsnit1 Char"/>
    <w:basedOn w:val="DefaultParagraphFont"/>
    <w:link w:val="ListParagraph"/>
    <w:uiPriority w:val="34"/>
    <w:qFormat/>
    <w:locked/>
    <w:rsid w:val="00182CC9"/>
    <w:rPr>
      <w:sz w:val="24"/>
      <w:szCs w:val="24"/>
      <w:lang w:eastAsia="en-US"/>
    </w:rPr>
  </w:style>
  <w:style w:type="character" w:styleId="SubtleEmphasis">
    <w:name w:val="Subtle Emphasis"/>
    <w:basedOn w:val="DefaultParagraphFont"/>
    <w:uiPriority w:val="19"/>
    <w:qFormat/>
    <w:rsid w:val="00182CC9"/>
    <w:rPr>
      <w:i/>
      <w:iCs/>
      <w:color w:val="808080" w:themeColor="text1" w:themeTint="7F"/>
    </w:rPr>
  </w:style>
  <w:style w:type="character" w:customStyle="1" w:styleId="resulturl1">
    <w:name w:val="resulturl1"/>
    <w:basedOn w:val="DefaultParagraphFont"/>
    <w:rsid w:val="00182CC9"/>
    <w:rPr>
      <w:color w:val="006621"/>
      <w:sz w:val="20"/>
      <w:szCs w:val="20"/>
    </w:rPr>
  </w:style>
  <w:style w:type="character" w:styleId="HTMLCite">
    <w:name w:val="HTML Cite"/>
    <w:basedOn w:val="DefaultParagraphFont"/>
    <w:uiPriority w:val="99"/>
    <w:unhideWhenUsed/>
    <w:rsid w:val="00182CC9"/>
    <w:rPr>
      <w:i/>
      <w:iCs/>
    </w:rPr>
  </w:style>
  <w:style w:type="character" w:styleId="IntenseEmphasis">
    <w:name w:val="Intense Emphasis"/>
    <w:basedOn w:val="DefaultParagraphFont"/>
    <w:uiPriority w:val="21"/>
    <w:qFormat/>
    <w:rsid w:val="00182CC9"/>
    <w:rPr>
      <w:b/>
      <w:bCs/>
      <w:i/>
      <w:iCs/>
      <w:color w:val="4F81BD" w:themeColor="accent1"/>
    </w:rPr>
  </w:style>
  <w:style w:type="paragraph" w:styleId="NoSpacing">
    <w:name w:val="No Spacing"/>
    <w:uiPriority w:val="1"/>
    <w:qFormat/>
    <w:rsid w:val="00804C72"/>
    <w:rPr>
      <w:rFonts w:asciiTheme="minorHAnsi" w:eastAsiaTheme="minorHAnsi" w:hAnsiTheme="minorHAnsi" w:cstheme="minorBidi"/>
      <w:sz w:val="22"/>
      <w:szCs w:val="22"/>
      <w:lang w:eastAsia="en-US"/>
    </w:rPr>
  </w:style>
  <w:style w:type="character" w:styleId="FollowedHyperlink">
    <w:name w:val="FollowedHyperlink"/>
    <w:basedOn w:val="DefaultParagraphFont"/>
    <w:rsid w:val="00775BC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uiPriority="99" w:qFormat="1"/>
    <w:lsdException w:name="Hyperlink" w:uiPriority="99"/>
    <w:lsdException w:name="Strong" w:uiPriority="22" w:qFormat="1"/>
    <w:lsdException w:name="Emphasis" w:qFormat="1"/>
    <w:lsdException w:name="Plain Text" w:uiPriority="99"/>
    <w:lsdException w:name="Normal (Web)" w:uiPriority="99"/>
    <w:lsdException w:name="HTML Cite"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2CC9"/>
    <w:rPr>
      <w:sz w:val="24"/>
      <w:szCs w:val="24"/>
      <w:lang w:eastAsia="en-US"/>
    </w:rPr>
  </w:style>
  <w:style w:type="paragraph" w:styleId="Heading1">
    <w:name w:val="heading 1"/>
    <w:basedOn w:val="Normal"/>
    <w:next w:val="Normal"/>
    <w:link w:val="Heading1Char"/>
    <w:qFormat/>
    <w:rsid w:val="00D63D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870F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211F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9F0676"/>
    <w:pPr>
      <w:keepNext/>
      <w:keepLines/>
      <w:spacing w:before="200"/>
      <w:outlineLvl w:val="3"/>
    </w:pPr>
    <w:rPr>
      <w:rFonts w:asciiTheme="majorHAnsi" w:eastAsiaTheme="majorEastAsia" w:hAnsiTheme="majorHAnsi" w:cstheme="majorBidi"/>
      <w:b/>
      <w:bCs/>
      <w:i/>
      <w:iCs/>
      <w:color w:val="4F81BD" w:themeColor="accent1"/>
      <w:lang w:eastAsia="zh-CN"/>
    </w:rPr>
  </w:style>
  <w:style w:type="paragraph" w:styleId="Heading5">
    <w:name w:val="heading 5"/>
    <w:basedOn w:val="Normal"/>
    <w:next w:val="BodyText"/>
    <w:link w:val="Heading5Char"/>
    <w:qFormat/>
    <w:rsid w:val="009F0676"/>
    <w:pPr>
      <w:keepNext/>
      <w:keepLines/>
      <w:tabs>
        <w:tab w:val="num" w:pos="720"/>
      </w:tabs>
      <w:spacing w:after="240"/>
      <w:ind w:left="720" w:hanging="720"/>
      <w:jc w:val="both"/>
      <w:outlineLvl w:val="4"/>
    </w:pPr>
    <w:rPr>
      <w:i/>
      <w:sz w:val="22"/>
      <w:szCs w:val="20"/>
      <w:lang w:val="en-GB"/>
    </w:rPr>
  </w:style>
  <w:style w:type="paragraph" w:styleId="Heading6">
    <w:name w:val="heading 6"/>
    <w:basedOn w:val="Normal"/>
    <w:next w:val="Normal"/>
    <w:link w:val="Heading6Char"/>
    <w:unhideWhenUsed/>
    <w:qFormat/>
    <w:rsid w:val="001C3A5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48FE"/>
    <w:pPr>
      <w:tabs>
        <w:tab w:val="center" w:pos="4513"/>
        <w:tab w:val="right" w:pos="9026"/>
      </w:tabs>
    </w:pPr>
  </w:style>
  <w:style w:type="character" w:customStyle="1" w:styleId="HeaderChar">
    <w:name w:val="Header Char"/>
    <w:basedOn w:val="DefaultParagraphFont"/>
    <w:link w:val="Header"/>
    <w:uiPriority w:val="99"/>
    <w:rsid w:val="00B048FE"/>
    <w:rPr>
      <w:sz w:val="24"/>
      <w:szCs w:val="24"/>
      <w:lang w:eastAsia="en-US"/>
    </w:rPr>
  </w:style>
  <w:style w:type="paragraph" w:styleId="Footer">
    <w:name w:val="footer"/>
    <w:basedOn w:val="Normal"/>
    <w:link w:val="FooterChar"/>
    <w:uiPriority w:val="99"/>
    <w:rsid w:val="00B048FE"/>
    <w:pPr>
      <w:tabs>
        <w:tab w:val="center" w:pos="4513"/>
        <w:tab w:val="right" w:pos="9026"/>
      </w:tabs>
    </w:pPr>
  </w:style>
  <w:style w:type="character" w:customStyle="1" w:styleId="FooterChar">
    <w:name w:val="Footer Char"/>
    <w:basedOn w:val="DefaultParagraphFont"/>
    <w:link w:val="Footer"/>
    <w:uiPriority w:val="99"/>
    <w:rsid w:val="00B048FE"/>
    <w:rPr>
      <w:sz w:val="24"/>
      <w:szCs w:val="24"/>
      <w:lang w:eastAsia="en-US"/>
    </w:rPr>
  </w:style>
  <w:style w:type="table" w:styleId="TableGrid">
    <w:name w:val="Table Grid"/>
    <w:basedOn w:val="TableNormal"/>
    <w:rsid w:val="00B048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63D9C"/>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870F56"/>
    <w:rPr>
      <w:rFonts w:asciiTheme="majorHAnsi" w:eastAsiaTheme="majorEastAsia" w:hAnsiTheme="majorHAnsi" w:cstheme="majorBidi"/>
      <w:b/>
      <w:bCs/>
      <w:color w:val="4F81BD" w:themeColor="accent1"/>
      <w:sz w:val="26"/>
      <w:szCs w:val="26"/>
      <w:lang w:eastAsia="en-US"/>
    </w:rPr>
  </w:style>
  <w:style w:type="paragraph" w:styleId="ListParagraph">
    <w:name w:val="List Paragraph"/>
    <w:aliases w:val="Recommendation,List Paragraph11,Bulleted Para,NFP GP Bulleted List,FooterText,numbered,Paragraphe de liste1,Bulletr List Paragraph,列出段落,列出段落1,List Paragraph2,List Paragraph21,Listeafsnit1,Parágrafo da Lista1,リスト段落1,L,CV text,Table text"/>
    <w:basedOn w:val="Normal"/>
    <w:link w:val="ListParagraphChar"/>
    <w:uiPriority w:val="34"/>
    <w:qFormat/>
    <w:rsid w:val="00A3046A"/>
    <w:pPr>
      <w:ind w:left="720"/>
      <w:contextualSpacing/>
    </w:pPr>
  </w:style>
  <w:style w:type="paragraph" w:styleId="FootnoteText">
    <w:name w:val="footnote text"/>
    <w:basedOn w:val="Normal"/>
    <w:link w:val="FootnoteTextChar"/>
    <w:uiPriority w:val="99"/>
    <w:rsid w:val="000C6585"/>
    <w:rPr>
      <w:sz w:val="20"/>
      <w:szCs w:val="20"/>
    </w:rPr>
  </w:style>
  <w:style w:type="character" w:customStyle="1" w:styleId="FootnoteTextChar">
    <w:name w:val="Footnote Text Char"/>
    <w:basedOn w:val="DefaultParagraphFont"/>
    <w:link w:val="FootnoteText"/>
    <w:uiPriority w:val="99"/>
    <w:rsid w:val="000C6585"/>
    <w:rPr>
      <w:lang w:eastAsia="en-US"/>
    </w:rPr>
  </w:style>
  <w:style w:type="character" w:styleId="FootnoteReference">
    <w:name w:val="footnote reference"/>
    <w:uiPriority w:val="99"/>
    <w:rsid w:val="000C6585"/>
    <w:rPr>
      <w:vertAlign w:val="superscript"/>
    </w:rPr>
  </w:style>
  <w:style w:type="paragraph" w:styleId="TOCHeading">
    <w:name w:val="TOC Heading"/>
    <w:basedOn w:val="Heading1"/>
    <w:next w:val="Normal"/>
    <w:uiPriority w:val="39"/>
    <w:semiHidden/>
    <w:unhideWhenUsed/>
    <w:qFormat/>
    <w:rsid w:val="005211F7"/>
    <w:pPr>
      <w:spacing w:line="276" w:lineRule="auto"/>
      <w:outlineLvl w:val="9"/>
    </w:pPr>
    <w:rPr>
      <w:lang w:val="en-US" w:eastAsia="ja-JP"/>
    </w:rPr>
  </w:style>
  <w:style w:type="paragraph" w:styleId="TOC1">
    <w:name w:val="toc 1"/>
    <w:basedOn w:val="Normal"/>
    <w:next w:val="Normal"/>
    <w:autoRedefine/>
    <w:uiPriority w:val="39"/>
    <w:qFormat/>
    <w:rsid w:val="00260E4F"/>
    <w:pPr>
      <w:tabs>
        <w:tab w:val="right" w:leader="dot" w:pos="8302"/>
      </w:tabs>
      <w:spacing w:after="100"/>
    </w:pPr>
  </w:style>
  <w:style w:type="paragraph" w:styleId="TOC2">
    <w:name w:val="toc 2"/>
    <w:basedOn w:val="Normal"/>
    <w:next w:val="Normal"/>
    <w:autoRedefine/>
    <w:uiPriority w:val="39"/>
    <w:rsid w:val="00673ED0"/>
    <w:pPr>
      <w:tabs>
        <w:tab w:val="right" w:leader="dot" w:pos="8296"/>
      </w:tabs>
      <w:spacing w:after="100"/>
    </w:pPr>
    <w:rPr>
      <w:b/>
      <w:noProof/>
    </w:rPr>
  </w:style>
  <w:style w:type="character" w:styleId="Hyperlink">
    <w:name w:val="Hyperlink"/>
    <w:basedOn w:val="DefaultParagraphFont"/>
    <w:uiPriority w:val="99"/>
    <w:unhideWhenUsed/>
    <w:rsid w:val="005211F7"/>
    <w:rPr>
      <w:color w:val="0000FF" w:themeColor="hyperlink"/>
      <w:u w:val="single"/>
    </w:rPr>
  </w:style>
  <w:style w:type="paragraph" w:styleId="BalloonText">
    <w:name w:val="Balloon Text"/>
    <w:basedOn w:val="Normal"/>
    <w:link w:val="BalloonTextChar"/>
    <w:uiPriority w:val="99"/>
    <w:rsid w:val="005211F7"/>
    <w:rPr>
      <w:rFonts w:ascii="Tahoma" w:hAnsi="Tahoma" w:cs="Tahoma"/>
      <w:sz w:val="16"/>
      <w:szCs w:val="16"/>
    </w:rPr>
  </w:style>
  <w:style w:type="character" w:customStyle="1" w:styleId="BalloonTextChar">
    <w:name w:val="Balloon Text Char"/>
    <w:basedOn w:val="DefaultParagraphFont"/>
    <w:link w:val="BalloonText"/>
    <w:uiPriority w:val="99"/>
    <w:rsid w:val="005211F7"/>
    <w:rPr>
      <w:rFonts w:ascii="Tahoma" w:hAnsi="Tahoma" w:cs="Tahoma"/>
      <w:sz w:val="16"/>
      <w:szCs w:val="16"/>
      <w:lang w:eastAsia="en-US"/>
    </w:rPr>
  </w:style>
  <w:style w:type="character" w:customStyle="1" w:styleId="Heading3Char">
    <w:name w:val="Heading 3 Char"/>
    <w:basedOn w:val="DefaultParagraphFont"/>
    <w:link w:val="Heading3"/>
    <w:rsid w:val="005211F7"/>
    <w:rPr>
      <w:rFonts w:asciiTheme="majorHAnsi" w:eastAsiaTheme="majorEastAsia" w:hAnsiTheme="majorHAnsi" w:cstheme="majorBidi"/>
      <w:b/>
      <w:bCs/>
      <w:color w:val="4F81BD" w:themeColor="accent1"/>
      <w:sz w:val="24"/>
      <w:szCs w:val="24"/>
      <w:lang w:eastAsia="en-US"/>
    </w:rPr>
  </w:style>
  <w:style w:type="paragraph" w:styleId="TOC3">
    <w:name w:val="toc 3"/>
    <w:basedOn w:val="Normal"/>
    <w:next w:val="Normal"/>
    <w:autoRedefine/>
    <w:uiPriority w:val="39"/>
    <w:rsid w:val="00F80FB9"/>
    <w:pPr>
      <w:tabs>
        <w:tab w:val="right" w:leader="dot" w:pos="8302"/>
      </w:tabs>
      <w:spacing w:after="100"/>
      <w:ind w:left="480"/>
    </w:pPr>
  </w:style>
  <w:style w:type="character" w:styleId="Emphasis">
    <w:name w:val="Emphasis"/>
    <w:basedOn w:val="DefaultParagraphFont"/>
    <w:qFormat/>
    <w:rsid w:val="009F0676"/>
    <w:rPr>
      <w:i/>
      <w:iCs/>
    </w:rPr>
  </w:style>
  <w:style w:type="character" w:customStyle="1" w:styleId="Heading4Char">
    <w:name w:val="Heading 4 Char"/>
    <w:basedOn w:val="DefaultParagraphFont"/>
    <w:link w:val="Heading4"/>
    <w:rsid w:val="009F0676"/>
    <w:rPr>
      <w:rFonts w:asciiTheme="majorHAnsi" w:eastAsiaTheme="majorEastAsia" w:hAnsiTheme="majorHAnsi" w:cstheme="majorBidi"/>
      <w:b/>
      <w:bCs/>
      <w:i/>
      <w:iCs/>
      <w:color w:val="4F81BD" w:themeColor="accent1"/>
      <w:sz w:val="24"/>
      <w:szCs w:val="24"/>
      <w:lang w:eastAsia="zh-CN"/>
    </w:rPr>
  </w:style>
  <w:style w:type="character" w:customStyle="1" w:styleId="Heading5Char">
    <w:name w:val="Heading 5 Char"/>
    <w:basedOn w:val="DefaultParagraphFont"/>
    <w:link w:val="Heading5"/>
    <w:rsid w:val="009F0676"/>
    <w:rPr>
      <w:i/>
      <w:sz w:val="22"/>
      <w:lang w:val="en-GB" w:eastAsia="en-US"/>
    </w:rPr>
  </w:style>
  <w:style w:type="paragraph" w:styleId="BodyText">
    <w:name w:val="Body Text"/>
    <w:basedOn w:val="Normal"/>
    <w:link w:val="BodyTextChar"/>
    <w:rsid w:val="009F0676"/>
    <w:pPr>
      <w:tabs>
        <w:tab w:val="num" w:pos="720"/>
      </w:tabs>
      <w:spacing w:after="240"/>
      <w:jc w:val="both"/>
    </w:pPr>
    <w:rPr>
      <w:sz w:val="22"/>
      <w:szCs w:val="20"/>
      <w:lang w:val="en-GB"/>
    </w:rPr>
  </w:style>
  <w:style w:type="character" w:customStyle="1" w:styleId="BodyTextChar">
    <w:name w:val="Body Text Char"/>
    <w:basedOn w:val="DefaultParagraphFont"/>
    <w:link w:val="BodyText"/>
    <w:rsid w:val="009F0676"/>
    <w:rPr>
      <w:sz w:val="22"/>
      <w:lang w:val="en-GB" w:eastAsia="en-US"/>
    </w:rPr>
  </w:style>
  <w:style w:type="paragraph" w:styleId="PlainText">
    <w:name w:val="Plain Text"/>
    <w:basedOn w:val="Normal"/>
    <w:link w:val="PlainTextChar"/>
    <w:uiPriority w:val="99"/>
    <w:unhideWhenUsed/>
    <w:rsid w:val="00DA0C9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A0C90"/>
    <w:rPr>
      <w:rFonts w:ascii="Calibri" w:eastAsiaTheme="minorHAnsi" w:hAnsi="Calibri" w:cstheme="minorBidi"/>
      <w:sz w:val="22"/>
      <w:szCs w:val="21"/>
      <w:lang w:eastAsia="en-US"/>
    </w:rPr>
  </w:style>
  <w:style w:type="paragraph" w:customStyle="1" w:styleId="paranormaltext">
    <w:name w:val="paranormaltext"/>
    <w:basedOn w:val="Normal"/>
    <w:rsid w:val="00A368C8"/>
    <w:pPr>
      <w:spacing w:before="100" w:beforeAutospacing="1" w:after="100" w:afterAutospacing="1"/>
    </w:pPr>
    <w:rPr>
      <w:sz w:val="20"/>
      <w:szCs w:val="20"/>
      <w:lang w:eastAsia="en-AU"/>
    </w:rPr>
  </w:style>
  <w:style w:type="paragraph" w:styleId="NormalWeb">
    <w:name w:val="Normal (Web)"/>
    <w:basedOn w:val="Normal"/>
    <w:uiPriority w:val="99"/>
    <w:rsid w:val="00ED2A71"/>
    <w:rPr>
      <w:rFonts w:eastAsia="MS Mincho"/>
      <w:lang w:val="en-US"/>
    </w:rPr>
  </w:style>
  <w:style w:type="paragraph" w:customStyle="1" w:styleId="ListParagraph1">
    <w:name w:val="List Paragraph1"/>
    <w:basedOn w:val="Normal"/>
    <w:uiPriority w:val="99"/>
    <w:rsid w:val="00ED2A71"/>
    <w:pPr>
      <w:ind w:left="720"/>
      <w:contextualSpacing/>
    </w:pPr>
    <w:rPr>
      <w:rFonts w:eastAsia="MS Mincho"/>
      <w:lang w:val="en-US"/>
    </w:rPr>
  </w:style>
  <w:style w:type="character" w:customStyle="1" w:styleId="Heading6Char">
    <w:name w:val="Heading 6 Char"/>
    <w:basedOn w:val="DefaultParagraphFont"/>
    <w:link w:val="Heading6"/>
    <w:rsid w:val="001C3A56"/>
    <w:rPr>
      <w:rFonts w:asciiTheme="majorHAnsi" w:eastAsiaTheme="majorEastAsia" w:hAnsiTheme="majorHAnsi" w:cstheme="majorBidi"/>
      <w:i/>
      <w:iCs/>
      <w:color w:val="243F60" w:themeColor="accent1" w:themeShade="7F"/>
      <w:sz w:val="24"/>
      <w:szCs w:val="24"/>
      <w:lang w:eastAsia="en-US"/>
    </w:rPr>
  </w:style>
  <w:style w:type="character" w:styleId="CommentReference">
    <w:name w:val="annotation reference"/>
    <w:basedOn w:val="DefaultParagraphFont"/>
    <w:uiPriority w:val="99"/>
    <w:rsid w:val="00D3237B"/>
    <w:rPr>
      <w:sz w:val="16"/>
      <w:szCs w:val="16"/>
    </w:rPr>
  </w:style>
  <w:style w:type="paragraph" w:styleId="CommentText">
    <w:name w:val="annotation text"/>
    <w:basedOn w:val="Normal"/>
    <w:link w:val="CommentTextChar"/>
    <w:uiPriority w:val="99"/>
    <w:rsid w:val="00D3237B"/>
    <w:rPr>
      <w:sz w:val="20"/>
      <w:szCs w:val="20"/>
    </w:rPr>
  </w:style>
  <w:style w:type="character" w:customStyle="1" w:styleId="CommentTextChar">
    <w:name w:val="Comment Text Char"/>
    <w:basedOn w:val="DefaultParagraphFont"/>
    <w:link w:val="CommentText"/>
    <w:uiPriority w:val="99"/>
    <w:rsid w:val="00D3237B"/>
    <w:rPr>
      <w:lang w:eastAsia="en-US"/>
    </w:rPr>
  </w:style>
  <w:style w:type="paragraph" w:styleId="CommentSubject">
    <w:name w:val="annotation subject"/>
    <w:basedOn w:val="CommentText"/>
    <w:next w:val="CommentText"/>
    <w:link w:val="CommentSubjectChar"/>
    <w:uiPriority w:val="99"/>
    <w:rsid w:val="00D3237B"/>
    <w:rPr>
      <w:b/>
      <w:bCs/>
    </w:rPr>
  </w:style>
  <w:style w:type="character" w:customStyle="1" w:styleId="CommentSubjectChar">
    <w:name w:val="Comment Subject Char"/>
    <w:basedOn w:val="CommentTextChar"/>
    <w:link w:val="CommentSubject"/>
    <w:uiPriority w:val="99"/>
    <w:rsid w:val="00D3237B"/>
    <w:rPr>
      <w:b/>
      <w:bCs/>
      <w:lang w:eastAsia="en-US"/>
    </w:rPr>
  </w:style>
  <w:style w:type="numbering" w:customStyle="1" w:styleId="NoList1">
    <w:name w:val="No List1"/>
    <w:next w:val="NoList"/>
    <w:uiPriority w:val="99"/>
    <w:semiHidden/>
    <w:unhideWhenUsed/>
    <w:rsid w:val="00805A4D"/>
  </w:style>
  <w:style w:type="character" w:styleId="PageNumber">
    <w:name w:val="page number"/>
    <w:basedOn w:val="DefaultParagraphFont"/>
    <w:uiPriority w:val="99"/>
    <w:rsid w:val="00805A4D"/>
    <w:rPr>
      <w:rFonts w:cs="Times New Roman"/>
    </w:rPr>
  </w:style>
  <w:style w:type="character" w:customStyle="1" w:styleId="HeaderChar1">
    <w:name w:val="Header Char1"/>
    <w:uiPriority w:val="99"/>
    <w:locked/>
    <w:rsid w:val="00805A4D"/>
    <w:rPr>
      <w:rFonts w:ascii="Times New Roman" w:eastAsia="MS Mincho" w:hAnsi="Times New Roman"/>
      <w:sz w:val="24"/>
      <w:lang w:val="en-US"/>
    </w:rPr>
  </w:style>
  <w:style w:type="paragraph" w:styleId="EndnoteText">
    <w:name w:val="endnote text"/>
    <w:basedOn w:val="Normal"/>
    <w:link w:val="EndnoteTextChar"/>
    <w:uiPriority w:val="99"/>
    <w:rsid w:val="00805A4D"/>
    <w:rPr>
      <w:rFonts w:eastAsia="MS Mincho"/>
      <w:sz w:val="20"/>
      <w:szCs w:val="20"/>
      <w:lang w:val="en-US" w:eastAsia="en-GB"/>
    </w:rPr>
  </w:style>
  <w:style w:type="character" w:customStyle="1" w:styleId="EndnoteTextChar">
    <w:name w:val="Endnote Text Char"/>
    <w:basedOn w:val="DefaultParagraphFont"/>
    <w:link w:val="EndnoteText"/>
    <w:uiPriority w:val="99"/>
    <w:rsid w:val="00805A4D"/>
    <w:rPr>
      <w:rFonts w:eastAsia="MS Mincho"/>
      <w:lang w:val="en-US" w:eastAsia="en-GB"/>
    </w:rPr>
  </w:style>
  <w:style w:type="character" w:styleId="EndnoteReference">
    <w:name w:val="endnote reference"/>
    <w:basedOn w:val="DefaultParagraphFont"/>
    <w:uiPriority w:val="99"/>
    <w:rsid w:val="00805A4D"/>
    <w:rPr>
      <w:rFonts w:cs="Times New Roman"/>
      <w:vertAlign w:val="superscript"/>
    </w:rPr>
  </w:style>
  <w:style w:type="character" w:customStyle="1" w:styleId="CommentTextChar1">
    <w:name w:val="Comment Text Char1"/>
    <w:uiPriority w:val="99"/>
    <w:locked/>
    <w:rsid w:val="00805A4D"/>
    <w:rPr>
      <w:rFonts w:ascii="Times New Roman" w:eastAsia="MS Mincho" w:hAnsi="Times New Roman"/>
      <w:lang w:val="en-US" w:eastAsia="en-US"/>
    </w:rPr>
  </w:style>
  <w:style w:type="paragraph" w:customStyle="1" w:styleId="Style">
    <w:name w:val="Style"/>
    <w:uiPriority w:val="99"/>
    <w:rsid w:val="00805A4D"/>
    <w:pPr>
      <w:autoSpaceDE w:val="0"/>
      <w:autoSpaceDN w:val="0"/>
      <w:adjustRightInd w:val="0"/>
    </w:pPr>
    <w:rPr>
      <w:rFonts w:ascii="Arial" w:eastAsia="Batang" w:hAnsi="Arial"/>
      <w:sz w:val="24"/>
      <w:szCs w:val="24"/>
      <w:lang w:val="en-CA" w:eastAsia="en-CA"/>
    </w:rPr>
  </w:style>
  <w:style w:type="character" w:customStyle="1" w:styleId="apple-converted-space">
    <w:name w:val="apple-converted-space"/>
    <w:basedOn w:val="DefaultParagraphFont"/>
    <w:uiPriority w:val="99"/>
    <w:rsid w:val="00805A4D"/>
    <w:rPr>
      <w:rFonts w:cs="Times New Roman"/>
    </w:rPr>
  </w:style>
  <w:style w:type="paragraph" w:styleId="Revision">
    <w:name w:val="Revision"/>
    <w:hidden/>
    <w:uiPriority w:val="99"/>
    <w:semiHidden/>
    <w:rsid w:val="00805A4D"/>
    <w:rPr>
      <w:rFonts w:eastAsia="MS Mincho"/>
      <w:sz w:val="24"/>
      <w:szCs w:val="24"/>
      <w:lang w:val="en-US" w:eastAsia="en-US"/>
    </w:rPr>
  </w:style>
  <w:style w:type="table" w:customStyle="1" w:styleId="TableGrid1">
    <w:name w:val="Table Grid1"/>
    <w:basedOn w:val="TableNormal"/>
    <w:next w:val="TableGrid"/>
    <w:locked/>
    <w:rsid w:val="00805A4D"/>
    <w:rPr>
      <w:rFonts w:ascii="Calibri" w:eastAsia="PMingLiU"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678C3"/>
    <w:rPr>
      <w:b/>
      <w:bCs/>
    </w:rPr>
  </w:style>
  <w:style w:type="paragraph" w:styleId="Subtitle">
    <w:name w:val="Subtitle"/>
    <w:basedOn w:val="Normal"/>
    <w:next w:val="Normal"/>
    <w:link w:val="SubtitleChar"/>
    <w:uiPriority w:val="99"/>
    <w:qFormat/>
    <w:rsid w:val="00182CC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99"/>
    <w:rsid w:val="00182CC9"/>
    <w:rPr>
      <w:rFonts w:asciiTheme="majorHAnsi" w:eastAsiaTheme="majorEastAsia" w:hAnsiTheme="majorHAnsi" w:cstheme="majorBidi"/>
      <w:i/>
      <w:iCs/>
      <w:color w:val="4F81BD" w:themeColor="accent1"/>
      <w:spacing w:val="15"/>
      <w:sz w:val="24"/>
      <w:szCs w:val="24"/>
      <w:lang w:eastAsia="en-US"/>
    </w:rPr>
  </w:style>
  <w:style w:type="character" w:customStyle="1" w:styleId="ListParagraphChar">
    <w:name w:val="List Paragraph Char"/>
    <w:aliases w:val="Recommendation Char,List Paragraph11 Char,Bulleted Para Char,NFP GP Bulleted List Char,FooterText Char,numbered Char,Paragraphe de liste1 Char,Bulletr List Paragraph Char,列出段落 Char,列出段落1 Char,List Paragraph2 Char,Listeafsnit1 Char"/>
    <w:basedOn w:val="DefaultParagraphFont"/>
    <w:link w:val="ListParagraph"/>
    <w:uiPriority w:val="34"/>
    <w:qFormat/>
    <w:locked/>
    <w:rsid w:val="00182CC9"/>
    <w:rPr>
      <w:sz w:val="24"/>
      <w:szCs w:val="24"/>
      <w:lang w:eastAsia="en-US"/>
    </w:rPr>
  </w:style>
  <w:style w:type="character" w:styleId="SubtleEmphasis">
    <w:name w:val="Subtle Emphasis"/>
    <w:basedOn w:val="DefaultParagraphFont"/>
    <w:uiPriority w:val="19"/>
    <w:qFormat/>
    <w:rsid w:val="00182CC9"/>
    <w:rPr>
      <w:i/>
      <w:iCs/>
      <w:color w:val="808080" w:themeColor="text1" w:themeTint="7F"/>
    </w:rPr>
  </w:style>
  <w:style w:type="character" w:customStyle="1" w:styleId="resulturl1">
    <w:name w:val="resulturl1"/>
    <w:basedOn w:val="DefaultParagraphFont"/>
    <w:rsid w:val="00182CC9"/>
    <w:rPr>
      <w:color w:val="006621"/>
      <w:sz w:val="20"/>
      <w:szCs w:val="20"/>
    </w:rPr>
  </w:style>
  <w:style w:type="character" w:styleId="HTMLCite">
    <w:name w:val="HTML Cite"/>
    <w:basedOn w:val="DefaultParagraphFont"/>
    <w:uiPriority w:val="99"/>
    <w:unhideWhenUsed/>
    <w:rsid w:val="00182CC9"/>
    <w:rPr>
      <w:i/>
      <w:iCs/>
    </w:rPr>
  </w:style>
  <w:style w:type="character" w:styleId="IntenseEmphasis">
    <w:name w:val="Intense Emphasis"/>
    <w:basedOn w:val="DefaultParagraphFont"/>
    <w:uiPriority w:val="21"/>
    <w:qFormat/>
    <w:rsid w:val="00182CC9"/>
    <w:rPr>
      <w:b/>
      <w:bCs/>
      <w:i/>
      <w:iCs/>
      <w:color w:val="4F81BD" w:themeColor="accent1"/>
    </w:rPr>
  </w:style>
  <w:style w:type="paragraph" w:styleId="NoSpacing">
    <w:name w:val="No Spacing"/>
    <w:uiPriority w:val="1"/>
    <w:qFormat/>
    <w:rsid w:val="00804C72"/>
    <w:rPr>
      <w:rFonts w:asciiTheme="minorHAnsi" w:eastAsiaTheme="minorHAnsi" w:hAnsiTheme="minorHAnsi" w:cstheme="minorBidi"/>
      <w:sz w:val="22"/>
      <w:szCs w:val="22"/>
      <w:lang w:eastAsia="en-US"/>
    </w:rPr>
  </w:style>
  <w:style w:type="character" w:styleId="FollowedHyperlink">
    <w:name w:val="FollowedHyperlink"/>
    <w:basedOn w:val="DefaultParagraphFont"/>
    <w:rsid w:val="00775B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7936">
      <w:bodyDiv w:val="1"/>
      <w:marLeft w:val="0"/>
      <w:marRight w:val="0"/>
      <w:marTop w:val="0"/>
      <w:marBottom w:val="0"/>
      <w:divBdr>
        <w:top w:val="none" w:sz="0" w:space="0" w:color="auto"/>
        <w:left w:val="none" w:sz="0" w:space="0" w:color="auto"/>
        <w:bottom w:val="none" w:sz="0" w:space="0" w:color="auto"/>
        <w:right w:val="none" w:sz="0" w:space="0" w:color="auto"/>
      </w:divBdr>
    </w:div>
    <w:div w:id="29498675">
      <w:bodyDiv w:val="1"/>
      <w:marLeft w:val="0"/>
      <w:marRight w:val="0"/>
      <w:marTop w:val="0"/>
      <w:marBottom w:val="0"/>
      <w:divBdr>
        <w:top w:val="none" w:sz="0" w:space="0" w:color="auto"/>
        <w:left w:val="none" w:sz="0" w:space="0" w:color="auto"/>
        <w:bottom w:val="none" w:sz="0" w:space="0" w:color="auto"/>
        <w:right w:val="none" w:sz="0" w:space="0" w:color="auto"/>
      </w:divBdr>
    </w:div>
    <w:div w:id="67195919">
      <w:bodyDiv w:val="1"/>
      <w:marLeft w:val="0"/>
      <w:marRight w:val="0"/>
      <w:marTop w:val="0"/>
      <w:marBottom w:val="0"/>
      <w:divBdr>
        <w:top w:val="none" w:sz="0" w:space="0" w:color="auto"/>
        <w:left w:val="none" w:sz="0" w:space="0" w:color="auto"/>
        <w:bottom w:val="none" w:sz="0" w:space="0" w:color="auto"/>
        <w:right w:val="none" w:sz="0" w:space="0" w:color="auto"/>
      </w:divBdr>
    </w:div>
    <w:div w:id="87847883">
      <w:bodyDiv w:val="1"/>
      <w:marLeft w:val="0"/>
      <w:marRight w:val="0"/>
      <w:marTop w:val="0"/>
      <w:marBottom w:val="0"/>
      <w:divBdr>
        <w:top w:val="none" w:sz="0" w:space="0" w:color="auto"/>
        <w:left w:val="none" w:sz="0" w:space="0" w:color="auto"/>
        <w:bottom w:val="none" w:sz="0" w:space="0" w:color="auto"/>
        <w:right w:val="none" w:sz="0" w:space="0" w:color="auto"/>
      </w:divBdr>
    </w:div>
    <w:div w:id="218060522">
      <w:bodyDiv w:val="1"/>
      <w:marLeft w:val="0"/>
      <w:marRight w:val="0"/>
      <w:marTop w:val="0"/>
      <w:marBottom w:val="0"/>
      <w:divBdr>
        <w:top w:val="none" w:sz="0" w:space="0" w:color="auto"/>
        <w:left w:val="none" w:sz="0" w:space="0" w:color="auto"/>
        <w:bottom w:val="none" w:sz="0" w:space="0" w:color="auto"/>
        <w:right w:val="none" w:sz="0" w:space="0" w:color="auto"/>
      </w:divBdr>
    </w:div>
    <w:div w:id="220792901">
      <w:bodyDiv w:val="1"/>
      <w:marLeft w:val="0"/>
      <w:marRight w:val="0"/>
      <w:marTop w:val="0"/>
      <w:marBottom w:val="0"/>
      <w:divBdr>
        <w:top w:val="none" w:sz="0" w:space="0" w:color="auto"/>
        <w:left w:val="none" w:sz="0" w:space="0" w:color="auto"/>
        <w:bottom w:val="none" w:sz="0" w:space="0" w:color="auto"/>
        <w:right w:val="none" w:sz="0" w:space="0" w:color="auto"/>
      </w:divBdr>
    </w:div>
    <w:div w:id="403643523">
      <w:bodyDiv w:val="1"/>
      <w:marLeft w:val="0"/>
      <w:marRight w:val="0"/>
      <w:marTop w:val="0"/>
      <w:marBottom w:val="0"/>
      <w:divBdr>
        <w:top w:val="none" w:sz="0" w:space="0" w:color="auto"/>
        <w:left w:val="none" w:sz="0" w:space="0" w:color="auto"/>
        <w:bottom w:val="none" w:sz="0" w:space="0" w:color="auto"/>
        <w:right w:val="none" w:sz="0" w:space="0" w:color="auto"/>
      </w:divBdr>
    </w:div>
    <w:div w:id="613486700">
      <w:bodyDiv w:val="1"/>
      <w:marLeft w:val="0"/>
      <w:marRight w:val="0"/>
      <w:marTop w:val="0"/>
      <w:marBottom w:val="0"/>
      <w:divBdr>
        <w:top w:val="none" w:sz="0" w:space="0" w:color="auto"/>
        <w:left w:val="none" w:sz="0" w:space="0" w:color="auto"/>
        <w:bottom w:val="none" w:sz="0" w:space="0" w:color="auto"/>
        <w:right w:val="none" w:sz="0" w:space="0" w:color="auto"/>
      </w:divBdr>
    </w:div>
    <w:div w:id="622884684">
      <w:bodyDiv w:val="1"/>
      <w:marLeft w:val="0"/>
      <w:marRight w:val="0"/>
      <w:marTop w:val="0"/>
      <w:marBottom w:val="0"/>
      <w:divBdr>
        <w:top w:val="none" w:sz="0" w:space="0" w:color="auto"/>
        <w:left w:val="none" w:sz="0" w:space="0" w:color="auto"/>
        <w:bottom w:val="none" w:sz="0" w:space="0" w:color="auto"/>
        <w:right w:val="none" w:sz="0" w:space="0" w:color="auto"/>
      </w:divBdr>
    </w:div>
    <w:div w:id="750081107">
      <w:bodyDiv w:val="1"/>
      <w:marLeft w:val="0"/>
      <w:marRight w:val="0"/>
      <w:marTop w:val="0"/>
      <w:marBottom w:val="0"/>
      <w:divBdr>
        <w:top w:val="none" w:sz="0" w:space="0" w:color="auto"/>
        <w:left w:val="none" w:sz="0" w:space="0" w:color="auto"/>
        <w:bottom w:val="none" w:sz="0" w:space="0" w:color="auto"/>
        <w:right w:val="none" w:sz="0" w:space="0" w:color="auto"/>
      </w:divBdr>
    </w:div>
    <w:div w:id="941843651">
      <w:bodyDiv w:val="1"/>
      <w:marLeft w:val="0"/>
      <w:marRight w:val="0"/>
      <w:marTop w:val="0"/>
      <w:marBottom w:val="0"/>
      <w:divBdr>
        <w:top w:val="none" w:sz="0" w:space="0" w:color="auto"/>
        <w:left w:val="none" w:sz="0" w:space="0" w:color="auto"/>
        <w:bottom w:val="none" w:sz="0" w:space="0" w:color="auto"/>
        <w:right w:val="none" w:sz="0" w:space="0" w:color="auto"/>
      </w:divBdr>
    </w:div>
    <w:div w:id="1048528442">
      <w:bodyDiv w:val="1"/>
      <w:marLeft w:val="0"/>
      <w:marRight w:val="0"/>
      <w:marTop w:val="0"/>
      <w:marBottom w:val="0"/>
      <w:divBdr>
        <w:top w:val="none" w:sz="0" w:space="0" w:color="auto"/>
        <w:left w:val="none" w:sz="0" w:space="0" w:color="auto"/>
        <w:bottom w:val="none" w:sz="0" w:space="0" w:color="auto"/>
        <w:right w:val="none" w:sz="0" w:space="0" w:color="auto"/>
      </w:divBdr>
    </w:div>
    <w:div w:id="1118336994">
      <w:bodyDiv w:val="1"/>
      <w:marLeft w:val="0"/>
      <w:marRight w:val="0"/>
      <w:marTop w:val="0"/>
      <w:marBottom w:val="0"/>
      <w:divBdr>
        <w:top w:val="none" w:sz="0" w:space="0" w:color="auto"/>
        <w:left w:val="none" w:sz="0" w:space="0" w:color="auto"/>
        <w:bottom w:val="none" w:sz="0" w:space="0" w:color="auto"/>
        <w:right w:val="none" w:sz="0" w:space="0" w:color="auto"/>
      </w:divBdr>
      <w:divsChild>
        <w:div w:id="619142249">
          <w:marLeft w:val="0"/>
          <w:marRight w:val="0"/>
          <w:marTop w:val="0"/>
          <w:marBottom w:val="0"/>
          <w:divBdr>
            <w:top w:val="none" w:sz="0" w:space="0" w:color="auto"/>
            <w:left w:val="none" w:sz="0" w:space="0" w:color="auto"/>
            <w:bottom w:val="none" w:sz="0" w:space="0" w:color="auto"/>
            <w:right w:val="none" w:sz="0" w:space="0" w:color="auto"/>
          </w:divBdr>
          <w:divsChild>
            <w:div w:id="2114933023">
              <w:marLeft w:val="0"/>
              <w:marRight w:val="0"/>
              <w:marTop w:val="0"/>
              <w:marBottom w:val="0"/>
              <w:divBdr>
                <w:top w:val="none" w:sz="0" w:space="0" w:color="auto"/>
                <w:left w:val="none" w:sz="0" w:space="0" w:color="auto"/>
                <w:bottom w:val="none" w:sz="0" w:space="0" w:color="auto"/>
                <w:right w:val="none" w:sz="0" w:space="0" w:color="auto"/>
              </w:divBdr>
              <w:divsChild>
                <w:div w:id="1804422273">
                  <w:marLeft w:val="0"/>
                  <w:marRight w:val="0"/>
                  <w:marTop w:val="0"/>
                  <w:marBottom w:val="0"/>
                  <w:divBdr>
                    <w:top w:val="none" w:sz="0" w:space="0" w:color="auto"/>
                    <w:left w:val="none" w:sz="0" w:space="0" w:color="auto"/>
                    <w:bottom w:val="none" w:sz="0" w:space="0" w:color="auto"/>
                    <w:right w:val="none" w:sz="0" w:space="0" w:color="auto"/>
                  </w:divBdr>
                  <w:divsChild>
                    <w:div w:id="2060545435">
                      <w:marLeft w:val="0"/>
                      <w:marRight w:val="0"/>
                      <w:marTop w:val="0"/>
                      <w:marBottom w:val="0"/>
                      <w:divBdr>
                        <w:top w:val="none" w:sz="0" w:space="0" w:color="auto"/>
                        <w:left w:val="none" w:sz="0" w:space="0" w:color="auto"/>
                        <w:bottom w:val="none" w:sz="0" w:space="0" w:color="auto"/>
                        <w:right w:val="none" w:sz="0" w:space="0" w:color="auto"/>
                      </w:divBdr>
                      <w:divsChild>
                        <w:div w:id="1392726061">
                          <w:marLeft w:val="0"/>
                          <w:marRight w:val="0"/>
                          <w:marTop w:val="0"/>
                          <w:marBottom w:val="0"/>
                          <w:divBdr>
                            <w:top w:val="none" w:sz="0" w:space="0" w:color="auto"/>
                            <w:left w:val="none" w:sz="0" w:space="0" w:color="auto"/>
                            <w:bottom w:val="none" w:sz="0" w:space="0" w:color="auto"/>
                            <w:right w:val="none" w:sz="0" w:space="0" w:color="auto"/>
                          </w:divBdr>
                          <w:divsChild>
                            <w:div w:id="17040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630288">
      <w:bodyDiv w:val="1"/>
      <w:marLeft w:val="0"/>
      <w:marRight w:val="0"/>
      <w:marTop w:val="0"/>
      <w:marBottom w:val="0"/>
      <w:divBdr>
        <w:top w:val="none" w:sz="0" w:space="0" w:color="auto"/>
        <w:left w:val="none" w:sz="0" w:space="0" w:color="auto"/>
        <w:bottom w:val="none" w:sz="0" w:space="0" w:color="auto"/>
        <w:right w:val="none" w:sz="0" w:space="0" w:color="auto"/>
      </w:divBdr>
    </w:div>
    <w:div w:id="1178891467">
      <w:bodyDiv w:val="1"/>
      <w:marLeft w:val="0"/>
      <w:marRight w:val="0"/>
      <w:marTop w:val="0"/>
      <w:marBottom w:val="0"/>
      <w:divBdr>
        <w:top w:val="none" w:sz="0" w:space="0" w:color="auto"/>
        <w:left w:val="none" w:sz="0" w:space="0" w:color="auto"/>
        <w:bottom w:val="none" w:sz="0" w:space="0" w:color="auto"/>
        <w:right w:val="none" w:sz="0" w:space="0" w:color="auto"/>
      </w:divBdr>
    </w:div>
    <w:div w:id="1289703133">
      <w:bodyDiv w:val="1"/>
      <w:marLeft w:val="0"/>
      <w:marRight w:val="0"/>
      <w:marTop w:val="0"/>
      <w:marBottom w:val="0"/>
      <w:divBdr>
        <w:top w:val="none" w:sz="0" w:space="0" w:color="auto"/>
        <w:left w:val="none" w:sz="0" w:space="0" w:color="auto"/>
        <w:bottom w:val="none" w:sz="0" w:space="0" w:color="auto"/>
        <w:right w:val="none" w:sz="0" w:space="0" w:color="auto"/>
      </w:divBdr>
    </w:div>
    <w:div w:id="1416782753">
      <w:bodyDiv w:val="1"/>
      <w:marLeft w:val="0"/>
      <w:marRight w:val="0"/>
      <w:marTop w:val="0"/>
      <w:marBottom w:val="0"/>
      <w:divBdr>
        <w:top w:val="none" w:sz="0" w:space="0" w:color="auto"/>
        <w:left w:val="none" w:sz="0" w:space="0" w:color="auto"/>
        <w:bottom w:val="none" w:sz="0" w:space="0" w:color="auto"/>
        <w:right w:val="none" w:sz="0" w:space="0" w:color="auto"/>
      </w:divBdr>
      <w:divsChild>
        <w:div w:id="380133428">
          <w:marLeft w:val="0"/>
          <w:marRight w:val="0"/>
          <w:marTop w:val="0"/>
          <w:marBottom w:val="0"/>
          <w:divBdr>
            <w:top w:val="none" w:sz="0" w:space="0" w:color="auto"/>
            <w:left w:val="none" w:sz="0" w:space="0" w:color="auto"/>
            <w:bottom w:val="none" w:sz="0" w:space="0" w:color="auto"/>
            <w:right w:val="none" w:sz="0" w:space="0" w:color="auto"/>
          </w:divBdr>
          <w:divsChild>
            <w:div w:id="541596738">
              <w:marLeft w:val="0"/>
              <w:marRight w:val="0"/>
              <w:marTop w:val="0"/>
              <w:marBottom w:val="0"/>
              <w:divBdr>
                <w:top w:val="none" w:sz="0" w:space="0" w:color="auto"/>
                <w:left w:val="none" w:sz="0" w:space="0" w:color="auto"/>
                <w:bottom w:val="none" w:sz="0" w:space="0" w:color="auto"/>
                <w:right w:val="none" w:sz="0" w:space="0" w:color="auto"/>
              </w:divBdr>
              <w:divsChild>
                <w:div w:id="1942255722">
                  <w:marLeft w:val="0"/>
                  <w:marRight w:val="0"/>
                  <w:marTop w:val="0"/>
                  <w:marBottom w:val="0"/>
                  <w:divBdr>
                    <w:top w:val="none" w:sz="0" w:space="0" w:color="auto"/>
                    <w:left w:val="none" w:sz="0" w:space="0" w:color="auto"/>
                    <w:bottom w:val="none" w:sz="0" w:space="0" w:color="auto"/>
                    <w:right w:val="none" w:sz="0" w:space="0" w:color="auto"/>
                  </w:divBdr>
                  <w:divsChild>
                    <w:div w:id="677656649">
                      <w:marLeft w:val="0"/>
                      <w:marRight w:val="0"/>
                      <w:marTop w:val="0"/>
                      <w:marBottom w:val="0"/>
                      <w:divBdr>
                        <w:top w:val="none" w:sz="0" w:space="0" w:color="auto"/>
                        <w:left w:val="none" w:sz="0" w:space="0" w:color="auto"/>
                        <w:bottom w:val="none" w:sz="0" w:space="0" w:color="auto"/>
                        <w:right w:val="none" w:sz="0" w:space="0" w:color="auto"/>
                      </w:divBdr>
                      <w:divsChild>
                        <w:div w:id="144692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6750">
      <w:bodyDiv w:val="1"/>
      <w:marLeft w:val="0"/>
      <w:marRight w:val="0"/>
      <w:marTop w:val="0"/>
      <w:marBottom w:val="0"/>
      <w:divBdr>
        <w:top w:val="none" w:sz="0" w:space="0" w:color="auto"/>
        <w:left w:val="none" w:sz="0" w:space="0" w:color="auto"/>
        <w:bottom w:val="none" w:sz="0" w:space="0" w:color="auto"/>
        <w:right w:val="none" w:sz="0" w:space="0" w:color="auto"/>
      </w:divBdr>
    </w:div>
    <w:div w:id="1538195712">
      <w:bodyDiv w:val="1"/>
      <w:marLeft w:val="0"/>
      <w:marRight w:val="0"/>
      <w:marTop w:val="0"/>
      <w:marBottom w:val="0"/>
      <w:divBdr>
        <w:top w:val="none" w:sz="0" w:space="0" w:color="auto"/>
        <w:left w:val="none" w:sz="0" w:space="0" w:color="auto"/>
        <w:bottom w:val="none" w:sz="0" w:space="0" w:color="auto"/>
        <w:right w:val="none" w:sz="0" w:space="0" w:color="auto"/>
      </w:divBdr>
    </w:div>
    <w:div w:id="1569729606">
      <w:bodyDiv w:val="1"/>
      <w:marLeft w:val="0"/>
      <w:marRight w:val="0"/>
      <w:marTop w:val="0"/>
      <w:marBottom w:val="0"/>
      <w:divBdr>
        <w:top w:val="none" w:sz="0" w:space="0" w:color="auto"/>
        <w:left w:val="none" w:sz="0" w:space="0" w:color="auto"/>
        <w:bottom w:val="none" w:sz="0" w:space="0" w:color="auto"/>
        <w:right w:val="none" w:sz="0" w:space="0" w:color="auto"/>
      </w:divBdr>
    </w:div>
    <w:div w:id="1609897865">
      <w:bodyDiv w:val="1"/>
      <w:marLeft w:val="0"/>
      <w:marRight w:val="0"/>
      <w:marTop w:val="0"/>
      <w:marBottom w:val="0"/>
      <w:divBdr>
        <w:top w:val="none" w:sz="0" w:space="0" w:color="auto"/>
        <w:left w:val="none" w:sz="0" w:space="0" w:color="auto"/>
        <w:bottom w:val="none" w:sz="0" w:space="0" w:color="auto"/>
        <w:right w:val="none" w:sz="0" w:space="0" w:color="auto"/>
      </w:divBdr>
    </w:div>
    <w:div w:id="1652714466">
      <w:bodyDiv w:val="1"/>
      <w:marLeft w:val="0"/>
      <w:marRight w:val="0"/>
      <w:marTop w:val="0"/>
      <w:marBottom w:val="0"/>
      <w:divBdr>
        <w:top w:val="none" w:sz="0" w:space="0" w:color="auto"/>
        <w:left w:val="none" w:sz="0" w:space="0" w:color="auto"/>
        <w:bottom w:val="none" w:sz="0" w:space="0" w:color="auto"/>
        <w:right w:val="none" w:sz="0" w:space="0" w:color="auto"/>
      </w:divBdr>
      <w:divsChild>
        <w:div w:id="1125462893">
          <w:marLeft w:val="547"/>
          <w:marRight w:val="0"/>
          <w:marTop w:val="0"/>
          <w:marBottom w:val="0"/>
          <w:divBdr>
            <w:top w:val="none" w:sz="0" w:space="0" w:color="auto"/>
            <w:left w:val="none" w:sz="0" w:space="0" w:color="auto"/>
            <w:bottom w:val="none" w:sz="0" w:space="0" w:color="auto"/>
            <w:right w:val="none" w:sz="0" w:space="0" w:color="auto"/>
          </w:divBdr>
        </w:div>
        <w:div w:id="636493974">
          <w:marLeft w:val="547"/>
          <w:marRight w:val="0"/>
          <w:marTop w:val="0"/>
          <w:marBottom w:val="0"/>
          <w:divBdr>
            <w:top w:val="none" w:sz="0" w:space="0" w:color="auto"/>
            <w:left w:val="none" w:sz="0" w:space="0" w:color="auto"/>
            <w:bottom w:val="none" w:sz="0" w:space="0" w:color="auto"/>
            <w:right w:val="none" w:sz="0" w:space="0" w:color="auto"/>
          </w:divBdr>
        </w:div>
        <w:div w:id="561521335">
          <w:marLeft w:val="547"/>
          <w:marRight w:val="0"/>
          <w:marTop w:val="0"/>
          <w:marBottom w:val="0"/>
          <w:divBdr>
            <w:top w:val="none" w:sz="0" w:space="0" w:color="auto"/>
            <w:left w:val="none" w:sz="0" w:space="0" w:color="auto"/>
            <w:bottom w:val="none" w:sz="0" w:space="0" w:color="auto"/>
            <w:right w:val="none" w:sz="0" w:space="0" w:color="auto"/>
          </w:divBdr>
        </w:div>
      </w:divsChild>
    </w:div>
    <w:div w:id="1669089870">
      <w:bodyDiv w:val="1"/>
      <w:marLeft w:val="0"/>
      <w:marRight w:val="0"/>
      <w:marTop w:val="0"/>
      <w:marBottom w:val="0"/>
      <w:divBdr>
        <w:top w:val="none" w:sz="0" w:space="0" w:color="auto"/>
        <w:left w:val="none" w:sz="0" w:space="0" w:color="auto"/>
        <w:bottom w:val="none" w:sz="0" w:space="0" w:color="auto"/>
        <w:right w:val="none" w:sz="0" w:space="0" w:color="auto"/>
      </w:divBdr>
    </w:div>
    <w:div w:id="1759252837">
      <w:bodyDiv w:val="1"/>
      <w:marLeft w:val="0"/>
      <w:marRight w:val="0"/>
      <w:marTop w:val="0"/>
      <w:marBottom w:val="0"/>
      <w:divBdr>
        <w:top w:val="none" w:sz="0" w:space="0" w:color="auto"/>
        <w:left w:val="none" w:sz="0" w:space="0" w:color="auto"/>
        <w:bottom w:val="none" w:sz="0" w:space="0" w:color="auto"/>
        <w:right w:val="none" w:sz="0" w:space="0" w:color="auto"/>
      </w:divBdr>
    </w:div>
    <w:div w:id="1873422707">
      <w:bodyDiv w:val="1"/>
      <w:marLeft w:val="0"/>
      <w:marRight w:val="0"/>
      <w:marTop w:val="0"/>
      <w:marBottom w:val="0"/>
      <w:divBdr>
        <w:top w:val="none" w:sz="0" w:space="0" w:color="auto"/>
        <w:left w:val="none" w:sz="0" w:space="0" w:color="auto"/>
        <w:bottom w:val="none" w:sz="0" w:space="0" w:color="auto"/>
        <w:right w:val="none" w:sz="0" w:space="0" w:color="auto"/>
      </w:divBdr>
    </w:div>
    <w:div w:id="2015063907">
      <w:bodyDiv w:val="1"/>
      <w:marLeft w:val="0"/>
      <w:marRight w:val="0"/>
      <w:marTop w:val="0"/>
      <w:marBottom w:val="0"/>
      <w:divBdr>
        <w:top w:val="none" w:sz="0" w:space="0" w:color="auto"/>
        <w:left w:val="none" w:sz="0" w:space="0" w:color="auto"/>
        <w:bottom w:val="none" w:sz="0" w:space="0" w:color="auto"/>
        <w:right w:val="none" w:sz="0" w:space="0" w:color="auto"/>
      </w:divBdr>
      <w:divsChild>
        <w:div w:id="2015841665">
          <w:marLeft w:val="0"/>
          <w:marRight w:val="0"/>
          <w:marTop w:val="0"/>
          <w:marBottom w:val="0"/>
          <w:divBdr>
            <w:top w:val="none" w:sz="0" w:space="0" w:color="auto"/>
            <w:left w:val="none" w:sz="0" w:space="0" w:color="auto"/>
            <w:bottom w:val="none" w:sz="0" w:space="0" w:color="auto"/>
            <w:right w:val="none" w:sz="0" w:space="0" w:color="auto"/>
          </w:divBdr>
          <w:divsChild>
            <w:div w:id="1406537929">
              <w:marLeft w:val="0"/>
              <w:marRight w:val="0"/>
              <w:marTop w:val="0"/>
              <w:marBottom w:val="0"/>
              <w:divBdr>
                <w:top w:val="none" w:sz="0" w:space="0" w:color="auto"/>
                <w:left w:val="none" w:sz="0" w:space="0" w:color="auto"/>
                <w:bottom w:val="none" w:sz="0" w:space="0" w:color="auto"/>
                <w:right w:val="none" w:sz="0" w:space="0" w:color="auto"/>
              </w:divBdr>
              <w:divsChild>
                <w:div w:id="571740987">
                  <w:marLeft w:val="0"/>
                  <w:marRight w:val="0"/>
                  <w:marTop w:val="0"/>
                  <w:marBottom w:val="0"/>
                  <w:divBdr>
                    <w:top w:val="none" w:sz="0" w:space="0" w:color="auto"/>
                    <w:left w:val="none" w:sz="0" w:space="0" w:color="auto"/>
                    <w:bottom w:val="none" w:sz="0" w:space="0" w:color="auto"/>
                    <w:right w:val="none" w:sz="0" w:space="0" w:color="auto"/>
                  </w:divBdr>
                  <w:divsChild>
                    <w:div w:id="1945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730730">
      <w:bodyDiv w:val="1"/>
      <w:marLeft w:val="0"/>
      <w:marRight w:val="0"/>
      <w:marTop w:val="0"/>
      <w:marBottom w:val="0"/>
      <w:divBdr>
        <w:top w:val="none" w:sz="0" w:space="0" w:color="auto"/>
        <w:left w:val="none" w:sz="0" w:space="0" w:color="auto"/>
        <w:bottom w:val="none" w:sz="0" w:space="0" w:color="auto"/>
        <w:right w:val="none" w:sz="0" w:space="0" w:color="auto"/>
      </w:divBdr>
    </w:div>
    <w:div w:id="2054648280">
      <w:bodyDiv w:val="1"/>
      <w:marLeft w:val="0"/>
      <w:marRight w:val="0"/>
      <w:marTop w:val="0"/>
      <w:marBottom w:val="0"/>
      <w:divBdr>
        <w:top w:val="none" w:sz="0" w:space="0" w:color="auto"/>
        <w:left w:val="none" w:sz="0" w:space="0" w:color="auto"/>
        <w:bottom w:val="none" w:sz="0" w:space="0" w:color="auto"/>
        <w:right w:val="none" w:sz="0" w:space="0" w:color="auto"/>
      </w:divBdr>
    </w:div>
    <w:div w:id="2061634780">
      <w:bodyDiv w:val="1"/>
      <w:marLeft w:val="0"/>
      <w:marRight w:val="0"/>
      <w:marTop w:val="0"/>
      <w:marBottom w:val="0"/>
      <w:divBdr>
        <w:top w:val="none" w:sz="0" w:space="0" w:color="auto"/>
        <w:left w:val="none" w:sz="0" w:space="0" w:color="auto"/>
        <w:bottom w:val="none" w:sz="0" w:space="0" w:color="auto"/>
        <w:right w:val="none" w:sz="0" w:space="0" w:color="auto"/>
      </w:divBdr>
    </w:div>
    <w:div w:id="2111008335">
      <w:bodyDiv w:val="1"/>
      <w:marLeft w:val="0"/>
      <w:marRight w:val="0"/>
      <w:marTop w:val="0"/>
      <w:marBottom w:val="0"/>
      <w:divBdr>
        <w:top w:val="none" w:sz="0" w:space="0" w:color="auto"/>
        <w:left w:val="none" w:sz="0" w:space="0" w:color="auto"/>
        <w:bottom w:val="none" w:sz="0" w:space="0" w:color="auto"/>
        <w:right w:val="none" w:sz="0" w:space="0" w:color="auto"/>
      </w:divBdr>
    </w:div>
    <w:div w:id="211216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microsoft.com/office/2007/relationships/diagramDrawing" Target="diagrams/drawing1.xml"/><Relationship Id="rId26" Type="http://schemas.openxmlformats.org/officeDocument/2006/relationships/hyperlink" Target="http://en.wikipedia.org/wiki/New_Zealand" TargetMode="External"/><Relationship Id="rId39" Type="http://schemas.openxmlformats.org/officeDocument/2006/relationships/diagramQuickStyle" Target="diagrams/quickStyle3.xml"/><Relationship Id="rId3" Type="http://schemas.openxmlformats.org/officeDocument/2006/relationships/styles" Target="styles.xml"/><Relationship Id="rId21" Type="http://schemas.openxmlformats.org/officeDocument/2006/relationships/hyperlink" Target="http://en.wikipedia.org/wiki/Canada" TargetMode="External"/><Relationship Id="rId34" Type="http://schemas.openxmlformats.org/officeDocument/2006/relationships/diagramQuickStyle" Target="diagrams/quickStyle2.xml"/><Relationship Id="rId42" Type="http://schemas.openxmlformats.org/officeDocument/2006/relationships/hyperlink" Target="https://www.wto.org/english/res_e/statis_e/itip_e.htm" TargetMode="External"/><Relationship Id="rId47" Type="http://schemas.openxmlformats.org/officeDocument/2006/relationships/hyperlink" Target="http://e15initiative.org/themes/services/" TargetMode="Externa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diagramColors" Target="diagrams/colors1.xml"/><Relationship Id="rId25" Type="http://schemas.openxmlformats.org/officeDocument/2006/relationships/hyperlink" Target="http://en.wikipedia.org/wiki/Mexico" TargetMode="External"/><Relationship Id="rId33" Type="http://schemas.openxmlformats.org/officeDocument/2006/relationships/diagramLayout" Target="diagrams/layout2.xml"/><Relationship Id="rId38" Type="http://schemas.openxmlformats.org/officeDocument/2006/relationships/diagramLayout" Target="diagrams/layout3.xml"/><Relationship Id="rId46" Type="http://schemas.openxmlformats.org/officeDocument/2006/relationships/hyperlink" Target="http://e15initiative.org/" TargetMode="Externa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en.wikipedia.org/wiki/Brunei" TargetMode="External"/><Relationship Id="rId29" Type="http://schemas.openxmlformats.org/officeDocument/2006/relationships/hyperlink" Target="http://en.wikipedia.org/wiki/United_States" TargetMode="External"/><Relationship Id="rId41"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en.wikipedia.org/wiki/Malaysia" TargetMode="External"/><Relationship Id="rId32" Type="http://schemas.openxmlformats.org/officeDocument/2006/relationships/diagramData" Target="diagrams/data2.xml"/><Relationship Id="rId37" Type="http://schemas.openxmlformats.org/officeDocument/2006/relationships/diagramData" Target="diagrams/data3.xml"/><Relationship Id="rId40" Type="http://schemas.openxmlformats.org/officeDocument/2006/relationships/diagramColors" Target="diagrams/colors3.xml"/><Relationship Id="rId45" Type="http://schemas.openxmlformats.org/officeDocument/2006/relationships/hyperlink" Target="http://www.weforum.org/reports/enabling-trade-valuation-action" TargetMode="Externa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hyperlink" Target="http://en.wikipedia.org/wiki/Japan" TargetMode="External"/><Relationship Id="rId28" Type="http://schemas.openxmlformats.org/officeDocument/2006/relationships/hyperlink" Target="http://en.wikipedia.org/wiki/Singapore" TargetMode="External"/><Relationship Id="rId36" Type="http://schemas.microsoft.com/office/2007/relationships/diagramDrawing" Target="diagrams/drawing2.xm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en.wikipedia.org/wiki/Australia" TargetMode="External"/><Relationship Id="rId31" Type="http://schemas.openxmlformats.org/officeDocument/2006/relationships/image" Target="media/image2.jpeg"/><Relationship Id="rId44" Type="http://schemas.openxmlformats.org/officeDocument/2006/relationships/hyperlink" Target="http://www.weforum.org/reports/global-competitiveness-report-2014-201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Data" Target="diagrams/data1.xml"/><Relationship Id="rId22" Type="http://schemas.openxmlformats.org/officeDocument/2006/relationships/hyperlink" Target="http://en.wikipedia.org/wiki/Chile" TargetMode="External"/><Relationship Id="rId27" Type="http://schemas.openxmlformats.org/officeDocument/2006/relationships/hyperlink" Target="http://en.wikipedia.org/wiki/Peru" TargetMode="External"/><Relationship Id="rId30" Type="http://schemas.openxmlformats.org/officeDocument/2006/relationships/hyperlink" Target="http://en.wikipedia.org/wiki/Vietnam" TargetMode="External"/><Relationship Id="rId35" Type="http://schemas.openxmlformats.org/officeDocument/2006/relationships/diagramColors" Target="diagrams/colors2.xml"/><Relationship Id="rId43" Type="http://schemas.openxmlformats.org/officeDocument/2006/relationships/hyperlink" Target="http://www.globalinnovationindex.org" TargetMode="External"/><Relationship Id="rId48"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asialink.unimelb.edu.au/asialink_business/research_initiatives/australias-jobs-future-the-rise-of-asia-and-the-services-opportunity"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TITAN\CHCH\Clients\mfransen\Docs\Offline%20Records%20(CH)\Productivity%20Commission%20report%20on%20services%202014%20-%20TRADE%20-%20ADVICE\Services%20Statistics%20-%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AU"/>
              <a:t>Services</a:t>
            </a:r>
            <a:r>
              <a:rPr lang="en-AU" baseline="0"/>
              <a:t> </a:t>
            </a:r>
            <a:r>
              <a:rPr lang="en-AU"/>
              <a:t>contribution to GDP 2014 </a:t>
            </a:r>
          </a:p>
        </c:rich>
      </c:tx>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'Chart 1'!$B$1:$B$4</c:f>
              <c:strCache>
                <c:ptCount val="1"/>
                <c:pt idx="0">
                  <c:v>Growth in Real GDP 2004 to 2014 2004 to 2014 A$bn</c:v>
                </c:pt>
              </c:strCache>
            </c:strRef>
          </c:tx>
          <c:cat>
            <c:strRef>
              <c:f>'Chart 1'!$A$5:$A$9</c:f>
              <c:strCache>
                <c:ptCount val="5"/>
                <c:pt idx="0">
                  <c:v>Agriculture, forestry &amp; fishing</c:v>
                </c:pt>
                <c:pt idx="1">
                  <c:v>Mining</c:v>
                </c:pt>
                <c:pt idx="2">
                  <c:v>Manufacturing</c:v>
                </c:pt>
                <c:pt idx="3">
                  <c:v>Services</c:v>
                </c:pt>
                <c:pt idx="4">
                  <c:v>Other</c:v>
                </c:pt>
              </c:strCache>
            </c:strRef>
          </c:cat>
          <c:val>
            <c:numRef>
              <c:f>'Chart 1'!$B$5:$B$9</c:f>
              <c:numCache>
                <c:formatCode>#,##0.0</c:formatCode>
                <c:ptCount val="5"/>
                <c:pt idx="0">
                  <c:v>6.3620000000000001</c:v>
                </c:pt>
                <c:pt idx="1">
                  <c:v>60.264000000000003</c:v>
                </c:pt>
                <c:pt idx="2">
                  <c:v>-5.24</c:v>
                </c:pt>
                <c:pt idx="3">
                  <c:v>273.68700000000001</c:v>
                </c:pt>
                <c:pt idx="4">
                  <c:v>45.267000000000003</c:v>
                </c:pt>
              </c:numCache>
            </c:numRef>
          </c:val>
        </c:ser>
        <c:ser>
          <c:idx val="1"/>
          <c:order val="1"/>
          <c:tx>
            <c:strRef>
              <c:f>'Chart 1'!$C$1:$C$4</c:f>
              <c:strCache>
                <c:ptCount val="1"/>
                <c:pt idx="0">
                  <c:v>Growth in Real GDP 2004 to 2014 Share %</c:v>
                </c:pt>
              </c:strCache>
            </c:strRef>
          </c:tx>
          <c:cat>
            <c:strRef>
              <c:f>'Chart 1'!$A$5:$A$9</c:f>
              <c:strCache>
                <c:ptCount val="5"/>
                <c:pt idx="0">
                  <c:v>Agriculture, forestry &amp; fishing</c:v>
                </c:pt>
                <c:pt idx="1">
                  <c:v>Mining</c:v>
                </c:pt>
                <c:pt idx="2">
                  <c:v>Manufacturing</c:v>
                </c:pt>
                <c:pt idx="3">
                  <c:v>Services</c:v>
                </c:pt>
                <c:pt idx="4">
                  <c:v>Other</c:v>
                </c:pt>
              </c:strCache>
            </c:strRef>
          </c:cat>
          <c:val>
            <c:numRef>
              <c:f>'Chart 1'!$C$5:$C$9</c:f>
              <c:numCache>
                <c:formatCode>0.0</c:formatCode>
                <c:ptCount val="5"/>
                <c:pt idx="0">
                  <c:v>1.6727138875742757</c:v>
                </c:pt>
                <c:pt idx="1">
                  <c:v>15.844770468528161</c:v>
                </c:pt>
                <c:pt idx="2">
                  <c:v>-1.3777146763422203</c:v>
                </c:pt>
                <c:pt idx="3">
                  <c:v>71.958510806120842</c:v>
                </c:pt>
                <c:pt idx="4">
                  <c:v>11.901719514118948</c:v>
                </c:pt>
              </c:numCache>
            </c:numRef>
          </c:val>
        </c:ser>
        <c:dLbls>
          <c:showLegendKey val="0"/>
          <c:showVal val="0"/>
          <c:showCatName val="0"/>
          <c:showSerName val="0"/>
          <c:showPercent val="0"/>
          <c:showBubbleSize val="0"/>
          <c:showLeaderLines val="1"/>
        </c:dLbls>
      </c:pie3DChart>
    </c:plotArea>
    <c:legend>
      <c:legendPos val="r"/>
      <c:layout/>
      <c:overlay val="0"/>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988407699037624E-2"/>
          <c:y val="0.10695610965296004"/>
          <c:w val="0.91061023622047244"/>
          <c:h val="0.67236439195100606"/>
        </c:manualLayout>
      </c:layout>
      <c:barChart>
        <c:barDir val="col"/>
        <c:grouping val="clustered"/>
        <c:varyColors val="0"/>
        <c:ser>
          <c:idx val="0"/>
          <c:order val="0"/>
          <c:tx>
            <c:strRef>
              <c:f>Sheet1!$B$2</c:f>
              <c:strCache>
                <c:ptCount val="1"/>
                <c:pt idx="0">
                  <c:v>2004</c:v>
                </c:pt>
              </c:strCache>
            </c:strRef>
          </c:tx>
          <c:invertIfNegative val="0"/>
          <c:cat>
            <c:strRef>
              <c:f>Sheet1!$A$3:$A$7</c:f>
              <c:strCache>
                <c:ptCount val="5"/>
                <c:pt idx="0">
                  <c:v>Education-related travel services</c:v>
                </c:pt>
                <c:pt idx="1">
                  <c:v>Other personal travel services</c:v>
                </c:pt>
                <c:pt idx="2">
                  <c:v>Professional services</c:v>
                </c:pt>
                <c:pt idx="3">
                  <c:v>Technical &amp; other business services</c:v>
                </c:pt>
                <c:pt idx="4">
                  <c:v>Financial services</c:v>
                </c:pt>
              </c:strCache>
            </c:strRef>
          </c:cat>
          <c:val>
            <c:numRef>
              <c:f>Sheet1!$B$3:$B$7</c:f>
              <c:numCache>
                <c:formatCode>General</c:formatCode>
                <c:ptCount val="5"/>
                <c:pt idx="0">
                  <c:v>8.3000000000000007</c:v>
                </c:pt>
                <c:pt idx="1">
                  <c:v>10.6</c:v>
                </c:pt>
                <c:pt idx="2">
                  <c:v>2.1</c:v>
                </c:pt>
                <c:pt idx="3">
                  <c:v>1.9</c:v>
                </c:pt>
                <c:pt idx="4">
                  <c:v>1.3</c:v>
                </c:pt>
              </c:numCache>
            </c:numRef>
          </c:val>
        </c:ser>
        <c:ser>
          <c:idx val="1"/>
          <c:order val="1"/>
          <c:tx>
            <c:strRef>
              <c:f>Sheet1!$C$2</c:f>
              <c:strCache>
                <c:ptCount val="1"/>
                <c:pt idx="0">
                  <c:v>2014</c:v>
                </c:pt>
              </c:strCache>
            </c:strRef>
          </c:tx>
          <c:invertIfNegative val="0"/>
          <c:cat>
            <c:strRef>
              <c:f>Sheet1!$A$3:$A$7</c:f>
              <c:strCache>
                <c:ptCount val="5"/>
                <c:pt idx="0">
                  <c:v>Education-related travel services</c:v>
                </c:pt>
                <c:pt idx="1">
                  <c:v>Other personal travel services</c:v>
                </c:pt>
                <c:pt idx="2">
                  <c:v>Professional services</c:v>
                </c:pt>
                <c:pt idx="3">
                  <c:v>Technical &amp; other business services</c:v>
                </c:pt>
                <c:pt idx="4">
                  <c:v>Financial services</c:v>
                </c:pt>
              </c:strCache>
            </c:strRef>
          </c:cat>
          <c:val>
            <c:numRef>
              <c:f>Sheet1!$C$3:$C$7</c:f>
              <c:numCache>
                <c:formatCode>General</c:formatCode>
                <c:ptCount val="5"/>
                <c:pt idx="0">
                  <c:v>17</c:v>
                </c:pt>
                <c:pt idx="1">
                  <c:v>14.3</c:v>
                </c:pt>
                <c:pt idx="2">
                  <c:v>4.8</c:v>
                </c:pt>
                <c:pt idx="3">
                  <c:v>3.3</c:v>
                </c:pt>
                <c:pt idx="4">
                  <c:v>3.3</c:v>
                </c:pt>
              </c:numCache>
            </c:numRef>
          </c:val>
        </c:ser>
        <c:dLbls>
          <c:showLegendKey val="0"/>
          <c:showVal val="0"/>
          <c:showCatName val="0"/>
          <c:showSerName val="0"/>
          <c:showPercent val="0"/>
          <c:showBubbleSize val="0"/>
        </c:dLbls>
        <c:gapWidth val="150"/>
        <c:axId val="110934656"/>
        <c:axId val="110944640"/>
      </c:barChart>
      <c:catAx>
        <c:axId val="110934656"/>
        <c:scaling>
          <c:orientation val="minMax"/>
        </c:scaling>
        <c:delete val="0"/>
        <c:axPos val="b"/>
        <c:majorTickMark val="out"/>
        <c:minorTickMark val="none"/>
        <c:tickLblPos val="nextTo"/>
        <c:crossAx val="110944640"/>
        <c:crosses val="autoZero"/>
        <c:auto val="1"/>
        <c:lblAlgn val="ctr"/>
        <c:lblOffset val="100"/>
        <c:noMultiLvlLbl val="0"/>
      </c:catAx>
      <c:valAx>
        <c:axId val="110944640"/>
        <c:scaling>
          <c:orientation val="minMax"/>
        </c:scaling>
        <c:delete val="0"/>
        <c:axPos val="l"/>
        <c:numFmt formatCode="General" sourceLinked="1"/>
        <c:majorTickMark val="out"/>
        <c:minorTickMark val="none"/>
        <c:tickLblPos val="nextTo"/>
        <c:crossAx val="110934656"/>
        <c:crosses val="autoZero"/>
        <c:crossBetween val="between"/>
      </c:valAx>
      <c:spPr>
        <a:noFill/>
      </c:spPr>
    </c:plotArea>
    <c:legend>
      <c:legendPos val="r"/>
      <c:layout>
        <c:manualLayout>
          <c:xMode val="edge"/>
          <c:yMode val="edge"/>
          <c:x val="0.85204308836395448"/>
          <c:y val="0.17091243802857975"/>
          <c:w val="0.10351246719160105"/>
          <c:h val="0.16743438320209975"/>
        </c:manualLayout>
      </c:layout>
      <c:overlay val="0"/>
    </c:legend>
    <c:plotVisOnly val="1"/>
    <c:dispBlanksAs val="gap"/>
    <c:showDLblsOverMax val="0"/>
  </c:chart>
  <c:spPr>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3BBD15-5CB3-4A4C-9B15-0DC1490F0BB4}" type="doc">
      <dgm:prSet loTypeId="urn:microsoft.com/office/officeart/2009/3/layout/OpposingIdeas" loCatId="relationship" qsTypeId="urn:microsoft.com/office/officeart/2005/8/quickstyle/simple3" qsCatId="simple" csTypeId="urn:microsoft.com/office/officeart/2005/8/colors/accent1_2" csCatId="accent1" phldr="1"/>
      <dgm:spPr/>
      <dgm:t>
        <a:bodyPr/>
        <a:lstStyle/>
        <a:p>
          <a:endParaRPr lang="en-AU"/>
        </a:p>
      </dgm:t>
    </dgm:pt>
    <dgm:pt modelId="{703F5385-C1E3-44B6-9487-C095E4DD1297}">
      <dgm:prSet phldrT="[Text]"/>
      <dgm:spPr>
        <a:xfrm rot="16200000">
          <a:off x="-673008" y="792910"/>
          <a:ext cx="2215134" cy="629313"/>
        </a:xfrm>
        <a:solidFill>
          <a:srgbClr val="4F81BD">
            <a:tint val="50000"/>
            <a:hueOff val="0"/>
            <a:satOff val="0"/>
            <a:lumOff val="0"/>
            <a:alphaOff val="0"/>
          </a:srgbClr>
        </a:solidFill>
        <a:ln w="9525"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AU" b="1">
              <a:solidFill>
                <a:sysClr val="windowText" lastClr="000000">
                  <a:hueOff val="0"/>
                  <a:satOff val="0"/>
                  <a:lumOff val="0"/>
                  <a:alphaOff val="0"/>
                </a:sysClr>
              </a:solidFill>
              <a:latin typeface="Calibri"/>
              <a:ea typeface="+mn-ea"/>
              <a:cs typeface="+mn-cs"/>
            </a:rPr>
            <a:t>POSITIVE LIST</a:t>
          </a:r>
          <a:r>
            <a:rPr lang="en-AU">
              <a:solidFill>
                <a:sysClr val="windowText" lastClr="000000">
                  <a:hueOff val="0"/>
                  <a:satOff val="0"/>
                  <a:lumOff val="0"/>
                  <a:alphaOff val="0"/>
                </a:sysClr>
              </a:solidFill>
              <a:latin typeface="Calibri"/>
              <a:ea typeface="+mn-ea"/>
              <a:cs typeface="+mn-cs"/>
            </a:rPr>
            <a:t> </a:t>
          </a:r>
        </a:p>
      </dgm:t>
    </dgm:pt>
    <dgm:pt modelId="{4BC33071-38F2-42A8-AE4F-10A5B14DE45E}" type="parTrans" cxnId="{D70B84EF-28EE-4AED-BFB8-96D04076E0BA}">
      <dgm:prSet/>
      <dgm:spPr/>
      <dgm:t>
        <a:bodyPr/>
        <a:lstStyle/>
        <a:p>
          <a:endParaRPr lang="en-AU"/>
        </a:p>
      </dgm:t>
    </dgm:pt>
    <dgm:pt modelId="{83EEC2B3-99A3-40BA-BDAB-835D03F9E371}" type="sibTrans" cxnId="{D70B84EF-28EE-4AED-BFB8-96D04076E0BA}">
      <dgm:prSet/>
      <dgm:spPr/>
      <dgm:t>
        <a:bodyPr/>
        <a:lstStyle/>
        <a:p>
          <a:endParaRPr lang="en-AU"/>
        </a:p>
      </dgm:t>
    </dgm:pt>
    <dgm:pt modelId="{7FECFB57-F0DB-4258-8B0F-1DD213154244}">
      <dgm:prSet phldrT="[Text]"/>
      <dgm:spPr>
        <a:xfrm>
          <a:off x="875077" y="676846"/>
          <a:ext cx="1636214" cy="1722881"/>
        </a:xfrm>
        <a:noFill/>
        <a:ln>
          <a:noFill/>
        </a:ln>
        <a:effectLst/>
        <a:sp3d/>
      </dgm:spPr>
      <dgm:t>
        <a:bodyPr/>
        <a:lstStyle/>
        <a:p>
          <a:r>
            <a:rPr lang="en-US">
              <a:solidFill>
                <a:sysClr val="windowText" lastClr="000000">
                  <a:hueOff val="0"/>
                  <a:satOff val="0"/>
                  <a:lumOff val="0"/>
                  <a:alphaOff val="0"/>
                </a:sysClr>
              </a:solidFill>
              <a:latin typeface="Calibri"/>
              <a:ea typeface="+mn-ea"/>
              <a:cs typeface="+mn-cs"/>
            </a:rPr>
            <a:t>Market access and national treatment obligations only apply to services and service suppliers/investors and investments to the extent that Parties make specific commitments.</a:t>
          </a:r>
          <a:endParaRPr lang="en-AU">
            <a:solidFill>
              <a:sysClr val="windowText" lastClr="000000">
                <a:hueOff val="0"/>
                <a:satOff val="0"/>
                <a:lumOff val="0"/>
                <a:alphaOff val="0"/>
              </a:sysClr>
            </a:solidFill>
            <a:latin typeface="Calibri"/>
            <a:ea typeface="+mn-ea"/>
            <a:cs typeface="+mn-cs"/>
          </a:endParaRPr>
        </a:p>
      </dgm:t>
    </dgm:pt>
    <dgm:pt modelId="{19BF11EE-6414-404C-9C66-37A9854C5096}" type="parTrans" cxnId="{E84E0164-5973-44B5-B99F-B9E313546C94}">
      <dgm:prSet/>
      <dgm:spPr/>
      <dgm:t>
        <a:bodyPr/>
        <a:lstStyle/>
        <a:p>
          <a:endParaRPr lang="en-AU"/>
        </a:p>
      </dgm:t>
    </dgm:pt>
    <dgm:pt modelId="{6704EEC6-77D5-4AFF-ACCB-EDEABFBAF1D4}" type="sibTrans" cxnId="{E84E0164-5973-44B5-B99F-B9E313546C94}">
      <dgm:prSet/>
      <dgm:spPr/>
      <dgm:t>
        <a:bodyPr/>
        <a:lstStyle/>
        <a:p>
          <a:endParaRPr lang="en-AU"/>
        </a:p>
      </dgm:t>
    </dgm:pt>
    <dgm:pt modelId="{300EF7F4-1EE9-4603-81A4-843E6CFD13EA}">
      <dgm:prSet phldrT="[Text]"/>
      <dgm:spPr>
        <a:xfrm rot="5400000">
          <a:off x="3732184" y="1654351"/>
          <a:ext cx="2215134" cy="629313"/>
        </a:xfrm>
        <a:solidFill>
          <a:srgbClr val="4F81BD">
            <a:tint val="50000"/>
            <a:hueOff val="0"/>
            <a:satOff val="0"/>
            <a:lumOff val="0"/>
            <a:alphaOff val="0"/>
          </a:srgbClr>
        </a:solidFill>
        <a:ln w="9525"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AU" b="1">
              <a:solidFill>
                <a:sysClr val="windowText" lastClr="000000">
                  <a:hueOff val="0"/>
                  <a:satOff val="0"/>
                  <a:lumOff val="0"/>
                  <a:alphaOff val="0"/>
                </a:sysClr>
              </a:solidFill>
              <a:latin typeface="Calibri"/>
              <a:ea typeface="+mn-ea"/>
              <a:cs typeface="+mn-cs"/>
            </a:rPr>
            <a:t>NEGATIVE LIST</a:t>
          </a:r>
          <a:r>
            <a:rPr lang="en-AU">
              <a:solidFill>
                <a:sysClr val="windowText" lastClr="000000">
                  <a:hueOff val="0"/>
                  <a:satOff val="0"/>
                  <a:lumOff val="0"/>
                  <a:alphaOff val="0"/>
                </a:sysClr>
              </a:solidFill>
              <a:latin typeface="Calibri"/>
              <a:ea typeface="+mn-ea"/>
              <a:cs typeface="+mn-cs"/>
            </a:rPr>
            <a:t> </a:t>
          </a:r>
        </a:p>
      </dgm:t>
    </dgm:pt>
    <dgm:pt modelId="{51629693-B6F5-454E-8876-BB78774E19AB}" type="parTrans" cxnId="{E0935679-5ED1-4B80-ABD7-ECCEADF02CE5}">
      <dgm:prSet/>
      <dgm:spPr/>
      <dgm:t>
        <a:bodyPr/>
        <a:lstStyle/>
        <a:p>
          <a:endParaRPr lang="en-AU"/>
        </a:p>
      </dgm:t>
    </dgm:pt>
    <dgm:pt modelId="{F56603D4-7323-442E-9BF1-18D288CF5DF8}" type="sibTrans" cxnId="{E0935679-5ED1-4B80-ABD7-ECCEADF02CE5}">
      <dgm:prSet/>
      <dgm:spPr/>
      <dgm:t>
        <a:bodyPr/>
        <a:lstStyle/>
        <a:p>
          <a:endParaRPr lang="en-AU"/>
        </a:p>
      </dgm:t>
    </dgm:pt>
    <dgm:pt modelId="{76E475A6-53AE-4421-984E-2EC4BE943D8F}">
      <dgm:prSet/>
      <dgm:spPr>
        <a:xfrm>
          <a:off x="2763017" y="676846"/>
          <a:ext cx="1636214" cy="1722881"/>
        </a:xfrm>
        <a:noFill/>
        <a:ln>
          <a:noFill/>
        </a:ln>
        <a:effectLst/>
        <a:sp3d/>
      </dgm:spPr>
      <dgm:t>
        <a:bodyPr/>
        <a:lstStyle/>
        <a:p>
          <a:endParaRPr lang="en-AU">
            <a:solidFill>
              <a:sysClr val="windowText" lastClr="000000">
                <a:hueOff val="0"/>
                <a:satOff val="0"/>
                <a:lumOff val="0"/>
                <a:alphaOff val="0"/>
              </a:sysClr>
            </a:solidFill>
            <a:latin typeface="Calibri"/>
            <a:ea typeface="+mn-ea"/>
            <a:cs typeface="+mn-cs"/>
          </a:endParaRPr>
        </a:p>
      </dgm:t>
    </dgm:pt>
    <dgm:pt modelId="{EAF8A652-A49F-45FF-9260-B8B2A5EB3CD2}" type="parTrans" cxnId="{56038AA2-E088-4EE0-B6F2-DF41C6E9EB69}">
      <dgm:prSet/>
      <dgm:spPr/>
      <dgm:t>
        <a:bodyPr/>
        <a:lstStyle/>
        <a:p>
          <a:endParaRPr lang="en-AU"/>
        </a:p>
      </dgm:t>
    </dgm:pt>
    <dgm:pt modelId="{00A4FD72-404E-4C2D-A616-FC1600E8AA7F}" type="sibTrans" cxnId="{56038AA2-E088-4EE0-B6F2-DF41C6E9EB69}">
      <dgm:prSet/>
      <dgm:spPr/>
      <dgm:t>
        <a:bodyPr/>
        <a:lstStyle/>
        <a:p>
          <a:endParaRPr lang="en-AU"/>
        </a:p>
      </dgm:t>
    </dgm:pt>
    <dgm:pt modelId="{BF787CA1-212E-4260-B568-EEF3AD6F827D}">
      <dgm:prSet/>
      <dgm:spPr>
        <a:xfrm>
          <a:off x="2763017" y="676846"/>
          <a:ext cx="1636214" cy="1722881"/>
        </a:xfrm>
        <a:noFill/>
        <a:ln>
          <a:noFill/>
        </a:ln>
        <a:effectLst/>
        <a:sp3d/>
      </dgm:spPr>
      <dgm:t>
        <a:bodyPr/>
        <a:lstStyle/>
        <a:p>
          <a:r>
            <a:rPr lang="en-AU">
              <a:solidFill>
                <a:sysClr val="windowText" lastClr="000000">
                  <a:hueOff val="0"/>
                  <a:satOff val="0"/>
                  <a:lumOff val="0"/>
                  <a:alphaOff val="0"/>
                </a:sysClr>
              </a:solidFill>
              <a:latin typeface="Calibri"/>
              <a:ea typeface="+mn-ea"/>
              <a:cs typeface="+mn-cs"/>
            </a:rPr>
            <a:t>Trade agreements:</a:t>
          </a:r>
        </a:p>
      </dgm:t>
    </dgm:pt>
    <dgm:pt modelId="{2CC79069-9767-45CF-88B6-8801E3BDFFB2}" type="parTrans" cxnId="{EDD3DF97-2D97-4767-AA59-90222E4BF1E2}">
      <dgm:prSet/>
      <dgm:spPr/>
      <dgm:t>
        <a:bodyPr/>
        <a:lstStyle/>
        <a:p>
          <a:endParaRPr lang="en-AU"/>
        </a:p>
      </dgm:t>
    </dgm:pt>
    <dgm:pt modelId="{8FD7B569-3212-4E97-9AC6-C6FB8B2EF03F}" type="sibTrans" cxnId="{EDD3DF97-2D97-4767-AA59-90222E4BF1E2}">
      <dgm:prSet/>
      <dgm:spPr/>
      <dgm:t>
        <a:bodyPr/>
        <a:lstStyle/>
        <a:p>
          <a:endParaRPr lang="en-AU"/>
        </a:p>
      </dgm:t>
    </dgm:pt>
    <dgm:pt modelId="{137CE2CA-3490-4A04-881F-B7F4C2526176}">
      <dgm:prSet/>
      <dgm:spPr>
        <a:xfrm>
          <a:off x="2763017" y="676846"/>
          <a:ext cx="1636214" cy="1722881"/>
        </a:xfrm>
        <a:noFill/>
        <a:ln>
          <a:noFill/>
        </a:ln>
        <a:effectLst/>
        <a:sp3d/>
      </dgm:spPr>
      <dgm:t>
        <a:bodyPr/>
        <a:lstStyle/>
        <a:p>
          <a:r>
            <a:rPr lang="en-AU">
              <a:solidFill>
                <a:sysClr val="windowText" lastClr="000000">
                  <a:hueOff val="0"/>
                  <a:satOff val="0"/>
                  <a:lumOff val="0"/>
                  <a:alphaOff val="0"/>
                </a:sysClr>
              </a:solidFill>
              <a:latin typeface="Calibri"/>
              <a:ea typeface="+mn-ea"/>
              <a:cs typeface="+mn-cs"/>
            </a:rPr>
            <a:t>SAFTA, AUSFTA, ACI-FTA, KAFTA, JAEPA, ChAFTA (Australia)</a:t>
          </a:r>
        </a:p>
      </dgm:t>
    </dgm:pt>
    <dgm:pt modelId="{A7D3BB0C-24E9-475D-BA4D-FFC415C6E4FB}" type="parTrans" cxnId="{AD052ECA-008C-4271-B030-62E244E86B66}">
      <dgm:prSet/>
      <dgm:spPr/>
      <dgm:t>
        <a:bodyPr/>
        <a:lstStyle/>
        <a:p>
          <a:endParaRPr lang="en-AU"/>
        </a:p>
      </dgm:t>
    </dgm:pt>
    <dgm:pt modelId="{5C4B790B-6A43-496F-9034-F90EC4E517A8}" type="sibTrans" cxnId="{AD052ECA-008C-4271-B030-62E244E86B66}">
      <dgm:prSet/>
      <dgm:spPr/>
      <dgm:t>
        <a:bodyPr/>
        <a:lstStyle/>
        <a:p>
          <a:endParaRPr lang="en-AU"/>
        </a:p>
      </dgm:t>
    </dgm:pt>
    <dgm:pt modelId="{522C6A2A-F783-436F-862C-728630D5F9B9}">
      <dgm:prSet phldrT="[Text]"/>
      <dgm:spPr>
        <a:xfrm>
          <a:off x="2763017" y="676846"/>
          <a:ext cx="1636214" cy="1722881"/>
        </a:xfrm>
        <a:noFill/>
        <a:ln>
          <a:noFill/>
        </a:ln>
        <a:effectLst/>
        <a:sp3d/>
      </dgm:spPr>
      <dgm:t>
        <a:bodyPr/>
        <a:lstStyle/>
        <a:p>
          <a:r>
            <a:rPr lang="en-US">
              <a:solidFill>
                <a:sysClr val="windowText" lastClr="000000">
                  <a:hueOff val="0"/>
                  <a:satOff val="0"/>
                  <a:lumOff val="0"/>
                  <a:alphaOff val="0"/>
                </a:sysClr>
              </a:solidFill>
              <a:latin typeface="Calibri"/>
              <a:ea typeface="+mn-ea"/>
              <a:cs typeface="+mn-cs"/>
            </a:rPr>
            <a:t>Market access and national treatment obligations apply to all services and service suppliers/investors and investments unless a reservation is made.</a:t>
          </a:r>
          <a:endParaRPr lang="en-AU">
            <a:solidFill>
              <a:sysClr val="windowText" lastClr="000000">
                <a:hueOff val="0"/>
                <a:satOff val="0"/>
                <a:lumOff val="0"/>
                <a:alphaOff val="0"/>
              </a:sysClr>
            </a:solidFill>
            <a:latin typeface="Calibri"/>
            <a:ea typeface="+mn-ea"/>
            <a:cs typeface="+mn-cs"/>
          </a:endParaRPr>
        </a:p>
      </dgm:t>
    </dgm:pt>
    <dgm:pt modelId="{D12A829E-336A-48EB-8427-E9FACE83F130}" type="sibTrans" cxnId="{FCDF12D7-EF33-4CA7-85AD-A2F5F7C5E71D}">
      <dgm:prSet/>
      <dgm:spPr/>
      <dgm:t>
        <a:bodyPr/>
        <a:lstStyle/>
        <a:p>
          <a:endParaRPr lang="en-AU"/>
        </a:p>
      </dgm:t>
    </dgm:pt>
    <dgm:pt modelId="{F4EB394F-39A9-4CBE-91AD-2DE6BB3F9CEA}" type="parTrans" cxnId="{FCDF12D7-EF33-4CA7-85AD-A2F5F7C5E71D}">
      <dgm:prSet/>
      <dgm:spPr/>
      <dgm:t>
        <a:bodyPr/>
        <a:lstStyle/>
        <a:p>
          <a:endParaRPr lang="en-AU"/>
        </a:p>
      </dgm:t>
    </dgm:pt>
    <dgm:pt modelId="{81911A93-98DC-4275-AC60-E9E284D838DD}">
      <dgm:prSet/>
      <dgm:spPr>
        <a:xfrm>
          <a:off x="875077" y="676846"/>
          <a:ext cx="1636214" cy="1722881"/>
        </a:xfrm>
        <a:noFill/>
        <a:ln>
          <a:noFill/>
        </a:ln>
        <a:effectLst/>
        <a:sp3d/>
      </dgm:spPr>
      <dgm:t>
        <a:bodyPr/>
        <a:lstStyle/>
        <a:p>
          <a:r>
            <a:rPr lang="en-US">
              <a:solidFill>
                <a:sysClr val="windowText" lastClr="000000">
                  <a:hueOff val="0"/>
                  <a:satOff val="0"/>
                  <a:lumOff val="0"/>
                  <a:alphaOff val="0"/>
                </a:sysClr>
              </a:solidFill>
              <a:latin typeface="Calibri"/>
              <a:ea typeface="+mn-ea"/>
              <a:cs typeface="+mn-cs"/>
            </a:rPr>
            <a:t>Trade agreements:</a:t>
          </a:r>
          <a:endParaRPr lang="en-AU">
            <a:solidFill>
              <a:sysClr val="windowText" lastClr="000000">
                <a:hueOff val="0"/>
                <a:satOff val="0"/>
                <a:lumOff val="0"/>
                <a:alphaOff val="0"/>
              </a:sysClr>
            </a:solidFill>
            <a:latin typeface="Calibri"/>
            <a:ea typeface="+mn-ea"/>
            <a:cs typeface="+mn-cs"/>
          </a:endParaRPr>
        </a:p>
      </dgm:t>
    </dgm:pt>
    <dgm:pt modelId="{3D7E04C8-8DA8-4728-8FFB-0B1DA0FECD84}" type="parTrans" cxnId="{CFA964DF-6A0C-4F48-85B1-7F358D3F76A1}">
      <dgm:prSet/>
      <dgm:spPr/>
      <dgm:t>
        <a:bodyPr/>
        <a:lstStyle/>
        <a:p>
          <a:endParaRPr lang="en-AU"/>
        </a:p>
      </dgm:t>
    </dgm:pt>
    <dgm:pt modelId="{F1C2B0BA-FED0-443C-92A6-90F861537C00}" type="sibTrans" cxnId="{CFA964DF-6A0C-4F48-85B1-7F358D3F76A1}">
      <dgm:prSet/>
      <dgm:spPr/>
      <dgm:t>
        <a:bodyPr/>
        <a:lstStyle/>
        <a:p>
          <a:endParaRPr lang="en-AU"/>
        </a:p>
      </dgm:t>
    </dgm:pt>
    <dgm:pt modelId="{F7766991-EEA8-4E62-AC02-A2575ABDEF05}">
      <dgm:prSet/>
      <dgm:spPr>
        <a:xfrm>
          <a:off x="875077" y="676846"/>
          <a:ext cx="1636214" cy="1722881"/>
        </a:xfrm>
        <a:noFill/>
        <a:ln>
          <a:noFill/>
        </a:ln>
        <a:effectLst/>
        <a:sp3d/>
      </dgm:spPr>
      <dgm:t>
        <a:bodyPr/>
        <a:lstStyle/>
        <a:p>
          <a:r>
            <a:rPr lang="en-US">
              <a:solidFill>
                <a:sysClr val="windowText" lastClr="000000">
                  <a:hueOff val="0"/>
                  <a:satOff val="0"/>
                  <a:lumOff val="0"/>
                  <a:alphaOff val="0"/>
                </a:sysClr>
              </a:solidFill>
              <a:latin typeface="Calibri"/>
              <a:ea typeface="+mn-ea"/>
              <a:cs typeface="+mn-cs"/>
            </a:rPr>
            <a:t>GATS, TAFTA, AANZFTA, MAFTA, ChAFTA (China)</a:t>
          </a:r>
          <a:endParaRPr lang="en-AU">
            <a:solidFill>
              <a:sysClr val="windowText" lastClr="000000">
                <a:hueOff val="0"/>
                <a:satOff val="0"/>
                <a:lumOff val="0"/>
                <a:alphaOff val="0"/>
              </a:sysClr>
            </a:solidFill>
            <a:latin typeface="Calibri"/>
            <a:ea typeface="+mn-ea"/>
            <a:cs typeface="+mn-cs"/>
          </a:endParaRPr>
        </a:p>
      </dgm:t>
    </dgm:pt>
    <dgm:pt modelId="{7C28FD5F-E4D9-4C24-804A-2491CD5436E6}" type="parTrans" cxnId="{206554A2-69A3-48EC-A751-84A4C3797054}">
      <dgm:prSet/>
      <dgm:spPr/>
      <dgm:t>
        <a:bodyPr/>
        <a:lstStyle/>
        <a:p>
          <a:endParaRPr lang="en-AU"/>
        </a:p>
      </dgm:t>
    </dgm:pt>
    <dgm:pt modelId="{016F8713-CF53-4C31-AC77-E5975FF561A6}" type="sibTrans" cxnId="{206554A2-69A3-48EC-A751-84A4C3797054}">
      <dgm:prSet/>
      <dgm:spPr/>
      <dgm:t>
        <a:bodyPr/>
        <a:lstStyle/>
        <a:p>
          <a:endParaRPr lang="en-AU"/>
        </a:p>
      </dgm:t>
    </dgm:pt>
    <dgm:pt modelId="{0D8BE8BD-C5D9-4BC8-8A52-50DFF7F70832}" type="pres">
      <dgm:prSet presAssocID="{B73BBD15-5CB3-4A4C-9B15-0DC1490F0BB4}" presName="Name0" presStyleCnt="0">
        <dgm:presLayoutVars>
          <dgm:chMax val="2"/>
          <dgm:dir/>
          <dgm:animOne val="branch"/>
          <dgm:animLvl val="lvl"/>
          <dgm:resizeHandles val="exact"/>
        </dgm:presLayoutVars>
      </dgm:prSet>
      <dgm:spPr/>
      <dgm:t>
        <a:bodyPr/>
        <a:lstStyle/>
        <a:p>
          <a:endParaRPr lang="en-AU"/>
        </a:p>
      </dgm:t>
    </dgm:pt>
    <dgm:pt modelId="{AF3CB63F-493C-4931-B1E2-1197D2C582BA}" type="pres">
      <dgm:prSet presAssocID="{B73BBD15-5CB3-4A4C-9B15-0DC1490F0BB4}" presName="Background" presStyleLbl="node1" presStyleIdx="0" presStyleCnt="1"/>
      <dgm:spPr>
        <a:xfrm>
          <a:off x="749214" y="523017"/>
          <a:ext cx="3775880" cy="2030539"/>
        </a:xfrm>
        <a:prstGeom prst="round2DiagRect">
          <a:avLst>
            <a:gd name="adj1" fmla="val 0"/>
            <a:gd name="adj2" fmla="val 1667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en-AU"/>
        </a:p>
      </dgm:t>
    </dgm:pt>
    <dgm:pt modelId="{1D5C026C-7ED2-49A6-B063-DDB306459D0D}" type="pres">
      <dgm:prSet presAssocID="{B73BBD15-5CB3-4A4C-9B15-0DC1490F0BB4}" presName="Divider" presStyleLbl="callout" presStyleIdx="0" presStyleCnt="1"/>
      <dgm:spPr>
        <a:xfrm>
          <a:off x="2637155" y="738377"/>
          <a:ext cx="503" cy="1599818"/>
        </a:xfrm>
        <a:prstGeom prst="lin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w="9525" cap="flat" cmpd="sng" algn="ctr">
          <a:solidFill>
            <a:srgbClr val="4F81BD">
              <a:tint val="50000"/>
              <a:hueOff val="0"/>
              <a:satOff val="0"/>
              <a:lumOff val="0"/>
              <a:alphaOff val="0"/>
            </a:srgbClr>
          </a:solidFill>
          <a:prstDash val="solid"/>
        </a:ln>
        <a:effectLst>
          <a:outerShdw blurRad="40000" dist="20000" dir="5400000" rotWithShape="0">
            <a:srgbClr val="000000">
              <a:alpha val="38000"/>
            </a:srgbClr>
          </a:outerShdw>
        </a:effectLst>
      </dgm:spPr>
      <dgm:t>
        <a:bodyPr/>
        <a:lstStyle/>
        <a:p>
          <a:endParaRPr lang="en-AU"/>
        </a:p>
      </dgm:t>
    </dgm:pt>
    <dgm:pt modelId="{C52DD2A6-0C4E-45E4-962D-4485251039D3}" type="pres">
      <dgm:prSet presAssocID="{B73BBD15-5CB3-4A4C-9B15-0DC1490F0BB4}" presName="ChildText1" presStyleLbl="revTx" presStyleIdx="0" presStyleCnt="0">
        <dgm:presLayoutVars>
          <dgm:chMax val="0"/>
          <dgm:chPref val="0"/>
          <dgm:bulletEnabled val="1"/>
        </dgm:presLayoutVars>
      </dgm:prSet>
      <dgm:spPr>
        <a:prstGeom prst="rect">
          <a:avLst/>
        </a:prstGeom>
      </dgm:spPr>
      <dgm:t>
        <a:bodyPr/>
        <a:lstStyle/>
        <a:p>
          <a:endParaRPr lang="en-AU"/>
        </a:p>
      </dgm:t>
    </dgm:pt>
    <dgm:pt modelId="{DEC653AD-9292-40B3-8F7C-6B7412BD50C4}" type="pres">
      <dgm:prSet presAssocID="{B73BBD15-5CB3-4A4C-9B15-0DC1490F0BB4}" presName="ChildText2" presStyleLbl="revTx" presStyleIdx="0" presStyleCnt="0">
        <dgm:presLayoutVars>
          <dgm:chMax val="0"/>
          <dgm:chPref val="0"/>
          <dgm:bulletEnabled val="1"/>
        </dgm:presLayoutVars>
      </dgm:prSet>
      <dgm:spPr>
        <a:prstGeom prst="rect">
          <a:avLst/>
        </a:prstGeom>
      </dgm:spPr>
      <dgm:t>
        <a:bodyPr/>
        <a:lstStyle/>
        <a:p>
          <a:endParaRPr lang="en-AU"/>
        </a:p>
      </dgm:t>
    </dgm:pt>
    <dgm:pt modelId="{3057BE5E-201D-494E-A001-2E30708C603C}" type="pres">
      <dgm:prSet presAssocID="{B73BBD15-5CB3-4A4C-9B15-0DC1490F0BB4}" presName="ParentText1" presStyleLbl="revTx" presStyleIdx="0" presStyleCnt="0">
        <dgm:presLayoutVars>
          <dgm:chMax val="1"/>
          <dgm:chPref val="1"/>
        </dgm:presLayoutVars>
      </dgm:prSet>
      <dgm:spPr>
        <a:prstGeom prst="rightArrow">
          <a:avLst>
            <a:gd name="adj1" fmla="val 49830"/>
            <a:gd name="adj2" fmla="val 60660"/>
          </a:avLst>
        </a:prstGeom>
      </dgm:spPr>
      <dgm:t>
        <a:bodyPr/>
        <a:lstStyle/>
        <a:p>
          <a:endParaRPr lang="en-AU"/>
        </a:p>
      </dgm:t>
    </dgm:pt>
    <dgm:pt modelId="{49C11A4B-F29C-4305-A125-4733582AE557}" type="pres">
      <dgm:prSet presAssocID="{B73BBD15-5CB3-4A4C-9B15-0DC1490F0BB4}" presName="ParentShape1" presStyleLbl="alignImgPlace1" presStyleIdx="0" presStyleCnt="2">
        <dgm:presLayoutVars/>
      </dgm:prSet>
      <dgm:spPr/>
      <dgm:t>
        <a:bodyPr/>
        <a:lstStyle/>
        <a:p>
          <a:endParaRPr lang="en-AU"/>
        </a:p>
      </dgm:t>
    </dgm:pt>
    <dgm:pt modelId="{AF2F6B58-2F19-4479-B710-1558CAC8A3EE}" type="pres">
      <dgm:prSet presAssocID="{B73BBD15-5CB3-4A4C-9B15-0DC1490F0BB4}" presName="ParentText2" presStyleLbl="revTx" presStyleIdx="0" presStyleCnt="0">
        <dgm:presLayoutVars>
          <dgm:chMax val="1"/>
          <dgm:chPref val="1"/>
        </dgm:presLayoutVars>
      </dgm:prSet>
      <dgm:spPr>
        <a:prstGeom prst="rightArrow">
          <a:avLst>
            <a:gd name="adj1" fmla="val 49830"/>
            <a:gd name="adj2" fmla="val 60660"/>
          </a:avLst>
        </a:prstGeom>
      </dgm:spPr>
      <dgm:t>
        <a:bodyPr/>
        <a:lstStyle/>
        <a:p>
          <a:endParaRPr lang="en-AU"/>
        </a:p>
      </dgm:t>
    </dgm:pt>
    <dgm:pt modelId="{22F66031-16F2-4D35-A567-3C3698B106E9}" type="pres">
      <dgm:prSet presAssocID="{B73BBD15-5CB3-4A4C-9B15-0DC1490F0BB4}" presName="ParentShape2" presStyleLbl="alignImgPlace1" presStyleIdx="1" presStyleCnt="2">
        <dgm:presLayoutVars/>
      </dgm:prSet>
      <dgm:spPr/>
      <dgm:t>
        <a:bodyPr/>
        <a:lstStyle/>
        <a:p>
          <a:endParaRPr lang="en-AU"/>
        </a:p>
      </dgm:t>
    </dgm:pt>
  </dgm:ptLst>
  <dgm:cxnLst>
    <dgm:cxn modelId="{FCDF12D7-EF33-4CA7-85AD-A2F5F7C5E71D}" srcId="{300EF7F4-1EE9-4603-81A4-843E6CFD13EA}" destId="{522C6A2A-F783-436F-862C-728630D5F9B9}" srcOrd="0" destOrd="0" parTransId="{F4EB394F-39A9-4CBE-91AD-2DE6BB3F9CEA}" sibTransId="{D12A829E-336A-48EB-8427-E9FACE83F130}"/>
    <dgm:cxn modelId="{A292CBAF-81EE-4AA5-A215-392BA73ABB2E}" type="presOf" srcId="{137CE2CA-3490-4A04-881F-B7F4C2526176}" destId="{DEC653AD-9292-40B3-8F7C-6B7412BD50C4}" srcOrd="0" destOrd="3" presId="urn:microsoft.com/office/officeart/2009/3/layout/OpposingIdeas"/>
    <dgm:cxn modelId="{57008F2A-521C-4AAF-BEC2-4D357EFB14A7}" type="presOf" srcId="{703F5385-C1E3-44B6-9487-C095E4DD1297}" destId="{3057BE5E-201D-494E-A001-2E30708C603C}" srcOrd="0" destOrd="0" presId="urn:microsoft.com/office/officeart/2009/3/layout/OpposingIdeas"/>
    <dgm:cxn modelId="{BD2F45DE-4B0B-4B0E-8776-46AC4D0A3829}" type="presOf" srcId="{B73BBD15-5CB3-4A4C-9B15-0DC1490F0BB4}" destId="{0D8BE8BD-C5D9-4BC8-8A52-50DFF7F70832}" srcOrd="0" destOrd="0" presId="urn:microsoft.com/office/officeart/2009/3/layout/OpposingIdeas"/>
    <dgm:cxn modelId="{92137A8C-CC80-46F8-8574-25177C1286BB}" type="presOf" srcId="{81911A93-98DC-4275-AC60-E9E284D838DD}" destId="{C52DD2A6-0C4E-45E4-962D-4485251039D3}" srcOrd="0" destOrd="1" presId="urn:microsoft.com/office/officeart/2009/3/layout/OpposingIdeas"/>
    <dgm:cxn modelId="{460AEDE4-6503-498C-8BCA-8346943373E3}" type="presOf" srcId="{300EF7F4-1EE9-4603-81A4-843E6CFD13EA}" destId="{AF2F6B58-2F19-4479-B710-1558CAC8A3EE}" srcOrd="0" destOrd="0" presId="urn:microsoft.com/office/officeart/2009/3/layout/OpposingIdeas"/>
    <dgm:cxn modelId="{206554A2-69A3-48EC-A751-84A4C3797054}" srcId="{703F5385-C1E3-44B6-9487-C095E4DD1297}" destId="{F7766991-EEA8-4E62-AC02-A2575ABDEF05}" srcOrd="2" destOrd="0" parTransId="{7C28FD5F-E4D9-4C24-804A-2491CD5436E6}" sibTransId="{016F8713-CF53-4C31-AC77-E5975FF561A6}"/>
    <dgm:cxn modelId="{E84E0164-5973-44B5-B99F-B9E313546C94}" srcId="{703F5385-C1E3-44B6-9487-C095E4DD1297}" destId="{7FECFB57-F0DB-4258-8B0F-1DD213154244}" srcOrd="0" destOrd="0" parTransId="{19BF11EE-6414-404C-9C66-37A9854C5096}" sibTransId="{6704EEC6-77D5-4AFF-ACCB-EDEABFBAF1D4}"/>
    <dgm:cxn modelId="{D70B84EF-28EE-4AED-BFB8-96D04076E0BA}" srcId="{B73BBD15-5CB3-4A4C-9B15-0DC1490F0BB4}" destId="{703F5385-C1E3-44B6-9487-C095E4DD1297}" srcOrd="0" destOrd="0" parTransId="{4BC33071-38F2-42A8-AE4F-10A5B14DE45E}" sibTransId="{83EEC2B3-99A3-40BA-BDAB-835D03F9E371}"/>
    <dgm:cxn modelId="{B19D50C4-0915-4D64-9AFA-A3938F0A27B6}" type="presOf" srcId="{7FECFB57-F0DB-4258-8B0F-1DD213154244}" destId="{C52DD2A6-0C4E-45E4-962D-4485251039D3}" srcOrd="0" destOrd="0" presId="urn:microsoft.com/office/officeart/2009/3/layout/OpposingIdeas"/>
    <dgm:cxn modelId="{99305ACD-4902-4CBE-8638-AAE39DE9A794}" type="presOf" srcId="{76E475A6-53AE-4421-984E-2EC4BE943D8F}" destId="{DEC653AD-9292-40B3-8F7C-6B7412BD50C4}" srcOrd="0" destOrd="1" presId="urn:microsoft.com/office/officeart/2009/3/layout/OpposingIdeas"/>
    <dgm:cxn modelId="{07471435-A872-4F92-990C-0AA901BB2E07}" type="presOf" srcId="{522C6A2A-F783-436F-862C-728630D5F9B9}" destId="{DEC653AD-9292-40B3-8F7C-6B7412BD50C4}" srcOrd="0" destOrd="0" presId="urn:microsoft.com/office/officeart/2009/3/layout/OpposingIdeas"/>
    <dgm:cxn modelId="{56038AA2-E088-4EE0-B6F2-DF41C6E9EB69}" srcId="{300EF7F4-1EE9-4603-81A4-843E6CFD13EA}" destId="{76E475A6-53AE-4421-984E-2EC4BE943D8F}" srcOrd="1" destOrd="0" parTransId="{EAF8A652-A49F-45FF-9260-B8B2A5EB3CD2}" sibTransId="{00A4FD72-404E-4C2D-A616-FC1600E8AA7F}"/>
    <dgm:cxn modelId="{EDD3DF97-2D97-4767-AA59-90222E4BF1E2}" srcId="{300EF7F4-1EE9-4603-81A4-843E6CFD13EA}" destId="{BF787CA1-212E-4260-B568-EEF3AD6F827D}" srcOrd="2" destOrd="0" parTransId="{2CC79069-9767-45CF-88B6-8801E3BDFFB2}" sibTransId="{8FD7B569-3212-4E97-9AC6-C6FB8B2EF03F}"/>
    <dgm:cxn modelId="{38A71B4F-D614-4549-A823-CC4EBB3C7BFF}" type="presOf" srcId="{BF787CA1-212E-4260-B568-EEF3AD6F827D}" destId="{DEC653AD-9292-40B3-8F7C-6B7412BD50C4}" srcOrd="0" destOrd="2" presId="urn:microsoft.com/office/officeart/2009/3/layout/OpposingIdeas"/>
    <dgm:cxn modelId="{6D256D47-8257-4EC3-B636-6C54FFEAE1ED}" type="presOf" srcId="{300EF7F4-1EE9-4603-81A4-843E6CFD13EA}" destId="{22F66031-16F2-4D35-A567-3C3698B106E9}" srcOrd="1" destOrd="0" presId="urn:microsoft.com/office/officeart/2009/3/layout/OpposingIdeas"/>
    <dgm:cxn modelId="{CFA964DF-6A0C-4F48-85B1-7F358D3F76A1}" srcId="{703F5385-C1E3-44B6-9487-C095E4DD1297}" destId="{81911A93-98DC-4275-AC60-E9E284D838DD}" srcOrd="1" destOrd="0" parTransId="{3D7E04C8-8DA8-4728-8FFB-0B1DA0FECD84}" sibTransId="{F1C2B0BA-FED0-443C-92A6-90F861537C00}"/>
    <dgm:cxn modelId="{E0935679-5ED1-4B80-ABD7-ECCEADF02CE5}" srcId="{B73BBD15-5CB3-4A4C-9B15-0DC1490F0BB4}" destId="{300EF7F4-1EE9-4603-81A4-843E6CFD13EA}" srcOrd="1" destOrd="0" parTransId="{51629693-B6F5-454E-8876-BB78774E19AB}" sibTransId="{F56603D4-7323-442E-9BF1-18D288CF5DF8}"/>
    <dgm:cxn modelId="{3C3B8069-D168-4DC4-88EE-45CBA2AFE017}" type="presOf" srcId="{703F5385-C1E3-44B6-9487-C095E4DD1297}" destId="{49C11A4B-F29C-4305-A125-4733582AE557}" srcOrd="1" destOrd="0" presId="urn:microsoft.com/office/officeart/2009/3/layout/OpposingIdeas"/>
    <dgm:cxn modelId="{AD052ECA-008C-4271-B030-62E244E86B66}" srcId="{300EF7F4-1EE9-4603-81A4-843E6CFD13EA}" destId="{137CE2CA-3490-4A04-881F-B7F4C2526176}" srcOrd="3" destOrd="0" parTransId="{A7D3BB0C-24E9-475D-BA4D-FFC415C6E4FB}" sibTransId="{5C4B790B-6A43-496F-9034-F90EC4E517A8}"/>
    <dgm:cxn modelId="{1650DED0-EB54-49E8-AC57-8CDE53BB0B15}" type="presOf" srcId="{F7766991-EEA8-4E62-AC02-A2575ABDEF05}" destId="{C52DD2A6-0C4E-45E4-962D-4485251039D3}" srcOrd="0" destOrd="2" presId="urn:microsoft.com/office/officeart/2009/3/layout/OpposingIdeas"/>
    <dgm:cxn modelId="{AFB78FD6-C414-4742-909F-8901C61672BE}" type="presParOf" srcId="{0D8BE8BD-C5D9-4BC8-8A52-50DFF7F70832}" destId="{AF3CB63F-493C-4931-B1E2-1197D2C582BA}" srcOrd="0" destOrd="0" presId="urn:microsoft.com/office/officeart/2009/3/layout/OpposingIdeas"/>
    <dgm:cxn modelId="{FFEE5B86-DF56-47F2-AD0B-3E66C9E054DC}" type="presParOf" srcId="{0D8BE8BD-C5D9-4BC8-8A52-50DFF7F70832}" destId="{1D5C026C-7ED2-49A6-B063-DDB306459D0D}" srcOrd="1" destOrd="0" presId="urn:microsoft.com/office/officeart/2009/3/layout/OpposingIdeas"/>
    <dgm:cxn modelId="{E29456F5-B85F-4576-9017-5DE5C16B852B}" type="presParOf" srcId="{0D8BE8BD-C5D9-4BC8-8A52-50DFF7F70832}" destId="{C52DD2A6-0C4E-45E4-962D-4485251039D3}" srcOrd="2" destOrd="0" presId="urn:microsoft.com/office/officeart/2009/3/layout/OpposingIdeas"/>
    <dgm:cxn modelId="{FEBCF1E3-3732-4B6F-A46C-04B30D74CD33}" type="presParOf" srcId="{0D8BE8BD-C5D9-4BC8-8A52-50DFF7F70832}" destId="{DEC653AD-9292-40B3-8F7C-6B7412BD50C4}" srcOrd="3" destOrd="0" presId="urn:microsoft.com/office/officeart/2009/3/layout/OpposingIdeas"/>
    <dgm:cxn modelId="{052F8713-B20E-40F4-9FF5-DACA7E1176C8}" type="presParOf" srcId="{0D8BE8BD-C5D9-4BC8-8A52-50DFF7F70832}" destId="{3057BE5E-201D-494E-A001-2E30708C603C}" srcOrd="4" destOrd="0" presId="urn:microsoft.com/office/officeart/2009/3/layout/OpposingIdeas"/>
    <dgm:cxn modelId="{8D404F6C-3CF3-4C09-9A1F-05FE44839693}" type="presParOf" srcId="{0D8BE8BD-C5D9-4BC8-8A52-50DFF7F70832}" destId="{49C11A4B-F29C-4305-A125-4733582AE557}" srcOrd="5" destOrd="0" presId="urn:microsoft.com/office/officeart/2009/3/layout/OpposingIdeas"/>
    <dgm:cxn modelId="{2F96DB20-C72A-409D-87CA-A186F14AD3FB}" type="presParOf" srcId="{0D8BE8BD-C5D9-4BC8-8A52-50DFF7F70832}" destId="{AF2F6B58-2F19-4479-B710-1558CAC8A3EE}" srcOrd="6" destOrd="0" presId="urn:microsoft.com/office/officeart/2009/3/layout/OpposingIdeas"/>
    <dgm:cxn modelId="{C5408D81-9075-4D42-AAE9-61EC5246F37A}" type="presParOf" srcId="{0D8BE8BD-C5D9-4BC8-8A52-50DFF7F70832}" destId="{22F66031-16F2-4D35-A567-3C3698B106E9}" srcOrd="7" destOrd="0" presId="urn:microsoft.com/office/officeart/2009/3/layout/OpposingIdeas"/>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0DAEABD-C07E-4304-A86E-D713A10D5D2F}" type="doc">
      <dgm:prSet loTypeId="urn:microsoft.com/office/officeart/2005/8/layout/process1" loCatId="process" qsTypeId="urn:microsoft.com/office/officeart/2005/8/quickstyle/simple1" qsCatId="simple" csTypeId="urn:microsoft.com/office/officeart/2005/8/colors/colorful1" csCatId="colorful" phldr="1"/>
      <dgm:spPr/>
    </dgm:pt>
    <dgm:pt modelId="{11B96576-0F73-41FE-A225-C155B2337810}">
      <dgm:prSet phldrT="[Text]"/>
      <dgm:spPr>
        <a:xfrm>
          <a:off x="2380" y="335408"/>
          <a:ext cx="1040972" cy="624583"/>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a:solidFill>
                <a:sysClr val="window" lastClr="FFFFFF"/>
              </a:solidFill>
              <a:latin typeface="Calibri"/>
              <a:ea typeface="+mn-ea"/>
              <a:cs typeface="+mn-cs"/>
            </a:rPr>
            <a:t>Feasibility</a:t>
          </a:r>
        </a:p>
      </dgm:t>
    </dgm:pt>
    <dgm:pt modelId="{54427058-6D1A-436B-A62F-39B74910BA60}" type="parTrans" cxnId="{36C83767-B4C0-44E1-AE70-BA4D47D130F8}">
      <dgm:prSet/>
      <dgm:spPr/>
      <dgm:t>
        <a:bodyPr/>
        <a:lstStyle/>
        <a:p>
          <a:endParaRPr lang="en-AU"/>
        </a:p>
      </dgm:t>
    </dgm:pt>
    <dgm:pt modelId="{2B9C66D8-DBF4-46D2-B40C-A2E1410FD86B}" type="sibTrans" cxnId="{36C83767-B4C0-44E1-AE70-BA4D47D130F8}">
      <dgm:prSet/>
      <dgm:spPr>
        <a:xfrm>
          <a:off x="1147450" y="518619"/>
          <a:ext cx="220686" cy="258161"/>
        </a:xfrm>
        <a:solidFill>
          <a:srgbClr val="C0504D">
            <a:hueOff val="0"/>
            <a:satOff val="0"/>
            <a:lumOff val="0"/>
            <a:alphaOff val="0"/>
          </a:srgbClr>
        </a:solidFill>
        <a:ln>
          <a:noFill/>
        </a:ln>
        <a:effectLst/>
      </dgm:spPr>
      <dgm:t>
        <a:bodyPr/>
        <a:lstStyle/>
        <a:p>
          <a:endParaRPr lang="en-AU">
            <a:solidFill>
              <a:sysClr val="window" lastClr="FFFFFF"/>
            </a:solidFill>
            <a:latin typeface="Calibri"/>
            <a:ea typeface="+mn-ea"/>
            <a:cs typeface="+mn-cs"/>
          </a:endParaRPr>
        </a:p>
      </dgm:t>
    </dgm:pt>
    <dgm:pt modelId="{8959B5C0-46EC-4E76-BB7B-164B6A86C6E4}">
      <dgm:prSet phldrT="[Text]"/>
      <dgm:spPr>
        <a:xfrm>
          <a:off x="1459742" y="335408"/>
          <a:ext cx="1040972" cy="624583"/>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a:solidFill>
                <a:sysClr val="window" lastClr="FFFFFF"/>
              </a:solidFill>
              <a:latin typeface="Calibri"/>
              <a:ea typeface="+mn-ea"/>
              <a:cs typeface="+mn-cs"/>
            </a:rPr>
            <a:t>Launch</a:t>
          </a:r>
        </a:p>
      </dgm:t>
    </dgm:pt>
    <dgm:pt modelId="{086B5EB8-1AF4-4FC7-84F1-C240ABD3893A}" type="parTrans" cxnId="{1374C471-C648-45F4-9CD5-0D1AC95B2671}">
      <dgm:prSet/>
      <dgm:spPr/>
      <dgm:t>
        <a:bodyPr/>
        <a:lstStyle/>
        <a:p>
          <a:endParaRPr lang="en-AU"/>
        </a:p>
      </dgm:t>
    </dgm:pt>
    <dgm:pt modelId="{62DFB33C-E9DA-43DB-92C8-1A5AEE526CEE}" type="sibTrans" cxnId="{1374C471-C648-45F4-9CD5-0D1AC95B2671}">
      <dgm:prSet/>
      <dgm:spPr>
        <a:xfrm>
          <a:off x="2604812" y="518619"/>
          <a:ext cx="220686" cy="258161"/>
        </a:xfrm>
        <a:solidFill>
          <a:srgbClr val="9BBB59">
            <a:hueOff val="0"/>
            <a:satOff val="0"/>
            <a:lumOff val="0"/>
            <a:alphaOff val="0"/>
          </a:srgbClr>
        </a:solidFill>
        <a:ln>
          <a:noFill/>
        </a:ln>
        <a:effectLst/>
      </dgm:spPr>
      <dgm:t>
        <a:bodyPr/>
        <a:lstStyle/>
        <a:p>
          <a:endParaRPr lang="en-AU">
            <a:solidFill>
              <a:sysClr val="window" lastClr="FFFFFF"/>
            </a:solidFill>
            <a:latin typeface="Calibri"/>
            <a:ea typeface="+mn-ea"/>
            <a:cs typeface="+mn-cs"/>
          </a:endParaRPr>
        </a:p>
      </dgm:t>
    </dgm:pt>
    <dgm:pt modelId="{E1D82EEE-B510-4701-B7ED-5FE3A5BE3A3B}">
      <dgm:prSet phldrT="[Text]"/>
      <dgm:spPr>
        <a:xfrm>
          <a:off x="2917104" y="335408"/>
          <a:ext cx="1040972" cy="624583"/>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a:solidFill>
                <a:sysClr val="window" lastClr="FFFFFF"/>
              </a:solidFill>
              <a:latin typeface="Calibri"/>
              <a:ea typeface="+mn-ea"/>
              <a:cs typeface="+mn-cs"/>
            </a:rPr>
            <a:t>Negotiations</a:t>
          </a:r>
        </a:p>
      </dgm:t>
    </dgm:pt>
    <dgm:pt modelId="{4B568252-8EC8-4BB3-B477-20E34373A5D2}" type="parTrans" cxnId="{0EE1FC90-313D-4DE9-B2DC-6B0E64668F37}">
      <dgm:prSet/>
      <dgm:spPr/>
      <dgm:t>
        <a:bodyPr/>
        <a:lstStyle/>
        <a:p>
          <a:endParaRPr lang="en-AU"/>
        </a:p>
      </dgm:t>
    </dgm:pt>
    <dgm:pt modelId="{D6D0F560-F640-49F7-B6D3-A36C9605E4AB}" type="sibTrans" cxnId="{0EE1FC90-313D-4DE9-B2DC-6B0E64668F37}">
      <dgm:prSet/>
      <dgm:spPr>
        <a:xfrm>
          <a:off x="4062174" y="518619"/>
          <a:ext cx="220686" cy="258161"/>
        </a:xfrm>
        <a:solidFill>
          <a:srgbClr val="8064A2">
            <a:hueOff val="0"/>
            <a:satOff val="0"/>
            <a:lumOff val="0"/>
            <a:alphaOff val="0"/>
          </a:srgbClr>
        </a:solidFill>
        <a:ln>
          <a:noFill/>
        </a:ln>
        <a:effectLst/>
      </dgm:spPr>
      <dgm:t>
        <a:bodyPr/>
        <a:lstStyle/>
        <a:p>
          <a:endParaRPr lang="en-AU">
            <a:solidFill>
              <a:sysClr val="window" lastClr="FFFFFF"/>
            </a:solidFill>
            <a:latin typeface="Calibri"/>
            <a:ea typeface="+mn-ea"/>
            <a:cs typeface="+mn-cs"/>
          </a:endParaRPr>
        </a:p>
      </dgm:t>
    </dgm:pt>
    <dgm:pt modelId="{D4DEC157-D4D5-4294-B472-4C2CBF768E3F}">
      <dgm:prSet/>
      <dgm:spPr>
        <a:xfrm>
          <a:off x="4374466" y="335408"/>
          <a:ext cx="1040972" cy="624583"/>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a:solidFill>
                <a:sysClr val="window" lastClr="FFFFFF"/>
              </a:solidFill>
              <a:latin typeface="Calibri"/>
              <a:ea typeface="+mn-ea"/>
              <a:cs typeface="+mn-cs"/>
            </a:rPr>
            <a:t>Conclusion</a:t>
          </a:r>
        </a:p>
      </dgm:t>
    </dgm:pt>
    <dgm:pt modelId="{87418DD4-B470-445C-BEFC-C13FAF971513}" type="parTrans" cxnId="{B2EDBCA2-1254-47BF-9491-632573096E0B}">
      <dgm:prSet/>
      <dgm:spPr/>
      <dgm:t>
        <a:bodyPr/>
        <a:lstStyle/>
        <a:p>
          <a:endParaRPr lang="en-AU"/>
        </a:p>
      </dgm:t>
    </dgm:pt>
    <dgm:pt modelId="{CF90D205-A607-48DA-B5FE-3383280ECFB9}" type="sibTrans" cxnId="{B2EDBCA2-1254-47BF-9491-632573096E0B}">
      <dgm:prSet/>
      <dgm:spPr/>
      <dgm:t>
        <a:bodyPr/>
        <a:lstStyle/>
        <a:p>
          <a:endParaRPr lang="en-AU"/>
        </a:p>
      </dgm:t>
    </dgm:pt>
    <dgm:pt modelId="{1D1EA9E1-F37D-4AD7-B939-D146D6254253}" type="pres">
      <dgm:prSet presAssocID="{10DAEABD-C07E-4304-A86E-D713A10D5D2F}" presName="Name0" presStyleCnt="0">
        <dgm:presLayoutVars>
          <dgm:dir/>
          <dgm:resizeHandles val="exact"/>
        </dgm:presLayoutVars>
      </dgm:prSet>
      <dgm:spPr/>
    </dgm:pt>
    <dgm:pt modelId="{A1A53908-8A5A-4C20-AE4C-BA07ED08E928}" type="pres">
      <dgm:prSet presAssocID="{11B96576-0F73-41FE-A225-C155B2337810}" presName="node" presStyleLbl="node1" presStyleIdx="0" presStyleCnt="4">
        <dgm:presLayoutVars>
          <dgm:bulletEnabled val="1"/>
        </dgm:presLayoutVars>
      </dgm:prSet>
      <dgm:spPr>
        <a:prstGeom prst="roundRect">
          <a:avLst>
            <a:gd name="adj" fmla="val 10000"/>
          </a:avLst>
        </a:prstGeom>
      </dgm:spPr>
      <dgm:t>
        <a:bodyPr/>
        <a:lstStyle/>
        <a:p>
          <a:endParaRPr lang="en-AU"/>
        </a:p>
      </dgm:t>
    </dgm:pt>
    <dgm:pt modelId="{D11F2D6E-2ACA-484E-8252-29D52B95FC87}" type="pres">
      <dgm:prSet presAssocID="{2B9C66D8-DBF4-46D2-B40C-A2E1410FD86B}" presName="sibTrans" presStyleLbl="sibTrans2D1" presStyleIdx="0" presStyleCnt="3"/>
      <dgm:spPr>
        <a:prstGeom prst="rightArrow">
          <a:avLst>
            <a:gd name="adj1" fmla="val 60000"/>
            <a:gd name="adj2" fmla="val 50000"/>
          </a:avLst>
        </a:prstGeom>
      </dgm:spPr>
      <dgm:t>
        <a:bodyPr/>
        <a:lstStyle/>
        <a:p>
          <a:endParaRPr lang="en-AU"/>
        </a:p>
      </dgm:t>
    </dgm:pt>
    <dgm:pt modelId="{37900BA6-B960-4EAA-876C-3FA2DEB708C1}" type="pres">
      <dgm:prSet presAssocID="{2B9C66D8-DBF4-46D2-B40C-A2E1410FD86B}" presName="connectorText" presStyleLbl="sibTrans2D1" presStyleIdx="0" presStyleCnt="3"/>
      <dgm:spPr/>
      <dgm:t>
        <a:bodyPr/>
        <a:lstStyle/>
        <a:p>
          <a:endParaRPr lang="en-AU"/>
        </a:p>
      </dgm:t>
    </dgm:pt>
    <dgm:pt modelId="{E75AAC0D-3FB7-49B8-A085-7F98B7A7F867}" type="pres">
      <dgm:prSet presAssocID="{8959B5C0-46EC-4E76-BB7B-164B6A86C6E4}" presName="node" presStyleLbl="node1" presStyleIdx="1" presStyleCnt="4">
        <dgm:presLayoutVars>
          <dgm:bulletEnabled val="1"/>
        </dgm:presLayoutVars>
      </dgm:prSet>
      <dgm:spPr>
        <a:prstGeom prst="roundRect">
          <a:avLst>
            <a:gd name="adj" fmla="val 10000"/>
          </a:avLst>
        </a:prstGeom>
      </dgm:spPr>
      <dgm:t>
        <a:bodyPr/>
        <a:lstStyle/>
        <a:p>
          <a:endParaRPr lang="en-AU"/>
        </a:p>
      </dgm:t>
    </dgm:pt>
    <dgm:pt modelId="{708D72C2-DCC9-4E60-8EFB-87DBB06B83E5}" type="pres">
      <dgm:prSet presAssocID="{62DFB33C-E9DA-43DB-92C8-1A5AEE526CEE}" presName="sibTrans" presStyleLbl="sibTrans2D1" presStyleIdx="1" presStyleCnt="3"/>
      <dgm:spPr>
        <a:prstGeom prst="rightArrow">
          <a:avLst>
            <a:gd name="adj1" fmla="val 60000"/>
            <a:gd name="adj2" fmla="val 50000"/>
          </a:avLst>
        </a:prstGeom>
      </dgm:spPr>
      <dgm:t>
        <a:bodyPr/>
        <a:lstStyle/>
        <a:p>
          <a:endParaRPr lang="en-AU"/>
        </a:p>
      </dgm:t>
    </dgm:pt>
    <dgm:pt modelId="{58A50890-3C03-4299-A6BC-F65FFAC14082}" type="pres">
      <dgm:prSet presAssocID="{62DFB33C-E9DA-43DB-92C8-1A5AEE526CEE}" presName="connectorText" presStyleLbl="sibTrans2D1" presStyleIdx="1" presStyleCnt="3"/>
      <dgm:spPr/>
      <dgm:t>
        <a:bodyPr/>
        <a:lstStyle/>
        <a:p>
          <a:endParaRPr lang="en-AU"/>
        </a:p>
      </dgm:t>
    </dgm:pt>
    <dgm:pt modelId="{591DECB9-7829-4FA8-B6D9-2CF0DCFD09BC}" type="pres">
      <dgm:prSet presAssocID="{E1D82EEE-B510-4701-B7ED-5FE3A5BE3A3B}" presName="node" presStyleLbl="node1" presStyleIdx="2" presStyleCnt="4">
        <dgm:presLayoutVars>
          <dgm:bulletEnabled val="1"/>
        </dgm:presLayoutVars>
      </dgm:prSet>
      <dgm:spPr>
        <a:prstGeom prst="roundRect">
          <a:avLst>
            <a:gd name="adj" fmla="val 10000"/>
          </a:avLst>
        </a:prstGeom>
      </dgm:spPr>
      <dgm:t>
        <a:bodyPr/>
        <a:lstStyle/>
        <a:p>
          <a:endParaRPr lang="en-AU"/>
        </a:p>
      </dgm:t>
    </dgm:pt>
    <dgm:pt modelId="{6FCF2894-C9DC-4419-9D46-07BB49663662}" type="pres">
      <dgm:prSet presAssocID="{D6D0F560-F640-49F7-B6D3-A36C9605E4AB}" presName="sibTrans" presStyleLbl="sibTrans2D1" presStyleIdx="2" presStyleCnt="3"/>
      <dgm:spPr>
        <a:prstGeom prst="rightArrow">
          <a:avLst>
            <a:gd name="adj1" fmla="val 60000"/>
            <a:gd name="adj2" fmla="val 50000"/>
          </a:avLst>
        </a:prstGeom>
      </dgm:spPr>
      <dgm:t>
        <a:bodyPr/>
        <a:lstStyle/>
        <a:p>
          <a:endParaRPr lang="en-AU"/>
        </a:p>
      </dgm:t>
    </dgm:pt>
    <dgm:pt modelId="{2CCFAA4C-2D7C-4E9E-ACE4-89E53AFEC4D3}" type="pres">
      <dgm:prSet presAssocID="{D6D0F560-F640-49F7-B6D3-A36C9605E4AB}" presName="connectorText" presStyleLbl="sibTrans2D1" presStyleIdx="2" presStyleCnt="3"/>
      <dgm:spPr/>
      <dgm:t>
        <a:bodyPr/>
        <a:lstStyle/>
        <a:p>
          <a:endParaRPr lang="en-AU"/>
        </a:p>
      </dgm:t>
    </dgm:pt>
    <dgm:pt modelId="{35246AA9-2EAC-45A7-BBB4-CB461B075D6E}" type="pres">
      <dgm:prSet presAssocID="{D4DEC157-D4D5-4294-B472-4C2CBF768E3F}" presName="node" presStyleLbl="node1" presStyleIdx="3" presStyleCnt="4">
        <dgm:presLayoutVars>
          <dgm:bulletEnabled val="1"/>
        </dgm:presLayoutVars>
      </dgm:prSet>
      <dgm:spPr>
        <a:prstGeom prst="roundRect">
          <a:avLst>
            <a:gd name="adj" fmla="val 10000"/>
          </a:avLst>
        </a:prstGeom>
      </dgm:spPr>
      <dgm:t>
        <a:bodyPr/>
        <a:lstStyle/>
        <a:p>
          <a:endParaRPr lang="en-AU"/>
        </a:p>
      </dgm:t>
    </dgm:pt>
  </dgm:ptLst>
  <dgm:cxnLst>
    <dgm:cxn modelId="{B2EDBCA2-1254-47BF-9491-632573096E0B}" srcId="{10DAEABD-C07E-4304-A86E-D713A10D5D2F}" destId="{D4DEC157-D4D5-4294-B472-4C2CBF768E3F}" srcOrd="3" destOrd="0" parTransId="{87418DD4-B470-445C-BEFC-C13FAF971513}" sibTransId="{CF90D205-A607-48DA-B5FE-3383280ECFB9}"/>
    <dgm:cxn modelId="{031050B7-7286-4344-8068-AD5194CBEEE7}" type="presOf" srcId="{11B96576-0F73-41FE-A225-C155B2337810}" destId="{A1A53908-8A5A-4C20-AE4C-BA07ED08E928}" srcOrd="0" destOrd="0" presId="urn:microsoft.com/office/officeart/2005/8/layout/process1"/>
    <dgm:cxn modelId="{AC8532DC-E518-4CC7-8D94-2E0E0CAC676F}" type="presOf" srcId="{2B9C66D8-DBF4-46D2-B40C-A2E1410FD86B}" destId="{37900BA6-B960-4EAA-876C-3FA2DEB708C1}" srcOrd="1" destOrd="0" presId="urn:microsoft.com/office/officeart/2005/8/layout/process1"/>
    <dgm:cxn modelId="{0EE1FC90-313D-4DE9-B2DC-6B0E64668F37}" srcId="{10DAEABD-C07E-4304-A86E-D713A10D5D2F}" destId="{E1D82EEE-B510-4701-B7ED-5FE3A5BE3A3B}" srcOrd="2" destOrd="0" parTransId="{4B568252-8EC8-4BB3-B477-20E34373A5D2}" sibTransId="{D6D0F560-F640-49F7-B6D3-A36C9605E4AB}"/>
    <dgm:cxn modelId="{FBA6E1A8-B85B-4707-A240-772FA71EE696}" type="presOf" srcId="{2B9C66D8-DBF4-46D2-B40C-A2E1410FD86B}" destId="{D11F2D6E-2ACA-484E-8252-29D52B95FC87}" srcOrd="0" destOrd="0" presId="urn:microsoft.com/office/officeart/2005/8/layout/process1"/>
    <dgm:cxn modelId="{DF5FA9A6-BC1C-486F-8BBF-392EA893E6F4}" type="presOf" srcId="{D6D0F560-F640-49F7-B6D3-A36C9605E4AB}" destId="{6FCF2894-C9DC-4419-9D46-07BB49663662}" srcOrd="0" destOrd="0" presId="urn:microsoft.com/office/officeart/2005/8/layout/process1"/>
    <dgm:cxn modelId="{F77EC7A1-EF87-49F8-8858-E2E157EE0DA7}" type="presOf" srcId="{8959B5C0-46EC-4E76-BB7B-164B6A86C6E4}" destId="{E75AAC0D-3FB7-49B8-A085-7F98B7A7F867}" srcOrd="0" destOrd="0" presId="urn:microsoft.com/office/officeart/2005/8/layout/process1"/>
    <dgm:cxn modelId="{E9F6591A-6833-4215-AA2E-F0D43B47719E}" type="presOf" srcId="{E1D82EEE-B510-4701-B7ED-5FE3A5BE3A3B}" destId="{591DECB9-7829-4FA8-B6D9-2CF0DCFD09BC}" srcOrd="0" destOrd="0" presId="urn:microsoft.com/office/officeart/2005/8/layout/process1"/>
    <dgm:cxn modelId="{36C83767-B4C0-44E1-AE70-BA4D47D130F8}" srcId="{10DAEABD-C07E-4304-A86E-D713A10D5D2F}" destId="{11B96576-0F73-41FE-A225-C155B2337810}" srcOrd="0" destOrd="0" parTransId="{54427058-6D1A-436B-A62F-39B74910BA60}" sibTransId="{2B9C66D8-DBF4-46D2-B40C-A2E1410FD86B}"/>
    <dgm:cxn modelId="{0B102EE0-C65C-4209-AD9D-564D4B4E29E3}" type="presOf" srcId="{10DAEABD-C07E-4304-A86E-D713A10D5D2F}" destId="{1D1EA9E1-F37D-4AD7-B939-D146D6254253}" srcOrd="0" destOrd="0" presId="urn:microsoft.com/office/officeart/2005/8/layout/process1"/>
    <dgm:cxn modelId="{8D279175-5467-48D6-860A-3D318E8C9019}" type="presOf" srcId="{D6D0F560-F640-49F7-B6D3-A36C9605E4AB}" destId="{2CCFAA4C-2D7C-4E9E-ACE4-89E53AFEC4D3}" srcOrd="1" destOrd="0" presId="urn:microsoft.com/office/officeart/2005/8/layout/process1"/>
    <dgm:cxn modelId="{1374C471-C648-45F4-9CD5-0D1AC95B2671}" srcId="{10DAEABD-C07E-4304-A86E-D713A10D5D2F}" destId="{8959B5C0-46EC-4E76-BB7B-164B6A86C6E4}" srcOrd="1" destOrd="0" parTransId="{086B5EB8-1AF4-4FC7-84F1-C240ABD3893A}" sibTransId="{62DFB33C-E9DA-43DB-92C8-1A5AEE526CEE}"/>
    <dgm:cxn modelId="{3698DFA5-F637-4DC8-A42D-A30BB51CCD62}" type="presOf" srcId="{D4DEC157-D4D5-4294-B472-4C2CBF768E3F}" destId="{35246AA9-2EAC-45A7-BBB4-CB461B075D6E}" srcOrd="0" destOrd="0" presId="urn:microsoft.com/office/officeart/2005/8/layout/process1"/>
    <dgm:cxn modelId="{5A562C95-9EC2-4904-A815-8EC4961DF827}" type="presOf" srcId="{62DFB33C-E9DA-43DB-92C8-1A5AEE526CEE}" destId="{58A50890-3C03-4299-A6BC-F65FFAC14082}" srcOrd="1" destOrd="0" presId="urn:microsoft.com/office/officeart/2005/8/layout/process1"/>
    <dgm:cxn modelId="{D870051E-E474-4990-9477-CCB16639D4E4}" type="presOf" srcId="{62DFB33C-E9DA-43DB-92C8-1A5AEE526CEE}" destId="{708D72C2-DCC9-4E60-8EFB-87DBB06B83E5}" srcOrd="0" destOrd="0" presId="urn:microsoft.com/office/officeart/2005/8/layout/process1"/>
    <dgm:cxn modelId="{DA01EA66-5CE0-46FA-915D-DD0300DC1255}" type="presParOf" srcId="{1D1EA9E1-F37D-4AD7-B939-D146D6254253}" destId="{A1A53908-8A5A-4C20-AE4C-BA07ED08E928}" srcOrd="0" destOrd="0" presId="urn:microsoft.com/office/officeart/2005/8/layout/process1"/>
    <dgm:cxn modelId="{65EE04B3-9490-4238-9BAA-9A6593CE56D6}" type="presParOf" srcId="{1D1EA9E1-F37D-4AD7-B939-D146D6254253}" destId="{D11F2D6E-2ACA-484E-8252-29D52B95FC87}" srcOrd="1" destOrd="0" presId="urn:microsoft.com/office/officeart/2005/8/layout/process1"/>
    <dgm:cxn modelId="{1CD97D6A-6E83-4E2E-9153-B2AB1ABA7073}" type="presParOf" srcId="{D11F2D6E-2ACA-484E-8252-29D52B95FC87}" destId="{37900BA6-B960-4EAA-876C-3FA2DEB708C1}" srcOrd="0" destOrd="0" presId="urn:microsoft.com/office/officeart/2005/8/layout/process1"/>
    <dgm:cxn modelId="{BC0DC389-F692-432C-A874-BA178E431988}" type="presParOf" srcId="{1D1EA9E1-F37D-4AD7-B939-D146D6254253}" destId="{E75AAC0D-3FB7-49B8-A085-7F98B7A7F867}" srcOrd="2" destOrd="0" presId="urn:microsoft.com/office/officeart/2005/8/layout/process1"/>
    <dgm:cxn modelId="{C9972BCE-53EB-4EDB-BF1A-B7F7CBC2F6C6}" type="presParOf" srcId="{1D1EA9E1-F37D-4AD7-B939-D146D6254253}" destId="{708D72C2-DCC9-4E60-8EFB-87DBB06B83E5}" srcOrd="3" destOrd="0" presId="urn:microsoft.com/office/officeart/2005/8/layout/process1"/>
    <dgm:cxn modelId="{51256CFB-3CF6-4A22-8DAE-177E78CD72C3}" type="presParOf" srcId="{708D72C2-DCC9-4E60-8EFB-87DBB06B83E5}" destId="{58A50890-3C03-4299-A6BC-F65FFAC14082}" srcOrd="0" destOrd="0" presId="urn:microsoft.com/office/officeart/2005/8/layout/process1"/>
    <dgm:cxn modelId="{52123AA3-6388-4F0D-A3D4-95D370F54138}" type="presParOf" srcId="{1D1EA9E1-F37D-4AD7-B939-D146D6254253}" destId="{591DECB9-7829-4FA8-B6D9-2CF0DCFD09BC}" srcOrd="4" destOrd="0" presId="urn:microsoft.com/office/officeart/2005/8/layout/process1"/>
    <dgm:cxn modelId="{1E7C8A45-49F9-4708-89FE-FB7281211274}" type="presParOf" srcId="{1D1EA9E1-F37D-4AD7-B939-D146D6254253}" destId="{6FCF2894-C9DC-4419-9D46-07BB49663662}" srcOrd="5" destOrd="0" presId="urn:microsoft.com/office/officeart/2005/8/layout/process1"/>
    <dgm:cxn modelId="{4BF8743F-30E6-4C8C-A67D-61AECF303DC5}" type="presParOf" srcId="{6FCF2894-C9DC-4419-9D46-07BB49663662}" destId="{2CCFAA4C-2D7C-4E9E-ACE4-89E53AFEC4D3}" srcOrd="0" destOrd="0" presId="urn:microsoft.com/office/officeart/2005/8/layout/process1"/>
    <dgm:cxn modelId="{3DA9903B-2C9B-49BA-945B-96BE90F8A5E5}" type="presParOf" srcId="{1D1EA9E1-F37D-4AD7-B939-D146D6254253}" destId="{35246AA9-2EAC-45A7-BBB4-CB461B075D6E}" srcOrd="6" destOrd="0" presId="urn:microsoft.com/office/officeart/2005/8/layout/process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DD738A1-4495-4742-9671-51522852FD6C}" type="doc">
      <dgm:prSet loTypeId="urn:microsoft.com/office/officeart/2005/8/layout/vList5" loCatId="list" qsTypeId="urn:microsoft.com/office/officeart/2005/8/quickstyle/simple1" qsCatId="simple" csTypeId="urn:microsoft.com/office/officeart/2005/8/colors/colorful1" csCatId="colorful" phldr="1"/>
      <dgm:spPr/>
      <dgm:t>
        <a:bodyPr/>
        <a:lstStyle/>
        <a:p>
          <a:endParaRPr lang="en-AU"/>
        </a:p>
      </dgm:t>
    </dgm:pt>
    <dgm:pt modelId="{25600ED3-EA85-403E-8E45-4619B4EB9AE2}">
      <dgm:prSet phldrT="[Text]"/>
      <dgm:spPr>
        <a:xfrm>
          <a:off x="0" y="1503"/>
          <a:ext cx="1900123" cy="992292"/>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a:solidFill>
                <a:sysClr val="window" lastClr="FFFFFF"/>
              </a:solidFill>
              <a:latin typeface="Calibri"/>
              <a:ea typeface="+mn-ea"/>
              <a:cs typeface="+mn-cs"/>
            </a:rPr>
            <a:t>China-Australia FTA</a:t>
          </a:r>
        </a:p>
      </dgm:t>
    </dgm:pt>
    <dgm:pt modelId="{C9572FE3-E3AF-4946-8D78-27DD558BAB40}" type="parTrans" cxnId="{3E6FFADD-ADCD-4907-9D01-4374A970055D}">
      <dgm:prSet/>
      <dgm:spPr/>
      <dgm:t>
        <a:bodyPr/>
        <a:lstStyle/>
        <a:p>
          <a:endParaRPr lang="en-AU"/>
        </a:p>
      </dgm:t>
    </dgm:pt>
    <dgm:pt modelId="{E404E229-0791-40B8-A9A8-37DA41EBB39E}" type="sibTrans" cxnId="{3E6FFADD-ADCD-4907-9D01-4374A970055D}">
      <dgm:prSet/>
      <dgm:spPr/>
      <dgm:t>
        <a:bodyPr/>
        <a:lstStyle/>
        <a:p>
          <a:endParaRPr lang="en-AU"/>
        </a:p>
      </dgm:t>
    </dgm:pt>
    <dgm:pt modelId="{9F29094D-7287-4A20-B026-CA2B5FEA84B0}">
      <dgm:prSet phldrT="[Text]"/>
      <dgm:spPr>
        <a:xfrm rot="5400000">
          <a:off x="3192204" y="-1191348"/>
          <a:ext cx="793834" cy="3377996"/>
        </a:xfr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 Stakeholder consultations commenced in 2004</a:t>
          </a:r>
        </a:p>
      </dgm:t>
    </dgm:pt>
    <dgm:pt modelId="{B42AC2A8-664E-4A0C-B541-F40C800BB370}" type="parTrans" cxnId="{7A413E15-471B-4012-A6A1-ED5AE24F71F8}">
      <dgm:prSet/>
      <dgm:spPr/>
      <dgm:t>
        <a:bodyPr/>
        <a:lstStyle/>
        <a:p>
          <a:endParaRPr lang="en-AU"/>
        </a:p>
      </dgm:t>
    </dgm:pt>
    <dgm:pt modelId="{D90DCAC6-6B50-4E0D-9072-8954466A3443}" type="sibTrans" cxnId="{7A413E15-471B-4012-A6A1-ED5AE24F71F8}">
      <dgm:prSet/>
      <dgm:spPr/>
      <dgm:t>
        <a:bodyPr/>
        <a:lstStyle/>
        <a:p>
          <a:endParaRPr lang="en-AU"/>
        </a:p>
      </dgm:t>
    </dgm:pt>
    <dgm:pt modelId="{21D86CC2-68CD-4572-B042-41F4BB72022D}">
      <dgm:prSet phldrT="[Text]"/>
      <dgm:spPr>
        <a:xfrm rot="5400000">
          <a:off x="3192204" y="-1191348"/>
          <a:ext cx="793834" cy="3377996"/>
        </a:xfr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 Consultations undertaken with over 700 stakeholders</a:t>
          </a:r>
        </a:p>
      </dgm:t>
    </dgm:pt>
    <dgm:pt modelId="{C038BC79-30E3-42A9-BFE1-980D99AAB210}" type="parTrans" cxnId="{947A388E-A8AD-41F8-87B4-2FD99D705879}">
      <dgm:prSet/>
      <dgm:spPr/>
      <dgm:t>
        <a:bodyPr/>
        <a:lstStyle/>
        <a:p>
          <a:endParaRPr lang="en-AU"/>
        </a:p>
      </dgm:t>
    </dgm:pt>
    <dgm:pt modelId="{B475EDC9-BE48-4D55-ADD1-DE23D960AA0B}" type="sibTrans" cxnId="{947A388E-A8AD-41F8-87B4-2FD99D705879}">
      <dgm:prSet/>
      <dgm:spPr/>
      <dgm:t>
        <a:bodyPr/>
        <a:lstStyle/>
        <a:p>
          <a:endParaRPr lang="en-AU"/>
        </a:p>
      </dgm:t>
    </dgm:pt>
    <dgm:pt modelId="{54E40E10-7BC5-4C4B-AADC-ECE0855B84EC}">
      <dgm:prSet phldrT="[Text]"/>
      <dgm:spPr>
        <a:xfrm>
          <a:off x="0" y="1043411"/>
          <a:ext cx="1900123" cy="992292"/>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a:solidFill>
                <a:sysClr val="window" lastClr="FFFFFF"/>
              </a:solidFill>
              <a:latin typeface="Calibri"/>
              <a:ea typeface="+mn-ea"/>
              <a:cs typeface="+mn-cs"/>
            </a:rPr>
            <a:t>Japan-Australia FTA</a:t>
          </a:r>
        </a:p>
      </dgm:t>
    </dgm:pt>
    <dgm:pt modelId="{AF2D5055-51ED-4A31-889F-1997717335C5}" type="parTrans" cxnId="{267D2453-93D3-4B26-A5BB-AF9DC860CCC8}">
      <dgm:prSet/>
      <dgm:spPr/>
      <dgm:t>
        <a:bodyPr/>
        <a:lstStyle/>
        <a:p>
          <a:endParaRPr lang="en-AU"/>
        </a:p>
      </dgm:t>
    </dgm:pt>
    <dgm:pt modelId="{D00FB0A6-128A-4945-BF92-55364C8DF426}" type="sibTrans" cxnId="{267D2453-93D3-4B26-A5BB-AF9DC860CCC8}">
      <dgm:prSet/>
      <dgm:spPr/>
      <dgm:t>
        <a:bodyPr/>
        <a:lstStyle/>
        <a:p>
          <a:endParaRPr lang="en-AU"/>
        </a:p>
      </dgm:t>
    </dgm:pt>
    <dgm:pt modelId="{CC7A6D7C-591C-4ED4-9CAC-C392F2851BBB}">
      <dgm:prSet phldrT="[Text]"/>
      <dgm:spPr>
        <a:xfrm rot="5400000">
          <a:off x="3192204" y="-149440"/>
          <a:ext cx="793834" cy="3377996"/>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More than 90 submissions received</a:t>
          </a:r>
        </a:p>
      </dgm:t>
    </dgm:pt>
    <dgm:pt modelId="{6DE528DA-3116-465B-8D0C-CC1645377F61}" type="parTrans" cxnId="{37F58677-85C4-45C2-BC1C-4AB66502DCD7}">
      <dgm:prSet/>
      <dgm:spPr/>
      <dgm:t>
        <a:bodyPr/>
        <a:lstStyle/>
        <a:p>
          <a:endParaRPr lang="en-AU"/>
        </a:p>
      </dgm:t>
    </dgm:pt>
    <dgm:pt modelId="{F7BD0196-C8D7-4595-90B4-22AA412A7705}" type="sibTrans" cxnId="{37F58677-85C4-45C2-BC1C-4AB66502DCD7}">
      <dgm:prSet/>
      <dgm:spPr/>
      <dgm:t>
        <a:bodyPr/>
        <a:lstStyle/>
        <a:p>
          <a:endParaRPr lang="en-AU"/>
        </a:p>
      </dgm:t>
    </dgm:pt>
    <dgm:pt modelId="{B94E462A-C942-4D4D-9495-D709D6951028}">
      <dgm:prSet phldrT="[Text]"/>
      <dgm:spPr>
        <a:xfrm rot="5400000">
          <a:off x="3192204" y="-149440"/>
          <a:ext cx="793834" cy="3377996"/>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Consultations undertaken with over 530 stakeholders</a:t>
          </a:r>
        </a:p>
      </dgm:t>
    </dgm:pt>
    <dgm:pt modelId="{D7649EDA-6567-48A2-946C-CEFBAE20A781}" type="parTrans" cxnId="{30CE3F96-090F-4328-B133-CAE82D5CC2C8}">
      <dgm:prSet/>
      <dgm:spPr/>
      <dgm:t>
        <a:bodyPr/>
        <a:lstStyle/>
        <a:p>
          <a:endParaRPr lang="en-AU"/>
        </a:p>
      </dgm:t>
    </dgm:pt>
    <dgm:pt modelId="{B4106998-5E69-4356-9E3B-761F981AB119}" type="sibTrans" cxnId="{30CE3F96-090F-4328-B133-CAE82D5CC2C8}">
      <dgm:prSet/>
      <dgm:spPr/>
      <dgm:t>
        <a:bodyPr/>
        <a:lstStyle/>
        <a:p>
          <a:endParaRPr lang="en-AU"/>
        </a:p>
      </dgm:t>
    </dgm:pt>
    <dgm:pt modelId="{C5A4ABED-52BA-4583-8652-1A3C75B328D4}">
      <dgm:prSet phldrT="[Text]"/>
      <dgm:spPr>
        <a:xfrm>
          <a:off x="0" y="2085318"/>
          <a:ext cx="1900123" cy="992292"/>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a:solidFill>
                <a:sysClr val="window" lastClr="FFFFFF"/>
              </a:solidFill>
              <a:latin typeface="Calibri"/>
              <a:ea typeface="+mn-ea"/>
              <a:cs typeface="+mn-cs"/>
            </a:rPr>
            <a:t>Trans-Pacific Partnership Agreement</a:t>
          </a:r>
        </a:p>
      </dgm:t>
    </dgm:pt>
    <dgm:pt modelId="{1157580D-FF6A-42DD-8A5B-B87D4C888797}" type="parTrans" cxnId="{7186714D-50D3-4A96-9B79-3156C5240577}">
      <dgm:prSet/>
      <dgm:spPr/>
      <dgm:t>
        <a:bodyPr/>
        <a:lstStyle/>
        <a:p>
          <a:endParaRPr lang="en-AU"/>
        </a:p>
      </dgm:t>
    </dgm:pt>
    <dgm:pt modelId="{F45EA935-DBA7-4CF3-A741-96627EE3E3F5}" type="sibTrans" cxnId="{7186714D-50D3-4A96-9B79-3156C5240577}">
      <dgm:prSet/>
      <dgm:spPr/>
      <dgm:t>
        <a:bodyPr/>
        <a:lstStyle/>
        <a:p>
          <a:endParaRPr lang="en-AU"/>
        </a:p>
      </dgm:t>
    </dgm:pt>
    <dgm:pt modelId="{8AE0D5D4-EBAC-457B-947A-D8870A1BA0FE}">
      <dgm:prSet phldrT="[Text]"/>
      <dgm:spPr>
        <a:xfrm rot="5400000">
          <a:off x="3192204" y="892466"/>
          <a:ext cx="793834" cy="3377996"/>
        </a:xfr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 Stakeholder consultations commenced in 2008</a:t>
          </a:r>
        </a:p>
      </dgm:t>
    </dgm:pt>
    <dgm:pt modelId="{7C56EA17-B0C9-4B2A-BFD7-72EB8EFA3913}" type="parTrans" cxnId="{D807CC33-1ED5-41E3-98A5-F51C8B17D4D0}">
      <dgm:prSet/>
      <dgm:spPr/>
      <dgm:t>
        <a:bodyPr/>
        <a:lstStyle/>
        <a:p>
          <a:endParaRPr lang="en-AU"/>
        </a:p>
      </dgm:t>
    </dgm:pt>
    <dgm:pt modelId="{2C3373DB-7F9F-4785-92E3-E0CA5876BEF7}" type="sibTrans" cxnId="{D807CC33-1ED5-41E3-98A5-F51C8B17D4D0}">
      <dgm:prSet/>
      <dgm:spPr/>
      <dgm:t>
        <a:bodyPr/>
        <a:lstStyle/>
        <a:p>
          <a:endParaRPr lang="en-AU"/>
        </a:p>
      </dgm:t>
    </dgm:pt>
    <dgm:pt modelId="{9A12C4A6-E163-46E2-BD26-6FC4A43DCA9F}">
      <dgm:prSet phldrT="[Text]"/>
      <dgm:spPr>
        <a:xfrm rot="5400000">
          <a:off x="3192204" y="-149440"/>
          <a:ext cx="793834" cy="3377996"/>
        </a:xfr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 Stakeholder consultations commenced in 2006</a:t>
          </a:r>
        </a:p>
      </dgm:t>
    </dgm:pt>
    <dgm:pt modelId="{015249AA-58B0-459E-BAC7-05E250BD3F78}" type="parTrans" cxnId="{54A02C6C-F4FB-454D-A393-3C320B64DE54}">
      <dgm:prSet/>
      <dgm:spPr/>
      <dgm:t>
        <a:bodyPr/>
        <a:lstStyle/>
        <a:p>
          <a:endParaRPr lang="en-AU"/>
        </a:p>
      </dgm:t>
    </dgm:pt>
    <dgm:pt modelId="{54B1E749-24D4-4513-BACB-7AB76BE5BCF6}" type="sibTrans" cxnId="{54A02C6C-F4FB-454D-A393-3C320B64DE54}">
      <dgm:prSet/>
      <dgm:spPr/>
      <dgm:t>
        <a:bodyPr/>
        <a:lstStyle/>
        <a:p>
          <a:endParaRPr lang="en-AU"/>
        </a:p>
      </dgm:t>
    </dgm:pt>
    <dgm:pt modelId="{5D58451A-CC79-44D3-9880-19127961EEA1}">
      <dgm:prSet phldrT="[Text]"/>
      <dgm:spPr>
        <a:xfrm rot="5400000">
          <a:off x="3192204" y="892466"/>
          <a:ext cx="793834" cy="3377996"/>
        </a:xfr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 Consultations undertaken with over 1000 stakeholders</a:t>
          </a:r>
        </a:p>
      </dgm:t>
    </dgm:pt>
    <dgm:pt modelId="{58D35726-F6A3-43C6-A52C-F83702F47EDA}" type="parTrans" cxnId="{CB7F2D1B-42D0-4AAA-832C-7D60ED4FC1D3}">
      <dgm:prSet/>
      <dgm:spPr/>
      <dgm:t>
        <a:bodyPr/>
        <a:lstStyle/>
        <a:p>
          <a:endParaRPr lang="en-AU"/>
        </a:p>
      </dgm:t>
    </dgm:pt>
    <dgm:pt modelId="{11832E26-FD90-4B2C-81A5-C619174B2FE7}" type="sibTrans" cxnId="{CB7F2D1B-42D0-4AAA-832C-7D60ED4FC1D3}">
      <dgm:prSet/>
      <dgm:spPr/>
      <dgm:t>
        <a:bodyPr/>
        <a:lstStyle/>
        <a:p>
          <a:endParaRPr lang="en-AU"/>
        </a:p>
      </dgm:t>
    </dgm:pt>
    <dgm:pt modelId="{9C2F2BD1-F162-4A06-AF3B-1739D5BE6ACC}">
      <dgm:prSet phldrT="[Text]"/>
      <dgm:spPr>
        <a:xfrm rot="5400000">
          <a:off x="3192204" y="892466"/>
          <a:ext cx="793834" cy="3377996"/>
        </a:xfr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 More than 85 submissions received </a:t>
          </a:r>
        </a:p>
      </dgm:t>
    </dgm:pt>
    <dgm:pt modelId="{8B3EC6F4-F097-4034-94E2-1BC4925FE4E5}" type="parTrans" cxnId="{3EA12ED4-35ED-4CCE-8112-22DA0B26F097}">
      <dgm:prSet/>
      <dgm:spPr/>
      <dgm:t>
        <a:bodyPr/>
        <a:lstStyle/>
        <a:p>
          <a:endParaRPr lang="en-AU"/>
        </a:p>
      </dgm:t>
    </dgm:pt>
    <dgm:pt modelId="{EC33ADD1-1E01-40BE-B824-F6F70206BC71}" type="sibTrans" cxnId="{3EA12ED4-35ED-4CCE-8112-22DA0B26F097}">
      <dgm:prSet/>
      <dgm:spPr/>
      <dgm:t>
        <a:bodyPr/>
        <a:lstStyle/>
        <a:p>
          <a:endParaRPr lang="en-AU"/>
        </a:p>
      </dgm:t>
    </dgm:pt>
    <dgm:pt modelId="{E1A33E16-47A1-4715-8181-22512FB7C676}">
      <dgm:prSet phldrT="[Text]"/>
      <dgm:spPr>
        <a:xfrm rot="5400000">
          <a:off x="3192204" y="-1191348"/>
          <a:ext cx="793834" cy="3377996"/>
        </a:xfr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 More than 260 submissions received</a:t>
          </a:r>
        </a:p>
      </dgm:t>
    </dgm:pt>
    <dgm:pt modelId="{20D6D577-0080-4CC9-9DC4-BF248E8A34E4}" type="parTrans" cxnId="{AD80AC0D-A485-449B-B7ED-5D9B2F7BD69C}">
      <dgm:prSet/>
      <dgm:spPr/>
      <dgm:t>
        <a:bodyPr/>
        <a:lstStyle/>
        <a:p>
          <a:endParaRPr lang="en-AU"/>
        </a:p>
      </dgm:t>
    </dgm:pt>
    <dgm:pt modelId="{27A54C72-504E-4C3F-B287-156231B69DC3}" type="sibTrans" cxnId="{AD80AC0D-A485-449B-B7ED-5D9B2F7BD69C}">
      <dgm:prSet/>
      <dgm:spPr/>
      <dgm:t>
        <a:bodyPr/>
        <a:lstStyle/>
        <a:p>
          <a:endParaRPr lang="en-AU"/>
        </a:p>
      </dgm:t>
    </dgm:pt>
    <dgm:pt modelId="{60145AE2-161F-49FB-9CD0-A52CFFBB8B4E}" type="pres">
      <dgm:prSet presAssocID="{1DD738A1-4495-4742-9671-51522852FD6C}" presName="Name0" presStyleCnt="0">
        <dgm:presLayoutVars>
          <dgm:dir/>
          <dgm:animLvl val="lvl"/>
          <dgm:resizeHandles val="exact"/>
        </dgm:presLayoutVars>
      </dgm:prSet>
      <dgm:spPr/>
      <dgm:t>
        <a:bodyPr/>
        <a:lstStyle/>
        <a:p>
          <a:endParaRPr lang="en-AU"/>
        </a:p>
      </dgm:t>
    </dgm:pt>
    <dgm:pt modelId="{B1F1051D-CF12-45F9-999A-AC8CD43284E5}" type="pres">
      <dgm:prSet presAssocID="{25600ED3-EA85-403E-8E45-4619B4EB9AE2}" presName="linNode" presStyleCnt="0"/>
      <dgm:spPr/>
    </dgm:pt>
    <dgm:pt modelId="{8F37A063-A989-46D5-9A3F-43EF7F8CF4DB}" type="pres">
      <dgm:prSet presAssocID="{25600ED3-EA85-403E-8E45-4619B4EB9AE2}" presName="parentText" presStyleLbl="node1" presStyleIdx="0" presStyleCnt="3">
        <dgm:presLayoutVars>
          <dgm:chMax val="1"/>
          <dgm:bulletEnabled val="1"/>
        </dgm:presLayoutVars>
      </dgm:prSet>
      <dgm:spPr>
        <a:prstGeom prst="roundRect">
          <a:avLst/>
        </a:prstGeom>
      </dgm:spPr>
      <dgm:t>
        <a:bodyPr/>
        <a:lstStyle/>
        <a:p>
          <a:endParaRPr lang="en-AU"/>
        </a:p>
      </dgm:t>
    </dgm:pt>
    <dgm:pt modelId="{E07778D7-31C8-45A8-9D62-7021CEBBE435}" type="pres">
      <dgm:prSet presAssocID="{25600ED3-EA85-403E-8E45-4619B4EB9AE2}" presName="descendantText" presStyleLbl="alignAccFollowNode1" presStyleIdx="0" presStyleCnt="3">
        <dgm:presLayoutVars>
          <dgm:bulletEnabled val="1"/>
        </dgm:presLayoutVars>
      </dgm:prSet>
      <dgm:spPr>
        <a:prstGeom prst="round2SameRect">
          <a:avLst/>
        </a:prstGeom>
      </dgm:spPr>
      <dgm:t>
        <a:bodyPr/>
        <a:lstStyle/>
        <a:p>
          <a:endParaRPr lang="en-AU"/>
        </a:p>
      </dgm:t>
    </dgm:pt>
    <dgm:pt modelId="{9998AFBE-4C3C-4962-81DB-F4B75721763F}" type="pres">
      <dgm:prSet presAssocID="{E404E229-0791-40B8-A9A8-37DA41EBB39E}" presName="sp" presStyleCnt="0"/>
      <dgm:spPr/>
    </dgm:pt>
    <dgm:pt modelId="{B97B2BCB-0D76-46AE-98AB-468E9F075C5A}" type="pres">
      <dgm:prSet presAssocID="{54E40E10-7BC5-4C4B-AADC-ECE0855B84EC}" presName="linNode" presStyleCnt="0"/>
      <dgm:spPr/>
    </dgm:pt>
    <dgm:pt modelId="{A9371802-4AAE-4080-8CD2-74B0513980DB}" type="pres">
      <dgm:prSet presAssocID="{54E40E10-7BC5-4C4B-AADC-ECE0855B84EC}" presName="parentText" presStyleLbl="node1" presStyleIdx="1" presStyleCnt="3">
        <dgm:presLayoutVars>
          <dgm:chMax val="1"/>
          <dgm:bulletEnabled val="1"/>
        </dgm:presLayoutVars>
      </dgm:prSet>
      <dgm:spPr>
        <a:prstGeom prst="roundRect">
          <a:avLst/>
        </a:prstGeom>
      </dgm:spPr>
      <dgm:t>
        <a:bodyPr/>
        <a:lstStyle/>
        <a:p>
          <a:endParaRPr lang="en-AU"/>
        </a:p>
      </dgm:t>
    </dgm:pt>
    <dgm:pt modelId="{91DE528F-1D74-4384-B0DE-82AB3677084D}" type="pres">
      <dgm:prSet presAssocID="{54E40E10-7BC5-4C4B-AADC-ECE0855B84EC}" presName="descendantText" presStyleLbl="alignAccFollowNode1" presStyleIdx="1" presStyleCnt="3">
        <dgm:presLayoutVars>
          <dgm:bulletEnabled val="1"/>
        </dgm:presLayoutVars>
      </dgm:prSet>
      <dgm:spPr>
        <a:prstGeom prst="round2SameRect">
          <a:avLst/>
        </a:prstGeom>
      </dgm:spPr>
      <dgm:t>
        <a:bodyPr/>
        <a:lstStyle/>
        <a:p>
          <a:endParaRPr lang="en-AU"/>
        </a:p>
      </dgm:t>
    </dgm:pt>
    <dgm:pt modelId="{C4E701E5-0798-46F8-814F-182D952C6C77}" type="pres">
      <dgm:prSet presAssocID="{D00FB0A6-128A-4945-BF92-55364C8DF426}" presName="sp" presStyleCnt="0"/>
      <dgm:spPr/>
    </dgm:pt>
    <dgm:pt modelId="{8FCBC9AD-EA25-4939-9EF8-EE1C1DC29459}" type="pres">
      <dgm:prSet presAssocID="{C5A4ABED-52BA-4583-8652-1A3C75B328D4}" presName="linNode" presStyleCnt="0"/>
      <dgm:spPr/>
    </dgm:pt>
    <dgm:pt modelId="{DB40C614-0382-4411-A67B-216A3FAED7E5}" type="pres">
      <dgm:prSet presAssocID="{C5A4ABED-52BA-4583-8652-1A3C75B328D4}" presName="parentText" presStyleLbl="node1" presStyleIdx="2" presStyleCnt="3">
        <dgm:presLayoutVars>
          <dgm:chMax val="1"/>
          <dgm:bulletEnabled val="1"/>
        </dgm:presLayoutVars>
      </dgm:prSet>
      <dgm:spPr>
        <a:prstGeom prst="roundRect">
          <a:avLst/>
        </a:prstGeom>
      </dgm:spPr>
      <dgm:t>
        <a:bodyPr/>
        <a:lstStyle/>
        <a:p>
          <a:endParaRPr lang="en-AU"/>
        </a:p>
      </dgm:t>
    </dgm:pt>
    <dgm:pt modelId="{EA3B4C26-77CF-4B48-8250-9E76A070157B}" type="pres">
      <dgm:prSet presAssocID="{C5A4ABED-52BA-4583-8652-1A3C75B328D4}" presName="descendantText" presStyleLbl="alignAccFollowNode1" presStyleIdx="2" presStyleCnt="3">
        <dgm:presLayoutVars>
          <dgm:bulletEnabled val="1"/>
        </dgm:presLayoutVars>
      </dgm:prSet>
      <dgm:spPr>
        <a:prstGeom prst="round2SameRect">
          <a:avLst/>
        </a:prstGeom>
      </dgm:spPr>
      <dgm:t>
        <a:bodyPr/>
        <a:lstStyle/>
        <a:p>
          <a:endParaRPr lang="en-AU"/>
        </a:p>
      </dgm:t>
    </dgm:pt>
  </dgm:ptLst>
  <dgm:cxnLst>
    <dgm:cxn modelId="{AD80AC0D-A485-449B-B7ED-5D9B2F7BD69C}" srcId="{25600ED3-EA85-403E-8E45-4619B4EB9AE2}" destId="{E1A33E16-47A1-4715-8181-22512FB7C676}" srcOrd="1" destOrd="0" parTransId="{20D6D577-0080-4CC9-9DC4-BF248E8A34E4}" sibTransId="{27A54C72-504E-4C3F-B287-156231B69DC3}"/>
    <dgm:cxn modelId="{37F58677-85C4-45C2-BC1C-4AB66502DCD7}" srcId="{54E40E10-7BC5-4C4B-AADC-ECE0855B84EC}" destId="{CC7A6D7C-591C-4ED4-9CAC-C392F2851BBB}" srcOrd="1" destOrd="0" parTransId="{6DE528DA-3116-465B-8D0C-CC1645377F61}" sibTransId="{F7BD0196-C8D7-4595-90B4-22AA412A7705}"/>
    <dgm:cxn modelId="{D807CC33-1ED5-41E3-98A5-F51C8B17D4D0}" srcId="{C5A4ABED-52BA-4583-8652-1A3C75B328D4}" destId="{8AE0D5D4-EBAC-457B-947A-D8870A1BA0FE}" srcOrd="0" destOrd="0" parTransId="{7C56EA17-B0C9-4B2A-BFD7-72EB8EFA3913}" sibTransId="{2C3373DB-7F9F-4785-92E3-E0CA5876BEF7}"/>
    <dgm:cxn modelId="{6A5AB2A3-CD01-44B5-B112-4878A08EADAC}" type="presOf" srcId="{CC7A6D7C-591C-4ED4-9CAC-C392F2851BBB}" destId="{91DE528F-1D74-4384-B0DE-82AB3677084D}" srcOrd="0" destOrd="1" presId="urn:microsoft.com/office/officeart/2005/8/layout/vList5"/>
    <dgm:cxn modelId="{D7B4E3D9-B1AC-45B3-AA1C-62316D76FDCA}" type="presOf" srcId="{9C2F2BD1-F162-4A06-AF3B-1739D5BE6ACC}" destId="{EA3B4C26-77CF-4B48-8250-9E76A070157B}" srcOrd="0" destOrd="1" presId="urn:microsoft.com/office/officeart/2005/8/layout/vList5"/>
    <dgm:cxn modelId="{3EA12ED4-35ED-4CCE-8112-22DA0B26F097}" srcId="{C5A4ABED-52BA-4583-8652-1A3C75B328D4}" destId="{9C2F2BD1-F162-4A06-AF3B-1739D5BE6ACC}" srcOrd="1" destOrd="0" parTransId="{8B3EC6F4-F097-4034-94E2-1BC4925FE4E5}" sibTransId="{EC33ADD1-1E01-40BE-B824-F6F70206BC71}"/>
    <dgm:cxn modelId="{CC777A4F-58E0-40B4-8C60-24266C9A0950}" type="presOf" srcId="{54E40E10-7BC5-4C4B-AADC-ECE0855B84EC}" destId="{A9371802-4AAE-4080-8CD2-74B0513980DB}" srcOrd="0" destOrd="0" presId="urn:microsoft.com/office/officeart/2005/8/layout/vList5"/>
    <dgm:cxn modelId="{3E6FFADD-ADCD-4907-9D01-4374A970055D}" srcId="{1DD738A1-4495-4742-9671-51522852FD6C}" destId="{25600ED3-EA85-403E-8E45-4619B4EB9AE2}" srcOrd="0" destOrd="0" parTransId="{C9572FE3-E3AF-4946-8D78-27DD558BAB40}" sibTransId="{E404E229-0791-40B8-A9A8-37DA41EBB39E}"/>
    <dgm:cxn modelId="{B8AA61E3-3E81-4BE7-9B3D-98D088608419}" type="presOf" srcId="{1DD738A1-4495-4742-9671-51522852FD6C}" destId="{60145AE2-161F-49FB-9CD0-A52CFFBB8B4E}" srcOrd="0" destOrd="0" presId="urn:microsoft.com/office/officeart/2005/8/layout/vList5"/>
    <dgm:cxn modelId="{B32781D9-24CD-4533-AD9F-554D4C610116}" type="presOf" srcId="{5D58451A-CC79-44D3-9880-19127961EEA1}" destId="{EA3B4C26-77CF-4B48-8250-9E76A070157B}" srcOrd="0" destOrd="2" presId="urn:microsoft.com/office/officeart/2005/8/layout/vList5"/>
    <dgm:cxn modelId="{B7032148-E5ED-495B-93A5-1225801E2262}" type="presOf" srcId="{8AE0D5D4-EBAC-457B-947A-D8870A1BA0FE}" destId="{EA3B4C26-77CF-4B48-8250-9E76A070157B}" srcOrd="0" destOrd="0" presId="urn:microsoft.com/office/officeart/2005/8/layout/vList5"/>
    <dgm:cxn modelId="{AF6141D4-46F8-4049-95F8-25514B98836A}" type="presOf" srcId="{9F29094D-7287-4A20-B026-CA2B5FEA84B0}" destId="{E07778D7-31C8-45A8-9D62-7021CEBBE435}" srcOrd="0" destOrd="0" presId="urn:microsoft.com/office/officeart/2005/8/layout/vList5"/>
    <dgm:cxn modelId="{947A388E-A8AD-41F8-87B4-2FD99D705879}" srcId="{25600ED3-EA85-403E-8E45-4619B4EB9AE2}" destId="{21D86CC2-68CD-4572-B042-41F4BB72022D}" srcOrd="2" destOrd="0" parTransId="{C038BC79-30E3-42A9-BFE1-980D99AAB210}" sibTransId="{B475EDC9-BE48-4D55-ADD1-DE23D960AA0B}"/>
    <dgm:cxn modelId="{CB7F2D1B-42D0-4AAA-832C-7D60ED4FC1D3}" srcId="{C5A4ABED-52BA-4583-8652-1A3C75B328D4}" destId="{5D58451A-CC79-44D3-9880-19127961EEA1}" srcOrd="2" destOrd="0" parTransId="{58D35726-F6A3-43C6-A52C-F83702F47EDA}" sibTransId="{11832E26-FD90-4B2C-81A5-C619174B2FE7}"/>
    <dgm:cxn modelId="{2249B9CE-7429-463E-9C00-25A2DD60F1DA}" type="presOf" srcId="{C5A4ABED-52BA-4583-8652-1A3C75B328D4}" destId="{DB40C614-0382-4411-A67B-216A3FAED7E5}" srcOrd="0" destOrd="0" presId="urn:microsoft.com/office/officeart/2005/8/layout/vList5"/>
    <dgm:cxn modelId="{54A02C6C-F4FB-454D-A393-3C320B64DE54}" srcId="{54E40E10-7BC5-4C4B-AADC-ECE0855B84EC}" destId="{9A12C4A6-E163-46E2-BD26-6FC4A43DCA9F}" srcOrd="0" destOrd="0" parTransId="{015249AA-58B0-459E-BAC7-05E250BD3F78}" sibTransId="{54B1E749-24D4-4513-BACB-7AB76BE5BCF6}"/>
    <dgm:cxn modelId="{8391A538-15B9-4CE2-9D94-A8B805DF7B3F}" type="presOf" srcId="{E1A33E16-47A1-4715-8181-22512FB7C676}" destId="{E07778D7-31C8-45A8-9D62-7021CEBBE435}" srcOrd="0" destOrd="1" presId="urn:microsoft.com/office/officeart/2005/8/layout/vList5"/>
    <dgm:cxn modelId="{30CE3F96-090F-4328-B133-CAE82D5CC2C8}" srcId="{54E40E10-7BC5-4C4B-AADC-ECE0855B84EC}" destId="{B94E462A-C942-4D4D-9495-D709D6951028}" srcOrd="2" destOrd="0" parTransId="{D7649EDA-6567-48A2-946C-CEFBAE20A781}" sibTransId="{B4106998-5E69-4356-9E3B-761F981AB119}"/>
    <dgm:cxn modelId="{267D2453-93D3-4B26-A5BB-AF9DC860CCC8}" srcId="{1DD738A1-4495-4742-9671-51522852FD6C}" destId="{54E40E10-7BC5-4C4B-AADC-ECE0855B84EC}" srcOrd="1" destOrd="0" parTransId="{AF2D5055-51ED-4A31-889F-1997717335C5}" sibTransId="{D00FB0A6-128A-4945-BF92-55364C8DF426}"/>
    <dgm:cxn modelId="{4E886006-C255-4F4E-BF3C-99CA1C5AD3AA}" type="presOf" srcId="{25600ED3-EA85-403E-8E45-4619B4EB9AE2}" destId="{8F37A063-A989-46D5-9A3F-43EF7F8CF4DB}" srcOrd="0" destOrd="0" presId="urn:microsoft.com/office/officeart/2005/8/layout/vList5"/>
    <dgm:cxn modelId="{B5DDA9D0-98B9-4868-9794-F18C216ACE23}" type="presOf" srcId="{B94E462A-C942-4D4D-9495-D709D6951028}" destId="{91DE528F-1D74-4384-B0DE-82AB3677084D}" srcOrd="0" destOrd="2" presId="urn:microsoft.com/office/officeart/2005/8/layout/vList5"/>
    <dgm:cxn modelId="{4A41B04D-4D92-4F37-BF17-F360DE9D7A08}" type="presOf" srcId="{9A12C4A6-E163-46E2-BD26-6FC4A43DCA9F}" destId="{91DE528F-1D74-4384-B0DE-82AB3677084D}" srcOrd="0" destOrd="0" presId="urn:microsoft.com/office/officeart/2005/8/layout/vList5"/>
    <dgm:cxn modelId="{E4D0509F-A16D-41FE-8062-770D8F3B9EC0}" type="presOf" srcId="{21D86CC2-68CD-4572-B042-41F4BB72022D}" destId="{E07778D7-31C8-45A8-9D62-7021CEBBE435}" srcOrd="0" destOrd="2" presId="urn:microsoft.com/office/officeart/2005/8/layout/vList5"/>
    <dgm:cxn modelId="{7A413E15-471B-4012-A6A1-ED5AE24F71F8}" srcId="{25600ED3-EA85-403E-8E45-4619B4EB9AE2}" destId="{9F29094D-7287-4A20-B026-CA2B5FEA84B0}" srcOrd="0" destOrd="0" parTransId="{B42AC2A8-664E-4A0C-B541-F40C800BB370}" sibTransId="{D90DCAC6-6B50-4E0D-9072-8954466A3443}"/>
    <dgm:cxn modelId="{7186714D-50D3-4A96-9B79-3156C5240577}" srcId="{1DD738A1-4495-4742-9671-51522852FD6C}" destId="{C5A4ABED-52BA-4583-8652-1A3C75B328D4}" srcOrd="2" destOrd="0" parTransId="{1157580D-FF6A-42DD-8A5B-B87D4C888797}" sibTransId="{F45EA935-DBA7-4CF3-A741-96627EE3E3F5}"/>
    <dgm:cxn modelId="{6457236C-811B-4A28-9772-C87928989B75}" type="presParOf" srcId="{60145AE2-161F-49FB-9CD0-A52CFFBB8B4E}" destId="{B1F1051D-CF12-45F9-999A-AC8CD43284E5}" srcOrd="0" destOrd="0" presId="urn:microsoft.com/office/officeart/2005/8/layout/vList5"/>
    <dgm:cxn modelId="{A018BE2F-AD43-41ED-B9F2-8C6412435B50}" type="presParOf" srcId="{B1F1051D-CF12-45F9-999A-AC8CD43284E5}" destId="{8F37A063-A989-46D5-9A3F-43EF7F8CF4DB}" srcOrd="0" destOrd="0" presId="urn:microsoft.com/office/officeart/2005/8/layout/vList5"/>
    <dgm:cxn modelId="{6C79DF0A-13DB-4753-8CE2-CBB76CD28399}" type="presParOf" srcId="{B1F1051D-CF12-45F9-999A-AC8CD43284E5}" destId="{E07778D7-31C8-45A8-9D62-7021CEBBE435}" srcOrd="1" destOrd="0" presId="urn:microsoft.com/office/officeart/2005/8/layout/vList5"/>
    <dgm:cxn modelId="{E529F586-D0B0-49C3-9D9C-89606EF00A67}" type="presParOf" srcId="{60145AE2-161F-49FB-9CD0-A52CFFBB8B4E}" destId="{9998AFBE-4C3C-4962-81DB-F4B75721763F}" srcOrd="1" destOrd="0" presId="urn:microsoft.com/office/officeart/2005/8/layout/vList5"/>
    <dgm:cxn modelId="{D17E123D-F2D3-4EEB-BD1E-DC5C861E1067}" type="presParOf" srcId="{60145AE2-161F-49FB-9CD0-A52CFFBB8B4E}" destId="{B97B2BCB-0D76-46AE-98AB-468E9F075C5A}" srcOrd="2" destOrd="0" presId="urn:microsoft.com/office/officeart/2005/8/layout/vList5"/>
    <dgm:cxn modelId="{9AD8DD4B-9943-4826-A560-BF52EE3DDE63}" type="presParOf" srcId="{B97B2BCB-0D76-46AE-98AB-468E9F075C5A}" destId="{A9371802-4AAE-4080-8CD2-74B0513980DB}" srcOrd="0" destOrd="0" presId="urn:microsoft.com/office/officeart/2005/8/layout/vList5"/>
    <dgm:cxn modelId="{82F54EEC-0C28-47FC-B25E-71397626C3EE}" type="presParOf" srcId="{B97B2BCB-0D76-46AE-98AB-468E9F075C5A}" destId="{91DE528F-1D74-4384-B0DE-82AB3677084D}" srcOrd="1" destOrd="0" presId="urn:microsoft.com/office/officeart/2005/8/layout/vList5"/>
    <dgm:cxn modelId="{F1AB8CD9-DC56-49B0-9705-EF0E301C321E}" type="presParOf" srcId="{60145AE2-161F-49FB-9CD0-A52CFFBB8B4E}" destId="{C4E701E5-0798-46F8-814F-182D952C6C77}" srcOrd="3" destOrd="0" presId="urn:microsoft.com/office/officeart/2005/8/layout/vList5"/>
    <dgm:cxn modelId="{50C95AA3-D970-4AED-9CF9-91FDF29A7417}" type="presParOf" srcId="{60145AE2-161F-49FB-9CD0-A52CFFBB8B4E}" destId="{8FCBC9AD-EA25-4939-9EF8-EE1C1DC29459}" srcOrd="4" destOrd="0" presId="urn:microsoft.com/office/officeart/2005/8/layout/vList5"/>
    <dgm:cxn modelId="{B90D9A0A-7EE4-4ADF-A509-736229AB9828}" type="presParOf" srcId="{8FCBC9AD-EA25-4939-9EF8-EE1C1DC29459}" destId="{DB40C614-0382-4411-A67B-216A3FAED7E5}" srcOrd="0" destOrd="0" presId="urn:microsoft.com/office/officeart/2005/8/layout/vList5"/>
    <dgm:cxn modelId="{E5FA18F4-BA05-4053-9EB1-9AA01B061F36}" type="presParOf" srcId="{8FCBC9AD-EA25-4939-9EF8-EE1C1DC29459}" destId="{EA3B4C26-77CF-4B48-8250-9E76A070157B}" srcOrd="1" destOrd="0" presId="urn:microsoft.com/office/officeart/2005/8/layout/vList5"/>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3CB63F-493C-4931-B1E2-1197D2C582BA}">
      <dsp:nvSpPr>
        <dsp:cNvPr id="0" name=""/>
        <dsp:cNvSpPr/>
      </dsp:nvSpPr>
      <dsp:spPr>
        <a:xfrm>
          <a:off x="940778" y="395097"/>
          <a:ext cx="2852367" cy="1533906"/>
        </a:xfrm>
        <a:prstGeom prst="round2DiagRect">
          <a:avLst>
            <a:gd name="adj1" fmla="val 0"/>
            <a:gd name="adj2" fmla="val 1667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D5C026C-7ED2-49A6-B063-DDB306459D0D}">
      <dsp:nvSpPr>
        <dsp:cNvPr id="0" name=""/>
        <dsp:cNvSpPr/>
      </dsp:nvSpPr>
      <dsp:spPr>
        <a:xfrm>
          <a:off x="2366962" y="557784"/>
          <a:ext cx="380" cy="1208532"/>
        </a:xfrm>
        <a:prstGeom prst="lin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w="9525" cap="flat" cmpd="sng" algn="ctr">
          <a:solidFill>
            <a:srgbClr val="4F81BD">
              <a:tint val="50000"/>
              <a:hueOff val="0"/>
              <a:satOff val="0"/>
              <a:lumOff val="0"/>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dsp:style>
    </dsp:sp>
    <dsp:sp modelId="{C52DD2A6-0C4E-45E4-962D-4485251039D3}">
      <dsp:nvSpPr>
        <dsp:cNvPr id="0" name=""/>
        <dsp:cNvSpPr/>
      </dsp:nvSpPr>
      <dsp:spPr>
        <a:xfrm>
          <a:off x="1035857" y="511302"/>
          <a:ext cx="1236026" cy="1301496"/>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lvl="0" algn="l" defTabSz="311150">
            <a:lnSpc>
              <a:spcPct val="90000"/>
            </a:lnSpc>
            <a:spcBef>
              <a:spcPct val="0"/>
            </a:spcBef>
            <a:spcAft>
              <a:spcPct val="35000"/>
            </a:spcAft>
          </a:pPr>
          <a:r>
            <a:rPr lang="en-US" sz="700" kern="1200">
              <a:solidFill>
                <a:sysClr val="windowText" lastClr="000000">
                  <a:hueOff val="0"/>
                  <a:satOff val="0"/>
                  <a:lumOff val="0"/>
                  <a:alphaOff val="0"/>
                </a:sysClr>
              </a:solidFill>
              <a:latin typeface="Calibri"/>
              <a:ea typeface="+mn-ea"/>
              <a:cs typeface="+mn-cs"/>
            </a:rPr>
            <a:t>Market access and national treatment obligations only apply to services and service suppliers/investors and investments to the extent that Parties make specific commitments.</a:t>
          </a:r>
          <a:endParaRPr lang="en-AU" sz="700" kern="1200">
            <a:solidFill>
              <a:sysClr val="windowText" lastClr="000000">
                <a:hueOff val="0"/>
                <a:satOff val="0"/>
                <a:lumOff val="0"/>
                <a:alphaOff val="0"/>
              </a:sysClr>
            </a:solidFill>
            <a:latin typeface="Calibri"/>
            <a:ea typeface="+mn-ea"/>
            <a:cs typeface="+mn-cs"/>
          </a:endParaRPr>
        </a:p>
        <a:p>
          <a:pPr lvl="0" algn="l" defTabSz="311150">
            <a:lnSpc>
              <a:spcPct val="90000"/>
            </a:lnSpc>
            <a:spcBef>
              <a:spcPct val="0"/>
            </a:spcBef>
            <a:spcAft>
              <a:spcPct val="35000"/>
            </a:spcAft>
          </a:pPr>
          <a:r>
            <a:rPr lang="en-US" sz="700" kern="1200">
              <a:solidFill>
                <a:sysClr val="windowText" lastClr="000000">
                  <a:hueOff val="0"/>
                  <a:satOff val="0"/>
                  <a:lumOff val="0"/>
                  <a:alphaOff val="0"/>
                </a:sysClr>
              </a:solidFill>
              <a:latin typeface="Calibri"/>
              <a:ea typeface="+mn-ea"/>
              <a:cs typeface="+mn-cs"/>
            </a:rPr>
            <a:t>Trade agreements:</a:t>
          </a:r>
          <a:endParaRPr lang="en-AU" sz="700" kern="1200">
            <a:solidFill>
              <a:sysClr val="windowText" lastClr="000000">
                <a:hueOff val="0"/>
                <a:satOff val="0"/>
                <a:lumOff val="0"/>
                <a:alphaOff val="0"/>
              </a:sysClr>
            </a:solidFill>
            <a:latin typeface="Calibri"/>
            <a:ea typeface="+mn-ea"/>
            <a:cs typeface="+mn-cs"/>
          </a:endParaRPr>
        </a:p>
        <a:p>
          <a:pPr lvl="0" algn="l" defTabSz="311150">
            <a:lnSpc>
              <a:spcPct val="90000"/>
            </a:lnSpc>
            <a:spcBef>
              <a:spcPct val="0"/>
            </a:spcBef>
            <a:spcAft>
              <a:spcPct val="35000"/>
            </a:spcAft>
          </a:pPr>
          <a:r>
            <a:rPr lang="en-US" sz="700" kern="1200">
              <a:solidFill>
                <a:sysClr val="windowText" lastClr="000000">
                  <a:hueOff val="0"/>
                  <a:satOff val="0"/>
                  <a:lumOff val="0"/>
                  <a:alphaOff val="0"/>
                </a:sysClr>
              </a:solidFill>
              <a:latin typeface="Calibri"/>
              <a:ea typeface="+mn-ea"/>
              <a:cs typeface="+mn-cs"/>
            </a:rPr>
            <a:t>GATS, TAFTA, AANZFTA, MAFTA, ChAFTA (China)</a:t>
          </a:r>
          <a:endParaRPr lang="en-AU" sz="700" kern="1200">
            <a:solidFill>
              <a:sysClr val="windowText" lastClr="000000">
                <a:hueOff val="0"/>
                <a:satOff val="0"/>
                <a:lumOff val="0"/>
                <a:alphaOff val="0"/>
              </a:sysClr>
            </a:solidFill>
            <a:latin typeface="Calibri"/>
            <a:ea typeface="+mn-ea"/>
            <a:cs typeface="+mn-cs"/>
          </a:endParaRPr>
        </a:p>
      </dsp:txBody>
      <dsp:txXfrm>
        <a:off x="1035857" y="511302"/>
        <a:ext cx="1236026" cy="1301496"/>
      </dsp:txXfrm>
    </dsp:sp>
    <dsp:sp modelId="{DEC653AD-9292-40B3-8F7C-6B7412BD50C4}">
      <dsp:nvSpPr>
        <dsp:cNvPr id="0" name=""/>
        <dsp:cNvSpPr/>
      </dsp:nvSpPr>
      <dsp:spPr>
        <a:xfrm>
          <a:off x="2462041" y="511302"/>
          <a:ext cx="1236026" cy="1301496"/>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lvl="0" algn="l" defTabSz="311150">
            <a:lnSpc>
              <a:spcPct val="90000"/>
            </a:lnSpc>
            <a:spcBef>
              <a:spcPct val="0"/>
            </a:spcBef>
            <a:spcAft>
              <a:spcPct val="35000"/>
            </a:spcAft>
          </a:pPr>
          <a:r>
            <a:rPr lang="en-US" sz="700" kern="1200">
              <a:solidFill>
                <a:sysClr val="windowText" lastClr="000000">
                  <a:hueOff val="0"/>
                  <a:satOff val="0"/>
                  <a:lumOff val="0"/>
                  <a:alphaOff val="0"/>
                </a:sysClr>
              </a:solidFill>
              <a:latin typeface="Calibri"/>
              <a:ea typeface="+mn-ea"/>
              <a:cs typeface="+mn-cs"/>
            </a:rPr>
            <a:t>Market access and national treatment obligations apply to all services and service suppliers/investors and investments unless a reservation is made.</a:t>
          </a:r>
          <a:endParaRPr lang="en-AU" sz="700" kern="1200">
            <a:solidFill>
              <a:sysClr val="windowText" lastClr="000000">
                <a:hueOff val="0"/>
                <a:satOff val="0"/>
                <a:lumOff val="0"/>
                <a:alphaOff val="0"/>
              </a:sysClr>
            </a:solidFill>
            <a:latin typeface="Calibri"/>
            <a:ea typeface="+mn-ea"/>
            <a:cs typeface="+mn-cs"/>
          </a:endParaRPr>
        </a:p>
        <a:p>
          <a:pPr lvl="0" algn="l" defTabSz="311150">
            <a:lnSpc>
              <a:spcPct val="90000"/>
            </a:lnSpc>
            <a:spcBef>
              <a:spcPct val="0"/>
            </a:spcBef>
            <a:spcAft>
              <a:spcPct val="35000"/>
            </a:spcAft>
          </a:pPr>
          <a:endParaRPr lang="en-AU" sz="700" kern="1200">
            <a:solidFill>
              <a:sysClr val="windowText" lastClr="000000">
                <a:hueOff val="0"/>
                <a:satOff val="0"/>
                <a:lumOff val="0"/>
                <a:alphaOff val="0"/>
              </a:sysClr>
            </a:solidFill>
            <a:latin typeface="Calibri"/>
            <a:ea typeface="+mn-ea"/>
            <a:cs typeface="+mn-cs"/>
          </a:endParaRPr>
        </a:p>
        <a:p>
          <a:pPr lvl="0" algn="l" defTabSz="311150">
            <a:lnSpc>
              <a:spcPct val="90000"/>
            </a:lnSpc>
            <a:spcBef>
              <a:spcPct val="0"/>
            </a:spcBef>
            <a:spcAft>
              <a:spcPct val="35000"/>
            </a:spcAft>
          </a:pPr>
          <a:r>
            <a:rPr lang="en-AU" sz="700" kern="1200">
              <a:solidFill>
                <a:sysClr val="windowText" lastClr="000000">
                  <a:hueOff val="0"/>
                  <a:satOff val="0"/>
                  <a:lumOff val="0"/>
                  <a:alphaOff val="0"/>
                </a:sysClr>
              </a:solidFill>
              <a:latin typeface="Calibri"/>
              <a:ea typeface="+mn-ea"/>
              <a:cs typeface="+mn-cs"/>
            </a:rPr>
            <a:t>Trade agreements:</a:t>
          </a:r>
        </a:p>
        <a:p>
          <a:pPr lvl="0" algn="l" defTabSz="311150">
            <a:lnSpc>
              <a:spcPct val="90000"/>
            </a:lnSpc>
            <a:spcBef>
              <a:spcPct val="0"/>
            </a:spcBef>
            <a:spcAft>
              <a:spcPct val="35000"/>
            </a:spcAft>
          </a:pPr>
          <a:r>
            <a:rPr lang="en-AU" sz="700" kern="1200">
              <a:solidFill>
                <a:sysClr val="windowText" lastClr="000000">
                  <a:hueOff val="0"/>
                  <a:satOff val="0"/>
                  <a:lumOff val="0"/>
                  <a:alphaOff val="0"/>
                </a:sysClr>
              </a:solidFill>
              <a:latin typeface="Calibri"/>
              <a:ea typeface="+mn-ea"/>
              <a:cs typeface="+mn-cs"/>
            </a:rPr>
            <a:t>SAFTA, AUSFTA, ACI-FTA, KAFTA, JAEPA, ChAFTA (Australia)</a:t>
          </a:r>
        </a:p>
      </dsp:txBody>
      <dsp:txXfrm>
        <a:off x="2462041" y="511302"/>
        <a:ext cx="1236026" cy="1301496"/>
      </dsp:txXfrm>
    </dsp:sp>
    <dsp:sp modelId="{49C11A4B-F29C-4305-A125-4733582AE557}">
      <dsp:nvSpPr>
        <dsp:cNvPr id="0" name=""/>
        <dsp:cNvSpPr/>
      </dsp:nvSpPr>
      <dsp:spPr>
        <a:xfrm rot="16200000">
          <a:off x="-133594" y="598978"/>
          <a:ext cx="1673352" cy="475394"/>
        </a:xfrm>
        <a:prstGeom prst="rightArrow">
          <a:avLst>
            <a:gd name="adj1" fmla="val 49830"/>
            <a:gd name="adj2" fmla="val 60660"/>
          </a:avLst>
        </a:prstGeom>
        <a:solidFill>
          <a:srgbClr val="4F81BD">
            <a:tint val="50000"/>
            <a:hueOff val="0"/>
            <a:satOff val="0"/>
            <a:lumOff val="0"/>
            <a:alphaOff val="0"/>
          </a:srgbClr>
        </a:solidFill>
        <a:ln w="9525"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txBody>
        <a:bodyPr spcFirstLastPara="0" vert="horz" wrap="square" lIns="38100" tIns="38100" rIns="38100" bIns="38100" numCol="1" spcCol="1270" anchor="ctr" anchorCtr="0">
          <a:noAutofit/>
        </a:bodyPr>
        <a:lstStyle/>
        <a:p>
          <a:pPr lvl="0" algn="r" defTabSz="444500">
            <a:lnSpc>
              <a:spcPct val="90000"/>
            </a:lnSpc>
            <a:spcBef>
              <a:spcPct val="0"/>
            </a:spcBef>
            <a:spcAft>
              <a:spcPct val="35000"/>
            </a:spcAft>
          </a:pPr>
          <a:r>
            <a:rPr lang="en-AU" sz="1000" b="1" kern="1200">
              <a:solidFill>
                <a:sysClr val="windowText" lastClr="000000">
                  <a:hueOff val="0"/>
                  <a:satOff val="0"/>
                  <a:lumOff val="0"/>
                  <a:alphaOff val="0"/>
                </a:sysClr>
              </a:solidFill>
              <a:latin typeface="Calibri"/>
              <a:ea typeface="+mn-ea"/>
              <a:cs typeface="+mn-cs"/>
            </a:rPr>
            <a:t>POSITIVE LIST</a:t>
          </a:r>
          <a:r>
            <a:rPr lang="en-AU" sz="1000" kern="1200">
              <a:solidFill>
                <a:sysClr val="windowText" lastClr="000000">
                  <a:hueOff val="0"/>
                  <a:satOff val="0"/>
                  <a:lumOff val="0"/>
                  <a:alphaOff val="0"/>
                </a:sysClr>
              </a:solidFill>
              <a:latin typeface="Calibri"/>
              <a:ea typeface="+mn-ea"/>
              <a:cs typeface="+mn-cs"/>
            </a:rPr>
            <a:t> </a:t>
          </a:r>
        </a:p>
      </dsp:txBody>
      <dsp:txXfrm>
        <a:off x="-61746" y="790080"/>
        <a:ext cx="1529655" cy="236888"/>
      </dsp:txXfrm>
    </dsp:sp>
    <dsp:sp modelId="{22F66031-16F2-4D35-A567-3C3698B106E9}">
      <dsp:nvSpPr>
        <dsp:cNvPr id="0" name=""/>
        <dsp:cNvSpPr/>
      </dsp:nvSpPr>
      <dsp:spPr>
        <a:xfrm rot="5400000">
          <a:off x="3194167" y="1249726"/>
          <a:ext cx="1673352" cy="475394"/>
        </a:xfrm>
        <a:prstGeom prst="rightArrow">
          <a:avLst>
            <a:gd name="adj1" fmla="val 49830"/>
            <a:gd name="adj2" fmla="val 60660"/>
          </a:avLst>
        </a:prstGeom>
        <a:solidFill>
          <a:srgbClr val="4F81BD">
            <a:tint val="50000"/>
            <a:hueOff val="0"/>
            <a:satOff val="0"/>
            <a:lumOff val="0"/>
            <a:alphaOff val="0"/>
          </a:srgbClr>
        </a:solidFill>
        <a:ln w="9525"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txBody>
        <a:bodyPr spcFirstLastPara="0" vert="horz" wrap="square" lIns="38100" tIns="38100" rIns="38100" bIns="38100" numCol="1" spcCol="1270" anchor="ctr" anchorCtr="0">
          <a:noAutofit/>
        </a:bodyPr>
        <a:lstStyle/>
        <a:p>
          <a:pPr lvl="0" algn="r" defTabSz="444500">
            <a:lnSpc>
              <a:spcPct val="90000"/>
            </a:lnSpc>
            <a:spcBef>
              <a:spcPct val="0"/>
            </a:spcBef>
            <a:spcAft>
              <a:spcPct val="35000"/>
            </a:spcAft>
          </a:pPr>
          <a:r>
            <a:rPr lang="en-AU" sz="1000" b="1" kern="1200">
              <a:solidFill>
                <a:sysClr val="windowText" lastClr="000000">
                  <a:hueOff val="0"/>
                  <a:satOff val="0"/>
                  <a:lumOff val="0"/>
                  <a:alphaOff val="0"/>
                </a:sysClr>
              </a:solidFill>
              <a:latin typeface="Calibri"/>
              <a:ea typeface="+mn-ea"/>
              <a:cs typeface="+mn-cs"/>
            </a:rPr>
            <a:t>NEGATIVE LIST</a:t>
          </a:r>
          <a:r>
            <a:rPr lang="en-AU" sz="1000" kern="1200">
              <a:solidFill>
                <a:sysClr val="windowText" lastClr="000000">
                  <a:hueOff val="0"/>
                  <a:satOff val="0"/>
                  <a:lumOff val="0"/>
                  <a:alphaOff val="0"/>
                </a:sysClr>
              </a:solidFill>
              <a:latin typeface="Calibri"/>
              <a:ea typeface="+mn-ea"/>
              <a:cs typeface="+mn-cs"/>
            </a:rPr>
            <a:t> </a:t>
          </a:r>
        </a:p>
      </dsp:txBody>
      <dsp:txXfrm>
        <a:off x="3266016" y="1297131"/>
        <a:ext cx="1529655" cy="23688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A53908-8A5A-4C20-AE4C-BA07ED08E928}">
      <dsp:nvSpPr>
        <dsp:cNvPr id="0" name=""/>
        <dsp:cNvSpPr/>
      </dsp:nvSpPr>
      <dsp:spPr>
        <a:xfrm>
          <a:off x="2380" y="335408"/>
          <a:ext cx="1040972" cy="624583"/>
        </a:xfrm>
        <a:prstGeom prst="roundRect">
          <a:avLst>
            <a:gd name="adj" fmla="val 1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AU" sz="1300" kern="1200">
              <a:solidFill>
                <a:sysClr val="window" lastClr="FFFFFF"/>
              </a:solidFill>
              <a:latin typeface="Calibri"/>
              <a:ea typeface="+mn-ea"/>
              <a:cs typeface="+mn-cs"/>
            </a:rPr>
            <a:t>Feasibility</a:t>
          </a:r>
        </a:p>
      </dsp:txBody>
      <dsp:txXfrm>
        <a:off x="20673" y="353701"/>
        <a:ext cx="1004386" cy="587997"/>
      </dsp:txXfrm>
    </dsp:sp>
    <dsp:sp modelId="{D11F2D6E-2ACA-484E-8252-29D52B95FC87}">
      <dsp:nvSpPr>
        <dsp:cNvPr id="0" name=""/>
        <dsp:cNvSpPr/>
      </dsp:nvSpPr>
      <dsp:spPr>
        <a:xfrm>
          <a:off x="1147450" y="518619"/>
          <a:ext cx="220686" cy="258161"/>
        </a:xfrm>
        <a:prstGeom prst="rightArrow">
          <a:avLst>
            <a:gd name="adj1" fmla="val 60000"/>
            <a:gd name="adj2" fmla="val 50000"/>
          </a:avLst>
        </a:prstGeom>
        <a:solidFill>
          <a:srgbClr val="C0504D">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AU" sz="1100" kern="1200">
            <a:solidFill>
              <a:sysClr val="window" lastClr="FFFFFF"/>
            </a:solidFill>
            <a:latin typeface="Calibri"/>
            <a:ea typeface="+mn-ea"/>
            <a:cs typeface="+mn-cs"/>
          </a:endParaRPr>
        </a:p>
      </dsp:txBody>
      <dsp:txXfrm>
        <a:off x="1147450" y="570251"/>
        <a:ext cx="154480" cy="154897"/>
      </dsp:txXfrm>
    </dsp:sp>
    <dsp:sp modelId="{E75AAC0D-3FB7-49B8-A085-7F98B7A7F867}">
      <dsp:nvSpPr>
        <dsp:cNvPr id="0" name=""/>
        <dsp:cNvSpPr/>
      </dsp:nvSpPr>
      <dsp:spPr>
        <a:xfrm>
          <a:off x="1459742" y="335408"/>
          <a:ext cx="1040972" cy="624583"/>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AU" sz="1300" kern="1200">
              <a:solidFill>
                <a:sysClr val="window" lastClr="FFFFFF"/>
              </a:solidFill>
              <a:latin typeface="Calibri"/>
              <a:ea typeface="+mn-ea"/>
              <a:cs typeface="+mn-cs"/>
            </a:rPr>
            <a:t>Launch</a:t>
          </a:r>
        </a:p>
      </dsp:txBody>
      <dsp:txXfrm>
        <a:off x="1478035" y="353701"/>
        <a:ext cx="1004386" cy="587997"/>
      </dsp:txXfrm>
    </dsp:sp>
    <dsp:sp modelId="{708D72C2-DCC9-4E60-8EFB-87DBB06B83E5}">
      <dsp:nvSpPr>
        <dsp:cNvPr id="0" name=""/>
        <dsp:cNvSpPr/>
      </dsp:nvSpPr>
      <dsp:spPr>
        <a:xfrm>
          <a:off x="2604812" y="518619"/>
          <a:ext cx="220686" cy="258161"/>
        </a:xfrm>
        <a:prstGeom prst="rightArrow">
          <a:avLst>
            <a:gd name="adj1" fmla="val 60000"/>
            <a:gd name="adj2" fmla="val 50000"/>
          </a:avLst>
        </a:prstGeom>
        <a:solidFill>
          <a:srgbClr val="9BBB59">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AU" sz="1100" kern="1200">
            <a:solidFill>
              <a:sysClr val="window" lastClr="FFFFFF"/>
            </a:solidFill>
            <a:latin typeface="Calibri"/>
            <a:ea typeface="+mn-ea"/>
            <a:cs typeface="+mn-cs"/>
          </a:endParaRPr>
        </a:p>
      </dsp:txBody>
      <dsp:txXfrm>
        <a:off x="2604812" y="570251"/>
        <a:ext cx="154480" cy="154897"/>
      </dsp:txXfrm>
    </dsp:sp>
    <dsp:sp modelId="{591DECB9-7829-4FA8-B6D9-2CF0DCFD09BC}">
      <dsp:nvSpPr>
        <dsp:cNvPr id="0" name=""/>
        <dsp:cNvSpPr/>
      </dsp:nvSpPr>
      <dsp:spPr>
        <a:xfrm>
          <a:off x="2917104" y="335408"/>
          <a:ext cx="1040972" cy="624583"/>
        </a:xfrm>
        <a:prstGeom prst="roundRect">
          <a:avLst>
            <a:gd name="adj" fmla="val 10000"/>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AU" sz="1300" kern="1200">
              <a:solidFill>
                <a:sysClr val="window" lastClr="FFFFFF"/>
              </a:solidFill>
              <a:latin typeface="Calibri"/>
              <a:ea typeface="+mn-ea"/>
              <a:cs typeface="+mn-cs"/>
            </a:rPr>
            <a:t>Negotiations</a:t>
          </a:r>
        </a:p>
      </dsp:txBody>
      <dsp:txXfrm>
        <a:off x="2935397" y="353701"/>
        <a:ext cx="1004386" cy="587997"/>
      </dsp:txXfrm>
    </dsp:sp>
    <dsp:sp modelId="{6FCF2894-C9DC-4419-9D46-07BB49663662}">
      <dsp:nvSpPr>
        <dsp:cNvPr id="0" name=""/>
        <dsp:cNvSpPr/>
      </dsp:nvSpPr>
      <dsp:spPr>
        <a:xfrm>
          <a:off x="4062174" y="518619"/>
          <a:ext cx="220686" cy="258161"/>
        </a:xfrm>
        <a:prstGeom prst="rightArrow">
          <a:avLst>
            <a:gd name="adj1" fmla="val 60000"/>
            <a:gd name="adj2" fmla="val 50000"/>
          </a:avLst>
        </a:prstGeom>
        <a:solidFill>
          <a:srgbClr val="8064A2">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AU" sz="1100" kern="1200">
            <a:solidFill>
              <a:sysClr val="window" lastClr="FFFFFF"/>
            </a:solidFill>
            <a:latin typeface="Calibri"/>
            <a:ea typeface="+mn-ea"/>
            <a:cs typeface="+mn-cs"/>
          </a:endParaRPr>
        </a:p>
      </dsp:txBody>
      <dsp:txXfrm>
        <a:off x="4062174" y="570251"/>
        <a:ext cx="154480" cy="154897"/>
      </dsp:txXfrm>
    </dsp:sp>
    <dsp:sp modelId="{35246AA9-2EAC-45A7-BBB4-CB461B075D6E}">
      <dsp:nvSpPr>
        <dsp:cNvPr id="0" name=""/>
        <dsp:cNvSpPr/>
      </dsp:nvSpPr>
      <dsp:spPr>
        <a:xfrm>
          <a:off x="4374466" y="335408"/>
          <a:ext cx="1040972" cy="624583"/>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AU" sz="1300" kern="1200">
              <a:solidFill>
                <a:sysClr val="window" lastClr="FFFFFF"/>
              </a:solidFill>
              <a:latin typeface="Calibri"/>
              <a:ea typeface="+mn-ea"/>
              <a:cs typeface="+mn-cs"/>
            </a:rPr>
            <a:t>Conclusion</a:t>
          </a:r>
        </a:p>
      </dsp:txBody>
      <dsp:txXfrm>
        <a:off x="4392759" y="353701"/>
        <a:ext cx="1004386" cy="58799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7778D7-31C8-45A8-9D62-7021CEBBE435}">
      <dsp:nvSpPr>
        <dsp:cNvPr id="0" name=""/>
        <dsp:cNvSpPr/>
      </dsp:nvSpPr>
      <dsp:spPr>
        <a:xfrm rot="5400000">
          <a:off x="3192204" y="-1191348"/>
          <a:ext cx="793834" cy="3377996"/>
        </a:xfrm>
        <a:prstGeom prst="round2SameRect">
          <a:avLst/>
        </a:prstGeom>
        <a:solidFill>
          <a:srgbClr val="C0504D">
            <a:tint val="40000"/>
            <a:alpha val="90000"/>
            <a:hueOff val="0"/>
            <a:satOff val="0"/>
            <a:lumOff val="0"/>
            <a:alphaOff val="0"/>
          </a:srgbClr>
        </a:solidFill>
        <a:ln w="25400" cap="flat" cmpd="sng" algn="ctr">
          <a:solidFill>
            <a:srgbClr val="C0504D">
              <a:tint val="40000"/>
              <a:alpha val="9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en-AU" sz="1100" kern="1200">
              <a:solidFill>
                <a:sysClr val="windowText" lastClr="000000">
                  <a:hueOff val="0"/>
                  <a:satOff val="0"/>
                  <a:lumOff val="0"/>
                  <a:alphaOff val="0"/>
                </a:sysClr>
              </a:solidFill>
              <a:latin typeface="Calibri"/>
              <a:ea typeface="+mn-ea"/>
              <a:cs typeface="+mn-cs"/>
            </a:rPr>
            <a:t> Stakeholder consultations commenced in 2004</a:t>
          </a:r>
        </a:p>
        <a:p>
          <a:pPr marL="57150" lvl="1" indent="-57150" algn="l" defTabSz="488950">
            <a:lnSpc>
              <a:spcPct val="90000"/>
            </a:lnSpc>
            <a:spcBef>
              <a:spcPct val="0"/>
            </a:spcBef>
            <a:spcAft>
              <a:spcPct val="15000"/>
            </a:spcAft>
            <a:buChar char="••"/>
          </a:pPr>
          <a:r>
            <a:rPr lang="en-AU" sz="1100" kern="1200">
              <a:solidFill>
                <a:sysClr val="windowText" lastClr="000000">
                  <a:hueOff val="0"/>
                  <a:satOff val="0"/>
                  <a:lumOff val="0"/>
                  <a:alphaOff val="0"/>
                </a:sysClr>
              </a:solidFill>
              <a:latin typeface="Calibri"/>
              <a:ea typeface="+mn-ea"/>
              <a:cs typeface="+mn-cs"/>
            </a:rPr>
            <a:t> More than 260 submissions received</a:t>
          </a:r>
        </a:p>
        <a:p>
          <a:pPr marL="57150" lvl="1" indent="-57150" algn="l" defTabSz="488950">
            <a:lnSpc>
              <a:spcPct val="90000"/>
            </a:lnSpc>
            <a:spcBef>
              <a:spcPct val="0"/>
            </a:spcBef>
            <a:spcAft>
              <a:spcPct val="15000"/>
            </a:spcAft>
            <a:buChar char="••"/>
          </a:pPr>
          <a:r>
            <a:rPr lang="en-AU" sz="1100" kern="1200">
              <a:solidFill>
                <a:sysClr val="windowText" lastClr="000000">
                  <a:hueOff val="0"/>
                  <a:satOff val="0"/>
                  <a:lumOff val="0"/>
                  <a:alphaOff val="0"/>
                </a:sysClr>
              </a:solidFill>
              <a:latin typeface="Calibri"/>
              <a:ea typeface="+mn-ea"/>
              <a:cs typeface="+mn-cs"/>
            </a:rPr>
            <a:t> Consultations undertaken with over 700 stakeholders</a:t>
          </a:r>
        </a:p>
      </dsp:txBody>
      <dsp:txXfrm rot="-5400000">
        <a:off x="1900123" y="139485"/>
        <a:ext cx="3339244" cy="716330"/>
      </dsp:txXfrm>
    </dsp:sp>
    <dsp:sp modelId="{8F37A063-A989-46D5-9A3F-43EF7F8CF4DB}">
      <dsp:nvSpPr>
        <dsp:cNvPr id="0" name=""/>
        <dsp:cNvSpPr/>
      </dsp:nvSpPr>
      <dsp:spPr>
        <a:xfrm>
          <a:off x="0" y="1503"/>
          <a:ext cx="1900123" cy="992292"/>
        </a:xfrm>
        <a:prstGeom prst="roundRect">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36195" rIns="72390" bIns="36195" numCol="1" spcCol="1270" anchor="ctr" anchorCtr="0">
          <a:noAutofit/>
        </a:bodyPr>
        <a:lstStyle/>
        <a:p>
          <a:pPr lvl="0" algn="ctr" defTabSz="844550">
            <a:lnSpc>
              <a:spcPct val="90000"/>
            </a:lnSpc>
            <a:spcBef>
              <a:spcPct val="0"/>
            </a:spcBef>
            <a:spcAft>
              <a:spcPct val="35000"/>
            </a:spcAft>
          </a:pPr>
          <a:r>
            <a:rPr lang="en-AU" sz="1900" kern="1200">
              <a:solidFill>
                <a:sysClr val="window" lastClr="FFFFFF"/>
              </a:solidFill>
              <a:latin typeface="Calibri"/>
              <a:ea typeface="+mn-ea"/>
              <a:cs typeface="+mn-cs"/>
            </a:rPr>
            <a:t>China-Australia FTA</a:t>
          </a:r>
        </a:p>
      </dsp:txBody>
      <dsp:txXfrm>
        <a:off x="48440" y="49943"/>
        <a:ext cx="1803243" cy="895412"/>
      </dsp:txXfrm>
    </dsp:sp>
    <dsp:sp modelId="{91DE528F-1D74-4384-B0DE-82AB3677084D}">
      <dsp:nvSpPr>
        <dsp:cNvPr id="0" name=""/>
        <dsp:cNvSpPr/>
      </dsp:nvSpPr>
      <dsp:spPr>
        <a:xfrm rot="5400000">
          <a:off x="3192204" y="-149440"/>
          <a:ext cx="793834" cy="3377996"/>
        </a:xfrm>
        <a:prstGeom prst="round2SameRect">
          <a:avLst/>
        </a:prstGeom>
        <a:solidFill>
          <a:srgbClr val="9BBB59">
            <a:tint val="40000"/>
            <a:alpha val="90000"/>
            <a:hueOff val="0"/>
            <a:satOff val="0"/>
            <a:lumOff val="0"/>
            <a:alphaOff val="0"/>
          </a:srgbClr>
        </a:solidFill>
        <a:ln w="25400" cap="flat" cmpd="sng" algn="ctr">
          <a:solidFill>
            <a:srgbClr val="9BBB59">
              <a:tint val="40000"/>
              <a:alpha val="9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en-AU" sz="1100" kern="1200">
              <a:solidFill>
                <a:sysClr val="windowText" lastClr="000000">
                  <a:hueOff val="0"/>
                  <a:satOff val="0"/>
                  <a:lumOff val="0"/>
                  <a:alphaOff val="0"/>
                </a:sysClr>
              </a:solidFill>
              <a:latin typeface="Calibri"/>
              <a:ea typeface="+mn-ea"/>
              <a:cs typeface="+mn-cs"/>
            </a:rPr>
            <a:t> Stakeholder consultations commenced in 2006</a:t>
          </a:r>
        </a:p>
        <a:p>
          <a:pPr marL="57150" lvl="1" indent="-57150" algn="l" defTabSz="488950">
            <a:lnSpc>
              <a:spcPct val="90000"/>
            </a:lnSpc>
            <a:spcBef>
              <a:spcPct val="0"/>
            </a:spcBef>
            <a:spcAft>
              <a:spcPct val="15000"/>
            </a:spcAft>
            <a:buChar char="••"/>
          </a:pPr>
          <a:r>
            <a:rPr lang="en-AU" sz="1100" kern="1200">
              <a:solidFill>
                <a:sysClr val="windowText" lastClr="000000">
                  <a:hueOff val="0"/>
                  <a:satOff val="0"/>
                  <a:lumOff val="0"/>
                  <a:alphaOff val="0"/>
                </a:sysClr>
              </a:solidFill>
              <a:latin typeface="Calibri"/>
              <a:ea typeface="+mn-ea"/>
              <a:cs typeface="+mn-cs"/>
            </a:rPr>
            <a:t>More than 90 submissions received</a:t>
          </a:r>
        </a:p>
        <a:p>
          <a:pPr marL="57150" lvl="1" indent="-57150" algn="l" defTabSz="488950">
            <a:lnSpc>
              <a:spcPct val="90000"/>
            </a:lnSpc>
            <a:spcBef>
              <a:spcPct val="0"/>
            </a:spcBef>
            <a:spcAft>
              <a:spcPct val="15000"/>
            </a:spcAft>
            <a:buChar char="••"/>
          </a:pPr>
          <a:r>
            <a:rPr lang="en-AU" sz="1100" kern="1200">
              <a:solidFill>
                <a:sysClr val="windowText" lastClr="000000">
                  <a:hueOff val="0"/>
                  <a:satOff val="0"/>
                  <a:lumOff val="0"/>
                  <a:alphaOff val="0"/>
                </a:sysClr>
              </a:solidFill>
              <a:latin typeface="Calibri"/>
              <a:ea typeface="+mn-ea"/>
              <a:cs typeface="+mn-cs"/>
            </a:rPr>
            <a:t>Consultations undertaken with over 530 stakeholders</a:t>
          </a:r>
        </a:p>
      </dsp:txBody>
      <dsp:txXfrm rot="-5400000">
        <a:off x="1900123" y="1181393"/>
        <a:ext cx="3339244" cy="716330"/>
      </dsp:txXfrm>
    </dsp:sp>
    <dsp:sp modelId="{A9371802-4AAE-4080-8CD2-74B0513980DB}">
      <dsp:nvSpPr>
        <dsp:cNvPr id="0" name=""/>
        <dsp:cNvSpPr/>
      </dsp:nvSpPr>
      <dsp:spPr>
        <a:xfrm>
          <a:off x="0" y="1043411"/>
          <a:ext cx="1900123" cy="992292"/>
        </a:xfrm>
        <a:prstGeom prst="round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36195" rIns="72390" bIns="36195" numCol="1" spcCol="1270" anchor="ctr" anchorCtr="0">
          <a:noAutofit/>
        </a:bodyPr>
        <a:lstStyle/>
        <a:p>
          <a:pPr lvl="0" algn="ctr" defTabSz="844550">
            <a:lnSpc>
              <a:spcPct val="90000"/>
            </a:lnSpc>
            <a:spcBef>
              <a:spcPct val="0"/>
            </a:spcBef>
            <a:spcAft>
              <a:spcPct val="35000"/>
            </a:spcAft>
          </a:pPr>
          <a:r>
            <a:rPr lang="en-AU" sz="1900" kern="1200">
              <a:solidFill>
                <a:sysClr val="window" lastClr="FFFFFF"/>
              </a:solidFill>
              <a:latin typeface="Calibri"/>
              <a:ea typeface="+mn-ea"/>
              <a:cs typeface="+mn-cs"/>
            </a:rPr>
            <a:t>Japan-Australia FTA</a:t>
          </a:r>
        </a:p>
      </dsp:txBody>
      <dsp:txXfrm>
        <a:off x="48440" y="1091851"/>
        <a:ext cx="1803243" cy="895412"/>
      </dsp:txXfrm>
    </dsp:sp>
    <dsp:sp modelId="{EA3B4C26-77CF-4B48-8250-9E76A070157B}">
      <dsp:nvSpPr>
        <dsp:cNvPr id="0" name=""/>
        <dsp:cNvSpPr/>
      </dsp:nvSpPr>
      <dsp:spPr>
        <a:xfrm rot="5400000">
          <a:off x="3192204" y="892466"/>
          <a:ext cx="793834" cy="3377996"/>
        </a:xfrm>
        <a:prstGeom prst="round2SameRect">
          <a:avLst/>
        </a:prstGeo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en-AU" sz="1100" kern="1200">
              <a:solidFill>
                <a:sysClr val="windowText" lastClr="000000">
                  <a:hueOff val="0"/>
                  <a:satOff val="0"/>
                  <a:lumOff val="0"/>
                  <a:alphaOff val="0"/>
                </a:sysClr>
              </a:solidFill>
              <a:latin typeface="Calibri"/>
              <a:ea typeface="+mn-ea"/>
              <a:cs typeface="+mn-cs"/>
            </a:rPr>
            <a:t> Stakeholder consultations commenced in 2008</a:t>
          </a:r>
        </a:p>
        <a:p>
          <a:pPr marL="57150" lvl="1" indent="-57150" algn="l" defTabSz="488950">
            <a:lnSpc>
              <a:spcPct val="90000"/>
            </a:lnSpc>
            <a:spcBef>
              <a:spcPct val="0"/>
            </a:spcBef>
            <a:spcAft>
              <a:spcPct val="15000"/>
            </a:spcAft>
            <a:buChar char="••"/>
          </a:pPr>
          <a:r>
            <a:rPr lang="en-AU" sz="1100" kern="1200">
              <a:solidFill>
                <a:sysClr val="windowText" lastClr="000000">
                  <a:hueOff val="0"/>
                  <a:satOff val="0"/>
                  <a:lumOff val="0"/>
                  <a:alphaOff val="0"/>
                </a:sysClr>
              </a:solidFill>
              <a:latin typeface="Calibri"/>
              <a:ea typeface="+mn-ea"/>
              <a:cs typeface="+mn-cs"/>
            </a:rPr>
            <a:t> More than 85 submissions received </a:t>
          </a:r>
        </a:p>
        <a:p>
          <a:pPr marL="57150" lvl="1" indent="-57150" algn="l" defTabSz="488950">
            <a:lnSpc>
              <a:spcPct val="90000"/>
            </a:lnSpc>
            <a:spcBef>
              <a:spcPct val="0"/>
            </a:spcBef>
            <a:spcAft>
              <a:spcPct val="15000"/>
            </a:spcAft>
            <a:buChar char="••"/>
          </a:pPr>
          <a:r>
            <a:rPr lang="en-AU" sz="1100" kern="1200">
              <a:solidFill>
                <a:sysClr val="windowText" lastClr="000000">
                  <a:hueOff val="0"/>
                  <a:satOff val="0"/>
                  <a:lumOff val="0"/>
                  <a:alphaOff val="0"/>
                </a:sysClr>
              </a:solidFill>
              <a:latin typeface="Calibri"/>
              <a:ea typeface="+mn-ea"/>
              <a:cs typeface="+mn-cs"/>
            </a:rPr>
            <a:t> Consultations undertaken with over 1000 stakeholders</a:t>
          </a:r>
        </a:p>
      </dsp:txBody>
      <dsp:txXfrm rot="-5400000">
        <a:off x="1900123" y="2223299"/>
        <a:ext cx="3339244" cy="716330"/>
      </dsp:txXfrm>
    </dsp:sp>
    <dsp:sp modelId="{DB40C614-0382-4411-A67B-216A3FAED7E5}">
      <dsp:nvSpPr>
        <dsp:cNvPr id="0" name=""/>
        <dsp:cNvSpPr/>
      </dsp:nvSpPr>
      <dsp:spPr>
        <a:xfrm>
          <a:off x="0" y="2085318"/>
          <a:ext cx="1900123" cy="992292"/>
        </a:xfrm>
        <a:prstGeom prst="roundRect">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36195" rIns="72390" bIns="36195" numCol="1" spcCol="1270" anchor="ctr" anchorCtr="0">
          <a:noAutofit/>
        </a:bodyPr>
        <a:lstStyle/>
        <a:p>
          <a:pPr lvl="0" algn="ctr" defTabSz="844550">
            <a:lnSpc>
              <a:spcPct val="90000"/>
            </a:lnSpc>
            <a:spcBef>
              <a:spcPct val="0"/>
            </a:spcBef>
            <a:spcAft>
              <a:spcPct val="35000"/>
            </a:spcAft>
          </a:pPr>
          <a:r>
            <a:rPr lang="en-AU" sz="1900" kern="1200">
              <a:solidFill>
                <a:sysClr val="window" lastClr="FFFFFF"/>
              </a:solidFill>
              <a:latin typeface="Calibri"/>
              <a:ea typeface="+mn-ea"/>
              <a:cs typeface="+mn-cs"/>
            </a:rPr>
            <a:t>Trans-Pacific Partnership Agreement</a:t>
          </a:r>
        </a:p>
      </dsp:txBody>
      <dsp:txXfrm>
        <a:off x="48440" y="2133758"/>
        <a:ext cx="1803243" cy="895412"/>
      </dsp:txXfrm>
    </dsp:sp>
  </dsp:spTree>
</dsp:drawing>
</file>

<file path=word/diagrams/layout1.xml><?xml version="1.0" encoding="utf-8"?>
<dgm:layoutDef xmlns:dgm="http://schemas.openxmlformats.org/drawingml/2006/diagram" xmlns:a="http://schemas.openxmlformats.org/drawingml/2006/main" uniqueId="urn:microsoft.com/office/officeart/2009/3/layout/OpposingIdeas">
  <dgm:title val=""/>
  <dgm:desc val=""/>
  <dgm:catLst>
    <dgm:cat type="relationship" pri="3400"/>
  </dgm:catLst>
  <dgm:sampData>
    <dgm:dataModel>
      <dgm:ptLst>
        <dgm:pt modelId="0" type="doc"/>
        <dgm:pt modelId="10">
          <dgm:prSet phldr="1"/>
        </dgm:pt>
        <dgm:pt modelId="11">
          <dgm:prSet phldr="1"/>
        </dgm:pt>
        <dgm:pt modelId="20">
          <dgm:prSet phldr="1"/>
        </dgm:pt>
        <dgm:pt modelId="21">
          <dgm:prSet phldr="1"/>
        </dgm:pt>
      </dgm:ptLst>
      <dgm:cxnLst>
        <dgm:cxn modelId="30" srcId="0" destId="10" srcOrd="0" destOrd="0"/>
        <dgm:cxn modelId="12" srcId="10" destId="11" srcOrd="0" destOrd="0"/>
        <dgm:cxn modelId="40" srcId="0" destId="20" srcOrd="1" destOrd="0"/>
        <dgm:cxn modelId="22" srcId="20" destId="2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30" srcId="0" destId="10" srcOrd="0" destOrd="0"/>
        <dgm:cxn modelId="12" srcId="10" destId="11" srcOrd="0" destOrd="0"/>
        <dgm:cxn modelId="4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Lst>
      <dgm:cxnLst>
        <dgm:cxn modelId="30" srcId="0" destId="10" srcOrd="0" destOrd="0"/>
        <dgm:cxn modelId="12" srcId="10" destId="11" srcOrd="0" destOrd="0"/>
        <dgm:cxn modelId="40" srcId="0" destId="20" srcOrd="1" destOrd="0"/>
        <dgm:cxn modelId="22" srcId="20" destId="21" srcOrd="0" destOrd="0"/>
      </dgm:cxnLst>
      <dgm:bg/>
      <dgm:whole/>
    </dgm:dataModel>
  </dgm:clrData>
  <dgm:layoutNode name="Name0">
    <dgm:varLst>
      <dgm:chMax val="2"/>
      <dgm:dir/>
      <dgm:animOne val="branch"/>
      <dgm:animLvl val="lvl"/>
      <dgm:resizeHandles val="exact"/>
    </dgm:varLst>
    <dgm:choose name="Name1">
      <dgm:if name="Name2" axis="ch" ptType="node" func="cnt" op="lte" val="1">
        <dgm:alg type="composite">
          <dgm:param type="ar" val="0.9928"/>
        </dgm:alg>
      </dgm:if>
      <dgm:else name="Name3">
        <dgm:alg type="composite">
          <dgm:param type="ar" val="1.6364"/>
        </dgm:alg>
      </dgm:else>
    </dgm:choose>
    <dgm:shape xmlns:r="http://schemas.openxmlformats.org/officeDocument/2006/relationships" r:blip="">
      <dgm:adjLst/>
    </dgm:shape>
    <dgm:choose name="Name4">
      <dgm:if name="Name5" func="var" arg="dir" op="equ" val="norm">
        <dgm:choose name="Name6">
          <dgm:if name="Name7" axis="ch" ptType="node" func="cnt" op="lte" val="1">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l" for="ch" forName="ChildText1" refType="w" fact="0.2963"/>
              <dgm:constr type="t" for="ch" forName="ChildText1" refType="h" fact="0.2722"/>
              <dgm:constr type="w" for="ch" forName="ChildText1" refType="w" fact="0.6534"/>
              <dgm:constr type="h" for="ch" forName="ChildText1" refType="h" fact="0.6682"/>
              <dgm:constr type="l" for="ch" forName="Background" refType="w" fact="0.246"/>
              <dgm:constr type="t" for="ch" forName="Background" refType="h" fact="0.2125"/>
              <dgm:constr type="w" for="ch" forName="Background" refType="w" fact="0.754"/>
              <dgm:constr type="h" for="ch" forName="Background" refType="h" fact="0.7875"/>
              <dgm:constr type="l" for="ch" forName="ParentText1" refType="w" fact="0"/>
              <dgm:constr type="t" for="ch" forName="ParentText1" refType="h" fact="0"/>
              <dgm:constr type="w" for="ch" forName="ParentText1" refType="w" fact="0.234"/>
              <dgm:constr type="h" for="ch" forName="ParentText1" refType="h" fact="0.8713"/>
              <dgm:constr type="l" for="ch" forName="ParentShape1" refType="w" fact="0"/>
              <dgm:constr type="t" for="ch" forName="ParentShape1" refType="h" fact="0"/>
              <dgm:constr type="w" for="ch" forName="ParentShape1" refType="w" fact="0.234"/>
              <dgm:constr type="h" for="ch" forName="ParentShape1" refType="h" fact="0.8713"/>
            </dgm:constrLst>
          </dgm:if>
          <dgm:else name="Name8">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l" for="ch" forName="ChildText1" refType="w" fact="0.15"/>
              <dgm:constr type="t" for="ch" forName="ChildText1" refType="h" fact="0.22"/>
              <dgm:constr type="w" for="ch" forName="ChildText1" refType="w" fact="0.325"/>
              <dgm:constr type="h" for="ch" forName="ChildText1" refType="h" fact="0.56"/>
              <dgm:constr type="l" for="ch" forName="ChildText2" refType="w" fact="0.525"/>
              <dgm:constr type="t" for="ch" forName="ChildText2" refType="h" fact="0.22"/>
              <dgm:constr type="w" for="ch" forName="ChildText2" refType="w" fact="0.325"/>
              <dgm:constr type="h" for="ch" forName="ChildText2" refType="h" fact="0.56"/>
              <dgm:constr type="l" for="ch" forName="Background" refType="w" fact="0.125"/>
              <dgm:constr type="t" for="ch" forName="Background" refType="h" fact="0.17"/>
              <dgm:constr type="w" for="ch" forName="Background" refType="w" fact="0.75"/>
              <dgm:constr type="h" for="ch" forName="Background" refType="h" fact="0.66"/>
              <dgm:constr type="l" for="ch" forName="ParentText1" refType="w" fact="0"/>
              <dgm:constr type="t" for="ch" forName="ParentText1" refType="h" fact="0"/>
              <dgm:constr type="w" for="ch" forName="ParentText1" refType="w" fact="0.125"/>
              <dgm:constr type="h" for="ch" forName="ParentText1" refType="h" fact="0.72"/>
              <dgm:constr type="l" for="ch" forName="ParentShape1" refType="w" fact="0"/>
              <dgm:constr type="t" for="ch" forName="ParentShape1" refType="h" fact="0"/>
              <dgm:constr type="w" for="ch" forName="ParentShape1" refType="w" fact="0.125"/>
              <dgm:constr type="h" for="ch" forName="ParentShape1" refType="h" fact="0.72"/>
              <dgm:constr type="l" for="ch" forName="ParentText2" refType="w" fact="0.875"/>
              <dgm:constr type="t" for="ch" forName="ParentText2" refType="h" fact="0.28"/>
              <dgm:constr type="w" for="ch" forName="ParentText2" refType="w" fact="0.125"/>
              <dgm:constr type="h" for="ch" forName="ParentText2" refType="h" fact="0.72"/>
              <dgm:constr type="l" for="ch" forName="ParentShape2" refType="w" fact="0.875"/>
              <dgm:constr type="t" for="ch" forName="ParentShape2" refType="h" fact="0.28"/>
              <dgm:constr type="w" for="ch" forName="ParentShape2" refType="w" fact="0.125"/>
              <dgm:constr type="h" for="ch" forName="ParentShape2" refType="h" fact="0.72"/>
              <dgm:constr type="l" for="ch" forName="Divider" refType="w" fact="0.5"/>
              <dgm:constr type="t" for="ch" forName="Divider" refType="h" fact="0.24"/>
              <dgm:constr type="w" for="ch" forName="Divider" refType="w" fact="0.0001"/>
              <dgm:constr type="h" for="ch" forName="Divider" refType="h" fact="0.52"/>
            </dgm:constrLst>
          </dgm:else>
        </dgm:choose>
      </dgm:if>
      <dgm:else name="Name9">
        <dgm:choose name="Name10">
          <dgm:if name="Name11" axis="ch" ptType="node" func="cnt" op="lte" val="1">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r" for="ch" forName="ChildText1" refType="w" fact="-0.2455"/>
              <dgm:constr type="t" for="ch" forName="ChildText1" refType="h" fact="0.2651"/>
              <dgm:constr type="w" for="ch" forName="ChildText1" refType="w" fact="0.5351"/>
              <dgm:constr type="h" for="ch" forName="ChildText1" refType="h" fact="0.56"/>
              <dgm:constr type="r" for="ch" forName="Background" refType="w" fact="-0.246"/>
              <dgm:constr type="t" for="ch" forName="Background" refType="h" fact="0.2125"/>
              <dgm:constr type="w" for="ch" forName="Background" refType="w" fact="0.754"/>
              <dgm:constr type="h" for="ch" forName="Background" refType="h" fact="0.7875"/>
              <dgm:constr type="r" for="ch" forName="ParentText1" refType="w" fact="0"/>
              <dgm:constr type="t" for="ch" forName="ParentText1" refType="h" fact="0"/>
              <dgm:constr type="w" for="ch" forName="ParentText1" refType="w" fact="0.234"/>
              <dgm:constr type="h" for="ch" forName="ParentText1" refType="h" fact="0.8713"/>
              <dgm:constr type="r" for="ch" forName="ParentShape1" refType="w" fact="0"/>
              <dgm:constr type="t" for="ch" forName="ParentShape1" refType="h" fact="0"/>
              <dgm:constr type="w" for="ch" forName="ParentShape1" refType="w" fact="0.234"/>
              <dgm:constr type="h" for="ch" forName="ParentShape1" refType="h" fact="0.8713"/>
            </dgm:constrLst>
          </dgm:if>
          <dgm:else name="Name12">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r" for="ch" forName="ChildText1" refType="w" fact="-0.15"/>
              <dgm:constr type="t" for="ch" forName="ChildText1" refType="h" fact="0.22"/>
              <dgm:constr type="w" for="ch" forName="ChildText1" refType="w" fact="0.325"/>
              <dgm:constr type="h" for="ch" forName="ChildText1" refType="h" fact="0.56"/>
              <dgm:constr type="r" for="ch" forName="ChildText2" refType="w" fact="-0.525"/>
              <dgm:constr type="t" for="ch" forName="ChildText2" refType="h" fact="0.22"/>
              <dgm:constr type="w" for="ch" forName="ChildText2" refType="w" fact="0.325"/>
              <dgm:constr type="h" for="ch" forName="ChildText2" refType="h" fact="0.56"/>
              <dgm:constr type="r" for="ch" forName="Background" refType="w" fact="-0.125"/>
              <dgm:constr type="t" for="ch" forName="Background" refType="h" fact="0.17"/>
              <dgm:constr type="w" for="ch" forName="Background" refType="w" fact="0.75"/>
              <dgm:constr type="h" for="ch" forName="Background" refType="h" fact="0.66"/>
              <dgm:constr type="r" for="ch" forName="ParentText1" refType="w" fact="0"/>
              <dgm:constr type="t" for="ch" forName="ParentText1" refType="h" fact="0"/>
              <dgm:constr type="w" for="ch" forName="ParentText1" refType="w" fact="0.125"/>
              <dgm:constr type="h" for="ch" forName="ParentText1" refType="h" fact="0.72"/>
              <dgm:constr type="r" for="ch" forName="ParentShape1" refType="w" fact="0"/>
              <dgm:constr type="t" for="ch" forName="ParentShape1" refType="h" fact="0"/>
              <dgm:constr type="w" for="ch" forName="ParentShape1" refType="w" fact="0.125"/>
              <dgm:constr type="h" for="ch" forName="ParentShape1" refType="h" fact="0.72"/>
              <dgm:constr type="r" for="ch" forName="ParentText2" refType="w" fact="-0.875"/>
              <dgm:constr type="t" for="ch" forName="ParentText2" refType="h" fact="0.28"/>
              <dgm:constr type="w" for="ch" forName="ParentText2" refType="w" fact="0.125"/>
              <dgm:constr type="h" for="ch" forName="ParentText2" refType="h" fact="0.72"/>
              <dgm:constr type="r" for="ch" forName="ParentShape2" refType="w" fact="-0.875"/>
              <dgm:constr type="t" for="ch" forName="ParentShape2" refType="h" fact="0.28"/>
              <dgm:constr type="w" for="ch" forName="ParentShape2" refType="w" fact="0.125"/>
              <dgm:constr type="h" for="ch" forName="ParentShape2" refType="h" fact="0.72"/>
              <dgm:constr type="r" for="ch" forName="Divider" refType="w" fact="-0.5"/>
              <dgm:constr type="t" for="ch" forName="Divider" refType="h" fact="0.24"/>
              <dgm:constr type="w" for="ch" forName="Divider" refType="w" fact="0.0001"/>
              <dgm:constr type="h" for="ch" forName="Divider" refType="h" fact="0.52"/>
            </dgm:constrLst>
          </dgm:else>
        </dgm:choose>
      </dgm:else>
    </dgm:choose>
    <dgm:choose name="Name13">
      <dgm:if name="Name14" axis="ch" ptType="node" func="cnt" op="gte" val="1">
        <dgm:layoutNode name="Background" styleLbl="node1">
          <dgm:alg type="sp"/>
          <dgm:choose name="Name15">
            <dgm:if name="Name16" func="var" arg="dir" op="equ" val="norm">
              <dgm:shape xmlns:r="http://schemas.openxmlformats.org/officeDocument/2006/relationships" type="round2DiagRect" r:blip="">
                <dgm:adjLst>
                  <dgm:adj idx="1" val="0"/>
                  <dgm:adj idx="2" val="0.1667"/>
                </dgm:adjLst>
              </dgm:shape>
            </dgm:if>
            <dgm:else name="Name17">
              <dgm:shape xmlns:r="http://schemas.openxmlformats.org/officeDocument/2006/relationships" type="round2DiagRect" r:blip="">
                <dgm:adjLst>
                  <dgm:adj idx="1" val="0.1667"/>
                  <dgm:adj idx="2" val="0"/>
                </dgm:adjLst>
              </dgm:shape>
            </dgm:else>
          </dgm:choose>
          <dgm:presOf/>
        </dgm:layoutNode>
        <dgm:choose name="Name18">
          <dgm:if name="Name19" axis="ch" ptType="node" func="cnt" op="gte" val="2">
            <dgm:layoutNode name="Divider" styleLbl="callout">
              <dgm:alg type="sp"/>
              <dgm:shape xmlns:r="http://schemas.openxmlformats.org/officeDocument/2006/relationships" type="line" r:blip="">
                <dgm:adjLst/>
              </dgm:shape>
              <dgm:presOf/>
            </dgm:layoutNode>
          </dgm:if>
          <dgm:else name="Name20"/>
        </dgm:choose>
        <dgm:layoutNode name="ChildText1" styleLbl="revTx">
          <dgm:varLst>
            <dgm:chMax val="0"/>
            <dgm:chPref val="0"/>
            <dgm:bulletEnabled val="1"/>
          </dgm:varLst>
          <dgm:alg type="tx">
            <dgm:param type="parTxLTRAlign" val="l"/>
            <dgm:param type="txAnchorVert" val="t"/>
          </dgm:alg>
          <dgm:shape xmlns:r="http://schemas.openxmlformats.org/officeDocument/2006/relationships" type="rect" r:blip="" hideGeom="1">
            <dgm:adjLst/>
          </dgm:shape>
          <dgm:presOf axis="ch des"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21">
          <dgm:if name="Name22" axis="ch" ptType="node" func="cnt" op="gte" val="2">
            <dgm:layoutNode name="ChildText2" styleLbl="revTx">
              <dgm:varLst>
                <dgm:chMax val="0"/>
                <dgm:chPref val="0"/>
                <dgm:bulletEnabled val="1"/>
              </dgm:varLst>
              <dgm:alg type="tx">
                <dgm:param type="parTxLTRAlign" val="l"/>
                <dgm:param type="txAnchorVert" val="t"/>
              </dgm:alg>
              <dgm:shape xmlns:r="http://schemas.openxmlformats.org/officeDocument/2006/relationships" type="rect" r:blip="" hideGeom="1">
                <dgm:adjLst/>
              </dgm:shape>
              <dgm:presOf axis="ch des"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3"/>
        </dgm:choose>
        <dgm:layoutNode name="ParentText1" styleLbl="revTx">
          <dgm:varLst>
            <dgm:chMax val="1"/>
            <dgm:chPref val="1"/>
          </dgm:varLst>
          <dgm:choose name="Name24">
            <dgm:if name="Name25" func="var" arg="dir" op="equ" val="norm">
              <dgm:alg type="tx">
                <dgm:param type="parTxLTRAlign" val="r"/>
                <dgm:param type="shpTxLTRAlignCh" val="r"/>
                <dgm:param type="txAnchorVertCh" val="mid"/>
                <dgm:param type="autoTxRot" val="grav"/>
              </dgm:alg>
            </dgm:if>
            <dgm:else name="Name26">
              <dgm:alg type="tx">
                <dgm:param type="parTxLTRAlign" val="l"/>
                <dgm:param type="shpTxLTRAlignCh" val="r"/>
                <dgm:param type="txAnchorVertCh" val="mid"/>
                <dgm:param type="autoTxRot" val="grav"/>
              </dgm:alg>
            </dgm:else>
          </dgm:choose>
          <dgm:choose name="Name27">
            <dgm:if name="Name28" func="var" arg="dir" op="equ" val="norm">
              <dgm:shape xmlns:r="http://schemas.openxmlformats.org/officeDocument/2006/relationships" rot="-90" type="rightArrow" r:blip="" hideGeom="1">
                <dgm:adjLst>
                  <dgm:adj idx="1" val="0.4983"/>
                  <dgm:adj idx="2" val="0.6066"/>
                </dgm:adjLst>
              </dgm:shape>
            </dgm:if>
            <dgm:else name="Name29">
              <dgm:shape xmlns:r="http://schemas.openxmlformats.org/officeDocument/2006/relationships" rot="90" type="leftArrow" r:blip="" hideGeom="1">
                <dgm:adjLst>
                  <dgm:adj idx="1" val="0.4983"/>
                  <dgm:adj idx="2" val="0.6066"/>
                </dgm:adjLst>
              </dgm:shape>
            </dgm:else>
          </dgm:choose>
          <dgm:presOf axis="ch 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Shape1" styleLbl="alignImgPlace1">
          <dgm:varLst/>
          <dgm:alg type="sp"/>
          <dgm:presOf axis="ch self" ptType="node node" st="1 1" cnt="1 0"/>
          <dgm:choose name="Name30">
            <dgm:if name="Name31" func="var" arg="dir" op="equ" val="norm">
              <dgm:shape xmlns:r="http://schemas.openxmlformats.org/officeDocument/2006/relationships" rot="-90" type="rightArrow" r:blip="">
                <dgm:adjLst>
                  <dgm:adj idx="1" val="0.4983"/>
                  <dgm:adj idx="2" val="0.6066"/>
                </dgm:adjLst>
              </dgm:shape>
            </dgm:if>
            <dgm:else name="Name32">
              <dgm:shape xmlns:r="http://schemas.openxmlformats.org/officeDocument/2006/relationships" rot="90" type="leftArrow" r:blip="">
                <dgm:adjLst>
                  <dgm:adj idx="1" val="0.4983"/>
                  <dgm:adj idx="2" val="0.6066"/>
                </dgm:adjLst>
              </dgm:shape>
            </dgm:else>
          </dgm:choose>
        </dgm:layoutNode>
        <dgm:choose name="Name33">
          <dgm:if name="Name34" axis="ch" ptType="node" func="cnt" op="gte" val="2">
            <dgm:layoutNode name="ParentText2" styleLbl="revTx">
              <dgm:varLst>
                <dgm:chMax val="1"/>
                <dgm:chPref val="1"/>
              </dgm:varLst>
              <dgm:choose name="Name35">
                <dgm:if name="Name36" func="var" arg="dir" op="equ" val="norm">
                  <dgm:alg type="tx">
                    <dgm:param type="parTxLTRAlign" val="r"/>
                    <dgm:param type="shpTxLTRAlignCh" val="r"/>
                    <dgm:param type="txAnchorVertCh" val="mid"/>
                    <dgm:param type="autoTxRot" val="grav"/>
                  </dgm:alg>
                </dgm:if>
                <dgm:else name="Name37">
                  <dgm:alg type="tx">
                    <dgm:param type="parTxLTRAlign" val="l"/>
                    <dgm:param type="shpTxLTRAlignCh" val="r"/>
                    <dgm:param type="txAnchorVertCh" val="mid"/>
                    <dgm:param type="autoTxRot" val="grav"/>
                  </dgm:alg>
                </dgm:else>
              </dgm:choose>
              <dgm:choose name="Name38">
                <dgm:if name="Name39" func="var" arg="dir" op="equ" val="norm">
                  <dgm:shape xmlns:r="http://schemas.openxmlformats.org/officeDocument/2006/relationships" rot="90" type="rightArrow" r:blip="" hideGeom="1">
                    <dgm:adjLst>
                      <dgm:adj idx="1" val="0.4983"/>
                      <dgm:adj idx="2" val="0.6066"/>
                    </dgm:adjLst>
                  </dgm:shape>
                </dgm:if>
                <dgm:else name="Name40">
                  <dgm:shape xmlns:r="http://schemas.openxmlformats.org/officeDocument/2006/relationships" rot="-90" type="leftArrow" r:blip="" hideGeom="1">
                    <dgm:adjLst>
                      <dgm:adj idx="1" val="0.4983"/>
                      <dgm:adj idx="2" val="0.6066"/>
                    </dgm:adjLst>
                  </dgm:shape>
                </dgm:else>
              </dgm:choose>
              <dgm:presOf axis="ch 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Shape2" styleLbl="alignImgPlace1">
              <dgm:varLst/>
              <dgm:alg type="sp"/>
              <dgm:choose name="Name41">
                <dgm:if name="Name42" func="var" arg="dir" op="equ" val="norm">
                  <dgm:shape xmlns:r="http://schemas.openxmlformats.org/officeDocument/2006/relationships" rot="90" type="rightArrow" r:blip="">
                    <dgm:adjLst>
                      <dgm:adj idx="1" val="0.4983"/>
                      <dgm:adj idx="2" val="0.6066"/>
                    </dgm:adjLst>
                  </dgm:shape>
                </dgm:if>
                <dgm:else name="Name43">
                  <dgm:shape xmlns:r="http://schemas.openxmlformats.org/officeDocument/2006/relationships" rot="-90" type="leftArrow" r:blip="">
                    <dgm:adjLst>
                      <dgm:adj idx="1" val="0.4983"/>
                      <dgm:adj idx="2" val="0.6066"/>
                    </dgm:adjLst>
                  </dgm:shape>
                </dgm:else>
              </dgm:choose>
              <dgm:presOf axis="ch self" ptType="node node" st="2 1" cnt="1 0"/>
            </dgm:layoutNode>
          </dgm:if>
          <dgm:else name="Name44"/>
        </dgm:choose>
      </dgm:if>
      <dgm:else name="Name45"/>
    </dgm:choose>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CBE44-EA34-41FF-AB0A-7128D1875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40</Pages>
  <Words>11464</Words>
  <Characters>70691</Characters>
  <Application>Microsoft Office Word</Application>
  <DocSecurity>0</DocSecurity>
  <Lines>589</Lines>
  <Paragraphs>163</Paragraphs>
  <ScaleCrop>false</ScaleCrop>
  <HeadingPairs>
    <vt:vector size="2" baseType="variant">
      <vt:variant>
        <vt:lpstr>Title</vt:lpstr>
      </vt:variant>
      <vt:variant>
        <vt:i4>1</vt:i4>
      </vt:variant>
    </vt:vector>
  </HeadingPairs>
  <TitlesOfParts>
    <vt:vector size="1" baseType="lpstr">
      <vt:lpstr>Submission 31 - Department of Foreign Affairs and Trade (DFAT) - Services Export - Commissioned study</vt:lpstr>
    </vt:vector>
  </TitlesOfParts>
  <Company>Department of Foreign Affairs and Trade (DFAT)</Company>
  <LinksUpToDate>false</LinksUpToDate>
  <CharactersWithSpaces>81992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31 - Department of Foreign Affairs and Trade (DFAT) - Services Export - Commissioned study</dc:title>
  <dc:creator>Department of Foreign Affairs and Trade (DFAT)</dc:creator>
  <cp:lastModifiedBy>Productivity Commission</cp:lastModifiedBy>
  <cp:revision>11</cp:revision>
  <cp:lastPrinted>2015-07-14T03:15:00Z</cp:lastPrinted>
  <dcterms:created xsi:type="dcterms:W3CDTF">2015-07-14T03:13:00Z</dcterms:created>
  <dcterms:modified xsi:type="dcterms:W3CDTF">2015-07-15T00:29:00Z</dcterms:modified>
</cp:coreProperties>
</file>