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53" w:rsidRDefault="008A3FD4" w:rsidP="004E358B">
      <w:pPr>
        <w:pStyle w:val="BodyText"/>
        <w:sectPr w:rsidR="00E33153" w:rsidSect="008A57F3">
          <w:headerReference w:type="even" r:id="rId14"/>
          <w:footerReference w:type="even" r:id="rId15"/>
          <w:pgSz w:w="11907" w:h="16840" w:code="9"/>
          <w:pgMar w:top="1985" w:right="1304" w:bottom="1247" w:left="1814" w:header="1701" w:footer="397" w:gutter="0"/>
          <w:pgNumType w:start="1" w:chapSep="period"/>
          <w:cols w:space="720"/>
        </w:sectPr>
      </w:pPr>
      <w:bookmarkStart w:id="1" w:name="ChapterTitle"/>
      <w:bookmarkStart w:id="2" w:name="_GoBack"/>
      <w:bookmarkEnd w:id="2"/>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-1260616</wp:posOffset>
            </wp:positionV>
            <wp:extent cx="7540978" cy="10666679"/>
            <wp:effectExtent l="0" t="0" r="3175" b="1905"/>
            <wp:wrapNone/>
            <wp:docPr id="9" name="Picture 9" descr="Cover artwork" title="Fiscal impacts of insurance in superann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pplementary-paper 3-cov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48134" cy="10676801"/>
                    </a:xfrm>
                    <a:prstGeom prst="rect">
                      <a:avLst/>
                    </a:prstGeom>
                  </pic:spPr>
                </pic:pic>
              </a:graphicData>
            </a:graphic>
            <wp14:sizeRelH relativeFrom="page">
              <wp14:pctWidth>0</wp14:pctWidth>
            </wp14:sizeRelH>
            <wp14:sizeRelV relativeFrom="page">
              <wp14:pctHeight>0</wp14:pctHeight>
            </wp14:sizeRelV>
          </wp:anchor>
        </w:drawing>
      </w:r>
    </w:p>
    <w:p w:rsidR="004D3126" w:rsidRDefault="004D3126" w:rsidP="004D3126">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rsidR="00DD4B3C">
        <w:t>2018</w:t>
      </w:r>
    </w:p>
    <w:p w:rsidR="004D3126" w:rsidRDefault="004D3126" w:rsidP="0034305D">
      <w:pPr>
        <w:pStyle w:val="BodyText"/>
        <w:spacing w:before="120" w:after="120"/>
      </w:pPr>
      <w:bookmarkStart w:id="3" w:name="ISSN"/>
      <w:bookmarkEnd w:id="3"/>
      <w:r w:rsidRPr="00862D8F">
        <w:rPr>
          <w:noProof/>
          <w:sz w:val="22"/>
          <w:szCs w:val="22"/>
        </w:rPr>
        <w:drawing>
          <wp:inline distT="0" distB="0" distL="0" distR="0" wp14:anchorId="636CAC44" wp14:editId="5B1988CA">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4D3126" w:rsidRDefault="004D3126" w:rsidP="0034305D">
      <w:pPr>
        <w:pStyle w:val="Copyrightbodytext"/>
        <w:spacing w:before="120"/>
      </w:pPr>
      <w: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rsidR="004D3126" w:rsidRDefault="004D3126" w:rsidP="0034305D">
      <w:pPr>
        <w:pStyle w:val="Copyrightheading"/>
        <w:spacing w:before="200"/>
      </w:pPr>
      <w:r>
        <w:t>Use of the Commonwealth Coat of Arms</w:t>
      </w:r>
    </w:p>
    <w:p w:rsidR="004D3126" w:rsidRDefault="004D3126" w:rsidP="004D3126">
      <w:pPr>
        <w:pStyle w:val="Copyrightbodytext"/>
      </w:pPr>
      <w:r>
        <w:t>Terms of use for the Coat of Arms are available from the Department of the Prime Minister and Cabinet’s website: https://www.pmc.gov.au/government/commonwealth-coat-arms</w:t>
      </w:r>
    </w:p>
    <w:p w:rsidR="004D3126" w:rsidRDefault="004D3126" w:rsidP="0034305D">
      <w:pPr>
        <w:pStyle w:val="Copyrightheading"/>
        <w:spacing w:before="200"/>
      </w:pPr>
      <w:r>
        <w:t>Third party copyright</w:t>
      </w:r>
    </w:p>
    <w:p w:rsidR="004D3126" w:rsidRDefault="004D3126" w:rsidP="004D3126">
      <w:pPr>
        <w:pStyle w:val="Copyrightbodytext"/>
      </w:pPr>
      <w:r>
        <w:t>Wherever a third party holds copyright in this material, the copyright remains with that party. Their permission may be required to use the material, please contact them directly.</w:t>
      </w:r>
    </w:p>
    <w:p w:rsidR="004D3126" w:rsidRDefault="004D3126" w:rsidP="0034305D">
      <w:pPr>
        <w:pStyle w:val="Copyrightheading"/>
        <w:spacing w:before="200"/>
      </w:pPr>
      <w:r>
        <w:t>Attribution</w:t>
      </w:r>
    </w:p>
    <w:p w:rsidR="004D3126" w:rsidRDefault="004D3126" w:rsidP="004D3126">
      <w:pPr>
        <w:pStyle w:val="Copyrightbodytext"/>
      </w:pPr>
      <w:r>
        <w:t xml:space="preserve">This work should be attributed as follows, </w:t>
      </w:r>
      <w:r w:rsidRPr="004D3126">
        <w:rPr>
          <w:i/>
        </w:rPr>
        <w:t xml:space="preserve">Source: </w:t>
      </w:r>
      <w:r>
        <w:rPr>
          <w:i/>
        </w:rPr>
        <w:t xml:space="preserve">Productivity Commission, </w:t>
      </w:r>
      <w:r w:rsidRPr="004D3126">
        <w:rPr>
          <w:i/>
        </w:rPr>
        <w:t>Supplementary Paper - Fiscal impacts of insurance in superannuation</w:t>
      </w:r>
      <w:r>
        <w:rPr>
          <w:i/>
        </w:rPr>
        <w:t>.</w:t>
      </w:r>
    </w:p>
    <w:p w:rsidR="004D3126" w:rsidRDefault="004D3126" w:rsidP="0034305D">
      <w:pPr>
        <w:pStyle w:val="Copyrightbodytext"/>
        <w:spacing w:before="80"/>
      </w:pPr>
      <w:r>
        <w:t xml:space="preserve">If you have adapted, modified or transformed this work in anyway, please use the following, </w:t>
      </w:r>
      <w:r w:rsidRPr="004D3126">
        <w:rPr>
          <w:i/>
        </w:rPr>
        <w:t xml:space="preserve">Source: </w:t>
      </w:r>
      <w:r>
        <w:rPr>
          <w:i/>
        </w:rPr>
        <w:t xml:space="preserve">based on Productivity Commission data, </w:t>
      </w:r>
      <w:r w:rsidRPr="004D3126">
        <w:rPr>
          <w:i/>
        </w:rPr>
        <w:t>Supplementary Paper - Fiscal impacts of insurance in superannuation</w:t>
      </w:r>
      <w:r w:rsidR="00DD4B3C">
        <w:rPr>
          <w:i/>
        </w:rPr>
        <w:t>.</w:t>
      </w:r>
    </w:p>
    <w:p w:rsidR="004D3126" w:rsidRDefault="004D3126" w:rsidP="0034305D">
      <w:pPr>
        <w:pStyle w:val="Copyrightheading"/>
        <w:spacing w:before="200"/>
      </w:pPr>
      <w:r>
        <w:t>An appropriate reference for this publication is:</w:t>
      </w:r>
    </w:p>
    <w:p w:rsidR="004D3126" w:rsidRDefault="004D3126" w:rsidP="004D3126">
      <w:pPr>
        <w:pStyle w:val="Copyrightbodytext"/>
      </w:pPr>
      <w:r>
        <w:t xml:space="preserve">Productivity Commission 2018, </w:t>
      </w:r>
      <w:r w:rsidR="0034305D" w:rsidRPr="004D3126">
        <w:rPr>
          <w:i/>
        </w:rPr>
        <w:t>Supplementary Paper - Fiscal impacts of insurance in superannuation</w:t>
      </w:r>
      <w:r w:rsidR="0034305D" w:rsidRPr="0034305D">
        <w:t xml:space="preserve">, </w:t>
      </w:r>
      <w:r w:rsidRPr="0034305D">
        <w:t>Canberra.</w:t>
      </w:r>
    </w:p>
    <w:p w:rsidR="004D3126" w:rsidRDefault="004D3126" w:rsidP="0034305D">
      <w:pPr>
        <w:pStyle w:val="Copyrightheading"/>
        <w:spacing w:before="200"/>
      </w:pPr>
      <w:r>
        <w:t>Publications enquiries</w:t>
      </w:r>
    </w:p>
    <w:p w:rsidR="0034305D" w:rsidRDefault="004D3126" w:rsidP="004D3126">
      <w:pPr>
        <w:pStyle w:val="Copyrightbodytext"/>
      </w:pPr>
      <w:r>
        <w:t>Media, Publications and Web, phone: (03) 9653 2244 or email: mpw@pc.gov.au</w:t>
      </w:r>
      <w:r>
        <w:cr/>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4305D" w:rsidTr="00F51220">
        <w:trPr>
          <w:tblHeader/>
        </w:trPr>
        <w:tc>
          <w:tcPr>
            <w:tcW w:w="5000" w:type="pct"/>
            <w:tcBorders>
              <w:top w:val="single" w:sz="6" w:space="0" w:color="78A22F"/>
              <w:left w:val="nil"/>
              <w:bottom w:val="nil"/>
              <w:right w:val="nil"/>
            </w:tcBorders>
            <w:shd w:val="clear" w:color="auto" w:fill="F2F2F2"/>
          </w:tcPr>
          <w:p w:rsidR="0034305D" w:rsidRDefault="0034305D" w:rsidP="00F51220">
            <w:pPr>
              <w:pStyle w:val="BoxTitle"/>
            </w:pPr>
            <w:r w:rsidRPr="0034305D">
              <w:t>The Productivity Commission</w:t>
            </w:r>
          </w:p>
        </w:tc>
      </w:tr>
      <w:tr w:rsidR="0034305D" w:rsidTr="00F51220">
        <w:tc>
          <w:tcPr>
            <w:tcW w:w="5000" w:type="pct"/>
            <w:tcBorders>
              <w:top w:val="nil"/>
              <w:left w:val="nil"/>
              <w:bottom w:val="nil"/>
              <w:right w:val="nil"/>
            </w:tcBorders>
            <w:shd w:val="clear" w:color="auto" w:fill="F2F2F2"/>
          </w:tcPr>
          <w:p w:rsidR="0034305D" w:rsidRDefault="0034305D" w:rsidP="0034305D">
            <w:pPr>
              <w:pStyle w:val="Box"/>
            </w:pPr>
            <w: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34305D" w:rsidRDefault="0034305D" w:rsidP="0034305D">
            <w:pPr>
              <w:pStyle w:val="Box"/>
            </w:pPr>
            <w:r>
              <w:t>The Commission’s independence is underpinned by an Act of Parliament. Its processes and outputs are open to public scrutiny and are driven by concern for the wellbeing of the community as a whole.</w:t>
            </w:r>
          </w:p>
          <w:p w:rsidR="0034305D" w:rsidRPr="00202D7F" w:rsidRDefault="0034305D" w:rsidP="0034305D">
            <w:pPr>
              <w:pStyle w:val="BoxListBullet2"/>
              <w:numPr>
                <w:ilvl w:val="0"/>
                <w:numId w:val="0"/>
              </w:numPr>
            </w:pPr>
            <w:r>
              <w:t>Further information on the Productivity Commission can be obtained from the Commission’s website (www.pc.gov.au).</w:t>
            </w:r>
          </w:p>
        </w:tc>
      </w:tr>
      <w:tr w:rsidR="0034305D" w:rsidTr="00F51220">
        <w:tc>
          <w:tcPr>
            <w:tcW w:w="5000" w:type="pct"/>
            <w:tcBorders>
              <w:top w:val="nil"/>
              <w:left w:val="nil"/>
              <w:bottom w:val="single" w:sz="6" w:space="0" w:color="78A22F"/>
              <w:right w:val="nil"/>
            </w:tcBorders>
            <w:shd w:val="clear" w:color="auto" w:fill="F2F2F2"/>
          </w:tcPr>
          <w:p w:rsidR="0034305D" w:rsidRDefault="0034305D" w:rsidP="00F51220">
            <w:pPr>
              <w:pStyle w:val="Box"/>
              <w:spacing w:before="0" w:line="120" w:lineRule="exact"/>
            </w:pPr>
          </w:p>
        </w:tc>
      </w:tr>
      <w:tr w:rsidR="0034305D" w:rsidRPr="000863A5" w:rsidTr="00F51220">
        <w:tc>
          <w:tcPr>
            <w:tcW w:w="5000" w:type="pct"/>
            <w:tcBorders>
              <w:top w:val="single" w:sz="6" w:space="0" w:color="78A22F"/>
              <w:left w:val="nil"/>
              <w:bottom w:val="nil"/>
              <w:right w:val="nil"/>
            </w:tcBorders>
          </w:tcPr>
          <w:p w:rsidR="0034305D" w:rsidRPr="00626D32" w:rsidRDefault="0034305D" w:rsidP="00F51220">
            <w:pPr>
              <w:pStyle w:val="BoxSpaceBelow"/>
            </w:pPr>
          </w:p>
        </w:tc>
      </w:tr>
    </w:tbl>
    <w:p w:rsidR="0034305D" w:rsidRDefault="0034305D" w:rsidP="004D3126">
      <w:pPr>
        <w:pStyle w:val="Copyrightbodytext"/>
      </w:pPr>
    </w:p>
    <w:p w:rsidR="0034305D" w:rsidRDefault="0034305D" w:rsidP="004D3126">
      <w:pPr>
        <w:pStyle w:val="Copyrightbodytext"/>
        <w:sectPr w:rsidR="0034305D" w:rsidSect="008A57F3">
          <w:headerReference w:type="default" r:id="rId18"/>
          <w:footerReference w:type="default" r:id="rId19"/>
          <w:pgSz w:w="11907" w:h="16840" w:code="9"/>
          <w:pgMar w:top="1985" w:right="1304" w:bottom="1247" w:left="1814" w:header="1701" w:footer="397" w:gutter="0"/>
          <w:pgNumType w:start="1" w:chapSep="period"/>
          <w:cols w:space="720"/>
        </w:sectPr>
      </w:pPr>
    </w:p>
    <w:p w:rsidR="00D62D09" w:rsidRPr="007F62B1" w:rsidRDefault="005D6017" w:rsidP="004E358B">
      <w:pPr>
        <w:pStyle w:val="Heading1"/>
        <w:ind w:left="0" w:firstLine="0"/>
      </w:pPr>
      <w:r>
        <w:lastRenderedPageBreak/>
        <w:t>Fiscal impacts of insurance in superannuation</w:t>
      </w:r>
      <w:bookmarkEnd w:id="1"/>
    </w:p>
    <w:p w:rsidR="000172FE" w:rsidRDefault="000172F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172FE" w:rsidTr="000172FE">
        <w:trPr>
          <w:tblHeader/>
        </w:trPr>
        <w:tc>
          <w:tcPr>
            <w:tcW w:w="5000" w:type="pct"/>
            <w:tcBorders>
              <w:top w:val="single" w:sz="6" w:space="0" w:color="78A22F"/>
              <w:left w:val="nil"/>
              <w:bottom w:val="nil"/>
              <w:right w:val="nil"/>
            </w:tcBorders>
            <w:shd w:val="clear" w:color="auto" w:fill="F2F2F2"/>
          </w:tcPr>
          <w:p w:rsidR="000172FE" w:rsidRDefault="000172FE">
            <w:pPr>
              <w:pStyle w:val="BoxTitle"/>
            </w:pPr>
            <w:r>
              <w:t>Key points</w:t>
            </w:r>
          </w:p>
        </w:tc>
      </w:tr>
      <w:tr w:rsidR="000172FE" w:rsidTr="000172FE">
        <w:tc>
          <w:tcPr>
            <w:tcW w:w="5000" w:type="pct"/>
            <w:tcBorders>
              <w:top w:val="nil"/>
              <w:left w:val="nil"/>
              <w:bottom w:val="nil"/>
              <w:right w:val="nil"/>
            </w:tcBorders>
            <w:shd w:val="clear" w:color="auto" w:fill="F2F2F2"/>
          </w:tcPr>
          <w:p w:rsidR="000A1DD4" w:rsidRPr="00202D7F" w:rsidRDefault="00202D7F" w:rsidP="000A1DD4">
            <w:pPr>
              <w:pStyle w:val="BoxListBullet"/>
            </w:pPr>
            <w:r w:rsidRPr="00202D7F">
              <w:t>Previous m</w:t>
            </w:r>
            <w:r w:rsidR="008A622C" w:rsidRPr="00202D7F">
              <w:t xml:space="preserve">odelling </w:t>
            </w:r>
            <w:r w:rsidR="00334466" w:rsidRPr="00417C07">
              <w:t xml:space="preserve">undertaken </w:t>
            </w:r>
            <w:r w:rsidR="00860022" w:rsidRPr="00417C07">
              <w:t>by others</w:t>
            </w:r>
            <w:r w:rsidR="00860022">
              <w:t xml:space="preserve"> </w:t>
            </w:r>
            <w:r w:rsidR="008A622C" w:rsidRPr="00202D7F">
              <w:t>of the fiscal impacts of i</w:t>
            </w:r>
            <w:r w:rsidR="00A5769A" w:rsidRPr="00202D7F">
              <w:t xml:space="preserve">nsurance in superannuation </w:t>
            </w:r>
            <w:r w:rsidR="008A622C" w:rsidRPr="00202D7F">
              <w:t>has abstract</w:t>
            </w:r>
            <w:r w:rsidR="008A622C" w:rsidRPr="00FB2B17">
              <w:t xml:space="preserve">ed </w:t>
            </w:r>
            <w:r w:rsidRPr="00FB2B17">
              <w:t xml:space="preserve">from </w:t>
            </w:r>
            <w:r w:rsidR="008A622C" w:rsidRPr="003C4B47">
              <w:t>long</w:t>
            </w:r>
            <w:r w:rsidR="008A622C" w:rsidRPr="00202D7F">
              <w:t>er</w:t>
            </w:r>
            <w:r w:rsidR="00023567">
              <w:noBreakHyphen/>
            </w:r>
            <w:r w:rsidR="008A622C" w:rsidRPr="00202D7F">
              <w:t>term fiscal costs</w:t>
            </w:r>
            <w:r w:rsidR="00C23916">
              <w:t>, in particular the impact on Age</w:t>
            </w:r>
            <w:r w:rsidR="00A2683E">
              <w:t xml:space="preserve"> </w:t>
            </w:r>
            <w:r w:rsidR="00C23916">
              <w:t>Pension reliance</w:t>
            </w:r>
            <w:r w:rsidR="008A622C" w:rsidRPr="00202D7F">
              <w:t>.</w:t>
            </w:r>
          </w:p>
          <w:p w:rsidR="004A1623" w:rsidRDefault="004A1623" w:rsidP="000A1DD4">
            <w:pPr>
              <w:pStyle w:val="BoxListBullet"/>
            </w:pPr>
            <w:r>
              <w:t>The Commission has undertaken c</w:t>
            </w:r>
            <w:r w:rsidR="00202D7F" w:rsidRPr="00202D7F">
              <w:t xml:space="preserve">ameo modelling </w:t>
            </w:r>
            <w:r>
              <w:t xml:space="preserve">to explore the fiscal impacts of insurance in superannuation </w:t>
            </w:r>
            <w:r w:rsidR="0098127C">
              <w:t>(including the impact on Age</w:t>
            </w:r>
            <w:r w:rsidR="00A2683E">
              <w:t xml:space="preserve"> </w:t>
            </w:r>
            <w:r w:rsidR="0098127C">
              <w:t xml:space="preserve">Pension outlays) </w:t>
            </w:r>
            <w:r>
              <w:t>for different member cohorts. The Commission has not estimated the total net fiscal impact of default insurance in superannuation.</w:t>
            </w:r>
          </w:p>
          <w:p w:rsidR="00202D7F" w:rsidRPr="00202D7F" w:rsidRDefault="004A1623" w:rsidP="000A1DD4">
            <w:pPr>
              <w:pStyle w:val="BoxListBullet"/>
            </w:pPr>
            <w:r>
              <w:t>T</w:t>
            </w:r>
            <w:r w:rsidR="00202D7F" w:rsidRPr="00202D7F">
              <w:t xml:space="preserve">he </w:t>
            </w:r>
            <w:r>
              <w:t>Commission’s modelling</w:t>
            </w:r>
            <w:r w:rsidR="00202D7F" w:rsidRPr="00202D7F">
              <w:t xml:space="preserve"> suggests that:</w:t>
            </w:r>
          </w:p>
          <w:p w:rsidR="00A5769A" w:rsidRPr="00202D7F" w:rsidRDefault="00202D7F" w:rsidP="00DB0979">
            <w:pPr>
              <w:pStyle w:val="BoxListBullet2"/>
            </w:pPr>
            <w:r w:rsidRPr="00202D7F">
              <w:t>t</w:t>
            </w:r>
            <w:r w:rsidR="008A622C" w:rsidRPr="00202D7F">
              <w:t xml:space="preserve">he fiscal cost of insurance </w:t>
            </w:r>
            <w:r w:rsidR="0098651B">
              <w:t xml:space="preserve">from </w:t>
            </w:r>
            <w:r w:rsidR="008A622C" w:rsidRPr="00202D7F">
              <w:t>increased Age</w:t>
            </w:r>
            <w:r w:rsidR="00A2683E">
              <w:t xml:space="preserve"> </w:t>
            </w:r>
            <w:r w:rsidR="008A622C" w:rsidRPr="00202D7F">
              <w:t xml:space="preserve">Pension payments </w:t>
            </w:r>
            <w:r w:rsidRPr="00202D7F">
              <w:t xml:space="preserve">(arising from the erosion of superannuation balances) </w:t>
            </w:r>
            <w:r w:rsidR="008A622C" w:rsidRPr="00202D7F">
              <w:t xml:space="preserve">is likely to </w:t>
            </w:r>
            <w:r w:rsidR="004A1623">
              <w:t xml:space="preserve">be </w:t>
            </w:r>
            <w:r w:rsidR="008A622C" w:rsidRPr="00202D7F">
              <w:t>material for some cohorts</w:t>
            </w:r>
            <w:r w:rsidR="00C23916">
              <w:t>. This casts doubt on the earlier estimates of others of a net fiscal benefit of insurance in superannuation</w:t>
            </w:r>
          </w:p>
          <w:p w:rsidR="00427EE0" w:rsidRPr="00202D7F" w:rsidRDefault="00202D7F">
            <w:pPr>
              <w:pStyle w:val="BoxListBullet2"/>
            </w:pPr>
            <w:r w:rsidRPr="00202D7F">
              <w:t>s</w:t>
            </w:r>
            <w:r w:rsidR="008A622C" w:rsidRPr="00202D7F">
              <w:t>ingle individuals with I</w:t>
            </w:r>
            <w:r w:rsidR="005005FD">
              <w:t xml:space="preserve">ncome </w:t>
            </w:r>
            <w:r w:rsidR="008A622C" w:rsidRPr="00202D7F">
              <w:t>P</w:t>
            </w:r>
            <w:r w:rsidR="005005FD">
              <w:t>rotection (IP)</w:t>
            </w:r>
            <w:r w:rsidR="008A622C" w:rsidRPr="00202D7F">
              <w:t xml:space="preserve"> insurance are the cohort that is most likely to generate a </w:t>
            </w:r>
            <w:r w:rsidR="004E4659">
              <w:t xml:space="preserve">net </w:t>
            </w:r>
            <w:r w:rsidR="008A622C" w:rsidRPr="00202D7F">
              <w:t>fiscal benefit to government</w:t>
            </w:r>
            <w:r w:rsidRPr="00202D7F">
              <w:t xml:space="preserve"> (</w:t>
            </w:r>
            <w:r w:rsidR="004A1623">
              <w:t>th</w:t>
            </w:r>
            <w:r w:rsidR="00C747E1">
              <w:t>e</w:t>
            </w:r>
            <w:r w:rsidR="004A1623">
              <w:t xml:space="preserve"> </w:t>
            </w:r>
            <w:r w:rsidR="00C747E1">
              <w:t xml:space="preserve">absolute fiscal </w:t>
            </w:r>
            <w:r w:rsidR="004A1623">
              <w:t xml:space="preserve">impact will be </w:t>
            </w:r>
            <w:r w:rsidR="00A017A7">
              <w:t xml:space="preserve">constrained </w:t>
            </w:r>
            <w:r w:rsidR="00D555AA">
              <w:t>by the relatively low incidence of</w:t>
            </w:r>
            <w:r w:rsidR="004A1623">
              <w:t xml:space="preserve"> </w:t>
            </w:r>
            <w:r w:rsidRPr="00202D7F">
              <w:t xml:space="preserve">IP insurance </w:t>
            </w:r>
            <w:r w:rsidR="00E165DB">
              <w:t>(at 30</w:t>
            </w:r>
            <w:r w:rsidR="003248FC">
              <w:t> per cent</w:t>
            </w:r>
            <w:r w:rsidR="00E165DB">
              <w:t xml:space="preserve"> of</w:t>
            </w:r>
            <w:r w:rsidR="00DD4B3C">
              <w:t xml:space="preserve"> default</w:t>
            </w:r>
            <w:r w:rsidR="00E165DB">
              <w:t xml:space="preserve"> member accounts) </w:t>
            </w:r>
            <w:r w:rsidR="00D555AA">
              <w:t>at a national level</w:t>
            </w:r>
            <w:r w:rsidRPr="00202D7F">
              <w:t>)</w:t>
            </w:r>
            <w:r w:rsidR="0062621E">
              <w:t>.</w:t>
            </w:r>
            <w:r w:rsidRPr="00202D7F">
              <w:t xml:space="preserve"> </w:t>
            </w:r>
          </w:p>
          <w:p w:rsidR="004725F2" w:rsidRDefault="00427EE0" w:rsidP="00D62D09">
            <w:pPr>
              <w:pStyle w:val="BoxListBullet"/>
            </w:pPr>
            <w:r>
              <w:t>N</w:t>
            </w:r>
            <w:r w:rsidRPr="00427EE0">
              <w:t>et fiscal impacts are</w:t>
            </w:r>
            <w:r>
              <w:t xml:space="preserve"> only one component of a broader assessment of the total net </w:t>
            </w:r>
            <w:r w:rsidR="004E0E16">
              <w:t>benefits</w:t>
            </w:r>
            <w:r>
              <w:t xml:space="preserve"> of insurance in superannuation</w:t>
            </w:r>
            <w:r w:rsidRPr="00427EE0">
              <w:t>.</w:t>
            </w:r>
            <w:r w:rsidR="004E0E16">
              <w:t xml:space="preserve"> </w:t>
            </w:r>
          </w:p>
          <w:p w:rsidR="004725F2" w:rsidRDefault="004725F2">
            <w:pPr>
              <w:pStyle w:val="BoxListBullet2"/>
            </w:pPr>
            <w:r>
              <w:t>In its draft report, the Commission made a number of recommendations to improve insurance arrangements in superannuation</w:t>
            </w:r>
            <w:r w:rsidR="000E0FE2">
              <w:t>, which are on the whole consistent with the Government’s insurance measures announced in the 2018 Budget</w:t>
            </w:r>
            <w:r>
              <w:t>.</w:t>
            </w:r>
          </w:p>
          <w:p w:rsidR="00AE1D25" w:rsidRPr="00202D7F" w:rsidRDefault="004725F2" w:rsidP="002D6DB9">
            <w:pPr>
              <w:pStyle w:val="BoxListBullet2"/>
            </w:pPr>
            <w:r>
              <w:t>The Commission also</w:t>
            </w:r>
            <w:r w:rsidR="005005FD">
              <w:t xml:space="preserve"> proposed (by way of a draft</w:t>
            </w:r>
            <w:r>
              <w:t xml:space="preserve"> recommend</w:t>
            </w:r>
            <w:r w:rsidR="005005FD">
              <w:t xml:space="preserve">ation) </w:t>
            </w:r>
            <w:r>
              <w:t xml:space="preserve">a </w:t>
            </w:r>
            <w:r w:rsidR="00AE1D25">
              <w:t xml:space="preserve">future holistic </w:t>
            </w:r>
            <w:r w:rsidR="008B653A">
              <w:t xml:space="preserve">and independent </w:t>
            </w:r>
            <w:r w:rsidR="00AE1D25">
              <w:t xml:space="preserve">review </w:t>
            </w:r>
            <w:r w:rsidR="00D555AA">
              <w:t>of</w:t>
            </w:r>
            <w:r w:rsidR="00AE1D25">
              <w:t xml:space="preserve"> insurance in superannuation</w:t>
            </w:r>
            <w:r w:rsidR="000E0FE2">
              <w:t xml:space="preserve"> (after improved arrangements have been implemented), to assess the community</w:t>
            </w:r>
            <w:r w:rsidR="000227BB">
              <w:noBreakHyphen/>
            </w:r>
            <w:r w:rsidR="000E0FE2">
              <w:t>wide impacts of default insurance in superannuation and to consider if further regulatory intervention or policy change is required.</w:t>
            </w:r>
          </w:p>
        </w:tc>
      </w:tr>
      <w:tr w:rsidR="000172FE" w:rsidTr="000172FE">
        <w:tc>
          <w:tcPr>
            <w:tcW w:w="5000" w:type="pct"/>
            <w:tcBorders>
              <w:top w:val="nil"/>
              <w:left w:val="nil"/>
              <w:bottom w:val="single" w:sz="6" w:space="0" w:color="78A22F"/>
              <w:right w:val="nil"/>
            </w:tcBorders>
            <w:shd w:val="clear" w:color="auto" w:fill="F2F2F2"/>
          </w:tcPr>
          <w:p w:rsidR="000172FE" w:rsidRDefault="000172FE">
            <w:pPr>
              <w:pStyle w:val="Box"/>
              <w:spacing w:before="0" w:line="120" w:lineRule="exact"/>
            </w:pPr>
          </w:p>
        </w:tc>
      </w:tr>
      <w:tr w:rsidR="000172FE" w:rsidRPr="000863A5" w:rsidTr="000172FE">
        <w:tc>
          <w:tcPr>
            <w:tcW w:w="5000" w:type="pct"/>
            <w:tcBorders>
              <w:top w:val="single" w:sz="6" w:space="0" w:color="78A22F"/>
              <w:left w:val="nil"/>
              <w:bottom w:val="nil"/>
              <w:right w:val="nil"/>
            </w:tcBorders>
          </w:tcPr>
          <w:p w:rsidR="000172FE" w:rsidRPr="00626D32" w:rsidRDefault="000172FE" w:rsidP="000172FE">
            <w:pPr>
              <w:pStyle w:val="BoxSpaceBelow"/>
            </w:pPr>
          </w:p>
        </w:tc>
      </w:tr>
    </w:tbl>
    <w:p w:rsidR="006E6E2A" w:rsidRDefault="00FD295C" w:rsidP="006E6E2A">
      <w:pPr>
        <w:pStyle w:val="BodyText"/>
      </w:pPr>
      <w:r>
        <w:t>This is one of three supplementary papers the Commission is issuing following the May 2018 release of the draft report</w:t>
      </w:r>
      <w:r w:rsidR="009A3007">
        <w:t xml:space="preserve">, </w:t>
      </w:r>
      <w:r w:rsidR="009A3007" w:rsidRPr="00942137">
        <w:rPr>
          <w:i/>
        </w:rPr>
        <w:t>Superannuation: Assessing Efficiency and</w:t>
      </w:r>
      <w:r w:rsidRPr="00942137">
        <w:rPr>
          <w:i/>
        </w:rPr>
        <w:t xml:space="preserve"> Competitiveness</w:t>
      </w:r>
      <w:r>
        <w:t>. It also follows the receipt of post draft report submissions and public hearings by the Commission.</w:t>
      </w:r>
      <w:r w:rsidR="006D1B25">
        <w:t xml:space="preserve"> </w:t>
      </w:r>
      <w:r w:rsidR="006E6E2A">
        <w:t>The Commission’s draft inquiry report included: a chapter (</w:t>
      </w:r>
      <w:r w:rsidR="009A3007">
        <w:t>c</w:t>
      </w:r>
      <w:r w:rsidR="006E6E2A">
        <w:t>hapter</w:t>
      </w:r>
      <w:r w:rsidR="009A3007">
        <w:t> </w:t>
      </w:r>
      <w:r w:rsidR="006E6E2A">
        <w:t>8)</w:t>
      </w:r>
      <w:r w:rsidR="009A3007">
        <w:t>,</w:t>
      </w:r>
      <w:r w:rsidR="006E6E2A">
        <w:t xml:space="preserve"> </w:t>
      </w:r>
      <w:r w:rsidR="00417C07" w:rsidRPr="00417C07">
        <w:t>three</w:t>
      </w:r>
      <w:r w:rsidR="006E6E2A">
        <w:t xml:space="preserve"> draft findings (DF</w:t>
      </w:r>
      <w:r w:rsidR="00A2683E">
        <w:t>s</w:t>
      </w:r>
      <w:r w:rsidR="005B0A06">
        <w:t> </w:t>
      </w:r>
      <w:r w:rsidR="00417C07">
        <w:t>8.1</w:t>
      </w:r>
      <w:r w:rsidR="00A2683E">
        <w:t>–</w:t>
      </w:r>
      <w:r w:rsidR="00417C07">
        <w:t>8.3</w:t>
      </w:r>
      <w:r w:rsidR="006E6E2A">
        <w:t>) and</w:t>
      </w:r>
      <w:r w:rsidR="00417C07">
        <w:t xml:space="preserve"> </w:t>
      </w:r>
      <w:r w:rsidR="00417C07" w:rsidRPr="00417C07">
        <w:t>six</w:t>
      </w:r>
      <w:r w:rsidR="006E6E2A">
        <w:t xml:space="preserve"> draft recommendations (DR</w:t>
      </w:r>
      <w:r w:rsidR="00A2683E">
        <w:t>s</w:t>
      </w:r>
      <w:r w:rsidR="005B0A06">
        <w:t> </w:t>
      </w:r>
      <w:r w:rsidR="00417C07">
        <w:t>14</w:t>
      </w:r>
      <w:r w:rsidR="002D6DB9">
        <w:t>–</w:t>
      </w:r>
      <w:r w:rsidR="00417C07">
        <w:t>19</w:t>
      </w:r>
      <w:r w:rsidR="006E6E2A">
        <w:t>) on insurance in superannuation</w:t>
      </w:r>
      <w:r w:rsidR="006D1B25">
        <w:t xml:space="preserve"> (box 1)</w:t>
      </w:r>
      <w:r w:rsidR="006E6E2A">
        <w:t xml:space="preserve">. </w:t>
      </w:r>
    </w:p>
    <w:p w:rsidR="00421FD9" w:rsidRDefault="00421FD9">
      <w:pPr>
        <w:rPr>
          <w:szCs w:val="20"/>
        </w:rPr>
      </w:pPr>
      <w:r>
        <w:br w:type="page"/>
      </w:r>
    </w:p>
    <w:p w:rsidR="006E6E2A" w:rsidRDefault="006E6E2A" w:rsidP="006E6E2A">
      <w:pPr>
        <w:pStyle w:val="BodyText"/>
      </w:pPr>
      <w:r>
        <w:lastRenderedPageBreak/>
        <w:t xml:space="preserve">This paper advances the Commission’s assessment of the fiscal impacts of insurance in superannuation, as required by the </w:t>
      </w:r>
      <w:r w:rsidR="00023567">
        <w:t>i</w:t>
      </w:r>
      <w:r>
        <w:t xml:space="preserve">nquiry’s terms of reference. The analysis in this paper was completed following the draft report’s release. </w:t>
      </w:r>
      <w:r w:rsidR="000E0FE2">
        <w:t xml:space="preserve">Given the Treasury’s technical expertise in fiscal costings and retirement income modelling, </w:t>
      </w:r>
      <w:r w:rsidR="005621C3">
        <w:t>t</w:t>
      </w:r>
      <w:r w:rsidR="000E0FE2">
        <w:t>he Treasury provided a technical peer review of this paper.</w:t>
      </w:r>
    </w:p>
    <w:p w:rsidR="006E6E2A" w:rsidRDefault="006E6E2A" w:rsidP="006E6E2A">
      <w:pPr>
        <w:pStyle w:val="BodyText"/>
      </w:pPr>
      <w:r>
        <w:t xml:space="preserve">The paper will inform the Commission’s final report </w:t>
      </w:r>
      <w:r w:rsidR="006D1B25">
        <w:t xml:space="preserve">(to be handed to </w:t>
      </w:r>
      <w:r w:rsidR="00A2683E">
        <w:t>G</w:t>
      </w:r>
      <w:r w:rsidR="006D1B25">
        <w:t xml:space="preserve">overnment </w:t>
      </w:r>
      <w:r>
        <w:t xml:space="preserve">by </w:t>
      </w:r>
      <w:r w:rsidR="006D1B25">
        <w:t xml:space="preserve">the </w:t>
      </w:r>
      <w:r>
        <w:t xml:space="preserve">end </w:t>
      </w:r>
      <w:r w:rsidR="006D1B25">
        <w:t xml:space="preserve">of </w:t>
      </w:r>
      <w:r>
        <w:t>2018</w:t>
      </w:r>
      <w:r w:rsidR="006D1B25">
        <w:t>)</w:t>
      </w:r>
      <w:r>
        <w:t>.</w:t>
      </w:r>
    </w:p>
    <w:p w:rsidR="006D1B25" w:rsidRDefault="006D1B2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D1B25" w:rsidTr="004856E1">
        <w:trPr>
          <w:tblHeader/>
        </w:trPr>
        <w:tc>
          <w:tcPr>
            <w:tcW w:w="5000" w:type="pct"/>
            <w:tcBorders>
              <w:top w:val="single" w:sz="6" w:space="0" w:color="78A22F"/>
              <w:left w:val="nil"/>
              <w:bottom w:val="nil"/>
              <w:right w:val="nil"/>
            </w:tcBorders>
            <w:shd w:val="clear" w:color="auto" w:fill="F2F2F2"/>
          </w:tcPr>
          <w:p w:rsidR="006D1B25" w:rsidRDefault="006D1B25" w:rsidP="006D1B25">
            <w:pPr>
              <w:pStyle w:val="BoxTitle"/>
            </w:pPr>
            <w:r>
              <w:rPr>
                <w:b w:val="0"/>
              </w:rPr>
              <w:t xml:space="preserve">Box </w:t>
            </w:r>
            <w:r w:rsidR="00A11CF5">
              <w:rPr>
                <w:b w:val="0"/>
                <w:noProof/>
              </w:rPr>
              <w:t>1</w:t>
            </w:r>
            <w:r>
              <w:tab/>
              <w:t>Draft findings and recommendations on insurance</w:t>
            </w:r>
          </w:p>
        </w:tc>
      </w:tr>
      <w:tr w:rsidR="006D1B25" w:rsidTr="004856E1">
        <w:tc>
          <w:tcPr>
            <w:tcW w:w="5000" w:type="pct"/>
            <w:tcBorders>
              <w:top w:val="nil"/>
              <w:left w:val="nil"/>
              <w:bottom w:val="nil"/>
              <w:right w:val="nil"/>
            </w:tcBorders>
            <w:shd w:val="clear" w:color="auto" w:fill="F2F2F2"/>
          </w:tcPr>
          <w:p w:rsidR="006D1B25" w:rsidRDefault="006D1B25" w:rsidP="004856E1">
            <w:pPr>
              <w:pStyle w:val="Box"/>
            </w:pPr>
            <w:r>
              <w:t>The Commission’s draft report made a number of findings and recommendations on insurance in superannuation</w:t>
            </w:r>
            <w:r w:rsidR="0040146E">
              <w:t>.</w:t>
            </w:r>
          </w:p>
          <w:p w:rsidR="006D1B25" w:rsidRDefault="006D1B25" w:rsidP="004856E1">
            <w:pPr>
              <w:pStyle w:val="BoxHeading1"/>
            </w:pPr>
            <w:r>
              <w:t>Draft findings</w:t>
            </w:r>
          </w:p>
          <w:p w:rsidR="006D1B25" w:rsidRDefault="006D1B25" w:rsidP="004856E1">
            <w:pPr>
              <w:pStyle w:val="BoxListBullet"/>
            </w:pPr>
            <w:r>
              <w:t xml:space="preserve">The deduction of insurance premiums </w:t>
            </w:r>
            <w:r w:rsidR="0098127C">
              <w:t xml:space="preserve">from superannuation accounts </w:t>
            </w:r>
            <w:r>
              <w:t>can have a material impact on member balances at retirement (DF</w:t>
            </w:r>
            <w:r w:rsidR="005B0A06">
              <w:t> </w:t>
            </w:r>
            <w:r>
              <w:t>8.1).</w:t>
            </w:r>
          </w:p>
          <w:p w:rsidR="006D1B25" w:rsidRDefault="006D1B25" w:rsidP="004856E1">
            <w:pPr>
              <w:pStyle w:val="BoxListBullet"/>
            </w:pPr>
            <w:r>
              <w:t>Default insurance in superannuation offers good value for many, but not for all members (DF</w:t>
            </w:r>
            <w:r w:rsidR="005B0A06">
              <w:t> </w:t>
            </w:r>
            <w:r>
              <w:t>8.2).</w:t>
            </w:r>
          </w:p>
          <w:p w:rsidR="006D1B25" w:rsidRDefault="006D1B25" w:rsidP="004856E1">
            <w:pPr>
              <w:pStyle w:val="BoxListBullet"/>
            </w:pPr>
            <w:r>
              <w:t>The fiscal effects of insurance in superannuation are complex, and the net effects are uncertain. Existing (public) fiscal estimates overestimate the net fiscal benefits as they do not consider the impact of balance erosion on Age</w:t>
            </w:r>
            <w:r w:rsidR="00A2683E">
              <w:t xml:space="preserve"> </w:t>
            </w:r>
            <w:r>
              <w:t>Pension eligibility (DF</w:t>
            </w:r>
            <w:r w:rsidR="005B0A06">
              <w:t> </w:t>
            </w:r>
            <w:r>
              <w:t>8.3).</w:t>
            </w:r>
          </w:p>
          <w:p w:rsidR="006D1B25" w:rsidRDefault="006D1B25" w:rsidP="004856E1">
            <w:pPr>
              <w:pStyle w:val="BoxHeading1"/>
            </w:pPr>
            <w:r>
              <w:t>Draft recommendations</w:t>
            </w:r>
          </w:p>
          <w:p w:rsidR="006D1B25" w:rsidRDefault="006D1B25" w:rsidP="004856E1">
            <w:pPr>
              <w:pStyle w:val="BoxListBullet"/>
            </w:pPr>
            <w:r>
              <w:t>Make insurance for young members (aged under 25) opt in only, as young members rarely need life insurance (DR</w:t>
            </w:r>
            <w:r w:rsidR="005B0A06">
              <w:t> </w:t>
            </w:r>
            <w:r>
              <w:t>14).</w:t>
            </w:r>
          </w:p>
          <w:p w:rsidR="006D1B25" w:rsidRDefault="006D1B25" w:rsidP="004856E1">
            <w:pPr>
              <w:pStyle w:val="BoxListBullet"/>
            </w:pPr>
            <w:r>
              <w:t>Cessation of insurance on accounts without contributions for 13 months should be made mandatory, unless members expressly choose otherwise (DR</w:t>
            </w:r>
            <w:r w:rsidR="005B0A06">
              <w:t> </w:t>
            </w:r>
            <w:r>
              <w:t>15).</w:t>
            </w:r>
          </w:p>
          <w:p w:rsidR="006D1B25" w:rsidRDefault="006D1B25" w:rsidP="004856E1">
            <w:pPr>
              <w:pStyle w:val="BoxListBullet"/>
            </w:pPr>
            <w:r>
              <w:t>Require funds to publicly document rationales on the appropriateness of cover and the balance erosion trade</w:t>
            </w:r>
            <w:r w:rsidR="00023567">
              <w:noBreakHyphen/>
            </w:r>
            <w:r>
              <w:t>off (DR</w:t>
            </w:r>
            <w:r w:rsidR="005B0A06">
              <w:t> </w:t>
            </w:r>
            <w:r>
              <w:t>16).</w:t>
            </w:r>
          </w:p>
          <w:p w:rsidR="006D1B25" w:rsidRDefault="006D1B25" w:rsidP="004856E1">
            <w:pPr>
              <w:pStyle w:val="BoxListBullet"/>
            </w:pPr>
            <w:r>
              <w:t>Funds should adopt the industry code. Adoption of the code should be made a condition of offering MySuper (DR</w:t>
            </w:r>
            <w:r w:rsidR="005B0A06">
              <w:t> </w:t>
            </w:r>
            <w:r>
              <w:t>17).</w:t>
            </w:r>
          </w:p>
          <w:p w:rsidR="006D1B25" w:rsidRDefault="006D1B25" w:rsidP="004856E1">
            <w:pPr>
              <w:pStyle w:val="BoxListBullet"/>
            </w:pPr>
            <w:r>
              <w:t>ASIC/APRA taskforce to monitor code adoptions, compliance and development (including providing guidance). Industry should be allowed two years to make the ‘bolstered’ code binding and enforceable (DR</w:t>
            </w:r>
            <w:r w:rsidR="005B0A06">
              <w:t> </w:t>
            </w:r>
            <w:r>
              <w:t>18).</w:t>
            </w:r>
          </w:p>
          <w:p w:rsidR="006D1B25" w:rsidRDefault="006D1B25" w:rsidP="004856E1">
            <w:pPr>
              <w:pStyle w:val="BoxListBullet"/>
            </w:pPr>
            <w:r>
              <w:t xml:space="preserve">An independent review </w:t>
            </w:r>
            <w:r w:rsidR="0098127C">
              <w:t xml:space="preserve">of insurance in superannuation </w:t>
            </w:r>
            <w:r>
              <w:t>should be commissioned within four years to evaluate initiatives to that date and consider further necessary policy intervention (DR</w:t>
            </w:r>
            <w:r w:rsidR="005B0A06">
              <w:t> </w:t>
            </w:r>
            <w:r>
              <w:t>19).</w:t>
            </w:r>
          </w:p>
        </w:tc>
      </w:tr>
      <w:tr w:rsidR="006D1B25" w:rsidTr="004856E1">
        <w:tc>
          <w:tcPr>
            <w:tcW w:w="5000" w:type="pct"/>
            <w:tcBorders>
              <w:top w:val="nil"/>
              <w:left w:val="nil"/>
              <w:bottom w:val="nil"/>
              <w:right w:val="nil"/>
            </w:tcBorders>
            <w:shd w:val="clear" w:color="auto" w:fill="F2F2F2"/>
          </w:tcPr>
          <w:p w:rsidR="006D1B25" w:rsidRDefault="006D1B25" w:rsidP="000633EE">
            <w:pPr>
              <w:pStyle w:val="BoxSource"/>
            </w:pPr>
            <w:r>
              <w:rPr>
                <w:i/>
              </w:rPr>
              <w:t>Source</w:t>
            </w:r>
            <w:r w:rsidRPr="00167F06">
              <w:t xml:space="preserve">: </w:t>
            </w:r>
            <w:r w:rsidR="001A7BF4">
              <w:t xml:space="preserve">PC </w:t>
            </w:r>
            <w:r w:rsidR="001A7BF4" w:rsidRPr="00C02584">
              <w:rPr>
                <w:rFonts w:cs="Arial"/>
                <w:szCs w:val="24"/>
              </w:rPr>
              <w:t>(2018, pp. 53–54, 62–64)</w:t>
            </w:r>
            <w:r w:rsidR="000633EE">
              <w:t>.</w:t>
            </w:r>
          </w:p>
        </w:tc>
      </w:tr>
      <w:tr w:rsidR="006D1B25" w:rsidTr="004856E1">
        <w:tc>
          <w:tcPr>
            <w:tcW w:w="5000" w:type="pct"/>
            <w:tcBorders>
              <w:top w:val="nil"/>
              <w:left w:val="nil"/>
              <w:bottom w:val="single" w:sz="6" w:space="0" w:color="78A22F"/>
              <w:right w:val="nil"/>
            </w:tcBorders>
            <w:shd w:val="clear" w:color="auto" w:fill="F2F2F2"/>
          </w:tcPr>
          <w:p w:rsidR="006D1B25" w:rsidRDefault="006D1B25">
            <w:pPr>
              <w:pStyle w:val="Box"/>
              <w:spacing w:before="0" w:line="120" w:lineRule="exact"/>
            </w:pPr>
          </w:p>
        </w:tc>
      </w:tr>
      <w:tr w:rsidR="006D1B25" w:rsidRPr="000863A5" w:rsidTr="004856E1">
        <w:tc>
          <w:tcPr>
            <w:tcW w:w="5000" w:type="pct"/>
            <w:tcBorders>
              <w:top w:val="single" w:sz="6" w:space="0" w:color="78A22F"/>
              <w:left w:val="nil"/>
              <w:bottom w:val="nil"/>
              <w:right w:val="nil"/>
            </w:tcBorders>
          </w:tcPr>
          <w:p w:rsidR="006D1B25" w:rsidRPr="00626D32" w:rsidRDefault="006D1B25" w:rsidP="004856E1">
            <w:pPr>
              <w:pStyle w:val="BoxSpaceBelow"/>
            </w:pPr>
          </w:p>
        </w:tc>
      </w:tr>
    </w:tbl>
    <w:p w:rsidR="006E6E2A" w:rsidRDefault="00A46E36" w:rsidP="00BF3634">
      <w:pPr>
        <w:pStyle w:val="Heading2"/>
      </w:pPr>
      <w:r>
        <w:t>What does this paper cover?</w:t>
      </w:r>
    </w:p>
    <w:p w:rsidR="00610491" w:rsidRDefault="00610491" w:rsidP="00FD0BC8">
      <w:pPr>
        <w:pStyle w:val="BodyText"/>
      </w:pPr>
      <w:r>
        <w:t xml:space="preserve">The terms of reference </w:t>
      </w:r>
      <w:r w:rsidR="00FD0BC8">
        <w:t xml:space="preserve">for the </w:t>
      </w:r>
      <w:r w:rsidR="00FD0BC8" w:rsidRPr="00FD0BC8">
        <w:rPr>
          <w:i/>
        </w:rPr>
        <w:t>Superannuation: Assessing Efficiency and Competitiveness</w:t>
      </w:r>
      <w:r w:rsidR="009420EF">
        <w:t xml:space="preserve"> </w:t>
      </w:r>
      <w:r w:rsidR="00FD0BC8">
        <w:t xml:space="preserve">inquiry </w:t>
      </w:r>
      <w:r>
        <w:t xml:space="preserve">ask the Commission to consider </w:t>
      </w:r>
      <w:r w:rsidR="006B4CCE">
        <w:t>‘</w:t>
      </w:r>
      <w:r w:rsidR="006B4CCE" w:rsidRPr="006B4CCE">
        <w:t>the extent to which current policy settings offset costs to government in the form of reduced social security payments</w:t>
      </w:r>
      <w:r w:rsidR="006B4CCE">
        <w:t>’</w:t>
      </w:r>
      <w:r w:rsidR="005A1943">
        <w:t>.</w:t>
      </w:r>
      <w:r w:rsidR="006B4CCE">
        <w:t xml:space="preserve"> </w:t>
      </w:r>
    </w:p>
    <w:p w:rsidR="00610491" w:rsidRPr="004D33AA" w:rsidRDefault="00DF1B5A" w:rsidP="00610491">
      <w:pPr>
        <w:pStyle w:val="BodyText"/>
      </w:pPr>
      <w:r>
        <w:t>M</w:t>
      </w:r>
      <w:r w:rsidR="004D33AA">
        <w:t xml:space="preserve">odelling undertaken </w:t>
      </w:r>
      <w:r w:rsidR="00217B13">
        <w:t>to date</w:t>
      </w:r>
      <w:r w:rsidR="00601A40">
        <w:t xml:space="preserve"> </w:t>
      </w:r>
      <w:r w:rsidR="0029010D">
        <w:t xml:space="preserve">by others such as Rice Warner </w:t>
      </w:r>
      <w:r w:rsidR="00B17B75">
        <w:t xml:space="preserve">(sub. 46) </w:t>
      </w:r>
      <w:r w:rsidR="0029010D">
        <w:t xml:space="preserve">and KPMG </w:t>
      </w:r>
      <w:r w:rsidR="00B17B75" w:rsidRPr="006610D8">
        <w:t>(2017)</w:t>
      </w:r>
      <w:r w:rsidR="00B17B75">
        <w:t xml:space="preserve"> </w:t>
      </w:r>
      <w:r w:rsidR="00601A40">
        <w:t xml:space="preserve">has focused on </w:t>
      </w:r>
      <w:r w:rsidR="004D33AA">
        <w:t>short</w:t>
      </w:r>
      <w:r w:rsidR="00023567">
        <w:noBreakHyphen/>
      </w:r>
      <w:r w:rsidR="004D33AA">
        <w:t>term impacts</w:t>
      </w:r>
      <w:r w:rsidR="00601A40">
        <w:t xml:space="preserve"> and</w:t>
      </w:r>
      <w:r w:rsidR="004D33AA">
        <w:t xml:space="preserve"> </w:t>
      </w:r>
      <w:r w:rsidR="00601A40">
        <w:t>abstract</w:t>
      </w:r>
      <w:r w:rsidR="003A7AFD">
        <w:t>ed</w:t>
      </w:r>
      <w:r w:rsidR="00610491" w:rsidRPr="004D33AA">
        <w:t xml:space="preserve"> from </w:t>
      </w:r>
      <w:r w:rsidR="004D33AA">
        <w:t>potential long</w:t>
      </w:r>
      <w:r w:rsidR="00601A40">
        <w:t>er</w:t>
      </w:r>
      <w:r w:rsidR="00023567">
        <w:noBreakHyphen/>
      </w:r>
      <w:r w:rsidR="004D33AA">
        <w:t>term fiscal costs associated with insurance in super</w:t>
      </w:r>
      <w:r w:rsidR="007B2CE4">
        <w:t>annuation</w:t>
      </w:r>
      <w:r w:rsidR="004D33AA">
        <w:t xml:space="preserve"> (name</w:t>
      </w:r>
      <w:r w:rsidR="00601A40">
        <w:t>ly</w:t>
      </w:r>
      <w:r w:rsidR="004D33AA">
        <w:t xml:space="preserve"> from </w:t>
      </w:r>
      <w:r w:rsidR="00DB6FB4">
        <w:t>increased</w:t>
      </w:r>
      <w:r w:rsidR="004D33AA">
        <w:t xml:space="preserve"> Age</w:t>
      </w:r>
      <w:r w:rsidR="00A2683E">
        <w:t xml:space="preserve"> </w:t>
      </w:r>
      <w:r w:rsidR="004D33AA">
        <w:t>Pension payments</w:t>
      </w:r>
      <w:r w:rsidR="003A7AFD">
        <w:t xml:space="preserve"> arising from lower superannuation balances</w:t>
      </w:r>
      <w:r w:rsidR="004D33AA">
        <w:t>).</w:t>
      </w:r>
    </w:p>
    <w:p w:rsidR="00837516" w:rsidRPr="00023567" w:rsidRDefault="004D33AA" w:rsidP="00601A40">
      <w:pPr>
        <w:pStyle w:val="BodyText"/>
      </w:pPr>
      <w:r w:rsidRPr="004D33AA">
        <w:t xml:space="preserve">The </w:t>
      </w:r>
      <w:r>
        <w:t xml:space="preserve">Commission has modelled a range of cameo scenarios </w:t>
      </w:r>
      <w:r w:rsidR="002549B6">
        <w:t xml:space="preserve">for </w:t>
      </w:r>
      <w:r w:rsidR="00A12A30">
        <w:t xml:space="preserve">a </w:t>
      </w:r>
      <w:r w:rsidR="00A2683E">
        <w:t xml:space="preserve">current </w:t>
      </w:r>
      <w:r w:rsidR="00861D28">
        <w:t>n</w:t>
      </w:r>
      <w:r w:rsidR="00A12A30">
        <w:t>ew workforce entrant</w:t>
      </w:r>
      <w:r w:rsidR="00861D28">
        <w:t xml:space="preserve"> </w:t>
      </w:r>
      <w:r>
        <w:t>to explore the potential fiscal impacts of insurance in super</w:t>
      </w:r>
      <w:r w:rsidR="001E5A2C">
        <w:t>annuation</w:t>
      </w:r>
      <w:r w:rsidR="00217B13">
        <w:t xml:space="preserve"> across an individual’s lifetime</w:t>
      </w:r>
      <w:r w:rsidR="00610491" w:rsidRPr="004D33AA">
        <w:t>.</w:t>
      </w:r>
      <w:r w:rsidRPr="00023567">
        <w:t xml:space="preserve"> </w:t>
      </w:r>
      <w:r w:rsidR="00861D28" w:rsidRPr="00023567">
        <w:t xml:space="preserve">The results of </w:t>
      </w:r>
      <w:r w:rsidR="00217B13" w:rsidRPr="00023567">
        <w:t>this analysis are</w:t>
      </w:r>
      <w:r w:rsidR="00A12A30" w:rsidRPr="00023567">
        <w:t xml:space="preserve"> </w:t>
      </w:r>
      <w:r w:rsidR="00DB6FB4" w:rsidRPr="00023567">
        <w:t xml:space="preserve">heavily </w:t>
      </w:r>
      <w:r w:rsidR="00861D28" w:rsidRPr="00023567">
        <w:t>assumption</w:t>
      </w:r>
      <w:r w:rsidR="00023567">
        <w:noBreakHyphen/>
      </w:r>
      <w:r w:rsidR="00861D28" w:rsidRPr="00023567">
        <w:t>driven</w:t>
      </w:r>
      <w:r w:rsidR="004A2259" w:rsidRPr="00023567">
        <w:t xml:space="preserve"> </w:t>
      </w:r>
      <w:r w:rsidR="00A12A30" w:rsidRPr="00023567">
        <w:t xml:space="preserve">and thus </w:t>
      </w:r>
      <w:r w:rsidR="00AF19E8" w:rsidRPr="00023567">
        <w:t>should only be considered</w:t>
      </w:r>
      <w:r w:rsidR="004A2259" w:rsidRPr="00023567">
        <w:t xml:space="preserve"> illustrative</w:t>
      </w:r>
      <w:r w:rsidR="0029010D" w:rsidRPr="00023567">
        <w:t>.</w:t>
      </w:r>
      <w:r w:rsidR="00A12A30" w:rsidRPr="00023567">
        <w:t xml:space="preserve"> </w:t>
      </w:r>
    </w:p>
    <w:p w:rsidR="008F2096" w:rsidRPr="00023567" w:rsidRDefault="0029010D" w:rsidP="00601A40">
      <w:pPr>
        <w:pStyle w:val="BodyText"/>
      </w:pPr>
      <w:r>
        <w:t>T</w:t>
      </w:r>
      <w:r w:rsidR="00A12A30">
        <w:t>he</w:t>
      </w:r>
      <w:r w:rsidR="00A12A30" w:rsidRPr="004D33AA">
        <w:t xml:space="preserve"> </w:t>
      </w:r>
      <w:r w:rsidR="00A12A30">
        <w:t xml:space="preserve">Commission’s </w:t>
      </w:r>
      <w:r w:rsidR="00A12A30" w:rsidRPr="004D33AA">
        <w:t xml:space="preserve">analysis </w:t>
      </w:r>
      <w:r w:rsidR="00A12A30">
        <w:t>does not</w:t>
      </w:r>
      <w:r w:rsidR="00A12A30" w:rsidRPr="004D33AA">
        <w:t xml:space="preserve"> </w:t>
      </w:r>
      <w:r w:rsidR="00A12A30">
        <w:t>estimate a total net fiscal impact of insurance in super</w:t>
      </w:r>
      <w:r w:rsidR="001E5A2C">
        <w:t>annuation</w:t>
      </w:r>
      <w:r w:rsidR="00837516">
        <w:t xml:space="preserve">. </w:t>
      </w:r>
      <w:r w:rsidR="00D555AA">
        <w:t>Aggregat</w:t>
      </w:r>
      <w:r w:rsidR="008B653A">
        <w:t>ing</w:t>
      </w:r>
      <w:r w:rsidR="00D555AA">
        <w:t xml:space="preserve"> cameo results to a total fiscal effect </w:t>
      </w:r>
      <w:r w:rsidR="008F2096">
        <w:t xml:space="preserve">would </w:t>
      </w:r>
      <w:r w:rsidR="00791CC0">
        <w:t>require</w:t>
      </w:r>
      <w:r w:rsidR="008F2096">
        <w:t xml:space="preserve"> </w:t>
      </w:r>
      <w:r w:rsidR="00CE5254">
        <w:t>the development of</w:t>
      </w:r>
      <w:r w:rsidR="00791CC0">
        <w:t xml:space="preserve"> </w:t>
      </w:r>
      <w:r w:rsidR="00837516">
        <w:t>forward</w:t>
      </w:r>
      <w:r w:rsidR="00023567">
        <w:noBreakHyphen/>
      </w:r>
      <w:r w:rsidR="00837516">
        <w:t xml:space="preserve">looking </w:t>
      </w:r>
      <w:r w:rsidR="007B37A4">
        <w:t xml:space="preserve">population </w:t>
      </w:r>
      <w:r w:rsidR="00715DFC">
        <w:t>projections</w:t>
      </w:r>
      <w:r w:rsidR="007B37A4">
        <w:t xml:space="preserve"> </w:t>
      </w:r>
      <w:r w:rsidR="00837516">
        <w:t>related to income, marital status,</w:t>
      </w:r>
      <w:r w:rsidR="00CE5254" w:rsidRPr="00CE5254">
        <w:t xml:space="preserve"> </w:t>
      </w:r>
      <w:r w:rsidR="00CE5254">
        <w:t>homeownership</w:t>
      </w:r>
      <w:r w:rsidR="00FB37A3">
        <w:t>,</w:t>
      </w:r>
      <w:r w:rsidR="004D0604">
        <w:t xml:space="preserve"> </w:t>
      </w:r>
      <w:r w:rsidR="00837516">
        <w:t xml:space="preserve">insurance coverage (including risk loadings) </w:t>
      </w:r>
      <w:r w:rsidR="00FB37A3">
        <w:t>and claim rates</w:t>
      </w:r>
      <w:r w:rsidR="00A12A30">
        <w:t>.</w:t>
      </w:r>
      <w:r w:rsidRPr="00023567">
        <w:t xml:space="preserve"> </w:t>
      </w:r>
      <w:r w:rsidR="00CE5254" w:rsidRPr="00023567">
        <w:t xml:space="preserve">Such an exercise </w:t>
      </w:r>
      <w:r w:rsidR="005005FD" w:rsidRPr="00023567">
        <w:t xml:space="preserve">is both substantive in scope and </w:t>
      </w:r>
      <w:r w:rsidR="008476C1" w:rsidRPr="00023567">
        <w:t xml:space="preserve">hindered </w:t>
      </w:r>
      <w:r w:rsidR="00CE5254" w:rsidRPr="00023567">
        <w:t>by the paucity of data in this area.</w:t>
      </w:r>
      <w:r w:rsidR="009801B0" w:rsidRPr="00023567">
        <w:t xml:space="preserve"> The Commission’s analysis presented in this paper addresses the requirement in </w:t>
      </w:r>
      <w:r w:rsidR="009420EF">
        <w:t>the</w:t>
      </w:r>
      <w:r w:rsidR="009801B0" w:rsidRPr="00023567">
        <w:t xml:space="preserve"> terms of reference to the extent feasible in the </w:t>
      </w:r>
      <w:r w:rsidR="00023567">
        <w:t>i</w:t>
      </w:r>
      <w:r w:rsidR="009801B0" w:rsidRPr="00023567">
        <w:t xml:space="preserve">nquiry’s (extended) timeframe and </w:t>
      </w:r>
      <w:r w:rsidR="00262211">
        <w:t xml:space="preserve">given the </w:t>
      </w:r>
      <w:r w:rsidR="009801B0" w:rsidRPr="00023567">
        <w:t xml:space="preserve">data available to the Commission. </w:t>
      </w:r>
    </w:p>
    <w:p w:rsidR="00601A40" w:rsidRPr="001E3844" w:rsidRDefault="0029010D" w:rsidP="00601A40">
      <w:pPr>
        <w:pStyle w:val="BodyText"/>
      </w:pPr>
      <w:r w:rsidRPr="00023567">
        <w:t>Notably</w:t>
      </w:r>
      <w:r w:rsidR="004A2259" w:rsidRPr="00023567">
        <w:t xml:space="preserve"> the </w:t>
      </w:r>
      <w:r w:rsidR="00423E6B" w:rsidRPr="00023567">
        <w:t xml:space="preserve">Commission’s </w:t>
      </w:r>
      <w:r w:rsidR="00601A40" w:rsidRPr="00023567">
        <w:t xml:space="preserve">analysis </w:t>
      </w:r>
      <w:r w:rsidRPr="00023567">
        <w:t xml:space="preserve">does </w:t>
      </w:r>
      <w:r w:rsidR="00610491" w:rsidRPr="004D33AA">
        <w:t xml:space="preserve">suggest that </w:t>
      </w:r>
      <w:r>
        <w:t xml:space="preserve">the increase in </w:t>
      </w:r>
      <w:r w:rsidR="00610491" w:rsidRPr="004D33AA">
        <w:t>Age</w:t>
      </w:r>
      <w:r w:rsidR="00A2683E">
        <w:t xml:space="preserve"> </w:t>
      </w:r>
      <w:r w:rsidR="00610491" w:rsidRPr="004D33AA">
        <w:t>Pension</w:t>
      </w:r>
      <w:r w:rsidR="004D33AA">
        <w:t xml:space="preserve"> </w:t>
      </w:r>
      <w:r>
        <w:t xml:space="preserve">outlays due to the inclusion </w:t>
      </w:r>
      <w:r w:rsidR="004A2259">
        <w:t xml:space="preserve">of insurance </w:t>
      </w:r>
      <w:r>
        <w:t>i</w:t>
      </w:r>
      <w:r w:rsidR="00CF59DB">
        <w:t>n</w:t>
      </w:r>
      <w:r>
        <w:t xml:space="preserve"> superannuation are </w:t>
      </w:r>
      <w:r w:rsidR="004D33AA">
        <w:t>likely to be material</w:t>
      </w:r>
      <w:r w:rsidR="00FB2B17">
        <w:t xml:space="preserve"> for some cohorts</w:t>
      </w:r>
      <w:r w:rsidR="00A12A30">
        <w:t xml:space="preserve">, and </w:t>
      </w:r>
      <w:r w:rsidR="00DB6FB4">
        <w:t>that</w:t>
      </w:r>
      <w:r w:rsidR="00A12A30">
        <w:t xml:space="preserve"> </w:t>
      </w:r>
      <w:r w:rsidR="00837516">
        <w:t>on a per</w:t>
      </w:r>
      <w:r w:rsidR="00023567">
        <w:noBreakHyphen/>
      </w:r>
      <w:r w:rsidR="00837516">
        <w:t>person basis, individuals</w:t>
      </w:r>
      <w:r w:rsidR="00FB2B17">
        <w:t xml:space="preserve"> with </w:t>
      </w:r>
      <w:r w:rsidR="00715E66">
        <w:t>income protection (</w:t>
      </w:r>
      <w:r w:rsidR="00A12A30">
        <w:t>IP</w:t>
      </w:r>
      <w:r w:rsidR="00715E66">
        <w:t>)</w:t>
      </w:r>
      <w:r w:rsidR="00A12A30">
        <w:t xml:space="preserve"> insurance </w:t>
      </w:r>
      <w:r w:rsidR="00FB2B17">
        <w:t xml:space="preserve">are more </w:t>
      </w:r>
      <w:r w:rsidR="00A12A30">
        <w:t xml:space="preserve">likely to provide a </w:t>
      </w:r>
      <w:r w:rsidR="008B653A">
        <w:t xml:space="preserve">net </w:t>
      </w:r>
      <w:r w:rsidR="00A12A30">
        <w:t xml:space="preserve">fiscal </w:t>
      </w:r>
      <w:r w:rsidR="00FB2B17">
        <w:t xml:space="preserve">benefit </w:t>
      </w:r>
      <w:r w:rsidR="00A12A30">
        <w:t xml:space="preserve">to </w:t>
      </w:r>
      <w:r w:rsidR="002A09FF">
        <w:t>g</w:t>
      </w:r>
      <w:r w:rsidR="00A12A30">
        <w:t>overnment</w:t>
      </w:r>
      <w:r w:rsidR="00FB2B17">
        <w:t xml:space="preserve"> than </w:t>
      </w:r>
      <w:r w:rsidR="00837516">
        <w:t>individuals</w:t>
      </w:r>
      <w:r w:rsidR="00FB2B17">
        <w:t xml:space="preserve"> with </w:t>
      </w:r>
      <w:r w:rsidR="001E3844">
        <w:t>total and permanent disability (</w:t>
      </w:r>
      <w:r w:rsidR="00FB2B17">
        <w:t>TPD</w:t>
      </w:r>
      <w:r w:rsidR="001E3844">
        <w:t>)</w:t>
      </w:r>
      <w:r w:rsidR="00FB2B17">
        <w:t xml:space="preserve"> insurance</w:t>
      </w:r>
      <w:r w:rsidR="004871E0">
        <w:t xml:space="preserve"> (though IP insurance is included in only one third of MySuper accounts, limiting </w:t>
      </w:r>
      <w:r w:rsidR="008C0187">
        <w:t xml:space="preserve">the </w:t>
      </w:r>
      <w:r w:rsidR="000E0FE2">
        <w:t xml:space="preserve">absolute </w:t>
      </w:r>
      <w:r w:rsidR="001226BE">
        <w:t>fiscal</w:t>
      </w:r>
      <w:r w:rsidR="004871E0">
        <w:t xml:space="preserve"> </w:t>
      </w:r>
      <w:r w:rsidR="008C0187">
        <w:t>impact</w:t>
      </w:r>
      <w:r w:rsidR="004871E0">
        <w:t>)</w:t>
      </w:r>
      <w:r w:rsidR="00610491" w:rsidRPr="004D33AA">
        <w:t>.</w:t>
      </w:r>
    </w:p>
    <w:p w:rsidR="00C6623A" w:rsidRDefault="00601A40" w:rsidP="00C6623A">
      <w:pPr>
        <w:pStyle w:val="BodyText"/>
      </w:pPr>
      <w:r>
        <w:t>W</w:t>
      </w:r>
      <w:r w:rsidR="00C6623A">
        <w:t xml:space="preserve">hile important to </w:t>
      </w:r>
      <w:r w:rsidR="002A09FF">
        <w:t>g</w:t>
      </w:r>
      <w:r w:rsidR="00C6623A">
        <w:t xml:space="preserve">overnment and ultimately taxpayers, </w:t>
      </w:r>
      <w:r>
        <w:t xml:space="preserve">the net fiscal impacts of insurance in superannuation </w:t>
      </w:r>
      <w:r w:rsidR="0029010D">
        <w:t xml:space="preserve">are </w:t>
      </w:r>
      <w:r w:rsidR="00C6623A">
        <w:t xml:space="preserve">not the </w:t>
      </w:r>
      <w:r w:rsidR="009801B0">
        <w:t xml:space="preserve">sole nor </w:t>
      </w:r>
      <w:r w:rsidR="00C6623A">
        <w:t>primary rationale for improving the arrangements for insurance in super</w:t>
      </w:r>
      <w:r w:rsidR="001E5A2C">
        <w:t>annuation</w:t>
      </w:r>
      <w:r w:rsidR="00C6623A">
        <w:t>.</w:t>
      </w:r>
      <w:r w:rsidR="00DB6FB4">
        <w:t xml:space="preserve"> The Commission </w:t>
      </w:r>
      <w:r w:rsidR="009F7997">
        <w:t>made</w:t>
      </w:r>
      <w:r w:rsidR="00DB6FB4">
        <w:t xml:space="preserve"> a </w:t>
      </w:r>
      <w:r w:rsidR="0029010D">
        <w:t xml:space="preserve">number of </w:t>
      </w:r>
      <w:r w:rsidR="00D555AA">
        <w:t xml:space="preserve">draft </w:t>
      </w:r>
      <w:r w:rsidR="0029010D">
        <w:t xml:space="preserve">findings and draft recommendations </w:t>
      </w:r>
      <w:r w:rsidR="00DB6FB4">
        <w:t xml:space="preserve">designed to </w:t>
      </w:r>
      <w:r w:rsidR="009F7997">
        <w:t>improve</w:t>
      </w:r>
      <w:r w:rsidR="00DB6FB4">
        <w:t xml:space="preserve"> </w:t>
      </w:r>
      <w:r w:rsidR="009F7997">
        <w:t xml:space="preserve">insurance arrangements in superannuation </w:t>
      </w:r>
      <w:r w:rsidR="00DB6FB4">
        <w:t>in its draft report</w:t>
      </w:r>
      <w:r w:rsidR="000633EE">
        <w:t xml:space="preserve"> (box 1)</w:t>
      </w:r>
      <w:r w:rsidR="00DB6FB4">
        <w:t xml:space="preserve">, which was </w:t>
      </w:r>
      <w:r w:rsidR="0029010D">
        <w:t xml:space="preserve">provided to </w:t>
      </w:r>
      <w:r w:rsidR="002A09FF">
        <w:t xml:space="preserve">the Australian </w:t>
      </w:r>
      <w:r w:rsidR="0029010D">
        <w:t xml:space="preserve">Government on </w:t>
      </w:r>
      <w:r w:rsidR="006B4CCE">
        <w:t>30</w:t>
      </w:r>
      <w:r w:rsidR="00D6177E">
        <w:t> </w:t>
      </w:r>
      <w:r w:rsidR="0029010D">
        <w:t xml:space="preserve">April and released on </w:t>
      </w:r>
      <w:r w:rsidR="006B4CCE">
        <w:t>29</w:t>
      </w:r>
      <w:r w:rsidR="00023567">
        <w:t> </w:t>
      </w:r>
      <w:r w:rsidR="00DB6FB4">
        <w:t>May</w:t>
      </w:r>
      <w:r w:rsidR="001E3844">
        <w:t> </w:t>
      </w:r>
      <w:r w:rsidR="0029010D">
        <w:t>2018</w:t>
      </w:r>
      <w:r w:rsidR="00DB6FB4">
        <w:t>.</w:t>
      </w:r>
      <w:r w:rsidR="001A2524">
        <w:t xml:space="preserve"> As part of the 2018</w:t>
      </w:r>
      <w:r w:rsidR="00023567">
        <w:noBreakHyphen/>
      </w:r>
      <w:r w:rsidR="001A2524">
        <w:t xml:space="preserve">19 Budget, the Government announced a number of proposed changes to </w:t>
      </w:r>
      <w:r w:rsidR="00FB2B17">
        <w:t xml:space="preserve">the arrangements for </w:t>
      </w:r>
      <w:r w:rsidR="001A2524">
        <w:t xml:space="preserve">insurance in superannuation. These measures are broadly in line with the Commission’s </w:t>
      </w:r>
      <w:r w:rsidR="00791CC0">
        <w:t xml:space="preserve">draft </w:t>
      </w:r>
      <w:r w:rsidR="001A2524">
        <w:t>recommendations.</w:t>
      </w:r>
    </w:p>
    <w:p w:rsidR="0029010D" w:rsidRDefault="0029010D" w:rsidP="0029010D">
      <w:pPr>
        <w:pStyle w:val="Heading2"/>
      </w:pPr>
      <w:r>
        <w:t>Background</w:t>
      </w:r>
    </w:p>
    <w:p w:rsidR="00A47EF8" w:rsidRDefault="00A47EF8" w:rsidP="00A47EF8">
      <w:pPr>
        <w:pStyle w:val="BodyText"/>
      </w:pPr>
      <w:r>
        <w:t>Default insurance in superannuation has resulted in broad coverage of the Australian population, but in some cases it can lead to the substantial erosion of members’ superannuation savings when they retire (box </w:t>
      </w:r>
      <w:r w:rsidR="006D1B25">
        <w:t>2</w:t>
      </w:r>
      <w:r>
        <w:t>).</w:t>
      </w:r>
    </w:p>
    <w:p w:rsidR="00DB3CC0" w:rsidRDefault="00DB3CC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B3CC0" w:rsidTr="009D5FD5">
        <w:trPr>
          <w:tblHeader/>
        </w:trPr>
        <w:tc>
          <w:tcPr>
            <w:tcW w:w="5000" w:type="pct"/>
            <w:tcBorders>
              <w:top w:val="single" w:sz="6" w:space="0" w:color="78A22F"/>
              <w:left w:val="nil"/>
              <w:bottom w:val="nil"/>
              <w:right w:val="nil"/>
            </w:tcBorders>
            <w:shd w:val="clear" w:color="auto" w:fill="F2F2F2"/>
          </w:tcPr>
          <w:p w:rsidR="00DB3CC0" w:rsidRDefault="00DB3CC0" w:rsidP="00DB3CC0">
            <w:pPr>
              <w:pStyle w:val="BoxTitle"/>
            </w:pPr>
            <w:r>
              <w:rPr>
                <w:b w:val="0"/>
              </w:rPr>
              <w:t xml:space="preserve">Box </w:t>
            </w:r>
            <w:r w:rsidR="00A11CF5">
              <w:rPr>
                <w:b w:val="0"/>
                <w:noProof/>
              </w:rPr>
              <w:t>2</w:t>
            </w:r>
            <w:r>
              <w:tab/>
              <w:t>Key metrics on insurance in super</w:t>
            </w:r>
          </w:p>
        </w:tc>
      </w:tr>
      <w:tr w:rsidR="00DB3CC0" w:rsidTr="009D5FD5">
        <w:tc>
          <w:tcPr>
            <w:tcW w:w="5000" w:type="pct"/>
            <w:tcBorders>
              <w:top w:val="nil"/>
              <w:left w:val="nil"/>
              <w:bottom w:val="nil"/>
              <w:right w:val="nil"/>
            </w:tcBorders>
            <w:shd w:val="clear" w:color="auto" w:fill="F2F2F2"/>
          </w:tcPr>
          <w:p w:rsidR="008B3DCE" w:rsidRDefault="00784C48" w:rsidP="00AF1B8C">
            <w:pPr>
              <w:pStyle w:val="BoxHeading1"/>
            </w:pPr>
            <w:r>
              <w:t>Footprint</w:t>
            </w:r>
            <w:r w:rsidR="008B3DCE">
              <w:t xml:space="preserve"> of insurance in super</w:t>
            </w:r>
          </w:p>
          <w:p w:rsidR="00784C48" w:rsidRDefault="008B3DCE" w:rsidP="00784C48">
            <w:pPr>
              <w:pStyle w:val="Box"/>
            </w:pPr>
            <w:r>
              <w:t>A</w:t>
            </w:r>
            <w:r w:rsidRPr="00F50DB3">
              <w:t>round 12</w:t>
            </w:r>
            <w:r>
              <w:t> </w:t>
            </w:r>
            <w:r w:rsidRPr="00F50DB3">
              <w:t xml:space="preserve">million Australians </w:t>
            </w:r>
            <w:r>
              <w:t>hold i</w:t>
            </w:r>
            <w:r w:rsidRPr="00F50DB3">
              <w:t>nsurance — for life, total and permanent disability, and income protection —</w:t>
            </w:r>
            <w:r>
              <w:t xml:space="preserve"> </w:t>
            </w:r>
            <w:r w:rsidRPr="00F50DB3">
              <w:t>through their superannuation</w:t>
            </w:r>
            <w:r>
              <w:t>, with about</w:t>
            </w:r>
            <w:r w:rsidRPr="00F50DB3">
              <w:t xml:space="preserve"> 80</w:t>
            </w:r>
            <w:r>
              <w:t> </w:t>
            </w:r>
            <w:r w:rsidRPr="00F50DB3">
              <w:t>per</w:t>
            </w:r>
            <w:r>
              <w:t> </w:t>
            </w:r>
            <w:r w:rsidRPr="00F50DB3">
              <w:t xml:space="preserve">cent of </w:t>
            </w:r>
            <w:r>
              <w:t xml:space="preserve">these </w:t>
            </w:r>
            <w:r w:rsidRPr="00F50DB3">
              <w:t xml:space="preserve">policies </w:t>
            </w:r>
            <w:r>
              <w:t>provided</w:t>
            </w:r>
            <w:r w:rsidRPr="00F50DB3">
              <w:t xml:space="preserve"> automati</w:t>
            </w:r>
            <w:r>
              <w:t>cally (</w:t>
            </w:r>
            <w:r w:rsidRPr="00F50DB3">
              <w:t>requiring members to opt</w:t>
            </w:r>
            <w:r>
              <w:t xml:space="preserve"> </w:t>
            </w:r>
            <w:r w:rsidRPr="00F50DB3">
              <w:t xml:space="preserve">out or amend </w:t>
            </w:r>
            <w:r>
              <w:t xml:space="preserve">cover </w:t>
            </w:r>
            <w:r w:rsidRPr="00F50DB3">
              <w:t xml:space="preserve">if </w:t>
            </w:r>
            <w:r>
              <w:t>it is unsuitable)</w:t>
            </w:r>
            <w:r w:rsidRPr="00F50DB3">
              <w:t>.</w:t>
            </w:r>
            <w:r>
              <w:t xml:space="preserve"> </w:t>
            </w:r>
          </w:p>
          <w:p w:rsidR="00AC0F93" w:rsidRDefault="00784C48" w:rsidP="00AF1B8C">
            <w:pPr>
              <w:pStyle w:val="BoxListBullet"/>
            </w:pPr>
            <w:r>
              <w:t>A</w:t>
            </w:r>
            <w:r w:rsidR="00AC0F93">
              <w:t>bout</w:t>
            </w:r>
            <w:r>
              <w:t xml:space="preserve"> half of all superannuation accounts (and three quarters of MySuper accounts) have premiums deducted for one or more insurance products. </w:t>
            </w:r>
          </w:p>
          <w:p w:rsidR="00AC0F93" w:rsidRDefault="00784C48" w:rsidP="00AF1B8C">
            <w:pPr>
              <w:pStyle w:val="BoxListBullet"/>
            </w:pPr>
            <w:r>
              <w:t>Life insurance is the most commonly held insurance in superannuation, closely followed by TPD, with IP insurance held by a much smaller number of accounts (only 29 per cent of MySuper accounts include IP insurance).</w:t>
            </w:r>
            <w:r w:rsidR="00AC0F93">
              <w:t xml:space="preserve"> </w:t>
            </w:r>
          </w:p>
          <w:p w:rsidR="00784C48" w:rsidRDefault="00AC0F93" w:rsidP="00AF1B8C">
            <w:pPr>
              <w:pStyle w:val="BoxListBullet"/>
            </w:pPr>
            <w:r>
              <w:t>An estimated 17 per cent of members have more than one superannuation account with insurance cover.</w:t>
            </w:r>
          </w:p>
          <w:p w:rsidR="00AC0F93" w:rsidRDefault="00AC0F93" w:rsidP="00784C48">
            <w:pPr>
              <w:pStyle w:val="Box"/>
            </w:pPr>
            <w:r>
              <w:t xml:space="preserve">The </w:t>
            </w:r>
            <w:r w:rsidR="00B65759">
              <w:t xml:space="preserve">insurance </w:t>
            </w:r>
            <w:r>
              <w:t>p</w:t>
            </w:r>
            <w:r w:rsidR="00784C48">
              <w:t xml:space="preserve">remiums </w:t>
            </w:r>
            <w:r>
              <w:t>that superannuation members pay</w:t>
            </w:r>
            <w:r w:rsidR="008B3DCE">
              <w:t xml:space="preserve"> vary widely</w:t>
            </w:r>
            <w:r w:rsidR="00784C48">
              <w:t>.</w:t>
            </w:r>
          </w:p>
          <w:p w:rsidR="00AC0F93" w:rsidRDefault="00784C48" w:rsidP="00AF1B8C">
            <w:pPr>
              <w:pStyle w:val="BoxListBullet"/>
            </w:pPr>
            <w:r>
              <w:t>Average premium</w:t>
            </w:r>
            <w:r w:rsidR="001D0DEB">
              <w:t>s</w:t>
            </w:r>
            <w:r>
              <w:t xml:space="preserve"> for automatically</w:t>
            </w:r>
            <w:r w:rsidR="0008339F">
              <w:t>-</w:t>
            </w:r>
            <w:r>
              <w:t xml:space="preserve">provided default cover are </w:t>
            </w:r>
            <w:r w:rsidR="00E50ECE">
              <w:t xml:space="preserve">about </w:t>
            </w:r>
            <w:r>
              <w:t>$300 per year</w:t>
            </w:r>
            <w:r w:rsidR="008B3DCE">
              <w:t xml:space="preserve">, but </w:t>
            </w:r>
            <w:r>
              <w:t xml:space="preserve">can be as high as $2000 per year. </w:t>
            </w:r>
          </w:p>
          <w:p w:rsidR="00AC0F93" w:rsidRDefault="00784C48" w:rsidP="00AF1B8C">
            <w:pPr>
              <w:pStyle w:val="BoxListBullet"/>
            </w:pPr>
            <w:r>
              <w:t>Members subject to risk loading because they work in more manual or hazardous jobs</w:t>
            </w:r>
            <w:r w:rsidR="001F1DF5">
              <w:t xml:space="preserve"> pay more than white collar workers for equivalent levels of cover — about 20 to 40 per cent more for ‘light’ blue ratings, while ‘heavy’ blue products can be more than twice as expensive</w:t>
            </w:r>
            <w:r w:rsidR="001D0DEB">
              <w:t xml:space="preserve">. </w:t>
            </w:r>
          </w:p>
          <w:p w:rsidR="00784C48" w:rsidRDefault="001D0DEB" w:rsidP="00AF1B8C">
            <w:pPr>
              <w:pStyle w:val="BoxListBullet"/>
            </w:pPr>
            <w:r>
              <w:t xml:space="preserve">Members with IP cover will also pay more </w:t>
            </w:r>
            <w:r w:rsidR="00E50ECE">
              <w:t xml:space="preserve">on average </w:t>
            </w:r>
            <w:r>
              <w:t>than if their fund only includes life and TPD insurance.</w:t>
            </w:r>
            <w:r w:rsidR="00784C48">
              <w:t xml:space="preserve"> </w:t>
            </w:r>
          </w:p>
          <w:p w:rsidR="008B3DCE" w:rsidRPr="008B3DCE" w:rsidRDefault="001D0DEB" w:rsidP="00AF1B8C">
            <w:pPr>
              <w:pStyle w:val="BoxListBullet"/>
            </w:pPr>
            <w:r>
              <w:t>I</w:t>
            </w:r>
            <w:r w:rsidR="008B3DCE">
              <w:t>n total</w:t>
            </w:r>
            <w:r>
              <w:t>, premiums collected from insurance in superannuation</w:t>
            </w:r>
            <w:r w:rsidR="008B3DCE">
              <w:t xml:space="preserve"> increased by 35 per cent over the past three years to $9 billion in 2016</w:t>
            </w:r>
            <w:r w:rsidR="008B3DCE">
              <w:noBreakHyphen/>
              <w:t>17 (including an estimated $1.9 billion on unintended duplicate policies).</w:t>
            </w:r>
          </w:p>
          <w:p w:rsidR="008B3DCE" w:rsidRDefault="008B3DCE" w:rsidP="00AF1B8C">
            <w:pPr>
              <w:pStyle w:val="BoxHeading1"/>
            </w:pPr>
            <w:r>
              <w:t>Balance erosion can be substantial</w:t>
            </w:r>
          </w:p>
          <w:p w:rsidR="00AC0F93" w:rsidRDefault="001D0DEB">
            <w:pPr>
              <w:pStyle w:val="Box"/>
            </w:pPr>
            <w:r w:rsidRPr="001D0DEB">
              <w:t>The deduction of insurance premiums over a member’s lifetime reduces their superannuation balance, resulting in less disposable income in retirement.</w:t>
            </w:r>
            <w:r>
              <w:t xml:space="preserve"> </w:t>
            </w:r>
          </w:p>
          <w:p w:rsidR="008B3DCE" w:rsidRDefault="008B3DCE" w:rsidP="00D210FC">
            <w:pPr>
              <w:pStyle w:val="BoxListBullet"/>
            </w:pPr>
            <w:r>
              <w:t xml:space="preserve">Balance erosion can be excessive and highly regressive — having a disproportionate impact on members with low income, intermittent labour force attachment and/or multiple accounts with insurance. </w:t>
            </w:r>
          </w:p>
          <w:p w:rsidR="00DB3CC0" w:rsidRDefault="008B3DCE" w:rsidP="00D210FC">
            <w:pPr>
              <w:pStyle w:val="BoxListBullet"/>
            </w:pPr>
            <w:r>
              <w:t>The reduction in retirement balances for many of these members could reach 14 per cent ($85 000), and for some disadvantaged members could be reduced by over a quarter ($125 000).</w:t>
            </w:r>
          </w:p>
        </w:tc>
      </w:tr>
      <w:tr w:rsidR="00DB3CC0" w:rsidTr="009D5FD5">
        <w:tc>
          <w:tcPr>
            <w:tcW w:w="5000" w:type="pct"/>
            <w:tcBorders>
              <w:top w:val="nil"/>
              <w:left w:val="nil"/>
              <w:bottom w:val="nil"/>
              <w:right w:val="nil"/>
            </w:tcBorders>
            <w:shd w:val="clear" w:color="auto" w:fill="F2F2F2"/>
          </w:tcPr>
          <w:p w:rsidR="00DB3CC0" w:rsidRDefault="00DB3CC0" w:rsidP="00AF1B8C">
            <w:pPr>
              <w:pStyle w:val="BoxSource"/>
            </w:pPr>
            <w:r>
              <w:rPr>
                <w:i/>
              </w:rPr>
              <w:t>Source</w:t>
            </w:r>
            <w:r w:rsidRPr="00167F06">
              <w:t xml:space="preserve">: </w:t>
            </w:r>
            <w:r w:rsidR="001A7BF4">
              <w:t xml:space="preserve">PC </w:t>
            </w:r>
            <w:r w:rsidR="001A7BF4" w:rsidRPr="001A7BF4">
              <w:rPr>
                <w:rFonts w:cs="Arial"/>
              </w:rPr>
              <w:t>(2018, chapter 8)</w:t>
            </w:r>
            <w:r w:rsidR="00AC0F93">
              <w:t>.</w:t>
            </w:r>
          </w:p>
        </w:tc>
      </w:tr>
      <w:tr w:rsidR="00DB3CC0" w:rsidTr="009D5FD5">
        <w:tc>
          <w:tcPr>
            <w:tcW w:w="5000" w:type="pct"/>
            <w:tcBorders>
              <w:top w:val="nil"/>
              <w:left w:val="nil"/>
              <w:bottom w:val="single" w:sz="6" w:space="0" w:color="78A22F"/>
              <w:right w:val="nil"/>
            </w:tcBorders>
            <w:shd w:val="clear" w:color="auto" w:fill="F2F2F2"/>
          </w:tcPr>
          <w:p w:rsidR="00DB3CC0" w:rsidRDefault="00DB3CC0">
            <w:pPr>
              <w:pStyle w:val="Box"/>
              <w:spacing w:before="0" w:line="120" w:lineRule="exact"/>
            </w:pPr>
          </w:p>
        </w:tc>
      </w:tr>
      <w:tr w:rsidR="00DB3CC0" w:rsidRPr="000863A5" w:rsidTr="009D5FD5">
        <w:tc>
          <w:tcPr>
            <w:tcW w:w="5000" w:type="pct"/>
            <w:tcBorders>
              <w:top w:val="single" w:sz="6" w:space="0" w:color="78A22F"/>
              <w:left w:val="nil"/>
              <w:bottom w:val="nil"/>
              <w:right w:val="nil"/>
            </w:tcBorders>
          </w:tcPr>
          <w:p w:rsidR="00DB3CC0" w:rsidRPr="00626D32" w:rsidRDefault="00DB3CC0" w:rsidP="009D5FD5">
            <w:pPr>
              <w:pStyle w:val="BoxSpaceBelow"/>
            </w:pPr>
          </w:p>
        </w:tc>
      </w:tr>
    </w:tbl>
    <w:p w:rsidR="00E50ECE" w:rsidRDefault="00E50ECE" w:rsidP="00E50ECE">
      <w:pPr>
        <w:pStyle w:val="BodyText"/>
      </w:pPr>
      <w:r>
        <w:t xml:space="preserve">One of the arguments made by some to support the case for having insurance in superannuation as a default is that it results in a net fiscal benefit to government by reducing social security outlays </w:t>
      </w:r>
      <w:r w:rsidRPr="0096315D">
        <w:rPr>
          <w:szCs w:val="24"/>
        </w:rPr>
        <w:t>(KPMG </w:t>
      </w:r>
      <w:r w:rsidRPr="00AC6786">
        <w:rPr>
          <w:szCs w:val="24"/>
        </w:rPr>
        <w:t>2017; Rice Warner, sub. 46)</w:t>
      </w:r>
      <w:r>
        <w:t xml:space="preserve">. (In this paper, fiscal benefits and costs refer to changes in government revenue — they do not refer to changes in the amounts paid or received </w:t>
      </w:r>
      <w:r w:rsidRPr="00BF3634">
        <w:t>by</w:t>
      </w:r>
      <w:r>
        <w:t xml:space="preserve"> </w:t>
      </w:r>
      <w:r w:rsidRPr="00BF3634">
        <w:t>individuals</w:t>
      </w:r>
      <w:r>
        <w:t>.)</w:t>
      </w:r>
    </w:p>
    <w:p w:rsidR="00E50ECE" w:rsidRDefault="00E50ECE" w:rsidP="00E50ECE">
      <w:pPr>
        <w:pStyle w:val="BodyText"/>
      </w:pPr>
      <w:r>
        <w:t>However, there are two broad aspects to the opposing fiscal effects from insurance in superannuation (figure 1):</w:t>
      </w:r>
      <w:r>
        <w:rPr>
          <w:rStyle w:val="FootnoteReference"/>
        </w:rPr>
        <w:footnoteReference w:id="2"/>
      </w:r>
    </w:p>
    <w:p w:rsidR="00E50ECE" w:rsidRDefault="00E50ECE" w:rsidP="00E50ECE">
      <w:pPr>
        <w:pStyle w:val="ListBullet"/>
      </w:pPr>
      <w:r>
        <w:t>on the one hand, claim payouts may reduce eligibility for social security payments, primarily Disability Support Pension (DSP) payments</w:t>
      </w:r>
    </w:p>
    <w:p w:rsidR="00E50ECE" w:rsidRDefault="00E50ECE" w:rsidP="00E50ECE">
      <w:pPr>
        <w:pStyle w:val="ListBullet"/>
      </w:pPr>
      <w:r>
        <w:t>but on the other hand, erosion of superannuation balances through the deduction of insurance premiums will lead to greater Age Pension payments for some members.</w:t>
      </w:r>
    </w:p>
    <w:p w:rsidR="00492E0F" w:rsidRDefault="00492E0F" w:rsidP="00492E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92E0F" w:rsidTr="00036457">
        <w:trPr>
          <w:tblHeader/>
        </w:trPr>
        <w:tc>
          <w:tcPr>
            <w:tcW w:w="5000" w:type="pct"/>
            <w:tcBorders>
              <w:top w:val="single" w:sz="6" w:space="0" w:color="78A22F"/>
              <w:left w:val="nil"/>
              <w:bottom w:val="nil"/>
              <w:right w:val="nil"/>
            </w:tcBorders>
            <w:shd w:val="clear" w:color="auto" w:fill="auto"/>
          </w:tcPr>
          <w:p w:rsidR="00492E0F" w:rsidRPr="00176D3F" w:rsidRDefault="00492E0F" w:rsidP="00036457">
            <w:pPr>
              <w:pStyle w:val="FigureTitle"/>
            </w:pPr>
            <w:r w:rsidRPr="00784A05">
              <w:rPr>
                <w:b w:val="0"/>
              </w:rPr>
              <w:t xml:space="preserve">Figure </w:t>
            </w:r>
            <w:r w:rsidR="00A11CF5">
              <w:rPr>
                <w:b w:val="0"/>
                <w:noProof/>
              </w:rPr>
              <w:t>1</w:t>
            </w:r>
            <w:r>
              <w:tab/>
              <w:t>Fiscal impact of insurance in supe</w:t>
            </w:r>
            <w:r w:rsidR="00501CC8">
              <w:t>r</w:t>
            </w:r>
            <w:r w:rsidR="00D555AA">
              <w:t xml:space="preserve"> </w:t>
            </w:r>
            <w:r w:rsidR="00501CC8">
              <w:t xml:space="preserve">— </w:t>
            </w:r>
            <w:r>
              <w:t>a</w:t>
            </w:r>
            <w:r w:rsidR="00501CC8">
              <w:t xml:space="preserve"> </w:t>
            </w:r>
            <w:r>
              <w:t xml:space="preserve">world of swings and roundabouts </w:t>
            </w:r>
          </w:p>
        </w:tc>
      </w:tr>
      <w:tr w:rsidR="00492E0F" w:rsidTr="0003645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92E0F" w:rsidRPr="00B1465D" w:rsidTr="00036457">
              <w:trPr>
                <w:tblHeader/>
                <w:jc w:val="center"/>
              </w:trPr>
              <w:tc>
                <w:tcPr>
                  <w:tcW w:w="5000" w:type="pct"/>
                  <w:tcBorders>
                    <w:top w:val="nil"/>
                    <w:bottom w:val="nil"/>
                  </w:tcBorders>
                </w:tcPr>
                <w:p w:rsidR="00C33226" w:rsidRPr="00B1465D" w:rsidRDefault="00F26F34" w:rsidP="00F26F34">
                  <w:pPr>
                    <w:pStyle w:val="Figure"/>
                    <w:spacing w:before="60" w:after="60"/>
                    <w:jc w:val="left"/>
                    <w:rPr>
                      <w:rFonts w:ascii="Arial" w:hAnsi="Arial" w:cs="Arial"/>
                      <w:sz w:val="18"/>
                      <w:szCs w:val="18"/>
                    </w:rPr>
                  </w:pPr>
                  <w:r w:rsidRPr="00F26F34">
                    <w:rPr>
                      <w:rFonts w:ascii="Arial" w:hAnsi="Arial" w:cs="Arial"/>
                      <w:noProof/>
                      <w:sz w:val="18"/>
                      <w:szCs w:val="18"/>
                    </w:rPr>
                    <w:drawing>
                      <wp:inline distT="0" distB="0" distL="0" distR="0" wp14:anchorId="466AD1F9" wp14:editId="0B060C5C">
                        <wp:extent cx="5023485" cy="4286885"/>
                        <wp:effectExtent l="0" t="0" r="5715" b="0"/>
                        <wp:docPr id="4" name="Picture 4" descr="This figure illustrates that there are offsetting sources of fiscal benefits and costs of insurance in superannuation. Sources of fiscal benefits include reduced Disability Support Pension payments, tax on insurance payouts and stamp duty. Sources of fiscal costs include increased Age Pension payments, less tax on super earnings and tax concessions." title="Fiscal impact of insurance in super — a world of swings and roundab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3485" cy="4286885"/>
                                </a:xfrm>
                                <a:prstGeom prst="rect">
                                  <a:avLst/>
                                </a:prstGeom>
                                <a:noFill/>
                                <a:ln>
                                  <a:noFill/>
                                </a:ln>
                              </pic:spPr>
                            </pic:pic>
                          </a:graphicData>
                        </a:graphic>
                      </wp:inline>
                    </w:drawing>
                  </w:r>
                </w:p>
              </w:tc>
            </w:tr>
          </w:tbl>
          <w:p w:rsidR="00492E0F" w:rsidRDefault="00492E0F" w:rsidP="00036457">
            <w:pPr>
              <w:pStyle w:val="Figure"/>
            </w:pPr>
          </w:p>
        </w:tc>
      </w:tr>
      <w:tr w:rsidR="00492E0F" w:rsidTr="00036457">
        <w:tc>
          <w:tcPr>
            <w:tcW w:w="5000" w:type="pct"/>
            <w:tcBorders>
              <w:top w:val="nil"/>
              <w:left w:val="nil"/>
              <w:bottom w:val="single" w:sz="6" w:space="0" w:color="78A22F"/>
              <w:right w:val="nil"/>
            </w:tcBorders>
            <w:shd w:val="clear" w:color="auto" w:fill="auto"/>
          </w:tcPr>
          <w:p w:rsidR="00492E0F" w:rsidRDefault="00492E0F" w:rsidP="00036457">
            <w:pPr>
              <w:pStyle w:val="Figurespace"/>
            </w:pPr>
          </w:p>
        </w:tc>
      </w:tr>
      <w:tr w:rsidR="00492E0F" w:rsidRPr="000863A5" w:rsidTr="00036457">
        <w:tc>
          <w:tcPr>
            <w:tcW w:w="5000" w:type="pct"/>
            <w:tcBorders>
              <w:top w:val="single" w:sz="6" w:space="0" w:color="78A22F"/>
              <w:left w:val="nil"/>
              <w:bottom w:val="nil"/>
              <w:right w:val="nil"/>
            </w:tcBorders>
          </w:tcPr>
          <w:p w:rsidR="00492E0F" w:rsidRPr="00626D32" w:rsidRDefault="00492E0F" w:rsidP="00036457">
            <w:pPr>
              <w:pStyle w:val="BoxSpaceBelow"/>
            </w:pPr>
          </w:p>
        </w:tc>
      </w:tr>
    </w:tbl>
    <w:p w:rsidR="000635CD" w:rsidRDefault="000635CD" w:rsidP="000635CD">
      <w:pPr>
        <w:pStyle w:val="BodyText"/>
      </w:pPr>
      <w:r>
        <w:t>There are also taxation considerations</w:t>
      </w:r>
      <w:r w:rsidR="0008339F">
        <w:t>.</w:t>
      </w:r>
      <w:r w:rsidR="000B502D">
        <w:rPr>
          <w:rStyle w:val="FootnoteReference"/>
        </w:rPr>
        <w:footnoteReference w:id="3"/>
      </w:r>
    </w:p>
    <w:p w:rsidR="009E2A55" w:rsidRDefault="009E2A55" w:rsidP="000635CD">
      <w:pPr>
        <w:pStyle w:val="ListBullet"/>
      </w:pPr>
      <w:r>
        <w:t xml:space="preserve">IP and TPD </w:t>
      </w:r>
      <w:r w:rsidR="00217B13">
        <w:t xml:space="preserve">claims </w:t>
      </w:r>
      <w:r>
        <w:t>both have tax implications, which increase the fiscal benefits of insurance in super</w:t>
      </w:r>
      <w:r w:rsidR="001E5A2C">
        <w:t>annuation</w:t>
      </w:r>
      <w:r>
        <w:t>.</w:t>
      </w:r>
    </w:p>
    <w:p w:rsidR="009E2A55" w:rsidRDefault="000635CD" w:rsidP="009E2A55">
      <w:pPr>
        <w:pStyle w:val="ListBullet2"/>
      </w:pPr>
      <w:r w:rsidRPr="000635CD">
        <w:t>TPD</w:t>
      </w:r>
      <w:r w:rsidR="00217B13">
        <w:t xml:space="preserve"> </w:t>
      </w:r>
      <w:r w:rsidRPr="000635CD">
        <w:t xml:space="preserve">payouts </w:t>
      </w:r>
      <w:r w:rsidR="009E2A55">
        <w:t xml:space="preserve">can either be taken as </w:t>
      </w:r>
      <w:r w:rsidRPr="000635CD">
        <w:t xml:space="preserve">a lump sum </w:t>
      </w:r>
      <w:r w:rsidR="009E2A55">
        <w:t>or a super income stream</w:t>
      </w:r>
      <w:r w:rsidRPr="000635CD">
        <w:t xml:space="preserve">. </w:t>
      </w:r>
      <w:r w:rsidR="009E2A55">
        <w:t xml:space="preserve">The taxable component of lump sums are taxed at </w:t>
      </w:r>
      <w:r w:rsidR="009E2A55" w:rsidRPr="009E2A55">
        <w:t>22</w:t>
      </w:r>
      <w:r w:rsidR="009E2A55">
        <w:t> per cent.</w:t>
      </w:r>
      <w:r w:rsidR="0001312E">
        <w:rPr>
          <w:rStyle w:val="FootnoteReference"/>
        </w:rPr>
        <w:footnoteReference w:id="4"/>
      </w:r>
      <w:r w:rsidR="009E2A55">
        <w:t xml:space="preserve"> S</w:t>
      </w:r>
      <w:r w:rsidR="004A2259">
        <w:t>uper income stream</w:t>
      </w:r>
      <w:r w:rsidR="009E2A55">
        <w:t>s</w:t>
      </w:r>
      <w:r w:rsidR="004A2259">
        <w:t xml:space="preserve"> are taxed at</w:t>
      </w:r>
      <w:r w:rsidR="00CD27BC">
        <w:t xml:space="preserve"> the </w:t>
      </w:r>
      <w:r w:rsidR="00EC3694">
        <w:t xml:space="preserve">recipient’s </w:t>
      </w:r>
      <w:r w:rsidR="00CD27BC">
        <w:t>marginal tax rate less 15 </w:t>
      </w:r>
      <w:r w:rsidR="004A2259">
        <w:t>per cent.</w:t>
      </w:r>
      <w:r w:rsidR="009E2A55">
        <w:t xml:space="preserve"> </w:t>
      </w:r>
      <w:r w:rsidR="00217B13">
        <w:t xml:space="preserve">More details </w:t>
      </w:r>
      <w:r w:rsidR="00C23186">
        <w:t xml:space="preserve">are </w:t>
      </w:r>
      <w:r w:rsidR="007C7BE2">
        <w:t xml:space="preserve">presented </w:t>
      </w:r>
      <w:r w:rsidR="00217B13">
        <w:t xml:space="preserve">in </w:t>
      </w:r>
      <w:r w:rsidR="00023567">
        <w:t>a</w:t>
      </w:r>
      <w:r w:rsidR="00217B13">
        <w:t>ppendix</w:t>
      </w:r>
      <w:r w:rsidR="00023567">
        <w:t> </w:t>
      </w:r>
      <w:r w:rsidR="00217B13">
        <w:t>A.</w:t>
      </w:r>
    </w:p>
    <w:p w:rsidR="009E2A55" w:rsidRDefault="009E2A55" w:rsidP="001E5A2C">
      <w:pPr>
        <w:pStyle w:val="ListBullet2"/>
      </w:pPr>
      <w:r>
        <w:t>IP payments are considered taxable income and are taxed at the marginal tax rate.</w:t>
      </w:r>
    </w:p>
    <w:p w:rsidR="000635CD" w:rsidRDefault="009E2A55" w:rsidP="009E2A55">
      <w:pPr>
        <w:pStyle w:val="ListBullet"/>
      </w:pPr>
      <w:r>
        <w:t>I</w:t>
      </w:r>
      <w:r w:rsidR="000635CD" w:rsidRPr="000635CD">
        <w:t xml:space="preserve">nsurance </w:t>
      </w:r>
      <w:r w:rsidR="00BC1016">
        <w:t>premiums reduce</w:t>
      </w:r>
      <w:r w:rsidR="000635CD" w:rsidRPr="000635CD">
        <w:t xml:space="preserve"> superannuation savings and </w:t>
      </w:r>
      <w:r w:rsidR="00601A40">
        <w:t xml:space="preserve">thus </w:t>
      </w:r>
      <w:r w:rsidR="000635CD" w:rsidRPr="000635CD">
        <w:t>reduce the tax collected on superannuation earnings</w:t>
      </w:r>
      <w:r w:rsidR="00F773B1">
        <w:t>.</w:t>
      </w:r>
      <w:r w:rsidR="007C7BE2">
        <w:t xml:space="preserve"> </w:t>
      </w:r>
      <w:r w:rsidR="00F773B1">
        <w:t xml:space="preserve">This increases </w:t>
      </w:r>
      <w:r w:rsidR="007C7BE2">
        <w:t xml:space="preserve">the fiscal </w:t>
      </w:r>
      <w:r w:rsidR="00F773B1">
        <w:t xml:space="preserve">costs </w:t>
      </w:r>
      <w:r w:rsidR="007C7BE2">
        <w:t>of insurance in superannuation</w:t>
      </w:r>
      <w:r w:rsidR="000635CD" w:rsidRPr="000635CD">
        <w:t>.</w:t>
      </w:r>
    </w:p>
    <w:p w:rsidR="007872BB" w:rsidRDefault="007872BB" w:rsidP="009E2A55">
      <w:pPr>
        <w:pStyle w:val="ListBullet"/>
      </w:pPr>
      <w:r>
        <w:t xml:space="preserve">Superannuation funds receive </w:t>
      </w:r>
      <w:r w:rsidR="00F27FFE">
        <w:t xml:space="preserve">a </w:t>
      </w:r>
      <w:r>
        <w:t xml:space="preserve">tax </w:t>
      </w:r>
      <w:r w:rsidR="00F27FFE">
        <w:t>deduction</w:t>
      </w:r>
      <w:r>
        <w:t xml:space="preserve"> for </w:t>
      </w:r>
      <w:r w:rsidR="00F27FFE">
        <w:t xml:space="preserve">the </w:t>
      </w:r>
      <w:r>
        <w:t>insurance premiums</w:t>
      </w:r>
      <w:r w:rsidR="00F27FFE">
        <w:t xml:space="preserve"> that they pay</w:t>
      </w:r>
      <w:r w:rsidR="00E50ECE">
        <w:t xml:space="preserve"> to insurers</w:t>
      </w:r>
      <w:r w:rsidR="00812C9E">
        <w:t>,</w:t>
      </w:r>
      <w:r w:rsidR="002E3396">
        <w:t xml:space="preserve"> which increases the fiscal cost of insurance</w:t>
      </w:r>
      <w:r w:rsidR="00F27FFE">
        <w:t>.</w:t>
      </w:r>
      <w:r w:rsidR="002E3396">
        <w:t xml:space="preserve"> </w:t>
      </w:r>
      <w:r w:rsidR="006C2572">
        <w:t>In most cases, the tax deduction will be equal to 15 per cent (the tax rate on contributions and earnings) of premiums paid.</w:t>
      </w:r>
    </w:p>
    <w:p w:rsidR="007872BB" w:rsidRPr="000635CD" w:rsidRDefault="006C2572" w:rsidP="009E2A55">
      <w:pPr>
        <w:pStyle w:val="ListBullet"/>
      </w:pPr>
      <w:r>
        <w:t xml:space="preserve">Stamp duty </w:t>
      </w:r>
      <w:r w:rsidR="00CF5058">
        <w:t xml:space="preserve">on insurance premiums </w:t>
      </w:r>
      <w:r>
        <w:t>is payable to State and Territory governments, which increases the fiscal benefits of insurance (at the whole</w:t>
      </w:r>
      <w:r w:rsidR="00023567">
        <w:noBreakHyphen/>
      </w:r>
      <w:r>
        <w:t>of</w:t>
      </w:r>
      <w:r w:rsidR="00023567">
        <w:noBreakHyphen/>
      </w:r>
      <w:r>
        <w:t xml:space="preserve">government level). Stamp duty </w:t>
      </w:r>
      <w:r w:rsidR="00826633">
        <w:t xml:space="preserve">is usually paid by insurers on behalf of the funds. The </w:t>
      </w:r>
      <w:r w:rsidR="007872BB">
        <w:t>rates differ across jurisdictions</w:t>
      </w:r>
      <w:r w:rsidR="002E3396">
        <w:t xml:space="preserve"> but are typically around 10 per cent for TPD and IP insurance and 5 per cent for life insurance</w:t>
      </w:r>
      <w:r w:rsidR="00096067">
        <w:t xml:space="preserve"> </w:t>
      </w:r>
      <w:r w:rsidR="00096067" w:rsidRPr="0096315D">
        <w:rPr>
          <w:szCs w:val="24"/>
        </w:rPr>
        <w:t>(MLC </w:t>
      </w:r>
      <w:r w:rsidR="00096067" w:rsidRPr="00E51161">
        <w:rPr>
          <w:szCs w:val="24"/>
        </w:rPr>
        <w:t>2017)</w:t>
      </w:r>
      <w:r w:rsidR="007872BB">
        <w:t>.</w:t>
      </w:r>
    </w:p>
    <w:p w:rsidR="00421FD9" w:rsidRDefault="008E32AF" w:rsidP="00421FD9">
      <w:pPr>
        <w:pStyle w:val="BodyText"/>
      </w:pPr>
      <w:r>
        <w:t>The balance of these opposing effects will determine the net fiscal effects of insurance in superannuation.</w:t>
      </w:r>
      <w:r w:rsidR="00BF7654">
        <w:t xml:space="preserve"> </w:t>
      </w:r>
    </w:p>
    <w:p w:rsidR="00BA7635" w:rsidRDefault="00421FD9" w:rsidP="00421FD9">
      <w:pPr>
        <w:pStyle w:val="Heading2"/>
      </w:pPr>
      <w:r>
        <w:t>U</w:t>
      </w:r>
      <w:r w:rsidR="00BA7635">
        <w:t>nderlying drivers</w:t>
      </w:r>
    </w:p>
    <w:p w:rsidR="00C827EB" w:rsidRDefault="0029010D" w:rsidP="00C827EB">
      <w:pPr>
        <w:pStyle w:val="BodyText"/>
        <w:keepNext/>
      </w:pPr>
      <w:r>
        <w:t>Setting</w:t>
      </w:r>
      <w:r w:rsidR="00C827EB">
        <w:t xml:space="preserve"> aside the tax effects for a moment (they are conceptually simple), the net social security impact of insurance in superannuation will ultimately </w:t>
      </w:r>
      <w:r w:rsidR="00B35E71">
        <w:t>depend</w:t>
      </w:r>
      <w:r w:rsidR="00C827EB">
        <w:t xml:space="preserve"> on</w:t>
      </w:r>
      <w:r w:rsidR="00632D65">
        <w:t xml:space="preserve"> the</w:t>
      </w:r>
      <w:r w:rsidR="00C827EB">
        <w:t>:</w:t>
      </w:r>
    </w:p>
    <w:p w:rsidR="00C827EB" w:rsidRDefault="00C827EB" w:rsidP="00C827EB">
      <w:pPr>
        <w:pStyle w:val="ListBullet"/>
        <w:keepNext/>
      </w:pPr>
      <w:r>
        <w:t xml:space="preserve">underlying eligibility of households for pension payments (both DSP and Age Pension) </w:t>
      </w:r>
    </w:p>
    <w:p w:rsidR="00D72A87" w:rsidRDefault="00D72A87" w:rsidP="00C827EB">
      <w:pPr>
        <w:pStyle w:val="ListBullet"/>
        <w:keepNext/>
      </w:pPr>
      <w:r>
        <w:t>likelihood of an insurable event occurring</w:t>
      </w:r>
    </w:p>
    <w:p w:rsidR="00C827EB" w:rsidRDefault="00C827EB" w:rsidP="00C827EB">
      <w:pPr>
        <w:pStyle w:val="ListBullet"/>
        <w:keepNext/>
      </w:pPr>
      <w:r>
        <w:t>magnitude of the insurance</w:t>
      </w:r>
      <w:r w:rsidR="00023567">
        <w:noBreakHyphen/>
      </w:r>
      <w:r>
        <w:t>related impact (</w:t>
      </w:r>
      <w:r w:rsidR="00FB7AE3">
        <w:t>that is,</w:t>
      </w:r>
      <w:r>
        <w:t xml:space="preserve"> the size of the </w:t>
      </w:r>
      <w:r w:rsidR="000172FE">
        <w:t xml:space="preserve">insurance </w:t>
      </w:r>
      <w:r>
        <w:t>premiums that erode balances and the size of the claims that directly reduce social security payments).</w:t>
      </w:r>
    </w:p>
    <w:p w:rsidR="00711ED9" w:rsidRDefault="0029010D" w:rsidP="00C827EB">
      <w:pPr>
        <w:pStyle w:val="BodyText"/>
      </w:pPr>
      <w:r>
        <w:t>The</w:t>
      </w:r>
      <w:r w:rsidR="00711ED9">
        <w:t xml:space="preserve"> payment rates, and assets and income tests for the DSP and the Age Pension are identical.</w:t>
      </w:r>
      <w:r w:rsidR="000F3AD9">
        <w:rPr>
          <w:rStyle w:val="FootnoteReference"/>
        </w:rPr>
        <w:footnoteReference w:id="5"/>
      </w:r>
      <w:r w:rsidR="00347D26">
        <w:t xml:space="preserve"> </w:t>
      </w:r>
      <w:r w:rsidR="002C4BDD">
        <w:t>Therefore</w:t>
      </w:r>
      <w:r w:rsidR="00711ED9">
        <w:t xml:space="preserve"> differences in payments </w:t>
      </w:r>
      <w:r w:rsidR="004E0E16">
        <w:t>between individuals</w:t>
      </w:r>
      <w:r w:rsidR="00217B13">
        <w:t xml:space="preserve"> </w:t>
      </w:r>
      <w:r w:rsidR="004E0E16">
        <w:t xml:space="preserve">are due to differences </w:t>
      </w:r>
      <w:r w:rsidR="00711ED9">
        <w:t>in eligibility</w:t>
      </w:r>
      <w:r w:rsidR="008D356E">
        <w:t xml:space="preserve"> for payments and </w:t>
      </w:r>
      <w:r w:rsidR="00217B13">
        <w:t xml:space="preserve">in </w:t>
      </w:r>
      <w:r w:rsidR="008D356E">
        <w:t>the degree to which payments are tapered</w:t>
      </w:r>
      <w:r w:rsidR="00711ED9">
        <w:t>.</w:t>
      </w:r>
      <w:r w:rsidR="002C4BDD">
        <w:t xml:space="preserve"> </w:t>
      </w:r>
      <w:r w:rsidR="00217B13">
        <w:t xml:space="preserve">Eligibility and tapering rates are </w:t>
      </w:r>
      <w:r w:rsidR="002C4BDD">
        <w:t xml:space="preserve">determined by </w:t>
      </w:r>
      <w:r w:rsidR="002549B6">
        <w:t xml:space="preserve">couple status, homeownership, </w:t>
      </w:r>
      <w:r w:rsidR="00217B13">
        <w:t xml:space="preserve">household </w:t>
      </w:r>
      <w:r w:rsidR="002549B6">
        <w:t xml:space="preserve">income and </w:t>
      </w:r>
      <w:r w:rsidR="00217B13">
        <w:t xml:space="preserve">household </w:t>
      </w:r>
      <w:r w:rsidR="002549B6">
        <w:t>assets.</w:t>
      </w:r>
      <w:r w:rsidR="008D356E">
        <w:t xml:space="preserve"> From this we can </w:t>
      </w:r>
      <w:r w:rsidR="00285395">
        <w:t>infer that:</w:t>
      </w:r>
    </w:p>
    <w:p w:rsidR="00711ED9" w:rsidRDefault="00632D65" w:rsidP="002F26F3">
      <w:pPr>
        <w:pStyle w:val="ListBullet"/>
      </w:pPr>
      <w:r>
        <w:t>c</w:t>
      </w:r>
      <w:r w:rsidR="002549B6">
        <w:t>ouple h</w:t>
      </w:r>
      <w:r w:rsidR="00711ED9">
        <w:t xml:space="preserve">ouseholds with </w:t>
      </w:r>
      <w:r w:rsidR="00C6623A">
        <w:t xml:space="preserve">very high incomes </w:t>
      </w:r>
      <w:r w:rsidR="00711ED9">
        <w:t xml:space="preserve">and assets </w:t>
      </w:r>
      <w:r w:rsidR="00C6623A">
        <w:t xml:space="preserve">will </w:t>
      </w:r>
      <w:r w:rsidR="002D100F">
        <w:t>likely never access either the DSP or Age Pension</w:t>
      </w:r>
      <w:r w:rsidR="002549B6">
        <w:t xml:space="preserve">, limiting the scope for insurance to provide fiscal </w:t>
      </w:r>
      <w:r w:rsidR="0029010D">
        <w:t>benefits</w:t>
      </w:r>
      <w:r w:rsidR="000E1A06">
        <w:t xml:space="preserve"> for this cohort</w:t>
      </w:r>
      <w:r w:rsidR="00711ED9">
        <w:t xml:space="preserve"> </w:t>
      </w:r>
    </w:p>
    <w:p w:rsidR="002549B6" w:rsidRDefault="00632D65" w:rsidP="002F26F3">
      <w:pPr>
        <w:pStyle w:val="ListBullet"/>
      </w:pPr>
      <w:r>
        <w:t>h</w:t>
      </w:r>
      <w:r w:rsidR="002549B6">
        <w:t xml:space="preserve">ouseholds with very low incomes and assets will </w:t>
      </w:r>
      <w:r w:rsidR="002D100F">
        <w:t>likely access the full Age Pension in retirement and the full DSP if they suffer a disability</w:t>
      </w:r>
      <w:r w:rsidR="000E1A06">
        <w:t xml:space="preserve"> (regardless of whether they receive a TPD payout)</w:t>
      </w:r>
      <w:r w:rsidR="00C16E2B">
        <w:t xml:space="preserve">, which reduces the </w:t>
      </w:r>
      <w:r w:rsidR="000E1A06">
        <w:t>likelihood</w:t>
      </w:r>
      <w:r w:rsidR="002549B6">
        <w:t xml:space="preserve"> of </w:t>
      </w:r>
      <w:r w:rsidR="000E1A06">
        <w:t xml:space="preserve">insurance providing </w:t>
      </w:r>
      <w:r w:rsidR="005A1943">
        <w:t>fiscal benefits</w:t>
      </w:r>
      <w:r w:rsidR="002D100F">
        <w:t xml:space="preserve"> </w:t>
      </w:r>
      <w:r w:rsidR="000E1A06">
        <w:t>for this cohort</w:t>
      </w:r>
      <w:r w:rsidR="008D356E">
        <w:t>.</w:t>
      </w:r>
      <w:r w:rsidR="002549B6">
        <w:t xml:space="preserve"> </w:t>
      </w:r>
      <w:r w:rsidR="003F4239">
        <w:t>(</w:t>
      </w:r>
      <w:r w:rsidR="002D100F">
        <w:t>T</w:t>
      </w:r>
      <w:r w:rsidR="003F4239">
        <w:t>his only applies t</w:t>
      </w:r>
      <w:r w:rsidR="002D100F">
        <w:t>o households with very low incomes</w:t>
      </w:r>
      <w:r w:rsidR="00CD6F13">
        <w:t>,</w:t>
      </w:r>
      <w:r w:rsidR="002D100F">
        <w:t xml:space="preserve"> </w:t>
      </w:r>
      <w:r w:rsidR="00734CE4">
        <w:t>as</w:t>
      </w:r>
      <w:r w:rsidR="002D100F">
        <w:t xml:space="preserve"> </w:t>
      </w:r>
      <w:r w:rsidR="000D41BA">
        <w:t xml:space="preserve">cameo scenarios from the Commission’s model </w:t>
      </w:r>
      <w:r w:rsidR="00912992">
        <w:t xml:space="preserve">— </w:t>
      </w:r>
      <w:r w:rsidR="000D41BA">
        <w:t xml:space="preserve">using default assumptions </w:t>
      </w:r>
      <w:r w:rsidR="00912992">
        <w:t xml:space="preserve">— </w:t>
      </w:r>
      <w:r w:rsidR="000D41BA">
        <w:t xml:space="preserve">suggest that </w:t>
      </w:r>
      <w:r w:rsidR="003F4239">
        <w:t xml:space="preserve">even new </w:t>
      </w:r>
      <w:r w:rsidR="002D100F">
        <w:t xml:space="preserve">workforce entrants </w:t>
      </w:r>
      <w:r w:rsidR="007E58C8">
        <w:t xml:space="preserve">on low incomes </w:t>
      </w:r>
      <w:r w:rsidR="002D100F">
        <w:t xml:space="preserve">are </w:t>
      </w:r>
      <w:r w:rsidR="003F4239">
        <w:t>projected to h</w:t>
      </w:r>
      <w:r w:rsidR="002D100F">
        <w:t xml:space="preserve">ave </w:t>
      </w:r>
      <w:r w:rsidR="007E58C8">
        <w:t>savings in retirement that will initially reduce the Age</w:t>
      </w:r>
      <w:r>
        <w:t xml:space="preserve"> </w:t>
      </w:r>
      <w:r w:rsidR="007E58C8">
        <w:t>Pension payment rate</w:t>
      </w:r>
      <w:r w:rsidR="00912992">
        <w:t xml:space="preserve">. This is attributable to individuals </w:t>
      </w:r>
      <w:r w:rsidR="006C3036">
        <w:t xml:space="preserve">receiving the Superannuation Guarantee for their whole </w:t>
      </w:r>
      <w:r w:rsidR="00912992">
        <w:t xml:space="preserve">working </w:t>
      </w:r>
      <w:r w:rsidR="006C3036">
        <w:t>life</w:t>
      </w:r>
      <w:r w:rsidR="003F4239">
        <w:t>)</w:t>
      </w:r>
      <w:r w:rsidR="007E58C8">
        <w:rPr>
          <w:rStyle w:val="FootnoteReference"/>
        </w:rPr>
        <w:footnoteReference w:id="6"/>
      </w:r>
    </w:p>
    <w:p w:rsidR="007C7BE2" w:rsidRDefault="00632D65" w:rsidP="002F26F3">
      <w:pPr>
        <w:pStyle w:val="ListBullet"/>
      </w:pPr>
      <w:r>
        <w:t>h</w:t>
      </w:r>
      <w:r w:rsidR="000805D4">
        <w:t>ousehold</w:t>
      </w:r>
      <w:r w:rsidR="001B7481">
        <w:t>s</w:t>
      </w:r>
      <w:r w:rsidR="000805D4">
        <w:t xml:space="preserve"> </w:t>
      </w:r>
      <w:r w:rsidR="007C7BE2">
        <w:t>who fall between these two extremes</w:t>
      </w:r>
      <w:r w:rsidR="000805D4">
        <w:t xml:space="preserve"> will drive the net social security outlay </w:t>
      </w:r>
      <w:r w:rsidR="0029010D">
        <w:t xml:space="preserve">impact </w:t>
      </w:r>
      <w:r w:rsidR="000805D4">
        <w:t>of insurance in superannuation.</w:t>
      </w:r>
    </w:p>
    <w:p w:rsidR="00C6623A" w:rsidRDefault="007E58C8" w:rsidP="005E45FD">
      <w:pPr>
        <w:pStyle w:val="BodyText"/>
      </w:pPr>
      <w:r>
        <w:t>D</w:t>
      </w:r>
      <w:r w:rsidR="00C6623A">
        <w:t xml:space="preserve">rawdown rates on </w:t>
      </w:r>
      <w:r w:rsidR="002549B6">
        <w:t xml:space="preserve">assets — both in retirement and after </w:t>
      </w:r>
      <w:r w:rsidR="00285395">
        <w:t xml:space="preserve">receiving a disability benefit </w:t>
      </w:r>
      <w:r w:rsidR="002549B6">
        <w:t xml:space="preserve">— </w:t>
      </w:r>
      <w:r>
        <w:t xml:space="preserve">are </w:t>
      </w:r>
      <w:r w:rsidR="00D640B0">
        <w:t>also key as they determine</w:t>
      </w:r>
      <w:r>
        <w:t xml:space="preserve"> </w:t>
      </w:r>
      <w:r w:rsidR="002549B6">
        <w:t xml:space="preserve">how quickly individuals receive </w:t>
      </w:r>
      <w:r w:rsidR="009E2A55">
        <w:t xml:space="preserve">the </w:t>
      </w:r>
      <w:r w:rsidR="002549B6">
        <w:t>full DSP or Age</w:t>
      </w:r>
      <w:r w:rsidR="00632D65">
        <w:t xml:space="preserve"> </w:t>
      </w:r>
      <w:r w:rsidR="002549B6">
        <w:t>Pension</w:t>
      </w:r>
      <w:r w:rsidR="009E2A55">
        <w:t xml:space="preserve"> payment rate</w:t>
      </w:r>
      <w:r w:rsidR="002549B6">
        <w:t xml:space="preserve">. </w:t>
      </w:r>
      <w:r w:rsidR="00EE745C">
        <w:t xml:space="preserve">Drawing down quickly </w:t>
      </w:r>
      <w:r>
        <w:t xml:space="preserve">(or storing funds in assets that are not included in the assets test </w:t>
      </w:r>
      <w:r w:rsidR="00CD6F13">
        <w:t>—</w:t>
      </w:r>
      <w:r>
        <w:t xml:space="preserve"> like the family home) will limit the </w:t>
      </w:r>
      <w:r w:rsidR="00EE745C">
        <w:t>scope for insurance in superannuation to provide any fiscal effects (either positive or negative)</w:t>
      </w:r>
      <w:r w:rsidR="00D640B0">
        <w:t>.</w:t>
      </w:r>
    </w:p>
    <w:p w:rsidR="00610491" w:rsidRDefault="00610491" w:rsidP="000C37F7">
      <w:pPr>
        <w:pStyle w:val="Heading3"/>
      </w:pPr>
      <w:r>
        <w:t>Estimates by others</w:t>
      </w:r>
    </w:p>
    <w:p w:rsidR="00253290" w:rsidRDefault="00610491" w:rsidP="00253290">
      <w:pPr>
        <w:pStyle w:val="BodyText"/>
      </w:pPr>
      <w:r>
        <w:t xml:space="preserve">KPMG </w:t>
      </w:r>
      <w:r w:rsidRPr="006610D8">
        <w:t>(2017)</w:t>
      </w:r>
      <w:r>
        <w:t xml:space="preserve"> estimated that </w:t>
      </w:r>
      <w:r w:rsidR="00E623E6">
        <w:t xml:space="preserve">the current </w:t>
      </w:r>
      <w:r>
        <w:t xml:space="preserve">insurance </w:t>
      </w:r>
      <w:r w:rsidR="00E623E6">
        <w:t xml:space="preserve">in </w:t>
      </w:r>
      <w:r>
        <w:t xml:space="preserve">superannuation </w:t>
      </w:r>
      <w:r w:rsidR="00E623E6">
        <w:t>settings result in</w:t>
      </w:r>
      <w:r>
        <w:t xml:space="preserve"> a net </w:t>
      </w:r>
      <w:r w:rsidR="00E623E6">
        <w:t>decrease in</w:t>
      </w:r>
      <w:r>
        <w:t xml:space="preserve"> government outlays of between $0.65 billion and $1.85 billion over 10 years</w:t>
      </w:r>
      <w:r w:rsidR="00E623E6">
        <w:t xml:space="preserve"> </w:t>
      </w:r>
      <w:r w:rsidR="00871482">
        <w:t xml:space="preserve">in constant prices </w:t>
      </w:r>
      <w:r w:rsidR="00E623E6">
        <w:t>compared with the scenario where there is no default group insurance in superannuation</w:t>
      </w:r>
      <w:r>
        <w:t>. The</w:t>
      </w:r>
      <w:r w:rsidR="000C4E2F">
        <w:t xml:space="preserve"> analysis</w:t>
      </w:r>
      <w:r>
        <w:t xml:space="preserve"> considered the effects of: </w:t>
      </w:r>
      <w:r w:rsidR="005A1943">
        <w:t xml:space="preserve">reductions of </w:t>
      </w:r>
      <w:r>
        <w:t>DSP payments ($3</w:t>
      </w:r>
      <w:r w:rsidR="00CD1036">
        <w:t>–</w:t>
      </w:r>
      <w:r>
        <w:t>4.</w:t>
      </w:r>
      <w:r w:rsidR="00E623E6">
        <w:t>2</w:t>
      </w:r>
      <w:r>
        <w:t> billion); additional tax revenue from tax on insurance benefits ($2.9 billion); and offsetting tax concessions of $5.25</w:t>
      </w:r>
      <w:r w:rsidR="00CD1036">
        <w:t>–</w:t>
      </w:r>
      <w:r>
        <w:t xml:space="preserve">6.4 billion. </w:t>
      </w:r>
    </w:p>
    <w:p w:rsidR="007321BC" w:rsidRDefault="007321BC" w:rsidP="007321BC">
      <w:pPr>
        <w:pStyle w:val="ListBullet"/>
      </w:pPr>
      <w:r>
        <w:t>The analysis only considered the effect of IP insurance on DSP payments — lump sum life and TPD payments were considered generally unlikely to be sufficiently high to disqualify a recipient from DSP eligibility. The analysis assumed that the DSP saving is equal to 37.5</w:t>
      </w:r>
      <w:r w:rsidR="00A203A4">
        <w:t> per cent</w:t>
      </w:r>
      <w:r>
        <w:t xml:space="preserve"> of the IP benefits paid to recipients who would otherwise qualify for the DSP.</w:t>
      </w:r>
    </w:p>
    <w:p w:rsidR="007321BC" w:rsidRDefault="007321BC" w:rsidP="007321BC">
      <w:pPr>
        <w:pStyle w:val="ListBullet"/>
      </w:pPr>
      <w:r>
        <w:t xml:space="preserve">Additional tax receipts arising from insurance payouts were estimated </w:t>
      </w:r>
      <w:r w:rsidR="00A203A4">
        <w:t>using</w:t>
      </w:r>
      <w:r>
        <w:t xml:space="preserve"> an average tax rate of 9 per cent on default insurance claim payments (of approx</w:t>
      </w:r>
      <w:r w:rsidR="00CD1036">
        <w:t>imately</w:t>
      </w:r>
      <w:r>
        <w:t xml:space="preserve"> $3.5</w:t>
      </w:r>
      <w:r w:rsidR="00A203A4">
        <w:t> </w:t>
      </w:r>
      <w:r>
        <w:t>b</w:t>
      </w:r>
      <w:r w:rsidR="00A203A4">
        <w:t>illion</w:t>
      </w:r>
      <w:r>
        <w:t xml:space="preserve"> per year) multiplied by 90 per cent (which is the assumed proportion of insurance that would not be taken up under an opt</w:t>
      </w:r>
      <w:r w:rsidR="00023567">
        <w:noBreakHyphen/>
      </w:r>
      <w:r>
        <w:t>in only setting).</w:t>
      </w:r>
    </w:p>
    <w:p w:rsidR="007321BC" w:rsidRDefault="00C45435" w:rsidP="007321BC">
      <w:pPr>
        <w:pStyle w:val="ListBullet"/>
      </w:pPr>
      <w:r>
        <w:t>T</w:t>
      </w:r>
      <w:r w:rsidR="0029010D">
        <w:t>ax concessions</w:t>
      </w:r>
      <w:r w:rsidR="004A74CE">
        <w:t xml:space="preserve"> we</w:t>
      </w:r>
      <w:r>
        <w:t xml:space="preserve">re </w:t>
      </w:r>
      <w:r w:rsidR="0029010D">
        <w:t>appl</w:t>
      </w:r>
      <w:r>
        <w:t>ied</w:t>
      </w:r>
      <w:r w:rsidR="0029010D">
        <w:t xml:space="preserve"> to life</w:t>
      </w:r>
      <w:r w:rsidR="00CB307F">
        <w:t>,</w:t>
      </w:r>
      <w:r w:rsidR="0029010D" w:rsidDel="00CB307F">
        <w:t xml:space="preserve"> </w:t>
      </w:r>
      <w:r w:rsidR="0029010D">
        <w:t xml:space="preserve">TPD </w:t>
      </w:r>
      <w:r w:rsidR="00CB307F">
        <w:t xml:space="preserve">and IP </w:t>
      </w:r>
      <w:r w:rsidR="0029010D">
        <w:t>insurance</w:t>
      </w:r>
      <w:r>
        <w:t xml:space="preserve"> premiums.</w:t>
      </w:r>
      <w:r w:rsidR="0029010D">
        <w:t xml:space="preserve"> </w:t>
      </w:r>
      <w:r w:rsidR="00CB307F">
        <w:t xml:space="preserve">Unlike </w:t>
      </w:r>
      <w:r>
        <w:t>life and TPD insurance premiums</w:t>
      </w:r>
      <w:r w:rsidR="00CB307F">
        <w:t>, IP insurance premiums</w:t>
      </w:r>
      <w:r>
        <w:t xml:space="preserve"> are </w:t>
      </w:r>
      <w:r w:rsidR="0029010D">
        <w:t xml:space="preserve">tax deductible </w:t>
      </w:r>
      <w:r w:rsidR="00CF5058">
        <w:t xml:space="preserve">when paid for </w:t>
      </w:r>
      <w:r w:rsidR="0029010D">
        <w:t>outside super</w:t>
      </w:r>
      <w:r w:rsidR="006551F2">
        <w:t>annuation</w:t>
      </w:r>
      <w:r w:rsidR="00CB307F">
        <w:t>. T</w:t>
      </w:r>
      <w:r w:rsidR="00CF5058">
        <w:t>hus</w:t>
      </w:r>
      <w:r w:rsidR="00CF5058" w:rsidDel="00CB307F">
        <w:t xml:space="preserve"> </w:t>
      </w:r>
      <w:r w:rsidR="00CF5058">
        <w:t>a tax concession (a fiscal cost)</w:t>
      </w:r>
      <w:r w:rsidR="00CB307F">
        <w:t xml:space="preserve"> was only incurred for the 90 per cent of members who were assumed to not take out IP insurance outside of superannuation</w:t>
      </w:r>
      <w:r w:rsidR="006551F2">
        <w:t xml:space="preserve">. </w:t>
      </w:r>
    </w:p>
    <w:p w:rsidR="007321BC" w:rsidRDefault="007321BC" w:rsidP="001E5A2C">
      <w:pPr>
        <w:pStyle w:val="ListBullet"/>
      </w:pPr>
      <w:r>
        <w:t>The analysis used industry superannuation and insurance data to estimate the population of members with default insurance and the default cost and benefits offered.</w:t>
      </w:r>
    </w:p>
    <w:p w:rsidR="00610491" w:rsidRDefault="00610491" w:rsidP="00610491">
      <w:pPr>
        <w:pStyle w:val="BodyText"/>
      </w:pPr>
      <w:r>
        <w:t xml:space="preserve">Rice Warner (sub. 46) also </w:t>
      </w:r>
      <w:r w:rsidR="00E623E6">
        <w:t>estimated</w:t>
      </w:r>
      <w:r>
        <w:t xml:space="preserve"> that removing insurance from superannuation would result in a net cost to </w:t>
      </w:r>
      <w:r w:rsidR="00CD1036">
        <w:t xml:space="preserve">the Australian and State and Territory </w:t>
      </w:r>
      <w:r>
        <w:t>government</w:t>
      </w:r>
      <w:r w:rsidR="00CD1036">
        <w:t>s</w:t>
      </w:r>
      <w:r>
        <w:t xml:space="preserve"> — </w:t>
      </w:r>
      <w:r w:rsidR="000C4E2F">
        <w:t>it</w:t>
      </w:r>
      <w:r>
        <w:t xml:space="preserve"> estimated increased social security payments from removing default insurance at around $1.66 billion per year</w:t>
      </w:r>
      <w:r w:rsidR="009B6229">
        <w:t xml:space="preserve"> in constant prices</w:t>
      </w:r>
      <w:r>
        <w:t>.</w:t>
      </w:r>
    </w:p>
    <w:p w:rsidR="00FC58D1" w:rsidRDefault="0029010D" w:rsidP="00E729E9">
      <w:pPr>
        <w:pStyle w:val="ListBullet"/>
      </w:pPr>
      <w:r>
        <w:t xml:space="preserve">The estimated increase in social security payments was mostly associated with fewer TPD claims being paid out (accounting for $1.54 billion), but also included fewer </w:t>
      </w:r>
      <w:r w:rsidR="00AF3CF7">
        <w:t xml:space="preserve">life </w:t>
      </w:r>
      <w:r>
        <w:t xml:space="preserve">($36 million) and IP ($85 million) claims. </w:t>
      </w:r>
    </w:p>
    <w:p w:rsidR="000C4E2F" w:rsidRDefault="000C4E2F" w:rsidP="00E729E9">
      <w:pPr>
        <w:pStyle w:val="ListBullet"/>
      </w:pPr>
      <w:r>
        <w:t>The analysis estimated that stamp duty collections from removing default cover would decrease by $270 million per year.</w:t>
      </w:r>
    </w:p>
    <w:p w:rsidR="000C4E2F" w:rsidRDefault="000C4E2F" w:rsidP="00E729E9">
      <w:pPr>
        <w:pStyle w:val="ListBullet"/>
      </w:pPr>
      <w:r>
        <w:t>Rice Warner also stated that the quantum of claims paid from default insurance policies (which it estimated at $4 billion per year</w:t>
      </w:r>
      <w:r w:rsidR="00D65DC2">
        <w:t>)</w:t>
      </w:r>
      <w:r>
        <w:t xml:space="preserve"> could be considered a good approximation of the reduction in taxation revenue and spending in the economy that would arise from removing default opt</w:t>
      </w:r>
      <w:r w:rsidR="00023567">
        <w:noBreakHyphen/>
      </w:r>
      <w:r>
        <w:t>out insurance from superannuation.</w:t>
      </w:r>
    </w:p>
    <w:p w:rsidR="00421FD9" w:rsidRDefault="00FC1DE1" w:rsidP="00610491">
      <w:pPr>
        <w:pStyle w:val="BodyText"/>
      </w:pPr>
      <w:r>
        <w:t xml:space="preserve">While both analyses find that default insurance in superannuation provides a </w:t>
      </w:r>
      <w:r w:rsidR="00CF5058">
        <w:t xml:space="preserve">net </w:t>
      </w:r>
      <w:r>
        <w:t>fiscal benefit</w:t>
      </w:r>
      <w:r w:rsidR="006551F2">
        <w:t xml:space="preserve"> to government</w:t>
      </w:r>
      <w:r>
        <w:t xml:space="preserve">, </w:t>
      </w:r>
      <w:r w:rsidR="00B31C1C">
        <w:t xml:space="preserve">the </w:t>
      </w:r>
      <w:r w:rsidR="0079715F">
        <w:t>drivers</w:t>
      </w:r>
      <w:r>
        <w:t xml:space="preserve"> are </w:t>
      </w:r>
      <w:r w:rsidR="00B02BDB">
        <w:t>different</w:t>
      </w:r>
      <w:r>
        <w:t>.</w:t>
      </w:r>
      <w:r w:rsidR="00A47EF8">
        <w:t xml:space="preserve"> </w:t>
      </w:r>
      <w:r>
        <w:t xml:space="preserve">The </w:t>
      </w:r>
      <w:r w:rsidR="00A47EF8">
        <w:t xml:space="preserve">KPMG </w:t>
      </w:r>
      <w:r w:rsidR="0079715F">
        <w:t>result is attributable</w:t>
      </w:r>
      <w:r>
        <w:t xml:space="preserve"> </w:t>
      </w:r>
      <w:r w:rsidR="0079715F">
        <w:t xml:space="preserve">to </w:t>
      </w:r>
      <w:r>
        <w:t xml:space="preserve">a fiscal benefit associated with </w:t>
      </w:r>
      <w:r w:rsidR="00A47EF8">
        <w:t>IP insurance</w:t>
      </w:r>
      <w:r w:rsidR="00B31C1C">
        <w:t xml:space="preserve"> and additional tax revenue on insurance payouts. </w:t>
      </w:r>
    </w:p>
    <w:p w:rsidR="00FC1DE1" w:rsidRDefault="00B31C1C" w:rsidP="00610491">
      <w:pPr>
        <w:pStyle w:val="BodyText"/>
      </w:pPr>
      <w:r>
        <w:t xml:space="preserve">In contrast, </w:t>
      </w:r>
      <w:r w:rsidR="00FC1DE1">
        <w:t xml:space="preserve">the </w:t>
      </w:r>
      <w:r w:rsidR="00A47EF8">
        <w:t xml:space="preserve">Rice Warner analysis </w:t>
      </w:r>
      <w:r w:rsidR="00FC1DE1">
        <w:t>indicates</w:t>
      </w:r>
      <w:r w:rsidR="00A47EF8">
        <w:t xml:space="preserve"> </w:t>
      </w:r>
      <w:r>
        <w:t xml:space="preserve">that most of the fiscal benefit is associated with </w:t>
      </w:r>
      <w:r w:rsidR="00A47EF8">
        <w:t>TPD</w:t>
      </w:r>
      <w:r>
        <w:t xml:space="preserve"> insurance</w:t>
      </w:r>
      <w:r w:rsidR="00A47EF8">
        <w:t>.</w:t>
      </w:r>
      <w:r w:rsidR="00FC1DE1">
        <w:t xml:space="preserve"> </w:t>
      </w:r>
      <w:r>
        <w:t>N</w:t>
      </w:r>
      <w:r w:rsidR="00FC1DE1">
        <w:t>otably, both analyses are partial in that neither considered the effects of superannuation account balance erosion (flowing from the payment of insurance premiums by members) on Age</w:t>
      </w:r>
      <w:r w:rsidR="009C53BB">
        <w:t xml:space="preserve"> </w:t>
      </w:r>
      <w:r w:rsidR="00FC1DE1">
        <w:t>Pension eligibility.</w:t>
      </w:r>
    </w:p>
    <w:p w:rsidR="009B6229" w:rsidRDefault="009B6229" w:rsidP="00610491">
      <w:pPr>
        <w:pStyle w:val="BodyText"/>
      </w:pPr>
      <w:r>
        <w:t xml:space="preserve">Together these analyses illustrate that </w:t>
      </w:r>
      <w:r w:rsidR="00166169">
        <w:t>assessing</w:t>
      </w:r>
      <w:r>
        <w:t xml:space="preserve"> the fiscal impacts of insurance in superannuation </w:t>
      </w:r>
      <w:r w:rsidR="0081116F">
        <w:t xml:space="preserve">is not </w:t>
      </w:r>
      <w:r w:rsidR="000E0FE2">
        <w:t xml:space="preserve">mechanistic nor </w:t>
      </w:r>
      <w:r w:rsidR="00E50ECE">
        <w:t>straight</w:t>
      </w:r>
      <w:r w:rsidR="0081116F">
        <w:t>forward</w:t>
      </w:r>
      <w:r w:rsidR="000E0FE2">
        <w:t>. It</w:t>
      </w:r>
      <w:r w:rsidR="0081116F">
        <w:t xml:space="preserve"> </w:t>
      </w:r>
      <w:r>
        <w:t>requires many well</w:t>
      </w:r>
      <w:r w:rsidR="00023567">
        <w:noBreakHyphen/>
      </w:r>
      <w:r w:rsidRPr="009B6229">
        <w:t>informed assumptions</w:t>
      </w:r>
      <w:r w:rsidR="0057476E">
        <w:t>, which can be resource</w:t>
      </w:r>
      <w:r w:rsidR="00023567">
        <w:noBreakHyphen/>
      </w:r>
      <w:r w:rsidR="0057476E">
        <w:t>intensive to develop</w:t>
      </w:r>
      <w:r w:rsidR="000E0FE2">
        <w:t xml:space="preserve">, along with more than a modicum of </w:t>
      </w:r>
      <w:r w:rsidR="00275BA3">
        <w:t>judgment</w:t>
      </w:r>
      <w:r w:rsidRPr="009B6229">
        <w:t>.</w:t>
      </w:r>
    </w:p>
    <w:p w:rsidR="00610491" w:rsidRDefault="00610491" w:rsidP="00610491">
      <w:pPr>
        <w:pStyle w:val="Heading2"/>
      </w:pPr>
      <w:r>
        <w:t>The Commission’s approach</w:t>
      </w:r>
    </w:p>
    <w:p w:rsidR="000C37F7" w:rsidRDefault="000C37F7" w:rsidP="00FB7AE3">
      <w:pPr>
        <w:pStyle w:val="Heading3"/>
        <w:spacing w:before="280"/>
      </w:pPr>
      <w:r>
        <w:t>Model</w:t>
      </w:r>
    </w:p>
    <w:p w:rsidR="00E27E45" w:rsidRDefault="00E27E45" w:rsidP="00E27E45">
      <w:pPr>
        <w:pStyle w:val="BodyText"/>
      </w:pPr>
      <w:r>
        <w:t xml:space="preserve">The Commission has developed a </w:t>
      </w:r>
      <w:r w:rsidR="00166059">
        <w:t xml:space="preserve">cameo </w:t>
      </w:r>
      <w:r>
        <w:t>model for assessing the net fiscal impact of insurance in super</w:t>
      </w:r>
      <w:r w:rsidR="001E5A2C">
        <w:t>annuation</w:t>
      </w:r>
      <w:r>
        <w:t xml:space="preserve"> for an individual aged 21 today over their lifetime. </w:t>
      </w:r>
      <w:r w:rsidR="00F1630E">
        <w:t xml:space="preserve">The </w:t>
      </w:r>
      <w:r>
        <w:t xml:space="preserve">Treasury’s Excel Model of Retirement Incomes (EMORI) </w:t>
      </w:r>
      <w:r w:rsidRPr="00E27E45">
        <w:t>forms t</w:t>
      </w:r>
      <w:r>
        <w:t>he basis of th</w:t>
      </w:r>
      <w:r w:rsidR="007B6215">
        <w:t>is</w:t>
      </w:r>
      <w:r>
        <w:t xml:space="preserve"> model</w:t>
      </w:r>
      <w:r w:rsidR="001E5A2C">
        <w:t xml:space="preserve"> (box </w:t>
      </w:r>
      <w:r w:rsidR="006D1B25" w:rsidRPr="006D1B25">
        <w:t>3</w:t>
      </w:r>
      <w:r w:rsidR="001E5A2C">
        <w:t>)</w:t>
      </w:r>
      <w:r>
        <w:t xml:space="preserve">. It has been adapted by the Commission to look at the impact on savings and social security outlays when individuals make TPD and </w:t>
      </w:r>
      <w:r w:rsidR="00BD541D">
        <w:t xml:space="preserve">IP insurance claims </w:t>
      </w:r>
      <w:r>
        <w:t>(</w:t>
      </w:r>
      <w:r w:rsidR="00E729E9">
        <w:t xml:space="preserve">these </w:t>
      </w:r>
      <w:r>
        <w:t xml:space="preserve">features are not included </w:t>
      </w:r>
      <w:r w:rsidR="00EA7A73">
        <w:t xml:space="preserve">in </w:t>
      </w:r>
      <w:r>
        <w:t>EMORI).</w:t>
      </w:r>
      <w:r w:rsidR="00030697">
        <w:t xml:space="preserve"> </w:t>
      </w:r>
      <w:r w:rsidR="00BD541D">
        <w:t>Life insurance claims have not been considered as they are materially more difficult to model.</w:t>
      </w:r>
      <w:r w:rsidR="00BD541D">
        <w:rPr>
          <w:rStyle w:val="FootnoteReference"/>
        </w:rPr>
        <w:footnoteReference w:id="7"/>
      </w:r>
      <w:r w:rsidR="00BD541D">
        <w:t xml:space="preserve"> </w:t>
      </w:r>
    </w:p>
    <w:p w:rsidR="00E27E45" w:rsidRDefault="00E27E4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27E45" w:rsidTr="00ED26BE">
        <w:trPr>
          <w:tblHeader/>
        </w:trPr>
        <w:tc>
          <w:tcPr>
            <w:tcW w:w="5000" w:type="pct"/>
            <w:tcBorders>
              <w:top w:val="single" w:sz="6" w:space="0" w:color="78A22F"/>
              <w:left w:val="nil"/>
              <w:bottom w:val="nil"/>
              <w:right w:val="nil"/>
            </w:tcBorders>
            <w:shd w:val="clear" w:color="auto" w:fill="F2F2F2"/>
          </w:tcPr>
          <w:p w:rsidR="00E27E45" w:rsidRDefault="00E27E45" w:rsidP="00982244">
            <w:pPr>
              <w:pStyle w:val="BoxTitle"/>
            </w:pPr>
            <w:r>
              <w:rPr>
                <w:b w:val="0"/>
              </w:rPr>
              <w:t xml:space="preserve">Box </w:t>
            </w:r>
            <w:bookmarkStart w:id="4" w:name="OLE_LINK1"/>
            <w:r w:rsidR="00A11CF5">
              <w:rPr>
                <w:b w:val="0"/>
                <w:noProof/>
              </w:rPr>
              <w:t>3</w:t>
            </w:r>
            <w:bookmarkEnd w:id="4"/>
            <w:r>
              <w:tab/>
              <w:t>Excel Model of Retirement Incomes (EMORI)</w:t>
            </w:r>
          </w:p>
        </w:tc>
      </w:tr>
      <w:tr w:rsidR="00E27E45" w:rsidTr="00ED26BE">
        <w:tc>
          <w:tcPr>
            <w:tcW w:w="5000" w:type="pct"/>
            <w:tcBorders>
              <w:top w:val="nil"/>
              <w:left w:val="nil"/>
              <w:bottom w:val="nil"/>
              <w:right w:val="nil"/>
            </w:tcBorders>
            <w:shd w:val="clear" w:color="auto" w:fill="F2F2F2"/>
          </w:tcPr>
          <w:p w:rsidR="004A2259" w:rsidRDefault="00D41B55" w:rsidP="00ED26BE">
            <w:pPr>
              <w:pStyle w:val="Box"/>
            </w:pPr>
            <w:r w:rsidRPr="00D41B55">
              <w:t xml:space="preserve">The Excel Model of Retirement Incomes (EMORI) is a spreadsheet cameo model </w:t>
            </w:r>
            <w:r w:rsidR="007F58AF">
              <w:t xml:space="preserve">(developed by </w:t>
            </w:r>
            <w:r w:rsidR="009C53BB">
              <w:t>T</w:t>
            </w:r>
            <w:r w:rsidR="007F58AF">
              <w:t xml:space="preserve">he Treasury) </w:t>
            </w:r>
            <w:r w:rsidRPr="00D41B55">
              <w:t xml:space="preserve">that simulates retirement income and taxation outcomes for hypothetical individuals or couples for each year of their working life and retirement. </w:t>
            </w:r>
            <w:r w:rsidR="005014A1">
              <w:t>It includes</w:t>
            </w:r>
            <w:r w:rsidR="00023567">
              <w:t>:</w:t>
            </w:r>
          </w:p>
          <w:p w:rsidR="004A2259" w:rsidRDefault="009C53BB" w:rsidP="004A2259">
            <w:pPr>
              <w:pStyle w:val="BoxListBullet"/>
            </w:pPr>
            <w:r>
              <w:t>s</w:t>
            </w:r>
            <w:r w:rsidR="00B877C8">
              <w:t>uper</w:t>
            </w:r>
            <w:r w:rsidR="00623046">
              <w:t>annuation</w:t>
            </w:r>
            <w:r w:rsidR="00B877C8">
              <w:t xml:space="preserve"> contri</w:t>
            </w:r>
            <w:r w:rsidR="004A2259">
              <w:t>butions, earnings and drawdowns</w:t>
            </w:r>
          </w:p>
          <w:p w:rsidR="004A2259" w:rsidRDefault="00B877C8" w:rsidP="004A2259">
            <w:pPr>
              <w:pStyle w:val="BoxListBullet"/>
            </w:pPr>
            <w:r>
              <w:t>Age</w:t>
            </w:r>
            <w:r w:rsidR="009C53BB">
              <w:t xml:space="preserve"> </w:t>
            </w:r>
            <w:r>
              <w:t>Pension eligibility</w:t>
            </w:r>
          </w:p>
          <w:p w:rsidR="004A2259" w:rsidRDefault="009C53BB" w:rsidP="004A2259">
            <w:pPr>
              <w:pStyle w:val="BoxListBullet"/>
            </w:pPr>
            <w:r>
              <w:t>s</w:t>
            </w:r>
            <w:r w:rsidR="00B877C8">
              <w:t>uper</w:t>
            </w:r>
            <w:r w:rsidR="00623046">
              <w:t>annuation</w:t>
            </w:r>
            <w:r w:rsidR="00B877C8">
              <w:t xml:space="preserve"> tax concessions</w:t>
            </w:r>
          </w:p>
          <w:p w:rsidR="00E27E45" w:rsidRDefault="009C53BB" w:rsidP="004A2259">
            <w:pPr>
              <w:pStyle w:val="BoxListBullet"/>
            </w:pPr>
            <w:r>
              <w:t>i</w:t>
            </w:r>
            <w:r w:rsidR="00D41B55">
              <w:t>ncome in working life and retirement</w:t>
            </w:r>
          </w:p>
          <w:p w:rsidR="00D41B55" w:rsidRDefault="009C53BB" w:rsidP="004A2259">
            <w:pPr>
              <w:pStyle w:val="BoxListBullet"/>
            </w:pPr>
            <w:r>
              <w:t>n</w:t>
            </w:r>
            <w:r w:rsidR="00D41B55">
              <w:t>on</w:t>
            </w:r>
            <w:r w:rsidR="00023567">
              <w:noBreakHyphen/>
            </w:r>
            <w:r w:rsidR="00D41B55">
              <w:t>superannuation wealth</w:t>
            </w:r>
            <w:r>
              <w:t>.</w:t>
            </w:r>
          </w:p>
        </w:tc>
      </w:tr>
      <w:tr w:rsidR="00E27E45" w:rsidTr="00ED26BE">
        <w:tc>
          <w:tcPr>
            <w:tcW w:w="5000" w:type="pct"/>
            <w:tcBorders>
              <w:top w:val="nil"/>
              <w:left w:val="nil"/>
              <w:bottom w:val="nil"/>
              <w:right w:val="nil"/>
            </w:tcBorders>
            <w:shd w:val="clear" w:color="auto" w:fill="F2F2F2"/>
          </w:tcPr>
          <w:p w:rsidR="00E27E45" w:rsidRDefault="003D0022" w:rsidP="00275BA3">
            <w:pPr>
              <w:pStyle w:val="BoxSource"/>
            </w:pPr>
            <w:r>
              <w:rPr>
                <w:i/>
              </w:rPr>
              <w:t>Source</w:t>
            </w:r>
            <w:r w:rsidR="00023567">
              <w:rPr>
                <w:i/>
              </w:rPr>
              <w:t>s</w:t>
            </w:r>
            <w:r w:rsidR="00E27E45" w:rsidRPr="00167F06">
              <w:t>:</w:t>
            </w:r>
            <w:r w:rsidR="00311DE1">
              <w:t xml:space="preserve"> Wett </w:t>
            </w:r>
            <w:r w:rsidR="00311DE1" w:rsidRPr="00311DE1">
              <w:rPr>
                <w:rFonts w:cs="Arial"/>
              </w:rPr>
              <w:t>(2017)</w:t>
            </w:r>
            <w:r w:rsidR="00D41B55">
              <w:t xml:space="preserve">, </w:t>
            </w:r>
            <w:r w:rsidR="00A37BEC">
              <w:t>The Treasury</w:t>
            </w:r>
            <w:r w:rsidR="001E3844">
              <w:t xml:space="preserve"> (</w:t>
            </w:r>
            <w:r w:rsidR="00D41B55">
              <w:t>pers. comm</w:t>
            </w:r>
            <w:r w:rsidR="00A37BEC">
              <w:t xml:space="preserve">., </w:t>
            </w:r>
            <w:r w:rsidR="00275BA3">
              <w:t>29</w:t>
            </w:r>
            <w:r w:rsidR="009C53BB">
              <w:t xml:space="preserve"> </w:t>
            </w:r>
            <w:r w:rsidR="00275BA3">
              <w:t xml:space="preserve">September </w:t>
            </w:r>
            <w:r w:rsidR="00A37BEC">
              <w:t>2018)</w:t>
            </w:r>
            <w:r w:rsidR="00E27E45">
              <w:t>.</w:t>
            </w:r>
          </w:p>
        </w:tc>
      </w:tr>
      <w:tr w:rsidR="00E27E45" w:rsidTr="00ED26BE">
        <w:tc>
          <w:tcPr>
            <w:tcW w:w="5000" w:type="pct"/>
            <w:tcBorders>
              <w:top w:val="nil"/>
              <w:left w:val="nil"/>
              <w:bottom w:val="single" w:sz="6" w:space="0" w:color="78A22F"/>
              <w:right w:val="nil"/>
            </w:tcBorders>
            <w:shd w:val="clear" w:color="auto" w:fill="F2F2F2"/>
          </w:tcPr>
          <w:p w:rsidR="00E27E45" w:rsidRDefault="00E27E45">
            <w:pPr>
              <w:pStyle w:val="Box"/>
              <w:spacing w:before="0" w:line="120" w:lineRule="exact"/>
            </w:pPr>
          </w:p>
        </w:tc>
      </w:tr>
      <w:tr w:rsidR="00E27E45" w:rsidRPr="000863A5" w:rsidTr="00ED26BE">
        <w:tc>
          <w:tcPr>
            <w:tcW w:w="5000" w:type="pct"/>
            <w:tcBorders>
              <w:top w:val="single" w:sz="6" w:space="0" w:color="78A22F"/>
              <w:left w:val="nil"/>
              <w:bottom w:val="nil"/>
              <w:right w:val="nil"/>
            </w:tcBorders>
          </w:tcPr>
          <w:p w:rsidR="00E27E45" w:rsidRPr="00626D32" w:rsidRDefault="00E27E45" w:rsidP="00ED26BE">
            <w:pPr>
              <w:pStyle w:val="BoxSpaceBelow"/>
            </w:pPr>
          </w:p>
        </w:tc>
      </w:tr>
    </w:tbl>
    <w:p w:rsidR="00AD5CE3" w:rsidRDefault="00C6623A" w:rsidP="00957173">
      <w:pPr>
        <w:pStyle w:val="BodyText"/>
      </w:pPr>
      <w:r>
        <w:t xml:space="preserve">The Commission’s </w:t>
      </w:r>
      <w:r w:rsidR="00AD5CE3">
        <w:t xml:space="preserve">adapted </w:t>
      </w:r>
      <w:r>
        <w:t xml:space="preserve">model takes an individual </w:t>
      </w:r>
      <w:r w:rsidR="001E5A2C">
        <w:t>(</w:t>
      </w:r>
      <w:r>
        <w:t>or couple</w:t>
      </w:r>
      <w:r w:rsidR="001E5A2C">
        <w:t>)</w:t>
      </w:r>
      <w:r>
        <w:t xml:space="preserve"> </w:t>
      </w:r>
      <w:r w:rsidR="00D66859">
        <w:t xml:space="preserve">aged 21 </w:t>
      </w:r>
      <w:r>
        <w:t xml:space="preserve">with </w:t>
      </w:r>
      <w:r w:rsidR="00AD5CE3">
        <w:t>a range of</w:t>
      </w:r>
      <w:r w:rsidR="009040E8">
        <w:t xml:space="preserve"> </w:t>
      </w:r>
      <w:r w:rsidR="00AD5CE3">
        <w:t xml:space="preserve">assumed </w:t>
      </w:r>
      <w:r w:rsidR="009040E8">
        <w:t>characteristics</w:t>
      </w:r>
      <w:r>
        <w:t xml:space="preserve"> </w:t>
      </w:r>
      <w:r w:rsidR="00A00B2B">
        <w:t>(such as income, type of insurance</w:t>
      </w:r>
      <w:r w:rsidR="00CD27BC">
        <w:t>, retirement age</w:t>
      </w:r>
      <w:r w:rsidR="00A00B2B">
        <w:t xml:space="preserve">) </w:t>
      </w:r>
      <w:r>
        <w:t>and calculates the</w:t>
      </w:r>
      <w:r w:rsidR="001E5A2C">
        <w:t>ir</w:t>
      </w:r>
      <w:r>
        <w:t xml:space="preserve"> lifetime savings, social security </w:t>
      </w:r>
      <w:r w:rsidR="001E5A2C">
        <w:t>payments</w:t>
      </w:r>
      <w:r>
        <w:t xml:space="preserve"> and taxes </w:t>
      </w:r>
      <w:r w:rsidR="00BD541D">
        <w:t>paid</w:t>
      </w:r>
      <w:r w:rsidR="00AD5CE3">
        <w:t>:</w:t>
      </w:r>
    </w:p>
    <w:p w:rsidR="00AD5CE3" w:rsidRDefault="006B21C8" w:rsidP="000D41BA">
      <w:pPr>
        <w:pStyle w:val="ListNumber"/>
      </w:pPr>
      <w:r>
        <w:t>w</w:t>
      </w:r>
      <w:r w:rsidR="00A00B2B">
        <w:t>here</w:t>
      </w:r>
      <w:r w:rsidR="00C6623A">
        <w:t xml:space="preserve"> an individual does not make an insurance claim </w:t>
      </w:r>
      <w:r w:rsidR="00A00B2B">
        <w:t>over their lifetime</w:t>
      </w:r>
    </w:p>
    <w:p w:rsidR="00AD5CE3" w:rsidRDefault="006B21C8" w:rsidP="000D41BA">
      <w:pPr>
        <w:pStyle w:val="ListNumber"/>
      </w:pPr>
      <w:r>
        <w:t>w</w:t>
      </w:r>
      <w:r w:rsidR="00CD27BC">
        <w:t xml:space="preserve">here </w:t>
      </w:r>
      <w:r w:rsidR="00A00B2B">
        <w:t>an individual does make</w:t>
      </w:r>
      <w:r w:rsidR="00C6623A">
        <w:t xml:space="preserve"> a claim </w:t>
      </w:r>
      <w:r w:rsidR="00A00B2B">
        <w:t>a</w:t>
      </w:r>
      <w:r w:rsidR="00CD27BC">
        <w:t>t</w:t>
      </w:r>
      <w:r w:rsidR="00A00B2B">
        <w:t xml:space="preserve"> some point in their life (the model is run separately </w:t>
      </w:r>
      <w:r w:rsidR="00C6623A">
        <w:t>for ea</w:t>
      </w:r>
      <w:r w:rsidR="00D66859">
        <w:t>ch possible claim age between 22</w:t>
      </w:r>
      <w:r w:rsidR="00C827EB">
        <w:t xml:space="preserve"> and 64</w:t>
      </w:r>
      <w:r w:rsidR="00D66859">
        <w:t xml:space="preserve"> inclusive</w:t>
      </w:r>
      <w:r w:rsidR="009E4B0B">
        <w:t xml:space="preserve"> —</w:t>
      </w:r>
      <w:r w:rsidR="001E5A2C">
        <w:t xml:space="preserve"> the years in which individuals are assumed to have insurance</w:t>
      </w:r>
      <w:r w:rsidR="00C6623A">
        <w:t xml:space="preserve">). </w:t>
      </w:r>
    </w:p>
    <w:p w:rsidR="00957173" w:rsidRDefault="00957173">
      <w:pPr>
        <w:pStyle w:val="BodyText"/>
      </w:pPr>
      <w:r>
        <w:t xml:space="preserve">Possible </w:t>
      </w:r>
      <w:r w:rsidR="006017E7">
        <w:t xml:space="preserve">claim </w:t>
      </w:r>
      <w:r>
        <w:t xml:space="preserve">outcomes are then weighted by the probability that individuals make a claim at a given age. Outcomes are also discounted by the probability that individuals may </w:t>
      </w:r>
      <w:r w:rsidR="00683D79">
        <w:t>die at some point in the future.</w:t>
      </w:r>
      <w:r w:rsidR="00CA2BDF">
        <w:t xml:space="preserve"> This means that all results </w:t>
      </w:r>
      <w:r w:rsidR="008966C2">
        <w:t xml:space="preserve">presented in this paper </w:t>
      </w:r>
      <w:r w:rsidR="00CA2BDF">
        <w:t xml:space="preserve">are expected </w:t>
      </w:r>
      <w:r w:rsidR="008966C2">
        <w:t>(or average) impacts.</w:t>
      </w:r>
      <w:r w:rsidR="008966C2">
        <w:rPr>
          <w:rStyle w:val="FootnoteReference"/>
        </w:rPr>
        <w:footnoteReference w:id="8"/>
      </w:r>
    </w:p>
    <w:p w:rsidR="00E50ECE" w:rsidRDefault="00E50ECE" w:rsidP="00E50ECE">
      <w:pPr>
        <w:pStyle w:val="BodyText"/>
      </w:pPr>
      <w:r w:rsidRPr="006B21C8">
        <w:t>These impacts are calculated for two scenarios — where an individual does not have insurance in super</w:t>
      </w:r>
      <w:r>
        <w:t>annuation</w:t>
      </w:r>
      <w:r w:rsidRPr="006B21C8">
        <w:t xml:space="preserve"> </w:t>
      </w:r>
      <w:r>
        <w:t xml:space="preserve">(the base case or counterfactual) </w:t>
      </w:r>
      <w:r w:rsidRPr="006B21C8">
        <w:t>and when an individual does have insurance in superannuation</w:t>
      </w:r>
      <w:r>
        <w:t xml:space="preserve"> (the policy case) (figure 2)</w:t>
      </w:r>
      <w:r w:rsidRPr="006B21C8">
        <w:t>.</w:t>
      </w:r>
      <w:r>
        <w:t xml:space="preserve"> The difference between the policy and base case scenarios represents the impact of the policy for that individual.</w:t>
      </w:r>
      <w:r>
        <w:rPr>
          <w:rStyle w:val="FootnoteReference"/>
        </w:rPr>
        <w:footnoteReference w:id="9"/>
      </w:r>
      <w:r>
        <w:t xml:space="preserve"> </w:t>
      </w:r>
    </w:p>
    <w:p w:rsidR="00E50ECE" w:rsidRDefault="00E50ECE" w:rsidP="00E50ECE">
      <w:pPr>
        <w:pStyle w:val="BodyText"/>
      </w:pPr>
      <w:r>
        <w:t>The Commission has modelled the fiscal impact of insurance in superannuation for a range of cameo scenarios. Each combination of couple status (single or couple), income (20</w:t>
      </w:r>
      <w:r w:rsidRPr="00B74ADA">
        <w:rPr>
          <w:vertAlign w:val="superscript"/>
        </w:rPr>
        <w:t>th</w:t>
      </w:r>
      <w:r>
        <w:t>, 50</w:t>
      </w:r>
      <w:r w:rsidRPr="00B74ADA">
        <w:rPr>
          <w:vertAlign w:val="superscript"/>
        </w:rPr>
        <w:t>th</w:t>
      </w:r>
      <w:r>
        <w:t xml:space="preserve"> or 80</w:t>
      </w:r>
      <w:r w:rsidRPr="00B74ADA">
        <w:rPr>
          <w:vertAlign w:val="superscript"/>
        </w:rPr>
        <w:t>th</w:t>
      </w:r>
      <w:r>
        <w:t xml:space="preserve"> percentile) and insurance type (IP or TPD) is modelled in a separate cameo scenario.</w:t>
      </w:r>
    </w:p>
    <w:p w:rsidR="00E50ECE" w:rsidRDefault="00E50ECE">
      <w:pPr>
        <w:pStyle w:val="BodyText"/>
      </w:pPr>
    </w:p>
    <w:p w:rsidR="000A1DD4" w:rsidRDefault="000A1DD4" w:rsidP="009D5FD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A1DD4" w:rsidTr="009D5FD5">
        <w:trPr>
          <w:tblHeader/>
        </w:trPr>
        <w:tc>
          <w:tcPr>
            <w:tcW w:w="5000" w:type="pct"/>
            <w:tcBorders>
              <w:top w:val="single" w:sz="6" w:space="0" w:color="78A22F"/>
              <w:left w:val="nil"/>
              <w:bottom w:val="nil"/>
              <w:right w:val="nil"/>
            </w:tcBorders>
            <w:shd w:val="clear" w:color="auto" w:fill="auto"/>
          </w:tcPr>
          <w:p w:rsidR="000A1DD4" w:rsidRPr="00176D3F" w:rsidRDefault="000A1DD4" w:rsidP="000E0FE2">
            <w:pPr>
              <w:pStyle w:val="FigureTitle"/>
            </w:pPr>
            <w:r w:rsidRPr="00784A05">
              <w:rPr>
                <w:b w:val="0"/>
              </w:rPr>
              <w:t xml:space="preserve">Figure </w:t>
            </w:r>
            <w:r w:rsidR="00A11CF5">
              <w:rPr>
                <w:b w:val="0"/>
                <w:noProof/>
              </w:rPr>
              <w:t>2</w:t>
            </w:r>
            <w:r>
              <w:tab/>
              <w:t xml:space="preserve">A model </w:t>
            </w:r>
            <w:r w:rsidR="007F58AF">
              <w:t xml:space="preserve">to </w:t>
            </w:r>
            <w:r>
              <w:t>account for insurance claims at a range of ages</w:t>
            </w:r>
          </w:p>
        </w:tc>
      </w:tr>
      <w:tr w:rsidR="000A1DD4" w:rsidTr="009D5FD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A1DD4" w:rsidRPr="00B1465D" w:rsidTr="009D5FD5">
              <w:trPr>
                <w:tblHeader/>
                <w:jc w:val="center"/>
              </w:trPr>
              <w:tc>
                <w:tcPr>
                  <w:tcW w:w="5000" w:type="pct"/>
                  <w:tcBorders>
                    <w:top w:val="nil"/>
                    <w:bottom w:val="nil"/>
                  </w:tcBorders>
                </w:tcPr>
                <w:p w:rsidR="000A1DD4" w:rsidRPr="00B1465D" w:rsidRDefault="00663D03" w:rsidP="009D5FD5">
                  <w:pPr>
                    <w:pStyle w:val="Figure"/>
                    <w:spacing w:before="60" w:after="60"/>
                    <w:rPr>
                      <w:rFonts w:ascii="Arial" w:hAnsi="Arial" w:cs="Arial"/>
                      <w:sz w:val="18"/>
                      <w:szCs w:val="18"/>
                    </w:rPr>
                  </w:pPr>
                  <w:r w:rsidRPr="00663D03">
                    <w:rPr>
                      <w:rFonts w:ascii="Arial" w:hAnsi="Arial" w:cs="Arial"/>
                      <w:noProof/>
                      <w:sz w:val="18"/>
                      <w:szCs w:val="18"/>
                    </w:rPr>
                    <w:drawing>
                      <wp:inline distT="0" distB="0" distL="0" distR="0" wp14:anchorId="381EE439" wp14:editId="224A23B9">
                        <wp:extent cx="5280660" cy="4747260"/>
                        <wp:effectExtent l="0" t="0" r="0" b="0"/>
                        <wp:docPr id="3" name="Picture 3" descr="This figures describes the approach to modelling the fiscal effect for a given cameo individual. The net policy fiscal effects for each claim outcome are multiplied by the probability of occurring and then summed to give the total expected net fiscal effect for a given cameo individual." title="A model to account for making insurance claims at a range of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80660" cy="4747260"/>
                                </a:xfrm>
                                <a:prstGeom prst="rect">
                                  <a:avLst/>
                                </a:prstGeom>
                                <a:noFill/>
                                <a:ln>
                                  <a:noFill/>
                                </a:ln>
                              </pic:spPr>
                            </pic:pic>
                          </a:graphicData>
                        </a:graphic>
                      </wp:inline>
                    </w:drawing>
                  </w:r>
                </w:p>
              </w:tc>
            </w:tr>
          </w:tbl>
          <w:p w:rsidR="000A1DD4" w:rsidRDefault="000A1DD4" w:rsidP="009D5FD5">
            <w:pPr>
              <w:pStyle w:val="Figure"/>
            </w:pPr>
          </w:p>
        </w:tc>
      </w:tr>
      <w:tr w:rsidR="000A1DD4" w:rsidTr="009D5FD5">
        <w:tc>
          <w:tcPr>
            <w:tcW w:w="5000" w:type="pct"/>
            <w:tcBorders>
              <w:top w:val="nil"/>
              <w:left w:val="nil"/>
              <w:bottom w:val="single" w:sz="6" w:space="0" w:color="78A22F"/>
              <w:right w:val="nil"/>
            </w:tcBorders>
            <w:shd w:val="clear" w:color="auto" w:fill="auto"/>
          </w:tcPr>
          <w:p w:rsidR="000A1DD4" w:rsidRDefault="000A1DD4" w:rsidP="009D5FD5">
            <w:pPr>
              <w:pStyle w:val="Figurespace"/>
            </w:pPr>
          </w:p>
        </w:tc>
      </w:tr>
      <w:tr w:rsidR="000A1DD4" w:rsidRPr="000863A5" w:rsidTr="009D5FD5">
        <w:tc>
          <w:tcPr>
            <w:tcW w:w="5000" w:type="pct"/>
            <w:tcBorders>
              <w:top w:val="single" w:sz="6" w:space="0" w:color="78A22F"/>
              <w:left w:val="nil"/>
              <w:bottom w:val="nil"/>
              <w:right w:val="nil"/>
            </w:tcBorders>
          </w:tcPr>
          <w:p w:rsidR="000A1DD4" w:rsidRPr="00626D32" w:rsidRDefault="000A1DD4" w:rsidP="009D5FD5">
            <w:pPr>
              <w:pStyle w:val="BoxSpaceBelow"/>
            </w:pPr>
          </w:p>
        </w:tc>
      </w:tr>
    </w:tbl>
    <w:p w:rsidR="006B21C8" w:rsidRDefault="009E4B0B" w:rsidP="006B21C8">
      <w:pPr>
        <w:pStyle w:val="BodyText"/>
      </w:pPr>
      <w:r>
        <w:t>The</w:t>
      </w:r>
      <w:r w:rsidR="006B21C8">
        <w:t xml:space="preserve"> cameo </w:t>
      </w:r>
      <w:r w:rsidR="00D270E9">
        <w:t xml:space="preserve">modelling is </w:t>
      </w:r>
      <w:r w:rsidR="006B21C8">
        <w:t>dependent on a range of modelling assumptions</w:t>
      </w:r>
      <w:r w:rsidR="003C4B47">
        <w:t xml:space="preserve"> (some of which are sensitivity tested </w:t>
      </w:r>
      <w:r w:rsidR="004A74CE">
        <w:t xml:space="preserve">in </w:t>
      </w:r>
      <w:r w:rsidR="00023567">
        <w:t>a</w:t>
      </w:r>
      <w:r w:rsidR="004A74CE">
        <w:t>ppendix</w:t>
      </w:r>
      <w:r w:rsidR="00023567">
        <w:t> </w:t>
      </w:r>
      <w:r w:rsidR="004A74CE">
        <w:t>B</w:t>
      </w:r>
      <w:r w:rsidR="003C4B47">
        <w:t>)</w:t>
      </w:r>
      <w:r w:rsidR="006B21C8">
        <w:t>. For example:</w:t>
      </w:r>
    </w:p>
    <w:p w:rsidR="00683D79" w:rsidRDefault="00E16C0A" w:rsidP="00D66859">
      <w:pPr>
        <w:pStyle w:val="ListBullet"/>
      </w:pPr>
      <w:r>
        <w:t>t</w:t>
      </w:r>
      <w:r w:rsidR="00683D79">
        <w:t>he net fiscal impact</w:t>
      </w:r>
      <w:r w:rsidR="00CC30E0">
        <w:t>s</w:t>
      </w:r>
      <w:r w:rsidR="00683D79">
        <w:t xml:space="preserve"> of </w:t>
      </w:r>
      <w:r w:rsidR="00CD27BC">
        <w:t xml:space="preserve">TPD and IP insurance </w:t>
      </w:r>
      <w:r w:rsidR="00683D79">
        <w:t xml:space="preserve">are </w:t>
      </w:r>
      <w:r w:rsidR="00D66859">
        <w:t>considered</w:t>
      </w:r>
      <w:r w:rsidR="00683D79">
        <w:t xml:space="preserve"> separately</w:t>
      </w:r>
      <w:r w:rsidR="00CD27BC">
        <w:t>.</w:t>
      </w:r>
      <w:r w:rsidR="00683D79">
        <w:t xml:space="preserve"> </w:t>
      </w:r>
      <w:r w:rsidR="00E729E9">
        <w:t>So</w:t>
      </w:r>
      <w:r>
        <w:t>,</w:t>
      </w:r>
      <w:r w:rsidR="00E729E9">
        <w:t xml:space="preserve"> for example, </w:t>
      </w:r>
      <w:r w:rsidR="00D66859">
        <w:t>TPD simulations only consider TPD premiums and TPD claims</w:t>
      </w:r>
    </w:p>
    <w:p w:rsidR="00957173" w:rsidRDefault="00E16C0A" w:rsidP="00D66859">
      <w:pPr>
        <w:pStyle w:val="ListBullet"/>
      </w:pPr>
      <w:r>
        <w:t>a</w:t>
      </w:r>
      <w:r w:rsidR="00957173">
        <w:t xml:space="preserve">ll </w:t>
      </w:r>
      <w:r w:rsidR="00683D79">
        <w:t>dollar values are presented in net present value (NPV) terms</w:t>
      </w:r>
      <w:r>
        <w:t xml:space="preserve"> — </w:t>
      </w:r>
      <w:r w:rsidR="00683D79">
        <w:t xml:space="preserve">future income streams </w:t>
      </w:r>
      <w:r w:rsidR="009040E8">
        <w:t xml:space="preserve">are </w:t>
      </w:r>
      <w:r w:rsidR="00683D79">
        <w:t>discount</w:t>
      </w:r>
      <w:r w:rsidR="009040E8">
        <w:t>ed</w:t>
      </w:r>
      <w:r w:rsidR="00683D79">
        <w:t xml:space="preserve"> by a nominal rate of 5 per cent (approximately the long term government bond rate)</w:t>
      </w:r>
    </w:p>
    <w:p w:rsidR="00DF1B5A" w:rsidRDefault="00E16C0A" w:rsidP="00D66859">
      <w:pPr>
        <w:pStyle w:val="ListBullet"/>
      </w:pPr>
      <w:r>
        <w:t>i</w:t>
      </w:r>
      <w:r w:rsidR="00BD541D">
        <w:t xml:space="preserve">ndividuals who receive a TPD claim are assumed to take it as a super income stream </w:t>
      </w:r>
      <w:r w:rsidR="00812C9E">
        <w:t>that</w:t>
      </w:r>
      <w:r w:rsidR="00BD541D">
        <w:t xml:space="preserve"> they draw down upon each year. In practice, individuals also have the option of taking their </w:t>
      </w:r>
      <w:r>
        <w:t>TPD</w:t>
      </w:r>
      <w:r w:rsidR="00BD541D">
        <w:t xml:space="preserve"> out as a lump sum, which</w:t>
      </w:r>
      <w:r>
        <w:t>,</w:t>
      </w:r>
      <w:r w:rsidR="00BD541D">
        <w:t xml:space="preserve"> as previously mentioned, has slightly different tax implications</w:t>
      </w:r>
    </w:p>
    <w:p w:rsidR="008D2C4A" w:rsidRDefault="008D2C4A" w:rsidP="00D66859">
      <w:pPr>
        <w:pStyle w:val="ListBullet"/>
      </w:pPr>
      <w:r>
        <w:t>IP policies are assumed to have a two</w:t>
      </w:r>
      <w:r w:rsidR="00023567">
        <w:noBreakHyphen/>
      </w:r>
      <w:r>
        <w:t xml:space="preserve">year benefit. Individuals who </w:t>
      </w:r>
      <w:r w:rsidR="00133214">
        <w:t xml:space="preserve">make </w:t>
      </w:r>
      <w:r>
        <w:t xml:space="preserve">IP </w:t>
      </w:r>
      <w:r w:rsidR="00133214">
        <w:t xml:space="preserve">claims </w:t>
      </w:r>
      <w:r>
        <w:t>are assumed to return to work after the IP benefit ends</w:t>
      </w:r>
    </w:p>
    <w:p w:rsidR="00BD541D" w:rsidRDefault="00E16C0A" w:rsidP="00BD541D">
      <w:pPr>
        <w:pStyle w:val="ListBullet"/>
      </w:pPr>
      <w:r>
        <w:t>t</w:t>
      </w:r>
      <w:r w:rsidR="00D07225">
        <w:t>he fiscal implications of the t</w:t>
      </w:r>
      <w:r w:rsidR="00BD541D">
        <w:t xml:space="preserve">ax concessions and stamp duty associated with insurance premiums </w:t>
      </w:r>
      <w:r w:rsidR="004A74CE">
        <w:t>are included in the model</w:t>
      </w:r>
      <w:r w:rsidR="00E14A47">
        <w:t xml:space="preserve"> </w:t>
      </w:r>
    </w:p>
    <w:p w:rsidR="00EB6796" w:rsidRDefault="00E16C0A" w:rsidP="00BD541D">
      <w:pPr>
        <w:pStyle w:val="ListBullet"/>
      </w:pPr>
      <w:r>
        <w:t>i</w:t>
      </w:r>
      <w:r w:rsidR="00EB6796">
        <w:t>ndividuals are assumed to not be eligible for workers’ compensation (which has the potential to reduce insurance payouts and eligibility for social security payments).</w:t>
      </w:r>
    </w:p>
    <w:p w:rsidR="00023385" w:rsidRDefault="00023385" w:rsidP="00C6623A">
      <w:pPr>
        <w:pStyle w:val="BodyText"/>
      </w:pPr>
      <w:r>
        <w:t xml:space="preserve">By employing a cameo modelling approach, the Commission is not </w:t>
      </w:r>
      <w:r w:rsidRPr="00023385">
        <w:rPr>
          <w:i/>
        </w:rPr>
        <w:t>directly</w:t>
      </w:r>
      <w:r>
        <w:t xml:space="preserve"> estimating the </w:t>
      </w:r>
      <w:r w:rsidRPr="00023385">
        <w:rPr>
          <w:i/>
        </w:rPr>
        <w:t>total</w:t>
      </w:r>
      <w:r>
        <w:t xml:space="preserve"> net fiscal effect of insurance in superannuation (</w:t>
      </w:r>
      <w:r w:rsidR="00B13360">
        <w:t xml:space="preserve">and has </w:t>
      </w:r>
      <w:r w:rsidR="006017E7">
        <w:t xml:space="preserve">thus </w:t>
      </w:r>
      <w:r w:rsidR="00B13360">
        <w:t xml:space="preserve">not made any assumption as to whether the </w:t>
      </w:r>
      <w:r w:rsidR="006B21C8">
        <w:t xml:space="preserve">appropriate policy </w:t>
      </w:r>
      <w:r w:rsidR="00B13360">
        <w:t>counterfactual is no default insurance or no insurance at all in superannuation)</w:t>
      </w:r>
      <w:r>
        <w:t>.</w:t>
      </w:r>
    </w:p>
    <w:p w:rsidR="00CD27BC" w:rsidRPr="0098650A" w:rsidRDefault="00683D79" w:rsidP="00C6623A">
      <w:pPr>
        <w:pStyle w:val="BodyText"/>
      </w:pPr>
      <w:r>
        <w:t xml:space="preserve">The full set of assumptions </w:t>
      </w:r>
      <w:r w:rsidR="00C84B49">
        <w:t xml:space="preserve">is </w:t>
      </w:r>
      <w:r>
        <w:t xml:space="preserve">detailed </w:t>
      </w:r>
      <w:r w:rsidR="00CD27BC">
        <w:t xml:space="preserve">in </w:t>
      </w:r>
      <w:r w:rsidR="00023567">
        <w:t>a</w:t>
      </w:r>
      <w:r w:rsidR="00CD27BC">
        <w:t>ppendix</w:t>
      </w:r>
      <w:r w:rsidR="00023567">
        <w:t> </w:t>
      </w:r>
      <w:r w:rsidR="00CD27BC">
        <w:t>A.</w:t>
      </w:r>
    </w:p>
    <w:p w:rsidR="00610491" w:rsidRDefault="000C37F7" w:rsidP="000C37F7">
      <w:pPr>
        <w:pStyle w:val="Heading3"/>
      </w:pPr>
      <w:r>
        <w:t>Data</w:t>
      </w:r>
    </w:p>
    <w:p w:rsidR="00C93DD3" w:rsidRDefault="00C93DD3" w:rsidP="00C93DD3">
      <w:pPr>
        <w:pStyle w:val="BodyText"/>
      </w:pPr>
      <w:r>
        <w:t xml:space="preserve">Data on </w:t>
      </w:r>
      <w:r w:rsidR="000172FE">
        <w:t xml:space="preserve">insurance </w:t>
      </w:r>
      <w:r>
        <w:t>premiums w</w:t>
      </w:r>
      <w:r w:rsidR="007B6215">
        <w:t xml:space="preserve">ere </w:t>
      </w:r>
      <w:r>
        <w:t xml:space="preserve">taken from the Rice Warner comparator of </w:t>
      </w:r>
      <w:r w:rsidR="00CC30E0">
        <w:t xml:space="preserve">group </w:t>
      </w:r>
      <w:r>
        <w:t xml:space="preserve">insurance policies. </w:t>
      </w:r>
      <w:r w:rsidR="00AD103D">
        <w:t xml:space="preserve">From this, </w:t>
      </w:r>
      <w:r w:rsidR="00E813A1">
        <w:t xml:space="preserve">three </w:t>
      </w:r>
      <w:r w:rsidR="0098650A">
        <w:t xml:space="preserve">insurance </w:t>
      </w:r>
      <w:r>
        <w:t>p</w:t>
      </w:r>
      <w:r w:rsidR="0098650A">
        <w:t>olicy</w:t>
      </w:r>
      <w:r>
        <w:t xml:space="preserve"> scenarios were developed</w:t>
      </w:r>
      <w:r w:rsidR="001E5A2C">
        <w:t xml:space="preserve"> (figure </w:t>
      </w:r>
      <w:r w:rsidR="00AF1B8C">
        <w:t>3</w:t>
      </w:r>
      <w:r w:rsidR="001E5A2C">
        <w:t>)</w:t>
      </w:r>
      <w:r w:rsidR="00E16C0A">
        <w:t>.</w:t>
      </w:r>
      <w:r w:rsidR="00EB38B6">
        <w:rPr>
          <w:rStyle w:val="FootnoteReference"/>
        </w:rPr>
        <w:footnoteReference w:id="10"/>
      </w:r>
    </w:p>
    <w:p w:rsidR="00C93DD3" w:rsidRDefault="00C93DD3" w:rsidP="00C93DD3">
      <w:pPr>
        <w:pStyle w:val="ListBullet"/>
      </w:pPr>
      <w:r>
        <w:t xml:space="preserve">An average white collar insurance policy — the median premiums and coverage levels for </w:t>
      </w:r>
      <w:r w:rsidR="00B65759">
        <w:t xml:space="preserve">insurance </w:t>
      </w:r>
      <w:r>
        <w:t>policies with a professional occupational code</w:t>
      </w:r>
      <w:r w:rsidR="00BD541D">
        <w:t>.</w:t>
      </w:r>
      <w:r w:rsidR="00BD541D" w:rsidRPr="0024132C">
        <w:rPr>
          <w:rStyle w:val="FootnoteReference"/>
        </w:rPr>
        <w:footnoteReference w:id="11"/>
      </w:r>
    </w:p>
    <w:p w:rsidR="00C93DD3" w:rsidRDefault="00C93DD3" w:rsidP="00C93DD3">
      <w:pPr>
        <w:pStyle w:val="ListBullet"/>
      </w:pPr>
      <w:r>
        <w:t xml:space="preserve">An expensive white collar insurance policy — the </w:t>
      </w:r>
      <w:r w:rsidR="009D3FFE">
        <w:t>9</w:t>
      </w:r>
      <w:r>
        <w:t>0</w:t>
      </w:r>
      <w:r w:rsidRPr="00C93DD3">
        <w:rPr>
          <w:vertAlign w:val="superscript"/>
        </w:rPr>
        <w:t>th</w:t>
      </w:r>
      <w:r>
        <w:t xml:space="preserve"> percentile premiums and coverage levels for</w:t>
      </w:r>
      <w:r w:rsidR="00B65759" w:rsidRPr="00B65759">
        <w:t xml:space="preserve"> </w:t>
      </w:r>
      <w:r w:rsidR="00B65759">
        <w:t>insurance</w:t>
      </w:r>
      <w:r>
        <w:t xml:space="preserve"> policies with a professional occupational code.</w:t>
      </w:r>
      <w:r w:rsidR="001E5A2C" w:rsidRPr="001E5A2C">
        <w:t xml:space="preserve"> </w:t>
      </w:r>
      <w:r w:rsidR="001E5A2C">
        <w:t xml:space="preserve">The premiums </w:t>
      </w:r>
      <w:r w:rsidR="00B74ADA">
        <w:t xml:space="preserve">and coverage </w:t>
      </w:r>
      <w:r w:rsidR="001E5A2C">
        <w:t xml:space="preserve">are higher than the average white collar </w:t>
      </w:r>
      <w:r w:rsidR="00B65759">
        <w:t xml:space="preserve">insurance </w:t>
      </w:r>
      <w:r w:rsidR="001E5A2C">
        <w:t>policy.</w:t>
      </w:r>
    </w:p>
    <w:p w:rsidR="00C93DD3" w:rsidRDefault="00C93DD3" w:rsidP="00C93DD3">
      <w:pPr>
        <w:pStyle w:val="ListBullet"/>
      </w:pPr>
      <w:r>
        <w:t xml:space="preserve">Multiple insurance policies — twice the median premiums and twice the coverage levels (for TPD but not IP) for </w:t>
      </w:r>
      <w:r w:rsidR="00B65759">
        <w:t xml:space="preserve">insurance </w:t>
      </w:r>
      <w:r>
        <w:t>policies with a professional occupational code.</w:t>
      </w:r>
    </w:p>
    <w:p w:rsidR="00A41B65" w:rsidRPr="00A41B65" w:rsidRDefault="00A41B65" w:rsidP="00A41B65">
      <w:pPr>
        <w:pStyle w:val="BodyText"/>
      </w:pPr>
      <w:r w:rsidRPr="00A41B65">
        <w:t>The</w:t>
      </w:r>
      <w:r>
        <w:t xml:space="preserve"> first of these polic</w:t>
      </w:r>
      <w:r w:rsidR="003B21B0">
        <w:t>y scenarios</w:t>
      </w:r>
      <w:r w:rsidR="00E837AB">
        <w:t xml:space="preserve"> is used for most simulations. The remaining </w:t>
      </w:r>
      <w:r w:rsidR="003B21B0">
        <w:t>scenarios</w:t>
      </w:r>
      <w:r w:rsidR="00E837AB">
        <w:t xml:space="preserve"> are</w:t>
      </w:r>
      <w:r>
        <w:t xml:space="preserve"> used </w:t>
      </w:r>
      <w:r w:rsidR="00E837AB">
        <w:t>for</w:t>
      </w:r>
      <w:r>
        <w:t xml:space="preserve"> sensitivity tests</w:t>
      </w:r>
      <w:r w:rsidR="00E837AB">
        <w:t>.</w:t>
      </w:r>
      <w:r>
        <w:t xml:space="preserve"> </w:t>
      </w:r>
    </w:p>
    <w:p w:rsidR="00E27E45" w:rsidRDefault="00E27E45" w:rsidP="00ED26B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27E45" w:rsidTr="00ED26BE">
        <w:trPr>
          <w:tblHeader/>
        </w:trPr>
        <w:tc>
          <w:tcPr>
            <w:tcW w:w="5000" w:type="pct"/>
            <w:tcBorders>
              <w:top w:val="single" w:sz="6" w:space="0" w:color="78A22F"/>
              <w:left w:val="nil"/>
              <w:bottom w:val="nil"/>
              <w:right w:val="nil"/>
            </w:tcBorders>
            <w:shd w:val="clear" w:color="auto" w:fill="auto"/>
          </w:tcPr>
          <w:p w:rsidR="00E27E45" w:rsidRPr="00176D3F" w:rsidRDefault="00E27E45" w:rsidP="00982244">
            <w:pPr>
              <w:pStyle w:val="FigureTitle"/>
            </w:pPr>
            <w:r w:rsidRPr="00784A05">
              <w:rPr>
                <w:b w:val="0"/>
              </w:rPr>
              <w:t xml:space="preserve">Figure </w:t>
            </w:r>
            <w:bookmarkStart w:id="5" w:name="OLE_LINK2"/>
            <w:r w:rsidR="00A11CF5">
              <w:rPr>
                <w:b w:val="0"/>
                <w:noProof/>
              </w:rPr>
              <w:t>3</w:t>
            </w:r>
            <w:bookmarkEnd w:id="5"/>
            <w:r>
              <w:tab/>
            </w:r>
            <w:r w:rsidR="009533EB">
              <w:t xml:space="preserve">Insurance premiums and coverage for </w:t>
            </w:r>
            <w:r w:rsidR="00BD541D">
              <w:t>scenarios</w:t>
            </w:r>
          </w:p>
        </w:tc>
      </w:tr>
      <w:tr w:rsidR="00E27E45" w:rsidTr="00ED26BE">
        <w:tc>
          <w:tcPr>
            <w:tcW w:w="5000" w:type="pct"/>
            <w:tcBorders>
              <w:top w:val="nil"/>
              <w:left w:val="nil"/>
              <w:bottom w:val="nil"/>
              <w:right w:val="nil"/>
            </w:tcBorders>
            <w:shd w:val="clear" w:color="auto" w:fill="auto"/>
            <w:tcMar>
              <w:top w:w="28" w:type="dxa"/>
              <w:bottom w:w="28" w:type="dxa"/>
            </w:tcMar>
          </w:tcPr>
          <w:tbl>
            <w:tblPr>
              <w:tblW w:w="792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436"/>
            </w:tblGrid>
            <w:tr w:rsidR="00E27E45" w:rsidRPr="00B1465D" w:rsidTr="00C64641">
              <w:trPr>
                <w:trHeight w:val="7091"/>
                <w:tblHeader/>
                <w:jc w:val="center"/>
              </w:trPr>
              <w:tc>
                <w:tcPr>
                  <w:tcW w:w="7924" w:type="dxa"/>
                  <w:tcBorders>
                    <w:top w:val="nil"/>
                    <w:bottom w:val="nil"/>
                  </w:tcBorders>
                </w:tcPr>
                <w:p w:rsidR="00E27E45" w:rsidRPr="00B1465D" w:rsidRDefault="005621C3" w:rsidP="00ED26BE">
                  <w:pPr>
                    <w:pStyle w:val="Figure"/>
                    <w:spacing w:before="60" w:after="60"/>
                    <w:rPr>
                      <w:rFonts w:ascii="Arial" w:hAnsi="Arial" w:cs="Arial"/>
                      <w:sz w:val="18"/>
                      <w:szCs w:val="18"/>
                    </w:rPr>
                  </w:pPr>
                  <w:r w:rsidRPr="005621C3">
                    <w:rPr>
                      <w:noProof/>
                    </w:rPr>
                    <w:drawing>
                      <wp:inline distT="0" distB="0" distL="0" distR="0" wp14:anchorId="25C39443" wp14:editId="6F994DBD">
                        <wp:extent cx="5219700" cy="4499485"/>
                        <wp:effectExtent l="0" t="0" r="0" b="0"/>
                        <wp:docPr id="1" name="Picture 1" descr="This figure illustrates the TPD and IP premiums and coverage levels used in the analysis." title="Insurance premiums and coverage for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23145" cy="4502454"/>
                                </a:xfrm>
                                <a:prstGeom prst="rect">
                                  <a:avLst/>
                                </a:prstGeom>
                                <a:noFill/>
                                <a:ln>
                                  <a:noFill/>
                                </a:ln>
                              </pic:spPr>
                            </pic:pic>
                          </a:graphicData>
                        </a:graphic>
                      </wp:inline>
                    </w:drawing>
                  </w:r>
                </w:p>
              </w:tc>
            </w:tr>
          </w:tbl>
          <w:p w:rsidR="00E27E45" w:rsidRDefault="00E27E45" w:rsidP="00ED26BE">
            <w:pPr>
              <w:pStyle w:val="Figure"/>
            </w:pPr>
          </w:p>
        </w:tc>
      </w:tr>
      <w:tr w:rsidR="00E27E45" w:rsidRPr="00176D3F" w:rsidTr="00ED26BE">
        <w:tc>
          <w:tcPr>
            <w:tcW w:w="5000" w:type="pct"/>
            <w:tcBorders>
              <w:top w:val="nil"/>
              <w:left w:val="nil"/>
              <w:bottom w:val="nil"/>
              <w:right w:val="nil"/>
            </w:tcBorders>
            <w:shd w:val="clear" w:color="auto" w:fill="auto"/>
          </w:tcPr>
          <w:p w:rsidR="00E27E45" w:rsidRPr="00176D3F" w:rsidRDefault="00E27E45" w:rsidP="00F94224">
            <w:pPr>
              <w:pStyle w:val="Note"/>
            </w:pPr>
            <w:r>
              <w:rPr>
                <w:rStyle w:val="NoteLabel"/>
              </w:rPr>
              <w:t>a</w:t>
            </w:r>
            <w:r>
              <w:t xml:space="preserve"> </w:t>
            </w:r>
            <w:r w:rsidR="005D6017">
              <w:t>White 50</w:t>
            </w:r>
            <w:r w:rsidR="005D6017" w:rsidRPr="00BF3634">
              <w:rPr>
                <w:vertAlign w:val="superscript"/>
              </w:rPr>
              <w:t>th</w:t>
            </w:r>
            <w:r w:rsidR="005D6017">
              <w:t xml:space="preserve"> %tile refers to a median white collar insurance policy</w:t>
            </w:r>
            <w:r>
              <w:t>.</w:t>
            </w:r>
            <w:r w:rsidR="005D6017">
              <w:t xml:space="preserve"> White 90</w:t>
            </w:r>
            <w:r w:rsidR="005D6017" w:rsidRPr="00AF4E70">
              <w:rPr>
                <w:vertAlign w:val="superscript"/>
              </w:rPr>
              <w:t>th</w:t>
            </w:r>
            <w:r w:rsidR="005D6017">
              <w:t xml:space="preserve"> %tile refers to a 90</w:t>
            </w:r>
            <w:r w:rsidR="005D6017" w:rsidRPr="00BF3634">
              <w:rPr>
                <w:vertAlign w:val="superscript"/>
              </w:rPr>
              <w:t>th</w:t>
            </w:r>
            <w:r w:rsidR="005D6017">
              <w:t xml:space="preserve"> </w:t>
            </w:r>
            <w:r w:rsidR="003B0A6A">
              <w:t xml:space="preserve">percentile </w:t>
            </w:r>
            <w:r w:rsidR="005D6017">
              <w:t xml:space="preserve">white collar insurance policy. The multiple accounts scenario is equal to twice the premiums of the median white collar insurance policy. </w:t>
            </w:r>
            <w:r w:rsidR="00F94224">
              <w:t>The IP monthly benefit for the multiple accounts scenario is the same as a single the white 50</w:t>
            </w:r>
            <w:r w:rsidR="00F94224" w:rsidRPr="00BF3634">
              <w:rPr>
                <w:vertAlign w:val="superscript"/>
              </w:rPr>
              <w:t>th</w:t>
            </w:r>
            <w:r w:rsidR="00F94224">
              <w:t xml:space="preserve"> </w:t>
            </w:r>
            <w:r w:rsidR="003B0A6A">
              <w:t>percen</w:t>
            </w:r>
            <w:r w:rsidR="00F94224">
              <w:t>tile scenario as typically only a single IP policy can be claimed on.</w:t>
            </w:r>
          </w:p>
        </w:tc>
      </w:tr>
      <w:tr w:rsidR="00E27E45" w:rsidRPr="00176D3F" w:rsidTr="00ED26BE">
        <w:tc>
          <w:tcPr>
            <w:tcW w:w="5000" w:type="pct"/>
            <w:tcBorders>
              <w:top w:val="nil"/>
              <w:left w:val="nil"/>
              <w:bottom w:val="nil"/>
              <w:right w:val="nil"/>
            </w:tcBorders>
            <w:shd w:val="clear" w:color="auto" w:fill="auto"/>
          </w:tcPr>
          <w:p w:rsidR="00E27E45" w:rsidRPr="00176D3F" w:rsidRDefault="00023567" w:rsidP="0096315D">
            <w:pPr>
              <w:pStyle w:val="Source"/>
            </w:pPr>
            <w:r>
              <w:rPr>
                <w:i/>
              </w:rPr>
              <w:t>S</w:t>
            </w:r>
            <w:r w:rsidR="00E27E45" w:rsidRPr="00784A05">
              <w:rPr>
                <w:i/>
              </w:rPr>
              <w:t>ource</w:t>
            </w:r>
            <w:r w:rsidR="00E27E45" w:rsidRPr="00176D3F">
              <w:t xml:space="preserve">: </w:t>
            </w:r>
            <w:r w:rsidR="002350AE">
              <w:t xml:space="preserve">Rice Warner </w:t>
            </w:r>
            <w:r w:rsidR="00096067">
              <w:t>premium comparator tool</w:t>
            </w:r>
            <w:r>
              <w:t>.</w:t>
            </w:r>
          </w:p>
        </w:tc>
      </w:tr>
      <w:tr w:rsidR="00E27E45" w:rsidTr="00ED26BE">
        <w:tc>
          <w:tcPr>
            <w:tcW w:w="5000" w:type="pct"/>
            <w:tcBorders>
              <w:top w:val="nil"/>
              <w:left w:val="nil"/>
              <w:bottom w:val="single" w:sz="6" w:space="0" w:color="78A22F"/>
              <w:right w:val="nil"/>
            </w:tcBorders>
            <w:shd w:val="clear" w:color="auto" w:fill="auto"/>
          </w:tcPr>
          <w:p w:rsidR="00E27E45" w:rsidRDefault="00E27E45" w:rsidP="00ED26BE">
            <w:pPr>
              <w:pStyle w:val="Figurespace"/>
            </w:pPr>
          </w:p>
        </w:tc>
      </w:tr>
      <w:tr w:rsidR="00E27E45" w:rsidRPr="000863A5" w:rsidTr="00ED26BE">
        <w:tc>
          <w:tcPr>
            <w:tcW w:w="5000" w:type="pct"/>
            <w:tcBorders>
              <w:top w:val="single" w:sz="6" w:space="0" w:color="78A22F"/>
              <w:left w:val="nil"/>
              <w:bottom w:val="nil"/>
              <w:right w:val="nil"/>
            </w:tcBorders>
          </w:tcPr>
          <w:p w:rsidR="00E27E45" w:rsidRPr="00626D32" w:rsidRDefault="00E27E45" w:rsidP="00ED26BE">
            <w:pPr>
              <w:pStyle w:val="BoxSpaceBelow"/>
            </w:pPr>
          </w:p>
        </w:tc>
      </w:tr>
    </w:tbl>
    <w:p w:rsidR="007260A7" w:rsidRDefault="00AD103D" w:rsidP="00B501B5">
      <w:pPr>
        <w:pStyle w:val="BodyText"/>
      </w:pPr>
      <w:r>
        <w:t>Data on claim rates were taken from the Rice</w:t>
      </w:r>
      <w:r w:rsidR="007260A7">
        <w:t xml:space="preserve"> Warner </w:t>
      </w:r>
      <w:r w:rsidR="00B501B5" w:rsidRPr="00B501B5">
        <w:rPr>
          <w:i/>
        </w:rPr>
        <w:t>Group life and disability insurance claims experience report</w:t>
      </w:r>
      <w:r w:rsidR="005014A1">
        <w:rPr>
          <w:i/>
        </w:rPr>
        <w:t xml:space="preserve"> </w:t>
      </w:r>
      <w:r w:rsidR="00096067" w:rsidRPr="0096315D">
        <w:rPr>
          <w:szCs w:val="24"/>
        </w:rPr>
        <w:t>(Rice Warner 2015)</w:t>
      </w:r>
      <w:r w:rsidR="00B501B5">
        <w:t>.</w:t>
      </w:r>
      <w:r w:rsidR="007260A7">
        <w:t xml:space="preserve"> The following claim rates are used in the model:</w:t>
      </w:r>
    </w:p>
    <w:p w:rsidR="007260A7" w:rsidRDefault="00AD103D" w:rsidP="007260A7">
      <w:pPr>
        <w:pStyle w:val="ListBullet"/>
      </w:pPr>
      <w:r>
        <w:t xml:space="preserve">TPD claim rates for males in </w:t>
      </w:r>
      <w:r w:rsidR="002110C4">
        <w:t>i</w:t>
      </w:r>
      <w:r>
        <w:t xml:space="preserve">ndustry funds </w:t>
      </w:r>
    </w:p>
    <w:p w:rsidR="00AD103D" w:rsidRDefault="006217D1" w:rsidP="007260A7">
      <w:pPr>
        <w:pStyle w:val="ListBullet"/>
      </w:pPr>
      <w:r>
        <w:t>IP claim rates f</w:t>
      </w:r>
      <w:r w:rsidR="002110C4">
        <w:t>or males in i</w:t>
      </w:r>
      <w:r w:rsidR="007260A7">
        <w:t>ndustry funds and for policies with a 60</w:t>
      </w:r>
      <w:r w:rsidR="00023567">
        <w:noBreakHyphen/>
      </w:r>
      <w:r w:rsidR="007260A7">
        <w:t>day waiting period</w:t>
      </w:r>
      <w:r w:rsidR="00AF1B8C">
        <w:t xml:space="preserve"> (figure 4</w:t>
      </w:r>
      <w:r w:rsidR="00A26038">
        <w:t>)</w:t>
      </w:r>
      <w:r w:rsidR="007260A7">
        <w:t>.</w:t>
      </w:r>
      <w:r w:rsidR="000D41BA">
        <w:rPr>
          <w:rStyle w:val="FootnoteReference"/>
        </w:rPr>
        <w:footnoteReference w:id="12"/>
      </w:r>
    </w:p>
    <w:p w:rsidR="00AF25A8" w:rsidRDefault="00231F57" w:rsidP="00AF25A8">
      <w:pPr>
        <w:pStyle w:val="BodyText"/>
      </w:pPr>
      <w:r>
        <w:t xml:space="preserve">These rates relate to claims across all risk categories, </w:t>
      </w:r>
      <w:r w:rsidR="009A4E9A">
        <w:t>thus</w:t>
      </w:r>
      <w:r>
        <w:t xml:space="preserve"> creating a slight inconsistency </w:t>
      </w:r>
      <w:r w:rsidR="009A4E9A">
        <w:t xml:space="preserve">with </w:t>
      </w:r>
      <w:r w:rsidR="00B65759">
        <w:t xml:space="preserve">insurance </w:t>
      </w:r>
      <w:r w:rsidR="009A4E9A">
        <w:t>premium data</w:t>
      </w:r>
      <w:r w:rsidR="00E729E9">
        <w:t xml:space="preserve"> (</w:t>
      </w:r>
      <w:r w:rsidR="00A26038">
        <w:t>for example, these rates potentially overstate</w:t>
      </w:r>
      <w:r>
        <w:t xml:space="preserve"> the </w:t>
      </w:r>
      <w:r w:rsidR="00A26038">
        <w:t>actual claim rates that</w:t>
      </w:r>
      <w:r w:rsidR="00E729E9">
        <w:t xml:space="preserve"> apply for white collar workers</w:t>
      </w:r>
      <w:r w:rsidR="009A4E9A">
        <w:t>)</w:t>
      </w:r>
      <w:r w:rsidR="00E729E9">
        <w:t xml:space="preserve">. </w:t>
      </w:r>
    </w:p>
    <w:p w:rsidR="009533EB" w:rsidRDefault="009533EB" w:rsidP="00ED26B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533EB" w:rsidTr="00ED26BE">
        <w:trPr>
          <w:tblHeader/>
        </w:trPr>
        <w:tc>
          <w:tcPr>
            <w:tcW w:w="5000" w:type="pct"/>
            <w:tcBorders>
              <w:top w:val="single" w:sz="6" w:space="0" w:color="78A22F"/>
              <w:left w:val="nil"/>
              <w:bottom w:val="nil"/>
              <w:right w:val="nil"/>
            </w:tcBorders>
            <w:shd w:val="clear" w:color="auto" w:fill="auto"/>
          </w:tcPr>
          <w:p w:rsidR="009533EB" w:rsidRPr="00176D3F" w:rsidRDefault="009533EB" w:rsidP="00982244">
            <w:pPr>
              <w:pStyle w:val="FigureTitle"/>
            </w:pPr>
            <w:r w:rsidRPr="00784A05">
              <w:rPr>
                <w:b w:val="0"/>
              </w:rPr>
              <w:t xml:space="preserve">Figure </w:t>
            </w:r>
            <w:r w:rsidR="00A11CF5">
              <w:rPr>
                <w:b w:val="0"/>
                <w:noProof/>
              </w:rPr>
              <w:t>4</w:t>
            </w:r>
            <w:r>
              <w:tab/>
            </w:r>
            <w:r w:rsidR="00135FA0">
              <w:t xml:space="preserve">Model </w:t>
            </w:r>
            <w:r w:rsidR="00BD541D">
              <w:t xml:space="preserve">insurance </w:t>
            </w:r>
            <w:r w:rsidR="00135FA0">
              <w:t xml:space="preserve">claim </w:t>
            </w:r>
            <w:r w:rsidR="00BD541D">
              <w:t>rates</w:t>
            </w:r>
          </w:p>
        </w:tc>
      </w:tr>
      <w:tr w:rsidR="009533EB" w:rsidTr="00ED26B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533EB" w:rsidRPr="00B1465D" w:rsidTr="00ED26BE">
              <w:trPr>
                <w:tblHeader/>
                <w:jc w:val="center"/>
              </w:trPr>
              <w:tc>
                <w:tcPr>
                  <w:tcW w:w="5000" w:type="pct"/>
                  <w:tcBorders>
                    <w:top w:val="nil"/>
                    <w:bottom w:val="nil"/>
                  </w:tcBorders>
                </w:tcPr>
                <w:p w:rsidR="009533EB" w:rsidRPr="00B1465D" w:rsidRDefault="00A93C6B" w:rsidP="00ED26BE">
                  <w:pPr>
                    <w:pStyle w:val="Figure"/>
                    <w:spacing w:before="60" w:after="60"/>
                    <w:rPr>
                      <w:rFonts w:ascii="Arial" w:hAnsi="Arial" w:cs="Arial"/>
                      <w:sz w:val="18"/>
                      <w:szCs w:val="18"/>
                    </w:rPr>
                  </w:pPr>
                  <w:r w:rsidRPr="00A93C6B">
                    <w:rPr>
                      <w:rFonts w:ascii="Arial" w:hAnsi="Arial" w:cs="Arial"/>
                      <w:noProof/>
                      <w:sz w:val="18"/>
                      <w:szCs w:val="18"/>
                    </w:rPr>
                    <w:drawing>
                      <wp:inline distT="0" distB="0" distL="0" distR="0" wp14:anchorId="60970F65" wp14:editId="039D23C5">
                        <wp:extent cx="5295900" cy="2315556"/>
                        <wp:effectExtent l="0" t="0" r="0" b="8890"/>
                        <wp:docPr id="13" name="Picture 13" descr="This figure shows the claim rates for TPD and IP insurance used in the model. They both increase as individuals get older." title="Model insurance claim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99292" cy="2317039"/>
                                </a:xfrm>
                                <a:prstGeom prst="rect">
                                  <a:avLst/>
                                </a:prstGeom>
                                <a:noFill/>
                                <a:ln>
                                  <a:noFill/>
                                </a:ln>
                              </pic:spPr>
                            </pic:pic>
                          </a:graphicData>
                        </a:graphic>
                      </wp:inline>
                    </w:drawing>
                  </w:r>
                </w:p>
              </w:tc>
            </w:tr>
          </w:tbl>
          <w:p w:rsidR="009533EB" w:rsidRDefault="009533EB" w:rsidP="00ED26BE">
            <w:pPr>
              <w:pStyle w:val="Figure"/>
            </w:pPr>
          </w:p>
        </w:tc>
      </w:tr>
      <w:tr w:rsidR="009533EB" w:rsidRPr="00176D3F" w:rsidTr="00ED26BE">
        <w:tc>
          <w:tcPr>
            <w:tcW w:w="5000" w:type="pct"/>
            <w:tcBorders>
              <w:top w:val="nil"/>
              <w:left w:val="nil"/>
              <w:bottom w:val="nil"/>
              <w:right w:val="nil"/>
            </w:tcBorders>
            <w:shd w:val="clear" w:color="auto" w:fill="auto"/>
          </w:tcPr>
          <w:p w:rsidR="009533EB" w:rsidRPr="00176D3F" w:rsidRDefault="009533EB" w:rsidP="005D6017">
            <w:pPr>
              <w:pStyle w:val="Note"/>
            </w:pPr>
            <w:r>
              <w:rPr>
                <w:rStyle w:val="NoteLabel"/>
              </w:rPr>
              <w:t>a</w:t>
            </w:r>
            <w:r>
              <w:t xml:space="preserve"> </w:t>
            </w:r>
            <w:r w:rsidR="005D6017">
              <w:t>TPD claim rates are for males in industry funds</w:t>
            </w:r>
            <w:r>
              <w:t>.</w:t>
            </w:r>
            <w:r w:rsidR="005D6017">
              <w:t xml:space="preserve"> IP claim rates are for males in industry funds for policies</w:t>
            </w:r>
            <w:r>
              <w:t xml:space="preserve"> </w:t>
            </w:r>
            <w:r w:rsidR="005D6017">
              <w:t>with a 60</w:t>
            </w:r>
            <w:r w:rsidR="00023567">
              <w:noBreakHyphen/>
            </w:r>
            <w:r w:rsidR="005D6017">
              <w:t>day waiting period.</w:t>
            </w:r>
            <w:r w:rsidR="005D6017">
              <w:rPr>
                <w:rStyle w:val="NoteLabel"/>
              </w:rPr>
              <w:t xml:space="preserve"> </w:t>
            </w:r>
          </w:p>
        </w:tc>
      </w:tr>
      <w:tr w:rsidR="009533EB" w:rsidRPr="00176D3F" w:rsidTr="00ED26BE">
        <w:tc>
          <w:tcPr>
            <w:tcW w:w="5000" w:type="pct"/>
            <w:tcBorders>
              <w:top w:val="nil"/>
              <w:left w:val="nil"/>
              <w:bottom w:val="nil"/>
              <w:right w:val="nil"/>
            </w:tcBorders>
            <w:shd w:val="clear" w:color="auto" w:fill="auto"/>
          </w:tcPr>
          <w:p w:rsidR="009533EB" w:rsidRPr="00176D3F" w:rsidRDefault="00023567" w:rsidP="0096315D">
            <w:pPr>
              <w:pStyle w:val="Source"/>
            </w:pPr>
            <w:r>
              <w:rPr>
                <w:i/>
              </w:rPr>
              <w:t>S</w:t>
            </w:r>
            <w:r w:rsidR="009533EB" w:rsidRPr="00784A05">
              <w:rPr>
                <w:i/>
              </w:rPr>
              <w:t>ource</w:t>
            </w:r>
            <w:r w:rsidR="009533EB" w:rsidRPr="00176D3F">
              <w:t xml:space="preserve">: </w:t>
            </w:r>
            <w:r w:rsidR="002350AE">
              <w:t xml:space="preserve">Rice Warner </w:t>
            </w:r>
            <w:r w:rsidR="00096067" w:rsidRPr="0096315D">
              <w:rPr>
                <w:rFonts w:cs="Arial"/>
              </w:rPr>
              <w:t>(2015)</w:t>
            </w:r>
            <w:r>
              <w:t>.</w:t>
            </w:r>
          </w:p>
        </w:tc>
      </w:tr>
      <w:tr w:rsidR="009533EB" w:rsidTr="00ED26BE">
        <w:tc>
          <w:tcPr>
            <w:tcW w:w="5000" w:type="pct"/>
            <w:tcBorders>
              <w:top w:val="nil"/>
              <w:left w:val="nil"/>
              <w:bottom w:val="single" w:sz="6" w:space="0" w:color="78A22F"/>
              <w:right w:val="nil"/>
            </w:tcBorders>
            <w:shd w:val="clear" w:color="auto" w:fill="auto"/>
          </w:tcPr>
          <w:p w:rsidR="009533EB" w:rsidRDefault="009533EB" w:rsidP="00ED26BE">
            <w:pPr>
              <w:pStyle w:val="Figurespace"/>
            </w:pPr>
          </w:p>
        </w:tc>
      </w:tr>
      <w:tr w:rsidR="009533EB" w:rsidRPr="000863A5" w:rsidTr="00ED26BE">
        <w:tc>
          <w:tcPr>
            <w:tcW w:w="5000" w:type="pct"/>
            <w:tcBorders>
              <w:top w:val="single" w:sz="6" w:space="0" w:color="78A22F"/>
              <w:left w:val="nil"/>
              <w:bottom w:val="nil"/>
              <w:right w:val="nil"/>
            </w:tcBorders>
          </w:tcPr>
          <w:p w:rsidR="009533EB" w:rsidRPr="00626D32" w:rsidRDefault="009533EB" w:rsidP="00ED26BE">
            <w:pPr>
              <w:pStyle w:val="BoxSpaceBelow"/>
            </w:pPr>
          </w:p>
        </w:tc>
      </w:tr>
    </w:tbl>
    <w:p w:rsidR="003B2A80" w:rsidRDefault="007260A7" w:rsidP="003B2A80">
      <w:pPr>
        <w:pStyle w:val="Heading2"/>
      </w:pPr>
      <w:r>
        <w:t>Some k</w:t>
      </w:r>
      <w:r w:rsidR="003B2A80">
        <w:t>ey themes from results</w:t>
      </w:r>
    </w:p>
    <w:p w:rsidR="00C9047D" w:rsidRDefault="00C9047D" w:rsidP="0098650A">
      <w:pPr>
        <w:pStyle w:val="BodyText"/>
      </w:pPr>
      <w:r>
        <w:t>An analysis of a range of cameo scenarios suggest</w:t>
      </w:r>
      <w:r w:rsidR="00914602">
        <w:t>s</w:t>
      </w:r>
      <w:r>
        <w:t xml:space="preserve"> that the impact of insurance on Age</w:t>
      </w:r>
      <w:r w:rsidR="003B0A6A">
        <w:t xml:space="preserve"> </w:t>
      </w:r>
      <w:r>
        <w:t xml:space="preserve">Pension outlays is </w:t>
      </w:r>
      <w:r w:rsidR="00BD541D">
        <w:t xml:space="preserve">material </w:t>
      </w:r>
      <w:r w:rsidR="00B74ADA">
        <w:t xml:space="preserve">and that the largest fiscal </w:t>
      </w:r>
      <w:r w:rsidR="00BD541D">
        <w:t xml:space="preserve">benefit </w:t>
      </w:r>
      <w:r w:rsidR="00B74ADA">
        <w:t>of insurance in superannuation</w:t>
      </w:r>
      <w:r w:rsidR="00F94224">
        <w:t xml:space="preserve"> —</w:t>
      </w:r>
      <w:r w:rsidR="00B74ADA">
        <w:t xml:space="preserve"> </w:t>
      </w:r>
      <w:r w:rsidR="00F94224">
        <w:t>on a per</w:t>
      </w:r>
      <w:r w:rsidR="003B0A6A">
        <w:t xml:space="preserve"> </w:t>
      </w:r>
      <w:r w:rsidR="00F94224">
        <w:t xml:space="preserve">person basis — </w:t>
      </w:r>
      <w:r w:rsidR="004A74CE">
        <w:t xml:space="preserve">is </w:t>
      </w:r>
      <w:r w:rsidR="00B74ADA">
        <w:t xml:space="preserve">likely </w:t>
      </w:r>
      <w:r w:rsidR="00AE51B1">
        <w:t>to</w:t>
      </w:r>
      <w:r w:rsidR="00BD541D">
        <w:t xml:space="preserve"> </w:t>
      </w:r>
      <w:r w:rsidR="00B74ADA">
        <w:t xml:space="preserve">apply to IP </w:t>
      </w:r>
      <w:r w:rsidR="00BD541D">
        <w:t>insurance</w:t>
      </w:r>
      <w:r w:rsidR="00883477">
        <w:t xml:space="preserve"> (though the </w:t>
      </w:r>
      <w:r w:rsidR="00A017A7">
        <w:t xml:space="preserve">absolute fiscal </w:t>
      </w:r>
      <w:r w:rsidR="00883477">
        <w:t xml:space="preserve">impact of this effect will be </w:t>
      </w:r>
      <w:r w:rsidR="00A017A7">
        <w:t xml:space="preserve">constrained </w:t>
      </w:r>
      <w:r w:rsidR="00883477">
        <w:t>by the relatively few individuals who have default IP insurance cover</w:t>
      </w:r>
      <w:r w:rsidR="00F94224">
        <w:t>).</w:t>
      </w:r>
    </w:p>
    <w:p w:rsidR="00951EE1" w:rsidRDefault="00C9047D" w:rsidP="0098650A">
      <w:pPr>
        <w:pStyle w:val="BodyText"/>
      </w:pPr>
      <w:r>
        <w:t xml:space="preserve">This section </w:t>
      </w:r>
      <w:r w:rsidR="00B74ADA">
        <w:t xml:space="preserve">presents the results of 12 cameos </w:t>
      </w:r>
      <w:r w:rsidR="003B0A6A">
        <w:t>—</w:t>
      </w:r>
      <w:r w:rsidR="00B74ADA">
        <w:t xml:space="preserve"> combinations of couple status</w:t>
      </w:r>
      <w:r w:rsidR="00C51121">
        <w:t>,</w:t>
      </w:r>
      <w:r w:rsidR="00B74ADA">
        <w:t xml:space="preserve"> income and insurance type.</w:t>
      </w:r>
      <w:r w:rsidR="00021C18">
        <w:t xml:space="preserve"> The fiscal impact</w:t>
      </w:r>
      <w:r w:rsidR="00C51121">
        <w:t>s</w:t>
      </w:r>
      <w:r w:rsidR="00021C18">
        <w:t xml:space="preserve"> for couple</w:t>
      </w:r>
      <w:r w:rsidR="000136D7">
        <w:t>s</w:t>
      </w:r>
      <w:r w:rsidR="00021C18">
        <w:t xml:space="preserve"> are </w:t>
      </w:r>
      <w:r w:rsidR="00195670">
        <w:t xml:space="preserve">calculated </w:t>
      </w:r>
      <w:r w:rsidR="00021C18">
        <w:t xml:space="preserve">at the </w:t>
      </w:r>
      <w:r w:rsidR="00F20E0B">
        <w:t xml:space="preserve">household </w:t>
      </w:r>
      <w:r w:rsidR="00195670">
        <w:t xml:space="preserve">level </w:t>
      </w:r>
      <w:r w:rsidR="00F20E0B">
        <w:t xml:space="preserve">but </w:t>
      </w:r>
      <w:r w:rsidR="00944A1C">
        <w:t xml:space="preserve">only </w:t>
      </w:r>
      <w:r w:rsidR="00F20E0B">
        <w:t>represent the effect of a single household member moving from having no insurance to having insurance in superannuation</w:t>
      </w:r>
      <w:r w:rsidR="00021C18">
        <w:t>.</w:t>
      </w:r>
      <w:r w:rsidR="00D40906">
        <w:rPr>
          <w:rStyle w:val="FootnoteReference"/>
        </w:rPr>
        <w:footnoteReference w:id="13"/>
      </w:r>
    </w:p>
    <w:p w:rsidR="00A961AC" w:rsidRDefault="00982244" w:rsidP="0098650A">
      <w:pPr>
        <w:pStyle w:val="BodyText"/>
      </w:pPr>
      <w:r>
        <w:t>As mentioned previously, a</w:t>
      </w:r>
      <w:r w:rsidR="00A961AC">
        <w:t xml:space="preserve">ll results are </w:t>
      </w:r>
      <w:r w:rsidR="00AE51B1">
        <w:t xml:space="preserve">reported as </w:t>
      </w:r>
      <w:r w:rsidR="00A961AC">
        <w:t>expected or</w:t>
      </w:r>
      <w:r w:rsidR="00F94224">
        <w:t xml:space="preserve"> average</w:t>
      </w:r>
      <w:r w:rsidR="00A961AC" w:rsidDel="00F94224">
        <w:t xml:space="preserve"> </w:t>
      </w:r>
      <w:r w:rsidR="00A961AC">
        <w:t>effects.</w:t>
      </w:r>
    </w:p>
    <w:p w:rsidR="0098650A" w:rsidRDefault="00983859" w:rsidP="00983859">
      <w:pPr>
        <w:pStyle w:val="Heading3"/>
      </w:pPr>
      <w:r>
        <w:t>TPD insurance</w:t>
      </w:r>
    </w:p>
    <w:p w:rsidR="00D9703A" w:rsidRDefault="00D9703A" w:rsidP="00A34A43">
      <w:pPr>
        <w:pStyle w:val="Heading4"/>
        <w:spacing w:before="240"/>
      </w:pPr>
      <w:r>
        <w:t>Singles</w:t>
      </w:r>
    </w:p>
    <w:p w:rsidR="00A41B65" w:rsidRDefault="00AD36DD" w:rsidP="00983859">
      <w:pPr>
        <w:pStyle w:val="BodyText"/>
      </w:pPr>
      <w:r>
        <w:t xml:space="preserve">Simulations </w:t>
      </w:r>
      <w:r w:rsidR="00A41B65">
        <w:t xml:space="preserve">suggest that </w:t>
      </w:r>
      <w:r w:rsidR="005E13CF">
        <w:t>a single worker on a 20</w:t>
      </w:r>
      <w:r w:rsidR="005E13CF" w:rsidRPr="00AD36DD">
        <w:rPr>
          <w:vertAlign w:val="superscript"/>
        </w:rPr>
        <w:t>th</w:t>
      </w:r>
      <w:r w:rsidR="005E13CF">
        <w:t xml:space="preserve"> percentile income</w:t>
      </w:r>
      <w:r w:rsidR="005A53B3">
        <w:t xml:space="preserve"> </w:t>
      </w:r>
      <w:r w:rsidR="00A41B65">
        <w:t>is expected to</w:t>
      </w:r>
      <w:r w:rsidR="00B74ADA">
        <w:t xml:space="preserve"> </w:t>
      </w:r>
      <w:r w:rsidR="00914602">
        <w:t xml:space="preserve">impose </w:t>
      </w:r>
      <w:r w:rsidR="00B74ADA">
        <w:t xml:space="preserve">a net cost </w:t>
      </w:r>
      <w:r w:rsidR="00BD541D">
        <w:t>(</w:t>
      </w:r>
      <w:r w:rsidR="005B6DA6">
        <w:t xml:space="preserve">of </w:t>
      </w:r>
      <w:r w:rsidR="002D3588">
        <w:t>around $3</w:t>
      </w:r>
      <w:r w:rsidR="001566F4">
        <w:t>8</w:t>
      </w:r>
      <w:r w:rsidR="00BD541D">
        <w:t xml:space="preserve">00) </w:t>
      </w:r>
      <w:r w:rsidR="00A41B65">
        <w:t xml:space="preserve">to government </w:t>
      </w:r>
      <w:r w:rsidR="00B74ADA">
        <w:t>from</w:t>
      </w:r>
      <w:r w:rsidR="00A41B65">
        <w:t xml:space="preserve"> having </w:t>
      </w:r>
      <w:r w:rsidR="00CB2D24">
        <w:t xml:space="preserve">TPD </w:t>
      </w:r>
      <w:r w:rsidR="00A41B65">
        <w:t>insurance in super</w:t>
      </w:r>
      <w:r w:rsidR="009A4E9A">
        <w:t>annuation</w:t>
      </w:r>
      <w:r w:rsidR="00AF1B8C">
        <w:t xml:space="preserve"> (figure 5</w:t>
      </w:r>
      <w:r w:rsidR="00982244">
        <w:t>)</w:t>
      </w:r>
      <w:r w:rsidR="00C71E53">
        <w:t>.</w:t>
      </w:r>
      <w:r w:rsidR="00BB4A46">
        <w:rPr>
          <w:rStyle w:val="FootnoteReference"/>
        </w:rPr>
        <w:footnoteReference w:id="14"/>
      </w:r>
    </w:p>
    <w:p w:rsidR="00A41B65" w:rsidRDefault="00A41B65" w:rsidP="00A41B65">
      <w:pPr>
        <w:pStyle w:val="ListBullet"/>
      </w:pPr>
      <w:r w:rsidRPr="00A41B65">
        <w:rPr>
          <w:i/>
        </w:rPr>
        <w:t>DSP payments</w:t>
      </w:r>
      <w:r>
        <w:t xml:space="preserve"> </w:t>
      </w:r>
      <w:r w:rsidR="005B6DA6">
        <w:t xml:space="preserve">— </w:t>
      </w:r>
      <w:r w:rsidR="00AD36DD">
        <w:t>TPD payouts barely red</w:t>
      </w:r>
      <w:r w:rsidR="00C300BF">
        <w:t>uce the DSP payment, especially at younger ages when individuals do not have any significant super</w:t>
      </w:r>
      <w:r w:rsidR="00623046">
        <w:t>annuation</w:t>
      </w:r>
      <w:r w:rsidR="00C300BF">
        <w:t xml:space="preserve"> savings (which are assumed to be paid out with a TPD claim). </w:t>
      </w:r>
    </w:p>
    <w:p w:rsidR="00A41B65" w:rsidRDefault="00A41B65" w:rsidP="00A41B65">
      <w:pPr>
        <w:pStyle w:val="ListBullet2"/>
      </w:pPr>
      <w:r>
        <w:t xml:space="preserve">This supports the </w:t>
      </w:r>
      <w:r w:rsidR="009A4E9A" w:rsidRPr="009A4E9A">
        <w:t>finding</w:t>
      </w:r>
      <w:r>
        <w:t xml:space="preserve"> by KPMG that given the average size of TPD claims </w:t>
      </w:r>
      <w:r w:rsidR="005B6DA6">
        <w:t>(approximately </w:t>
      </w:r>
      <w:r w:rsidR="009A4E9A">
        <w:t>$250 000</w:t>
      </w:r>
      <w:r>
        <w:t>)</w:t>
      </w:r>
      <w:r w:rsidR="00982244">
        <w:t>,</w:t>
      </w:r>
      <w:r>
        <w:t xml:space="preserve"> individuals who receive a TPD claim are likely to receive close to the full DSP payment, implying that TPD insurance is unlikely to lead to significant fiscal savings. </w:t>
      </w:r>
    </w:p>
    <w:p w:rsidR="00AD36DD" w:rsidRDefault="00A41B65" w:rsidP="00A41B65">
      <w:pPr>
        <w:pStyle w:val="ListBullet"/>
      </w:pPr>
      <w:r w:rsidRPr="00A41B65">
        <w:rPr>
          <w:i/>
        </w:rPr>
        <w:t>Age</w:t>
      </w:r>
      <w:r w:rsidR="005B6DA6">
        <w:rPr>
          <w:i/>
        </w:rPr>
        <w:t xml:space="preserve"> </w:t>
      </w:r>
      <w:r w:rsidRPr="00A41B65">
        <w:rPr>
          <w:i/>
        </w:rPr>
        <w:t>Pension payments</w:t>
      </w:r>
      <w:r>
        <w:t xml:space="preserve"> </w:t>
      </w:r>
      <w:r w:rsidR="005B6DA6">
        <w:t xml:space="preserve">— </w:t>
      </w:r>
      <w:r w:rsidR="00E06DEF">
        <w:t>t</w:t>
      </w:r>
      <w:r>
        <w:t xml:space="preserve">he </w:t>
      </w:r>
      <w:r w:rsidR="00C300BF">
        <w:t xml:space="preserve">insurance premiums </w:t>
      </w:r>
      <w:r>
        <w:t xml:space="preserve">paid </w:t>
      </w:r>
      <w:r w:rsidR="00C300BF">
        <w:t xml:space="preserve">over the working life </w:t>
      </w:r>
      <w:r w:rsidR="004E3013">
        <w:t>increases</w:t>
      </w:r>
      <w:r w:rsidR="00C300BF">
        <w:t xml:space="preserve"> the </w:t>
      </w:r>
      <w:r w:rsidR="005E13CF">
        <w:t xml:space="preserve">expected </w:t>
      </w:r>
      <w:r w:rsidR="00C300BF">
        <w:t>Age Pension payments that low</w:t>
      </w:r>
      <w:r w:rsidR="00023567">
        <w:noBreakHyphen/>
      </w:r>
      <w:r w:rsidR="00C300BF">
        <w:t>income individuals receive in retirement</w:t>
      </w:r>
      <w:r>
        <w:t>.</w:t>
      </w:r>
      <w:r w:rsidR="00C300BF">
        <w:t xml:space="preserve"> </w:t>
      </w:r>
      <w:r w:rsidR="009A4E9A">
        <w:t>As mentioned previously,</w:t>
      </w:r>
      <w:r>
        <w:t xml:space="preserve"> even individuals </w:t>
      </w:r>
      <w:r w:rsidR="009A4E9A">
        <w:t>on</w:t>
      </w:r>
      <w:r w:rsidR="00C300BF">
        <w:t xml:space="preserve"> </w:t>
      </w:r>
      <w:r>
        <w:t>a 20</w:t>
      </w:r>
      <w:r w:rsidR="00B74ADA" w:rsidRPr="00B74ADA">
        <w:rPr>
          <w:vertAlign w:val="superscript"/>
        </w:rPr>
        <w:t>th</w:t>
      </w:r>
      <w:r w:rsidR="00B74ADA">
        <w:t xml:space="preserve"> </w:t>
      </w:r>
      <w:r>
        <w:t xml:space="preserve">percentile income </w:t>
      </w:r>
      <w:r w:rsidR="00C300BF">
        <w:t xml:space="preserve">will still </w:t>
      </w:r>
      <w:r w:rsidR="00A34A43">
        <w:t xml:space="preserve">have superannuation balances </w:t>
      </w:r>
      <w:r w:rsidR="00C300BF">
        <w:t xml:space="preserve">around $500 000 </w:t>
      </w:r>
      <w:r w:rsidR="009A4E9A">
        <w:t xml:space="preserve">in real terms </w:t>
      </w:r>
      <w:r w:rsidR="00C300BF">
        <w:t>at retiremen</w:t>
      </w:r>
      <w:r>
        <w:t xml:space="preserve">t under the model’s assumptions, and thus </w:t>
      </w:r>
      <w:r w:rsidR="009A4E9A">
        <w:t xml:space="preserve">will </w:t>
      </w:r>
      <w:r>
        <w:t>not immediately access the full Age Pension.</w:t>
      </w:r>
    </w:p>
    <w:p w:rsidR="00A41B65" w:rsidRPr="00A41B65" w:rsidRDefault="00A41B65" w:rsidP="00A41B65">
      <w:pPr>
        <w:pStyle w:val="ListBullet"/>
        <w:rPr>
          <w:i/>
        </w:rPr>
      </w:pPr>
      <w:r w:rsidRPr="00A41B65">
        <w:rPr>
          <w:i/>
        </w:rPr>
        <w:t>Tax receipts</w:t>
      </w:r>
      <w:r>
        <w:rPr>
          <w:i/>
        </w:rPr>
        <w:t xml:space="preserve"> </w:t>
      </w:r>
      <w:r w:rsidR="005B6DA6">
        <w:t xml:space="preserve">— </w:t>
      </w:r>
      <w:r w:rsidR="00E06DEF">
        <w:t>i</w:t>
      </w:r>
      <w:r w:rsidR="00687354">
        <w:t xml:space="preserve">nsurance premiums lower the </w:t>
      </w:r>
      <w:r w:rsidR="000172FE">
        <w:t xml:space="preserve">investment </w:t>
      </w:r>
      <w:r w:rsidR="00687354">
        <w:t>returns made on superannuation savings and reduce the expected tax received on earnings by around $</w:t>
      </w:r>
      <w:r w:rsidR="00C92715">
        <w:t>5</w:t>
      </w:r>
      <w:r w:rsidR="00687354">
        <w:t>00.</w:t>
      </w:r>
      <w:r>
        <w:rPr>
          <w:i/>
        </w:rPr>
        <w:t xml:space="preserve"> </w:t>
      </w:r>
      <w:r w:rsidR="004F4CAC">
        <w:t>This effect is small, but will exist irrespective of the assets and income of households.</w:t>
      </w:r>
      <w:r w:rsidR="00F264CD">
        <w:t xml:space="preserve"> The </w:t>
      </w:r>
      <w:r w:rsidR="005B6DA6">
        <w:t>expected</w:t>
      </w:r>
      <w:r w:rsidR="00F264CD">
        <w:t xml:space="preserve"> net impact of tax deductions for insurance and stamp duty is </w:t>
      </w:r>
      <w:r w:rsidR="00CC1AC2">
        <w:t xml:space="preserve">a fiscal cost of </w:t>
      </w:r>
      <w:r w:rsidR="00F264CD">
        <w:t>around $200 and will also exist irrespective of the assets and income of households</w:t>
      </w:r>
      <w:r w:rsidR="00C3122E">
        <w:t>.</w:t>
      </w:r>
      <w:r w:rsidR="00C3122E">
        <w:rPr>
          <w:rStyle w:val="FootnoteReference"/>
        </w:rPr>
        <w:footnoteReference w:id="15"/>
      </w:r>
      <w:r w:rsidR="00F264CD">
        <w:t xml:space="preserve"> </w:t>
      </w:r>
      <w:r w:rsidR="00BD541D">
        <w:t xml:space="preserve">Also, the </w:t>
      </w:r>
      <w:r w:rsidR="005B7825">
        <w:t xml:space="preserve">super income stream </w:t>
      </w:r>
      <w:r w:rsidR="00BD541D">
        <w:t xml:space="preserve">withdrawals are too small to tax </w:t>
      </w:r>
      <w:r w:rsidR="00400383">
        <w:t xml:space="preserve">for low-income individuals once </w:t>
      </w:r>
      <w:r w:rsidR="00BD541D">
        <w:t xml:space="preserve">the </w:t>
      </w:r>
      <w:r w:rsidR="00C71E53">
        <w:t xml:space="preserve">15 per cent super income stream </w:t>
      </w:r>
      <w:r w:rsidR="00BD541D">
        <w:t xml:space="preserve">tax offset is </w:t>
      </w:r>
      <w:r w:rsidR="00C71E53">
        <w:t>applied</w:t>
      </w:r>
      <w:r w:rsidR="005621C3">
        <w:t>.</w:t>
      </w:r>
      <w:r w:rsidR="00C92715" w:rsidRPr="00C92715">
        <w:t xml:space="preserve"> </w:t>
      </w:r>
      <w:r w:rsidR="00C92715">
        <w:t xml:space="preserve">The net tax impact is </w:t>
      </w:r>
      <w:r w:rsidR="00400383">
        <w:t xml:space="preserve">a fiscal cost of </w:t>
      </w:r>
      <w:r w:rsidR="00C92715">
        <w:t>$700.</w:t>
      </w:r>
    </w:p>
    <w:p w:rsidR="00240ACE" w:rsidRDefault="00585F5C" w:rsidP="00951EE1">
      <w:pPr>
        <w:pStyle w:val="BodyText"/>
      </w:pPr>
      <w:r>
        <w:t>The Commission’s simulations also show a</w:t>
      </w:r>
      <w:r w:rsidR="00C300BF">
        <w:t xml:space="preserve"> single worker on a 50</w:t>
      </w:r>
      <w:r w:rsidR="00C300BF" w:rsidRPr="00C300BF">
        <w:rPr>
          <w:vertAlign w:val="superscript"/>
        </w:rPr>
        <w:t>th</w:t>
      </w:r>
      <w:r w:rsidR="00C300BF">
        <w:t xml:space="preserve"> percentile income </w:t>
      </w:r>
      <w:r w:rsidR="00687354">
        <w:t xml:space="preserve">is expected to </w:t>
      </w:r>
      <w:r w:rsidR="00E106E1">
        <w:t>create</w:t>
      </w:r>
      <w:r w:rsidR="00687354">
        <w:t xml:space="preserve"> a small </w:t>
      </w:r>
      <w:r w:rsidR="00073267">
        <w:t xml:space="preserve">fiscal </w:t>
      </w:r>
      <w:r w:rsidR="005105DD">
        <w:t xml:space="preserve">cost </w:t>
      </w:r>
      <w:r w:rsidR="00073267">
        <w:t>from having insurance in superannuation</w:t>
      </w:r>
      <w:r w:rsidR="00687354">
        <w:t xml:space="preserve">. This individual </w:t>
      </w:r>
      <w:r w:rsidR="00C300BF">
        <w:t>ha</w:t>
      </w:r>
      <w:r w:rsidR="00687354">
        <w:t>s</w:t>
      </w:r>
      <w:r w:rsidR="00C300BF">
        <w:t xml:space="preserve"> more savings at any given point in their life </w:t>
      </w:r>
      <w:r w:rsidR="00687354">
        <w:t xml:space="preserve">than a lower income individual, which means that </w:t>
      </w:r>
      <w:r w:rsidR="00C300BF">
        <w:t xml:space="preserve">a TPD claim </w:t>
      </w:r>
      <w:r w:rsidR="009A4E9A">
        <w:t>is</w:t>
      </w:r>
      <w:r w:rsidR="00687354">
        <w:t xml:space="preserve"> more </w:t>
      </w:r>
      <w:r w:rsidR="009A4E9A">
        <w:t>likely</w:t>
      </w:r>
      <w:r w:rsidR="00687354">
        <w:t xml:space="preserve"> to reduce </w:t>
      </w:r>
      <w:r w:rsidR="00C300BF">
        <w:t xml:space="preserve">DSP payments. </w:t>
      </w:r>
      <w:r w:rsidR="00687354">
        <w:t>It also takes longer for middle</w:t>
      </w:r>
      <w:r w:rsidR="00023567">
        <w:noBreakHyphen/>
      </w:r>
      <w:r w:rsidR="00687354">
        <w:t xml:space="preserve">income </w:t>
      </w:r>
      <w:r w:rsidR="00C300BF">
        <w:t xml:space="preserve">individuals </w:t>
      </w:r>
      <w:r w:rsidR="00240ACE">
        <w:t xml:space="preserve">to receive </w:t>
      </w:r>
      <w:r w:rsidR="00073267">
        <w:t xml:space="preserve">the </w:t>
      </w:r>
      <w:r w:rsidR="00240ACE">
        <w:t>Age Pension (</w:t>
      </w:r>
      <w:r w:rsidR="00687354">
        <w:t xml:space="preserve">as </w:t>
      </w:r>
      <w:r w:rsidR="00240ACE">
        <w:t xml:space="preserve">they have more savings at retirement) so paying insurance premiums has a </w:t>
      </w:r>
      <w:r w:rsidR="00E106E1">
        <w:t>smaller</w:t>
      </w:r>
      <w:r w:rsidR="00240ACE">
        <w:t xml:space="preserve"> impact on Age</w:t>
      </w:r>
      <w:r>
        <w:t xml:space="preserve"> </w:t>
      </w:r>
      <w:r w:rsidR="00240ACE">
        <w:t xml:space="preserve">Pension payments. </w:t>
      </w:r>
    </w:p>
    <w:p w:rsidR="00EE5A00" w:rsidRDefault="00EE5A00" w:rsidP="00EE5A0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E5A00" w:rsidTr="00A20DBE">
        <w:trPr>
          <w:tblHeader/>
        </w:trPr>
        <w:tc>
          <w:tcPr>
            <w:tcW w:w="5000" w:type="pct"/>
            <w:tcBorders>
              <w:top w:val="single" w:sz="6" w:space="0" w:color="78A22F"/>
              <w:left w:val="nil"/>
              <w:bottom w:val="nil"/>
              <w:right w:val="nil"/>
            </w:tcBorders>
            <w:shd w:val="clear" w:color="auto" w:fill="auto"/>
          </w:tcPr>
          <w:p w:rsidR="00EE5A00" w:rsidRDefault="00EE5A00" w:rsidP="00A20DBE">
            <w:pPr>
              <w:pStyle w:val="FigureTitle"/>
            </w:pPr>
            <w:r w:rsidRPr="00784A05">
              <w:rPr>
                <w:b w:val="0"/>
              </w:rPr>
              <w:t xml:space="preserve">Figure </w:t>
            </w:r>
            <w:r>
              <w:rPr>
                <w:b w:val="0"/>
                <w:noProof/>
              </w:rPr>
              <w:t>5</w:t>
            </w:r>
            <w:r>
              <w:tab/>
              <w:t>Net fiscal impacts of TPD insurance</w:t>
            </w:r>
            <w:r w:rsidRPr="008476C1">
              <w:rPr>
                <w:rStyle w:val="NoteLabel"/>
                <w:b/>
              </w:rPr>
              <w:t>a</w:t>
            </w:r>
          </w:p>
          <w:p w:rsidR="00EE5A00" w:rsidRPr="00176D3F" w:rsidRDefault="00EE5A00" w:rsidP="00A20DBE">
            <w:pPr>
              <w:pStyle w:val="Subtitle"/>
            </w:pPr>
            <w:r>
              <w:t>Selected cameos</w:t>
            </w:r>
          </w:p>
        </w:tc>
      </w:tr>
      <w:tr w:rsidR="00EE5A00" w:rsidTr="00A20DB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E5A00" w:rsidRPr="00B1465D" w:rsidTr="00A20DBE">
              <w:trPr>
                <w:tblHeader/>
                <w:jc w:val="center"/>
              </w:trPr>
              <w:tc>
                <w:tcPr>
                  <w:tcW w:w="5000" w:type="pct"/>
                  <w:tcBorders>
                    <w:top w:val="nil"/>
                    <w:bottom w:val="nil"/>
                  </w:tcBorders>
                </w:tcPr>
                <w:p w:rsidR="00EE5A00" w:rsidRPr="00B1465D" w:rsidRDefault="00546D76" w:rsidP="00A20DBE">
                  <w:pPr>
                    <w:pStyle w:val="Figure"/>
                    <w:spacing w:before="60" w:after="60"/>
                    <w:rPr>
                      <w:rFonts w:ascii="Arial" w:hAnsi="Arial" w:cs="Arial"/>
                      <w:sz w:val="18"/>
                      <w:szCs w:val="18"/>
                    </w:rPr>
                  </w:pPr>
                  <w:r w:rsidRPr="00D004D3">
                    <w:rPr>
                      <w:rFonts w:ascii="Arial" w:hAnsi="Arial" w:cs="Arial"/>
                      <w:noProof/>
                      <w:sz w:val="18"/>
                      <w:szCs w:val="18"/>
                    </w:rPr>
                    <w:drawing>
                      <wp:inline distT="0" distB="0" distL="0" distR="0" wp14:anchorId="30C46156" wp14:editId="78D7004C">
                        <wp:extent cx="5394960" cy="2506980"/>
                        <wp:effectExtent l="0" t="0" r="0" b="0"/>
                        <wp:docPr id="8" name="Picture 8" descr="This figure shows the composition of net fiscal impacts for selected cameos from TPD insurance. For single individuals, there is a fiscal cost at lower incomes, with a fiscal benefit at higher incomes. For a member of a couple, there is a net fiscal cost at all assessed income levels, but it is larger for the lower income individual." title="Net fiscal impacts of TPD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94960" cy="2506980"/>
                                </a:xfrm>
                                <a:prstGeom prst="rect">
                                  <a:avLst/>
                                </a:prstGeom>
                                <a:noFill/>
                                <a:ln>
                                  <a:noFill/>
                                </a:ln>
                              </pic:spPr>
                            </pic:pic>
                          </a:graphicData>
                        </a:graphic>
                      </wp:inline>
                    </w:drawing>
                  </w:r>
                </w:p>
              </w:tc>
            </w:tr>
            <w:tr w:rsidR="002D4C3B" w:rsidRPr="00B1465D" w:rsidTr="00A20DBE">
              <w:trPr>
                <w:tblHeader/>
                <w:jc w:val="center"/>
              </w:trPr>
              <w:tc>
                <w:tcPr>
                  <w:tcW w:w="5000" w:type="pct"/>
                  <w:tcBorders>
                    <w:top w:val="nil"/>
                    <w:bottom w:val="nil"/>
                  </w:tcBorders>
                </w:tcPr>
                <w:p w:rsidR="002D4C3B" w:rsidRPr="002D4C3B" w:rsidRDefault="00546D76" w:rsidP="00A20DBE">
                  <w:pPr>
                    <w:pStyle w:val="Figure"/>
                    <w:spacing w:before="60" w:after="60"/>
                    <w:rPr>
                      <w:rFonts w:ascii="Arial" w:hAnsi="Arial" w:cs="Arial"/>
                      <w:noProof/>
                      <w:sz w:val="18"/>
                      <w:szCs w:val="18"/>
                    </w:rPr>
                  </w:pPr>
                  <w:r>
                    <w:rPr>
                      <w:noProof/>
                    </w:rPr>
                    <w:drawing>
                      <wp:inline distT="0" distB="0" distL="0" distR="0" wp14:anchorId="5FB686DD" wp14:editId="7860C4B1">
                        <wp:extent cx="5400346" cy="2160000"/>
                        <wp:effectExtent l="0" t="0" r="0" b="0"/>
                        <wp:docPr id="37" name="Picture 37" descr="This figure shows the composition of net fiscal impacts for selected cameos from TPD insurance. For single individuals, there is a fiscal cost at lower incomes, with a fiscal benefit at higher incomes. For a member of a couple, there is a net fiscal cost at all assessed income levels, but it is larger for the lower income individual." title="Net fiscal impacts of TPD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ouple.plot.TPD.em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346" cy="2160000"/>
                                </a:xfrm>
                                <a:prstGeom prst="rect">
                                  <a:avLst/>
                                </a:prstGeom>
                              </pic:spPr>
                            </pic:pic>
                          </a:graphicData>
                        </a:graphic>
                      </wp:inline>
                    </w:drawing>
                  </w:r>
                </w:p>
              </w:tc>
            </w:tr>
          </w:tbl>
          <w:p w:rsidR="00EE5A00" w:rsidRDefault="00EE5A00" w:rsidP="00A20DBE">
            <w:pPr>
              <w:pStyle w:val="Figure"/>
            </w:pPr>
          </w:p>
        </w:tc>
      </w:tr>
      <w:tr w:rsidR="00EE5A00" w:rsidRPr="00176D3F" w:rsidTr="00A20DBE">
        <w:tc>
          <w:tcPr>
            <w:tcW w:w="5000" w:type="pct"/>
            <w:tcBorders>
              <w:top w:val="nil"/>
              <w:left w:val="nil"/>
              <w:bottom w:val="nil"/>
              <w:right w:val="nil"/>
            </w:tcBorders>
            <w:shd w:val="clear" w:color="auto" w:fill="auto"/>
          </w:tcPr>
          <w:p w:rsidR="00EE5A00" w:rsidRPr="00176D3F" w:rsidRDefault="00EE5A00" w:rsidP="00A20DBE">
            <w:pPr>
              <w:pStyle w:val="Note"/>
            </w:pPr>
            <w:r>
              <w:rPr>
                <w:rStyle w:val="NoteLabel"/>
              </w:rPr>
              <w:t>a</w:t>
            </w:r>
            <w:r>
              <w:t xml:space="preserve"> All results are presented as NPVs and represent the weighted sum of all the possible outcomes (that is, never claiming, claiming at 22, etc.) that an individual can face. </w:t>
            </w:r>
          </w:p>
        </w:tc>
      </w:tr>
      <w:tr w:rsidR="00EE5A00" w:rsidRPr="00176D3F" w:rsidTr="00A20DBE">
        <w:tc>
          <w:tcPr>
            <w:tcW w:w="5000" w:type="pct"/>
            <w:tcBorders>
              <w:top w:val="nil"/>
              <w:left w:val="nil"/>
              <w:bottom w:val="nil"/>
              <w:right w:val="nil"/>
            </w:tcBorders>
            <w:shd w:val="clear" w:color="auto" w:fill="auto"/>
          </w:tcPr>
          <w:p w:rsidR="00EE5A00" w:rsidRPr="00176D3F" w:rsidRDefault="00EE5A00" w:rsidP="00A20DBE">
            <w:pPr>
              <w:pStyle w:val="Source"/>
            </w:pPr>
            <w:r>
              <w:rPr>
                <w:i/>
              </w:rPr>
              <w:t>S</w:t>
            </w:r>
            <w:r w:rsidRPr="00784A05">
              <w:rPr>
                <w:i/>
              </w:rPr>
              <w:t>ource</w:t>
            </w:r>
            <w:r w:rsidRPr="00176D3F">
              <w:t>:</w:t>
            </w:r>
            <w:r>
              <w:t xml:space="preserve"> Productivity Commission estimates.</w:t>
            </w:r>
          </w:p>
        </w:tc>
      </w:tr>
      <w:tr w:rsidR="00EE5A00" w:rsidTr="00A20DBE">
        <w:tc>
          <w:tcPr>
            <w:tcW w:w="5000" w:type="pct"/>
            <w:tcBorders>
              <w:top w:val="nil"/>
              <w:left w:val="nil"/>
              <w:bottom w:val="single" w:sz="6" w:space="0" w:color="78A22F"/>
              <w:right w:val="nil"/>
            </w:tcBorders>
            <w:shd w:val="clear" w:color="auto" w:fill="auto"/>
          </w:tcPr>
          <w:p w:rsidR="00EE5A00" w:rsidRDefault="00EE5A00" w:rsidP="00A20DBE">
            <w:pPr>
              <w:pStyle w:val="Figurespace"/>
            </w:pPr>
          </w:p>
        </w:tc>
      </w:tr>
      <w:tr w:rsidR="00EE5A00" w:rsidRPr="000863A5" w:rsidTr="00A20DBE">
        <w:tc>
          <w:tcPr>
            <w:tcW w:w="5000" w:type="pct"/>
            <w:tcBorders>
              <w:top w:val="single" w:sz="6" w:space="0" w:color="78A22F"/>
              <w:left w:val="nil"/>
              <w:bottom w:val="nil"/>
              <w:right w:val="nil"/>
            </w:tcBorders>
          </w:tcPr>
          <w:p w:rsidR="00EE5A00" w:rsidRPr="00626D32" w:rsidRDefault="00EE5A00" w:rsidP="00A20DBE">
            <w:pPr>
              <w:pStyle w:val="BoxSpaceBelow"/>
            </w:pPr>
          </w:p>
        </w:tc>
      </w:tr>
    </w:tbl>
    <w:p w:rsidR="00240ACE" w:rsidRDefault="00687354" w:rsidP="00951EE1">
      <w:pPr>
        <w:pStyle w:val="BodyText"/>
      </w:pPr>
      <w:r>
        <w:t xml:space="preserve">The same trends continue </w:t>
      </w:r>
      <w:r w:rsidR="00073267">
        <w:t xml:space="preserve">with </w:t>
      </w:r>
      <w:r>
        <w:t>high</w:t>
      </w:r>
      <w:r w:rsidR="00E106E1">
        <w:t>er</w:t>
      </w:r>
      <w:r>
        <w:t xml:space="preserve"> income workers, such that </w:t>
      </w:r>
      <w:r w:rsidR="00240ACE">
        <w:t>for a worker on an 80</w:t>
      </w:r>
      <w:r w:rsidR="00240ACE" w:rsidRPr="00240ACE">
        <w:rPr>
          <w:vertAlign w:val="superscript"/>
        </w:rPr>
        <w:t>th</w:t>
      </w:r>
      <w:r>
        <w:t xml:space="preserve"> percentile income, insurance in super</w:t>
      </w:r>
      <w:r w:rsidR="007B2CE4">
        <w:t>annuation</w:t>
      </w:r>
      <w:r>
        <w:t xml:space="preserve"> is expected to </w:t>
      </w:r>
      <w:r w:rsidR="00E106E1">
        <w:t>result in a small</w:t>
      </w:r>
      <w:r w:rsidR="00240ACE">
        <w:t xml:space="preserve"> </w:t>
      </w:r>
      <w:r w:rsidR="00073267">
        <w:t>fiscal benefit</w:t>
      </w:r>
      <w:r w:rsidR="00240ACE">
        <w:t xml:space="preserve"> to the government</w:t>
      </w:r>
      <w:r w:rsidR="00A54C2B">
        <w:t xml:space="preserve"> ($1</w:t>
      </w:r>
      <w:r w:rsidR="001566F4">
        <w:t>7</w:t>
      </w:r>
      <w:r>
        <w:t>00)</w:t>
      </w:r>
      <w:r w:rsidR="00240ACE">
        <w:t>.</w:t>
      </w:r>
      <w:r w:rsidR="00BD541D" w:rsidRPr="0024132C">
        <w:rPr>
          <w:rStyle w:val="FootnoteReference"/>
        </w:rPr>
        <w:footnoteReference w:id="16"/>
      </w:r>
    </w:p>
    <w:p w:rsidR="00D9703A" w:rsidRDefault="00D9703A" w:rsidP="00D9703A">
      <w:pPr>
        <w:pStyle w:val="Heading4"/>
      </w:pPr>
      <w:r>
        <w:t>Couples</w:t>
      </w:r>
    </w:p>
    <w:p w:rsidR="006937E9" w:rsidRDefault="00D9703A" w:rsidP="00951EE1">
      <w:pPr>
        <w:pStyle w:val="BodyText"/>
      </w:pPr>
      <w:r>
        <w:t xml:space="preserve">In </w:t>
      </w:r>
      <w:r w:rsidR="00517214">
        <w:t xml:space="preserve">scenarios where </w:t>
      </w:r>
      <w:r>
        <w:t xml:space="preserve">both </w:t>
      </w:r>
      <w:r w:rsidR="00517214">
        <w:t>members</w:t>
      </w:r>
      <w:r>
        <w:t xml:space="preserve"> </w:t>
      </w:r>
      <w:r w:rsidR="00517214">
        <w:t xml:space="preserve">of a couple </w:t>
      </w:r>
      <w:r>
        <w:t>work</w:t>
      </w:r>
      <w:r w:rsidR="00240ACE">
        <w:t xml:space="preserve">, </w:t>
      </w:r>
      <w:r>
        <w:t xml:space="preserve">and </w:t>
      </w:r>
      <w:r w:rsidR="00517214">
        <w:t xml:space="preserve">where </w:t>
      </w:r>
      <w:r w:rsidR="00240ACE">
        <w:t>the partner continues working when an individual makes a TPD claim,</w:t>
      </w:r>
      <w:r w:rsidR="00517214">
        <w:t xml:space="preserve"> the partner</w:t>
      </w:r>
      <w:r w:rsidR="00195D1E">
        <w:t>’</w:t>
      </w:r>
      <w:r w:rsidR="00517214">
        <w:t xml:space="preserve">s income will </w:t>
      </w:r>
      <w:r w:rsidR="00982244">
        <w:t xml:space="preserve">largely </w:t>
      </w:r>
      <w:r w:rsidR="00517214">
        <w:t>determine the DSP payment that the individual receives</w:t>
      </w:r>
      <w:r w:rsidR="00240ACE">
        <w:t>.</w:t>
      </w:r>
      <w:r w:rsidR="009A4E9A">
        <w:rPr>
          <w:rStyle w:val="FootnoteReference"/>
        </w:rPr>
        <w:footnoteReference w:id="17"/>
      </w:r>
      <w:r w:rsidR="00517214">
        <w:t xml:space="preserve"> For high</w:t>
      </w:r>
      <w:r w:rsidR="00023567">
        <w:noBreakHyphen/>
      </w:r>
      <w:r w:rsidR="00517214">
        <w:t xml:space="preserve">income partners, no DSP payment will be paid, </w:t>
      </w:r>
      <w:r w:rsidR="00195D1E">
        <w:t xml:space="preserve">but </w:t>
      </w:r>
      <w:r w:rsidR="00517214">
        <w:t>for lower income partners a part pension may be paid.</w:t>
      </w:r>
      <w:r w:rsidR="00240ACE">
        <w:t xml:space="preserve"> </w:t>
      </w:r>
      <w:r w:rsidR="0027315E">
        <w:t>Furthermore</w:t>
      </w:r>
      <w:r w:rsidR="00195D1E">
        <w:t>,</w:t>
      </w:r>
      <w:r w:rsidR="0027315E">
        <w:t xml:space="preserve"> the </w:t>
      </w:r>
      <w:r w:rsidR="00131769">
        <w:t xml:space="preserve">reduction in the DSP payment rate associated with </w:t>
      </w:r>
      <w:r w:rsidR="006218B7">
        <w:t xml:space="preserve">additional </w:t>
      </w:r>
      <w:r w:rsidR="00131769">
        <w:t>income is halved for couples, lessening the impact of the TPD claim through the deemed income calculation.</w:t>
      </w:r>
      <w:r w:rsidR="00131769" w:rsidRPr="0024132C">
        <w:rPr>
          <w:rStyle w:val="FootnoteReference"/>
        </w:rPr>
        <w:footnoteReference w:id="18"/>
      </w:r>
      <w:r w:rsidR="006218B7">
        <w:t xml:space="preserve"> This results in negligible </w:t>
      </w:r>
      <w:r w:rsidR="00CA2BDF">
        <w:t xml:space="preserve">expected </w:t>
      </w:r>
      <w:r w:rsidR="006218B7">
        <w:t>fiscal benefits from insurance through lower DSP payments.</w:t>
      </w:r>
    </w:p>
    <w:p w:rsidR="009F312A" w:rsidRDefault="006218B7" w:rsidP="00951EE1">
      <w:pPr>
        <w:pStyle w:val="BodyText"/>
      </w:pPr>
      <w:r>
        <w:t>For i</w:t>
      </w:r>
      <w:r w:rsidR="00240ACE">
        <w:t xml:space="preserve">ndividuals </w:t>
      </w:r>
      <w:r>
        <w:t>in</w:t>
      </w:r>
      <w:r w:rsidR="006937E9">
        <w:t xml:space="preserve"> </w:t>
      </w:r>
      <w:r w:rsidR="00BD541D">
        <w:t>low</w:t>
      </w:r>
      <w:r w:rsidR="00023567">
        <w:noBreakHyphen/>
      </w:r>
      <w:r w:rsidR="00BD541D">
        <w:t xml:space="preserve">income </w:t>
      </w:r>
      <w:r w:rsidR="000136D7">
        <w:t>couples</w:t>
      </w:r>
      <w:r w:rsidR="004F4CAC">
        <w:t>, insurance in super</w:t>
      </w:r>
      <w:r w:rsidR="00CA2BDF">
        <w:t>annuation</w:t>
      </w:r>
      <w:r w:rsidR="004F4CAC">
        <w:t xml:space="preserve"> leads to higher expected Age</w:t>
      </w:r>
      <w:r w:rsidR="00EA2C32">
        <w:t xml:space="preserve"> </w:t>
      </w:r>
      <w:r w:rsidR="004F4CAC">
        <w:t>Pensi</w:t>
      </w:r>
      <w:r w:rsidR="008966C2">
        <w:t>on payments, resulting in a</w:t>
      </w:r>
      <w:r w:rsidR="004F4CAC">
        <w:t xml:space="preserve"> net cost to government (given the lack of DSP</w:t>
      </w:r>
      <w:r w:rsidR="00023567">
        <w:noBreakHyphen/>
      </w:r>
      <w:r w:rsidR="004F4CAC">
        <w:t xml:space="preserve">related </w:t>
      </w:r>
      <w:r w:rsidR="0052117C">
        <w:t>fiscal benefits</w:t>
      </w:r>
      <w:r w:rsidR="004F4CAC">
        <w:t>).</w:t>
      </w:r>
    </w:p>
    <w:p w:rsidR="004F4CAC" w:rsidRDefault="004F4CAC" w:rsidP="00951EE1">
      <w:pPr>
        <w:pStyle w:val="BodyText"/>
      </w:pPr>
      <w:r>
        <w:t xml:space="preserve">For individuals in </w:t>
      </w:r>
      <w:r w:rsidR="00971F99">
        <w:t>middle</w:t>
      </w:r>
      <w:r w:rsidR="000227BB">
        <w:noBreakHyphen/>
      </w:r>
      <w:r w:rsidR="00971F99">
        <w:t xml:space="preserve"> and </w:t>
      </w:r>
      <w:r>
        <w:t>high</w:t>
      </w:r>
      <w:r w:rsidR="00023567">
        <w:noBreakHyphen/>
      </w:r>
      <w:r>
        <w:t xml:space="preserve">income </w:t>
      </w:r>
      <w:r w:rsidR="000136D7">
        <w:t>couples</w:t>
      </w:r>
      <w:r>
        <w:t xml:space="preserve">, there is a negligible </w:t>
      </w:r>
      <w:r w:rsidR="00073267">
        <w:t>fiscal cost</w:t>
      </w:r>
      <w:r>
        <w:t>. There are no DSP</w:t>
      </w:r>
      <w:r w:rsidR="00023567">
        <w:noBreakHyphen/>
      </w:r>
      <w:r>
        <w:t xml:space="preserve">related </w:t>
      </w:r>
      <w:r w:rsidR="0052117C">
        <w:t>fiscal benefits</w:t>
      </w:r>
      <w:r>
        <w:t>, and the couple is too wealthy to be able to access the Age Pension</w:t>
      </w:r>
      <w:r w:rsidR="00BC2D3A">
        <w:t xml:space="preserve"> until late in retirement</w:t>
      </w:r>
      <w:r>
        <w:t>. Indeed for this cohort, the loss of superannuation earnings tax revenue associated w</w:t>
      </w:r>
      <w:r w:rsidR="00EE5A00">
        <w:t>ith paying insurance premiums has</w:t>
      </w:r>
      <w:r>
        <w:t xml:space="preserve"> the largest (but still trivial) effect. </w:t>
      </w:r>
    </w:p>
    <w:p w:rsidR="00160A2B" w:rsidRDefault="00983859" w:rsidP="00160A2B">
      <w:pPr>
        <w:pStyle w:val="Heading3"/>
      </w:pPr>
      <w:r w:rsidRPr="001E3844">
        <w:t>IP</w:t>
      </w:r>
      <w:r>
        <w:t xml:space="preserve"> </w:t>
      </w:r>
      <w:r w:rsidR="00BD541D">
        <w:t>insurance</w:t>
      </w:r>
    </w:p>
    <w:p w:rsidR="00EE5A00" w:rsidRDefault="00EE5A00" w:rsidP="00EE5A00">
      <w:pPr>
        <w:pStyle w:val="BodyText"/>
      </w:pPr>
      <w:r>
        <w:t>For single individuals, IP insurance represents a more significant benefit to government than TPD insurance (figure 6). This is because IP payments typically provide a monthly income that is large enough (approximately $3000 or 75 per cent of pre</w:t>
      </w:r>
      <w:r>
        <w:noBreakHyphen/>
        <w:t>injury wage income, whichever is lower) to substantially reduce DSP payments.</w:t>
      </w:r>
      <w:r>
        <w:rPr>
          <w:rStyle w:val="FootnoteReference"/>
        </w:rPr>
        <w:footnoteReference w:id="19"/>
      </w:r>
      <w:r>
        <w:rPr>
          <w:rStyle w:val="FootnoteReference"/>
        </w:rPr>
        <w:footnoteReference w:id="20"/>
      </w:r>
      <w:r>
        <w:t xml:space="preserve"> Also, IP payments are taxable and generate revenue for the government — the expected taxation revenue from IP payments more than offsets the expected loss in tax revenue from superannuation earnings when insurance premiums are paid (the net taxation effect is around $1300 for the middle</w:t>
      </w:r>
      <w:r>
        <w:noBreakHyphen/>
        <w:t xml:space="preserve"> and high</w:t>
      </w:r>
      <w:r>
        <w:noBreakHyphen/>
        <w:t>income scenarios in the IP simulations).</w:t>
      </w:r>
    </w:p>
    <w:p w:rsidR="00983859" w:rsidRDefault="00983859" w:rsidP="00ED26B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83859" w:rsidTr="00ED26BE">
        <w:trPr>
          <w:tblHeader/>
        </w:trPr>
        <w:tc>
          <w:tcPr>
            <w:tcW w:w="5000" w:type="pct"/>
            <w:tcBorders>
              <w:top w:val="single" w:sz="6" w:space="0" w:color="78A22F"/>
              <w:left w:val="nil"/>
              <w:bottom w:val="nil"/>
              <w:right w:val="nil"/>
            </w:tcBorders>
            <w:shd w:val="clear" w:color="auto" w:fill="auto"/>
          </w:tcPr>
          <w:p w:rsidR="00983859" w:rsidRDefault="00983859" w:rsidP="00ED26BE">
            <w:pPr>
              <w:pStyle w:val="FigureTitle"/>
            </w:pPr>
            <w:r w:rsidRPr="00784A05">
              <w:rPr>
                <w:b w:val="0"/>
              </w:rPr>
              <w:t xml:space="preserve">Figure </w:t>
            </w:r>
            <w:r w:rsidR="00A11CF5">
              <w:rPr>
                <w:b w:val="0"/>
                <w:noProof/>
              </w:rPr>
              <w:t>6</w:t>
            </w:r>
            <w:r w:rsidR="002A4490">
              <w:tab/>
              <w:t>Net fiscal impacts of IP insurance</w:t>
            </w:r>
            <w:r w:rsidR="00D208A0" w:rsidRPr="008476C1">
              <w:rPr>
                <w:rStyle w:val="NoteLabel"/>
                <w:b/>
              </w:rPr>
              <w:t>a</w:t>
            </w:r>
            <w:r w:rsidR="002A4490">
              <w:t xml:space="preserve"> </w:t>
            </w:r>
          </w:p>
          <w:p w:rsidR="00983859" w:rsidRPr="00176D3F" w:rsidRDefault="002A4490" w:rsidP="00ED26BE">
            <w:pPr>
              <w:pStyle w:val="Subtitle"/>
            </w:pPr>
            <w:r>
              <w:t>Selected cameos</w:t>
            </w:r>
          </w:p>
        </w:tc>
      </w:tr>
      <w:tr w:rsidR="00983859" w:rsidTr="00ED26B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83859" w:rsidRPr="00B1465D" w:rsidTr="00ED26BE">
              <w:trPr>
                <w:tblHeader/>
                <w:jc w:val="center"/>
              </w:trPr>
              <w:tc>
                <w:tcPr>
                  <w:tcW w:w="5000" w:type="pct"/>
                  <w:tcBorders>
                    <w:top w:val="nil"/>
                    <w:bottom w:val="nil"/>
                  </w:tcBorders>
                </w:tcPr>
                <w:p w:rsidR="000C43FE" w:rsidRPr="00B1465D" w:rsidRDefault="000127DB" w:rsidP="00ED26BE">
                  <w:pPr>
                    <w:pStyle w:val="Figure"/>
                    <w:spacing w:before="60" w:after="60"/>
                    <w:rPr>
                      <w:rFonts w:ascii="Arial" w:hAnsi="Arial" w:cs="Arial"/>
                      <w:sz w:val="18"/>
                      <w:szCs w:val="18"/>
                    </w:rPr>
                  </w:pPr>
                  <w:r w:rsidRPr="000127DB">
                    <w:rPr>
                      <w:rFonts w:ascii="Arial" w:hAnsi="Arial" w:cs="Arial"/>
                      <w:noProof/>
                      <w:sz w:val="18"/>
                      <w:szCs w:val="18"/>
                    </w:rPr>
                    <w:drawing>
                      <wp:inline distT="0" distB="0" distL="0" distR="0" wp14:anchorId="0592AB43" wp14:editId="573C9DB6">
                        <wp:extent cx="5342467" cy="2478749"/>
                        <wp:effectExtent l="0" t="0" r="0" b="0"/>
                        <wp:docPr id="21" name="Picture 21" descr="This figure shows the composition of net fiscal impacts for selected cameos from IP insurance. For single individuals, there is a slight fiscal cost at the lower income, with relatively large fiscal benefits at median and higher incomes. For a member of a couple, there is a net fiscal cost at the lower income, but fiscal beenefits for median and higher incomes, albeit of lower magnitude than in the case of a single individual." title="Net fiscal impacts of IP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5097" cy="2479969"/>
                                </a:xfrm>
                                <a:prstGeom prst="rect">
                                  <a:avLst/>
                                </a:prstGeom>
                                <a:noFill/>
                                <a:ln>
                                  <a:noFill/>
                                </a:ln>
                              </pic:spPr>
                            </pic:pic>
                          </a:graphicData>
                        </a:graphic>
                      </wp:inline>
                    </w:drawing>
                  </w:r>
                  <w:r w:rsidR="002E3AA4">
                    <w:rPr>
                      <w:noProof/>
                    </w:rPr>
                    <w:drawing>
                      <wp:inline distT="0" distB="0" distL="0" distR="0" wp14:anchorId="7C2DAF32" wp14:editId="7FA710B0">
                        <wp:extent cx="5400346" cy="2160000"/>
                        <wp:effectExtent l="0" t="0" r="0" b="0"/>
                        <wp:docPr id="38" name="Picture 38" descr="This figure shows the composition of net fiscal impacts for selected cameos from IP insurance. For single individuals, there is a slight fiscal cost at the lower income, with relatively large fiscal benefits at median and higher incomes. For a member of a couple, there is a net fiscal cost at the lower income, but fiscal beenefits for median and higher incomes, albeit of lower magnitude than in the case of a single individual." title="Net fiscal impacts of IP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ouple.plot.IP.em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00346" cy="2160000"/>
                                </a:xfrm>
                                <a:prstGeom prst="rect">
                                  <a:avLst/>
                                </a:prstGeom>
                              </pic:spPr>
                            </pic:pic>
                          </a:graphicData>
                        </a:graphic>
                      </wp:inline>
                    </w:drawing>
                  </w:r>
                </w:p>
              </w:tc>
            </w:tr>
          </w:tbl>
          <w:p w:rsidR="00983859" w:rsidRDefault="00983859" w:rsidP="00ED26BE">
            <w:pPr>
              <w:pStyle w:val="Figure"/>
            </w:pPr>
          </w:p>
        </w:tc>
      </w:tr>
      <w:tr w:rsidR="00983859" w:rsidRPr="00176D3F" w:rsidTr="00ED26BE">
        <w:tc>
          <w:tcPr>
            <w:tcW w:w="5000" w:type="pct"/>
            <w:tcBorders>
              <w:top w:val="nil"/>
              <w:left w:val="nil"/>
              <w:bottom w:val="nil"/>
              <w:right w:val="nil"/>
            </w:tcBorders>
            <w:shd w:val="clear" w:color="auto" w:fill="auto"/>
          </w:tcPr>
          <w:p w:rsidR="00983859" w:rsidRPr="00176D3F" w:rsidRDefault="00D208A0" w:rsidP="009947CC">
            <w:pPr>
              <w:pStyle w:val="Note"/>
            </w:pPr>
            <w:r>
              <w:rPr>
                <w:rStyle w:val="NoteLabel"/>
              </w:rPr>
              <w:t>a</w:t>
            </w:r>
            <w:r>
              <w:t xml:space="preserve"> All results are presented as NPVs and represent the weighted sum of all the possible outcomes (</w:t>
            </w:r>
            <w:r w:rsidR="00A0050B">
              <w:t>that is,</w:t>
            </w:r>
            <w:r>
              <w:t xml:space="preserve"> never claiming, claiming at 22, etc.) that an individual can face.</w:t>
            </w:r>
            <w:r w:rsidR="00461C3D">
              <w:t xml:space="preserve"> Cameo modelling is for a IP policy with a two year benefit. </w:t>
            </w:r>
          </w:p>
        </w:tc>
      </w:tr>
      <w:tr w:rsidR="00983859" w:rsidRPr="00176D3F" w:rsidTr="00ED26BE">
        <w:tc>
          <w:tcPr>
            <w:tcW w:w="5000" w:type="pct"/>
            <w:tcBorders>
              <w:top w:val="nil"/>
              <w:left w:val="nil"/>
              <w:bottom w:val="nil"/>
              <w:right w:val="nil"/>
            </w:tcBorders>
            <w:shd w:val="clear" w:color="auto" w:fill="auto"/>
          </w:tcPr>
          <w:p w:rsidR="00983859" w:rsidRPr="00176D3F" w:rsidRDefault="002350AE" w:rsidP="00ED26BE">
            <w:pPr>
              <w:pStyle w:val="Source"/>
            </w:pPr>
            <w:r>
              <w:rPr>
                <w:i/>
              </w:rPr>
              <w:t>S</w:t>
            </w:r>
            <w:r w:rsidRPr="00784A05">
              <w:rPr>
                <w:i/>
              </w:rPr>
              <w:t>ource</w:t>
            </w:r>
            <w:r w:rsidRPr="00176D3F">
              <w:t>:</w:t>
            </w:r>
            <w:r>
              <w:t xml:space="preserve"> Productivity Commission estimates</w:t>
            </w:r>
            <w:r w:rsidR="00023567">
              <w:t>.</w:t>
            </w:r>
          </w:p>
        </w:tc>
      </w:tr>
      <w:tr w:rsidR="00983859" w:rsidTr="00ED26BE">
        <w:tc>
          <w:tcPr>
            <w:tcW w:w="5000" w:type="pct"/>
            <w:tcBorders>
              <w:top w:val="nil"/>
              <w:left w:val="nil"/>
              <w:bottom w:val="single" w:sz="6" w:space="0" w:color="78A22F"/>
              <w:right w:val="nil"/>
            </w:tcBorders>
            <w:shd w:val="clear" w:color="auto" w:fill="auto"/>
          </w:tcPr>
          <w:p w:rsidR="00983859" w:rsidRDefault="00983859" w:rsidP="00ED26BE">
            <w:pPr>
              <w:pStyle w:val="Figurespace"/>
            </w:pPr>
          </w:p>
        </w:tc>
      </w:tr>
      <w:tr w:rsidR="00983859" w:rsidRPr="000863A5" w:rsidTr="00ED26BE">
        <w:tc>
          <w:tcPr>
            <w:tcW w:w="5000" w:type="pct"/>
            <w:tcBorders>
              <w:top w:val="single" w:sz="6" w:space="0" w:color="78A22F"/>
              <w:left w:val="nil"/>
              <w:bottom w:val="nil"/>
              <w:right w:val="nil"/>
            </w:tcBorders>
          </w:tcPr>
          <w:p w:rsidR="00983859" w:rsidRPr="00626D32" w:rsidRDefault="00983859" w:rsidP="00ED26BE">
            <w:pPr>
              <w:pStyle w:val="BoxSpaceBelow"/>
            </w:pPr>
          </w:p>
        </w:tc>
      </w:tr>
    </w:tbl>
    <w:p w:rsidR="00EE5A00" w:rsidRDefault="00EE5A00" w:rsidP="00EE5A00">
      <w:pPr>
        <w:pStyle w:val="BodyText"/>
      </w:pPr>
      <w:r>
        <w:t>In the Commission’s modelling, the net fiscal benefits are larger for high</w:t>
      </w:r>
      <w:r>
        <w:noBreakHyphen/>
        <w:t>income individuals than for low</w:t>
      </w:r>
      <w:r>
        <w:noBreakHyphen/>
        <w:t>income individuals. This is because high</w:t>
      </w:r>
      <w:r>
        <w:noBreakHyphen/>
        <w:t>income individuals will not access the Age Pension in retirement. However, this result should be interpreted cautiously as an outer</w:t>
      </w:r>
      <w:r>
        <w:noBreakHyphen/>
        <w:t>bound estimate, as it is contingent on the strong assumption that high</w:t>
      </w:r>
      <w:r>
        <w:noBreakHyphen/>
        <w:t>income individuals do not have savings aside from a primary residence and thus would be eligible for a full DSP pension in the case of illness or disability. In reality, higher income individuals are likely to have other assets that would reduce the DSP</w:t>
      </w:r>
      <w:r>
        <w:noBreakHyphen/>
        <w:t>related fiscal benefits associated with insurance.</w:t>
      </w:r>
    </w:p>
    <w:p w:rsidR="00421FD9" w:rsidRDefault="00421FD9">
      <w:pPr>
        <w:rPr>
          <w:szCs w:val="20"/>
        </w:rPr>
      </w:pPr>
      <w:r>
        <w:br w:type="page"/>
      </w:r>
    </w:p>
    <w:p w:rsidR="00300A02" w:rsidRDefault="00300A02" w:rsidP="00EE5A00">
      <w:pPr>
        <w:pStyle w:val="BodyText"/>
      </w:pPr>
      <w:r>
        <w:t xml:space="preserve">For coupled individuals, the income of the partner reduces the </w:t>
      </w:r>
      <w:r w:rsidR="009001EE">
        <w:t xml:space="preserve">available </w:t>
      </w:r>
      <w:r>
        <w:t>DSP payment</w:t>
      </w:r>
      <w:r w:rsidR="009001EE">
        <w:t xml:space="preserve"> when IP insurance is not held, limiting the DSP</w:t>
      </w:r>
      <w:r w:rsidR="00023567">
        <w:noBreakHyphen/>
      </w:r>
      <w:r w:rsidR="009001EE">
        <w:t xml:space="preserve">related </w:t>
      </w:r>
      <w:r w:rsidR="0052117C">
        <w:t xml:space="preserve">fiscal benefit </w:t>
      </w:r>
      <w:r w:rsidR="009001EE">
        <w:t>associated with IP insurance</w:t>
      </w:r>
      <w:r>
        <w:t>. For low</w:t>
      </w:r>
      <w:r w:rsidR="00023567">
        <w:noBreakHyphen/>
      </w:r>
      <w:r>
        <w:t xml:space="preserve">income </w:t>
      </w:r>
      <w:r w:rsidR="000136D7">
        <w:t>couples</w:t>
      </w:r>
      <w:r>
        <w:t xml:space="preserve">, </w:t>
      </w:r>
      <w:r w:rsidR="006A4174">
        <w:t>the</w:t>
      </w:r>
      <w:r>
        <w:t xml:space="preserve"> Age</w:t>
      </w:r>
      <w:r w:rsidR="00EA2C32">
        <w:t xml:space="preserve"> </w:t>
      </w:r>
      <w:r>
        <w:t>Pension</w:t>
      </w:r>
      <w:r w:rsidR="0052117C">
        <w:t xml:space="preserve"> </w:t>
      </w:r>
      <w:r w:rsidR="009001EE">
        <w:t>e</w:t>
      </w:r>
      <w:r w:rsidR="00C92715">
        <w:t>ffects</w:t>
      </w:r>
      <w:r w:rsidR="009001EE">
        <w:t xml:space="preserve"> offset </w:t>
      </w:r>
      <w:r w:rsidR="006A4174">
        <w:t>the combined</w:t>
      </w:r>
      <w:r w:rsidR="009001EE">
        <w:t xml:space="preserve"> </w:t>
      </w:r>
      <w:r w:rsidR="00982244">
        <w:t>DSP and tax</w:t>
      </w:r>
      <w:r w:rsidR="00023567">
        <w:noBreakHyphen/>
      </w:r>
      <w:r w:rsidR="009001EE">
        <w:t xml:space="preserve">related </w:t>
      </w:r>
      <w:r w:rsidR="0052117C">
        <w:t xml:space="preserve">effects resulting </w:t>
      </w:r>
      <w:r w:rsidR="0052117C" w:rsidRPr="003C1C6D">
        <w:t xml:space="preserve">in </w:t>
      </w:r>
      <w:r w:rsidR="00CC7D21" w:rsidRPr="003C1C6D">
        <w:t>a</w:t>
      </w:r>
      <w:r w:rsidR="00CC7D21">
        <w:t xml:space="preserve"> </w:t>
      </w:r>
      <w:r w:rsidR="0052117C">
        <w:t>net fiscal cost</w:t>
      </w:r>
      <w:r w:rsidR="00982244">
        <w:t>. For higher</w:t>
      </w:r>
      <w:r w:rsidR="00023567">
        <w:noBreakHyphen/>
      </w:r>
      <w:r>
        <w:t>inc</w:t>
      </w:r>
      <w:r w:rsidR="00982244">
        <w:t xml:space="preserve">ome </w:t>
      </w:r>
      <w:r w:rsidR="000136D7">
        <w:t>couples</w:t>
      </w:r>
      <w:r w:rsidR="00982244">
        <w:t>, the DSP and Age</w:t>
      </w:r>
      <w:r w:rsidR="00E817F3">
        <w:t xml:space="preserve"> </w:t>
      </w:r>
      <w:r>
        <w:t>Pension</w:t>
      </w:r>
      <w:r w:rsidR="00023567">
        <w:noBreakHyphen/>
      </w:r>
      <w:r w:rsidR="009001EE">
        <w:t xml:space="preserve">related </w:t>
      </w:r>
      <w:r w:rsidR="0052117C">
        <w:t>fiscal effects</w:t>
      </w:r>
      <w:r>
        <w:t xml:space="preserve"> are muted and only </w:t>
      </w:r>
      <w:r w:rsidR="009001EE">
        <w:t>the tax</w:t>
      </w:r>
      <w:r w:rsidR="00023567">
        <w:noBreakHyphen/>
      </w:r>
      <w:r w:rsidR="009001EE">
        <w:t xml:space="preserve">related </w:t>
      </w:r>
      <w:r w:rsidR="0052117C">
        <w:t xml:space="preserve">fiscal benefits </w:t>
      </w:r>
      <w:r w:rsidR="009001EE">
        <w:t>remain.</w:t>
      </w:r>
    </w:p>
    <w:p w:rsidR="00366F73" w:rsidRPr="006866A6" w:rsidRDefault="00366F73" w:rsidP="006866A6">
      <w:pPr>
        <w:pStyle w:val="BodyText"/>
      </w:pPr>
      <w:r>
        <w:t xml:space="preserve">More scenarios are </w:t>
      </w:r>
      <w:r w:rsidR="00FE38D7">
        <w:t xml:space="preserve">assessed in </w:t>
      </w:r>
      <w:r w:rsidR="00023567">
        <w:t>a</w:t>
      </w:r>
      <w:r w:rsidR="00FE38D7">
        <w:t>ppendix</w:t>
      </w:r>
      <w:r w:rsidR="00023567">
        <w:t> </w:t>
      </w:r>
      <w:r w:rsidR="00FE38D7">
        <w:t>B</w:t>
      </w:r>
      <w:r w:rsidR="001B18C8">
        <w:t>. The</w:t>
      </w:r>
      <w:r w:rsidR="006A4174">
        <w:t>se</w:t>
      </w:r>
      <w:r w:rsidR="001B18C8">
        <w:t xml:space="preserve"> suggest</w:t>
      </w:r>
      <w:r>
        <w:t xml:space="preserve"> </w:t>
      </w:r>
      <w:r w:rsidR="00F55D31">
        <w:t xml:space="preserve">results are not </w:t>
      </w:r>
      <w:r w:rsidR="006A4174">
        <w:t xml:space="preserve">materially </w:t>
      </w:r>
      <w:r w:rsidR="00F55D31">
        <w:t>affected by assumptions about withdrawal methods</w:t>
      </w:r>
      <w:r w:rsidR="004C6BEC">
        <w:t>, but</w:t>
      </w:r>
      <w:r w:rsidR="00F55D31">
        <w:t xml:space="preserve"> that </w:t>
      </w:r>
      <w:r w:rsidR="00096855">
        <w:t xml:space="preserve">the net fiscal </w:t>
      </w:r>
      <w:r w:rsidR="006E14B6">
        <w:t xml:space="preserve">benefits </w:t>
      </w:r>
      <w:r w:rsidR="001B18C8">
        <w:t xml:space="preserve">to government </w:t>
      </w:r>
      <w:r w:rsidR="00F55D31">
        <w:t xml:space="preserve">are </w:t>
      </w:r>
      <w:r w:rsidR="001B18C8">
        <w:t>reduced when</w:t>
      </w:r>
      <w:r w:rsidR="006866A6">
        <w:t xml:space="preserve"> </w:t>
      </w:r>
      <w:r w:rsidR="006866A6" w:rsidRPr="006866A6">
        <w:t xml:space="preserve">individuals have multiple </w:t>
      </w:r>
      <w:r w:rsidR="006866A6">
        <w:t>policies.</w:t>
      </w:r>
    </w:p>
    <w:p w:rsidR="00160A2B" w:rsidRDefault="00160A2B" w:rsidP="00610491">
      <w:pPr>
        <w:pStyle w:val="Heading2"/>
      </w:pPr>
      <w:r>
        <w:t>Conclusion</w:t>
      </w:r>
    </w:p>
    <w:p w:rsidR="00240DB2" w:rsidRDefault="00240DB2" w:rsidP="00951EE1">
      <w:pPr>
        <w:pStyle w:val="BodyText"/>
      </w:pPr>
      <w:r>
        <w:t xml:space="preserve">The Commission’s </w:t>
      </w:r>
      <w:r w:rsidR="008A04C8">
        <w:t>cameo model</w:t>
      </w:r>
      <w:r w:rsidR="004F2775">
        <w:t>ling</w:t>
      </w:r>
      <w:r>
        <w:t xml:space="preserve"> suggest</w:t>
      </w:r>
      <w:r w:rsidR="00976F25">
        <w:t>s</w:t>
      </w:r>
      <w:r>
        <w:t xml:space="preserve"> that </w:t>
      </w:r>
      <w:r w:rsidR="00BD541D">
        <w:t xml:space="preserve">when looking at the fiscal impact of insurance in superannuation, </w:t>
      </w:r>
      <w:r w:rsidR="00366F73">
        <w:t>Age</w:t>
      </w:r>
      <w:r w:rsidR="00E817F3">
        <w:t xml:space="preserve"> </w:t>
      </w:r>
      <w:r w:rsidR="00366F73">
        <w:t>Pension effects matter, especially for low</w:t>
      </w:r>
      <w:r w:rsidR="00023567">
        <w:noBreakHyphen/>
      </w:r>
      <w:r w:rsidR="00366F73" w:rsidDel="00AF63F6">
        <w:t xml:space="preserve"> </w:t>
      </w:r>
      <w:r w:rsidR="00AF63F6">
        <w:t xml:space="preserve">and </w:t>
      </w:r>
      <w:r w:rsidR="00366F73">
        <w:t>middle</w:t>
      </w:r>
      <w:r w:rsidR="00023567">
        <w:noBreakHyphen/>
      </w:r>
      <w:r w:rsidR="00366F73">
        <w:t xml:space="preserve">income individuals. </w:t>
      </w:r>
      <w:r>
        <w:t>Therefore</w:t>
      </w:r>
      <w:r w:rsidR="001B599E">
        <w:t>,</w:t>
      </w:r>
      <w:r>
        <w:t xml:space="preserve"> estimates that exclude Age</w:t>
      </w:r>
      <w:r w:rsidR="00E817F3">
        <w:t xml:space="preserve"> </w:t>
      </w:r>
      <w:r>
        <w:t>Pension effects</w:t>
      </w:r>
      <w:r w:rsidR="00366F73">
        <w:t xml:space="preserve"> are </w:t>
      </w:r>
      <w:r>
        <w:t xml:space="preserve">likely to overestimate the </w:t>
      </w:r>
      <w:r w:rsidR="00366F73">
        <w:t xml:space="preserve">net fiscal </w:t>
      </w:r>
      <w:r>
        <w:t xml:space="preserve">benefit of </w:t>
      </w:r>
      <w:r w:rsidR="00366F73">
        <w:t xml:space="preserve">insurance in </w:t>
      </w:r>
      <w:r>
        <w:t>superannuation.</w:t>
      </w:r>
    </w:p>
    <w:p w:rsidR="00951EE1" w:rsidRDefault="00240DB2" w:rsidP="00951EE1">
      <w:pPr>
        <w:pStyle w:val="BodyText"/>
      </w:pPr>
      <w:r>
        <w:t>The Commission’s analysis also suggests that</w:t>
      </w:r>
      <w:r w:rsidR="00366F73">
        <w:t xml:space="preserve"> IP insurance for single individuals is the </w:t>
      </w:r>
      <w:r w:rsidR="00D16F20">
        <w:t xml:space="preserve">cohort for which </w:t>
      </w:r>
      <w:r w:rsidR="004F2775">
        <w:t xml:space="preserve">a </w:t>
      </w:r>
      <w:r w:rsidR="00BD541D">
        <w:t xml:space="preserve">net fiscal </w:t>
      </w:r>
      <w:r w:rsidR="00366F73">
        <w:t>benefit</w:t>
      </w:r>
      <w:r w:rsidR="000D1A47">
        <w:t xml:space="preserve"> is most likely</w:t>
      </w:r>
      <w:r w:rsidR="00366F73">
        <w:t xml:space="preserve"> </w:t>
      </w:r>
      <w:r w:rsidR="00D16F20">
        <w:t>(</w:t>
      </w:r>
      <w:r w:rsidR="004F2775">
        <w:t>al</w:t>
      </w:r>
      <w:r>
        <w:t xml:space="preserve">though </w:t>
      </w:r>
      <w:r w:rsidR="00A017A7">
        <w:t>the absolute fiscal impact will be constrained</w:t>
      </w:r>
      <w:r w:rsidR="00BD431B">
        <w:t xml:space="preserve"> by the fact that </w:t>
      </w:r>
      <w:r>
        <w:t xml:space="preserve">only around 30 per cent of </w:t>
      </w:r>
      <w:r w:rsidR="00236D65">
        <w:t xml:space="preserve">superannuation </w:t>
      </w:r>
      <w:r>
        <w:t>members have default IP insurance</w:t>
      </w:r>
      <w:r w:rsidR="00D16F20">
        <w:t>)</w:t>
      </w:r>
      <w:r w:rsidR="00366F73">
        <w:t>.</w:t>
      </w:r>
      <w:r w:rsidR="00AE1D25">
        <w:t xml:space="preserve"> </w:t>
      </w:r>
    </w:p>
    <w:p w:rsidR="0000247A" w:rsidRDefault="0000247A" w:rsidP="00951EE1">
      <w:pPr>
        <w:pStyle w:val="BodyText"/>
      </w:pPr>
      <w:r>
        <w:t xml:space="preserve">Further analysis — undertaken with a more comprehensive model — would be required to determine whether there are </w:t>
      </w:r>
      <w:r w:rsidR="004C6BEC">
        <w:t xml:space="preserve">aggregate </w:t>
      </w:r>
      <w:r>
        <w:t xml:space="preserve">net fiscal </w:t>
      </w:r>
      <w:r w:rsidR="006E14B6">
        <w:t xml:space="preserve">benefits </w:t>
      </w:r>
      <w:r>
        <w:t>or costs associated with insurance in superannuation.</w:t>
      </w:r>
      <w:r w:rsidR="004C6BEC">
        <w:t xml:space="preserve"> </w:t>
      </w:r>
      <w:r w:rsidR="002D76B7">
        <w:t xml:space="preserve">One difficulty in undertaking such analysis is finding reliable data on the distribution of </w:t>
      </w:r>
      <w:r w:rsidR="000172FE">
        <w:t xml:space="preserve">insurance </w:t>
      </w:r>
      <w:r w:rsidR="002D76B7">
        <w:t xml:space="preserve">premiums and claim rates across </w:t>
      </w:r>
      <w:r w:rsidR="00FB37A3">
        <w:t xml:space="preserve">the population of </w:t>
      </w:r>
      <w:r w:rsidR="002D76B7">
        <w:t>members (including the interrelationship between the two variables). Assumptions would also need to be made about trends in household structure and homeownership.</w:t>
      </w:r>
      <w:r w:rsidR="000E0FE2" w:rsidRPr="000E0FE2" w:rsidDel="000E0FE2">
        <w:t xml:space="preserve"> </w:t>
      </w:r>
      <w:r w:rsidR="000E0FE2">
        <w:t>The Treasury would likely be best placed to undertake such work — they have expertise in this area and they could likely draw on the assumptions underpinning Age</w:t>
      </w:r>
      <w:r w:rsidR="00E817F3">
        <w:t xml:space="preserve"> </w:t>
      </w:r>
      <w:r w:rsidR="000E0FE2">
        <w:t>Pension reliance used for Intergenerational Report modelling.</w:t>
      </w:r>
    </w:p>
    <w:p w:rsidR="001D1782" w:rsidRPr="003F4C67" w:rsidRDefault="00AE1D25" w:rsidP="003F4C67">
      <w:pPr>
        <w:pStyle w:val="BodyText"/>
        <w:rPr>
          <w:szCs w:val="24"/>
        </w:rPr>
      </w:pPr>
      <w:r>
        <w:t>Finally, it is important to remember that n</w:t>
      </w:r>
      <w:r w:rsidRPr="00427EE0">
        <w:t>et fiscal impacts are</w:t>
      </w:r>
      <w:r>
        <w:t xml:space="preserve"> only one component of a broader assessment of the total net </w:t>
      </w:r>
      <w:r w:rsidR="0008791F">
        <w:t>impacts</w:t>
      </w:r>
      <w:r>
        <w:t xml:space="preserve"> of insurance in superannuation</w:t>
      </w:r>
      <w:r w:rsidRPr="00427EE0">
        <w:t>.</w:t>
      </w:r>
      <w:r>
        <w:t xml:space="preserve"> For example, while the Commission’s </w:t>
      </w:r>
      <w:r w:rsidR="005F3484">
        <w:t xml:space="preserve">cameo </w:t>
      </w:r>
      <w:r>
        <w:t xml:space="preserve">analysis suggests that IP insurance </w:t>
      </w:r>
      <w:r w:rsidR="005F3484">
        <w:t>is likely to provide</w:t>
      </w:r>
      <w:r>
        <w:t xml:space="preserve"> the largest fiscal benefit</w:t>
      </w:r>
      <w:r w:rsidR="00D16F20">
        <w:t xml:space="preserve"> on a per</w:t>
      </w:r>
      <w:r w:rsidR="00023567">
        <w:noBreakHyphen/>
      </w:r>
      <w:r w:rsidR="00D16F20">
        <w:t>person basis</w:t>
      </w:r>
      <w:r>
        <w:t>, IP insurance policies are also more l</w:t>
      </w:r>
      <w:r w:rsidR="00D16F20">
        <w:t>ikely to be ‘zombie’ policies, which cannot be claimed on and thus</w:t>
      </w:r>
      <w:r>
        <w:t xml:space="preserve"> reduce we</w:t>
      </w:r>
      <w:r w:rsidR="00236D65">
        <w:t>l</w:t>
      </w:r>
      <w:r w:rsidR="007F62B1">
        <w:t>l</w:t>
      </w:r>
      <w:r w:rsidR="00236D65">
        <w:t>being for members</w:t>
      </w:r>
      <w:r w:rsidR="00FE265A">
        <w:t xml:space="preserve"> </w:t>
      </w:r>
      <w:r w:rsidR="00AA7C25" w:rsidRPr="0096315D">
        <w:rPr>
          <w:szCs w:val="24"/>
        </w:rPr>
        <w:t>(PC</w:t>
      </w:r>
      <w:r w:rsidR="00AA7C25" w:rsidRPr="00E51161">
        <w:rPr>
          <w:szCs w:val="24"/>
        </w:rPr>
        <w:t> 2018, p.</w:t>
      </w:r>
      <w:r w:rsidR="00AA7C25" w:rsidRPr="00AA7C25">
        <w:rPr>
          <w:szCs w:val="24"/>
        </w:rPr>
        <w:t> 21)</w:t>
      </w:r>
      <w:r>
        <w:t xml:space="preserve">. </w:t>
      </w:r>
      <w:r w:rsidR="007C406F">
        <w:t xml:space="preserve">The Commission made a number of draft findings and draft recommendations designed to improve insurance arrangements in superannuation in its draft report (box 1). </w:t>
      </w:r>
      <w:r>
        <w:t xml:space="preserve">It also recommended a future holistic review on insurance in superannuation (after improved arrangements have been implemented) to assess the </w:t>
      </w:r>
      <w:r w:rsidR="00BF7FAB">
        <w:t>community</w:t>
      </w:r>
      <w:r w:rsidR="00023567">
        <w:noBreakHyphen/>
      </w:r>
      <w:r w:rsidR="00BF7FAB">
        <w:t>wide</w:t>
      </w:r>
      <w:r w:rsidR="00265171">
        <w:t xml:space="preserve"> </w:t>
      </w:r>
      <w:r w:rsidR="004F2775">
        <w:t>impacts</w:t>
      </w:r>
      <w:r>
        <w:t xml:space="preserve"> </w:t>
      </w:r>
      <w:r w:rsidR="00BF7FAB">
        <w:t>of</w:t>
      </w:r>
      <w:r>
        <w:t xml:space="preserve"> default insurance in superannuation and </w:t>
      </w:r>
      <w:r w:rsidR="00FE265A">
        <w:t xml:space="preserve">to </w:t>
      </w:r>
      <w:r>
        <w:t xml:space="preserve">consider if further regulatory intervention or policy change is required </w:t>
      </w:r>
      <w:r w:rsidR="00AA7C25" w:rsidRPr="0096315D">
        <w:rPr>
          <w:szCs w:val="24"/>
        </w:rPr>
        <w:t>(PC</w:t>
      </w:r>
      <w:r w:rsidR="00AA7C25" w:rsidRPr="00E51161">
        <w:rPr>
          <w:szCs w:val="24"/>
        </w:rPr>
        <w:t> 2018, p.</w:t>
      </w:r>
      <w:r w:rsidR="00AA7C25" w:rsidRPr="00AA7C25">
        <w:rPr>
          <w:szCs w:val="24"/>
        </w:rPr>
        <w:t> 64)</w:t>
      </w:r>
      <w:r>
        <w:t>.</w:t>
      </w:r>
    </w:p>
    <w:p w:rsidR="000F0267" w:rsidRPr="00C33226" w:rsidRDefault="000F0267" w:rsidP="00C33226">
      <w:pPr>
        <w:pStyle w:val="BodyText"/>
      </w:pPr>
      <w:r>
        <w:br w:type="page"/>
      </w:r>
    </w:p>
    <w:p w:rsidR="00666E02" w:rsidRDefault="00610491" w:rsidP="00610491">
      <w:pPr>
        <w:pStyle w:val="Heading2"/>
      </w:pPr>
      <w:r>
        <w:t>Appendix</w:t>
      </w:r>
      <w:r w:rsidR="00023567">
        <w:t> </w:t>
      </w:r>
      <w:r>
        <w:t>A</w:t>
      </w:r>
      <w:r w:rsidR="000C37F7">
        <w:t>: Key assumptions</w:t>
      </w:r>
    </w:p>
    <w:p w:rsidR="005472FE" w:rsidRDefault="005472FE" w:rsidP="00FC4AE4">
      <w:pPr>
        <w:pStyle w:val="Heading3"/>
        <w:spacing w:before="280"/>
      </w:pPr>
      <w:r>
        <w:t>Behavioural assumptions</w:t>
      </w:r>
    </w:p>
    <w:p w:rsidR="005472FE" w:rsidRDefault="00193B79" w:rsidP="003B66C4">
      <w:pPr>
        <w:pStyle w:val="BodyText"/>
        <w:spacing w:before="100"/>
      </w:pPr>
      <w:r>
        <w:t xml:space="preserve">The model relies on </w:t>
      </w:r>
      <w:r w:rsidR="005472FE">
        <w:t xml:space="preserve">a range of behavioural assumptions. </w:t>
      </w:r>
      <w:r>
        <w:t>For example, i</w:t>
      </w:r>
      <w:r w:rsidR="005472FE">
        <w:t>ndividuals:</w:t>
      </w:r>
    </w:p>
    <w:p w:rsidR="005472FE" w:rsidRDefault="005472FE" w:rsidP="003B66C4">
      <w:pPr>
        <w:pStyle w:val="ListBullet"/>
        <w:spacing w:before="100"/>
      </w:pPr>
      <w:r>
        <w:t xml:space="preserve">retire at </w:t>
      </w:r>
      <w:r w:rsidR="00193B79">
        <w:t>67</w:t>
      </w:r>
      <w:r>
        <w:t xml:space="preserve"> (unless forced to retire early due to a permanent disability)</w:t>
      </w:r>
    </w:p>
    <w:p w:rsidR="005472FE" w:rsidRDefault="005472FE" w:rsidP="003B66C4">
      <w:pPr>
        <w:pStyle w:val="ListBullet"/>
        <w:spacing w:before="100"/>
      </w:pPr>
      <w:r>
        <w:t xml:space="preserve">drawdown the legislated minimum </w:t>
      </w:r>
      <w:r w:rsidR="006F0355" w:rsidRPr="00BF3634">
        <w:t>from an allocated pension</w:t>
      </w:r>
      <w:r w:rsidR="006F0355">
        <w:t xml:space="preserve"> </w:t>
      </w:r>
      <w:r>
        <w:t xml:space="preserve">in each year of retirement </w:t>
      </w:r>
      <w:r w:rsidR="006B3A70">
        <w:t>(t</w:t>
      </w:r>
      <w:r>
        <w:t>his as</w:t>
      </w:r>
      <w:r w:rsidR="00FE38D7">
        <w:t xml:space="preserve">sumption is tested in </w:t>
      </w:r>
      <w:r w:rsidR="00023567">
        <w:t>a</w:t>
      </w:r>
      <w:r w:rsidR="00FE38D7">
        <w:t>ppendix</w:t>
      </w:r>
      <w:r w:rsidR="00023567">
        <w:t> </w:t>
      </w:r>
      <w:r w:rsidR="00FE38D7">
        <w:t>B</w:t>
      </w:r>
      <w:r w:rsidR="006B3A70">
        <w:t>)</w:t>
      </w:r>
    </w:p>
    <w:p w:rsidR="005472FE" w:rsidRDefault="005472FE" w:rsidP="003B66C4">
      <w:pPr>
        <w:pStyle w:val="ListBullet"/>
        <w:spacing w:before="100"/>
      </w:pPr>
      <w:r>
        <w:t>who retire early due to disability:</w:t>
      </w:r>
    </w:p>
    <w:p w:rsidR="005472FE" w:rsidRDefault="005472FE" w:rsidP="003B66C4">
      <w:pPr>
        <w:pStyle w:val="ListBullet2"/>
        <w:spacing w:before="100"/>
      </w:pPr>
      <w:r>
        <w:t xml:space="preserve">convert their disability benefit (the TPD payment and any superannuation) to an allocated pension </w:t>
      </w:r>
      <w:r w:rsidR="006B3A70">
        <w:t>(t</w:t>
      </w:r>
      <w:r>
        <w:t>his as</w:t>
      </w:r>
      <w:r w:rsidR="00FE38D7">
        <w:t xml:space="preserve">sumption is tested in </w:t>
      </w:r>
      <w:r w:rsidR="00023567">
        <w:t>a</w:t>
      </w:r>
      <w:r w:rsidR="00FE38D7">
        <w:t>ppendix</w:t>
      </w:r>
      <w:r w:rsidR="00023567">
        <w:t> </w:t>
      </w:r>
      <w:r w:rsidR="00FE38D7">
        <w:t>B</w:t>
      </w:r>
      <w:r w:rsidR="006B3A70">
        <w:t>)</w:t>
      </w:r>
    </w:p>
    <w:p w:rsidR="005472FE" w:rsidRPr="001E3844" w:rsidRDefault="005472FE" w:rsidP="003B66C4">
      <w:pPr>
        <w:pStyle w:val="ListBullet2"/>
        <w:spacing w:before="100"/>
      </w:pPr>
      <w:r>
        <w:t>drawdown the maximum of $</w:t>
      </w:r>
      <w:r w:rsidR="006977FB">
        <w:t>2</w:t>
      </w:r>
      <w:r>
        <w:t>0 000 or 10 per cent of their balance</w:t>
      </w:r>
      <w:r w:rsidR="006B3A70">
        <w:t xml:space="preserve"> (t</w:t>
      </w:r>
      <w:r>
        <w:t>his as</w:t>
      </w:r>
      <w:r w:rsidR="00FE38D7">
        <w:t xml:space="preserve">sumption is tested in </w:t>
      </w:r>
      <w:r w:rsidR="00023567">
        <w:t>a</w:t>
      </w:r>
      <w:r w:rsidR="00FE38D7">
        <w:t>ppendix</w:t>
      </w:r>
      <w:r w:rsidR="00023567">
        <w:t> </w:t>
      </w:r>
      <w:r w:rsidR="00FE38D7">
        <w:t>B</w:t>
      </w:r>
      <w:r w:rsidR="006B3A70">
        <w:t>)</w:t>
      </w:r>
      <w:r w:rsidR="00A66C47">
        <w:t>.</w:t>
      </w:r>
      <w:r>
        <w:t xml:space="preserve"> </w:t>
      </w:r>
      <w:r w:rsidR="00F95C0C">
        <w:t xml:space="preserve">This assumption is designed to ensure that people making TPD claims withdraw a sufficient amount of income to support themselves — the minimum withdrawal rates are likely to be too low </w:t>
      </w:r>
    </w:p>
    <w:p w:rsidR="002E32E8" w:rsidRPr="001E3844" w:rsidRDefault="00D8710E" w:rsidP="003B66C4">
      <w:pPr>
        <w:pStyle w:val="ListBullet"/>
        <w:spacing w:before="100"/>
      </w:pPr>
      <w:r w:rsidRPr="001E3844">
        <w:t xml:space="preserve">take TPD benefits </w:t>
      </w:r>
      <w:r w:rsidR="002E32E8" w:rsidRPr="001E3844">
        <w:t>as a super income stream</w:t>
      </w:r>
    </w:p>
    <w:p w:rsidR="00580575" w:rsidRPr="001E3844" w:rsidRDefault="005472FE" w:rsidP="003B66C4">
      <w:pPr>
        <w:pStyle w:val="ListBullet"/>
        <w:spacing w:before="100"/>
      </w:pPr>
      <w:r w:rsidRPr="001E3844">
        <w:t>who make an IP claim are assumed to</w:t>
      </w:r>
      <w:r w:rsidR="00580575" w:rsidRPr="001E3844">
        <w:t>:</w:t>
      </w:r>
    </w:p>
    <w:p w:rsidR="005472FE" w:rsidRDefault="005472FE" w:rsidP="003B66C4">
      <w:pPr>
        <w:pStyle w:val="ListBullet2"/>
        <w:spacing w:before="100"/>
      </w:pPr>
      <w:r w:rsidRPr="00580575">
        <w:t>be out of work for two years before returning to the workforce (receiving IP</w:t>
      </w:r>
      <w:r w:rsidR="00580575">
        <w:t xml:space="preserve"> benefits for those two years)</w:t>
      </w:r>
    </w:p>
    <w:p w:rsidR="00580575" w:rsidRPr="00580575" w:rsidRDefault="00580575" w:rsidP="003B66C4">
      <w:pPr>
        <w:pStyle w:val="ListBullet2"/>
        <w:spacing w:before="100"/>
      </w:pPr>
      <w:r>
        <w:t>only make a single IP claim over their lifetime</w:t>
      </w:r>
    </w:p>
    <w:p w:rsidR="00ED475E" w:rsidRPr="003B66C4" w:rsidRDefault="00580575" w:rsidP="003B66C4">
      <w:pPr>
        <w:pStyle w:val="ListBullet2"/>
        <w:spacing w:before="100"/>
        <w:rPr>
          <w:spacing w:val="-14"/>
        </w:rPr>
      </w:pPr>
      <w:r w:rsidRPr="003B66C4">
        <w:rPr>
          <w:spacing w:val="-14"/>
        </w:rPr>
        <w:t>receive the monthly IP benefit or 75 per cent of pre</w:t>
      </w:r>
      <w:r w:rsidR="00023567" w:rsidRPr="003B66C4">
        <w:rPr>
          <w:spacing w:val="-14"/>
        </w:rPr>
        <w:noBreakHyphen/>
      </w:r>
      <w:r w:rsidRPr="003B66C4">
        <w:rPr>
          <w:spacing w:val="-14"/>
        </w:rPr>
        <w:t>injury/illness wage income, whichever is lower.</w:t>
      </w:r>
    </w:p>
    <w:p w:rsidR="00951EE1" w:rsidRDefault="00951EE1" w:rsidP="003B66C4">
      <w:pPr>
        <w:pStyle w:val="Heading3"/>
        <w:spacing w:before="360"/>
      </w:pPr>
      <w:r>
        <w:t>Economic parameters</w:t>
      </w:r>
    </w:p>
    <w:p w:rsidR="007B087C" w:rsidRPr="007B087C" w:rsidRDefault="00193B79" w:rsidP="007B087C">
      <w:pPr>
        <w:pStyle w:val="BodyText"/>
      </w:pPr>
      <w:r>
        <w:t>The model makes t</w:t>
      </w:r>
      <w:r w:rsidR="007B087C">
        <w:t>he following assumptions about economic parameters</w:t>
      </w:r>
      <w:r w:rsidR="00E817F3">
        <w:t>.</w:t>
      </w:r>
      <w:r w:rsidR="00075571">
        <w:t xml:space="preserve"> </w:t>
      </w:r>
    </w:p>
    <w:p w:rsidR="007B087C" w:rsidRPr="007B087C" w:rsidRDefault="007B087C" w:rsidP="003B66C4">
      <w:pPr>
        <w:pStyle w:val="ListBullet"/>
        <w:spacing w:before="100"/>
      </w:pPr>
      <w:r>
        <w:t>C</w:t>
      </w:r>
      <w:r w:rsidR="00FC4AE4">
        <w:t xml:space="preserve">onsumer </w:t>
      </w:r>
      <w:r>
        <w:t>P</w:t>
      </w:r>
      <w:r w:rsidR="00FC4AE4">
        <w:t xml:space="preserve">rice </w:t>
      </w:r>
      <w:r>
        <w:t>I</w:t>
      </w:r>
      <w:r w:rsidR="00FC4AE4">
        <w:t>ndex</w:t>
      </w:r>
      <w:r>
        <w:t xml:space="preserve"> </w:t>
      </w:r>
      <w:r w:rsidR="00FC4AE4">
        <w:t xml:space="preserve">(CPI) </w:t>
      </w:r>
      <w:r>
        <w:t xml:space="preserve">growth </w:t>
      </w:r>
      <w:r w:rsidR="00AC6721">
        <w:t xml:space="preserve">is </w:t>
      </w:r>
      <w:r>
        <w:t>2.5 per cent</w:t>
      </w:r>
      <w:r w:rsidR="00AC6721">
        <w:t xml:space="preserve"> per annum</w:t>
      </w:r>
      <w:r w:rsidR="00C3122E">
        <w:t>.</w:t>
      </w:r>
    </w:p>
    <w:p w:rsidR="007B087C" w:rsidRDefault="005411D8" w:rsidP="003B66C4">
      <w:pPr>
        <w:pStyle w:val="ListBullet"/>
        <w:spacing w:before="100"/>
      </w:pPr>
      <w:r>
        <w:t>The long</w:t>
      </w:r>
      <w:r w:rsidR="00023567">
        <w:noBreakHyphen/>
      </w:r>
      <w:r>
        <w:t>run economy</w:t>
      </w:r>
      <w:r w:rsidR="00023567">
        <w:noBreakHyphen/>
      </w:r>
      <w:r w:rsidR="007B087C">
        <w:t xml:space="preserve">wide </w:t>
      </w:r>
      <w:r>
        <w:t>wage</w:t>
      </w:r>
      <w:r w:rsidR="007B087C">
        <w:t xml:space="preserve"> growth </w:t>
      </w:r>
      <w:r>
        <w:t>is</w:t>
      </w:r>
      <w:r w:rsidR="007B087C">
        <w:t xml:space="preserve"> 4 per cent </w:t>
      </w:r>
      <w:r w:rsidR="00AC6721">
        <w:t xml:space="preserve">per annum </w:t>
      </w:r>
      <w:r w:rsidR="007B087C">
        <w:t>(1.5 per cent real)</w:t>
      </w:r>
      <w:r w:rsidR="00C3122E">
        <w:t>.</w:t>
      </w:r>
    </w:p>
    <w:p w:rsidR="007B087C" w:rsidRPr="00421FD9" w:rsidRDefault="00C3122E" w:rsidP="003B66C4">
      <w:pPr>
        <w:pStyle w:val="ListBullet"/>
        <w:spacing w:before="100"/>
        <w:rPr>
          <w:spacing w:val="-4"/>
        </w:rPr>
      </w:pPr>
      <w:r w:rsidRPr="00421FD9">
        <w:rPr>
          <w:spacing w:val="-4"/>
        </w:rPr>
        <w:t>Wage profiles for the 20</w:t>
      </w:r>
      <w:r w:rsidRPr="00421FD9">
        <w:rPr>
          <w:spacing w:val="-4"/>
          <w:vertAlign w:val="superscript"/>
        </w:rPr>
        <w:t>th</w:t>
      </w:r>
      <w:r w:rsidRPr="00421FD9">
        <w:rPr>
          <w:spacing w:val="-4"/>
        </w:rPr>
        <w:t>, 50</w:t>
      </w:r>
      <w:r w:rsidRPr="00421FD9">
        <w:rPr>
          <w:spacing w:val="-4"/>
          <w:vertAlign w:val="superscript"/>
        </w:rPr>
        <w:t>th</w:t>
      </w:r>
      <w:r w:rsidRPr="00421FD9">
        <w:rPr>
          <w:spacing w:val="-4"/>
        </w:rPr>
        <w:t>, and 80</w:t>
      </w:r>
      <w:r w:rsidRPr="00421FD9">
        <w:rPr>
          <w:spacing w:val="-4"/>
          <w:vertAlign w:val="superscript"/>
        </w:rPr>
        <w:t>th</w:t>
      </w:r>
      <w:r w:rsidRPr="00421FD9">
        <w:rPr>
          <w:spacing w:val="-4"/>
        </w:rPr>
        <w:t xml:space="preserve"> percentile are included in EMORI and are derived from tax data, using the average wages within each percentile for every given age</w:t>
      </w:r>
      <w:r w:rsidR="007B087C" w:rsidRPr="00421FD9">
        <w:rPr>
          <w:spacing w:val="-4"/>
        </w:rPr>
        <w:t xml:space="preserve"> </w:t>
      </w:r>
      <w:r w:rsidR="00AF1B8C" w:rsidRPr="00421FD9">
        <w:rPr>
          <w:spacing w:val="-4"/>
        </w:rPr>
        <w:t>(figure 7</w:t>
      </w:r>
      <w:r w:rsidR="00311FA8" w:rsidRPr="00421FD9">
        <w:rPr>
          <w:spacing w:val="-4"/>
        </w:rPr>
        <w:t>)</w:t>
      </w:r>
      <w:r w:rsidRPr="00421FD9">
        <w:rPr>
          <w:spacing w:val="-4"/>
        </w:rPr>
        <w:t>.</w:t>
      </w:r>
      <w:r w:rsidR="008732DF" w:rsidRPr="00421FD9">
        <w:rPr>
          <w:spacing w:val="-4"/>
        </w:rPr>
        <w:t xml:space="preserve"> These wage profiles assume that wages increase with experience up until about age 40</w:t>
      </w:r>
      <w:r w:rsidR="007B087C" w:rsidRPr="00421FD9" w:rsidDel="008732DF">
        <w:rPr>
          <w:spacing w:val="-4"/>
        </w:rPr>
        <w:t>.</w:t>
      </w:r>
    </w:p>
    <w:p w:rsidR="005411D8" w:rsidRDefault="005411D8" w:rsidP="003B66C4">
      <w:pPr>
        <w:pStyle w:val="ListBullet"/>
        <w:spacing w:before="100"/>
      </w:pPr>
      <w:r>
        <w:t xml:space="preserve">Wage growth </w:t>
      </w:r>
      <w:r w:rsidR="00E10278">
        <w:t xml:space="preserve">between 2021 and 2026 is assumed to be muted to compensate for legislated </w:t>
      </w:r>
      <w:r>
        <w:t xml:space="preserve">increases in </w:t>
      </w:r>
      <w:r w:rsidR="005472FE">
        <w:t>Superannuation Guarantee rates.</w:t>
      </w:r>
    </w:p>
    <w:p w:rsidR="002E32E8" w:rsidRPr="00421FD9" w:rsidRDefault="002E32E8" w:rsidP="003B66C4">
      <w:pPr>
        <w:pStyle w:val="ListBullet"/>
        <w:spacing w:before="100"/>
        <w:rPr>
          <w:spacing w:val="-6"/>
        </w:rPr>
      </w:pPr>
      <w:r w:rsidRPr="00421FD9">
        <w:rPr>
          <w:spacing w:val="-6"/>
        </w:rPr>
        <w:t xml:space="preserve">All values are converted to a NPV </w:t>
      </w:r>
      <w:r w:rsidR="0000247A" w:rsidRPr="00421FD9">
        <w:rPr>
          <w:spacing w:val="-6"/>
        </w:rPr>
        <w:t>using a 5 per cent discount rate</w:t>
      </w:r>
      <w:r w:rsidRPr="00421FD9">
        <w:rPr>
          <w:spacing w:val="-6"/>
        </w:rPr>
        <w:t>. This is roughly the government’s long</w:t>
      </w:r>
      <w:r w:rsidR="00023567" w:rsidRPr="00421FD9">
        <w:rPr>
          <w:spacing w:val="-6"/>
        </w:rPr>
        <w:noBreakHyphen/>
      </w:r>
      <w:r w:rsidRPr="00421FD9">
        <w:rPr>
          <w:spacing w:val="-6"/>
        </w:rPr>
        <w:t xml:space="preserve">term bond rate and thus its opportunity cost </w:t>
      </w:r>
      <w:r w:rsidR="00E378DE" w:rsidRPr="00421FD9">
        <w:rPr>
          <w:spacing w:val="-6"/>
        </w:rPr>
        <w:t>of borrowing funds.</w:t>
      </w:r>
      <w:r w:rsidR="003241EB" w:rsidRPr="00421FD9">
        <w:rPr>
          <w:spacing w:val="-6"/>
        </w:rPr>
        <w:t xml:space="preserve"> It is also comparable to the interest rate charged by the Australian Government under the Pension Loan</w:t>
      </w:r>
      <w:r w:rsidR="00E817F3" w:rsidRPr="00421FD9">
        <w:rPr>
          <w:spacing w:val="-6"/>
        </w:rPr>
        <w:t>s</w:t>
      </w:r>
      <w:r w:rsidR="003241EB" w:rsidRPr="00421FD9">
        <w:rPr>
          <w:spacing w:val="-6"/>
        </w:rPr>
        <w:t xml:space="preserve"> </w:t>
      </w:r>
      <w:r w:rsidR="00E817F3" w:rsidRPr="00421FD9">
        <w:rPr>
          <w:spacing w:val="-6"/>
        </w:rPr>
        <w:t>S</w:t>
      </w:r>
      <w:r w:rsidR="003241EB" w:rsidRPr="00421FD9">
        <w:rPr>
          <w:spacing w:val="-6"/>
        </w:rPr>
        <w:t>cheme.</w:t>
      </w:r>
      <w:r w:rsidR="003241EB" w:rsidRPr="00421FD9">
        <w:rPr>
          <w:rStyle w:val="FootnoteReference"/>
          <w:spacing w:val="-6"/>
        </w:rPr>
        <w:footnoteReference w:id="21"/>
      </w:r>
      <w:r w:rsidR="003241EB" w:rsidRPr="00421FD9">
        <w:rPr>
          <w:spacing w:val="-6"/>
        </w:rPr>
        <w:t xml:space="preserve"> </w:t>
      </w:r>
    </w:p>
    <w:p w:rsidR="00FE38D7" w:rsidRDefault="00FE38D7" w:rsidP="00AF25A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E38D7" w:rsidTr="00AF25A8">
        <w:trPr>
          <w:tblHeader/>
        </w:trPr>
        <w:tc>
          <w:tcPr>
            <w:tcW w:w="5000" w:type="pct"/>
            <w:tcBorders>
              <w:top w:val="single" w:sz="6" w:space="0" w:color="78A22F"/>
              <w:left w:val="nil"/>
              <w:bottom w:val="nil"/>
              <w:right w:val="nil"/>
            </w:tcBorders>
            <w:shd w:val="clear" w:color="auto" w:fill="auto"/>
          </w:tcPr>
          <w:p w:rsidR="00FE38D7" w:rsidRPr="00176D3F" w:rsidRDefault="00FE38D7" w:rsidP="00E813A1">
            <w:pPr>
              <w:pStyle w:val="FigureTitle"/>
            </w:pPr>
            <w:r w:rsidRPr="00784A05">
              <w:rPr>
                <w:b w:val="0"/>
              </w:rPr>
              <w:t xml:space="preserve">Figure </w:t>
            </w:r>
            <w:r w:rsidR="00A11CF5">
              <w:rPr>
                <w:b w:val="0"/>
                <w:noProof/>
              </w:rPr>
              <w:t>7</w:t>
            </w:r>
            <w:r>
              <w:tab/>
            </w:r>
            <w:r w:rsidR="00311FA8">
              <w:t xml:space="preserve">Lifetime wage income </w:t>
            </w:r>
            <w:r w:rsidR="00E813A1">
              <w:t>profiles</w:t>
            </w:r>
            <w:r w:rsidR="00E813A1" w:rsidRPr="00311FA8">
              <w:rPr>
                <w:rStyle w:val="NoteLabel"/>
                <w:b/>
              </w:rPr>
              <w:t>a</w:t>
            </w:r>
          </w:p>
        </w:tc>
      </w:tr>
      <w:tr w:rsidR="00FE38D7" w:rsidTr="00AF25A8">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FE38D7" w:rsidRPr="00B1465D" w:rsidTr="00EB38B6">
              <w:trPr>
                <w:tblHeader/>
                <w:jc w:val="center"/>
              </w:trPr>
              <w:tc>
                <w:tcPr>
                  <w:tcW w:w="8505" w:type="dxa"/>
                  <w:tcBorders>
                    <w:top w:val="nil"/>
                    <w:bottom w:val="nil"/>
                  </w:tcBorders>
                </w:tcPr>
                <w:p w:rsidR="00FE38D7" w:rsidRPr="00B1465D" w:rsidRDefault="00D94EF3" w:rsidP="00AF25A8">
                  <w:pPr>
                    <w:pStyle w:val="Figure"/>
                    <w:spacing w:before="60" w:after="60"/>
                    <w:rPr>
                      <w:rFonts w:ascii="Arial" w:hAnsi="Arial" w:cs="Arial"/>
                      <w:sz w:val="18"/>
                      <w:szCs w:val="18"/>
                    </w:rPr>
                  </w:pPr>
                  <w:r w:rsidRPr="00D94EF3">
                    <w:rPr>
                      <w:noProof/>
                    </w:rPr>
                    <w:drawing>
                      <wp:inline distT="0" distB="0" distL="0" distR="0" wp14:anchorId="75A2A5CE" wp14:editId="23E81674">
                        <wp:extent cx="5245362" cy="2796540"/>
                        <wp:effectExtent l="0" t="0" r="0" b="3810"/>
                        <wp:docPr id="15" name="Picture 15" descr="This figure illustrates the lifetime wage income profiles used in the model for the 20th, 50th and 80th percentiles, relative to Average Weekly Ordinary Time Earnings." title="Lifetime wage income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48235" cy="2798072"/>
                                </a:xfrm>
                                <a:prstGeom prst="rect">
                                  <a:avLst/>
                                </a:prstGeom>
                                <a:noFill/>
                                <a:ln>
                                  <a:noFill/>
                                </a:ln>
                              </pic:spPr>
                            </pic:pic>
                          </a:graphicData>
                        </a:graphic>
                      </wp:inline>
                    </w:drawing>
                  </w:r>
                </w:p>
              </w:tc>
            </w:tr>
          </w:tbl>
          <w:p w:rsidR="00FE38D7" w:rsidRDefault="00FE38D7" w:rsidP="00AF25A8">
            <w:pPr>
              <w:pStyle w:val="Figure"/>
            </w:pPr>
          </w:p>
        </w:tc>
      </w:tr>
      <w:tr w:rsidR="00FE38D7" w:rsidRPr="00176D3F" w:rsidTr="00AF25A8">
        <w:tc>
          <w:tcPr>
            <w:tcW w:w="5000" w:type="pct"/>
            <w:tcBorders>
              <w:top w:val="nil"/>
              <w:left w:val="nil"/>
              <w:bottom w:val="nil"/>
              <w:right w:val="nil"/>
            </w:tcBorders>
            <w:shd w:val="clear" w:color="auto" w:fill="auto"/>
          </w:tcPr>
          <w:p w:rsidR="00FE38D7" w:rsidRPr="00176D3F" w:rsidRDefault="00FE38D7" w:rsidP="00D367CF">
            <w:pPr>
              <w:pStyle w:val="Note"/>
            </w:pPr>
            <w:r>
              <w:rPr>
                <w:rStyle w:val="NoteLabel"/>
              </w:rPr>
              <w:t>a</w:t>
            </w:r>
            <w:r>
              <w:t xml:space="preserve"> </w:t>
            </w:r>
            <w:r w:rsidR="00C3122E">
              <w:t>Wage income is presented relative to Average Weekly Ordinary Time Earnings (AWOTE) — a value of 0.5 indicates wage income that is half of AWOTE</w:t>
            </w:r>
            <w:r>
              <w:t xml:space="preserve">. </w:t>
            </w:r>
          </w:p>
        </w:tc>
      </w:tr>
      <w:tr w:rsidR="00FE38D7" w:rsidRPr="00176D3F" w:rsidTr="00AF25A8">
        <w:tc>
          <w:tcPr>
            <w:tcW w:w="5000" w:type="pct"/>
            <w:tcBorders>
              <w:top w:val="nil"/>
              <w:left w:val="nil"/>
              <w:bottom w:val="nil"/>
              <w:right w:val="nil"/>
            </w:tcBorders>
            <w:shd w:val="clear" w:color="auto" w:fill="auto"/>
          </w:tcPr>
          <w:p w:rsidR="00FE38D7" w:rsidRPr="00176D3F" w:rsidRDefault="002350AE" w:rsidP="00E813A1">
            <w:pPr>
              <w:pStyle w:val="Source"/>
            </w:pPr>
            <w:r>
              <w:rPr>
                <w:i/>
              </w:rPr>
              <w:t>S</w:t>
            </w:r>
            <w:r w:rsidRPr="00784A05">
              <w:rPr>
                <w:i/>
              </w:rPr>
              <w:t>ource</w:t>
            </w:r>
            <w:r w:rsidRPr="00176D3F">
              <w:t>:</w:t>
            </w:r>
            <w:r>
              <w:t xml:space="preserve"> </w:t>
            </w:r>
            <w:r w:rsidR="00E813A1" w:rsidRPr="00E813A1">
              <w:t xml:space="preserve">PC EMORI based on </w:t>
            </w:r>
            <w:r w:rsidR="00E813A1">
              <w:t>Treasury analysis of</w:t>
            </w:r>
            <w:r w:rsidR="00E813A1" w:rsidRPr="00E813A1">
              <w:t xml:space="preserve"> 2014</w:t>
            </w:r>
            <w:r w:rsidR="00023567">
              <w:noBreakHyphen/>
            </w:r>
            <w:r w:rsidR="00E813A1" w:rsidRPr="00E813A1">
              <w:t>15 ATO data</w:t>
            </w:r>
            <w:r w:rsidR="00E813A1">
              <w:t>.</w:t>
            </w:r>
          </w:p>
        </w:tc>
      </w:tr>
      <w:tr w:rsidR="00FE38D7" w:rsidTr="00AF25A8">
        <w:tc>
          <w:tcPr>
            <w:tcW w:w="5000" w:type="pct"/>
            <w:tcBorders>
              <w:top w:val="nil"/>
              <w:left w:val="nil"/>
              <w:bottom w:val="single" w:sz="6" w:space="0" w:color="78A22F"/>
              <w:right w:val="nil"/>
            </w:tcBorders>
            <w:shd w:val="clear" w:color="auto" w:fill="auto"/>
          </w:tcPr>
          <w:p w:rsidR="00FE38D7" w:rsidRDefault="00FE38D7" w:rsidP="00AF25A8">
            <w:pPr>
              <w:pStyle w:val="Figurespace"/>
            </w:pPr>
          </w:p>
        </w:tc>
      </w:tr>
      <w:tr w:rsidR="00FE38D7" w:rsidRPr="000863A5" w:rsidTr="00AF25A8">
        <w:tc>
          <w:tcPr>
            <w:tcW w:w="5000" w:type="pct"/>
            <w:tcBorders>
              <w:top w:val="single" w:sz="6" w:space="0" w:color="78A22F"/>
              <w:left w:val="nil"/>
              <w:bottom w:val="nil"/>
              <w:right w:val="nil"/>
            </w:tcBorders>
          </w:tcPr>
          <w:p w:rsidR="00FE38D7" w:rsidRPr="00626D32" w:rsidRDefault="00FE38D7" w:rsidP="00AF25A8">
            <w:pPr>
              <w:pStyle w:val="BoxSpaceBelow"/>
            </w:pPr>
          </w:p>
        </w:tc>
      </w:tr>
    </w:tbl>
    <w:p w:rsidR="005472FE" w:rsidRDefault="005472FE" w:rsidP="0032279E">
      <w:pPr>
        <w:pStyle w:val="Heading3"/>
        <w:spacing w:before="280"/>
      </w:pPr>
      <w:r>
        <w:t>Superannuation rules</w:t>
      </w:r>
    </w:p>
    <w:p w:rsidR="005472FE" w:rsidRPr="005472FE" w:rsidRDefault="00AC6721" w:rsidP="005472FE">
      <w:pPr>
        <w:pStyle w:val="BodyText"/>
      </w:pPr>
      <w:r>
        <w:t>The following</w:t>
      </w:r>
      <w:r w:rsidR="005472FE">
        <w:t xml:space="preserve"> </w:t>
      </w:r>
      <w:r>
        <w:t xml:space="preserve">is </w:t>
      </w:r>
      <w:r w:rsidR="005472FE">
        <w:t>a list of the key assumptions regarding superannuation in the model</w:t>
      </w:r>
      <w:r w:rsidR="00E817F3">
        <w:t>.</w:t>
      </w:r>
      <w:r w:rsidR="00075571" w:rsidRPr="00075571">
        <w:rPr>
          <w:rStyle w:val="FootnoteReference"/>
        </w:rPr>
        <w:t xml:space="preserve"> </w:t>
      </w:r>
    </w:p>
    <w:p w:rsidR="002A4490" w:rsidRDefault="002A4490" w:rsidP="007B087C">
      <w:pPr>
        <w:pStyle w:val="ListBullet"/>
      </w:pPr>
      <w:r>
        <w:t xml:space="preserve">Superannuation assets receive an annual </w:t>
      </w:r>
      <w:r w:rsidR="000172FE">
        <w:t xml:space="preserve">investment </w:t>
      </w:r>
      <w:r>
        <w:t xml:space="preserve">return of </w:t>
      </w:r>
      <w:r w:rsidR="00BD431B">
        <w:t>7</w:t>
      </w:r>
      <w:r>
        <w:t>.</w:t>
      </w:r>
      <w:r w:rsidR="00BD431B">
        <w:t>5</w:t>
      </w:r>
      <w:r>
        <w:t> per </w:t>
      </w:r>
      <w:r w:rsidR="00BD431B">
        <w:t xml:space="preserve">cent per </w:t>
      </w:r>
      <w:r w:rsidR="00E817F3">
        <w:t xml:space="preserve">year </w:t>
      </w:r>
      <w:r w:rsidR="00BD431B">
        <w:t xml:space="preserve">(5 per cent real) </w:t>
      </w:r>
      <w:r>
        <w:t xml:space="preserve">in the accumulation </w:t>
      </w:r>
      <w:r w:rsidR="00BD431B">
        <w:t xml:space="preserve">and pension </w:t>
      </w:r>
      <w:r>
        <w:t>phase</w:t>
      </w:r>
      <w:r w:rsidR="00BD431B">
        <w:t>.</w:t>
      </w:r>
      <w:r>
        <w:t xml:space="preserve"> </w:t>
      </w:r>
    </w:p>
    <w:p w:rsidR="005472FE" w:rsidRDefault="00C92715" w:rsidP="007B087C">
      <w:pPr>
        <w:pStyle w:val="ListBullet"/>
      </w:pPr>
      <w:r>
        <w:t>The a</w:t>
      </w:r>
      <w:r w:rsidR="005472FE">
        <w:t>nnual admin</w:t>
      </w:r>
      <w:r w:rsidR="00E817F3">
        <w:t>istration</w:t>
      </w:r>
      <w:r w:rsidR="005472FE">
        <w:t xml:space="preserve"> fee </w:t>
      </w:r>
      <w:r w:rsidR="00E817F3">
        <w:t xml:space="preserve">is </w:t>
      </w:r>
      <w:r w:rsidR="005472FE">
        <w:t>$</w:t>
      </w:r>
      <w:r w:rsidR="0028108F">
        <w:t>69 plus 0.16 per cent of superannuation assets</w:t>
      </w:r>
      <w:r w:rsidR="00A66C47">
        <w:t>.</w:t>
      </w:r>
    </w:p>
    <w:p w:rsidR="005472FE" w:rsidRDefault="00C92715" w:rsidP="007B087C">
      <w:pPr>
        <w:pStyle w:val="ListBullet"/>
      </w:pPr>
      <w:r>
        <w:t>The annual i</w:t>
      </w:r>
      <w:r w:rsidR="005472FE">
        <w:t xml:space="preserve">nvestment fee </w:t>
      </w:r>
      <w:r w:rsidR="00E817F3">
        <w:t xml:space="preserve">is </w:t>
      </w:r>
      <w:r w:rsidR="005472FE">
        <w:t>0.</w:t>
      </w:r>
      <w:r w:rsidR="0028108F">
        <w:t>82 </w:t>
      </w:r>
      <w:r w:rsidR="009D3FFE">
        <w:t>per cent</w:t>
      </w:r>
      <w:r w:rsidR="005472FE">
        <w:t xml:space="preserve"> of superannuation assets</w:t>
      </w:r>
      <w:r w:rsidR="00A66C47">
        <w:t>.</w:t>
      </w:r>
    </w:p>
    <w:p w:rsidR="005472FE" w:rsidRDefault="005472FE" w:rsidP="005472FE">
      <w:pPr>
        <w:pStyle w:val="ListBullet"/>
      </w:pPr>
      <w:r>
        <w:t>Superannuation assets are assumed to pay an effective tax rate of 7 per cent on earnings in the accumulation phase and are untaxed in the pension phase.</w:t>
      </w:r>
    </w:p>
    <w:p w:rsidR="00E14A47" w:rsidRDefault="00E14A47" w:rsidP="005472FE">
      <w:pPr>
        <w:pStyle w:val="ListBullet"/>
      </w:pPr>
      <w:r>
        <w:t xml:space="preserve">Superannuation funds claim a tax deduction for paying insurance premiums to their insurers. </w:t>
      </w:r>
      <w:r w:rsidR="001E4DC1">
        <w:t>This concession is equal to the premiums paid multiplied by the superannuation fund’s tax rate on contributions and income (15 per cent).</w:t>
      </w:r>
    </w:p>
    <w:p w:rsidR="001E4DC1" w:rsidRDefault="001E4DC1" w:rsidP="005472FE">
      <w:pPr>
        <w:pStyle w:val="ListBullet"/>
      </w:pPr>
      <w:r>
        <w:t xml:space="preserve">Insurers pay stamp duty on insurance premiums of 10 per cent </w:t>
      </w:r>
      <w:r w:rsidR="00E817F3">
        <w:t xml:space="preserve">— </w:t>
      </w:r>
      <w:r>
        <w:t xml:space="preserve">an approximate average of </w:t>
      </w:r>
      <w:r w:rsidR="00E817F3">
        <w:t>S</w:t>
      </w:r>
      <w:r>
        <w:t xml:space="preserve">tate and </w:t>
      </w:r>
      <w:r w:rsidR="00E817F3">
        <w:t>T</w:t>
      </w:r>
      <w:r>
        <w:t xml:space="preserve">erritory </w:t>
      </w:r>
      <w:r w:rsidR="00E817F3">
        <w:t>governments</w:t>
      </w:r>
      <w:r>
        <w:t xml:space="preserve"> stamp duty rates for TPD and IP insurance</w:t>
      </w:r>
      <w:r w:rsidR="000633EE">
        <w:t xml:space="preserve"> </w:t>
      </w:r>
      <w:r w:rsidR="000633EE" w:rsidRPr="000633EE">
        <w:rPr>
          <w:szCs w:val="24"/>
        </w:rPr>
        <w:t>(MLC 2017)</w:t>
      </w:r>
      <w:r>
        <w:t xml:space="preserve">. </w:t>
      </w:r>
    </w:p>
    <w:p w:rsidR="003B66C4" w:rsidRDefault="003B66C4">
      <w:pPr>
        <w:rPr>
          <w:rFonts w:ascii="Arial" w:hAnsi="Arial"/>
          <w:b/>
          <w:sz w:val="26"/>
          <w:szCs w:val="20"/>
        </w:rPr>
      </w:pPr>
      <w:r>
        <w:br w:type="page"/>
      </w:r>
    </w:p>
    <w:p w:rsidR="007B087C" w:rsidRDefault="007B087C" w:rsidP="007B087C">
      <w:pPr>
        <w:pStyle w:val="Heading3"/>
      </w:pPr>
      <w:r>
        <w:t xml:space="preserve">Tax and transfer </w:t>
      </w:r>
      <w:r w:rsidR="007B6215">
        <w:t>assumptions</w:t>
      </w:r>
    </w:p>
    <w:p w:rsidR="0028108F" w:rsidRPr="0028108F" w:rsidRDefault="0028108F" w:rsidP="00461C3D">
      <w:pPr>
        <w:pStyle w:val="BodyText"/>
      </w:pPr>
      <w:r>
        <w:t>The following tax and transfer assumptions are made in the model</w:t>
      </w:r>
      <w:r w:rsidR="0025557C">
        <w:t>.</w:t>
      </w:r>
    </w:p>
    <w:p w:rsidR="004F524C" w:rsidRDefault="007B6215" w:rsidP="005472FE">
      <w:pPr>
        <w:pStyle w:val="ListBullet"/>
      </w:pPr>
      <w:r>
        <w:t xml:space="preserve">All individuals who would be eligible for a TPD or IP claim (if they had insurance) are assumed to </w:t>
      </w:r>
      <w:r w:rsidR="004F524C" w:rsidRPr="007B6215">
        <w:t xml:space="preserve">meet the disability requirements </w:t>
      </w:r>
      <w:r>
        <w:t xml:space="preserve">for the </w:t>
      </w:r>
      <w:r w:rsidR="004F524C" w:rsidRPr="007B6215">
        <w:t xml:space="preserve">DSP. </w:t>
      </w:r>
      <w:r>
        <w:t xml:space="preserve">In reality, the DSP disability requirement is likely to be stricter than insurance claims (especially for IP payments). That said, </w:t>
      </w:r>
      <w:r w:rsidR="004F524C" w:rsidRPr="007B6215">
        <w:t xml:space="preserve">if </w:t>
      </w:r>
      <w:r>
        <w:t>individuals did</w:t>
      </w:r>
      <w:r w:rsidR="00003769">
        <w:t xml:space="preserve"> </w:t>
      </w:r>
      <w:r>
        <w:t>n</w:t>
      </w:r>
      <w:r w:rsidR="00003769">
        <w:t>o</w:t>
      </w:r>
      <w:r>
        <w:t xml:space="preserve">t meet the DSP disability requirements, </w:t>
      </w:r>
      <w:r w:rsidR="004F524C" w:rsidRPr="007B6215">
        <w:t xml:space="preserve">they would </w:t>
      </w:r>
      <w:r w:rsidR="005472FE">
        <w:t xml:space="preserve">still </w:t>
      </w:r>
      <w:r>
        <w:t xml:space="preserve">likely </w:t>
      </w:r>
      <w:r w:rsidR="005472FE">
        <w:t>receive</w:t>
      </w:r>
      <w:r>
        <w:t xml:space="preserve"> </w:t>
      </w:r>
      <w:r w:rsidR="004F524C" w:rsidRPr="007B6215">
        <w:t>NewStart</w:t>
      </w:r>
      <w:r>
        <w:t xml:space="preserve"> (</w:t>
      </w:r>
      <w:r w:rsidR="005472FE">
        <w:t>which</w:t>
      </w:r>
      <w:r>
        <w:t xml:space="preserve"> </w:t>
      </w:r>
      <w:r w:rsidR="00003769">
        <w:t xml:space="preserve">has a </w:t>
      </w:r>
      <w:r>
        <w:t xml:space="preserve">lower </w:t>
      </w:r>
      <w:r w:rsidR="00003769">
        <w:t xml:space="preserve">payment rate </w:t>
      </w:r>
      <w:r>
        <w:t xml:space="preserve">than the DSP). Accounting for this </w:t>
      </w:r>
      <w:r w:rsidR="005472FE">
        <w:t xml:space="preserve">in the model </w:t>
      </w:r>
      <w:r>
        <w:t xml:space="preserve">would </w:t>
      </w:r>
      <w:r w:rsidR="005472FE">
        <w:t>reduce</w:t>
      </w:r>
      <w:r>
        <w:t xml:space="preserve"> the fiscal </w:t>
      </w:r>
      <w:r w:rsidR="006E14B6">
        <w:t xml:space="preserve">benefit </w:t>
      </w:r>
      <w:r>
        <w:t>associated with insurance in super</w:t>
      </w:r>
      <w:r w:rsidR="00623046">
        <w:t>annuation</w:t>
      </w:r>
      <w:r>
        <w:t>.</w:t>
      </w:r>
    </w:p>
    <w:p w:rsidR="005472FE" w:rsidRDefault="007B6215" w:rsidP="00B532A3">
      <w:pPr>
        <w:pStyle w:val="ListBullet"/>
      </w:pPr>
      <w:r>
        <w:t xml:space="preserve">Individuals are assumed to not </w:t>
      </w:r>
      <w:r w:rsidR="005472FE">
        <w:t xml:space="preserve">claim on </w:t>
      </w:r>
      <w:r>
        <w:t>insurance outside of superannuation and are assumed not to be eligible for any worker’s compensation payments.</w:t>
      </w:r>
    </w:p>
    <w:p w:rsidR="00B843A4" w:rsidRDefault="00003769" w:rsidP="00B532A3">
      <w:pPr>
        <w:pStyle w:val="ListBullet"/>
      </w:pPr>
      <w:r>
        <w:t>For pension calculations, i</w:t>
      </w:r>
      <w:r w:rsidR="00B843A4">
        <w:t>ndividuals are assumed to be homeowners. This as</w:t>
      </w:r>
      <w:r w:rsidR="00FE38D7">
        <w:t xml:space="preserve">sumption is tested in </w:t>
      </w:r>
      <w:r w:rsidR="00023567">
        <w:t>a</w:t>
      </w:r>
      <w:r w:rsidR="00FE38D7">
        <w:t>ppendix</w:t>
      </w:r>
      <w:r w:rsidR="00023567">
        <w:t> </w:t>
      </w:r>
      <w:r w:rsidR="00FE38D7">
        <w:t>B</w:t>
      </w:r>
      <w:r w:rsidR="00B843A4">
        <w:t>.</w:t>
      </w:r>
    </w:p>
    <w:p w:rsidR="00F60D3C" w:rsidRDefault="00F60D3C">
      <w:pPr>
        <w:rPr>
          <w:rFonts w:ascii="Arial" w:hAnsi="Arial"/>
          <w:b/>
          <w:sz w:val="32"/>
          <w:szCs w:val="20"/>
        </w:rPr>
      </w:pPr>
      <w:r>
        <w:br w:type="page"/>
      </w:r>
    </w:p>
    <w:p w:rsidR="006217D1" w:rsidRDefault="00FE38D7" w:rsidP="006217D1">
      <w:pPr>
        <w:pStyle w:val="Heading2"/>
      </w:pPr>
      <w:r>
        <w:t>Appendix</w:t>
      </w:r>
      <w:r w:rsidR="00023567">
        <w:t> </w:t>
      </w:r>
      <w:r>
        <w:t>B</w:t>
      </w:r>
      <w:r w:rsidR="006217D1">
        <w:t xml:space="preserve">: </w:t>
      </w:r>
      <w:r w:rsidR="00951EE1">
        <w:t>S</w:t>
      </w:r>
      <w:r w:rsidR="006217D1">
        <w:t>ensitivity analysis</w:t>
      </w:r>
    </w:p>
    <w:p w:rsidR="009D1803" w:rsidRPr="009D1803" w:rsidRDefault="009D1803" w:rsidP="009D1803">
      <w:pPr>
        <w:pStyle w:val="BodyText"/>
      </w:pPr>
      <w:r>
        <w:t>This section tests the s</w:t>
      </w:r>
      <w:r w:rsidR="00D73A18">
        <w:t xml:space="preserve">ensitivity of cameo results to </w:t>
      </w:r>
      <w:r>
        <w:t xml:space="preserve">key assumptions. To keep the analysis </w:t>
      </w:r>
      <w:r w:rsidR="00003769">
        <w:t>tract</w:t>
      </w:r>
      <w:r>
        <w:t>able, only the single individual cameos are considered.</w:t>
      </w:r>
    </w:p>
    <w:p w:rsidR="00951EE1" w:rsidRDefault="00951EE1" w:rsidP="00951EE1">
      <w:pPr>
        <w:pStyle w:val="Heading3"/>
      </w:pPr>
      <w:r>
        <w:t xml:space="preserve">Higher </w:t>
      </w:r>
      <w:r w:rsidR="000172FE">
        <w:t xml:space="preserve">insurance </w:t>
      </w:r>
      <w:r>
        <w:t>premiums</w:t>
      </w:r>
    </w:p>
    <w:p w:rsidR="00D73A18" w:rsidRDefault="00E813A1" w:rsidP="00D73A18">
      <w:pPr>
        <w:pStyle w:val="BodyText"/>
      </w:pPr>
      <w:r>
        <w:t xml:space="preserve">Two </w:t>
      </w:r>
      <w:r w:rsidR="009D3FFE">
        <w:t xml:space="preserve">alternative insurance policies are considered. </w:t>
      </w:r>
      <w:r>
        <w:t>Both are</w:t>
      </w:r>
      <w:r w:rsidR="00982244">
        <w:t xml:space="preserve"> more </w:t>
      </w:r>
      <w:r w:rsidR="00D73A18">
        <w:t>expensive relative to an average whi</w:t>
      </w:r>
      <w:r w:rsidR="00E42FDE">
        <w:t xml:space="preserve">te </w:t>
      </w:r>
      <w:r w:rsidR="00D73A18">
        <w:t>collar policy:</w:t>
      </w:r>
    </w:p>
    <w:p w:rsidR="00D73A18" w:rsidRDefault="0025557C" w:rsidP="00D73A18">
      <w:pPr>
        <w:pStyle w:val="ListBullet"/>
      </w:pPr>
      <w:r>
        <w:t>a</w:t>
      </w:r>
      <w:r w:rsidR="00D73A18">
        <w:t xml:space="preserve">n expensive white collar insurance policy (with higher </w:t>
      </w:r>
      <w:r w:rsidR="000172FE">
        <w:t xml:space="preserve">insurance </w:t>
      </w:r>
      <w:r w:rsidR="00D73A18">
        <w:t>premiums and more cover</w:t>
      </w:r>
      <w:r w:rsidR="009D3FFE">
        <w:t xml:space="preserve"> than the default policy</w:t>
      </w:r>
      <w:r w:rsidR="00D73A18">
        <w:t>)</w:t>
      </w:r>
    </w:p>
    <w:p w:rsidR="00D73A18" w:rsidRDefault="00D73A18" w:rsidP="00D73A18">
      <w:pPr>
        <w:pStyle w:val="ListBullet"/>
      </w:pPr>
      <w:r>
        <w:t>multiple insurance policies</w:t>
      </w:r>
      <w:r w:rsidR="009D3FFE">
        <w:t>.</w:t>
      </w:r>
      <w:r>
        <w:t xml:space="preserve"> (</w:t>
      </w:r>
      <w:r w:rsidR="009D3FFE">
        <w:t xml:space="preserve">Compared </w:t>
      </w:r>
      <w:r w:rsidR="00DA1C64">
        <w:t>with</w:t>
      </w:r>
      <w:r w:rsidR="009D3FFE">
        <w:t xml:space="preserve"> the default policy, </w:t>
      </w:r>
      <w:r>
        <w:t xml:space="preserve">the </w:t>
      </w:r>
      <w:r w:rsidR="000172FE">
        <w:t xml:space="preserve">insurance </w:t>
      </w:r>
      <w:r>
        <w:t>premiums</w:t>
      </w:r>
      <w:r w:rsidR="009D3FFE">
        <w:t xml:space="preserve"> are twice as expensive, </w:t>
      </w:r>
      <w:r>
        <w:t xml:space="preserve">the cover for TPD </w:t>
      </w:r>
      <w:r w:rsidR="009D3FFE">
        <w:t xml:space="preserve">is twice is large and the </w:t>
      </w:r>
      <w:r>
        <w:t xml:space="preserve">cover for IP </w:t>
      </w:r>
      <w:r w:rsidR="009D3FFE">
        <w:t xml:space="preserve">is the same </w:t>
      </w:r>
      <w:r>
        <w:t>as only a single IP policy can typically be claimed on.</w:t>
      </w:r>
      <w:r w:rsidR="009D3FFE">
        <w:t>)</w:t>
      </w:r>
    </w:p>
    <w:p w:rsidR="00231F57" w:rsidRDefault="00231F57" w:rsidP="00231F57">
      <w:pPr>
        <w:pStyle w:val="BodyText"/>
      </w:pPr>
      <w:r>
        <w:t>Note that these sensitivity tests do not change the underlying claim rates</w:t>
      </w:r>
      <w:r w:rsidDel="008C0187">
        <w:t>.</w:t>
      </w:r>
    </w:p>
    <w:p w:rsidR="00E837AB" w:rsidRDefault="009D3FFE" w:rsidP="00E837AB">
      <w:pPr>
        <w:pStyle w:val="Heading4"/>
      </w:pPr>
      <w:r>
        <w:t>A more expensive white</w:t>
      </w:r>
      <w:r w:rsidR="0025557C">
        <w:t xml:space="preserve"> </w:t>
      </w:r>
      <w:r>
        <w:t>collar policy</w:t>
      </w:r>
      <w:r w:rsidR="00E837AB">
        <w:t xml:space="preserve"> </w:t>
      </w:r>
    </w:p>
    <w:p w:rsidR="009D3FFE" w:rsidRDefault="00335D9A" w:rsidP="00D73A18">
      <w:pPr>
        <w:pStyle w:val="BodyText"/>
      </w:pPr>
      <w:r>
        <w:t>More expensive policies (with higher levels of cover) intensify the fiscal effects of TPD insurance</w:t>
      </w:r>
      <w:r w:rsidR="009D3FFE">
        <w:t xml:space="preserve"> (figure </w:t>
      </w:r>
      <w:r w:rsidR="00AF1B8C">
        <w:t>8</w:t>
      </w:r>
      <w:r w:rsidR="009D3FFE">
        <w:t>)</w:t>
      </w:r>
      <w:r>
        <w:t>.</w:t>
      </w:r>
      <w:r w:rsidR="009D3FFE">
        <w:t xml:space="preserve"> This is because the both the </w:t>
      </w:r>
      <w:r w:rsidR="00003769">
        <w:t xml:space="preserve">fiscal </w:t>
      </w:r>
      <w:r w:rsidR="009D3FFE">
        <w:t xml:space="preserve">cost and benefit drivers </w:t>
      </w:r>
      <w:r w:rsidR="00514674">
        <w:t>(</w:t>
      </w:r>
      <w:r w:rsidR="000172FE">
        <w:t xml:space="preserve">insurance </w:t>
      </w:r>
      <w:r w:rsidR="00514674">
        <w:t xml:space="preserve">premiums and the level of cover respectively) </w:t>
      </w:r>
      <w:r w:rsidR="009D3FFE">
        <w:t xml:space="preserve">have increased proportionally. </w:t>
      </w:r>
    </w:p>
    <w:p w:rsidR="00D73A18" w:rsidRPr="00D73A18" w:rsidRDefault="007C5A55" w:rsidP="00D73A18">
      <w:pPr>
        <w:pStyle w:val="BodyText"/>
      </w:pPr>
      <w:r>
        <w:t>A similar result occurs for IP insurance</w:t>
      </w:r>
      <w:r w:rsidR="00514674">
        <w:t xml:space="preserve"> at the aggregate level</w:t>
      </w:r>
      <w:r>
        <w:t xml:space="preserve">, though </w:t>
      </w:r>
      <w:r w:rsidR="00514674">
        <w:t>there are some differences in the magnitude in the components. The increase in</w:t>
      </w:r>
      <w:r>
        <w:t xml:space="preserve"> the monthly IP benefit </w:t>
      </w:r>
      <w:r w:rsidR="00837980">
        <w:t>for high</w:t>
      </w:r>
      <w:r w:rsidR="00023567">
        <w:noBreakHyphen/>
      </w:r>
      <w:r w:rsidR="00837980">
        <w:t xml:space="preserve">income individuals </w:t>
      </w:r>
      <w:r w:rsidR="00514674">
        <w:t xml:space="preserve">is substantial (from around $3000 to $6000 </w:t>
      </w:r>
      <w:r w:rsidR="000F121F">
        <w:t xml:space="preserve">— </w:t>
      </w:r>
      <w:r w:rsidR="00514674">
        <w:t>an annual income of $72</w:t>
      </w:r>
      <w:r w:rsidR="00023567">
        <w:t> </w:t>
      </w:r>
      <w:r w:rsidR="00514674">
        <w:t>000 before tax).</w:t>
      </w:r>
      <w:r w:rsidR="000F121F" w:rsidRPr="000F121F">
        <w:t xml:space="preserve"> </w:t>
      </w:r>
      <w:r w:rsidR="000F121F">
        <w:t>Low</w:t>
      </w:r>
      <w:r w:rsidR="000F121F">
        <w:noBreakHyphen/>
        <w:t xml:space="preserve"> and </w:t>
      </w:r>
      <w:r w:rsidR="000F121F" w:rsidDel="00AF63F6">
        <w:t>middle</w:t>
      </w:r>
      <w:r w:rsidR="000F121F">
        <w:noBreakHyphen/>
        <w:t>income individuals do not receive the full increase as the 75 per cent of income restriction is binding.</w:t>
      </w:r>
      <w:r w:rsidR="00514674">
        <w:t xml:space="preserve"> </w:t>
      </w:r>
      <w:r w:rsidR="00A66C47">
        <w:t>H</w:t>
      </w:r>
      <w:r w:rsidR="00542053">
        <w:t>igh</w:t>
      </w:r>
      <w:r w:rsidR="00023567">
        <w:noBreakHyphen/>
      </w:r>
      <w:r w:rsidR="00837980">
        <w:t>income</w:t>
      </w:r>
      <w:r w:rsidR="00542053">
        <w:t xml:space="preserve"> </w:t>
      </w:r>
      <w:r>
        <w:t xml:space="preserve">individuals </w:t>
      </w:r>
      <w:r w:rsidR="00514674">
        <w:t xml:space="preserve">who </w:t>
      </w:r>
      <w:r w:rsidR="00A66C47">
        <w:t xml:space="preserve">still </w:t>
      </w:r>
      <w:r w:rsidR="00514674">
        <w:t xml:space="preserve">receive </w:t>
      </w:r>
      <w:r w:rsidR="00A66C47">
        <w:t xml:space="preserve">the full </w:t>
      </w:r>
      <w:r w:rsidR="00514674">
        <w:t xml:space="preserve">IP benefit </w:t>
      </w:r>
      <w:r w:rsidR="00A66C47">
        <w:t xml:space="preserve">are pushed </w:t>
      </w:r>
      <w:r w:rsidR="00514674">
        <w:t xml:space="preserve">beyond any form of DSP payment and </w:t>
      </w:r>
      <w:r>
        <w:t>into higher tax brackets.</w:t>
      </w:r>
      <w:r w:rsidR="00514674">
        <w:t xml:space="preserve"> The result is a much larger tax </w:t>
      </w:r>
      <w:r w:rsidR="003E079D">
        <w:t xml:space="preserve">(and net) </w:t>
      </w:r>
      <w:r w:rsidR="00514674">
        <w:t>benefit to government from IP insurance.</w:t>
      </w:r>
    </w:p>
    <w:p w:rsidR="00E818D3" w:rsidRDefault="00E818D3" w:rsidP="007F21B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818D3" w:rsidTr="007F21B9">
        <w:trPr>
          <w:tblHeader/>
        </w:trPr>
        <w:tc>
          <w:tcPr>
            <w:tcW w:w="5000" w:type="pct"/>
            <w:tcBorders>
              <w:top w:val="single" w:sz="6" w:space="0" w:color="78A22F"/>
              <w:left w:val="nil"/>
              <w:bottom w:val="nil"/>
              <w:right w:val="nil"/>
            </w:tcBorders>
            <w:shd w:val="clear" w:color="auto" w:fill="auto"/>
          </w:tcPr>
          <w:p w:rsidR="00E818D3" w:rsidRDefault="00E818D3" w:rsidP="007F21B9">
            <w:pPr>
              <w:pStyle w:val="FigureTitle"/>
            </w:pPr>
            <w:r w:rsidRPr="00784A05">
              <w:rPr>
                <w:b w:val="0"/>
              </w:rPr>
              <w:t xml:space="preserve">Figure </w:t>
            </w:r>
            <w:bookmarkStart w:id="6" w:name="OLE_LINK3"/>
            <w:r w:rsidR="00A11CF5">
              <w:rPr>
                <w:b w:val="0"/>
                <w:noProof/>
              </w:rPr>
              <w:t>8</w:t>
            </w:r>
            <w:bookmarkEnd w:id="6"/>
            <w:r>
              <w:tab/>
            </w:r>
            <w:r w:rsidR="00E16460">
              <w:t>Results for a higher premium white collar policy</w:t>
            </w:r>
          </w:p>
          <w:p w:rsidR="00E818D3" w:rsidRPr="00176D3F" w:rsidRDefault="00E16460" w:rsidP="007F21B9">
            <w:pPr>
              <w:pStyle w:val="Subtitle"/>
            </w:pPr>
            <w:r>
              <w:t>Single individual</w:t>
            </w:r>
          </w:p>
        </w:tc>
      </w:tr>
      <w:tr w:rsidR="00E818D3" w:rsidTr="007F21B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818D3" w:rsidRPr="00B1465D" w:rsidTr="007F21B9">
              <w:trPr>
                <w:tblHeader/>
                <w:jc w:val="center"/>
              </w:trPr>
              <w:tc>
                <w:tcPr>
                  <w:tcW w:w="5000" w:type="pct"/>
                  <w:tcBorders>
                    <w:top w:val="nil"/>
                    <w:bottom w:val="nil"/>
                  </w:tcBorders>
                </w:tcPr>
                <w:p w:rsidR="00E818D3" w:rsidRPr="00B1465D" w:rsidRDefault="00DE6033" w:rsidP="007F21B9">
                  <w:pPr>
                    <w:pStyle w:val="Figure"/>
                    <w:spacing w:before="60" w:after="60"/>
                    <w:rPr>
                      <w:rFonts w:ascii="Arial" w:hAnsi="Arial" w:cs="Arial"/>
                      <w:sz w:val="18"/>
                      <w:szCs w:val="18"/>
                    </w:rPr>
                  </w:pPr>
                  <w:r>
                    <w:rPr>
                      <w:noProof/>
                    </w:rPr>
                    <w:drawing>
                      <wp:inline distT="0" distB="0" distL="0" distR="0" wp14:anchorId="48E1E5A6" wp14:editId="662E0B45">
                        <wp:extent cx="5400346" cy="3603231"/>
                        <wp:effectExtent l="0" t="0" r="0" b="0"/>
                        <wp:docPr id="36" name="Picture 36" descr="This figure shows the cameo results for a single individual with a more expensive white collar insurance policy - the 90th percentile policy, compared with the 50th percentile policy used as the default assumption. This change exacerbates the magnitude of the effects (either positive or negative)." title="Results for a higher premium white collar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ingle.plot.W90.comp.emf"/>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rsidR="00E818D3" w:rsidRDefault="00E818D3" w:rsidP="007F21B9">
            <w:pPr>
              <w:pStyle w:val="Figure"/>
            </w:pPr>
          </w:p>
        </w:tc>
      </w:tr>
      <w:tr w:rsidR="00E818D3" w:rsidRPr="00176D3F" w:rsidTr="007F21B9">
        <w:tc>
          <w:tcPr>
            <w:tcW w:w="5000" w:type="pct"/>
            <w:tcBorders>
              <w:top w:val="nil"/>
              <w:left w:val="nil"/>
              <w:bottom w:val="nil"/>
              <w:right w:val="nil"/>
            </w:tcBorders>
            <w:shd w:val="clear" w:color="auto" w:fill="auto"/>
          </w:tcPr>
          <w:p w:rsidR="00E818D3" w:rsidRPr="00176D3F" w:rsidRDefault="00E818D3" w:rsidP="00D367CF">
            <w:pPr>
              <w:pStyle w:val="Note"/>
            </w:pPr>
            <w:r>
              <w:rPr>
                <w:rStyle w:val="NoteLabel"/>
              </w:rPr>
              <w:t>a</w:t>
            </w:r>
            <w:r>
              <w:t xml:space="preserve"> </w:t>
            </w:r>
            <w:r w:rsidR="00D367CF">
              <w:t xml:space="preserve">The white </w:t>
            </w:r>
            <w:r w:rsidR="003E079D">
              <w:t>collar</w:t>
            </w:r>
            <w:r w:rsidR="00D367CF">
              <w:t xml:space="preserve"> 50</w:t>
            </w:r>
            <w:r w:rsidR="00D367CF" w:rsidRPr="00BF3634">
              <w:rPr>
                <w:vertAlign w:val="superscript"/>
              </w:rPr>
              <w:t>th</w:t>
            </w:r>
            <w:r w:rsidR="00D367CF">
              <w:t xml:space="preserve"> percentile insurance policy is the default assumption and included here for reference</w:t>
            </w:r>
            <w:r>
              <w:t xml:space="preserve">. </w:t>
            </w:r>
          </w:p>
        </w:tc>
      </w:tr>
      <w:tr w:rsidR="00E818D3" w:rsidRPr="00176D3F" w:rsidTr="007F21B9">
        <w:tc>
          <w:tcPr>
            <w:tcW w:w="5000" w:type="pct"/>
            <w:tcBorders>
              <w:top w:val="nil"/>
              <w:left w:val="nil"/>
              <w:bottom w:val="nil"/>
              <w:right w:val="nil"/>
            </w:tcBorders>
            <w:shd w:val="clear" w:color="auto" w:fill="auto"/>
          </w:tcPr>
          <w:p w:rsidR="00E818D3" w:rsidRPr="00176D3F" w:rsidRDefault="002350AE" w:rsidP="007F21B9">
            <w:pPr>
              <w:pStyle w:val="Source"/>
            </w:pPr>
            <w:r>
              <w:rPr>
                <w:i/>
              </w:rPr>
              <w:t>S</w:t>
            </w:r>
            <w:r w:rsidRPr="00784A05">
              <w:rPr>
                <w:i/>
              </w:rPr>
              <w:t>ource</w:t>
            </w:r>
            <w:r w:rsidRPr="00176D3F">
              <w:t>:</w:t>
            </w:r>
            <w:r>
              <w:t xml:space="preserve"> Productivity Commission estimates</w:t>
            </w:r>
            <w:r w:rsidR="00E53A71">
              <w:t>.</w:t>
            </w:r>
          </w:p>
        </w:tc>
      </w:tr>
      <w:tr w:rsidR="00E818D3" w:rsidTr="007F21B9">
        <w:tc>
          <w:tcPr>
            <w:tcW w:w="5000" w:type="pct"/>
            <w:tcBorders>
              <w:top w:val="nil"/>
              <w:left w:val="nil"/>
              <w:bottom w:val="single" w:sz="6" w:space="0" w:color="78A22F"/>
              <w:right w:val="nil"/>
            </w:tcBorders>
            <w:shd w:val="clear" w:color="auto" w:fill="auto"/>
          </w:tcPr>
          <w:p w:rsidR="00E818D3" w:rsidRDefault="00E818D3" w:rsidP="007F21B9">
            <w:pPr>
              <w:pStyle w:val="Figurespace"/>
            </w:pPr>
          </w:p>
        </w:tc>
      </w:tr>
      <w:tr w:rsidR="00E818D3" w:rsidRPr="000863A5" w:rsidTr="007F21B9">
        <w:tc>
          <w:tcPr>
            <w:tcW w:w="5000" w:type="pct"/>
            <w:tcBorders>
              <w:top w:val="single" w:sz="6" w:space="0" w:color="78A22F"/>
              <w:left w:val="nil"/>
              <w:bottom w:val="nil"/>
              <w:right w:val="nil"/>
            </w:tcBorders>
          </w:tcPr>
          <w:p w:rsidR="00E818D3" w:rsidRPr="00626D32" w:rsidRDefault="00E818D3" w:rsidP="007F21B9">
            <w:pPr>
              <w:pStyle w:val="BoxSpaceBelow"/>
            </w:pPr>
          </w:p>
        </w:tc>
      </w:tr>
    </w:tbl>
    <w:p w:rsidR="00E837AB" w:rsidRDefault="00E837AB" w:rsidP="005713F8">
      <w:pPr>
        <w:pStyle w:val="Heading4"/>
        <w:spacing w:before="240"/>
      </w:pPr>
      <w:r>
        <w:t xml:space="preserve">Multiple </w:t>
      </w:r>
      <w:r w:rsidR="00C90BEB">
        <w:t xml:space="preserve">insurance </w:t>
      </w:r>
      <w:r w:rsidR="00D05F00">
        <w:t>policies</w:t>
      </w:r>
    </w:p>
    <w:p w:rsidR="00D05F00" w:rsidRDefault="00D05F00" w:rsidP="00D05F00">
      <w:pPr>
        <w:pStyle w:val="BodyText"/>
      </w:pPr>
      <w:r>
        <w:t xml:space="preserve">A multiple policies scenario is similar to a more expensive policy for TPD insurance </w:t>
      </w:r>
      <w:r w:rsidR="00C90BEB">
        <w:t xml:space="preserve">(higher </w:t>
      </w:r>
      <w:r w:rsidR="000172FE">
        <w:t xml:space="preserve">insurance </w:t>
      </w:r>
      <w:r w:rsidR="00C90BEB">
        <w:t>premiums and more cover)</w:t>
      </w:r>
      <w:r>
        <w:t xml:space="preserve"> and so the results are also similar</w:t>
      </w:r>
      <w:r w:rsidR="00C90BEB">
        <w:t xml:space="preserve"> — all effects are intensified proportionally</w:t>
      </w:r>
      <w:r w:rsidR="00AF1B8C">
        <w:t xml:space="preserve"> (figure </w:t>
      </w:r>
      <w:r w:rsidR="005D6540">
        <w:t>9</w:t>
      </w:r>
      <w:r w:rsidR="00C37B20">
        <w:t>)</w:t>
      </w:r>
      <w:r>
        <w:t>.</w:t>
      </w:r>
    </w:p>
    <w:p w:rsidR="00D05F00" w:rsidRDefault="00D05F00" w:rsidP="00D05F00">
      <w:pPr>
        <w:pStyle w:val="BodyText"/>
      </w:pPr>
      <w:r>
        <w:t xml:space="preserve">Multiple policies reduce the fiscal benefit associated with IP insurance </w:t>
      </w:r>
      <w:r w:rsidR="00C90BEB">
        <w:t xml:space="preserve">as the </w:t>
      </w:r>
      <w:r w:rsidR="000649B3">
        <w:t>Age</w:t>
      </w:r>
      <w:r w:rsidR="003E079D">
        <w:t xml:space="preserve"> </w:t>
      </w:r>
      <w:r w:rsidR="000649B3">
        <w:t>Pension costs increase with no changes to the DSP effect. The result is a reduced net fiscal benefit to government from</w:t>
      </w:r>
      <w:r>
        <w:t xml:space="preserve"> IP insurance</w:t>
      </w:r>
      <w:r w:rsidR="000649B3">
        <w:t xml:space="preserve">. </w:t>
      </w:r>
      <w:r>
        <w:t>(</w:t>
      </w:r>
      <w:r w:rsidR="000649B3">
        <w:t>The effect of this scenario on the net fiscal benefit</w:t>
      </w:r>
      <w:r>
        <w:t xml:space="preserve"> for high</w:t>
      </w:r>
      <w:r w:rsidR="00023567">
        <w:noBreakHyphen/>
      </w:r>
      <w:r>
        <w:t xml:space="preserve">income individuals </w:t>
      </w:r>
      <w:r w:rsidR="000649B3">
        <w:t>is much smaller as they</w:t>
      </w:r>
      <w:r>
        <w:t xml:space="preserve"> do not receive the Age Pension under either the base or policy </w:t>
      </w:r>
      <w:r w:rsidR="000649B3">
        <w:t xml:space="preserve">case. What is left is a small tax effect due to reduced tax </w:t>
      </w:r>
      <w:r w:rsidR="00B843A4">
        <w:t xml:space="preserve">receipts from </w:t>
      </w:r>
      <w:r w:rsidR="000649B3">
        <w:t>superannuation</w:t>
      </w:r>
      <w:r w:rsidR="00B843A4">
        <w:t xml:space="preserve"> earnings</w:t>
      </w:r>
      <w:r>
        <w:t>.</w:t>
      </w:r>
      <w:r w:rsidR="000649B3">
        <w:t>)</w:t>
      </w:r>
    </w:p>
    <w:p w:rsidR="00D05F00" w:rsidRDefault="00D05F00" w:rsidP="00D05F0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05F00" w:rsidTr="00E5030C">
        <w:trPr>
          <w:tblHeader/>
        </w:trPr>
        <w:tc>
          <w:tcPr>
            <w:tcW w:w="5000" w:type="pct"/>
            <w:tcBorders>
              <w:top w:val="single" w:sz="6" w:space="0" w:color="78A22F"/>
              <w:left w:val="nil"/>
              <w:bottom w:val="nil"/>
              <w:right w:val="nil"/>
            </w:tcBorders>
            <w:shd w:val="clear" w:color="auto" w:fill="auto"/>
          </w:tcPr>
          <w:p w:rsidR="00D05F00" w:rsidRDefault="00D05F00" w:rsidP="00E5030C">
            <w:pPr>
              <w:pStyle w:val="FigureTitle"/>
            </w:pPr>
            <w:r w:rsidRPr="00784A05">
              <w:rPr>
                <w:b w:val="0"/>
              </w:rPr>
              <w:t xml:space="preserve">Figure </w:t>
            </w:r>
            <w:r w:rsidR="00A11CF5">
              <w:rPr>
                <w:b w:val="0"/>
                <w:noProof/>
              </w:rPr>
              <w:t>9</w:t>
            </w:r>
            <w:r>
              <w:tab/>
              <w:t>Results for multiple policies</w:t>
            </w:r>
          </w:p>
          <w:p w:rsidR="00D05F00" w:rsidRPr="00176D3F" w:rsidRDefault="00D05F00" w:rsidP="00E5030C">
            <w:pPr>
              <w:pStyle w:val="Subtitle"/>
            </w:pPr>
            <w:r>
              <w:t>Single individual</w:t>
            </w:r>
          </w:p>
        </w:tc>
      </w:tr>
      <w:tr w:rsidR="00D05F00" w:rsidTr="00E5030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05F00" w:rsidRPr="00B1465D" w:rsidTr="00E5030C">
              <w:trPr>
                <w:tblHeader/>
                <w:jc w:val="center"/>
              </w:trPr>
              <w:tc>
                <w:tcPr>
                  <w:tcW w:w="5000" w:type="pct"/>
                  <w:tcBorders>
                    <w:top w:val="nil"/>
                    <w:bottom w:val="nil"/>
                  </w:tcBorders>
                </w:tcPr>
                <w:p w:rsidR="00D05F00" w:rsidRPr="00B1465D" w:rsidRDefault="00DE6033" w:rsidP="00E5030C">
                  <w:pPr>
                    <w:pStyle w:val="Figure"/>
                    <w:spacing w:before="60" w:after="60"/>
                    <w:rPr>
                      <w:rFonts w:ascii="Arial" w:hAnsi="Arial" w:cs="Arial"/>
                      <w:sz w:val="18"/>
                      <w:szCs w:val="18"/>
                    </w:rPr>
                  </w:pPr>
                  <w:r>
                    <w:rPr>
                      <w:noProof/>
                    </w:rPr>
                    <w:drawing>
                      <wp:inline distT="0" distB="0" distL="0" distR="0" wp14:anchorId="6AE73DB1" wp14:editId="2BB3CD37">
                        <wp:extent cx="5400346" cy="3603231"/>
                        <wp:effectExtent l="0" t="0" r="0" b="0"/>
                        <wp:docPr id="34" name="Picture 34" descr="This figure shows the cameo results for a single individual with multiple insurance policies. This change exacerbates the magnitude of the effects compared with a single policy, moreso for TPD insurance and IP insurance for lower income individuals." title="Results for multiple pol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ingle.plot.MA.comp.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rsidR="00D05F00" w:rsidRDefault="00D05F00" w:rsidP="00E5030C">
            <w:pPr>
              <w:pStyle w:val="Figure"/>
            </w:pPr>
          </w:p>
        </w:tc>
      </w:tr>
      <w:tr w:rsidR="00D05F00" w:rsidRPr="00176D3F" w:rsidTr="00E5030C">
        <w:tc>
          <w:tcPr>
            <w:tcW w:w="5000" w:type="pct"/>
            <w:tcBorders>
              <w:top w:val="nil"/>
              <w:left w:val="nil"/>
              <w:bottom w:val="nil"/>
              <w:right w:val="nil"/>
            </w:tcBorders>
            <w:shd w:val="clear" w:color="auto" w:fill="auto"/>
          </w:tcPr>
          <w:p w:rsidR="00D05F00" w:rsidRPr="00176D3F" w:rsidRDefault="00D05F00" w:rsidP="00D367CF">
            <w:pPr>
              <w:pStyle w:val="Note"/>
            </w:pPr>
            <w:r>
              <w:rPr>
                <w:rStyle w:val="NoteLabel"/>
              </w:rPr>
              <w:t>a</w:t>
            </w:r>
            <w:r>
              <w:t xml:space="preserve"> </w:t>
            </w:r>
            <w:r w:rsidR="00D367CF">
              <w:t xml:space="preserve">A single insurance policy is the default assumption and included here for reference. </w:t>
            </w:r>
          </w:p>
        </w:tc>
      </w:tr>
      <w:tr w:rsidR="00D05F00" w:rsidRPr="00176D3F" w:rsidTr="00E5030C">
        <w:tc>
          <w:tcPr>
            <w:tcW w:w="5000" w:type="pct"/>
            <w:tcBorders>
              <w:top w:val="nil"/>
              <w:left w:val="nil"/>
              <w:bottom w:val="nil"/>
              <w:right w:val="nil"/>
            </w:tcBorders>
            <w:shd w:val="clear" w:color="auto" w:fill="auto"/>
          </w:tcPr>
          <w:p w:rsidR="00D05F00" w:rsidRPr="00176D3F" w:rsidRDefault="002350AE" w:rsidP="00E5030C">
            <w:pPr>
              <w:pStyle w:val="Source"/>
            </w:pPr>
            <w:r>
              <w:rPr>
                <w:i/>
              </w:rPr>
              <w:t>S</w:t>
            </w:r>
            <w:r w:rsidRPr="00784A05">
              <w:rPr>
                <w:i/>
              </w:rPr>
              <w:t>ource</w:t>
            </w:r>
            <w:r w:rsidRPr="00176D3F">
              <w:t>:</w:t>
            </w:r>
            <w:r>
              <w:t xml:space="preserve"> Productivity Commission estimates</w:t>
            </w:r>
            <w:r w:rsidR="00E53A71">
              <w:t>.</w:t>
            </w:r>
          </w:p>
        </w:tc>
      </w:tr>
      <w:tr w:rsidR="00D05F00" w:rsidTr="00E5030C">
        <w:tc>
          <w:tcPr>
            <w:tcW w:w="5000" w:type="pct"/>
            <w:tcBorders>
              <w:top w:val="nil"/>
              <w:left w:val="nil"/>
              <w:bottom w:val="single" w:sz="6" w:space="0" w:color="78A22F"/>
              <w:right w:val="nil"/>
            </w:tcBorders>
            <w:shd w:val="clear" w:color="auto" w:fill="auto"/>
          </w:tcPr>
          <w:p w:rsidR="00D05F00" w:rsidRDefault="00D05F00" w:rsidP="00E5030C">
            <w:pPr>
              <w:pStyle w:val="Figurespace"/>
            </w:pPr>
          </w:p>
        </w:tc>
      </w:tr>
      <w:tr w:rsidR="00D05F00" w:rsidRPr="000863A5" w:rsidTr="00E5030C">
        <w:tc>
          <w:tcPr>
            <w:tcW w:w="5000" w:type="pct"/>
            <w:tcBorders>
              <w:top w:val="single" w:sz="6" w:space="0" w:color="78A22F"/>
              <w:left w:val="nil"/>
              <w:bottom w:val="nil"/>
              <w:right w:val="nil"/>
            </w:tcBorders>
          </w:tcPr>
          <w:p w:rsidR="00D05F00" w:rsidRPr="00626D32" w:rsidRDefault="00D05F00" w:rsidP="00E5030C">
            <w:pPr>
              <w:pStyle w:val="BoxSpaceBelow"/>
            </w:pPr>
          </w:p>
        </w:tc>
      </w:tr>
    </w:tbl>
    <w:p w:rsidR="006217D1" w:rsidRDefault="006217D1" w:rsidP="005713F8">
      <w:pPr>
        <w:pStyle w:val="Heading3"/>
        <w:spacing w:before="280"/>
      </w:pPr>
      <w:r>
        <w:t>Homeownership</w:t>
      </w:r>
    </w:p>
    <w:p w:rsidR="009A4EEC" w:rsidRDefault="00C13787" w:rsidP="009A4EEC">
      <w:pPr>
        <w:pStyle w:val="BodyText"/>
      </w:pPr>
      <w:r>
        <w:t xml:space="preserve">The base </w:t>
      </w:r>
      <w:r w:rsidR="001B56AF">
        <w:t xml:space="preserve">set of </w:t>
      </w:r>
      <w:r>
        <w:t xml:space="preserve">scenarios assume that all individuals are homeowners. </w:t>
      </w:r>
      <w:r w:rsidR="00D05F00">
        <w:t>Non</w:t>
      </w:r>
      <w:r w:rsidR="00023567">
        <w:noBreakHyphen/>
      </w:r>
      <w:r w:rsidR="00D05F00">
        <w:t>h</w:t>
      </w:r>
      <w:r>
        <w:t xml:space="preserve">omeowners have </w:t>
      </w:r>
      <w:r w:rsidR="00D05F00">
        <w:t>a higher</w:t>
      </w:r>
      <w:r>
        <w:t xml:space="preserve"> </w:t>
      </w:r>
      <w:r w:rsidR="003A04F5">
        <w:t xml:space="preserve">assets threshold before </w:t>
      </w:r>
      <w:r w:rsidR="00D05F00">
        <w:t>pensions are</w:t>
      </w:r>
      <w:r w:rsidR="003A04F5">
        <w:t xml:space="preserve"> reduced. </w:t>
      </w:r>
      <w:r w:rsidR="009A4EEC">
        <w:t>For TPD insurance</w:t>
      </w:r>
      <w:r w:rsidR="00B843A4">
        <w:t>:</w:t>
      </w:r>
    </w:p>
    <w:p w:rsidR="003A04F5" w:rsidRDefault="009A4EEC" w:rsidP="009A4EEC">
      <w:pPr>
        <w:pStyle w:val="ListBullet"/>
      </w:pPr>
      <w:r>
        <w:t xml:space="preserve">this pushes more </w:t>
      </w:r>
      <w:r w:rsidR="00DD3829">
        <w:t>low</w:t>
      </w:r>
      <w:r w:rsidR="00023567">
        <w:noBreakHyphen/>
      </w:r>
      <w:r w:rsidR="00DD3829">
        <w:t>income single individuals</w:t>
      </w:r>
      <w:r>
        <w:t xml:space="preserve"> into the group that </w:t>
      </w:r>
      <w:r w:rsidR="003A04F5">
        <w:t xml:space="preserve">will </w:t>
      </w:r>
      <w:r w:rsidR="00DD3829">
        <w:t>receive DSP and the Age Pension regardless of TPD payout or insurance premiums paid</w:t>
      </w:r>
      <w:r w:rsidR="00B2156B">
        <w:t xml:space="preserve">. </w:t>
      </w:r>
      <w:r>
        <w:t>Thus low</w:t>
      </w:r>
      <w:r w:rsidR="00023567">
        <w:noBreakHyphen/>
      </w:r>
      <w:r>
        <w:t>income individuals represent less of a fiscal cost to government</w:t>
      </w:r>
      <w:r w:rsidR="00C37B20">
        <w:t xml:space="preserve"> (figure 1</w:t>
      </w:r>
      <w:r w:rsidR="005D6540">
        <w:t>0</w:t>
      </w:r>
      <w:r w:rsidR="00C37B20">
        <w:t>)</w:t>
      </w:r>
    </w:p>
    <w:p w:rsidR="00B2156B" w:rsidRDefault="00B2156B" w:rsidP="003A04F5">
      <w:pPr>
        <w:pStyle w:val="ListBullet"/>
      </w:pPr>
      <w:r>
        <w:t>middle</w:t>
      </w:r>
      <w:r w:rsidR="00023567">
        <w:noBreakHyphen/>
      </w:r>
      <w:r w:rsidR="00D05F00">
        <w:t xml:space="preserve">income </w:t>
      </w:r>
      <w:r w:rsidR="00227711">
        <w:t>non</w:t>
      </w:r>
      <w:r w:rsidR="00023567">
        <w:noBreakHyphen/>
      </w:r>
      <w:r w:rsidR="00227711">
        <w:t xml:space="preserve">homeowner </w:t>
      </w:r>
      <w:r>
        <w:t xml:space="preserve">individuals </w:t>
      </w:r>
      <w:r w:rsidR="009A4EEC">
        <w:t xml:space="preserve">have similar </w:t>
      </w:r>
      <w:r w:rsidR="00227711">
        <w:t xml:space="preserve">results </w:t>
      </w:r>
      <w:r w:rsidR="009A4EEC">
        <w:t>to low</w:t>
      </w:r>
      <w:r w:rsidR="00023567">
        <w:noBreakHyphen/>
      </w:r>
      <w:r w:rsidR="009A4EEC">
        <w:t>income homeowner individuals</w:t>
      </w:r>
      <w:r>
        <w:t xml:space="preserve"> </w:t>
      </w:r>
      <w:r w:rsidR="00982244">
        <w:t>—</w:t>
      </w:r>
      <w:r w:rsidR="009A4EEC">
        <w:t xml:space="preserve"> </w:t>
      </w:r>
      <w:r>
        <w:t>they move from being people who are unlikely to access the Age Pension until late in retirement, to people who will access it earlier</w:t>
      </w:r>
      <w:r w:rsidR="00AE31EA">
        <w:t xml:space="preserve"> (thus increasing the Age</w:t>
      </w:r>
      <w:r w:rsidR="004A5E92">
        <w:t xml:space="preserve"> </w:t>
      </w:r>
      <w:r w:rsidR="00AE31EA">
        <w:t>Pension effects)</w:t>
      </w:r>
      <w:r w:rsidR="000553C2">
        <w:t xml:space="preserve">. </w:t>
      </w:r>
      <w:r>
        <w:t xml:space="preserve">At the same time they become more likely to access the </w:t>
      </w:r>
      <w:r w:rsidR="000553C2">
        <w:t xml:space="preserve">full </w:t>
      </w:r>
      <w:r>
        <w:t>DSP</w:t>
      </w:r>
      <w:r w:rsidR="00AE31EA">
        <w:t xml:space="preserve"> at a given age, limiting the DSP</w:t>
      </w:r>
      <w:r w:rsidR="00023567">
        <w:noBreakHyphen/>
      </w:r>
      <w:r w:rsidR="00AE31EA">
        <w:t>related fiscal benefits</w:t>
      </w:r>
      <w:r w:rsidR="00AE31EA" w:rsidDel="00AE31EA">
        <w:t xml:space="preserve"> </w:t>
      </w:r>
    </w:p>
    <w:p w:rsidR="009A4EEC" w:rsidRPr="00C13787" w:rsidRDefault="009A4EEC" w:rsidP="003A04F5">
      <w:pPr>
        <w:pStyle w:val="ListBullet"/>
      </w:pPr>
      <w:r>
        <w:t>a similar (but muted) effect applies to high</w:t>
      </w:r>
      <w:r w:rsidR="00023567">
        <w:noBreakHyphen/>
      </w:r>
      <w:r>
        <w:t xml:space="preserve">income individuals. They become more likely to access the </w:t>
      </w:r>
      <w:r w:rsidR="000553C2">
        <w:t xml:space="preserve">full </w:t>
      </w:r>
      <w:r>
        <w:t>DSP</w:t>
      </w:r>
      <w:r w:rsidR="00AE31EA">
        <w:t xml:space="preserve"> at given age</w:t>
      </w:r>
      <w:r>
        <w:t>,</w:t>
      </w:r>
      <w:r w:rsidDel="000553C2">
        <w:t xml:space="preserve"> </w:t>
      </w:r>
      <w:r w:rsidR="000553C2">
        <w:t xml:space="preserve">limiting </w:t>
      </w:r>
      <w:r>
        <w:t>the DSP</w:t>
      </w:r>
      <w:r w:rsidR="00023567">
        <w:noBreakHyphen/>
      </w:r>
      <w:r>
        <w:t xml:space="preserve">related </w:t>
      </w:r>
      <w:r w:rsidR="006E14B6">
        <w:t>fiscal benefits</w:t>
      </w:r>
      <w:r>
        <w:t>.</w:t>
      </w:r>
    </w:p>
    <w:p w:rsidR="00E818D3" w:rsidRDefault="00E818D3" w:rsidP="007F21B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818D3" w:rsidTr="007F21B9">
        <w:trPr>
          <w:tblHeader/>
        </w:trPr>
        <w:tc>
          <w:tcPr>
            <w:tcW w:w="5000" w:type="pct"/>
            <w:tcBorders>
              <w:top w:val="single" w:sz="6" w:space="0" w:color="78A22F"/>
              <w:left w:val="nil"/>
              <w:bottom w:val="nil"/>
              <w:right w:val="nil"/>
            </w:tcBorders>
            <w:shd w:val="clear" w:color="auto" w:fill="auto"/>
          </w:tcPr>
          <w:p w:rsidR="00E818D3" w:rsidRDefault="00E818D3" w:rsidP="007F21B9">
            <w:pPr>
              <w:pStyle w:val="FigureTitle"/>
            </w:pPr>
            <w:r w:rsidRPr="00784A05">
              <w:rPr>
                <w:b w:val="0"/>
              </w:rPr>
              <w:t xml:space="preserve">Figure </w:t>
            </w:r>
            <w:r w:rsidR="005D6540">
              <w:rPr>
                <w:b w:val="0"/>
                <w:noProof/>
              </w:rPr>
              <w:t>10</w:t>
            </w:r>
            <w:r>
              <w:tab/>
            </w:r>
            <w:r w:rsidR="00E16460">
              <w:t>Results for a non</w:t>
            </w:r>
            <w:r w:rsidR="00023567">
              <w:noBreakHyphen/>
            </w:r>
            <w:r w:rsidR="00E16460">
              <w:t>homeowner</w:t>
            </w:r>
          </w:p>
          <w:p w:rsidR="00E818D3" w:rsidRPr="00176D3F" w:rsidRDefault="00B843A4" w:rsidP="007F21B9">
            <w:pPr>
              <w:pStyle w:val="Subtitle"/>
            </w:pPr>
            <w:r>
              <w:t>Single individual</w:t>
            </w:r>
          </w:p>
        </w:tc>
      </w:tr>
      <w:tr w:rsidR="00E818D3" w:rsidTr="007F21B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818D3" w:rsidRPr="00B1465D" w:rsidTr="007F21B9">
              <w:trPr>
                <w:tblHeader/>
                <w:jc w:val="center"/>
              </w:trPr>
              <w:tc>
                <w:tcPr>
                  <w:tcW w:w="5000" w:type="pct"/>
                  <w:tcBorders>
                    <w:top w:val="nil"/>
                    <w:bottom w:val="nil"/>
                  </w:tcBorders>
                </w:tcPr>
                <w:p w:rsidR="00E818D3" w:rsidRPr="00B1465D" w:rsidRDefault="00DE6033" w:rsidP="007F21B9">
                  <w:pPr>
                    <w:pStyle w:val="Figure"/>
                    <w:spacing w:before="60" w:after="60"/>
                    <w:rPr>
                      <w:rFonts w:ascii="Arial" w:hAnsi="Arial" w:cs="Arial"/>
                      <w:sz w:val="18"/>
                      <w:szCs w:val="18"/>
                    </w:rPr>
                  </w:pPr>
                  <w:r>
                    <w:rPr>
                      <w:noProof/>
                    </w:rPr>
                    <w:drawing>
                      <wp:inline distT="0" distB="0" distL="0" distR="0" wp14:anchorId="396EF85B" wp14:editId="324B8B72">
                        <wp:extent cx="5400346" cy="3603231"/>
                        <wp:effectExtent l="0" t="0" r="0" b="0"/>
                        <wp:docPr id="30" name="Picture 30" descr="This figure shows the cameo results for a single individual who is not a homeowner, compared with the default assumption where they are a homeowner. This change exacerbates the magnitude of the effects for middle and low income earner, but much more modest effects on higher income earners." title="Results for a non‑homeow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ingle.plot.hous.comp.em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rsidR="00E818D3" w:rsidRDefault="00E818D3" w:rsidP="007F21B9">
            <w:pPr>
              <w:pStyle w:val="Figure"/>
            </w:pPr>
          </w:p>
        </w:tc>
      </w:tr>
      <w:tr w:rsidR="00E818D3" w:rsidRPr="00176D3F" w:rsidTr="007F21B9">
        <w:tc>
          <w:tcPr>
            <w:tcW w:w="5000" w:type="pct"/>
            <w:tcBorders>
              <w:top w:val="nil"/>
              <w:left w:val="nil"/>
              <w:bottom w:val="nil"/>
              <w:right w:val="nil"/>
            </w:tcBorders>
            <w:shd w:val="clear" w:color="auto" w:fill="auto"/>
          </w:tcPr>
          <w:p w:rsidR="00E818D3" w:rsidRPr="00176D3F" w:rsidRDefault="00E818D3" w:rsidP="00D367CF">
            <w:pPr>
              <w:pStyle w:val="Note"/>
            </w:pPr>
            <w:r>
              <w:rPr>
                <w:rStyle w:val="NoteLabel"/>
              </w:rPr>
              <w:t>a</w:t>
            </w:r>
            <w:r>
              <w:t xml:space="preserve"> </w:t>
            </w:r>
            <w:r w:rsidR="00D367CF">
              <w:t>The default assumption is that individuals are homeowners. This scenario is included here for reference.</w:t>
            </w:r>
            <w:r>
              <w:t xml:space="preserve"> </w:t>
            </w:r>
          </w:p>
        </w:tc>
      </w:tr>
      <w:tr w:rsidR="00E818D3" w:rsidRPr="00176D3F" w:rsidTr="007F21B9">
        <w:tc>
          <w:tcPr>
            <w:tcW w:w="5000" w:type="pct"/>
            <w:tcBorders>
              <w:top w:val="nil"/>
              <w:left w:val="nil"/>
              <w:bottom w:val="nil"/>
              <w:right w:val="nil"/>
            </w:tcBorders>
            <w:shd w:val="clear" w:color="auto" w:fill="auto"/>
          </w:tcPr>
          <w:p w:rsidR="00E818D3" w:rsidRPr="00176D3F" w:rsidRDefault="002350AE" w:rsidP="007F21B9">
            <w:pPr>
              <w:pStyle w:val="Source"/>
            </w:pPr>
            <w:r>
              <w:rPr>
                <w:i/>
              </w:rPr>
              <w:t>S</w:t>
            </w:r>
            <w:r w:rsidRPr="00784A05">
              <w:rPr>
                <w:i/>
              </w:rPr>
              <w:t>ource</w:t>
            </w:r>
            <w:r w:rsidRPr="00176D3F">
              <w:t>:</w:t>
            </w:r>
            <w:r>
              <w:t xml:space="preserve"> Productivity Commission estimates</w:t>
            </w:r>
            <w:r w:rsidR="00E53A71">
              <w:t>.</w:t>
            </w:r>
          </w:p>
        </w:tc>
      </w:tr>
      <w:tr w:rsidR="00E818D3" w:rsidTr="007F21B9">
        <w:tc>
          <w:tcPr>
            <w:tcW w:w="5000" w:type="pct"/>
            <w:tcBorders>
              <w:top w:val="nil"/>
              <w:left w:val="nil"/>
              <w:bottom w:val="single" w:sz="6" w:space="0" w:color="78A22F"/>
              <w:right w:val="nil"/>
            </w:tcBorders>
            <w:shd w:val="clear" w:color="auto" w:fill="auto"/>
          </w:tcPr>
          <w:p w:rsidR="00E818D3" w:rsidRDefault="00E818D3" w:rsidP="007F21B9">
            <w:pPr>
              <w:pStyle w:val="Figurespace"/>
            </w:pPr>
          </w:p>
        </w:tc>
      </w:tr>
      <w:tr w:rsidR="00E818D3" w:rsidRPr="000863A5" w:rsidTr="007F21B9">
        <w:tc>
          <w:tcPr>
            <w:tcW w:w="5000" w:type="pct"/>
            <w:tcBorders>
              <w:top w:val="single" w:sz="6" w:space="0" w:color="78A22F"/>
              <w:left w:val="nil"/>
              <w:bottom w:val="nil"/>
              <w:right w:val="nil"/>
            </w:tcBorders>
          </w:tcPr>
          <w:p w:rsidR="00E818D3" w:rsidRPr="00626D32" w:rsidRDefault="00E818D3" w:rsidP="007F21B9">
            <w:pPr>
              <w:pStyle w:val="BoxSpaceBelow"/>
            </w:pPr>
          </w:p>
        </w:tc>
      </w:tr>
    </w:tbl>
    <w:p w:rsidR="006217D1" w:rsidRDefault="006217D1" w:rsidP="005713F8">
      <w:pPr>
        <w:pStyle w:val="Heading3"/>
        <w:spacing w:before="280"/>
      </w:pPr>
      <w:r>
        <w:t>Assumptions about drawdowns</w:t>
      </w:r>
    </w:p>
    <w:p w:rsidR="009A4EEC" w:rsidRDefault="009A4EEC" w:rsidP="009A4EEC">
      <w:pPr>
        <w:pStyle w:val="BodyText"/>
      </w:pPr>
      <w:r>
        <w:t xml:space="preserve">This </w:t>
      </w:r>
      <w:r w:rsidR="00B843A4">
        <w:t>sub</w:t>
      </w:r>
      <w:r>
        <w:t xml:space="preserve">section </w:t>
      </w:r>
      <w:r w:rsidR="00B843A4">
        <w:t xml:space="preserve">analyses the impact of </w:t>
      </w:r>
      <w:r w:rsidR="00D678C0">
        <w:t xml:space="preserve">the following </w:t>
      </w:r>
      <w:r w:rsidR="00B843A4">
        <w:t>three assumptions relating to drawdowns in the model</w:t>
      </w:r>
      <w:r w:rsidR="00D678C0">
        <w:t>.</w:t>
      </w:r>
    </w:p>
    <w:p w:rsidR="009A4EEC" w:rsidRDefault="00D678C0" w:rsidP="00FC4AE4">
      <w:pPr>
        <w:pStyle w:val="ListNumber"/>
        <w:numPr>
          <w:ilvl w:val="0"/>
          <w:numId w:val="28"/>
        </w:numPr>
      </w:pPr>
      <w:r>
        <w:t>T</w:t>
      </w:r>
      <w:r w:rsidR="009A4EEC">
        <w:t xml:space="preserve">he two methods for receiving superannuation benefits at retirement (or after receiving a disability benefit) </w:t>
      </w:r>
      <w:r w:rsidR="006053E5">
        <w:t>—</w:t>
      </w:r>
      <w:r w:rsidR="009A4EEC">
        <w:t xml:space="preserve"> an income stream or lump sum</w:t>
      </w:r>
      <w:r>
        <w:t>.</w:t>
      </w:r>
    </w:p>
    <w:p w:rsidR="00B843A4" w:rsidRDefault="00D678C0" w:rsidP="00FC4AE4">
      <w:pPr>
        <w:pStyle w:val="ListNumber"/>
      </w:pPr>
      <w:r>
        <w:t>T</w:t>
      </w:r>
      <w:r w:rsidR="009A4EEC">
        <w:t>he assumed drawdown rates of assets in retirement</w:t>
      </w:r>
      <w:r>
        <w:t>.</w:t>
      </w:r>
    </w:p>
    <w:p w:rsidR="009A4EEC" w:rsidRPr="009A4EEC" w:rsidRDefault="00D678C0" w:rsidP="00FC4AE4">
      <w:pPr>
        <w:pStyle w:val="ListNumber"/>
      </w:pPr>
      <w:r>
        <w:t>T</w:t>
      </w:r>
      <w:r w:rsidR="00B843A4">
        <w:t>he assumed drawdown rates of assets</w:t>
      </w:r>
      <w:r w:rsidR="009A4EEC">
        <w:t xml:space="preserve"> after receiving a disability benefit</w:t>
      </w:r>
      <w:r w:rsidR="0091273A">
        <w:t>.</w:t>
      </w:r>
    </w:p>
    <w:p w:rsidR="00B843A4" w:rsidRPr="009A4EEC" w:rsidRDefault="00B843A4" w:rsidP="00B843A4">
      <w:pPr>
        <w:pStyle w:val="BodyText"/>
      </w:pPr>
      <w:r>
        <w:t xml:space="preserve">The assumptions about drawdown rates apply to both lump sums </w:t>
      </w:r>
      <w:r w:rsidR="00982244">
        <w:t>(that is</w:t>
      </w:r>
      <w:r w:rsidR="00D678C0">
        <w:t>,</w:t>
      </w:r>
      <w:r w:rsidR="00982244">
        <w:t xml:space="preserve"> the funds that are assumed to be in non</w:t>
      </w:r>
      <w:r w:rsidR="00023567">
        <w:noBreakHyphen/>
      </w:r>
      <w:r w:rsidR="00982244">
        <w:t xml:space="preserve">super savings vehicles) </w:t>
      </w:r>
      <w:r>
        <w:t>and income streams.</w:t>
      </w:r>
    </w:p>
    <w:p w:rsidR="003B66C4" w:rsidRDefault="003B66C4">
      <w:pPr>
        <w:rPr>
          <w:rFonts w:ascii="Arial" w:hAnsi="Arial"/>
          <w:szCs w:val="20"/>
        </w:rPr>
      </w:pPr>
      <w:r>
        <w:br w:type="page"/>
      </w:r>
    </w:p>
    <w:p w:rsidR="00D90F4F" w:rsidRDefault="00D90F4F" w:rsidP="00D7441C">
      <w:pPr>
        <w:pStyle w:val="Heading4"/>
      </w:pPr>
      <w:r>
        <w:t>Lump sum or income stream</w:t>
      </w:r>
    </w:p>
    <w:p w:rsidR="00B843A4" w:rsidRDefault="00EA0A05" w:rsidP="009A4EEC">
      <w:pPr>
        <w:pStyle w:val="BodyText"/>
      </w:pPr>
      <w:r>
        <w:t xml:space="preserve">The base </w:t>
      </w:r>
      <w:r w:rsidR="00B843A4">
        <w:t>case</w:t>
      </w:r>
      <w:r>
        <w:t xml:space="preserve"> assumption is that individuals convert their superannuation into an income stream at retirement or after receiving a disability benefit. For most scenarios the assumption about the method for drawing down on assets does not have a significant effect</w:t>
      </w:r>
      <w:r w:rsidR="00C37B20">
        <w:t xml:space="preserve"> on the fiscal impacts (figure 1</w:t>
      </w:r>
      <w:r w:rsidR="005D6540">
        <w:t>1</w:t>
      </w:r>
      <w:r w:rsidR="00C37B20">
        <w:t>)</w:t>
      </w:r>
      <w:r>
        <w:t xml:space="preserve">. </w:t>
      </w:r>
    </w:p>
    <w:p w:rsidR="009A4EEC" w:rsidRPr="009A4EEC" w:rsidRDefault="00B843A4" w:rsidP="00944A1C">
      <w:pPr>
        <w:pStyle w:val="BodyText"/>
      </w:pPr>
      <w:r>
        <w:t xml:space="preserve">The largest change </w:t>
      </w:r>
      <w:r w:rsidR="0091273A">
        <w:t xml:space="preserve">is a reduction of the net fiscal benefits </w:t>
      </w:r>
      <w:r w:rsidDel="0091273A">
        <w:t xml:space="preserve">for </w:t>
      </w:r>
      <w:r>
        <w:t>a high</w:t>
      </w:r>
      <w:r w:rsidR="00023567">
        <w:noBreakHyphen/>
      </w:r>
      <w:r>
        <w:t xml:space="preserve">income individual </w:t>
      </w:r>
      <w:r w:rsidR="0091273A">
        <w:t xml:space="preserve">with IP insurance </w:t>
      </w:r>
      <w:r w:rsidR="00944A1C">
        <w:t>—</w:t>
      </w:r>
      <w:r>
        <w:t xml:space="preserve"> </w:t>
      </w:r>
      <w:r w:rsidR="00944A1C">
        <w:t xml:space="preserve">a counterintuitive result given that IP claims cannot be taken as a lump sum. However this scenario also assumes that individuals who never make a claim take out their superannuation in retirement as a lump sum, and the (substantial) earnings from their savings are then taxed. </w:t>
      </w:r>
      <w:r w:rsidR="0046038E">
        <w:t xml:space="preserve">Insurance premiums </w:t>
      </w:r>
      <w:r w:rsidR="00C162DB">
        <w:t xml:space="preserve">reduce the fiscal </w:t>
      </w:r>
      <w:r w:rsidR="0046038E">
        <w:t xml:space="preserve">net </w:t>
      </w:r>
      <w:r w:rsidR="00C162DB">
        <w:t>benefits</w:t>
      </w:r>
      <w:r w:rsidR="0046038E">
        <w:t xml:space="preserve"> of insurance by reducing retirement savings and thus </w:t>
      </w:r>
      <w:r w:rsidR="0091273A">
        <w:t xml:space="preserve">reducing </w:t>
      </w:r>
      <w:r w:rsidR="0046038E">
        <w:t xml:space="preserve">the </w:t>
      </w:r>
      <w:r w:rsidR="00C162DB">
        <w:t>tax receipts</w:t>
      </w:r>
      <w:r w:rsidR="0046038E">
        <w:t xml:space="preserve"> on earnings that the government receives</w:t>
      </w:r>
      <w:r w:rsidR="00C162DB">
        <w:t>.</w:t>
      </w:r>
    </w:p>
    <w:p w:rsidR="00E818D3" w:rsidRDefault="00E818D3" w:rsidP="007F21B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818D3" w:rsidTr="007F21B9">
        <w:trPr>
          <w:tblHeader/>
        </w:trPr>
        <w:tc>
          <w:tcPr>
            <w:tcW w:w="5000" w:type="pct"/>
            <w:tcBorders>
              <w:top w:val="single" w:sz="6" w:space="0" w:color="78A22F"/>
              <w:left w:val="nil"/>
              <w:bottom w:val="nil"/>
              <w:right w:val="nil"/>
            </w:tcBorders>
            <w:shd w:val="clear" w:color="auto" w:fill="auto"/>
          </w:tcPr>
          <w:p w:rsidR="00E818D3" w:rsidRDefault="00E818D3" w:rsidP="007F21B9">
            <w:pPr>
              <w:pStyle w:val="FigureTitle"/>
            </w:pPr>
            <w:r w:rsidRPr="00784A05">
              <w:rPr>
                <w:b w:val="0"/>
              </w:rPr>
              <w:t xml:space="preserve">Figure </w:t>
            </w:r>
            <w:r w:rsidR="00A11CF5">
              <w:rPr>
                <w:b w:val="0"/>
                <w:noProof/>
              </w:rPr>
              <w:t>11</w:t>
            </w:r>
            <w:r w:rsidR="00E16460">
              <w:tab/>
              <w:t>Results assuming lump sum withdrawals</w:t>
            </w:r>
          </w:p>
          <w:p w:rsidR="00E818D3" w:rsidRPr="00176D3F" w:rsidRDefault="00C162DB" w:rsidP="007F21B9">
            <w:pPr>
              <w:pStyle w:val="Subtitle"/>
            </w:pPr>
            <w:r>
              <w:t>Single individual</w:t>
            </w:r>
          </w:p>
        </w:tc>
      </w:tr>
      <w:tr w:rsidR="00E818D3" w:rsidTr="007F21B9">
        <w:tc>
          <w:tcPr>
            <w:tcW w:w="5000" w:type="pct"/>
            <w:tcBorders>
              <w:top w:val="nil"/>
              <w:left w:val="nil"/>
              <w:bottom w:val="nil"/>
              <w:right w:val="nil"/>
            </w:tcBorders>
            <w:shd w:val="clear" w:color="auto" w:fill="auto"/>
            <w:tcMar>
              <w:top w:w="28" w:type="dxa"/>
              <w:bottom w:w="28" w:type="dxa"/>
            </w:tcMar>
          </w:tcPr>
          <w:tbl>
            <w:tblPr>
              <w:tblW w:w="8433"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818D3" w:rsidRPr="00B1465D" w:rsidTr="00F479A6">
              <w:trPr>
                <w:trHeight w:val="5789"/>
                <w:tblHeader/>
                <w:jc w:val="center"/>
              </w:trPr>
              <w:tc>
                <w:tcPr>
                  <w:tcW w:w="5000" w:type="pct"/>
                  <w:tcBorders>
                    <w:top w:val="nil"/>
                    <w:bottom w:val="nil"/>
                  </w:tcBorders>
                </w:tcPr>
                <w:p w:rsidR="00E818D3" w:rsidRPr="00B1465D" w:rsidRDefault="00DE6033" w:rsidP="007F21B9">
                  <w:pPr>
                    <w:pStyle w:val="Figure"/>
                    <w:spacing w:before="60" w:after="60"/>
                    <w:rPr>
                      <w:rFonts w:ascii="Arial" w:hAnsi="Arial" w:cs="Arial"/>
                      <w:sz w:val="18"/>
                      <w:szCs w:val="18"/>
                    </w:rPr>
                  </w:pPr>
                  <w:r>
                    <w:rPr>
                      <w:noProof/>
                    </w:rPr>
                    <w:drawing>
                      <wp:inline distT="0" distB="0" distL="0" distR="0" wp14:anchorId="4BF6155E" wp14:editId="6DC7AD3F">
                        <wp:extent cx="5400346" cy="3603231"/>
                        <wp:effectExtent l="0" t="0" r="0" b="0"/>
                        <wp:docPr id="33" name="Picture 33" descr="This figure shows the cameo results for a single individual who takes a lump sum at retirement or after receiving a disability benefit  rather than an income stream. This change does not make a significant difference in most cases, but has larger impacts on higher income individuals." title="Results assuming lump sum withdraw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ingle.plot.lump.comp.em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rsidR="00E818D3" w:rsidRDefault="00E818D3" w:rsidP="007F21B9">
            <w:pPr>
              <w:pStyle w:val="Figure"/>
            </w:pPr>
          </w:p>
        </w:tc>
      </w:tr>
      <w:tr w:rsidR="00E818D3" w:rsidRPr="00176D3F" w:rsidTr="007F21B9">
        <w:tc>
          <w:tcPr>
            <w:tcW w:w="5000" w:type="pct"/>
            <w:tcBorders>
              <w:top w:val="nil"/>
              <w:left w:val="nil"/>
              <w:bottom w:val="nil"/>
              <w:right w:val="nil"/>
            </w:tcBorders>
            <w:shd w:val="clear" w:color="auto" w:fill="auto"/>
          </w:tcPr>
          <w:p w:rsidR="00E818D3" w:rsidRPr="00176D3F" w:rsidRDefault="00E818D3" w:rsidP="00D367CF">
            <w:pPr>
              <w:pStyle w:val="Note"/>
            </w:pPr>
            <w:r>
              <w:rPr>
                <w:rStyle w:val="NoteLabel"/>
              </w:rPr>
              <w:t>a</w:t>
            </w:r>
            <w:r>
              <w:t xml:space="preserve"> </w:t>
            </w:r>
            <w:r w:rsidR="00D367CF">
              <w:t>The default assumption is that individuals withdraw any claims as an income stream. This scenario is included here as a reference</w:t>
            </w:r>
            <w:r>
              <w:t xml:space="preserve">. </w:t>
            </w:r>
          </w:p>
        </w:tc>
      </w:tr>
      <w:tr w:rsidR="00E818D3" w:rsidRPr="00176D3F" w:rsidTr="007F21B9">
        <w:tc>
          <w:tcPr>
            <w:tcW w:w="5000" w:type="pct"/>
            <w:tcBorders>
              <w:top w:val="nil"/>
              <w:left w:val="nil"/>
              <w:bottom w:val="nil"/>
              <w:right w:val="nil"/>
            </w:tcBorders>
            <w:shd w:val="clear" w:color="auto" w:fill="auto"/>
          </w:tcPr>
          <w:p w:rsidR="00E818D3" w:rsidRPr="00176D3F" w:rsidRDefault="002350AE" w:rsidP="007F21B9">
            <w:pPr>
              <w:pStyle w:val="Source"/>
            </w:pPr>
            <w:r>
              <w:rPr>
                <w:i/>
              </w:rPr>
              <w:t>S</w:t>
            </w:r>
            <w:r w:rsidRPr="00784A05">
              <w:rPr>
                <w:i/>
              </w:rPr>
              <w:t>ource</w:t>
            </w:r>
            <w:r w:rsidRPr="00176D3F">
              <w:t>:</w:t>
            </w:r>
            <w:r>
              <w:t xml:space="preserve"> Productivity Commission estimates</w:t>
            </w:r>
            <w:r w:rsidR="00E53A71">
              <w:t>.</w:t>
            </w:r>
          </w:p>
        </w:tc>
      </w:tr>
      <w:tr w:rsidR="00E818D3" w:rsidTr="007F21B9">
        <w:tc>
          <w:tcPr>
            <w:tcW w:w="5000" w:type="pct"/>
            <w:tcBorders>
              <w:top w:val="nil"/>
              <w:left w:val="nil"/>
              <w:bottom w:val="single" w:sz="6" w:space="0" w:color="78A22F"/>
              <w:right w:val="nil"/>
            </w:tcBorders>
            <w:shd w:val="clear" w:color="auto" w:fill="auto"/>
          </w:tcPr>
          <w:p w:rsidR="00E818D3" w:rsidRDefault="00E818D3" w:rsidP="007F21B9">
            <w:pPr>
              <w:pStyle w:val="Figurespace"/>
            </w:pPr>
          </w:p>
        </w:tc>
      </w:tr>
      <w:tr w:rsidR="00E818D3" w:rsidRPr="000863A5" w:rsidTr="007F21B9">
        <w:tc>
          <w:tcPr>
            <w:tcW w:w="5000" w:type="pct"/>
            <w:tcBorders>
              <w:top w:val="single" w:sz="6" w:space="0" w:color="78A22F"/>
              <w:left w:val="nil"/>
              <w:bottom w:val="nil"/>
              <w:right w:val="nil"/>
            </w:tcBorders>
          </w:tcPr>
          <w:p w:rsidR="00E818D3" w:rsidRPr="00626D32" w:rsidRDefault="00E818D3" w:rsidP="007F21B9">
            <w:pPr>
              <w:pStyle w:val="BoxSpaceBelow"/>
            </w:pPr>
          </w:p>
        </w:tc>
      </w:tr>
    </w:tbl>
    <w:p w:rsidR="00D7441C" w:rsidRDefault="00D7441C" w:rsidP="005713F8">
      <w:pPr>
        <w:pStyle w:val="Heading4"/>
        <w:spacing w:before="240"/>
      </w:pPr>
      <w:r>
        <w:t xml:space="preserve">Drawdown </w:t>
      </w:r>
      <w:r w:rsidR="000847DB">
        <w:t>of savings in retirement</w:t>
      </w:r>
    </w:p>
    <w:p w:rsidR="000847DB" w:rsidRPr="000847DB" w:rsidRDefault="00C162DB" w:rsidP="000847DB">
      <w:pPr>
        <w:pStyle w:val="BodyText"/>
      </w:pPr>
      <w:r>
        <w:t>F</w:t>
      </w:r>
      <w:r w:rsidR="000847DB">
        <w:t>aster drawdown</w:t>
      </w:r>
      <w:r>
        <w:t>s</w:t>
      </w:r>
      <w:r w:rsidR="000847DB">
        <w:t xml:space="preserve"> </w:t>
      </w:r>
      <w:r w:rsidR="0091273A">
        <w:t>of</w:t>
      </w:r>
      <w:r w:rsidR="000847DB">
        <w:t xml:space="preserve"> savings in retirement leads to a reduced Age</w:t>
      </w:r>
      <w:r w:rsidR="00D678C0">
        <w:t xml:space="preserve"> </w:t>
      </w:r>
      <w:r w:rsidR="000847DB">
        <w:t>Pension effect</w:t>
      </w:r>
      <w:r>
        <w:t xml:space="preserve"> </w:t>
      </w:r>
      <w:r w:rsidR="006053E5">
        <w:t>for low</w:t>
      </w:r>
      <w:r w:rsidR="00023567">
        <w:noBreakHyphen/>
      </w:r>
      <w:r w:rsidR="006053E5">
        <w:t xml:space="preserve">income individuals </w:t>
      </w:r>
      <w:r>
        <w:t>(</w:t>
      </w:r>
      <w:r w:rsidR="000847DB">
        <w:t xml:space="preserve">and a greater net </w:t>
      </w:r>
      <w:r w:rsidR="006E14B6">
        <w:t>fiscal benefit</w:t>
      </w:r>
      <w:r>
        <w:t>) because individuals are receiving the full Age Pension at an earlier age</w:t>
      </w:r>
      <w:r w:rsidR="00AF1B8C">
        <w:t xml:space="preserve"> (figure 1</w:t>
      </w:r>
      <w:r w:rsidR="005D6540">
        <w:t>2</w:t>
      </w:r>
      <w:r w:rsidR="00C37B20">
        <w:t>)</w:t>
      </w:r>
      <w:r w:rsidR="000847DB">
        <w:t>.</w:t>
      </w:r>
    </w:p>
    <w:p w:rsidR="009D1803" w:rsidRDefault="009D1803" w:rsidP="009D18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441C" w:rsidTr="009B08E9">
        <w:trPr>
          <w:tblHeader/>
        </w:trPr>
        <w:tc>
          <w:tcPr>
            <w:tcW w:w="5000" w:type="pct"/>
            <w:tcBorders>
              <w:top w:val="single" w:sz="6" w:space="0" w:color="78A22F"/>
              <w:left w:val="nil"/>
              <w:bottom w:val="nil"/>
              <w:right w:val="nil"/>
            </w:tcBorders>
            <w:shd w:val="clear" w:color="auto" w:fill="auto"/>
          </w:tcPr>
          <w:p w:rsidR="00D7441C" w:rsidRDefault="00D7441C" w:rsidP="009B08E9">
            <w:pPr>
              <w:pStyle w:val="FigureTitle"/>
            </w:pPr>
            <w:r w:rsidRPr="00784A05">
              <w:rPr>
                <w:b w:val="0"/>
              </w:rPr>
              <w:t xml:space="preserve">Figure </w:t>
            </w:r>
            <w:r w:rsidR="00A11CF5">
              <w:rPr>
                <w:b w:val="0"/>
                <w:noProof/>
              </w:rPr>
              <w:t>12</w:t>
            </w:r>
            <w:r>
              <w:tab/>
              <w:t xml:space="preserve">Results </w:t>
            </w:r>
            <w:r w:rsidR="000847DB">
              <w:t>assuming a faster drawdown in retirement</w:t>
            </w:r>
          </w:p>
          <w:p w:rsidR="00D7441C" w:rsidRPr="00176D3F" w:rsidRDefault="006F03D1" w:rsidP="009B08E9">
            <w:pPr>
              <w:pStyle w:val="Subtitle"/>
            </w:pPr>
            <w:r>
              <w:t>Single individual</w:t>
            </w:r>
          </w:p>
        </w:tc>
      </w:tr>
      <w:tr w:rsidR="00D7441C" w:rsidTr="009B08E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7441C" w:rsidRPr="00B1465D" w:rsidTr="009B08E9">
              <w:trPr>
                <w:tblHeader/>
                <w:jc w:val="center"/>
              </w:trPr>
              <w:tc>
                <w:tcPr>
                  <w:tcW w:w="5000" w:type="pct"/>
                  <w:tcBorders>
                    <w:top w:val="nil"/>
                    <w:bottom w:val="nil"/>
                  </w:tcBorders>
                </w:tcPr>
                <w:p w:rsidR="00D7441C" w:rsidRPr="00B1465D" w:rsidRDefault="00DE6033" w:rsidP="009B08E9">
                  <w:pPr>
                    <w:pStyle w:val="Figure"/>
                    <w:spacing w:before="60" w:after="60"/>
                    <w:rPr>
                      <w:rFonts w:ascii="Arial" w:hAnsi="Arial" w:cs="Arial"/>
                      <w:sz w:val="18"/>
                      <w:szCs w:val="18"/>
                    </w:rPr>
                  </w:pPr>
                  <w:r>
                    <w:rPr>
                      <w:noProof/>
                    </w:rPr>
                    <w:drawing>
                      <wp:inline distT="0" distB="0" distL="0" distR="0" wp14:anchorId="15170C59" wp14:editId="6F4A1FF8">
                        <wp:extent cx="5400346" cy="3603231"/>
                        <wp:effectExtent l="0" t="0" r="0" b="0"/>
                        <wp:docPr id="28" name="Picture 28" descr="This figure shows the cameo results for a single individual who has a drawdown rate of twice the minimum rate in retirement, compared with the default assumption that they drawdown at the minimum rate. This change exacerabates the Age Pension effects, particularly at lower incomes." title="Results assuming a faster drawdown in ret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ingle.plot.Do70.comp.emf"/>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rsidR="00D7441C" w:rsidRDefault="00D7441C" w:rsidP="009B08E9">
            <w:pPr>
              <w:pStyle w:val="Figure"/>
            </w:pPr>
          </w:p>
        </w:tc>
      </w:tr>
      <w:tr w:rsidR="00D7441C" w:rsidRPr="00176D3F" w:rsidTr="009B08E9">
        <w:tc>
          <w:tcPr>
            <w:tcW w:w="5000" w:type="pct"/>
            <w:tcBorders>
              <w:top w:val="nil"/>
              <w:left w:val="nil"/>
              <w:bottom w:val="nil"/>
              <w:right w:val="nil"/>
            </w:tcBorders>
            <w:shd w:val="clear" w:color="auto" w:fill="auto"/>
          </w:tcPr>
          <w:p w:rsidR="00D7441C" w:rsidRPr="00176D3F" w:rsidRDefault="00D7441C" w:rsidP="00D367CF">
            <w:pPr>
              <w:pStyle w:val="Note"/>
            </w:pPr>
            <w:r>
              <w:rPr>
                <w:rStyle w:val="NoteLabel"/>
              </w:rPr>
              <w:t>a</w:t>
            </w:r>
            <w:r>
              <w:t xml:space="preserve"> </w:t>
            </w:r>
            <w:r w:rsidR="00D367CF">
              <w:t>The default assumption is that members drawdown at the minimum rate in retirement</w:t>
            </w:r>
            <w:r>
              <w:t>.</w:t>
            </w:r>
            <w:r w:rsidR="00D367CF">
              <w:t xml:space="preserve"> This scenario is included here for reference.</w:t>
            </w:r>
            <w:r>
              <w:t xml:space="preserve"> </w:t>
            </w:r>
          </w:p>
        </w:tc>
      </w:tr>
      <w:tr w:rsidR="00D7441C" w:rsidRPr="00176D3F" w:rsidTr="009B08E9">
        <w:tc>
          <w:tcPr>
            <w:tcW w:w="5000" w:type="pct"/>
            <w:tcBorders>
              <w:top w:val="nil"/>
              <w:left w:val="nil"/>
              <w:bottom w:val="nil"/>
              <w:right w:val="nil"/>
            </w:tcBorders>
            <w:shd w:val="clear" w:color="auto" w:fill="auto"/>
          </w:tcPr>
          <w:p w:rsidR="00D7441C" w:rsidRPr="00176D3F" w:rsidRDefault="002350AE" w:rsidP="009B08E9">
            <w:pPr>
              <w:pStyle w:val="Source"/>
            </w:pPr>
            <w:r>
              <w:rPr>
                <w:i/>
              </w:rPr>
              <w:t>S</w:t>
            </w:r>
            <w:r w:rsidRPr="00784A05">
              <w:rPr>
                <w:i/>
              </w:rPr>
              <w:t>ource</w:t>
            </w:r>
            <w:r w:rsidRPr="00176D3F">
              <w:t>:</w:t>
            </w:r>
            <w:r>
              <w:t xml:space="preserve"> Productivity Commission estimates</w:t>
            </w:r>
            <w:r w:rsidR="00E53A71">
              <w:t>.</w:t>
            </w:r>
          </w:p>
        </w:tc>
      </w:tr>
      <w:tr w:rsidR="00D7441C" w:rsidTr="009B08E9">
        <w:tc>
          <w:tcPr>
            <w:tcW w:w="5000" w:type="pct"/>
            <w:tcBorders>
              <w:top w:val="nil"/>
              <w:left w:val="nil"/>
              <w:bottom w:val="single" w:sz="6" w:space="0" w:color="78A22F"/>
              <w:right w:val="nil"/>
            </w:tcBorders>
            <w:shd w:val="clear" w:color="auto" w:fill="auto"/>
          </w:tcPr>
          <w:p w:rsidR="00D7441C" w:rsidRDefault="00D7441C" w:rsidP="009B08E9">
            <w:pPr>
              <w:pStyle w:val="Figurespace"/>
            </w:pPr>
          </w:p>
        </w:tc>
      </w:tr>
      <w:tr w:rsidR="00D7441C" w:rsidRPr="000863A5" w:rsidTr="009B08E9">
        <w:tc>
          <w:tcPr>
            <w:tcW w:w="5000" w:type="pct"/>
            <w:tcBorders>
              <w:top w:val="single" w:sz="6" w:space="0" w:color="78A22F"/>
              <w:left w:val="nil"/>
              <w:bottom w:val="nil"/>
              <w:right w:val="nil"/>
            </w:tcBorders>
          </w:tcPr>
          <w:p w:rsidR="00D7441C" w:rsidRPr="00626D32" w:rsidRDefault="00D7441C" w:rsidP="009B08E9">
            <w:pPr>
              <w:pStyle w:val="BoxSpaceBelow"/>
            </w:pPr>
          </w:p>
        </w:tc>
      </w:tr>
    </w:tbl>
    <w:p w:rsidR="00D7441C" w:rsidRDefault="00D7441C" w:rsidP="005713F8">
      <w:pPr>
        <w:pStyle w:val="Heading4"/>
        <w:spacing w:before="240"/>
      </w:pPr>
      <w:r>
        <w:t>Drawdown o</w:t>
      </w:r>
      <w:r w:rsidR="000847DB">
        <w:t>f d</w:t>
      </w:r>
      <w:r>
        <w:t>isability benefit</w:t>
      </w:r>
    </w:p>
    <w:p w:rsidR="008008D5" w:rsidRDefault="00C162DB" w:rsidP="00C162DB">
      <w:pPr>
        <w:pStyle w:val="BodyText"/>
      </w:pPr>
      <w:r>
        <w:t>This scenario assumes that individuals</w:t>
      </w:r>
      <w:r w:rsidR="000847DB">
        <w:t xml:space="preserve"> drawdown </w:t>
      </w:r>
      <w:r>
        <w:t>disability benefits at a rate of 20 per cent per year. F</w:t>
      </w:r>
      <w:r w:rsidR="000847DB">
        <w:t>aster drawdown</w:t>
      </w:r>
      <w:r>
        <w:t>s</w:t>
      </w:r>
      <w:r w:rsidR="000847DB">
        <w:t xml:space="preserve"> of the disability benefit leads to a reduced DSP effect </w:t>
      </w:r>
      <w:r>
        <w:t xml:space="preserve">for TPD insurance </w:t>
      </w:r>
      <w:r w:rsidR="000847DB">
        <w:t>and a greater fiscal cost to government</w:t>
      </w:r>
      <w:r w:rsidR="00AF1B8C">
        <w:t xml:space="preserve"> (figure 1</w:t>
      </w:r>
      <w:r w:rsidR="005D6540">
        <w:t>3</w:t>
      </w:r>
      <w:r w:rsidR="00C37B20">
        <w:t>)</w:t>
      </w:r>
      <w:r w:rsidR="000847DB">
        <w:t xml:space="preserve">. </w:t>
      </w:r>
      <w:r w:rsidR="008008D5">
        <w:t>There is a minimal impact on low</w:t>
      </w:r>
      <w:r w:rsidR="00023567">
        <w:noBreakHyphen/>
      </w:r>
      <w:r w:rsidR="008008D5">
        <w:t>income individuals as they already claim close to the full DSP whether or not they receive a TPD claim.</w:t>
      </w:r>
    </w:p>
    <w:p w:rsidR="000847DB" w:rsidRPr="000847DB" w:rsidRDefault="00C162DB" w:rsidP="000847DB">
      <w:pPr>
        <w:pStyle w:val="BodyText"/>
      </w:pPr>
      <w:r>
        <w:t xml:space="preserve">The scenario does not apply to IP </w:t>
      </w:r>
      <w:r w:rsidR="000847DB">
        <w:t>insurance</w:t>
      </w:r>
      <w:r>
        <w:t xml:space="preserve"> as individuals are assumed to consume all of the IP monthly benefit</w:t>
      </w:r>
      <w:r w:rsidR="000847DB">
        <w:t>.</w:t>
      </w:r>
    </w:p>
    <w:p w:rsidR="00D7441C" w:rsidRDefault="00D7441C" w:rsidP="00D7441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441C" w:rsidTr="009B08E9">
        <w:trPr>
          <w:tblHeader/>
        </w:trPr>
        <w:tc>
          <w:tcPr>
            <w:tcW w:w="5000" w:type="pct"/>
            <w:tcBorders>
              <w:top w:val="single" w:sz="6" w:space="0" w:color="78A22F"/>
              <w:left w:val="nil"/>
              <w:bottom w:val="nil"/>
              <w:right w:val="nil"/>
            </w:tcBorders>
            <w:shd w:val="clear" w:color="auto" w:fill="auto"/>
          </w:tcPr>
          <w:p w:rsidR="00D7441C" w:rsidRDefault="00D7441C" w:rsidP="009B08E9">
            <w:pPr>
              <w:pStyle w:val="FigureTitle"/>
            </w:pPr>
            <w:r w:rsidRPr="00784A05">
              <w:rPr>
                <w:b w:val="0"/>
              </w:rPr>
              <w:t xml:space="preserve">Figure </w:t>
            </w:r>
            <w:r w:rsidR="00A11CF5">
              <w:rPr>
                <w:b w:val="0"/>
                <w:noProof/>
              </w:rPr>
              <w:t>13</w:t>
            </w:r>
            <w:r>
              <w:tab/>
            </w:r>
            <w:r w:rsidR="000847DB">
              <w:t>Results assuming a faster drawdown of disability benefit</w:t>
            </w:r>
          </w:p>
          <w:p w:rsidR="00D7441C" w:rsidRPr="00176D3F" w:rsidRDefault="006F03D1" w:rsidP="009B08E9">
            <w:pPr>
              <w:pStyle w:val="Subtitle"/>
            </w:pPr>
            <w:r>
              <w:t>Single individual</w:t>
            </w:r>
          </w:p>
        </w:tc>
      </w:tr>
      <w:tr w:rsidR="00D7441C" w:rsidTr="009B08E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7441C" w:rsidRPr="00B1465D" w:rsidTr="009B08E9">
              <w:trPr>
                <w:tblHeader/>
                <w:jc w:val="center"/>
              </w:trPr>
              <w:tc>
                <w:tcPr>
                  <w:tcW w:w="5000" w:type="pct"/>
                  <w:tcBorders>
                    <w:top w:val="nil"/>
                    <w:bottom w:val="nil"/>
                  </w:tcBorders>
                </w:tcPr>
                <w:p w:rsidR="00D7441C" w:rsidRPr="00B1465D" w:rsidRDefault="00DE6033" w:rsidP="009B08E9">
                  <w:pPr>
                    <w:pStyle w:val="Figure"/>
                    <w:spacing w:before="60" w:after="60"/>
                    <w:rPr>
                      <w:rFonts w:ascii="Arial" w:hAnsi="Arial" w:cs="Arial"/>
                      <w:sz w:val="18"/>
                      <w:szCs w:val="18"/>
                    </w:rPr>
                  </w:pPr>
                  <w:r>
                    <w:rPr>
                      <w:noProof/>
                    </w:rPr>
                    <w:drawing>
                      <wp:inline distT="0" distB="0" distL="0" distR="0" wp14:anchorId="0CAA7C4B" wp14:editId="535DB680">
                        <wp:extent cx="5400346" cy="2160000"/>
                        <wp:effectExtent l="0" t="0" r="0" b="0"/>
                        <wp:docPr id="29" name="Picture 29" descr="This figure shows the cameo results for a single individual who withdraws a disability benefit at 20 per cent each year, compared with the default assumption of 10 per cent. This change reduces the DSP effect from TPD insurance increase the fiscal costs to government." title="Results assuming a faster drawdown of disability bene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ingle.plot.Du70.comp.emf"/>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400346" cy="2160000"/>
                                </a:xfrm>
                                <a:prstGeom prst="rect">
                                  <a:avLst/>
                                </a:prstGeom>
                              </pic:spPr>
                            </pic:pic>
                          </a:graphicData>
                        </a:graphic>
                      </wp:inline>
                    </w:drawing>
                  </w:r>
                </w:p>
              </w:tc>
            </w:tr>
          </w:tbl>
          <w:p w:rsidR="00D7441C" w:rsidRDefault="00D7441C" w:rsidP="009B08E9">
            <w:pPr>
              <w:pStyle w:val="Figure"/>
            </w:pPr>
          </w:p>
        </w:tc>
      </w:tr>
      <w:tr w:rsidR="00D7441C" w:rsidRPr="00176D3F" w:rsidTr="009B08E9">
        <w:tc>
          <w:tcPr>
            <w:tcW w:w="5000" w:type="pct"/>
            <w:tcBorders>
              <w:top w:val="nil"/>
              <w:left w:val="nil"/>
              <w:bottom w:val="nil"/>
              <w:right w:val="nil"/>
            </w:tcBorders>
            <w:shd w:val="clear" w:color="auto" w:fill="auto"/>
          </w:tcPr>
          <w:p w:rsidR="00D7441C" w:rsidRPr="00176D3F" w:rsidRDefault="00D7441C" w:rsidP="00D367CF">
            <w:pPr>
              <w:pStyle w:val="Note"/>
            </w:pPr>
            <w:r>
              <w:rPr>
                <w:rStyle w:val="NoteLabel"/>
              </w:rPr>
              <w:t>a</w:t>
            </w:r>
            <w:r>
              <w:t xml:space="preserve"> </w:t>
            </w:r>
            <w:r w:rsidR="00D367CF">
              <w:t xml:space="preserve">The default assumption is that members who retire early due to a TPD </w:t>
            </w:r>
            <w:r w:rsidR="00E53A71">
              <w:t>event</w:t>
            </w:r>
            <w:r w:rsidR="00D367CF">
              <w:t xml:space="preserve"> withdraw at least 10 per cent of funds each year. This scenario is included here for reference</w:t>
            </w:r>
            <w:r>
              <w:t>.</w:t>
            </w:r>
            <w:r w:rsidR="00D367CF" w:rsidDel="00D367CF">
              <w:t xml:space="preserve"> </w:t>
            </w:r>
          </w:p>
        </w:tc>
      </w:tr>
      <w:tr w:rsidR="00D7441C" w:rsidRPr="00176D3F" w:rsidTr="009B08E9">
        <w:tc>
          <w:tcPr>
            <w:tcW w:w="5000" w:type="pct"/>
            <w:tcBorders>
              <w:top w:val="nil"/>
              <w:left w:val="nil"/>
              <w:bottom w:val="nil"/>
              <w:right w:val="nil"/>
            </w:tcBorders>
            <w:shd w:val="clear" w:color="auto" w:fill="auto"/>
          </w:tcPr>
          <w:p w:rsidR="00D7441C" w:rsidRPr="00176D3F" w:rsidRDefault="002350AE" w:rsidP="002350AE">
            <w:pPr>
              <w:pStyle w:val="Source"/>
            </w:pPr>
            <w:r>
              <w:rPr>
                <w:i/>
              </w:rPr>
              <w:t>S</w:t>
            </w:r>
            <w:r w:rsidR="00D7441C" w:rsidRPr="00784A05">
              <w:rPr>
                <w:i/>
              </w:rPr>
              <w:t>ource</w:t>
            </w:r>
            <w:r w:rsidR="00D7441C" w:rsidRPr="00176D3F">
              <w:t>:</w:t>
            </w:r>
            <w:r>
              <w:t xml:space="preserve"> Productivity Commission estimates</w:t>
            </w:r>
            <w:r w:rsidR="00E53A71">
              <w:t>.</w:t>
            </w:r>
            <w:r w:rsidR="00D7441C" w:rsidRPr="00176D3F">
              <w:t xml:space="preserve"> </w:t>
            </w:r>
          </w:p>
        </w:tc>
      </w:tr>
      <w:tr w:rsidR="00D7441C" w:rsidTr="009B08E9">
        <w:tc>
          <w:tcPr>
            <w:tcW w:w="5000" w:type="pct"/>
            <w:tcBorders>
              <w:top w:val="nil"/>
              <w:left w:val="nil"/>
              <w:bottom w:val="single" w:sz="6" w:space="0" w:color="78A22F"/>
              <w:right w:val="nil"/>
            </w:tcBorders>
            <w:shd w:val="clear" w:color="auto" w:fill="auto"/>
          </w:tcPr>
          <w:p w:rsidR="00D7441C" w:rsidRDefault="00D7441C" w:rsidP="009B08E9">
            <w:pPr>
              <w:pStyle w:val="Figurespace"/>
            </w:pPr>
          </w:p>
        </w:tc>
      </w:tr>
      <w:tr w:rsidR="00D7441C" w:rsidRPr="000863A5" w:rsidTr="009B08E9">
        <w:tc>
          <w:tcPr>
            <w:tcW w:w="5000" w:type="pct"/>
            <w:tcBorders>
              <w:top w:val="single" w:sz="6" w:space="0" w:color="78A22F"/>
              <w:left w:val="nil"/>
              <w:bottom w:val="nil"/>
              <w:right w:val="nil"/>
            </w:tcBorders>
          </w:tcPr>
          <w:p w:rsidR="00D7441C" w:rsidRPr="00626D32" w:rsidRDefault="00D7441C" w:rsidP="009B08E9">
            <w:pPr>
              <w:pStyle w:val="BoxSpaceBelow"/>
            </w:pPr>
          </w:p>
        </w:tc>
      </w:tr>
    </w:tbl>
    <w:p w:rsidR="006217D1" w:rsidRDefault="00A96A0E" w:rsidP="005713F8">
      <w:pPr>
        <w:pStyle w:val="Heading3"/>
        <w:spacing w:before="280"/>
      </w:pPr>
      <w:r>
        <w:t>Alternative discount rate</w:t>
      </w:r>
      <w:r w:rsidR="00E837AB">
        <w:t>s</w:t>
      </w:r>
    </w:p>
    <w:p w:rsidR="00F60D3C" w:rsidRDefault="000246F3" w:rsidP="00454FC0">
      <w:pPr>
        <w:pStyle w:val="BodyText"/>
      </w:pPr>
      <w:r>
        <w:t xml:space="preserve">The modelling presented thus far assumes a nominal discount rate of 5 per cent. If </w:t>
      </w:r>
      <w:r w:rsidR="00454FC0">
        <w:t>model outcomes are discounted by CPI (so that results are in constant dollars</w:t>
      </w:r>
      <w:r>
        <w:t xml:space="preserve"> but no additional discounting is assumed</w:t>
      </w:r>
      <w:r w:rsidR="006F03D1">
        <w:t xml:space="preserve">) </w:t>
      </w:r>
      <w:r>
        <w:t xml:space="preserve">then </w:t>
      </w:r>
      <w:r w:rsidR="00454FC0">
        <w:t>the long</w:t>
      </w:r>
      <w:r w:rsidR="006F03D1">
        <w:t>er</w:t>
      </w:r>
      <w:r w:rsidR="00023567">
        <w:noBreakHyphen/>
      </w:r>
      <w:r w:rsidR="00454FC0">
        <w:t>term impacts (</w:t>
      </w:r>
      <w:r w:rsidR="00F60D3C">
        <w:t>for example</w:t>
      </w:r>
      <w:r w:rsidR="00B263BF">
        <w:t>,</w:t>
      </w:r>
      <w:r w:rsidR="00454FC0">
        <w:t xml:space="preserve"> the Age</w:t>
      </w:r>
      <w:r w:rsidR="00D678C0">
        <w:t xml:space="preserve"> </w:t>
      </w:r>
      <w:r w:rsidR="00454FC0">
        <w:t xml:space="preserve">Pension effects) will be </w:t>
      </w:r>
      <w:r w:rsidR="006F03D1">
        <w:t xml:space="preserve">given </w:t>
      </w:r>
      <w:r w:rsidR="00454FC0">
        <w:t xml:space="preserve">relatively more </w:t>
      </w:r>
      <w:r w:rsidR="006F03D1">
        <w:t>weight</w:t>
      </w:r>
      <w:r w:rsidR="00454FC0">
        <w:t xml:space="preserve">. At the same time the </w:t>
      </w:r>
      <w:r w:rsidR="00B47F5E">
        <w:t>orders</w:t>
      </w:r>
      <w:r w:rsidR="00454FC0">
        <w:t xml:space="preserve"> of </w:t>
      </w:r>
      <w:r w:rsidR="00B47F5E">
        <w:t>magnitude</w:t>
      </w:r>
      <w:r w:rsidR="00454FC0">
        <w:t xml:space="preserve"> will be </w:t>
      </w:r>
      <w:r w:rsidR="00B47F5E">
        <w:t xml:space="preserve">greater </w:t>
      </w:r>
      <w:r w:rsidR="00982244">
        <w:t xml:space="preserve">across the board </w:t>
      </w:r>
      <w:r w:rsidR="00B47F5E">
        <w:t>as</w:t>
      </w:r>
      <w:r w:rsidR="00454FC0">
        <w:t xml:space="preserve"> less discounting occurs</w:t>
      </w:r>
      <w:r w:rsidR="00B47F5E">
        <w:t xml:space="preserve"> for all values</w:t>
      </w:r>
      <w:r w:rsidR="00454FC0">
        <w:t xml:space="preserve">. </w:t>
      </w:r>
      <w:r w:rsidR="00B47F5E">
        <w:t>Together, the result is</w:t>
      </w:r>
      <w:r w:rsidR="00454FC0">
        <w:t xml:space="preserve"> that</w:t>
      </w:r>
      <w:r w:rsidR="00F60D3C">
        <w:t>:</w:t>
      </w:r>
    </w:p>
    <w:p w:rsidR="00F60D3C" w:rsidRDefault="00454FC0" w:rsidP="00F60D3C">
      <w:pPr>
        <w:pStyle w:val="ListBullet"/>
      </w:pPr>
      <w:r>
        <w:t xml:space="preserve">TPD insurance becomes a greater net cost to government </w:t>
      </w:r>
      <w:r w:rsidR="00B47F5E">
        <w:t>for low</w:t>
      </w:r>
      <w:r w:rsidR="00023567">
        <w:noBreakHyphen/>
      </w:r>
      <w:r w:rsidR="00B47F5E">
        <w:t xml:space="preserve"> and </w:t>
      </w:r>
      <w:r w:rsidR="00B47F5E" w:rsidDel="00AF63F6">
        <w:t>middle</w:t>
      </w:r>
      <w:r w:rsidR="00023567">
        <w:noBreakHyphen/>
      </w:r>
      <w:r w:rsidR="00B47F5E">
        <w:t>income individuals</w:t>
      </w:r>
    </w:p>
    <w:p w:rsidR="00454FC0" w:rsidRDefault="00454FC0" w:rsidP="00F60D3C">
      <w:pPr>
        <w:pStyle w:val="ListBullet"/>
      </w:pPr>
      <w:r>
        <w:t>while IP insurance becomes a greater net benefit</w:t>
      </w:r>
      <w:r w:rsidR="00AF63F6">
        <w:t xml:space="preserve"> </w:t>
      </w:r>
      <w:r w:rsidR="00F60D3C">
        <w:t>to g</w:t>
      </w:r>
      <w:r w:rsidR="00D678C0">
        <w:t>overnment</w:t>
      </w:r>
      <w:r w:rsidR="00AF63F6">
        <w:t xml:space="preserve"> for middle</w:t>
      </w:r>
      <w:r w:rsidR="00023567">
        <w:noBreakHyphen/>
      </w:r>
      <w:r w:rsidR="00AF63F6">
        <w:t xml:space="preserve"> and high</w:t>
      </w:r>
      <w:r w:rsidR="00023567">
        <w:noBreakHyphen/>
      </w:r>
      <w:r w:rsidR="0069643D">
        <w:t>income individuals</w:t>
      </w:r>
      <w:r w:rsidR="00AF1B8C">
        <w:t xml:space="preserve"> (figure 1</w:t>
      </w:r>
      <w:r w:rsidR="005D6540">
        <w:t>4</w:t>
      </w:r>
      <w:r w:rsidR="00C37B20">
        <w:t>)</w:t>
      </w:r>
      <w:r>
        <w:t>.</w:t>
      </w:r>
    </w:p>
    <w:p w:rsidR="00454FC0" w:rsidRPr="00454FC0" w:rsidRDefault="00454FC0" w:rsidP="00454FC0">
      <w:pPr>
        <w:pStyle w:val="BodyText"/>
      </w:pPr>
      <w:r>
        <w:t xml:space="preserve">This scenario can be loosely interpreted as the </w:t>
      </w:r>
      <w:r w:rsidR="008C0187">
        <w:t>community</w:t>
      </w:r>
      <w:r w:rsidR="00023567">
        <w:noBreakHyphen/>
      </w:r>
      <w:r w:rsidR="008C0187">
        <w:t xml:space="preserve">wide </w:t>
      </w:r>
      <w:r>
        <w:t xml:space="preserve">net </w:t>
      </w:r>
      <w:r w:rsidR="00B47F5E">
        <w:t xml:space="preserve">fiscal </w:t>
      </w:r>
      <w:r>
        <w:t>impact for a certain type of individual at a certain point a time</w:t>
      </w:r>
      <w:r w:rsidR="00B47F5E">
        <w:t xml:space="preserve">, </w:t>
      </w:r>
      <w:r w:rsidR="00AC151F">
        <w:t xml:space="preserve">assuming </w:t>
      </w:r>
      <w:r>
        <w:t>a steady state population</w:t>
      </w:r>
      <w:r w:rsidR="00B47F5E">
        <w:t xml:space="preserve"> and </w:t>
      </w:r>
      <w:r w:rsidR="00AC151F">
        <w:t>similar</w:t>
      </w:r>
      <w:r w:rsidR="00B47F5E">
        <w:t xml:space="preserve"> indexation rates </w:t>
      </w:r>
      <w:r w:rsidR="00AC151F">
        <w:t xml:space="preserve">across </w:t>
      </w:r>
      <w:r w:rsidR="00B47F5E">
        <w:t xml:space="preserve">financial variables </w:t>
      </w:r>
      <w:r w:rsidR="00CF5D3D">
        <w:t>over time</w:t>
      </w:r>
      <w:r>
        <w:t>.</w:t>
      </w:r>
    </w:p>
    <w:p w:rsidR="00E818D3" w:rsidRDefault="00E818D3" w:rsidP="007F21B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818D3" w:rsidTr="007F21B9">
        <w:trPr>
          <w:tblHeader/>
        </w:trPr>
        <w:tc>
          <w:tcPr>
            <w:tcW w:w="5000" w:type="pct"/>
            <w:tcBorders>
              <w:top w:val="single" w:sz="6" w:space="0" w:color="78A22F"/>
              <w:left w:val="nil"/>
              <w:bottom w:val="nil"/>
              <w:right w:val="nil"/>
            </w:tcBorders>
            <w:shd w:val="clear" w:color="auto" w:fill="auto"/>
          </w:tcPr>
          <w:p w:rsidR="00E818D3" w:rsidRDefault="00E818D3" w:rsidP="007F21B9">
            <w:pPr>
              <w:pStyle w:val="FigureTitle"/>
            </w:pPr>
            <w:r w:rsidRPr="00784A05">
              <w:rPr>
                <w:b w:val="0"/>
              </w:rPr>
              <w:t xml:space="preserve">Figure </w:t>
            </w:r>
            <w:r w:rsidR="00A11CF5">
              <w:rPr>
                <w:b w:val="0"/>
                <w:noProof/>
              </w:rPr>
              <w:t>14</w:t>
            </w:r>
            <w:r>
              <w:tab/>
            </w:r>
            <w:r w:rsidR="00E16460">
              <w:t>Results discounting by CPI</w:t>
            </w:r>
          </w:p>
          <w:p w:rsidR="00E818D3" w:rsidRPr="00176D3F" w:rsidRDefault="00E16460" w:rsidP="007F21B9">
            <w:pPr>
              <w:pStyle w:val="Subtitle"/>
            </w:pPr>
            <w:r>
              <w:t>Single individual</w:t>
            </w:r>
          </w:p>
        </w:tc>
      </w:tr>
      <w:tr w:rsidR="00E818D3" w:rsidTr="007F21B9">
        <w:tc>
          <w:tcPr>
            <w:tcW w:w="5000" w:type="pct"/>
            <w:tcBorders>
              <w:top w:val="nil"/>
              <w:left w:val="nil"/>
              <w:bottom w:val="nil"/>
              <w:right w:val="nil"/>
            </w:tcBorders>
            <w:shd w:val="clear" w:color="auto" w:fill="auto"/>
            <w:tcMar>
              <w:top w:w="28" w:type="dxa"/>
              <w:bottom w:w="28" w:type="dxa"/>
            </w:tcMar>
          </w:tcPr>
          <w:tbl>
            <w:tblPr>
              <w:tblW w:w="8303"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818D3" w:rsidRPr="00B1465D" w:rsidTr="00F479A6">
              <w:trPr>
                <w:trHeight w:val="5650"/>
                <w:tblHeader/>
                <w:jc w:val="center"/>
              </w:trPr>
              <w:tc>
                <w:tcPr>
                  <w:tcW w:w="5000" w:type="pct"/>
                  <w:tcBorders>
                    <w:top w:val="nil"/>
                    <w:bottom w:val="nil"/>
                  </w:tcBorders>
                </w:tcPr>
                <w:p w:rsidR="00E818D3" w:rsidRPr="00B1465D" w:rsidRDefault="00DE6033" w:rsidP="007F21B9">
                  <w:pPr>
                    <w:pStyle w:val="Figure"/>
                    <w:spacing w:before="60" w:after="60"/>
                    <w:rPr>
                      <w:rFonts w:ascii="Arial" w:hAnsi="Arial" w:cs="Arial"/>
                      <w:sz w:val="18"/>
                      <w:szCs w:val="18"/>
                    </w:rPr>
                  </w:pPr>
                  <w:r>
                    <w:rPr>
                      <w:noProof/>
                    </w:rPr>
                    <w:drawing>
                      <wp:inline distT="0" distB="0" distL="0" distR="0" wp14:anchorId="49745F92" wp14:editId="2104878F">
                        <wp:extent cx="5400346" cy="3603231"/>
                        <wp:effectExtent l="0" t="0" r="0" b="0"/>
                        <wp:docPr id="27" name="Picture 27" descr="This figure shows the cameo results for a single individual where results are discounted by CPI rather than a real discount rate of 5 per cent. This change increases the magnitude of results across the board and gives greater weight to longer term impacts, particularly the Age Pension effects." title="Results discounting by 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ingle.plot.def.comp.emf"/>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rsidR="00E818D3" w:rsidRDefault="00E818D3" w:rsidP="007F21B9">
            <w:pPr>
              <w:pStyle w:val="Figure"/>
            </w:pPr>
          </w:p>
        </w:tc>
      </w:tr>
      <w:tr w:rsidR="00E818D3" w:rsidRPr="00176D3F" w:rsidTr="007F21B9">
        <w:tc>
          <w:tcPr>
            <w:tcW w:w="5000" w:type="pct"/>
            <w:tcBorders>
              <w:top w:val="nil"/>
              <w:left w:val="nil"/>
              <w:bottom w:val="nil"/>
              <w:right w:val="nil"/>
            </w:tcBorders>
            <w:shd w:val="clear" w:color="auto" w:fill="auto"/>
          </w:tcPr>
          <w:p w:rsidR="00E818D3" w:rsidRPr="00176D3F" w:rsidRDefault="00E818D3" w:rsidP="00D367CF">
            <w:pPr>
              <w:pStyle w:val="Note"/>
            </w:pPr>
            <w:r>
              <w:rPr>
                <w:rStyle w:val="NoteLabel"/>
              </w:rPr>
              <w:t>a</w:t>
            </w:r>
            <w:r>
              <w:t xml:space="preserve"> </w:t>
            </w:r>
            <w:r w:rsidR="00D367CF">
              <w:t>The default discount rate is 5 per cent real</w:t>
            </w:r>
            <w:r>
              <w:t>.</w:t>
            </w:r>
            <w:r w:rsidR="00D367CF">
              <w:t xml:space="preserve"> This scenario is included here for reference.</w:t>
            </w:r>
          </w:p>
        </w:tc>
      </w:tr>
      <w:tr w:rsidR="00E818D3" w:rsidRPr="00176D3F" w:rsidTr="007F21B9">
        <w:tc>
          <w:tcPr>
            <w:tcW w:w="5000" w:type="pct"/>
            <w:tcBorders>
              <w:top w:val="nil"/>
              <w:left w:val="nil"/>
              <w:bottom w:val="nil"/>
              <w:right w:val="nil"/>
            </w:tcBorders>
            <w:shd w:val="clear" w:color="auto" w:fill="auto"/>
          </w:tcPr>
          <w:p w:rsidR="00E818D3" w:rsidRPr="00176D3F" w:rsidRDefault="002350AE" w:rsidP="007F21B9">
            <w:pPr>
              <w:pStyle w:val="Source"/>
            </w:pPr>
            <w:r>
              <w:rPr>
                <w:i/>
              </w:rPr>
              <w:t>S</w:t>
            </w:r>
            <w:r w:rsidRPr="00784A05">
              <w:rPr>
                <w:i/>
              </w:rPr>
              <w:t>ource</w:t>
            </w:r>
            <w:r w:rsidRPr="00176D3F">
              <w:t>:</w:t>
            </w:r>
            <w:r>
              <w:t xml:space="preserve"> Productivity Commission estimates</w:t>
            </w:r>
            <w:r w:rsidR="00E53A71">
              <w:t>.</w:t>
            </w:r>
          </w:p>
        </w:tc>
      </w:tr>
      <w:tr w:rsidR="00E818D3" w:rsidTr="007F21B9">
        <w:tc>
          <w:tcPr>
            <w:tcW w:w="5000" w:type="pct"/>
            <w:tcBorders>
              <w:top w:val="nil"/>
              <w:left w:val="nil"/>
              <w:bottom w:val="single" w:sz="6" w:space="0" w:color="78A22F"/>
              <w:right w:val="nil"/>
            </w:tcBorders>
            <w:shd w:val="clear" w:color="auto" w:fill="auto"/>
          </w:tcPr>
          <w:p w:rsidR="00E818D3" w:rsidRDefault="00E818D3" w:rsidP="007F21B9">
            <w:pPr>
              <w:pStyle w:val="Figurespace"/>
            </w:pPr>
          </w:p>
        </w:tc>
      </w:tr>
      <w:tr w:rsidR="00E818D3" w:rsidRPr="000863A5" w:rsidTr="007F21B9">
        <w:tc>
          <w:tcPr>
            <w:tcW w:w="5000" w:type="pct"/>
            <w:tcBorders>
              <w:top w:val="single" w:sz="6" w:space="0" w:color="78A22F"/>
              <w:left w:val="nil"/>
              <w:bottom w:val="nil"/>
              <w:right w:val="nil"/>
            </w:tcBorders>
          </w:tcPr>
          <w:p w:rsidR="00E818D3" w:rsidRPr="00626D32" w:rsidRDefault="00E818D3" w:rsidP="007F21B9">
            <w:pPr>
              <w:pStyle w:val="BoxSpaceBelow"/>
            </w:pPr>
          </w:p>
        </w:tc>
      </w:tr>
    </w:tbl>
    <w:p w:rsidR="00D367CF" w:rsidRDefault="00D367CF" w:rsidP="0016660C">
      <w:pPr>
        <w:pStyle w:val="BodyText"/>
      </w:pPr>
    </w:p>
    <w:p w:rsidR="00D367CF" w:rsidRDefault="00D367CF" w:rsidP="00BF3634">
      <w:pPr>
        <w:pStyle w:val="BodyText"/>
        <w:rPr>
          <w:rFonts w:ascii="Arial" w:hAnsi="Arial"/>
          <w:sz w:val="32"/>
        </w:rPr>
      </w:pPr>
      <w:r>
        <w:br w:type="page"/>
      </w:r>
    </w:p>
    <w:p w:rsidR="0020397E" w:rsidRDefault="000633EE" w:rsidP="008C0187">
      <w:pPr>
        <w:pStyle w:val="Heading2"/>
      </w:pPr>
      <w:r>
        <w:t>References</w:t>
      </w:r>
    </w:p>
    <w:p w:rsidR="00B6440B" w:rsidRPr="00B6440B" w:rsidRDefault="00B6440B" w:rsidP="00262211">
      <w:pPr>
        <w:pStyle w:val="Reference"/>
      </w:pPr>
      <w:r w:rsidRPr="00B6440B">
        <w:t xml:space="preserve">ASIC (Australian Securities and Investments Commission) 2018, </w:t>
      </w:r>
      <w:r w:rsidRPr="00B6440B">
        <w:rPr>
          <w:i/>
          <w:iCs/>
        </w:rPr>
        <w:t>Insurance in Superannuation</w:t>
      </w:r>
      <w:r w:rsidRPr="00B6440B">
        <w:t>, ASIC Report 591, September.</w:t>
      </w:r>
    </w:p>
    <w:p w:rsidR="00B6440B" w:rsidRPr="00B6440B" w:rsidRDefault="00B6440B" w:rsidP="00262211">
      <w:pPr>
        <w:pStyle w:val="Reference"/>
      </w:pPr>
      <w:r w:rsidRPr="00B6440B">
        <w:t xml:space="preserve">KPMG 2017, </w:t>
      </w:r>
      <w:r w:rsidRPr="00B6440B">
        <w:rPr>
          <w:i/>
          <w:iCs/>
        </w:rPr>
        <w:t>Review of Default Group Insurance in Superannuation</w:t>
      </w:r>
      <w:r w:rsidRPr="00B6440B">
        <w:t>, September.</w:t>
      </w:r>
    </w:p>
    <w:p w:rsidR="00B6440B" w:rsidRPr="00B6440B" w:rsidRDefault="00B6440B" w:rsidP="00262211">
      <w:pPr>
        <w:pStyle w:val="Reference"/>
      </w:pPr>
      <w:r w:rsidRPr="00B6440B">
        <w:t xml:space="preserve">MLC 2017, </w:t>
      </w:r>
      <w:r w:rsidRPr="00B6440B">
        <w:rPr>
          <w:i/>
          <w:iCs/>
        </w:rPr>
        <w:t>Stamp duty</w:t>
      </w:r>
      <w:r w:rsidRPr="00B6440B">
        <w:t>, https://www.mlcinsurance.com.au/stamp-duty (accessed 13 September 2018).</w:t>
      </w:r>
    </w:p>
    <w:p w:rsidR="00B6440B" w:rsidRPr="00B6440B" w:rsidRDefault="00B6440B" w:rsidP="00262211">
      <w:pPr>
        <w:pStyle w:val="Reference"/>
      </w:pPr>
      <w:r w:rsidRPr="00B6440B">
        <w:t xml:space="preserve">PC (Productivity Commission) 2018, </w:t>
      </w:r>
      <w:r w:rsidRPr="00B6440B">
        <w:rPr>
          <w:i/>
          <w:iCs/>
        </w:rPr>
        <w:t>Superannuation: Assessing Efficiency and Competitiveness - Draft Report</w:t>
      </w:r>
      <w:r w:rsidRPr="00B6440B">
        <w:t>, Canberra.</w:t>
      </w:r>
    </w:p>
    <w:p w:rsidR="00B6440B" w:rsidRPr="00B6440B" w:rsidRDefault="00B6440B" w:rsidP="00262211">
      <w:pPr>
        <w:pStyle w:val="Reference"/>
      </w:pPr>
      <w:r w:rsidRPr="00B6440B">
        <w:t xml:space="preserve">Rice Warner 2015, </w:t>
      </w:r>
      <w:r w:rsidRPr="00B6440B">
        <w:rPr>
          <w:i/>
          <w:iCs/>
        </w:rPr>
        <w:t>Group Life and Disability Insurance Claims Experience Study - Insurer Report</w:t>
      </w:r>
      <w:r w:rsidRPr="00B6440B">
        <w:t>.</w:t>
      </w:r>
    </w:p>
    <w:p w:rsidR="00B6440B" w:rsidRPr="00B6440B" w:rsidRDefault="00B6440B" w:rsidP="00262211">
      <w:pPr>
        <w:pStyle w:val="Reference"/>
      </w:pPr>
      <w:r w:rsidRPr="00B6440B">
        <w:t>Wett, Gareth 2017, ‘Treasury’s suite of data and models for superannuation analysis’, presented at Presentation to Colloquium of Superannuation Researchers, 7 July.</w:t>
      </w:r>
    </w:p>
    <w:p w:rsidR="000633EE" w:rsidRPr="000633EE" w:rsidRDefault="000633EE" w:rsidP="00D367CF">
      <w:pPr>
        <w:pStyle w:val="Reference"/>
      </w:pPr>
    </w:p>
    <w:sectPr w:rsidR="000633EE" w:rsidRPr="000633EE" w:rsidSect="008A57F3">
      <w:headerReference w:type="default" r:id="rId36"/>
      <w:footerReference w:type="default" r:id="rId37"/>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16C" w:rsidRDefault="00D2616C">
      <w:r>
        <w:separator/>
      </w:r>
    </w:p>
  </w:endnote>
  <w:endnote w:type="continuationSeparator" w:id="0">
    <w:p w:rsidR="00D2616C" w:rsidRDefault="00D2616C">
      <w:r>
        <w:continuationSeparator/>
      </w:r>
    </w:p>
  </w:endnote>
  <w:endnote w:type="continuationNotice" w:id="1">
    <w:p w:rsidR="00D2616C" w:rsidRDefault="00D26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62B01" w:rsidTr="005F48ED">
      <w:trPr>
        <w:trHeight w:hRule="exact" w:val="567"/>
      </w:trPr>
      <w:tc>
        <w:tcPr>
          <w:tcW w:w="510" w:type="dxa"/>
        </w:tcPr>
        <w:p w:rsidR="00262B01" w:rsidRPr="00A24443" w:rsidRDefault="00262B0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95F9F">
            <w:rPr>
              <w:rStyle w:val="PageNumber"/>
              <w:caps w:val="0"/>
              <w:noProof/>
            </w:rPr>
            <w:t>16</w:t>
          </w:r>
          <w:r w:rsidRPr="00A24443">
            <w:rPr>
              <w:rStyle w:val="PageNumber"/>
              <w:caps w:val="0"/>
            </w:rPr>
            <w:fldChar w:fldCharType="end"/>
          </w:r>
        </w:p>
      </w:tc>
      <w:tc>
        <w:tcPr>
          <w:tcW w:w="7767" w:type="dxa"/>
        </w:tcPr>
        <w:p w:rsidR="00262B01" w:rsidRPr="0013739A" w:rsidRDefault="00DD4B3C" w:rsidP="00DD4B3C">
          <w:pPr>
            <w:pStyle w:val="Footer"/>
            <w:rPr>
              <w:rFonts w:cs="Arial"/>
            </w:rPr>
          </w:pPr>
          <w:r>
            <w:rPr>
              <w:rFonts w:cs="Arial"/>
            </w:rPr>
            <w:t>Superannuation:</w:t>
          </w:r>
          <w:r w:rsidR="00262B01">
            <w:rPr>
              <w:rFonts w:cs="Arial"/>
            </w:rPr>
            <w:t xml:space="preserve"> </w:t>
          </w:r>
          <w:r w:rsidR="00F9488B">
            <w:rPr>
              <w:rFonts w:cs="Arial"/>
            </w:rPr>
            <w:t xml:space="preserve">efficiency and </w:t>
          </w:r>
          <w:r w:rsidR="00262B01">
            <w:rPr>
              <w:rFonts w:cs="Arial"/>
            </w:rPr>
            <w:t xml:space="preserve">competitiveness </w:t>
          </w:r>
          <w:bookmarkStart w:id="0" w:name="DraftReportEven"/>
          <w:bookmarkEnd w:id="0"/>
        </w:p>
      </w:tc>
      <w:tc>
        <w:tcPr>
          <w:tcW w:w="510" w:type="dxa"/>
        </w:tcPr>
        <w:p w:rsidR="00262B01" w:rsidRDefault="00262B01" w:rsidP="0019293B">
          <w:pPr>
            <w:pStyle w:val="Footer"/>
          </w:pPr>
        </w:p>
      </w:tc>
    </w:tr>
  </w:tbl>
  <w:p w:rsidR="00262B01" w:rsidRDefault="00262B0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153" w:rsidRDefault="00E33153">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2667" w:rsidTr="005F48ED">
      <w:trPr>
        <w:trHeight w:hRule="exact" w:val="567"/>
      </w:trPr>
      <w:tc>
        <w:tcPr>
          <w:tcW w:w="510" w:type="dxa"/>
        </w:tcPr>
        <w:p w:rsidR="00BF2667" w:rsidRDefault="00BF2667">
          <w:pPr>
            <w:pStyle w:val="Footer"/>
            <w:ind w:right="360" w:firstLine="360"/>
          </w:pPr>
        </w:p>
      </w:tc>
      <w:tc>
        <w:tcPr>
          <w:tcW w:w="7767" w:type="dxa"/>
        </w:tcPr>
        <w:p w:rsidR="00BF2667" w:rsidRPr="00BA5B14" w:rsidRDefault="00BF2667" w:rsidP="0013739A">
          <w:pPr>
            <w:pStyle w:val="Footer"/>
            <w:jc w:val="right"/>
            <w:rPr>
              <w:rFonts w:cs="Arial"/>
            </w:rPr>
          </w:pPr>
          <w:r>
            <w:rPr>
              <w:rFonts w:cs="Arial"/>
            </w:rPr>
            <w:t>Fiscal impacts of insurance in superannuation</w:t>
          </w:r>
        </w:p>
      </w:tc>
      <w:tc>
        <w:tcPr>
          <w:tcW w:w="510" w:type="dxa"/>
        </w:tcPr>
        <w:p w:rsidR="00BF2667" w:rsidRPr="00A24443" w:rsidRDefault="00BF266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95F9F">
            <w:rPr>
              <w:rStyle w:val="PageNumber"/>
              <w:caps w:val="0"/>
              <w:noProof/>
            </w:rPr>
            <w:t>17</w:t>
          </w:r>
          <w:r w:rsidRPr="00A24443">
            <w:rPr>
              <w:rStyle w:val="PageNumber"/>
              <w:caps w:val="0"/>
            </w:rPr>
            <w:fldChar w:fldCharType="end"/>
          </w:r>
        </w:p>
      </w:tc>
    </w:tr>
  </w:tbl>
  <w:p w:rsidR="00BF2667" w:rsidRDefault="00BF266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16C" w:rsidRDefault="00D2616C">
      <w:r>
        <w:separator/>
      </w:r>
    </w:p>
  </w:footnote>
  <w:footnote w:type="continuationSeparator" w:id="0">
    <w:p w:rsidR="00D2616C" w:rsidRDefault="00D2616C">
      <w:r>
        <w:continuationSeparator/>
      </w:r>
    </w:p>
  </w:footnote>
  <w:footnote w:type="continuationNotice" w:id="1">
    <w:p w:rsidR="00D2616C" w:rsidRDefault="00D2616C"/>
  </w:footnote>
  <w:footnote w:id="2">
    <w:p w:rsidR="00E50ECE" w:rsidRDefault="00E50ECE" w:rsidP="00E50ECE">
      <w:pPr>
        <w:pStyle w:val="FootnoteText"/>
      </w:pPr>
      <w:r>
        <w:rPr>
          <w:rStyle w:val="FootnoteReference"/>
        </w:rPr>
        <w:footnoteRef/>
      </w:r>
      <w:r>
        <w:tab/>
        <w:t>The implicit counterfactual in this framework is that if individuals did not have insurance in superannuation, then they would not obtain any additional insurance outside of superannuation.</w:t>
      </w:r>
    </w:p>
  </w:footnote>
  <w:footnote w:id="3">
    <w:p w:rsidR="00262B01" w:rsidRDefault="00262B01">
      <w:pPr>
        <w:pStyle w:val="FootnoteText"/>
      </w:pPr>
      <w:r>
        <w:rPr>
          <w:rStyle w:val="FootnoteReference"/>
        </w:rPr>
        <w:footnoteRef/>
      </w:r>
      <w:r>
        <w:tab/>
        <w:t>While the tax impacts of insurance in superannuation are not explicitly mentioned in the terms of reference, they have been included in the Commission’s assessment to provide a more complete picture of the fiscal impact of insurance in superannuation.</w:t>
      </w:r>
    </w:p>
  </w:footnote>
  <w:footnote w:id="4">
    <w:p w:rsidR="00262B01" w:rsidRDefault="00262B01">
      <w:pPr>
        <w:pStyle w:val="FootnoteText"/>
      </w:pPr>
      <w:r>
        <w:rPr>
          <w:rStyle w:val="FootnoteReference"/>
        </w:rPr>
        <w:footnoteRef/>
      </w:r>
      <w:r>
        <w:tab/>
        <w:t>The tax-free component of a disability benefit is calculated by working out proportion of the working life that the individual will miss due to their permanent disability. The tax payable is greater for individuals who are closer to retirement (though the rules change from age 60).</w:t>
      </w:r>
    </w:p>
  </w:footnote>
  <w:footnote w:id="5">
    <w:p w:rsidR="00262B01" w:rsidRDefault="00262B01">
      <w:pPr>
        <w:pStyle w:val="FootnoteText"/>
      </w:pPr>
      <w:r>
        <w:rPr>
          <w:rStyle w:val="FootnoteReference"/>
        </w:rPr>
        <w:footnoteRef/>
      </w:r>
      <w:r>
        <w:tab/>
        <w:t>T</w:t>
      </w:r>
      <w:r w:rsidRPr="000F3AD9">
        <w:t xml:space="preserve">here are some slight differences </w:t>
      </w:r>
      <w:r>
        <w:t xml:space="preserve">between the two payments in terms of </w:t>
      </w:r>
      <w:r w:rsidRPr="000F3AD9">
        <w:t xml:space="preserve">in eligibility rules and other </w:t>
      </w:r>
      <w:r>
        <w:t xml:space="preserve">available </w:t>
      </w:r>
      <w:r w:rsidRPr="000F3AD9">
        <w:t>allowances, including rent assistance</w:t>
      </w:r>
      <w:r>
        <w:t>.</w:t>
      </w:r>
      <w:r w:rsidRPr="000F3AD9">
        <w:t xml:space="preserve"> </w:t>
      </w:r>
    </w:p>
  </w:footnote>
  <w:footnote w:id="6">
    <w:p w:rsidR="00262B01" w:rsidRDefault="00262B01" w:rsidP="007E58C8">
      <w:pPr>
        <w:pStyle w:val="FootnoteText"/>
      </w:pPr>
      <w:r>
        <w:rPr>
          <w:rStyle w:val="FootnoteReference"/>
        </w:rPr>
        <w:footnoteRef/>
      </w:r>
      <w:r>
        <w:tab/>
        <w:t>This suggests that there is an important distinction between analysing the net fiscal benefits for a cohort of individuals aged 21 today compared with an older cohort of individuals, or a point-in-time estimate.</w:t>
      </w:r>
    </w:p>
  </w:footnote>
  <w:footnote w:id="7">
    <w:p w:rsidR="00262B01" w:rsidRPr="00133214" w:rsidRDefault="00262B01" w:rsidP="00BD541D">
      <w:pPr>
        <w:pStyle w:val="FootnoteText"/>
      </w:pPr>
      <w:r>
        <w:rPr>
          <w:rStyle w:val="FootnoteReference"/>
        </w:rPr>
        <w:footnoteRef/>
      </w:r>
      <w:r>
        <w:tab/>
        <w:t xml:space="preserve">The difficulty arises because assumptions need to be made about who would receive any payout if an individual dies (that is, a spouse, children, or parents) and whether these individuals would be eligible for any government assistance. </w:t>
      </w:r>
      <w:r w:rsidRPr="008F6F94">
        <w:t xml:space="preserve">That said, the costs to government </w:t>
      </w:r>
      <w:r>
        <w:t xml:space="preserve">from life insurance in superannuation (that is, the </w:t>
      </w:r>
      <w:r w:rsidRPr="008F6F94">
        <w:t>Age</w:t>
      </w:r>
      <w:r>
        <w:t xml:space="preserve"> </w:t>
      </w:r>
      <w:r w:rsidRPr="008F6F94">
        <w:t>Pension and tax effects</w:t>
      </w:r>
      <w:r>
        <w:t>)</w:t>
      </w:r>
      <w:r w:rsidRPr="008F6F94">
        <w:t xml:space="preserve"> </w:t>
      </w:r>
      <w:r>
        <w:t>can be estimated as they are incurred by individuals who do not claim, avoiding the aforementioned difficulties. The Commission has not modelled these costs as they can be inferred from TPD insurance scenarios — life insurance premiums are typically of a similar magnitude to TPD insurance premiums</w:t>
      </w:r>
      <w:r w:rsidRPr="008F6F94">
        <w:t>.</w:t>
      </w:r>
    </w:p>
  </w:footnote>
  <w:footnote w:id="8">
    <w:p w:rsidR="00262B01" w:rsidRDefault="00262B01">
      <w:pPr>
        <w:pStyle w:val="FootnoteText"/>
      </w:pPr>
      <w:r>
        <w:rPr>
          <w:rStyle w:val="FootnoteReference"/>
        </w:rPr>
        <w:footnoteRef/>
      </w:r>
      <w:r>
        <w:tab/>
        <w:t>They can be considered average effects as they are the weighted sum of 45 possible outcomes (making an insurance claim at each of the ages from 22 to 64 inclusively, and not making an insurance claim at all).</w:t>
      </w:r>
    </w:p>
  </w:footnote>
  <w:footnote w:id="9">
    <w:p w:rsidR="00E50ECE" w:rsidRDefault="00E50ECE" w:rsidP="00E50ECE">
      <w:pPr>
        <w:pStyle w:val="FootnoteText"/>
      </w:pPr>
      <w:r>
        <w:rPr>
          <w:rStyle w:val="FootnoteReference"/>
        </w:rPr>
        <w:footnoteRef/>
      </w:r>
      <w:r>
        <w:tab/>
        <w:t>Modelling the total impact of default insurance in superannuation would require an assumption about the number of individuals who would opt-in to superannuation.</w:t>
      </w:r>
    </w:p>
  </w:footnote>
  <w:footnote w:id="10">
    <w:p w:rsidR="00262B01" w:rsidRDefault="00262B01">
      <w:pPr>
        <w:pStyle w:val="FootnoteText"/>
      </w:pPr>
      <w:r>
        <w:rPr>
          <w:rStyle w:val="FootnoteReference"/>
        </w:rPr>
        <w:footnoteRef/>
      </w:r>
      <w:r>
        <w:tab/>
        <w:t>A blue collar insurance policy scenario was not considered as it would be important to also vary the assumed claim rates (blue collar policies are likely to have proportionally more claims) and the Commission could not obtain data on claim rates that vary by loading type.</w:t>
      </w:r>
    </w:p>
  </w:footnote>
  <w:footnote w:id="11">
    <w:p w:rsidR="00262B01" w:rsidRDefault="00262B01" w:rsidP="00BD541D">
      <w:pPr>
        <w:pStyle w:val="FootnoteText"/>
      </w:pPr>
      <w:r w:rsidRPr="0024132C">
        <w:rPr>
          <w:rStyle w:val="FootnoteReference"/>
        </w:rPr>
        <w:footnoteRef/>
      </w:r>
      <w:r>
        <w:tab/>
        <w:t xml:space="preserve">The </w:t>
      </w:r>
      <w:r w:rsidRPr="005014A1">
        <w:t xml:space="preserve">Rice Warner comparator </w:t>
      </w:r>
      <w:r>
        <w:t xml:space="preserve">of insurance policies </w:t>
      </w:r>
      <w:r w:rsidRPr="005014A1">
        <w:t xml:space="preserve">bundles TPD and </w:t>
      </w:r>
      <w:r>
        <w:t>life</w:t>
      </w:r>
      <w:r w:rsidRPr="005014A1">
        <w:t xml:space="preserve"> premiums together. A separate TPD premium was calculated by multiplying the average bundled premium by the number of TPD claims as a proportion of </w:t>
      </w:r>
      <w:r>
        <w:t>life</w:t>
      </w:r>
      <w:r w:rsidRPr="005014A1">
        <w:t xml:space="preserve"> and TPD claims</w:t>
      </w:r>
      <w:r>
        <w:t xml:space="preserve"> by age</w:t>
      </w:r>
      <w:r w:rsidRPr="005014A1">
        <w:t xml:space="preserve">. </w:t>
      </w:r>
    </w:p>
  </w:footnote>
  <w:footnote w:id="12">
    <w:p w:rsidR="00262B01" w:rsidRDefault="00262B01" w:rsidP="000D41BA">
      <w:pPr>
        <w:pStyle w:val="FootnoteText"/>
      </w:pPr>
      <w:r>
        <w:rPr>
          <w:rStyle w:val="FootnoteReference"/>
        </w:rPr>
        <w:footnoteRef/>
      </w:r>
      <w:r>
        <w:tab/>
        <w:t>Claim rates for males were used to match insurance premiums, which are also for males (though in practice most funds do not charge differential premiums based on sex). Claim rates are typically higher for males than females (most notably between the ages of 20 and 30), thus using female claim rates (or an average) would reduce the modelled DSP-related benefits of insurance in superannuation and increase Age Pension-related costs.</w:t>
      </w:r>
      <w:r w:rsidRPr="00D24364">
        <w:t xml:space="preserve"> </w:t>
      </w:r>
      <w:r>
        <w:t xml:space="preserve">Rice Warner </w:t>
      </w:r>
      <w:r w:rsidRPr="00F94224">
        <w:t>(2015)</w:t>
      </w:r>
      <w:r>
        <w:t xml:space="preserve"> data indicate that TPD claim rates for Master trusts are higher than for industry funds for each claim age, while claim rates for Public Sector funds are lower. A recent review of insurance in superannuation found that industry funds received more claims per member than retail funds, although this could be due to the older age profile of industry fund members </w:t>
      </w:r>
      <w:r w:rsidRPr="006453C3">
        <w:rPr>
          <w:szCs w:val="24"/>
        </w:rPr>
        <w:t>(ASIC 2018, p. 9)</w:t>
      </w:r>
      <w:r w:rsidRPr="00C71E53">
        <w:t>.</w:t>
      </w:r>
    </w:p>
  </w:footnote>
  <w:footnote w:id="13">
    <w:p w:rsidR="00262B01" w:rsidRDefault="00262B01">
      <w:pPr>
        <w:pStyle w:val="FootnoteText"/>
      </w:pPr>
      <w:r>
        <w:rPr>
          <w:rStyle w:val="FootnoteReference"/>
        </w:rPr>
        <w:footnoteRef/>
      </w:r>
      <w:r>
        <w:tab/>
        <w:t xml:space="preserve">The calculation of probability weights becomes difficult when the impact of two individuals switching from having no insurance to having insurance is analysed concurrently. </w:t>
      </w:r>
    </w:p>
  </w:footnote>
  <w:footnote w:id="14">
    <w:p w:rsidR="00262B01" w:rsidRDefault="00262B01">
      <w:pPr>
        <w:pStyle w:val="FootnoteText"/>
      </w:pPr>
      <w:r>
        <w:rPr>
          <w:rStyle w:val="FootnoteReference"/>
        </w:rPr>
        <w:footnoteRef/>
      </w:r>
      <w:r>
        <w:tab/>
        <w:t>20</w:t>
      </w:r>
      <w:r w:rsidRPr="007F62B1">
        <w:rPr>
          <w:vertAlign w:val="superscript"/>
        </w:rPr>
        <w:t>th</w:t>
      </w:r>
      <w:r>
        <w:t xml:space="preserve"> percentile income profiles are calculated as the 20</w:t>
      </w:r>
      <w:r w:rsidRPr="00D4228B">
        <w:rPr>
          <w:vertAlign w:val="superscript"/>
        </w:rPr>
        <w:t>th</w:t>
      </w:r>
      <w:r>
        <w:t xml:space="preserve"> percentile wage for each age from tax data. More detail is presented in appendix A.</w:t>
      </w:r>
    </w:p>
  </w:footnote>
  <w:footnote w:id="15">
    <w:p w:rsidR="00262B01" w:rsidRDefault="00262B01">
      <w:pPr>
        <w:pStyle w:val="FootnoteText"/>
      </w:pPr>
      <w:r>
        <w:rPr>
          <w:rStyle w:val="FootnoteReference"/>
        </w:rPr>
        <w:footnoteRef/>
      </w:r>
      <w:r>
        <w:tab/>
        <w:t>As noted previously, stamp duty receipts are a benefit to State and Territory Governments and would not be included in any assessment of the fiscal benefit of insurance in superannuation to the Australian Government.</w:t>
      </w:r>
    </w:p>
  </w:footnote>
  <w:footnote w:id="16">
    <w:p w:rsidR="00262B01" w:rsidRDefault="00262B01" w:rsidP="00BD541D">
      <w:pPr>
        <w:pStyle w:val="FootnoteText"/>
      </w:pPr>
      <w:r w:rsidRPr="0024132C">
        <w:rPr>
          <w:rStyle w:val="FootnoteReference"/>
        </w:rPr>
        <w:footnoteRef/>
      </w:r>
      <w:r>
        <w:tab/>
        <w:t>In this scenario the expected impact on Age Pension payments is actually positive (a fiscal benefit to government).</w:t>
      </w:r>
      <w:r w:rsidRPr="003A2F21">
        <w:t xml:space="preserve"> </w:t>
      </w:r>
      <w:r>
        <w:t xml:space="preserve">This individual earns too much throughout their lifetime for the balance erosion associated with insurance to reduce their Age Pension payments. However, for the claim outcomes where an individual faces a total and permanent disability around the ages of 55 to 60, the individual will obtain an early release of superannuation savings which means that (a) some of their savings is consumed by the time they reach the Age Pension age and (b) receiving an insurance payout on top of an early release of superannuation savings (because the individual has insurance) will </w:t>
      </w:r>
      <w:r w:rsidRPr="00F60D3C">
        <w:t>reduce</w:t>
      </w:r>
      <w:r>
        <w:t xml:space="preserve"> the Age Pension payment that an individual will receive. </w:t>
      </w:r>
    </w:p>
  </w:footnote>
  <w:footnote w:id="17">
    <w:p w:rsidR="00262B01" w:rsidRDefault="00262B01">
      <w:pPr>
        <w:pStyle w:val="FootnoteText"/>
      </w:pPr>
      <w:r>
        <w:rPr>
          <w:rStyle w:val="FootnoteReference"/>
        </w:rPr>
        <w:footnoteRef/>
      </w:r>
      <w:r>
        <w:tab/>
        <w:t>The Commission has not explicitly considered scenarios where a partner does not work or ceases work to act as a carer. This scenario would likely be similar to the case for a single individual, except to the extent that insurance claims reduce the need for the partner to stop work and they continue to pay income tax.</w:t>
      </w:r>
    </w:p>
  </w:footnote>
  <w:footnote w:id="18">
    <w:p w:rsidR="00262B01" w:rsidRDefault="00262B01">
      <w:pPr>
        <w:pStyle w:val="FootnoteText"/>
      </w:pPr>
      <w:r w:rsidRPr="0024132C">
        <w:rPr>
          <w:rStyle w:val="FootnoteReference"/>
        </w:rPr>
        <w:footnoteRef/>
      </w:r>
      <w:r>
        <w:tab/>
        <w:t>A single pension is reduced by 50 cents for every dollar earned over $172 a fortnight, while a couple pension (for one member of a couple) is reduced by 25 cents for every dollar of household income earned over $302 a fortnight.</w:t>
      </w:r>
    </w:p>
  </w:footnote>
  <w:footnote w:id="19">
    <w:p w:rsidR="00EE5A00" w:rsidRDefault="00EE5A00" w:rsidP="00EE5A00">
      <w:pPr>
        <w:pStyle w:val="FootnoteText"/>
      </w:pPr>
      <w:r>
        <w:rPr>
          <w:rStyle w:val="FootnoteReference"/>
        </w:rPr>
        <w:footnoteRef/>
      </w:r>
      <w:r>
        <w:tab/>
        <w:t>While there are variations in the details, all IP policies restrict individuals from receiving more income from IP benefits than they received from employment prior to their injury or illness. The model assumes that the restriction is 75 per cent of employment income.</w:t>
      </w:r>
    </w:p>
  </w:footnote>
  <w:footnote w:id="20">
    <w:p w:rsidR="00EE5A00" w:rsidRDefault="00EE5A00" w:rsidP="00EE5A00">
      <w:pPr>
        <w:pStyle w:val="FootnoteText"/>
      </w:pPr>
      <w:r>
        <w:rPr>
          <w:rStyle w:val="FootnoteReference"/>
        </w:rPr>
        <w:footnoteRef/>
      </w:r>
      <w:r>
        <w:tab/>
        <w:t xml:space="preserve">All individuals who are eligible to make an IP claim (if they had insurance) are assumed to </w:t>
      </w:r>
      <w:r w:rsidRPr="007B6215">
        <w:t xml:space="preserve">meet the disability requirements </w:t>
      </w:r>
      <w:r>
        <w:t xml:space="preserve">for the </w:t>
      </w:r>
      <w:r w:rsidRPr="007B6215">
        <w:t>DSP</w:t>
      </w:r>
      <w:r>
        <w:t>. In reality, many of these individuals would not meet the DSP disability requirements and would instead be eligible for the Sickness Allowance, Newstart Allowance or a similar payment (which are all about 40 per cent lower than the DSP).</w:t>
      </w:r>
    </w:p>
  </w:footnote>
  <w:footnote w:id="21">
    <w:p w:rsidR="00262B01" w:rsidRDefault="00262B01">
      <w:pPr>
        <w:pStyle w:val="FootnoteText"/>
      </w:pPr>
      <w:r>
        <w:rPr>
          <w:rStyle w:val="FootnoteReference"/>
        </w:rPr>
        <w:footnoteRef/>
      </w:r>
      <w:r>
        <w:tab/>
        <w:t>A higher discount rate (the Office of Best Practice Regulation advises a rate of 7 per cent real when undertaking cost-benefit analysis) is not warranted here given that (a) market risk is not an important consideration and (b) the analysis is being used to loosely proxy the point-in-time fiscal impacts of insurance in superannuation.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62B01">
      <w:tc>
        <w:tcPr>
          <w:tcW w:w="2155" w:type="dxa"/>
          <w:tcBorders>
            <w:top w:val="single" w:sz="24" w:space="0" w:color="auto"/>
          </w:tcBorders>
        </w:tcPr>
        <w:p w:rsidR="00262B01" w:rsidRDefault="00262B01" w:rsidP="0019293B">
          <w:pPr>
            <w:pStyle w:val="HeaderEven"/>
          </w:pPr>
        </w:p>
      </w:tc>
      <w:tc>
        <w:tcPr>
          <w:tcW w:w="6634" w:type="dxa"/>
          <w:tcBorders>
            <w:top w:val="single" w:sz="6" w:space="0" w:color="auto"/>
          </w:tcBorders>
        </w:tcPr>
        <w:p w:rsidR="00262B01" w:rsidRDefault="00262B01" w:rsidP="0019293B">
          <w:pPr>
            <w:pStyle w:val="HeaderEven"/>
          </w:pPr>
        </w:p>
      </w:tc>
    </w:tr>
  </w:tbl>
  <w:p w:rsidR="00262B01" w:rsidRDefault="00262B0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153" w:rsidRDefault="00E33153"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F2667">
      <w:tc>
        <w:tcPr>
          <w:tcW w:w="6634" w:type="dxa"/>
          <w:tcBorders>
            <w:top w:val="single" w:sz="6" w:space="0" w:color="auto"/>
          </w:tcBorders>
        </w:tcPr>
        <w:p w:rsidR="00BF2667" w:rsidRDefault="00BF2667" w:rsidP="00E669E2">
          <w:pPr>
            <w:pStyle w:val="HeaderOdd"/>
          </w:pPr>
        </w:p>
      </w:tc>
      <w:tc>
        <w:tcPr>
          <w:tcW w:w="2155" w:type="dxa"/>
          <w:tcBorders>
            <w:top w:val="single" w:sz="24" w:space="0" w:color="auto"/>
          </w:tcBorders>
        </w:tcPr>
        <w:p w:rsidR="00BF2667" w:rsidRDefault="00BF2667" w:rsidP="00E669E2">
          <w:pPr>
            <w:pStyle w:val="HeaderOdd"/>
          </w:pPr>
        </w:p>
      </w:tc>
    </w:tr>
  </w:tbl>
  <w:p w:rsidR="00BF2667" w:rsidRDefault="00BF2667"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4A445CE"/>
    <w:multiLevelType w:val="hybridMultilevel"/>
    <w:tmpl w:val="B0566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4"/>
  </w:num>
  <w:num w:numId="4">
    <w:abstractNumId w:val="3"/>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9"/>
  </w:num>
  <w:num w:numId="22">
    <w:abstractNumId w:val="14"/>
  </w:num>
  <w:num w:numId="23">
    <w:abstractNumId w:val="12"/>
  </w:num>
  <w:num w:numId="24">
    <w:abstractNumId w:val="3"/>
  </w:num>
  <w:num w:numId="25">
    <w:abstractNumId w:val="3"/>
  </w:num>
  <w:num w:numId="26">
    <w:abstractNumId w:val="14"/>
  </w:num>
  <w:num w:numId="27">
    <w:abstractNumId w:val="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Fiscal impacts of insurance in superannuation"/>
    <w:docVar w:name="ShortReportTitle" w:val="Superannuation: Assessing competitiveness and efficiency"/>
  </w:docVars>
  <w:rsids>
    <w:rsidRoot w:val="00700F1D"/>
    <w:rsid w:val="00000438"/>
    <w:rsid w:val="0000247A"/>
    <w:rsid w:val="00003769"/>
    <w:rsid w:val="00011C52"/>
    <w:rsid w:val="000123FD"/>
    <w:rsid w:val="000127DB"/>
    <w:rsid w:val="0001312E"/>
    <w:rsid w:val="000136D7"/>
    <w:rsid w:val="00014227"/>
    <w:rsid w:val="000172FE"/>
    <w:rsid w:val="00021C18"/>
    <w:rsid w:val="00022057"/>
    <w:rsid w:val="000227BB"/>
    <w:rsid w:val="000227D5"/>
    <w:rsid w:val="00023385"/>
    <w:rsid w:val="00023567"/>
    <w:rsid w:val="000245AA"/>
    <w:rsid w:val="000246F3"/>
    <w:rsid w:val="00030697"/>
    <w:rsid w:val="000345C5"/>
    <w:rsid w:val="00036457"/>
    <w:rsid w:val="0003664B"/>
    <w:rsid w:val="0004002B"/>
    <w:rsid w:val="0004111F"/>
    <w:rsid w:val="0004304C"/>
    <w:rsid w:val="0004307D"/>
    <w:rsid w:val="000548B5"/>
    <w:rsid w:val="00055077"/>
    <w:rsid w:val="000553C2"/>
    <w:rsid w:val="000565B3"/>
    <w:rsid w:val="000628A1"/>
    <w:rsid w:val="000633EE"/>
    <w:rsid w:val="000635CD"/>
    <w:rsid w:val="000649B3"/>
    <w:rsid w:val="0007150B"/>
    <w:rsid w:val="00073267"/>
    <w:rsid w:val="00075571"/>
    <w:rsid w:val="00075E10"/>
    <w:rsid w:val="000805D4"/>
    <w:rsid w:val="0008339F"/>
    <w:rsid w:val="000847DB"/>
    <w:rsid w:val="0008791F"/>
    <w:rsid w:val="00092E40"/>
    <w:rsid w:val="000933FF"/>
    <w:rsid w:val="000938F5"/>
    <w:rsid w:val="00095663"/>
    <w:rsid w:val="00096067"/>
    <w:rsid w:val="00096855"/>
    <w:rsid w:val="00096E55"/>
    <w:rsid w:val="00097654"/>
    <w:rsid w:val="0009783E"/>
    <w:rsid w:val="000A088B"/>
    <w:rsid w:val="000A1DD4"/>
    <w:rsid w:val="000B1022"/>
    <w:rsid w:val="000B105A"/>
    <w:rsid w:val="000B1F72"/>
    <w:rsid w:val="000B479F"/>
    <w:rsid w:val="000B502D"/>
    <w:rsid w:val="000B601B"/>
    <w:rsid w:val="000C207E"/>
    <w:rsid w:val="000C2BCD"/>
    <w:rsid w:val="000C37F7"/>
    <w:rsid w:val="000C43FE"/>
    <w:rsid w:val="000C4E2F"/>
    <w:rsid w:val="000C5EBC"/>
    <w:rsid w:val="000D1A47"/>
    <w:rsid w:val="000D1F52"/>
    <w:rsid w:val="000D41BA"/>
    <w:rsid w:val="000D41E9"/>
    <w:rsid w:val="000D6486"/>
    <w:rsid w:val="000D76A2"/>
    <w:rsid w:val="000E0FE2"/>
    <w:rsid w:val="000E1A06"/>
    <w:rsid w:val="000E29C6"/>
    <w:rsid w:val="000E6C31"/>
    <w:rsid w:val="000F0035"/>
    <w:rsid w:val="000F0267"/>
    <w:rsid w:val="000F04E7"/>
    <w:rsid w:val="000F060A"/>
    <w:rsid w:val="000F121F"/>
    <w:rsid w:val="000F3AD9"/>
    <w:rsid w:val="000F420B"/>
    <w:rsid w:val="000F539C"/>
    <w:rsid w:val="000F78F8"/>
    <w:rsid w:val="00104C14"/>
    <w:rsid w:val="001100DA"/>
    <w:rsid w:val="00110116"/>
    <w:rsid w:val="001167A7"/>
    <w:rsid w:val="00120072"/>
    <w:rsid w:val="001226BE"/>
    <w:rsid w:val="00126E17"/>
    <w:rsid w:val="00126EB8"/>
    <w:rsid w:val="001274D4"/>
    <w:rsid w:val="00131769"/>
    <w:rsid w:val="00133214"/>
    <w:rsid w:val="0013441E"/>
    <w:rsid w:val="00134DE7"/>
    <w:rsid w:val="00135FA0"/>
    <w:rsid w:val="001363AA"/>
    <w:rsid w:val="001367EA"/>
    <w:rsid w:val="0013739A"/>
    <w:rsid w:val="00141443"/>
    <w:rsid w:val="00141CC8"/>
    <w:rsid w:val="00142165"/>
    <w:rsid w:val="00147468"/>
    <w:rsid w:val="00151E97"/>
    <w:rsid w:val="0015386D"/>
    <w:rsid w:val="001566F4"/>
    <w:rsid w:val="00160A2B"/>
    <w:rsid w:val="00162434"/>
    <w:rsid w:val="00162ECA"/>
    <w:rsid w:val="00166059"/>
    <w:rsid w:val="00166169"/>
    <w:rsid w:val="0016660C"/>
    <w:rsid w:val="00166D5B"/>
    <w:rsid w:val="0016708C"/>
    <w:rsid w:val="00176D25"/>
    <w:rsid w:val="00183E82"/>
    <w:rsid w:val="001878BB"/>
    <w:rsid w:val="00190851"/>
    <w:rsid w:val="00191AE0"/>
    <w:rsid w:val="0019293B"/>
    <w:rsid w:val="00193B79"/>
    <w:rsid w:val="0019426B"/>
    <w:rsid w:val="00195670"/>
    <w:rsid w:val="00195D1E"/>
    <w:rsid w:val="00197C9B"/>
    <w:rsid w:val="001A0663"/>
    <w:rsid w:val="001A2524"/>
    <w:rsid w:val="001A52B3"/>
    <w:rsid w:val="001A57B0"/>
    <w:rsid w:val="001A5CC8"/>
    <w:rsid w:val="001A6A4B"/>
    <w:rsid w:val="001A7BF4"/>
    <w:rsid w:val="001B18C8"/>
    <w:rsid w:val="001B2D30"/>
    <w:rsid w:val="001B56AF"/>
    <w:rsid w:val="001B599E"/>
    <w:rsid w:val="001B7481"/>
    <w:rsid w:val="001C0865"/>
    <w:rsid w:val="001C0AED"/>
    <w:rsid w:val="001C2427"/>
    <w:rsid w:val="001C3ABA"/>
    <w:rsid w:val="001C5111"/>
    <w:rsid w:val="001C633F"/>
    <w:rsid w:val="001D0DEB"/>
    <w:rsid w:val="001D1782"/>
    <w:rsid w:val="001D3545"/>
    <w:rsid w:val="001E02BE"/>
    <w:rsid w:val="001E10B4"/>
    <w:rsid w:val="001E3844"/>
    <w:rsid w:val="001E38A3"/>
    <w:rsid w:val="001E4DC1"/>
    <w:rsid w:val="001E5A2C"/>
    <w:rsid w:val="001E7BE8"/>
    <w:rsid w:val="001F0248"/>
    <w:rsid w:val="001F0591"/>
    <w:rsid w:val="001F1DF5"/>
    <w:rsid w:val="001F3EB3"/>
    <w:rsid w:val="001F4F86"/>
    <w:rsid w:val="001F5828"/>
    <w:rsid w:val="002014B1"/>
    <w:rsid w:val="0020189A"/>
    <w:rsid w:val="00202C2C"/>
    <w:rsid w:val="00202D7F"/>
    <w:rsid w:val="00203050"/>
    <w:rsid w:val="0020397E"/>
    <w:rsid w:val="00203A2B"/>
    <w:rsid w:val="00204AE0"/>
    <w:rsid w:val="00205EB6"/>
    <w:rsid w:val="002106F3"/>
    <w:rsid w:val="002110C4"/>
    <w:rsid w:val="002135AB"/>
    <w:rsid w:val="002144BE"/>
    <w:rsid w:val="00214A47"/>
    <w:rsid w:val="00217B13"/>
    <w:rsid w:val="00221CE2"/>
    <w:rsid w:val="00224567"/>
    <w:rsid w:val="00226F02"/>
    <w:rsid w:val="00227711"/>
    <w:rsid w:val="002306AA"/>
    <w:rsid w:val="00231F57"/>
    <w:rsid w:val="002320B8"/>
    <w:rsid w:val="002350AE"/>
    <w:rsid w:val="00236D65"/>
    <w:rsid w:val="00240ACE"/>
    <w:rsid w:val="00240DB2"/>
    <w:rsid w:val="0024132C"/>
    <w:rsid w:val="00242279"/>
    <w:rsid w:val="00243997"/>
    <w:rsid w:val="0024516C"/>
    <w:rsid w:val="0024561B"/>
    <w:rsid w:val="00245C82"/>
    <w:rsid w:val="00245F24"/>
    <w:rsid w:val="002513F2"/>
    <w:rsid w:val="00253290"/>
    <w:rsid w:val="002538EA"/>
    <w:rsid w:val="002549B6"/>
    <w:rsid w:val="0025557C"/>
    <w:rsid w:val="00255962"/>
    <w:rsid w:val="00262211"/>
    <w:rsid w:val="00262B01"/>
    <w:rsid w:val="002638F6"/>
    <w:rsid w:val="00265171"/>
    <w:rsid w:val="00270B56"/>
    <w:rsid w:val="002724BA"/>
    <w:rsid w:val="0027315E"/>
    <w:rsid w:val="00275BA3"/>
    <w:rsid w:val="002760B9"/>
    <w:rsid w:val="00276871"/>
    <w:rsid w:val="002773B9"/>
    <w:rsid w:val="002775F0"/>
    <w:rsid w:val="0028108F"/>
    <w:rsid w:val="00285395"/>
    <w:rsid w:val="00285A5D"/>
    <w:rsid w:val="0029010D"/>
    <w:rsid w:val="00291B40"/>
    <w:rsid w:val="002921DD"/>
    <w:rsid w:val="00293467"/>
    <w:rsid w:val="00294639"/>
    <w:rsid w:val="00294B7E"/>
    <w:rsid w:val="00294C70"/>
    <w:rsid w:val="00295BA8"/>
    <w:rsid w:val="00296126"/>
    <w:rsid w:val="002A09FF"/>
    <w:rsid w:val="002A22BC"/>
    <w:rsid w:val="002A4490"/>
    <w:rsid w:val="002A4F63"/>
    <w:rsid w:val="002A7F0C"/>
    <w:rsid w:val="002B3032"/>
    <w:rsid w:val="002B4008"/>
    <w:rsid w:val="002B5662"/>
    <w:rsid w:val="002C15C7"/>
    <w:rsid w:val="002C1A58"/>
    <w:rsid w:val="002C4284"/>
    <w:rsid w:val="002C439F"/>
    <w:rsid w:val="002C45E2"/>
    <w:rsid w:val="002C4BDD"/>
    <w:rsid w:val="002C5A8C"/>
    <w:rsid w:val="002C6164"/>
    <w:rsid w:val="002C6BBC"/>
    <w:rsid w:val="002C785B"/>
    <w:rsid w:val="002D0C42"/>
    <w:rsid w:val="002D0E8E"/>
    <w:rsid w:val="002D100F"/>
    <w:rsid w:val="002D3588"/>
    <w:rsid w:val="002D4173"/>
    <w:rsid w:val="002D4C3B"/>
    <w:rsid w:val="002D6DB9"/>
    <w:rsid w:val="002D76B7"/>
    <w:rsid w:val="002E1480"/>
    <w:rsid w:val="002E32E8"/>
    <w:rsid w:val="002E3396"/>
    <w:rsid w:val="002E3405"/>
    <w:rsid w:val="002E3AA4"/>
    <w:rsid w:val="002F120F"/>
    <w:rsid w:val="002F26F3"/>
    <w:rsid w:val="002F47DF"/>
    <w:rsid w:val="00300A02"/>
    <w:rsid w:val="00301189"/>
    <w:rsid w:val="00301E4A"/>
    <w:rsid w:val="003024E7"/>
    <w:rsid w:val="0031039B"/>
    <w:rsid w:val="003103C3"/>
    <w:rsid w:val="00311DE1"/>
    <w:rsid w:val="00311FA8"/>
    <w:rsid w:val="00312931"/>
    <w:rsid w:val="003168B8"/>
    <w:rsid w:val="0032279E"/>
    <w:rsid w:val="00322D64"/>
    <w:rsid w:val="00323E09"/>
    <w:rsid w:val="003241EB"/>
    <w:rsid w:val="003248FC"/>
    <w:rsid w:val="003265B7"/>
    <w:rsid w:val="00326A8F"/>
    <w:rsid w:val="00327D53"/>
    <w:rsid w:val="00327E3E"/>
    <w:rsid w:val="00333932"/>
    <w:rsid w:val="00334466"/>
    <w:rsid w:val="00335D9A"/>
    <w:rsid w:val="00337E34"/>
    <w:rsid w:val="0034167A"/>
    <w:rsid w:val="0034305D"/>
    <w:rsid w:val="00343461"/>
    <w:rsid w:val="00347D26"/>
    <w:rsid w:val="003500C4"/>
    <w:rsid w:val="003518AA"/>
    <w:rsid w:val="00352165"/>
    <w:rsid w:val="003524F1"/>
    <w:rsid w:val="00353182"/>
    <w:rsid w:val="003565D9"/>
    <w:rsid w:val="003602E1"/>
    <w:rsid w:val="00366F73"/>
    <w:rsid w:val="0037026F"/>
    <w:rsid w:val="003704E1"/>
    <w:rsid w:val="00371240"/>
    <w:rsid w:val="00372F0E"/>
    <w:rsid w:val="00374731"/>
    <w:rsid w:val="00376E59"/>
    <w:rsid w:val="00377EC1"/>
    <w:rsid w:val="00380340"/>
    <w:rsid w:val="0038191F"/>
    <w:rsid w:val="00383B1D"/>
    <w:rsid w:val="003854B7"/>
    <w:rsid w:val="003919F9"/>
    <w:rsid w:val="003920CF"/>
    <w:rsid w:val="0039587B"/>
    <w:rsid w:val="00395B39"/>
    <w:rsid w:val="003A04F5"/>
    <w:rsid w:val="003A2F21"/>
    <w:rsid w:val="003A4E54"/>
    <w:rsid w:val="003A7AFD"/>
    <w:rsid w:val="003B0A6A"/>
    <w:rsid w:val="003B21B0"/>
    <w:rsid w:val="003B23C2"/>
    <w:rsid w:val="003B2A80"/>
    <w:rsid w:val="003B5BB7"/>
    <w:rsid w:val="003B66C4"/>
    <w:rsid w:val="003C04D5"/>
    <w:rsid w:val="003C1C6D"/>
    <w:rsid w:val="003C38B5"/>
    <w:rsid w:val="003C3F8A"/>
    <w:rsid w:val="003C4B47"/>
    <w:rsid w:val="003C5D99"/>
    <w:rsid w:val="003C7C25"/>
    <w:rsid w:val="003D0022"/>
    <w:rsid w:val="003D1087"/>
    <w:rsid w:val="003D69F7"/>
    <w:rsid w:val="003D769F"/>
    <w:rsid w:val="003E079D"/>
    <w:rsid w:val="003E118B"/>
    <w:rsid w:val="003E2F59"/>
    <w:rsid w:val="003E746B"/>
    <w:rsid w:val="003E7FD4"/>
    <w:rsid w:val="003F0789"/>
    <w:rsid w:val="003F4239"/>
    <w:rsid w:val="003F4C67"/>
    <w:rsid w:val="00400383"/>
    <w:rsid w:val="00401360"/>
    <w:rsid w:val="0040146E"/>
    <w:rsid w:val="00401882"/>
    <w:rsid w:val="00403B3D"/>
    <w:rsid w:val="004100C8"/>
    <w:rsid w:val="0041062C"/>
    <w:rsid w:val="00411DBD"/>
    <w:rsid w:val="00412ACE"/>
    <w:rsid w:val="004145D2"/>
    <w:rsid w:val="00414936"/>
    <w:rsid w:val="00417B07"/>
    <w:rsid w:val="00417C07"/>
    <w:rsid w:val="00421FD9"/>
    <w:rsid w:val="00423E6B"/>
    <w:rsid w:val="00424FA0"/>
    <w:rsid w:val="00425128"/>
    <w:rsid w:val="00426CB4"/>
    <w:rsid w:val="00427BAC"/>
    <w:rsid w:val="00427EE0"/>
    <w:rsid w:val="00431249"/>
    <w:rsid w:val="00434C19"/>
    <w:rsid w:val="00435650"/>
    <w:rsid w:val="00440CAF"/>
    <w:rsid w:val="004443B8"/>
    <w:rsid w:val="00450810"/>
    <w:rsid w:val="00451A60"/>
    <w:rsid w:val="00452981"/>
    <w:rsid w:val="00454FC0"/>
    <w:rsid w:val="0046038E"/>
    <w:rsid w:val="00460F20"/>
    <w:rsid w:val="00461BBF"/>
    <w:rsid w:val="00461C3D"/>
    <w:rsid w:val="0046226F"/>
    <w:rsid w:val="00462C59"/>
    <w:rsid w:val="00463FB2"/>
    <w:rsid w:val="004653BC"/>
    <w:rsid w:val="0046543B"/>
    <w:rsid w:val="00470737"/>
    <w:rsid w:val="004725F2"/>
    <w:rsid w:val="00476E7F"/>
    <w:rsid w:val="00476EBA"/>
    <w:rsid w:val="00477144"/>
    <w:rsid w:val="004856E1"/>
    <w:rsid w:val="0048615C"/>
    <w:rsid w:val="004871E0"/>
    <w:rsid w:val="00491380"/>
    <w:rsid w:val="00492E0F"/>
    <w:rsid w:val="0049459F"/>
    <w:rsid w:val="00495C51"/>
    <w:rsid w:val="00496B81"/>
    <w:rsid w:val="00497C75"/>
    <w:rsid w:val="004A1623"/>
    <w:rsid w:val="004A2259"/>
    <w:rsid w:val="004A38DD"/>
    <w:rsid w:val="004A48E8"/>
    <w:rsid w:val="004A5E92"/>
    <w:rsid w:val="004A74CE"/>
    <w:rsid w:val="004B13D8"/>
    <w:rsid w:val="004B43AE"/>
    <w:rsid w:val="004B73A2"/>
    <w:rsid w:val="004C05FE"/>
    <w:rsid w:val="004C30ED"/>
    <w:rsid w:val="004C435E"/>
    <w:rsid w:val="004C6BEC"/>
    <w:rsid w:val="004D0604"/>
    <w:rsid w:val="004D3126"/>
    <w:rsid w:val="004D33AA"/>
    <w:rsid w:val="004D5675"/>
    <w:rsid w:val="004E0E16"/>
    <w:rsid w:val="004E1F1C"/>
    <w:rsid w:val="004E3013"/>
    <w:rsid w:val="004E358B"/>
    <w:rsid w:val="004E4659"/>
    <w:rsid w:val="004F0A82"/>
    <w:rsid w:val="004F2775"/>
    <w:rsid w:val="004F360A"/>
    <w:rsid w:val="004F45EA"/>
    <w:rsid w:val="004F4CAC"/>
    <w:rsid w:val="004F524C"/>
    <w:rsid w:val="005005FD"/>
    <w:rsid w:val="005014A1"/>
    <w:rsid w:val="00501CC8"/>
    <w:rsid w:val="00502344"/>
    <w:rsid w:val="005105DD"/>
    <w:rsid w:val="005112A4"/>
    <w:rsid w:val="0051306E"/>
    <w:rsid w:val="00514674"/>
    <w:rsid w:val="00517214"/>
    <w:rsid w:val="00517795"/>
    <w:rsid w:val="0052067E"/>
    <w:rsid w:val="0052117C"/>
    <w:rsid w:val="00523639"/>
    <w:rsid w:val="005252E3"/>
    <w:rsid w:val="00531FE5"/>
    <w:rsid w:val="005326BE"/>
    <w:rsid w:val="005402FA"/>
    <w:rsid w:val="005411D8"/>
    <w:rsid w:val="00541E1A"/>
    <w:rsid w:val="00542053"/>
    <w:rsid w:val="00546D76"/>
    <w:rsid w:val="005472FE"/>
    <w:rsid w:val="005517ED"/>
    <w:rsid w:val="0055491F"/>
    <w:rsid w:val="00555A07"/>
    <w:rsid w:val="00561065"/>
    <w:rsid w:val="005621C3"/>
    <w:rsid w:val="0057055C"/>
    <w:rsid w:val="005713F8"/>
    <w:rsid w:val="005729BD"/>
    <w:rsid w:val="00573437"/>
    <w:rsid w:val="00573BE3"/>
    <w:rsid w:val="0057429D"/>
    <w:rsid w:val="0057476E"/>
    <w:rsid w:val="005757E0"/>
    <w:rsid w:val="00580154"/>
    <w:rsid w:val="00580575"/>
    <w:rsid w:val="00580B73"/>
    <w:rsid w:val="00581946"/>
    <w:rsid w:val="00583C39"/>
    <w:rsid w:val="00585F5C"/>
    <w:rsid w:val="00586A90"/>
    <w:rsid w:val="00587F28"/>
    <w:rsid w:val="0059022E"/>
    <w:rsid w:val="00590437"/>
    <w:rsid w:val="005909CF"/>
    <w:rsid w:val="005915E7"/>
    <w:rsid w:val="00591E71"/>
    <w:rsid w:val="00594336"/>
    <w:rsid w:val="00595F9F"/>
    <w:rsid w:val="00597BDB"/>
    <w:rsid w:val="005A00C6"/>
    <w:rsid w:val="005A0D41"/>
    <w:rsid w:val="005A1943"/>
    <w:rsid w:val="005A53B3"/>
    <w:rsid w:val="005A6244"/>
    <w:rsid w:val="005B0A06"/>
    <w:rsid w:val="005B0C9A"/>
    <w:rsid w:val="005B2E8E"/>
    <w:rsid w:val="005B45E7"/>
    <w:rsid w:val="005B5FBB"/>
    <w:rsid w:val="005B6DA6"/>
    <w:rsid w:val="005B7825"/>
    <w:rsid w:val="005C4481"/>
    <w:rsid w:val="005D0B62"/>
    <w:rsid w:val="005D161F"/>
    <w:rsid w:val="005D329F"/>
    <w:rsid w:val="005D6017"/>
    <w:rsid w:val="005D6084"/>
    <w:rsid w:val="005D6540"/>
    <w:rsid w:val="005D6807"/>
    <w:rsid w:val="005E13CF"/>
    <w:rsid w:val="005E45FD"/>
    <w:rsid w:val="005E4B78"/>
    <w:rsid w:val="005F10FC"/>
    <w:rsid w:val="005F1594"/>
    <w:rsid w:val="005F2CDF"/>
    <w:rsid w:val="005F2E87"/>
    <w:rsid w:val="005F3484"/>
    <w:rsid w:val="005F470F"/>
    <w:rsid w:val="005F48ED"/>
    <w:rsid w:val="006017E7"/>
    <w:rsid w:val="00601A40"/>
    <w:rsid w:val="006053E5"/>
    <w:rsid w:val="00606E78"/>
    <w:rsid w:val="00607BF1"/>
    <w:rsid w:val="00610491"/>
    <w:rsid w:val="00612C2D"/>
    <w:rsid w:val="006166E9"/>
    <w:rsid w:val="006205D1"/>
    <w:rsid w:val="006217D1"/>
    <w:rsid w:val="006218B7"/>
    <w:rsid w:val="00623046"/>
    <w:rsid w:val="00625661"/>
    <w:rsid w:val="00625DF5"/>
    <w:rsid w:val="0062621E"/>
    <w:rsid w:val="00630D4D"/>
    <w:rsid w:val="00632301"/>
    <w:rsid w:val="00632A74"/>
    <w:rsid w:val="00632D65"/>
    <w:rsid w:val="00633B7C"/>
    <w:rsid w:val="00633CCF"/>
    <w:rsid w:val="006410AA"/>
    <w:rsid w:val="006453C3"/>
    <w:rsid w:val="00653B4F"/>
    <w:rsid w:val="00654D42"/>
    <w:rsid w:val="006551F2"/>
    <w:rsid w:val="006562E1"/>
    <w:rsid w:val="00656C88"/>
    <w:rsid w:val="00660BA2"/>
    <w:rsid w:val="00663D03"/>
    <w:rsid w:val="00666D98"/>
    <w:rsid w:val="00666E02"/>
    <w:rsid w:val="006754FF"/>
    <w:rsid w:val="00683D79"/>
    <w:rsid w:val="006844E1"/>
    <w:rsid w:val="006866A6"/>
    <w:rsid w:val="00687354"/>
    <w:rsid w:val="00692092"/>
    <w:rsid w:val="006937E9"/>
    <w:rsid w:val="00694FD0"/>
    <w:rsid w:val="00695077"/>
    <w:rsid w:val="0069643D"/>
    <w:rsid w:val="006977FB"/>
    <w:rsid w:val="006A4174"/>
    <w:rsid w:val="006A4655"/>
    <w:rsid w:val="006A524D"/>
    <w:rsid w:val="006B21C8"/>
    <w:rsid w:val="006B2B3C"/>
    <w:rsid w:val="006B2E90"/>
    <w:rsid w:val="006B3A70"/>
    <w:rsid w:val="006B4CCE"/>
    <w:rsid w:val="006B6FCA"/>
    <w:rsid w:val="006B75F9"/>
    <w:rsid w:val="006C1D81"/>
    <w:rsid w:val="006C2572"/>
    <w:rsid w:val="006C3036"/>
    <w:rsid w:val="006C3B53"/>
    <w:rsid w:val="006C56D1"/>
    <w:rsid w:val="006C7038"/>
    <w:rsid w:val="006D0C4F"/>
    <w:rsid w:val="006D1B25"/>
    <w:rsid w:val="006D27FB"/>
    <w:rsid w:val="006D4934"/>
    <w:rsid w:val="006E14B6"/>
    <w:rsid w:val="006E6E2A"/>
    <w:rsid w:val="006E73EF"/>
    <w:rsid w:val="006F0355"/>
    <w:rsid w:val="006F03D1"/>
    <w:rsid w:val="006F2BD7"/>
    <w:rsid w:val="00700F1D"/>
    <w:rsid w:val="00701929"/>
    <w:rsid w:val="00703DFF"/>
    <w:rsid w:val="007079C9"/>
    <w:rsid w:val="00711ED9"/>
    <w:rsid w:val="00714D4D"/>
    <w:rsid w:val="0071565E"/>
    <w:rsid w:val="00715DFC"/>
    <w:rsid w:val="00715E66"/>
    <w:rsid w:val="007207D0"/>
    <w:rsid w:val="007260A7"/>
    <w:rsid w:val="007266D3"/>
    <w:rsid w:val="0073037C"/>
    <w:rsid w:val="00730846"/>
    <w:rsid w:val="00732029"/>
    <w:rsid w:val="00732170"/>
    <w:rsid w:val="007321BC"/>
    <w:rsid w:val="00734CE4"/>
    <w:rsid w:val="007374DE"/>
    <w:rsid w:val="00740386"/>
    <w:rsid w:val="00743135"/>
    <w:rsid w:val="00745DE9"/>
    <w:rsid w:val="007473D4"/>
    <w:rsid w:val="00757E3B"/>
    <w:rsid w:val="007604BB"/>
    <w:rsid w:val="00762063"/>
    <w:rsid w:val="00772909"/>
    <w:rsid w:val="0077780F"/>
    <w:rsid w:val="007801F8"/>
    <w:rsid w:val="007805B2"/>
    <w:rsid w:val="00784C48"/>
    <w:rsid w:val="00785232"/>
    <w:rsid w:val="007872BB"/>
    <w:rsid w:val="00791CC0"/>
    <w:rsid w:val="0079701E"/>
    <w:rsid w:val="0079715F"/>
    <w:rsid w:val="007A21EB"/>
    <w:rsid w:val="007A3BF1"/>
    <w:rsid w:val="007A7E6B"/>
    <w:rsid w:val="007B087C"/>
    <w:rsid w:val="007B1A93"/>
    <w:rsid w:val="007B2CE4"/>
    <w:rsid w:val="007B37A4"/>
    <w:rsid w:val="007B425F"/>
    <w:rsid w:val="007B57BF"/>
    <w:rsid w:val="007B6215"/>
    <w:rsid w:val="007B7C17"/>
    <w:rsid w:val="007C234B"/>
    <w:rsid w:val="007C36C9"/>
    <w:rsid w:val="007C406F"/>
    <w:rsid w:val="007C5A55"/>
    <w:rsid w:val="007C6133"/>
    <w:rsid w:val="007C7BE2"/>
    <w:rsid w:val="007D03E4"/>
    <w:rsid w:val="007D6401"/>
    <w:rsid w:val="007D7C56"/>
    <w:rsid w:val="007E01E4"/>
    <w:rsid w:val="007E435A"/>
    <w:rsid w:val="007E58C8"/>
    <w:rsid w:val="007E5DB4"/>
    <w:rsid w:val="007E7A12"/>
    <w:rsid w:val="007F21B9"/>
    <w:rsid w:val="007F2792"/>
    <w:rsid w:val="007F58AF"/>
    <w:rsid w:val="007F62B1"/>
    <w:rsid w:val="007F7107"/>
    <w:rsid w:val="008008D5"/>
    <w:rsid w:val="00800D4C"/>
    <w:rsid w:val="00803482"/>
    <w:rsid w:val="00807425"/>
    <w:rsid w:val="00807FE7"/>
    <w:rsid w:val="0081030F"/>
    <w:rsid w:val="0081116F"/>
    <w:rsid w:val="00812C9E"/>
    <w:rsid w:val="00812F4A"/>
    <w:rsid w:val="00813F62"/>
    <w:rsid w:val="008203C3"/>
    <w:rsid w:val="0082087D"/>
    <w:rsid w:val="00826633"/>
    <w:rsid w:val="00830E1C"/>
    <w:rsid w:val="00832AAA"/>
    <w:rsid w:val="00832FB2"/>
    <w:rsid w:val="00834330"/>
    <w:rsid w:val="00835771"/>
    <w:rsid w:val="00836192"/>
    <w:rsid w:val="00837516"/>
    <w:rsid w:val="00837980"/>
    <w:rsid w:val="00841E6F"/>
    <w:rsid w:val="00842933"/>
    <w:rsid w:val="008445E5"/>
    <w:rsid w:val="008476C1"/>
    <w:rsid w:val="008533F2"/>
    <w:rsid w:val="00853CD0"/>
    <w:rsid w:val="00854FEF"/>
    <w:rsid w:val="008566CF"/>
    <w:rsid w:val="00860022"/>
    <w:rsid w:val="0086082C"/>
    <w:rsid w:val="00861D28"/>
    <w:rsid w:val="00862343"/>
    <w:rsid w:val="00863420"/>
    <w:rsid w:val="00863C42"/>
    <w:rsid w:val="00864ADC"/>
    <w:rsid w:val="00871482"/>
    <w:rsid w:val="008732DF"/>
    <w:rsid w:val="0087348F"/>
    <w:rsid w:val="00875B4A"/>
    <w:rsid w:val="00880153"/>
    <w:rsid w:val="00880F97"/>
    <w:rsid w:val="0088133A"/>
    <w:rsid w:val="00883477"/>
    <w:rsid w:val="0088702B"/>
    <w:rsid w:val="00890B07"/>
    <w:rsid w:val="0089285E"/>
    <w:rsid w:val="008935D3"/>
    <w:rsid w:val="0089436C"/>
    <w:rsid w:val="008966C2"/>
    <w:rsid w:val="008A04C8"/>
    <w:rsid w:val="008A3FD4"/>
    <w:rsid w:val="008A57F3"/>
    <w:rsid w:val="008A5BD3"/>
    <w:rsid w:val="008A622C"/>
    <w:rsid w:val="008A759B"/>
    <w:rsid w:val="008B10E2"/>
    <w:rsid w:val="008B1F77"/>
    <w:rsid w:val="008B3DCE"/>
    <w:rsid w:val="008B6463"/>
    <w:rsid w:val="008B653A"/>
    <w:rsid w:val="008C0187"/>
    <w:rsid w:val="008C1872"/>
    <w:rsid w:val="008C366D"/>
    <w:rsid w:val="008C3958"/>
    <w:rsid w:val="008C44D3"/>
    <w:rsid w:val="008C450A"/>
    <w:rsid w:val="008D27EB"/>
    <w:rsid w:val="008D2C4A"/>
    <w:rsid w:val="008D356E"/>
    <w:rsid w:val="008D365C"/>
    <w:rsid w:val="008D7622"/>
    <w:rsid w:val="008D7903"/>
    <w:rsid w:val="008E32AF"/>
    <w:rsid w:val="008F2096"/>
    <w:rsid w:val="008F29A2"/>
    <w:rsid w:val="008F64F8"/>
    <w:rsid w:val="008F659A"/>
    <w:rsid w:val="008F6F94"/>
    <w:rsid w:val="009001EE"/>
    <w:rsid w:val="009021A6"/>
    <w:rsid w:val="009030BF"/>
    <w:rsid w:val="00903AE7"/>
    <w:rsid w:val="00903B52"/>
    <w:rsid w:val="009040E8"/>
    <w:rsid w:val="00906A8C"/>
    <w:rsid w:val="0091032F"/>
    <w:rsid w:val="0091091A"/>
    <w:rsid w:val="0091273A"/>
    <w:rsid w:val="00912992"/>
    <w:rsid w:val="00912DEB"/>
    <w:rsid w:val="00913B31"/>
    <w:rsid w:val="00914368"/>
    <w:rsid w:val="00914602"/>
    <w:rsid w:val="00920637"/>
    <w:rsid w:val="00924ED5"/>
    <w:rsid w:val="00931076"/>
    <w:rsid w:val="009345D9"/>
    <w:rsid w:val="00934B15"/>
    <w:rsid w:val="00936B68"/>
    <w:rsid w:val="00940C87"/>
    <w:rsid w:val="009420EF"/>
    <w:rsid w:val="00942137"/>
    <w:rsid w:val="00942B62"/>
    <w:rsid w:val="00944A1C"/>
    <w:rsid w:val="00951EE1"/>
    <w:rsid w:val="0095323B"/>
    <w:rsid w:val="009533EB"/>
    <w:rsid w:val="00953AB3"/>
    <w:rsid w:val="00956A0C"/>
    <w:rsid w:val="00956BD9"/>
    <w:rsid w:val="00957173"/>
    <w:rsid w:val="009578AD"/>
    <w:rsid w:val="00962489"/>
    <w:rsid w:val="0096315D"/>
    <w:rsid w:val="009672BD"/>
    <w:rsid w:val="009672CC"/>
    <w:rsid w:val="00967AD7"/>
    <w:rsid w:val="00967CD3"/>
    <w:rsid w:val="00971F99"/>
    <w:rsid w:val="00976F25"/>
    <w:rsid w:val="009801B0"/>
    <w:rsid w:val="0098127C"/>
    <w:rsid w:val="00982244"/>
    <w:rsid w:val="00982559"/>
    <w:rsid w:val="00983859"/>
    <w:rsid w:val="009848C5"/>
    <w:rsid w:val="0098650A"/>
    <w:rsid w:val="0098651B"/>
    <w:rsid w:val="00986F34"/>
    <w:rsid w:val="00987BD7"/>
    <w:rsid w:val="00990C2C"/>
    <w:rsid w:val="00994091"/>
    <w:rsid w:val="009947CC"/>
    <w:rsid w:val="00994967"/>
    <w:rsid w:val="0099497E"/>
    <w:rsid w:val="00994A1C"/>
    <w:rsid w:val="009A3007"/>
    <w:rsid w:val="009A4E9A"/>
    <w:rsid w:val="009A4EEC"/>
    <w:rsid w:val="009A5171"/>
    <w:rsid w:val="009A7D1A"/>
    <w:rsid w:val="009B08E9"/>
    <w:rsid w:val="009B09F8"/>
    <w:rsid w:val="009B17E1"/>
    <w:rsid w:val="009B37AF"/>
    <w:rsid w:val="009B3E08"/>
    <w:rsid w:val="009B4876"/>
    <w:rsid w:val="009B5046"/>
    <w:rsid w:val="009B6229"/>
    <w:rsid w:val="009C53BB"/>
    <w:rsid w:val="009D0011"/>
    <w:rsid w:val="009D1803"/>
    <w:rsid w:val="009D3FFE"/>
    <w:rsid w:val="009D5647"/>
    <w:rsid w:val="009D5FD5"/>
    <w:rsid w:val="009E0177"/>
    <w:rsid w:val="009E1844"/>
    <w:rsid w:val="009E2A55"/>
    <w:rsid w:val="009E2FAC"/>
    <w:rsid w:val="009E4B0B"/>
    <w:rsid w:val="009E513B"/>
    <w:rsid w:val="009F0D1B"/>
    <w:rsid w:val="009F312A"/>
    <w:rsid w:val="009F328B"/>
    <w:rsid w:val="009F53DD"/>
    <w:rsid w:val="009F58F5"/>
    <w:rsid w:val="009F5BBD"/>
    <w:rsid w:val="009F696D"/>
    <w:rsid w:val="009F6BC6"/>
    <w:rsid w:val="009F74EF"/>
    <w:rsid w:val="009F7997"/>
    <w:rsid w:val="00A0050B"/>
    <w:rsid w:val="00A00B2B"/>
    <w:rsid w:val="00A01490"/>
    <w:rsid w:val="00A017A7"/>
    <w:rsid w:val="00A02826"/>
    <w:rsid w:val="00A04377"/>
    <w:rsid w:val="00A075BD"/>
    <w:rsid w:val="00A1094B"/>
    <w:rsid w:val="00A11CA8"/>
    <w:rsid w:val="00A11CF5"/>
    <w:rsid w:val="00A12A30"/>
    <w:rsid w:val="00A15D5A"/>
    <w:rsid w:val="00A17328"/>
    <w:rsid w:val="00A203A4"/>
    <w:rsid w:val="00A23A20"/>
    <w:rsid w:val="00A24443"/>
    <w:rsid w:val="00A26038"/>
    <w:rsid w:val="00A2683E"/>
    <w:rsid w:val="00A268B9"/>
    <w:rsid w:val="00A2703A"/>
    <w:rsid w:val="00A31603"/>
    <w:rsid w:val="00A33DFF"/>
    <w:rsid w:val="00A33FD9"/>
    <w:rsid w:val="00A34A43"/>
    <w:rsid w:val="00A35115"/>
    <w:rsid w:val="00A35D92"/>
    <w:rsid w:val="00A36D9A"/>
    <w:rsid w:val="00A37BEC"/>
    <w:rsid w:val="00A4197B"/>
    <w:rsid w:val="00A41B65"/>
    <w:rsid w:val="00A431FD"/>
    <w:rsid w:val="00A43815"/>
    <w:rsid w:val="00A451DC"/>
    <w:rsid w:val="00A46E36"/>
    <w:rsid w:val="00A47D74"/>
    <w:rsid w:val="00A47EF8"/>
    <w:rsid w:val="00A54C2B"/>
    <w:rsid w:val="00A554AB"/>
    <w:rsid w:val="00A57062"/>
    <w:rsid w:val="00A5769A"/>
    <w:rsid w:val="00A57726"/>
    <w:rsid w:val="00A66C47"/>
    <w:rsid w:val="00A67781"/>
    <w:rsid w:val="00A761F9"/>
    <w:rsid w:val="00A830AC"/>
    <w:rsid w:val="00A90E3E"/>
    <w:rsid w:val="00A92B53"/>
    <w:rsid w:val="00A93C6B"/>
    <w:rsid w:val="00A94FA6"/>
    <w:rsid w:val="00A961AC"/>
    <w:rsid w:val="00A96A0E"/>
    <w:rsid w:val="00AA49A0"/>
    <w:rsid w:val="00AA5FA9"/>
    <w:rsid w:val="00AA6710"/>
    <w:rsid w:val="00AA68C4"/>
    <w:rsid w:val="00AA7C25"/>
    <w:rsid w:val="00AB0681"/>
    <w:rsid w:val="00AB0C58"/>
    <w:rsid w:val="00AB767F"/>
    <w:rsid w:val="00AC0F93"/>
    <w:rsid w:val="00AC10C4"/>
    <w:rsid w:val="00AC151F"/>
    <w:rsid w:val="00AC26B4"/>
    <w:rsid w:val="00AC3A15"/>
    <w:rsid w:val="00AC6721"/>
    <w:rsid w:val="00AC6786"/>
    <w:rsid w:val="00AD103D"/>
    <w:rsid w:val="00AD162A"/>
    <w:rsid w:val="00AD36DD"/>
    <w:rsid w:val="00AD41D6"/>
    <w:rsid w:val="00AD520B"/>
    <w:rsid w:val="00AD5CE3"/>
    <w:rsid w:val="00AD63D9"/>
    <w:rsid w:val="00AE1D25"/>
    <w:rsid w:val="00AE31EA"/>
    <w:rsid w:val="00AE3BCC"/>
    <w:rsid w:val="00AE51B1"/>
    <w:rsid w:val="00AF19E8"/>
    <w:rsid w:val="00AF1B8C"/>
    <w:rsid w:val="00AF25A8"/>
    <w:rsid w:val="00AF39DD"/>
    <w:rsid w:val="00AF3CF7"/>
    <w:rsid w:val="00AF4C79"/>
    <w:rsid w:val="00AF63F6"/>
    <w:rsid w:val="00AF641E"/>
    <w:rsid w:val="00B02BDB"/>
    <w:rsid w:val="00B05ACA"/>
    <w:rsid w:val="00B11815"/>
    <w:rsid w:val="00B13360"/>
    <w:rsid w:val="00B14075"/>
    <w:rsid w:val="00B17B75"/>
    <w:rsid w:val="00B2156B"/>
    <w:rsid w:val="00B263BF"/>
    <w:rsid w:val="00B26AA8"/>
    <w:rsid w:val="00B30EDA"/>
    <w:rsid w:val="00B31C1C"/>
    <w:rsid w:val="00B3210A"/>
    <w:rsid w:val="00B34940"/>
    <w:rsid w:val="00B35E71"/>
    <w:rsid w:val="00B4019D"/>
    <w:rsid w:val="00B425C3"/>
    <w:rsid w:val="00B435A2"/>
    <w:rsid w:val="00B4373D"/>
    <w:rsid w:val="00B43EB4"/>
    <w:rsid w:val="00B440AD"/>
    <w:rsid w:val="00B479BB"/>
    <w:rsid w:val="00B47F5E"/>
    <w:rsid w:val="00B5012C"/>
    <w:rsid w:val="00B501B5"/>
    <w:rsid w:val="00B532A3"/>
    <w:rsid w:val="00B53E7E"/>
    <w:rsid w:val="00B54EDE"/>
    <w:rsid w:val="00B56FA5"/>
    <w:rsid w:val="00B608C2"/>
    <w:rsid w:val="00B63319"/>
    <w:rsid w:val="00B6342E"/>
    <w:rsid w:val="00B6440B"/>
    <w:rsid w:val="00B65759"/>
    <w:rsid w:val="00B67953"/>
    <w:rsid w:val="00B7113F"/>
    <w:rsid w:val="00B71935"/>
    <w:rsid w:val="00B74ADA"/>
    <w:rsid w:val="00B778FC"/>
    <w:rsid w:val="00B80C97"/>
    <w:rsid w:val="00B83C8E"/>
    <w:rsid w:val="00B843A4"/>
    <w:rsid w:val="00B86DDF"/>
    <w:rsid w:val="00B877C8"/>
    <w:rsid w:val="00B916B4"/>
    <w:rsid w:val="00B97CA2"/>
    <w:rsid w:val="00BA29A3"/>
    <w:rsid w:val="00BA2BCF"/>
    <w:rsid w:val="00BA5205"/>
    <w:rsid w:val="00BA5B14"/>
    <w:rsid w:val="00BA73B6"/>
    <w:rsid w:val="00BA7635"/>
    <w:rsid w:val="00BA7E27"/>
    <w:rsid w:val="00BB2603"/>
    <w:rsid w:val="00BB4A46"/>
    <w:rsid w:val="00BB4FCD"/>
    <w:rsid w:val="00BB550D"/>
    <w:rsid w:val="00BC04E9"/>
    <w:rsid w:val="00BC1016"/>
    <w:rsid w:val="00BC1C64"/>
    <w:rsid w:val="00BC2A4F"/>
    <w:rsid w:val="00BC2D3A"/>
    <w:rsid w:val="00BC6D6F"/>
    <w:rsid w:val="00BD13EA"/>
    <w:rsid w:val="00BD173F"/>
    <w:rsid w:val="00BD1B4D"/>
    <w:rsid w:val="00BD431B"/>
    <w:rsid w:val="00BD541D"/>
    <w:rsid w:val="00BD7866"/>
    <w:rsid w:val="00BE0ACB"/>
    <w:rsid w:val="00BE2996"/>
    <w:rsid w:val="00BE3808"/>
    <w:rsid w:val="00BE566F"/>
    <w:rsid w:val="00BF2667"/>
    <w:rsid w:val="00BF3634"/>
    <w:rsid w:val="00BF58CA"/>
    <w:rsid w:val="00BF7654"/>
    <w:rsid w:val="00BF7835"/>
    <w:rsid w:val="00BF7FAB"/>
    <w:rsid w:val="00C00548"/>
    <w:rsid w:val="00C012A8"/>
    <w:rsid w:val="00C017ED"/>
    <w:rsid w:val="00C02584"/>
    <w:rsid w:val="00C03B88"/>
    <w:rsid w:val="00C062E9"/>
    <w:rsid w:val="00C069AA"/>
    <w:rsid w:val="00C07B64"/>
    <w:rsid w:val="00C13721"/>
    <w:rsid w:val="00C13787"/>
    <w:rsid w:val="00C14FE4"/>
    <w:rsid w:val="00C162DB"/>
    <w:rsid w:val="00C16E2B"/>
    <w:rsid w:val="00C17CE9"/>
    <w:rsid w:val="00C20647"/>
    <w:rsid w:val="00C22A1A"/>
    <w:rsid w:val="00C23186"/>
    <w:rsid w:val="00C23916"/>
    <w:rsid w:val="00C300BF"/>
    <w:rsid w:val="00C3066D"/>
    <w:rsid w:val="00C3122E"/>
    <w:rsid w:val="00C31FAC"/>
    <w:rsid w:val="00C32438"/>
    <w:rsid w:val="00C33226"/>
    <w:rsid w:val="00C34719"/>
    <w:rsid w:val="00C37B20"/>
    <w:rsid w:val="00C42728"/>
    <w:rsid w:val="00C43A7E"/>
    <w:rsid w:val="00C44839"/>
    <w:rsid w:val="00C44F51"/>
    <w:rsid w:val="00C45435"/>
    <w:rsid w:val="00C51121"/>
    <w:rsid w:val="00C52416"/>
    <w:rsid w:val="00C528E9"/>
    <w:rsid w:val="00C543F4"/>
    <w:rsid w:val="00C6291C"/>
    <w:rsid w:val="00C633CB"/>
    <w:rsid w:val="00C64641"/>
    <w:rsid w:val="00C6623A"/>
    <w:rsid w:val="00C664CD"/>
    <w:rsid w:val="00C71E53"/>
    <w:rsid w:val="00C72D20"/>
    <w:rsid w:val="00C736B7"/>
    <w:rsid w:val="00C747E1"/>
    <w:rsid w:val="00C74CE7"/>
    <w:rsid w:val="00C75BD4"/>
    <w:rsid w:val="00C777CE"/>
    <w:rsid w:val="00C81ABC"/>
    <w:rsid w:val="00C81D4A"/>
    <w:rsid w:val="00C827EB"/>
    <w:rsid w:val="00C84B49"/>
    <w:rsid w:val="00C867E5"/>
    <w:rsid w:val="00C8762C"/>
    <w:rsid w:val="00C9047D"/>
    <w:rsid w:val="00C90BEB"/>
    <w:rsid w:val="00C92715"/>
    <w:rsid w:val="00C93DD3"/>
    <w:rsid w:val="00C96441"/>
    <w:rsid w:val="00C9787C"/>
    <w:rsid w:val="00CA00F9"/>
    <w:rsid w:val="00CA1563"/>
    <w:rsid w:val="00CA1C48"/>
    <w:rsid w:val="00CA2961"/>
    <w:rsid w:val="00CA2BDF"/>
    <w:rsid w:val="00CA3EAE"/>
    <w:rsid w:val="00CA66FC"/>
    <w:rsid w:val="00CB2D24"/>
    <w:rsid w:val="00CB307F"/>
    <w:rsid w:val="00CB3862"/>
    <w:rsid w:val="00CB3E4F"/>
    <w:rsid w:val="00CB50D7"/>
    <w:rsid w:val="00CB7177"/>
    <w:rsid w:val="00CB7CED"/>
    <w:rsid w:val="00CC070F"/>
    <w:rsid w:val="00CC11C4"/>
    <w:rsid w:val="00CC1998"/>
    <w:rsid w:val="00CC1AC2"/>
    <w:rsid w:val="00CC29A2"/>
    <w:rsid w:val="00CC30E0"/>
    <w:rsid w:val="00CC4946"/>
    <w:rsid w:val="00CC64A1"/>
    <w:rsid w:val="00CC7D21"/>
    <w:rsid w:val="00CD1036"/>
    <w:rsid w:val="00CD27BC"/>
    <w:rsid w:val="00CD6F13"/>
    <w:rsid w:val="00CE1510"/>
    <w:rsid w:val="00CE5254"/>
    <w:rsid w:val="00CE5864"/>
    <w:rsid w:val="00CF3B11"/>
    <w:rsid w:val="00CF47F6"/>
    <w:rsid w:val="00CF5058"/>
    <w:rsid w:val="00CF59DB"/>
    <w:rsid w:val="00CF5D3D"/>
    <w:rsid w:val="00CF69F4"/>
    <w:rsid w:val="00D023B5"/>
    <w:rsid w:val="00D05F00"/>
    <w:rsid w:val="00D07225"/>
    <w:rsid w:val="00D100A8"/>
    <w:rsid w:val="00D10959"/>
    <w:rsid w:val="00D13ACF"/>
    <w:rsid w:val="00D14A06"/>
    <w:rsid w:val="00D15839"/>
    <w:rsid w:val="00D16F20"/>
    <w:rsid w:val="00D208A0"/>
    <w:rsid w:val="00D210FC"/>
    <w:rsid w:val="00D24364"/>
    <w:rsid w:val="00D2616C"/>
    <w:rsid w:val="00D270A4"/>
    <w:rsid w:val="00D270E9"/>
    <w:rsid w:val="00D27D8C"/>
    <w:rsid w:val="00D3036D"/>
    <w:rsid w:val="00D31FE9"/>
    <w:rsid w:val="00D33655"/>
    <w:rsid w:val="00D34E1B"/>
    <w:rsid w:val="00D35D6B"/>
    <w:rsid w:val="00D367CF"/>
    <w:rsid w:val="00D376BA"/>
    <w:rsid w:val="00D40906"/>
    <w:rsid w:val="00D41B55"/>
    <w:rsid w:val="00D434A0"/>
    <w:rsid w:val="00D43B19"/>
    <w:rsid w:val="00D45634"/>
    <w:rsid w:val="00D479CC"/>
    <w:rsid w:val="00D52A4C"/>
    <w:rsid w:val="00D53804"/>
    <w:rsid w:val="00D55238"/>
    <w:rsid w:val="00D555AA"/>
    <w:rsid w:val="00D5568A"/>
    <w:rsid w:val="00D6177E"/>
    <w:rsid w:val="00D61CD4"/>
    <w:rsid w:val="00D62D09"/>
    <w:rsid w:val="00D63D73"/>
    <w:rsid w:val="00D640B0"/>
    <w:rsid w:val="00D64452"/>
    <w:rsid w:val="00D65DC2"/>
    <w:rsid w:val="00D66859"/>
    <w:rsid w:val="00D66E1E"/>
    <w:rsid w:val="00D678C0"/>
    <w:rsid w:val="00D70696"/>
    <w:rsid w:val="00D72A87"/>
    <w:rsid w:val="00D72E71"/>
    <w:rsid w:val="00D73A18"/>
    <w:rsid w:val="00D7441C"/>
    <w:rsid w:val="00D75722"/>
    <w:rsid w:val="00D77092"/>
    <w:rsid w:val="00D80CF5"/>
    <w:rsid w:val="00D8710E"/>
    <w:rsid w:val="00D875E7"/>
    <w:rsid w:val="00D90F4F"/>
    <w:rsid w:val="00D921A6"/>
    <w:rsid w:val="00D94EF3"/>
    <w:rsid w:val="00D9703A"/>
    <w:rsid w:val="00DA1C64"/>
    <w:rsid w:val="00DA365C"/>
    <w:rsid w:val="00DA45BB"/>
    <w:rsid w:val="00DA5BBA"/>
    <w:rsid w:val="00DA62B6"/>
    <w:rsid w:val="00DA6584"/>
    <w:rsid w:val="00DB0979"/>
    <w:rsid w:val="00DB26D2"/>
    <w:rsid w:val="00DB3ABE"/>
    <w:rsid w:val="00DB3CC0"/>
    <w:rsid w:val="00DB67C9"/>
    <w:rsid w:val="00DB6FB4"/>
    <w:rsid w:val="00DC0C95"/>
    <w:rsid w:val="00DC2723"/>
    <w:rsid w:val="00DC2A97"/>
    <w:rsid w:val="00DC4F0B"/>
    <w:rsid w:val="00DD093A"/>
    <w:rsid w:val="00DD3829"/>
    <w:rsid w:val="00DD420B"/>
    <w:rsid w:val="00DD4B3C"/>
    <w:rsid w:val="00DD6580"/>
    <w:rsid w:val="00DE51A0"/>
    <w:rsid w:val="00DE6033"/>
    <w:rsid w:val="00DE75AC"/>
    <w:rsid w:val="00DE78D2"/>
    <w:rsid w:val="00DF1B5A"/>
    <w:rsid w:val="00E002EA"/>
    <w:rsid w:val="00E01D7F"/>
    <w:rsid w:val="00E03588"/>
    <w:rsid w:val="00E03D1C"/>
    <w:rsid w:val="00E05C03"/>
    <w:rsid w:val="00E06DEF"/>
    <w:rsid w:val="00E10278"/>
    <w:rsid w:val="00E106E1"/>
    <w:rsid w:val="00E14A47"/>
    <w:rsid w:val="00E16460"/>
    <w:rsid w:val="00E165DB"/>
    <w:rsid w:val="00E16C0A"/>
    <w:rsid w:val="00E16C3D"/>
    <w:rsid w:val="00E17C72"/>
    <w:rsid w:val="00E21FC6"/>
    <w:rsid w:val="00E247C9"/>
    <w:rsid w:val="00E27E45"/>
    <w:rsid w:val="00E30B93"/>
    <w:rsid w:val="00E329E5"/>
    <w:rsid w:val="00E33153"/>
    <w:rsid w:val="00E36481"/>
    <w:rsid w:val="00E378DE"/>
    <w:rsid w:val="00E424B6"/>
    <w:rsid w:val="00E42FDE"/>
    <w:rsid w:val="00E431A9"/>
    <w:rsid w:val="00E47DEE"/>
    <w:rsid w:val="00E47E1E"/>
    <w:rsid w:val="00E5030C"/>
    <w:rsid w:val="00E50ECE"/>
    <w:rsid w:val="00E51161"/>
    <w:rsid w:val="00E527AD"/>
    <w:rsid w:val="00E528DE"/>
    <w:rsid w:val="00E53A71"/>
    <w:rsid w:val="00E5434E"/>
    <w:rsid w:val="00E576A8"/>
    <w:rsid w:val="00E623E6"/>
    <w:rsid w:val="00E640B6"/>
    <w:rsid w:val="00E669E2"/>
    <w:rsid w:val="00E729E9"/>
    <w:rsid w:val="00E76135"/>
    <w:rsid w:val="00E80301"/>
    <w:rsid w:val="00E8054A"/>
    <w:rsid w:val="00E80EFA"/>
    <w:rsid w:val="00E813A1"/>
    <w:rsid w:val="00E817F3"/>
    <w:rsid w:val="00E818D3"/>
    <w:rsid w:val="00E82F4F"/>
    <w:rsid w:val="00E837AB"/>
    <w:rsid w:val="00E8464A"/>
    <w:rsid w:val="00E864DF"/>
    <w:rsid w:val="00E9287C"/>
    <w:rsid w:val="00E95996"/>
    <w:rsid w:val="00EA0A05"/>
    <w:rsid w:val="00EA235B"/>
    <w:rsid w:val="00EA2C32"/>
    <w:rsid w:val="00EA7A73"/>
    <w:rsid w:val="00EB2CC3"/>
    <w:rsid w:val="00EB38B6"/>
    <w:rsid w:val="00EB6796"/>
    <w:rsid w:val="00EC2844"/>
    <w:rsid w:val="00EC3694"/>
    <w:rsid w:val="00EC5500"/>
    <w:rsid w:val="00ED18F8"/>
    <w:rsid w:val="00ED26BE"/>
    <w:rsid w:val="00ED475E"/>
    <w:rsid w:val="00EE1406"/>
    <w:rsid w:val="00EE3394"/>
    <w:rsid w:val="00EE3C4B"/>
    <w:rsid w:val="00EE5416"/>
    <w:rsid w:val="00EE5A00"/>
    <w:rsid w:val="00EE6EDA"/>
    <w:rsid w:val="00EE745C"/>
    <w:rsid w:val="00EE778E"/>
    <w:rsid w:val="00EF4978"/>
    <w:rsid w:val="00EF6219"/>
    <w:rsid w:val="00EF6719"/>
    <w:rsid w:val="00EF6C6C"/>
    <w:rsid w:val="00EF7FA2"/>
    <w:rsid w:val="00F056FC"/>
    <w:rsid w:val="00F0632F"/>
    <w:rsid w:val="00F069AE"/>
    <w:rsid w:val="00F07AF2"/>
    <w:rsid w:val="00F10476"/>
    <w:rsid w:val="00F135D8"/>
    <w:rsid w:val="00F1630E"/>
    <w:rsid w:val="00F20E0B"/>
    <w:rsid w:val="00F2619E"/>
    <w:rsid w:val="00F264CD"/>
    <w:rsid w:val="00F26DC2"/>
    <w:rsid w:val="00F26F34"/>
    <w:rsid w:val="00F27FFE"/>
    <w:rsid w:val="00F31299"/>
    <w:rsid w:val="00F3534A"/>
    <w:rsid w:val="00F35BFB"/>
    <w:rsid w:val="00F36ACC"/>
    <w:rsid w:val="00F41423"/>
    <w:rsid w:val="00F479A6"/>
    <w:rsid w:val="00F51609"/>
    <w:rsid w:val="00F529F0"/>
    <w:rsid w:val="00F52CBA"/>
    <w:rsid w:val="00F55C25"/>
    <w:rsid w:val="00F55D31"/>
    <w:rsid w:val="00F60D3C"/>
    <w:rsid w:val="00F673E3"/>
    <w:rsid w:val="00F73727"/>
    <w:rsid w:val="00F766A7"/>
    <w:rsid w:val="00F773B1"/>
    <w:rsid w:val="00F81006"/>
    <w:rsid w:val="00F822C8"/>
    <w:rsid w:val="00F85325"/>
    <w:rsid w:val="00F86045"/>
    <w:rsid w:val="00F94224"/>
    <w:rsid w:val="00F9488B"/>
    <w:rsid w:val="00F95C0C"/>
    <w:rsid w:val="00FA1752"/>
    <w:rsid w:val="00FB2B17"/>
    <w:rsid w:val="00FB37A3"/>
    <w:rsid w:val="00FB4D9E"/>
    <w:rsid w:val="00FB7AE3"/>
    <w:rsid w:val="00FC1DE1"/>
    <w:rsid w:val="00FC4AE4"/>
    <w:rsid w:val="00FC50E1"/>
    <w:rsid w:val="00FC58D1"/>
    <w:rsid w:val="00FC5FC2"/>
    <w:rsid w:val="00FC6985"/>
    <w:rsid w:val="00FD0BC8"/>
    <w:rsid w:val="00FD1DD1"/>
    <w:rsid w:val="00FD22B1"/>
    <w:rsid w:val="00FD295C"/>
    <w:rsid w:val="00FD30FE"/>
    <w:rsid w:val="00FD33F1"/>
    <w:rsid w:val="00FD3566"/>
    <w:rsid w:val="00FD4E4D"/>
    <w:rsid w:val="00FD5DF8"/>
    <w:rsid w:val="00FE265A"/>
    <w:rsid w:val="00FE38D7"/>
    <w:rsid w:val="00FE3B28"/>
    <w:rsid w:val="00FE3C71"/>
    <w:rsid w:val="00FE4E2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748C7A3-DCB6-45AD-AF7A-6743C21B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4Char">
    <w:name w:val="Heading 4 Char"/>
    <w:basedOn w:val="DefaultParagraphFont"/>
    <w:link w:val="Heading4"/>
    <w:rsid w:val="00610491"/>
    <w:rPr>
      <w:rFonts w:ascii="Arial" w:hAnsi="Arial"/>
      <w:sz w:val="24"/>
    </w:rPr>
  </w:style>
  <w:style w:type="paragraph" w:styleId="CommentSubject">
    <w:name w:val="annotation subject"/>
    <w:basedOn w:val="CommentText"/>
    <w:next w:val="CommentText"/>
    <w:link w:val="CommentSubjectChar"/>
    <w:semiHidden/>
    <w:unhideWhenUsed/>
    <w:rsid w:val="005E13C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5E13CF"/>
    <w:rPr>
      <w:szCs w:val="24"/>
    </w:rPr>
  </w:style>
  <w:style w:type="character" w:customStyle="1" w:styleId="CommentSubjectChar">
    <w:name w:val="Comment Subject Char"/>
    <w:basedOn w:val="CommentTextChar"/>
    <w:link w:val="CommentSubject"/>
    <w:semiHidden/>
    <w:rsid w:val="005E13CF"/>
    <w:rPr>
      <w:b/>
      <w:bCs/>
      <w:szCs w:val="24"/>
    </w:rPr>
  </w:style>
  <w:style w:type="character" w:styleId="EndnoteReference">
    <w:name w:val="endnote reference"/>
    <w:basedOn w:val="DefaultParagraphFont"/>
    <w:semiHidden/>
    <w:unhideWhenUsed/>
    <w:rsid w:val="0024132C"/>
    <w:rPr>
      <w:vertAlign w:val="superscript"/>
    </w:rPr>
  </w:style>
  <w:style w:type="character" w:styleId="Hyperlink">
    <w:name w:val="Hyperlink"/>
    <w:basedOn w:val="DefaultParagraphFont"/>
    <w:unhideWhenUsed/>
    <w:rsid w:val="00E5030C"/>
    <w:rPr>
      <w:color w:val="000000" w:themeColor="hyperlink"/>
      <w:u w:val="single"/>
    </w:rPr>
  </w:style>
  <w:style w:type="paragraph" w:styleId="Revision">
    <w:name w:val="Revision"/>
    <w:hidden/>
    <w:uiPriority w:val="99"/>
    <w:semiHidden/>
    <w:rsid w:val="008E32AF"/>
    <w:rPr>
      <w:sz w:val="24"/>
      <w:szCs w:val="24"/>
    </w:rPr>
  </w:style>
  <w:style w:type="paragraph" w:styleId="Bibliography">
    <w:name w:val="Bibliography"/>
    <w:basedOn w:val="Normal"/>
    <w:next w:val="Normal"/>
    <w:uiPriority w:val="37"/>
    <w:unhideWhenUsed/>
    <w:rsid w:val="000633EE"/>
    <w:pPr>
      <w:spacing w:after="240"/>
      <w:ind w:left="720" w:hanging="720"/>
    </w:pPr>
  </w:style>
  <w:style w:type="paragraph" w:customStyle="1" w:styleId="Copyrightheading">
    <w:name w:val="Copyright heading"/>
    <w:basedOn w:val="TOC1"/>
    <w:link w:val="CopyrightheadingChar"/>
    <w:qFormat/>
    <w:rsid w:val="004D3126"/>
    <w:pPr>
      <w:spacing w:line="300" w:lineRule="exact"/>
    </w:pPr>
    <w:rPr>
      <w:sz w:val="22"/>
    </w:rPr>
  </w:style>
  <w:style w:type="character" w:customStyle="1" w:styleId="CopyrightheadingChar">
    <w:name w:val="Copyright heading Char"/>
    <w:basedOn w:val="DefaultParagraphFont"/>
    <w:link w:val="Copyrightheading"/>
    <w:rsid w:val="004D3126"/>
    <w:rPr>
      <w:rFonts w:ascii="Arial" w:hAnsi="Arial"/>
      <w:b/>
      <w:sz w:val="22"/>
      <w:szCs w:val="26"/>
      <w:lang w:eastAsia="en-US"/>
    </w:rPr>
  </w:style>
  <w:style w:type="paragraph" w:customStyle="1" w:styleId="Copyrightsubtitle">
    <w:name w:val="Copyright subtitle"/>
    <w:basedOn w:val="BodyText"/>
    <w:rsid w:val="004D3126"/>
    <w:rPr>
      <w:rFonts w:ascii="Arial" w:hAnsi="Arial"/>
      <w:b/>
      <w:sz w:val="22"/>
      <w:szCs w:val="25"/>
    </w:rPr>
  </w:style>
  <w:style w:type="paragraph" w:customStyle="1" w:styleId="Copyrightbodytext">
    <w:name w:val="Copyright bodytext"/>
    <w:basedOn w:val="BodyText"/>
    <w:link w:val="CopyrightbodytextChar"/>
    <w:qFormat/>
    <w:rsid w:val="004D3126"/>
    <w:pPr>
      <w:spacing w:before="60"/>
    </w:pPr>
  </w:style>
  <w:style w:type="character" w:customStyle="1" w:styleId="CopyrightbodytextChar">
    <w:name w:val="Copyright bodytext Char"/>
    <w:basedOn w:val="BodyTextChar"/>
    <w:link w:val="Copyrightbodytext"/>
    <w:rsid w:val="004D31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99112">
      <w:bodyDiv w:val="1"/>
      <w:marLeft w:val="0"/>
      <w:marRight w:val="0"/>
      <w:marTop w:val="0"/>
      <w:marBottom w:val="0"/>
      <w:divBdr>
        <w:top w:val="none" w:sz="0" w:space="0" w:color="auto"/>
        <w:left w:val="none" w:sz="0" w:space="0" w:color="auto"/>
        <w:bottom w:val="none" w:sz="0" w:space="0" w:color="auto"/>
        <w:right w:val="none" w:sz="0" w:space="0" w:color="auto"/>
      </w:divBdr>
    </w:div>
    <w:div w:id="1023165224">
      <w:bodyDiv w:val="1"/>
      <w:marLeft w:val="0"/>
      <w:marRight w:val="0"/>
      <w:marTop w:val="0"/>
      <w:marBottom w:val="0"/>
      <w:divBdr>
        <w:top w:val="none" w:sz="0" w:space="0" w:color="auto"/>
        <w:left w:val="none" w:sz="0" w:space="0" w:color="auto"/>
        <w:bottom w:val="none" w:sz="0" w:space="0" w:color="auto"/>
        <w:right w:val="none" w:sz="0" w:space="0" w:color="auto"/>
      </w:divBdr>
    </w:div>
    <w:div w:id="123358443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0da5c63-8548-4ac8-9616-83b0f373280e" ContentTypeId="0x010100D3A21470BE7AB346AB38A1E797824EF901" PreviousValue="false"/>
</file>

<file path=customXml/item4.xml><?xml version="1.0" encoding="utf-8"?>
<p:properties xmlns:p="http://schemas.microsoft.com/office/2006/metadata/properties" xmlns:xsi="http://www.w3.org/2001/XMLSchema-instance" xmlns:pc="http://schemas.microsoft.com/office/infopath/2007/PartnerControls">
  <documentManagement>
    <FL2 xmlns="8044c801-d84b-4ee1-a77e-678f8dcdee17" xsi:nil="true"/>
    <TaxKeywordTaxHTField xmlns="3f4bcce7-ac1a-4c9d-aa3e-7e77695652db">
      <Terms xmlns="http://schemas.microsoft.com/office/infopath/2007/PartnerControls"/>
    </TaxKeywordTaxHTField>
    <V3Comments xmlns="http://schemas.microsoft.com/sharepoint/v3" xsi:nil="true"/>
    <FL3 xmlns="8044c801-d84b-4ee1-a77e-678f8dcdee17" xsi:nil="true"/>
    <FL1 xmlns="8044c801-d84b-4ee1-a77e-678f8dcdee17" xsi:nil="true"/>
    <h20df32552a643f2a630a5dfc4a69db9 xmlns="67e32579-d437-4bfd-8d11-ed37c0a663ab">
      <Terms xmlns="http://schemas.microsoft.com/office/infopath/2007/PartnerControls">
        <TermInfo xmlns="http://schemas.microsoft.com/office/infopath/2007/PartnerControls">
          <TermName xmlns="http://schemas.microsoft.com/office/infopath/2007/PartnerControls">Final report</TermName>
          <TermId xmlns="http://schemas.microsoft.com/office/infopath/2007/PartnerControls">ddcea15e-f768-4908-9e2f-1fc22490cc39</TermId>
        </TermInfo>
      </Terms>
    </h20df32552a643f2a630a5dfc4a69db9>
    <f68637994c0d4cadb16208f7b3848547 xmlns="67e32579-d437-4bfd-8d11-ed37c0a663ab">
      <Terms xmlns="http://schemas.microsoft.com/office/infopath/2007/PartnerControls">
        <TermInfo xmlns="http://schemas.microsoft.com/office/infopath/2007/PartnerControls">
          <TermName xmlns="http://schemas.microsoft.com/office/infopath/2007/PartnerControls">Supplementary papers</TermName>
          <TermId xmlns="http://schemas.microsoft.com/office/infopath/2007/PartnerControls">93590498-a386-4257-8c2a-f2d5965a5e36</TermId>
        </TermInfo>
      </Terms>
    </f68637994c0d4cadb16208f7b3848547>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Final Report</TermName>
          <TermId xmlns="http://schemas.microsoft.com/office/infopath/2007/PartnerControls">2ba7de50-4c1d-4453-9bfb-2c08018fad73</TermId>
        </TermInfo>
      </Terms>
    </p7a0baa8c88445a78b6f55906390ba17>
    <TaxCatchAll xmlns="3f4bcce7-ac1a-4c9d-aa3e-7e77695652db">
      <Value>5472</Value>
      <Value>270</Value>
      <Value>5372</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eport Docs" ma:contentTypeID="0x010100D3A21470BE7AB346AB38A1E797824EF901006D2091A8DAB9304495829FBAB88AD001" ma:contentTypeVersion="19" ma:contentTypeDescription="Includes Draft Chapters and working documents for Reports" ma:contentTypeScope="" ma:versionID="044bd917ba10e59b1ae7da77bd4cb6d9">
  <xsd:schema xmlns:xsd="http://www.w3.org/2001/XMLSchema" xmlns:xs="http://www.w3.org/2001/XMLSchema" xmlns:p="http://schemas.microsoft.com/office/2006/metadata/properties" xmlns:ns1="http://schemas.microsoft.com/sharepoint/v3" xmlns:ns2="3f4bcce7-ac1a-4c9d-aa3e-7e77695652db" xmlns:ns4="8044c801-d84b-4ee1-a77e-678f8dcdee17" xmlns:ns5="67e32579-d437-4bfd-8d11-ed37c0a663ab" targetNamespace="http://schemas.microsoft.com/office/2006/metadata/properties" ma:root="true" ma:fieldsID="0875348d06fe1381fd30156649000d26" ns1:_="" ns2:_="" ns4:_="" ns5:_="">
    <xsd:import namespace="http://schemas.microsoft.com/sharepoint/v3"/>
    <xsd:import namespace="3f4bcce7-ac1a-4c9d-aa3e-7e77695652db"/>
    <xsd:import namespace="8044c801-d84b-4ee1-a77e-678f8dcdee17"/>
    <xsd:import namespace="67e32579-d437-4bfd-8d11-ed37c0a663ab"/>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1:V3Comments" minOccurs="0"/>
                <xsd:element ref="ns4:FL2" minOccurs="0"/>
                <xsd:element ref="ns4:FL1" minOccurs="0"/>
                <xsd:element ref="ns4:FL3" minOccurs="0"/>
                <xsd:element ref="ns4:FL2_x003a_FL2" minOccurs="0"/>
                <xsd:element ref="ns2:p7a0baa8c88445a78b6f55906390ba17" minOccurs="0"/>
                <xsd:element ref="ns5:h20df32552a643f2a630a5dfc4a69db9" minOccurs="0"/>
                <xsd:element ref="ns5:f68637994c0d4cadb16208f7b38485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5"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p7a0baa8c88445a78b6f55906390ba17" ma:index="22"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FL2" ma:index="17" nillable="true" ma:displayName="FL2" ma:default="" ma:list="{abb4af11-d5e9-4feb-84a3-b857758d3c0b}" ma:internalName="_x0046_L2" ma:readOnly="false" ma:showField="Title" ma:web="57f94c8e-0dd1-41a8-9e3f-5b9a6543b5d2">
      <xsd:simpleType>
        <xsd:restriction base="dms:Lookup"/>
      </xsd:simpleType>
    </xsd:element>
    <xsd:element name="FL1" ma:index="18" nillable="true" ma:displayName="FL1" ma:default="" ma:list="{901f7870-0864-4369-90bc-165856d2014e}" ma:internalName="_x0046_L1" ma:showField="Title" ma:web="57f94c8e-0dd1-41a8-9e3f-5b9a6543b5d2">
      <xsd:simpleType>
        <xsd:restriction base="dms:Lookup"/>
      </xsd:simpleType>
    </xsd:element>
    <xsd:element name="FL3" ma:index="19" nillable="true" ma:displayName="FL3" ma:default="" ma:list="{cbd8701a-49cd-4278-91bc-abf23b17fb75}" ma:internalName="_x0046_L3" ma:readOnly="false" ma:showField="Title" ma:web="57f94c8e-0dd1-41a8-9e3f-5b9a6543b5d2">
      <xsd:simpleType>
        <xsd:restriction base="dms:Lookup"/>
      </xsd:simpleType>
    </xsd:element>
    <xsd:element name="FL2_x003a_FL2" ma:index="20" nillable="true" ma:displayName="FL2:FL2" ma:hidden="true" ma:list="{abb4af11-d5e9-4feb-84a3-b857758d3c0b}" ma:internalName="FL2_x003A_FL2" ma:readOnly="true" ma:showField="Title" ma:web="57f94c8e-0dd1-41a8-9e3f-5b9a6543b5d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7e32579-d437-4bfd-8d11-ed37c0a663ab" elementFormDefault="qualified">
    <xsd:import namespace="http://schemas.microsoft.com/office/2006/documentManagement/types"/>
    <xsd:import namespace="http://schemas.microsoft.com/office/infopath/2007/PartnerControls"/>
    <xsd:element name="h20df32552a643f2a630a5dfc4a69db9" ma:index="24" nillable="true" ma:taxonomy="true" ma:internalName="h20df32552a643f2a630a5dfc4a69db9" ma:taxonomyFieldName="Lvl_x0020_1" ma:displayName="Lvl 1" ma:default="" ma:fieldId="{120df325-52a6-43f2-a630-a5dfc4a69db9}" ma:sspId="70da5c63-8548-4ac8-9616-83b0f373280e" ma:termSetId="c6465de3-3c85-4d19-848e-9291b2de1740" ma:anchorId="cc7c2568-34cc-4304-a88c-1559bf9fdb76" ma:open="true" ma:isKeyword="false">
      <xsd:complexType>
        <xsd:sequence>
          <xsd:element ref="pc:Terms" minOccurs="0" maxOccurs="1"/>
        </xsd:sequence>
      </xsd:complexType>
    </xsd:element>
    <xsd:element name="f68637994c0d4cadb16208f7b3848547" ma:index="26" nillable="true" ma:taxonomy="true" ma:internalName="f68637994c0d4cadb16208f7b3848547" ma:taxonomyFieldName="Lvl_x0020_2" ma:displayName="Lvl 2" ma:default="" ma:fieldId="{f6863799-4c0d-4cad-b162-08f7b3848547}" ma:sspId="70da5c63-8548-4ac8-9616-83b0f373280e" ma:termSetId="c6465de3-3c85-4d19-848e-9291b2de1740" ma:anchorId="cc7c2568-34cc-4304-a88c-1559bf9fdb76"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727C-0F4F-4C2C-9057-A6F167D49901}">
  <ds:schemaRefs>
    <ds:schemaRef ds:uri="http://schemas.microsoft.com/sharepoint/v3/contenttype/forms"/>
  </ds:schemaRefs>
</ds:datastoreItem>
</file>

<file path=customXml/itemProps2.xml><?xml version="1.0" encoding="utf-8"?>
<ds:datastoreItem xmlns:ds="http://schemas.openxmlformats.org/officeDocument/2006/customXml" ds:itemID="{FEFF574F-4D14-4C1B-902F-226F703F9ECE}">
  <ds:schemaRefs>
    <ds:schemaRef ds:uri="http://schemas.microsoft.com/sharepoint/events"/>
  </ds:schemaRefs>
</ds:datastoreItem>
</file>

<file path=customXml/itemProps3.xml><?xml version="1.0" encoding="utf-8"?>
<ds:datastoreItem xmlns:ds="http://schemas.openxmlformats.org/officeDocument/2006/customXml" ds:itemID="{295AA648-EF2F-40EE-A61D-B702DC6E442E}">
  <ds:schemaRefs>
    <ds:schemaRef ds:uri="Microsoft.SharePoint.Taxonomy.ContentTypeSync"/>
  </ds:schemaRefs>
</ds:datastoreItem>
</file>

<file path=customXml/itemProps4.xml><?xml version="1.0" encoding="utf-8"?>
<ds:datastoreItem xmlns:ds="http://schemas.openxmlformats.org/officeDocument/2006/customXml" ds:itemID="{100ACC07-22D2-446F-8FA3-FB4102AFCC17}">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schemas.microsoft.com/sharepoint/v3"/>
    <ds:schemaRef ds:uri="67e32579-d437-4bfd-8d11-ed37c0a663ab"/>
    <ds:schemaRef ds:uri="8044c801-d84b-4ee1-a77e-678f8dcdee17"/>
    <ds:schemaRef ds:uri="http://purl.org/dc/dcmitype/"/>
  </ds:schemaRefs>
</ds:datastoreItem>
</file>

<file path=customXml/itemProps5.xml><?xml version="1.0" encoding="utf-8"?>
<ds:datastoreItem xmlns:ds="http://schemas.openxmlformats.org/officeDocument/2006/customXml" ds:itemID="{B99C14EC-4EC1-4A38-A9BC-5AF114034A48}">
  <ds:schemaRefs>
    <ds:schemaRef ds:uri="http://schemas.microsoft.com/office/2006/metadata/customXsn"/>
  </ds:schemaRefs>
</ds:datastoreItem>
</file>

<file path=customXml/itemProps6.xml><?xml version="1.0" encoding="utf-8"?>
<ds:datastoreItem xmlns:ds="http://schemas.openxmlformats.org/officeDocument/2006/customXml" ds:itemID="{D1CC078F-E7D5-49FA-BAAF-D08D56040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67e32579-d437-4bfd-8d11-ed37c0a6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E3E2DD3-5D5D-4473-8EF1-1FBBE9A5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55</TotalTime>
  <Pages>35</Pages>
  <Words>7529</Words>
  <Characters>41435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Fiscal Impacts of Insurance in Super - Supplementary paper - Superannuation: Assessing competitiveness and efficiency</vt:lpstr>
    </vt:vector>
  </TitlesOfParts>
  <Company>Productivity Commission</Company>
  <LinksUpToDate>false</LinksUpToDate>
  <CharactersWithSpaces>48867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Impacts of Insurance in Super - Supplementary paper - Superannuation: Assessing competitiveness and efficiency</dc:title>
  <dc:subject>Superannuation: Assessing competitiveness and efficiency</dc:subject>
  <dc:creator>Productivity Commission</dc:creator>
  <cp:keywords/>
  <dc:description>1.</dc:description>
  <cp:lastModifiedBy>Productivity Commission</cp:lastModifiedBy>
  <cp:revision>11</cp:revision>
  <cp:lastPrinted>2018-10-18T02:23:00Z</cp:lastPrinted>
  <dcterms:created xsi:type="dcterms:W3CDTF">2018-10-18T01:16:00Z</dcterms:created>
  <dcterms:modified xsi:type="dcterms:W3CDTF">2018-10-18T22:27:00Z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0x010100D3A21470BE7AB346AB38A1E797824EF901006D2091A8DAB9304495829FBAB88AD001</vt:lpwstr>
  </property>
  <property fmtid="{D5CDD505-2E9C-101B-9397-08002B2CF9AE}" pid="3" name="Lvl 2">
    <vt:lpwstr>5472;#Supplementary papers|93590498-a386-4257-8c2a-f2d5965a5e36</vt:lpwstr>
  </property>
  <property fmtid="{D5CDD505-2E9C-101B-9397-08002B2CF9AE}" pid="4" name="TaxKeyword">
    <vt:lpwstr/>
  </property>
  <property fmtid="{D5CDD505-2E9C-101B-9397-08002B2CF9AE}" pid="5" name="Record Tag">
    <vt:lpwstr>270;#Final Report|2ba7de50-4c1d-4453-9bfb-2c08018fad73</vt:lpwstr>
  </property>
  <property fmtid="{D5CDD505-2E9C-101B-9397-08002B2CF9AE}" pid="6" name="Lvl 1">
    <vt:lpwstr>5372;#Final report|ddcea15e-f768-4908-9e2f-1fc22490cc39</vt:lpwstr>
  </property>
  <property fmtid="{D5CDD505-2E9C-101B-9397-08002B2CF9AE}" pid="7" name="ZOTERO_PREF_2">
    <vt:lpwstr>reviations" value="true"/&gt;&lt;/prefs&gt;&lt;/data&gt;</vt:lpwstr>
  </property>
  <property fmtid="{D5CDD505-2E9C-101B-9397-08002B2CF9AE}" pid="8" name="ZOTERO_PREF_1">
    <vt:lpwstr>&lt;data data-version="3" zotero-version="5.0.54"&gt;&lt;session id="GQHrQFJL"/&gt;&lt;style id="http://www.zotero.org/styles/unisa-harvard" hasBibliography="1" bibliographyStyleHasBeenSet="1"/&gt;&lt;prefs&gt;&lt;pref name="fieldType" value="Field"/&gt;&lt;pref name="automaticJournalAbb</vt:lpwstr>
  </property>
</Properties>
</file>