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50979" w14:textId="77777777" w:rsidR="00A66E45" w:rsidRPr="00D71F97" w:rsidRDefault="00A66E45" w:rsidP="00D71F97">
      <w:pPr>
        <w:tabs>
          <w:tab w:val="left" w:pos="426"/>
          <w:tab w:val="left" w:pos="4537"/>
          <w:tab w:val="left" w:pos="4962"/>
        </w:tabs>
        <w:spacing w:before="360" w:after="120"/>
        <w:ind w:right="34"/>
        <w:jc w:val="both"/>
        <w:rPr>
          <w:rStyle w:val="Hyperlink"/>
          <w:color w:val="auto"/>
          <w:sz w:val="28"/>
          <w:szCs w:val="24"/>
          <w:u w:val="none"/>
        </w:rPr>
      </w:pPr>
      <w:r w:rsidRPr="00D71F97">
        <w:rPr>
          <w:rStyle w:val="Hyperlink"/>
          <w:color w:val="auto"/>
          <w:sz w:val="28"/>
          <w:szCs w:val="24"/>
          <w:u w:val="none"/>
        </w:rPr>
        <w:t>This brief submission is to commend the Productivity Commission on its moderate and largely balanced draft report – which doubles as an excellent resource for students of the field.   I limit my comments to two issues.    By way of background I am a Professor of Law and have studied, taught and written on labour and employment regulation for two decades, although my central area in the past decade has been the law of politics and elections.</w:t>
      </w:r>
      <w:bookmarkStart w:id="0" w:name="_GoBack"/>
      <w:bookmarkEnd w:id="0"/>
    </w:p>
    <w:p w14:paraId="29A9454B" w14:textId="77777777" w:rsidR="00FC1803" w:rsidRDefault="00A66E45" w:rsidP="00D71F97">
      <w:pPr>
        <w:pStyle w:val="ListParagraph"/>
        <w:numPr>
          <w:ilvl w:val="0"/>
          <w:numId w:val="24"/>
        </w:numPr>
        <w:tabs>
          <w:tab w:val="left" w:pos="426"/>
          <w:tab w:val="left" w:pos="4537"/>
          <w:tab w:val="left" w:pos="4962"/>
        </w:tabs>
        <w:spacing w:before="360" w:after="120"/>
        <w:ind w:left="270" w:right="34" w:hanging="270"/>
        <w:jc w:val="both"/>
        <w:rPr>
          <w:rStyle w:val="Hyperlink"/>
          <w:color w:val="auto"/>
          <w:sz w:val="28"/>
          <w:szCs w:val="24"/>
          <w:u w:val="none"/>
        </w:rPr>
      </w:pPr>
      <w:r w:rsidRPr="00D71F97">
        <w:rPr>
          <w:rStyle w:val="Hyperlink"/>
          <w:b/>
          <w:color w:val="auto"/>
          <w:sz w:val="28"/>
          <w:szCs w:val="24"/>
          <w:u w:val="none"/>
        </w:rPr>
        <w:t>Industrial action &amp; ballots</w:t>
      </w:r>
      <w:r w:rsidRPr="00D71F97">
        <w:rPr>
          <w:rStyle w:val="Hyperlink"/>
          <w:color w:val="auto"/>
          <w:sz w:val="28"/>
          <w:szCs w:val="24"/>
          <w:u w:val="none"/>
        </w:rPr>
        <w:t xml:space="preserve">.   Industrial action is subject to a bi-partisan consensus that it is to be </w:t>
      </w:r>
      <w:r w:rsidR="00C96414">
        <w:rPr>
          <w:rStyle w:val="Hyperlink"/>
          <w:color w:val="auto"/>
          <w:sz w:val="28"/>
          <w:szCs w:val="24"/>
          <w:u w:val="none"/>
        </w:rPr>
        <w:t xml:space="preserve">regulated stiffly – an option of </w:t>
      </w:r>
      <w:r w:rsidRPr="00D71F97">
        <w:rPr>
          <w:rStyle w:val="Hyperlink"/>
          <w:color w:val="auto"/>
          <w:sz w:val="28"/>
          <w:szCs w:val="24"/>
          <w:u w:val="none"/>
        </w:rPr>
        <w:t xml:space="preserve">last resort.  It hardly seems germane to </w:t>
      </w:r>
      <w:r w:rsidR="00C96414">
        <w:rPr>
          <w:rStyle w:val="Hyperlink"/>
          <w:color w:val="auto"/>
          <w:sz w:val="28"/>
          <w:szCs w:val="24"/>
          <w:u w:val="none"/>
        </w:rPr>
        <w:t xml:space="preserve">suggest (as some have) </w:t>
      </w:r>
      <w:r w:rsidRPr="00D71F97">
        <w:rPr>
          <w:rStyle w:val="Hyperlink"/>
          <w:color w:val="auto"/>
          <w:sz w:val="28"/>
          <w:szCs w:val="24"/>
          <w:u w:val="none"/>
        </w:rPr>
        <w:t>that the very low rates</w:t>
      </w:r>
      <w:r w:rsidR="0015059D">
        <w:rPr>
          <w:rStyle w:val="Hyperlink"/>
          <w:color w:val="auto"/>
          <w:sz w:val="28"/>
          <w:szCs w:val="24"/>
          <w:u w:val="none"/>
        </w:rPr>
        <w:t xml:space="preserve"> of recorded action </w:t>
      </w:r>
      <w:r w:rsidR="00C96414">
        <w:rPr>
          <w:rStyle w:val="Hyperlink"/>
          <w:color w:val="auto"/>
          <w:sz w:val="28"/>
          <w:szCs w:val="24"/>
          <w:u w:val="none"/>
        </w:rPr>
        <w:t xml:space="preserve">in </w:t>
      </w:r>
      <w:r w:rsidR="0015059D">
        <w:rPr>
          <w:rStyle w:val="Hyperlink"/>
          <w:color w:val="auto"/>
          <w:sz w:val="28"/>
          <w:szCs w:val="24"/>
          <w:u w:val="none"/>
        </w:rPr>
        <w:t xml:space="preserve">Australia </w:t>
      </w:r>
      <w:r w:rsidR="00C96414">
        <w:rPr>
          <w:rStyle w:val="Hyperlink"/>
          <w:color w:val="auto"/>
          <w:sz w:val="28"/>
          <w:szCs w:val="24"/>
          <w:u w:val="none"/>
        </w:rPr>
        <w:t xml:space="preserve">in the past decade may </w:t>
      </w:r>
      <w:r w:rsidRPr="00D71F97">
        <w:rPr>
          <w:rStyle w:val="Hyperlink"/>
          <w:color w:val="auto"/>
          <w:sz w:val="28"/>
          <w:szCs w:val="24"/>
          <w:u w:val="none"/>
        </w:rPr>
        <w:t>not capture all minor employee action or bans:  the statistical measures of the past, with which we are comparing today’s rates, did not either.</w:t>
      </w:r>
      <w:r w:rsidR="0015059D">
        <w:rPr>
          <w:rStyle w:val="Hyperlink"/>
          <w:color w:val="auto"/>
          <w:sz w:val="28"/>
          <w:szCs w:val="24"/>
          <w:u w:val="none"/>
        </w:rPr>
        <w:t xml:space="preserve">  </w:t>
      </w:r>
    </w:p>
    <w:p w14:paraId="5DD41C18" w14:textId="77777777" w:rsidR="00FC1803" w:rsidRDefault="00FC1803" w:rsidP="00FC1803">
      <w:pPr>
        <w:pStyle w:val="ListParagraph"/>
        <w:tabs>
          <w:tab w:val="left" w:pos="426"/>
          <w:tab w:val="left" w:pos="4537"/>
          <w:tab w:val="left" w:pos="4962"/>
        </w:tabs>
        <w:spacing w:before="360" w:after="120"/>
        <w:ind w:left="270" w:right="34"/>
        <w:jc w:val="both"/>
        <w:rPr>
          <w:rStyle w:val="Hyperlink"/>
          <w:color w:val="auto"/>
          <w:sz w:val="28"/>
          <w:szCs w:val="24"/>
          <w:u w:val="none"/>
        </w:rPr>
      </w:pPr>
    </w:p>
    <w:p w14:paraId="2D46BA5C" w14:textId="77777777" w:rsidR="00A66E45" w:rsidRPr="00D71F97" w:rsidRDefault="00C96414" w:rsidP="00FC1803">
      <w:pPr>
        <w:pStyle w:val="ListParagraph"/>
        <w:tabs>
          <w:tab w:val="left" w:pos="426"/>
          <w:tab w:val="left" w:pos="4537"/>
          <w:tab w:val="left" w:pos="4962"/>
        </w:tabs>
        <w:spacing w:before="360" w:after="120"/>
        <w:ind w:left="270" w:right="34"/>
        <w:jc w:val="both"/>
        <w:rPr>
          <w:rStyle w:val="Hyperlink"/>
          <w:color w:val="auto"/>
          <w:sz w:val="28"/>
          <w:szCs w:val="24"/>
          <w:u w:val="none"/>
        </w:rPr>
      </w:pPr>
      <w:r>
        <w:rPr>
          <w:rStyle w:val="Hyperlink"/>
          <w:color w:val="auto"/>
          <w:sz w:val="28"/>
          <w:szCs w:val="24"/>
          <w:u w:val="none"/>
        </w:rPr>
        <w:t>The</w:t>
      </w:r>
      <w:r w:rsidR="00FC1803">
        <w:rPr>
          <w:rStyle w:val="Hyperlink"/>
          <w:color w:val="auto"/>
          <w:sz w:val="28"/>
          <w:szCs w:val="24"/>
          <w:u w:val="none"/>
        </w:rPr>
        <w:t xml:space="preserve"> </w:t>
      </w:r>
      <w:r w:rsidR="0015059D">
        <w:rPr>
          <w:rStyle w:val="Hyperlink"/>
          <w:color w:val="auto"/>
          <w:sz w:val="28"/>
          <w:szCs w:val="24"/>
          <w:u w:val="none"/>
        </w:rPr>
        <w:t>chapter of the Draft Report</w:t>
      </w:r>
      <w:r>
        <w:rPr>
          <w:rStyle w:val="Hyperlink"/>
          <w:color w:val="auto"/>
          <w:sz w:val="28"/>
          <w:szCs w:val="24"/>
          <w:u w:val="none"/>
        </w:rPr>
        <w:t xml:space="preserve"> on industrial action</w:t>
      </w:r>
      <w:r w:rsidR="0015059D">
        <w:rPr>
          <w:rStyle w:val="Hyperlink"/>
          <w:color w:val="auto"/>
          <w:sz w:val="28"/>
          <w:szCs w:val="24"/>
          <w:u w:val="none"/>
        </w:rPr>
        <w:t xml:space="preserve"> lists all manner of employee action</w:t>
      </w:r>
      <w:r w:rsidR="00FC1803">
        <w:rPr>
          <w:rStyle w:val="Hyperlink"/>
          <w:color w:val="auto"/>
          <w:sz w:val="28"/>
          <w:szCs w:val="24"/>
          <w:u w:val="none"/>
        </w:rPr>
        <w:t>, formal and informal,</w:t>
      </w:r>
      <w:r w:rsidR="0015059D">
        <w:rPr>
          <w:rStyle w:val="Hyperlink"/>
          <w:color w:val="auto"/>
          <w:sz w:val="28"/>
          <w:szCs w:val="24"/>
          <w:u w:val="none"/>
        </w:rPr>
        <w:t xml:space="preserve"> down to symbolic gestures such as ‘taking lunch in unoccupied management offices’ or systematically writing emails in capitals.   Yet </w:t>
      </w:r>
      <w:r>
        <w:rPr>
          <w:rStyle w:val="Hyperlink"/>
          <w:color w:val="auto"/>
          <w:sz w:val="28"/>
          <w:szCs w:val="24"/>
          <w:u w:val="none"/>
        </w:rPr>
        <w:t xml:space="preserve">wrongly </w:t>
      </w:r>
      <w:r w:rsidR="0015059D">
        <w:rPr>
          <w:rStyle w:val="Hyperlink"/>
          <w:color w:val="auto"/>
          <w:sz w:val="28"/>
          <w:szCs w:val="24"/>
          <w:u w:val="none"/>
        </w:rPr>
        <w:t>states that the only industrial action management takes is the occasional lockout. There is a long history recognising that employers engage in action for industrial purposes</w:t>
      </w:r>
      <w:r w:rsidR="00FC1803">
        <w:rPr>
          <w:rStyle w:val="Hyperlink"/>
          <w:color w:val="auto"/>
          <w:sz w:val="28"/>
          <w:szCs w:val="24"/>
          <w:u w:val="none"/>
        </w:rPr>
        <w:t xml:space="preserve"> beyond formal lockouts</w:t>
      </w:r>
      <w:r w:rsidR="0015059D">
        <w:rPr>
          <w:rStyle w:val="Hyperlink"/>
          <w:color w:val="auto"/>
          <w:sz w:val="28"/>
          <w:szCs w:val="24"/>
          <w:u w:val="none"/>
        </w:rPr>
        <w:t xml:space="preserve">: from </w:t>
      </w:r>
      <w:proofErr w:type="spellStart"/>
      <w:r w:rsidR="0015059D">
        <w:rPr>
          <w:rStyle w:val="Hyperlink"/>
          <w:color w:val="auto"/>
          <w:sz w:val="28"/>
          <w:szCs w:val="24"/>
          <w:u w:val="none"/>
        </w:rPr>
        <w:t>unnegotiated</w:t>
      </w:r>
      <w:proofErr w:type="spellEnd"/>
      <w:r w:rsidR="0015059D">
        <w:rPr>
          <w:rStyle w:val="Hyperlink"/>
          <w:color w:val="auto"/>
          <w:sz w:val="28"/>
          <w:szCs w:val="24"/>
          <w:u w:val="none"/>
        </w:rPr>
        <w:t xml:space="preserve"> change, through </w:t>
      </w:r>
      <w:r w:rsidR="00FC1803">
        <w:rPr>
          <w:rStyle w:val="Hyperlink"/>
          <w:color w:val="auto"/>
          <w:sz w:val="28"/>
          <w:szCs w:val="24"/>
          <w:u w:val="none"/>
        </w:rPr>
        <w:t>threats of redundancies, reductions in shifts and manning,</w:t>
      </w:r>
      <w:r w:rsidR="0015059D">
        <w:rPr>
          <w:rStyle w:val="Hyperlink"/>
          <w:color w:val="auto"/>
          <w:sz w:val="28"/>
          <w:szCs w:val="24"/>
          <w:u w:val="none"/>
        </w:rPr>
        <w:t xml:space="preserve"> even bullying.  Since the aim is to describe all industrially motivated action – understood as pressure to support grievances or demands - this </w:t>
      </w:r>
      <w:r w:rsidR="00FC1803">
        <w:rPr>
          <w:rStyle w:val="Hyperlink"/>
          <w:color w:val="auto"/>
          <w:sz w:val="28"/>
          <w:szCs w:val="24"/>
          <w:u w:val="none"/>
        </w:rPr>
        <w:t>element</w:t>
      </w:r>
      <w:r w:rsidR="0015059D">
        <w:rPr>
          <w:rStyle w:val="Hyperlink"/>
          <w:color w:val="auto"/>
          <w:sz w:val="28"/>
          <w:szCs w:val="24"/>
          <w:u w:val="none"/>
        </w:rPr>
        <w:t xml:space="preserve"> of the Draft Report is remiss in being one-sided in its description of the issue.</w:t>
      </w:r>
    </w:p>
    <w:p w14:paraId="0D6815A5" w14:textId="77777777" w:rsidR="0015059D" w:rsidRDefault="007B3028" w:rsidP="00D71F97">
      <w:pPr>
        <w:tabs>
          <w:tab w:val="left" w:pos="426"/>
          <w:tab w:val="left" w:pos="4537"/>
          <w:tab w:val="left" w:pos="4962"/>
        </w:tabs>
        <w:spacing w:before="360" w:after="120"/>
        <w:ind w:left="360" w:right="34"/>
        <w:jc w:val="both"/>
        <w:rPr>
          <w:rStyle w:val="Hyperlink"/>
          <w:color w:val="auto"/>
          <w:sz w:val="28"/>
          <w:szCs w:val="24"/>
          <w:u w:val="none"/>
        </w:rPr>
      </w:pPr>
      <w:hyperlink r:id="rId13" w:history="1">
        <w:r w:rsidR="00A66E45" w:rsidRPr="00D71F97">
          <w:rPr>
            <w:rStyle w:val="Hyperlink"/>
            <w:color w:val="auto"/>
            <w:sz w:val="28"/>
            <w:szCs w:val="24"/>
          </w:rPr>
          <w:t xml:space="preserve">I examined industrial action ballot law in </w:t>
        </w:r>
        <w:r w:rsidR="00D71F97" w:rsidRPr="00D71F97">
          <w:rPr>
            <w:rStyle w:val="Hyperlink"/>
            <w:color w:val="auto"/>
            <w:sz w:val="28"/>
            <w:szCs w:val="24"/>
          </w:rPr>
          <w:t>‘Mandatory Secret Ballots before Industrial Action’ (</w:t>
        </w:r>
        <w:r w:rsidR="00D71F97" w:rsidRPr="00C96414">
          <w:rPr>
            <w:rStyle w:val="Hyperlink"/>
            <w:i/>
            <w:color w:val="auto"/>
            <w:sz w:val="28"/>
            <w:szCs w:val="24"/>
          </w:rPr>
          <w:t>Australian Journal of Labour Law</w:t>
        </w:r>
        <w:r w:rsidR="00D71F97" w:rsidRPr="00D71F97">
          <w:rPr>
            <w:rStyle w:val="Hyperlink"/>
            <w:color w:val="auto"/>
            <w:sz w:val="28"/>
            <w:szCs w:val="24"/>
          </w:rPr>
          <w:t xml:space="preserve">, </w:t>
        </w:r>
        <w:r w:rsidR="00A66E45" w:rsidRPr="00D71F97">
          <w:rPr>
            <w:rStyle w:val="Hyperlink"/>
            <w:color w:val="auto"/>
            <w:sz w:val="28"/>
            <w:szCs w:val="24"/>
          </w:rPr>
          <w:t>2007</w:t>
        </w:r>
      </w:hyperlink>
      <w:r w:rsidR="00D71F97" w:rsidRPr="00D71F97">
        <w:rPr>
          <w:rStyle w:val="Hyperlink"/>
          <w:color w:val="auto"/>
          <w:sz w:val="28"/>
          <w:szCs w:val="24"/>
          <w:u w:val="none"/>
        </w:rPr>
        <w:t>) with a colleague.  We</w:t>
      </w:r>
      <w:r w:rsidR="00A66E45" w:rsidRPr="00D71F97">
        <w:rPr>
          <w:rStyle w:val="Hyperlink"/>
          <w:color w:val="auto"/>
          <w:sz w:val="28"/>
          <w:szCs w:val="24"/>
          <w:u w:val="none"/>
        </w:rPr>
        <w:t xml:space="preserve"> found it to be a hurdle whose main effect was to delay action to give employers extra notice or an opportunity to intervene legally.  </w:t>
      </w:r>
      <w:r w:rsidR="00D71F97" w:rsidRPr="00D71F97">
        <w:rPr>
          <w:rStyle w:val="Hyperlink"/>
          <w:color w:val="auto"/>
          <w:sz w:val="28"/>
          <w:szCs w:val="24"/>
          <w:u w:val="none"/>
        </w:rPr>
        <w:t>Its other ramif</w:t>
      </w:r>
      <w:r w:rsidR="00EE7AE3">
        <w:rPr>
          <w:rStyle w:val="Hyperlink"/>
          <w:color w:val="auto"/>
          <w:sz w:val="28"/>
          <w:szCs w:val="24"/>
          <w:u w:val="none"/>
        </w:rPr>
        <w:t>i</w:t>
      </w:r>
      <w:r w:rsidR="00D71F97" w:rsidRPr="00D71F97">
        <w:rPr>
          <w:rStyle w:val="Hyperlink"/>
          <w:color w:val="auto"/>
          <w:sz w:val="28"/>
          <w:szCs w:val="24"/>
          <w:u w:val="none"/>
        </w:rPr>
        <w:t>cations were lar</w:t>
      </w:r>
      <w:r w:rsidR="00D71F97">
        <w:rPr>
          <w:rStyle w:val="Hyperlink"/>
          <w:color w:val="auto"/>
          <w:sz w:val="28"/>
          <w:szCs w:val="24"/>
          <w:u w:val="none"/>
        </w:rPr>
        <w:t>g</w:t>
      </w:r>
      <w:r w:rsidR="00D71F97" w:rsidRPr="00D71F97">
        <w:rPr>
          <w:rStyle w:val="Hyperlink"/>
          <w:color w:val="auto"/>
          <w:sz w:val="28"/>
          <w:szCs w:val="24"/>
          <w:u w:val="none"/>
        </w:rPr>
        <w:t>ely symbolic.</w:t>
      </w:r>
      <w:r w:rsidR="00A66E45" w:rsidRPr="00D71F97">
        <w:rPr>
          <w:rStyle w:val="Hyperlink"/>
          <w:color w:val="auto"/>
          <w:sz w:val="28"/>
          <w:szCs w:val="24"/>
          <w:u w:val="none"/>
        </w:rPr>
        <w:t xml:space="preserve"> It is a peculiar legalistic system which is not imposed on other, equally sensitive decisions</w:t>
      </w:r>
      <w:r w:rsidR="00D71F97" w:rsidRPr="00D71F97">
        <w:rPr>
          <w:rStyle w:val="Hyperlink"/>
          <w:color w:val="auto"/>
          <w:sz w:val="28"/>
          <w:szCs w:val="24"/>
          <w:u w:val="none"/>
        </w:rPr>
        <w:t xml:space="preserve"> within associations</w:t>
      </w:r>
      <w:r w:rsidR="00A66E45" w:rsidRPr="00D71F97">
        <w:rPr>
          <w:rStyle w:val="Hyperlink"/>
          <w:color w:val="auto"/>
          <w:sz w:val="28"/>
          <w:szCs w:val="24"/>
          <w:u w:val="none"/>
        </w:rPr>
        <w:t xml:space="preserve"> (such as internal board or party political</w:t>
      </w:r>
      <w:r w:rsidR="00D71F97" w:rsidRPr="00D71F97">
        <w:rPr>
          <w:rStyle w:val="Hyperlink"/>
          <w:color w:val="auto"/>
          <w:sz w:val="28"/>
          <w:szCs w:val="24"/>
          <w:u w:val="none"/>
        </w:rPr>
        <w:t xml:space="preserve"> meetings and decisions</w:t>
      </w:r>
      <w:r w:rsidR="00A66E45" w:rsidRPr="00D71F97">
        <w:rPr>
          <w:rStyle w:val="Hyperlink"/>
          <w:color w:val="auto"/>
          <w:sz w:val="28"/>
          <w:szCs w:val="24"/>
          <w:u w:val="none"/>
        </w:rPr>
        <w:t>).</w:t>
      </w:r>
      <w:r w:rsidR="00D71F97" w:rsidRPr="00D71F97">
        <w:rPr>
          <w:rStyle w:val="Hyperlink"/>
          <w:color w:val="auto"/>
          <w:sz w:val="28"/>
          <w:szCs w:val="24"/>
          <w:u w:val="none"/>
        </w:rPr>
        <w:t xml:space="preserve"> </w:t>
      </w:r>
      <w:r w:rsidR="0015059D">
        <w:rPr>
          <w:rStyle w:val="Hyperlink"/>
          <w:color w:val="auto"/>
          <w:sz w:val="28"/>
          <w:szCs w:val="24"/>
          <w:u w:val="none"/>
        </w:rPr>
        <w:t>This is doubly so given the many provisions protecting dissidents and non-union members from taking part in industrial action and the rules against payment for industrial action</w:t>
      </w:r>
      <w:r w:rsidR="00FC1803">
        <w:rPr>
          <w:rStyle w:val="Hyperlink"/>
          <w:color w:val="auto"/>
          <w:sz w:val="28"/>
          <w:szCs w:val="24"/>
          <w:u w:val="none"/>
        </w:rPr>
        <w:t>.</w:t>
      </w:r>
    </w:p>
    <w:p w14:paraId="6D131396" w14:textId="77777777" w:rsidR="00FC1803" w:rsidRDefault="00D71F97" w:rsidP="00D71F97">
      <w:pPr>
        <w:tabs>
          <w:tab w:val="left" w:pos="426"/>
          <w:tab w:val="left" w:pos="4537"/>
          <w:tab w:val="left" w:pos="4962"/>
        </w:tabs>
        <w:spacing w:before="360" w:after="120"/>
        <w:ind w:left="360" w:right="34"/>
        <w:jc w:val="both"/>
        <w:rPr>
          <w:rStyle w:val="Hyperlink"/>
          <w:color w:val="auto"/>
          <w:sz w:val="28"/>
          <w:szCs w:val="24"/>
          <w:u w:val="none"/>
        </w:rPr>
      </w:pPr>
      <w:r w:rsidRPr="00D71F97">
        <w:rPr>
          <w:rStyle w:val="Hyperlink"/>
          <w:color w:val="auto"/>
          <w:sz w:val="28"/>
          <w:szCs w:val="24"/>
          <w:u w:val="none"/>
        </w:rPr>
        <w:t>Accepting</w:t>
      </w:r>
      <w:r w:rsidR="00C96414">
        <w:rPr>
          <w:rStyle w:val="Hyperlink"/>
          <w:color w:val="auto"/>
          <w:sz w:val="28"/>
          <w:szCs w:val="24"/>
          <w:u w:val="none"/>
        </w:rPr>
        <w:t>,</w:t>
      </w:r>
      <w:r w:rsidRPr="00D71F97">
        <w:rPr>
          <w:rStyle w:val="Hyperlink"/>
          <w:color w:val="auto"/>
          <w:sz w:val="28"/>
          <w:szCs w:val="24"/>
          <w:u w:val="none"/>
        </w:rPr>
        <w:t xml:space="preserve"> </w:t>
      </w:r>
      <w:r w:rsidR="00274095">
        <w:rPr>
          <w:rStyle w:val="Hyperlink"/>
          <w:color w:val="auto"/>
          <w:sz w:val="28"/>
          <w:szCs w:val="24"/>
          <w:u w:val="none"/>
        </w:rPr>
        <w:t>as a given</w:t>
      </w:r>
      <w:r w:rsidR="00C96414">
        <w:rPr>
          <w:rStyle w:val="Hyperlink"/>
          <w:color w:val="auto"/>
          <w:sz w:val="28"/>
          <w:szCs w:val="24"/>
          <w:u w:val="none"/>
        </w:rPr>
        <w:t>,</w:t>
      </w:r>
      <w:r w:rsidR="00274095">
        <w:rPr>
          <w:rStyle w:val="Hyperlink"/>
          <w:color w:val="auto"/>
          <w:sz w:val="28"/>
          <w:szCs w:val="24"/>
          <w:u w:val="none"/>
        </w:rPr>
        <w:t xml:space="preserve"> </w:t>
      </w:r>
      <w:r w:rsidRPr="00D71F97">
        <w:rPr>
          <w:rStyle w:val="Hyperlink"/>
          <w:color w:val="auto"/>
          <w:sz w:val="28"/>
          <w:szCs w:val="24"/>
          <w:u w:val="none"/>
        </w:rPr>
        <w:t xml:space="preserve">the consensus in favour of keeping such regulation, </w:t>
      </w:r>
      <w:r w:rsidR="00A66E45" w:rsidRPr="00D71F97">
        <w:rPr>
          <w:rStyle w:val="Hyperlink"/>
          <w:color w:val="auto"/>
          <w:sz w:val="28"/>
          <w:szCs w:val="24"/>
          <w:u w:val="none"/>
        </w:rPr>
        <w:t xml:space="preserve">our 2007 work identified the very pathologies discussed in the Draft Report – excess legalism generating cost and </w:t>
      </w:r>
      <w:r w:rsidRPr="00D71F97">
        <w:rPr>
          <w:rStyle w:val="Hyperlink"/>
          <w:color w:val="auto"/>
          <w:sz w:val="28"/>
          <w:szCs w:val="24"/>
          <w:u w:val="none"/>
        </w:rPr>
        <w:t xml:space="preserve">a reaction by unions and workers in the form of landslide majorities to ballots that kept open all options.   </w:t>
      </w:r>
      <w:r w:rsidR="00FC1803">
        <w:rPr>
          <w:rStyle w:val="Hyperlink"/>
          <w:color w:val="auto"/>
          <w:sz w:val="28"/>
          <w:szCs w:val="24"/>
          <w:u w:val="none"/>
        </w:rPr>
        <w:t xml:space="preserve"> The regime itself emblemises a 25 year drift in Australian labour regulation.  From relatively brief, principles-based legislation entrusting parties, within Commission discretion, to resolve or manage issues, to thousand plus page Acts which seek to regulate in the guise of de-regulation</w:t>
      </w:r>
    </w:p>
    <w:p w14:paraId="0FE3479F" w14:textId="77777777" w:rsidR="00A66E45" w:rsidRPr="00D71F97" w:rsidRDefault="0015059D" w:rsidP="00D71F97">
      <w:pPr>
        <w:tabs>
          <w:tab w:val="left" w:pos="426"/>
          <w:tab w:val="left" w:pos="4537"/>
          <w:tab w:val="left" w:pos="4962"/>
        </w:tabs>
        <w:spacing w:before="360" w:after="120"/>
        <w:ind w:left="360" w:right="34"/>
        <w:jc w:val="both"/>
        <w:rPr>
          <w:rStyle w:val="Hyperlink"/>
          <w:color w:val="auto"/>
          <w:sz w:val="28"/>
          <w:szCs w:val="24"/>
          <w:u w:val="none"/>
        </w:rPr>
      </w:pPr>
      <w:r>
        <w:rPr>
          <w:rStyle w:val="Hyperlink"/>
          <w:color w:val="auto"/>
          <w:sz w:val="28"/>
          <w:szCs w:val="24"/>
          <w:u w:val="none"/>
        </w:rPr>
        <w:lastRenderedPageBreak/>
        <w:t xml:space="preserve">The entire Part 3.3 Division 8 of the Act could be replaced with a short set of sections mandating </w:t>
      </w:r>
      <w:r w:rsidR="00FC1803">
        <w:rPr>
          <w:rStyle w:val="Hyperlink"/>
          <w:color w:val="auto"/>
          <w:sz w:val="28"/>
          <w:szCs w:val="24"/>
          <w:u w:val="none"/>
        </w:rPr>
        <w:t xml:space="preserve">that </w:t>
      </w:r>
      <w:r>
        <w:rPr>
          <w:rStyle w:val="Hyperlink"/>
          <w:color w:val="auto"/>
          <w:sz w:val="28"/>
          <w:szCs w:val="24"/>
          <w:u w:val="none"/>
        </w:rPr>
        <w:t xml:space="preserve">unions consult </w:t>
      </w:r>
      <w:r w:rsidR="00FC1803">
        <w:rPr>
          <w:rStyle w:val="Hyperlink"/>
          <w:color w:val="auto"/>
          <w:sz w:val="28"/>
          <w:szCs w:val="24"/>
          <w:u w:val="none"/>
        </w:rPr>
        <w:t xml:space="preserve">with </w:t>
      </w:r>
      <w:r>
        <w:rPr>
          <w:rStyle w:val="Hyperlink"/>
          <w:color w:val="auto"/>
          <w:sz w:val="28"/>
          <w:szCs w:val="24"/>
          <w:u w:val="none"/>
        </w:rPr>
        <w:t>and survey all relevant members in an enterprise, at least a week prior to lodging such survey results with the FWC to obtain an order that protected action can occur</w:t>
      </w:r>
      <w:r w:rsidR="00FC1803">
        <w:rPr>
          <w:rStyle w:val="Hyperlink"/>
          <w:color w:val="auto"/>
          <w:sz w:val="28"/>
          <w:szCs w:val="24"/>
          <w:u w:val="none"/>
        </w:rPr>
        <w:t xml:space="preserve"> on the basis of it having been subject to sufficient democratic consultation and survey.</w:t>
      </w:r>
      <w:r>
        <w:rPr>
          <w:rStyle w:val="Hyperlink"/>
          <w:color w:val="auto"/>
          <w:sz w:val="28"/>
          <w:szCs w:val="24"/>
          <w:u w:val="none"/>
        </w:rPr>
        <w:t xml:space="preserve">  A fine would ap</w:t>
      </w:r>
      <w:r w:rsidR="002D51E9">
        <w:rPr>
          <w:rStyle w:val="Hyperlink"/>
          <w:color w:val="auto"/>
          <w:sz w:val="28"/>
          <w:szCs w:val="24"/>
          <w:u w:val="none"/>
        </w:rPr>
        <w:t>ply (at suitably heavy rates) if</w:t>
      </w:r>
      <w:r>
        <w:rPr>
          <w:rStyle w:val="Hyperlink"/>
          <w:color w:val="auto"/>
          <w:sz w:val="28"/>
          <w:szCs w:val="24"/>
          <w:u w:val="none"/>
        </w:rPr>
        <w:t xml:space="preserve"> any union or official takes part in organising any action without such an order.  </w:t>
      </w:r>
      <w:r w:rsidR="00FC1803">
        <w:rPr>
          <w:rStyle w:val="Hyperlink"/>
          <w:color w:val="auto"/>
          <w:sz w:val="28"/>
          <w:szCs w:val="24"/>
          <w:u w:val="none"/>
        </w:rPr>
        <w:t xml:space="preserve"> The FWC would be left to</w:t>
      </w:r>
      <w:r w:rsidR="002D51E9">
        <w:rPr>
          <w:rStyle w:val="Hyperlink"/>
          <w:color w:val="auto"/>
          <w:sz w:val="28"/>
          <w:szCs w:val="24"/>
          <w:u w:val="none"/>
        </w:rPr>
        <w:t xml:space="preserve"> administer this provision</w:t>
      </w:r>
      <w:r w:rsidR="00FC1803">
        <w:rPr>
          <w:rStyle w:val="Hyperlink"/>
          <w:color w:val="auto"/>
          <w:sz w:val="28"/>
          <w:szCs w:val="24"/>
          <w:u w:val="none"/>
        </w:rPr>
        <w:t xml:space="preserve">.  Employers should have no rights to intervene, other than to seek an urgent stop order against </w:t>
      </w:r>
      <w:r w:rsidR="002D51E9">
        <w:rPr>
          <w:rStyle w:val="Hyperlink"/>
          <w:color w:val="auto"/>
          <w:sz w:val="28"/>
          <w:szCs w:val="24"/>
          <w:u w:val="none"/>
        </w:rPr>
        <w:t xml:space="preserve">any action that is unprotected:  otherwise </w:t>
      </w:r>
      <w:r w:rsidR="00FC1803">
        <w:rPr>
          <w:rStyle w:val="Hyperlink"/>
          <w:color w:val="auto"/>
          <w:sz w:val="28"/>
          <w:szCs w:val="24"/>
          <w:u w:val="none"/>
        </w:rPr>
        <w:t xml:space="preserve">the question </w:t>
      </w:r>
      <w:r w:rsidR="002D51E9">
        <w:rPr>
          <w:rStyle w:val="Hyperlink"/>
          <w:color w:val="auto"/>
          <w:sz w:val="28"/>
          <w:szCs w:val="24"/>
          <w:u w:val="none"/>
        </w:rPr>
        <w:t xml:space="preserve">of consultation over the decision to trigger protected action </w:t>
      </w:r>
      <w:r w:rsidR="00FC1803">
        <w:rPr>
          <w:rStyle w:val="Hyperlink"/>
          <w:color w:val="auto"/>
          <w:sz w:val="28"/>
          <w:szCs w:val="24"/>
          <w:u w:val="none"/>
        </w:rPr>
        <w:t>is a matter between unions, workers and the industrial umpire.</w:t>
      </w:r>
    </w:p>
    <w:p w14:paraId="1D3F686B" w14:textId="77777777" w:rsidR="00D71F97" w:rsidRPr="00D71F97" w:rsidRDefault="00A66E45" w:rsidP="00D71F97">
      <w:pPr>
        <w:pStyle w:val="ListParagraph"/>
        <w:numPr>
          <w:ilvl w:val="0"/>
          <w:numId w:val="24"/>
        </w:numPr>
        <w:tabs>
          <w:tab w:val="left" w:pos="426"/>
          <w:tab w:val="left" w:pos="4537"/>
          <w:tab w:val="left" w:pos="4962"/>
        </w:tabs>
        <w:spacing w:before="360" w:after="120"/>
        <w:ind w:left="360" w:right="34" w:hanging="450"/>
        <w:jc w:val="both"/>
        <w:rPr>
          <w:rStyle w:val="Hyperlink"/>
          <w:color w:val="auto"/>
          <w:sz w:val="28"/>
          <w:szCs w:val="24"/>
        </w:rPr>
      </w:pPr>
      <w:r w:rsidRPr="00D71F97">
        <w:rPr>
          <w:rStyle w:val="Hyperlink"/>
          <w:b/>
          <w:color w:val="auto"/>
          <w:sz w:val="28"/>
          <w:szCs w:val="24"/>
          <w:u w:val="none"/>
        </w:rPr>
        <w:t>Penalty Rates</w:t>
      </w:r>
      <w:r w:rsidRPr="00D71F97">
        <w:rPr>
          <w:rStyle w:val="Hyperlink"/>
          <w:color w:val="auto"/>
          <w:sz w:val="28"/>
          <w:szCs w:val="24"/>
        </w:rPr>
        <w:t>.</w:t>
      </w:r>
      <w:r w:rsidRPr="00D71F97">
        <w:rPr>
          <w:rStyle w:val="Hyperlink"/>
          <w:color w:val="auto"/>
          <w:sz w:val="28"/>
          <w:szCs w:val="24"/>
          <w:u w:val="none"/>
        </w:rPr>
        <w:t xml:space="preserve">   There is certainly room, in the 21</w:t>
      </w:r>
      <w:r w:rsidRPr="00D71F97">
        <w:rPr>
          <w:rStyle w:val="Hyperlink"/>
          <w:color w:val="auto"/>
          <w:sz w:val="28"/>
          <w:szCs w:val="24"/>
          <w:u w:val="none"/>
          <w:vertAlign w:val="superscript"/>
        </w:rPr>
        <w:t>st</w:t>
      </w:r>
      <w:r w:rsidRPr="00D71F97">
        <w:rPr>
          <w:rStyle w:val="Hyperlink"/>
          <w:color w:val="auto"/>
          <w:sz w:val="28"/>
          <w:szCs w:val="24"/>
          <w:u w:val="none"/>
        </w:rPr>
        <w:t xml:space="preserve"> century, to consider harmonising weekend penalty rates into a simplified and harmonised rate or rates.   Provided that base rates or transitional measures are also adjusted to minimise the impact on lower earning employees </w:t>
      </w:r>
    </w:p>
    <w:p w14:paraId="2495998E" w14:textId="77777777" w:rsidR="00D71F97" w:rsidRPr="00D71F97" w:rsidRDefault="00D71F97" w:rsidP="00D71F97">
      <w:pPr>
        <w:tabs>
          <w:tab w:val="left" w:pos="426"/>
          <w:tab w:val="left" w:pos="4537"/>
          <w:tab w:val="left" w:pos="4962"/>
        </w:tabs>
        <w:spacing w:before="360" w:after="120"/>
        <w:ind w:left="360" w:right="34"/>
        <w:jc w:val="both"/>
        <w:rPr>
          <w:rStyle w:val="Hyperlink"/>
          <w:color w:val="auto"/>
          <w:sz w:val="28"/>
          <w:szCs w:val="24"/>
          <w:u w:val="none"/>
        </w:rPr>
      </w:pPr>
      <w:r w:rsidRPr="00D71F97">
        <w:rPr>
          <w:rStyle w:val="Hyperlink"/>
          <w:color w:val="auto"/>
          <w:sz w:val="28"/>
          <w:szCs w:val="24"/>
          <w:u w:val="none"/>
        </w:rPr>
        <w:t xml:space="preserve">However it is a peculiarly political – rather than economic, moral or social – rationale that led the PC to create two classes of workers (‘emergency’ and non-emergency).  The idea that consumption of services is a ‘need’ on weekends is a modern invention.  Emergency services have always been a 24/7 societal ‘need’.  </w:t>
      </w:r>
      <w:r w:rsidR="00FC1803">
        <w:rPr>
          <w:rStyle w:val="Hyperlink"/>
          <w:color w:val="auto"/>
          <w:sz w:val="28"/>
          <w:szCs w:val="24"/>
          <w:u w:val="none"/>
        </w:rPr>
        <w:t>If emergency workers require special dispensation or encouragement, that should be bundled in their base rates and conditions, rather than erecting a rule that treats certain days/times as sacrosanct for one group of waged employees and not another.</w:t>
      </w:r>
    </w:p>
    <w:p w14:paraId="1A309768" w14:textId="77777777" w:rsidR="00D71F97" w:rsidRPr="00D71F97" w:rsidRDefault="00D71F97" w:rsidP="00D71F97">
      <w:pPr>
        <w:tabs>
          <w:tab w:val="left" w:pos="426"/>
          <w:tab w:val="left" w:pos="4537"/>
          <w:tab w:val="left" w:pos="4962"/>
        </w:tabs>
        <w:spacing w:before="360" w:after="120"/>
        <w:ind w:left="360" w:right="34"/>
        <w:jc w:val="both"/>
        <w:rPr>
          <w:rStyle w:val="Hyperlink"/>
          <w:color w:val="auto"/>
          <w:sz w:val="28"/>
          <w:szCs w:val="24"/>
          <w:u w:val="none"/>
        </w:rPr>
      </w:pPr>
    </w:p>
    <w:p w14:paraId="552D3ACF" w14:textId="77777777" w:rsidR="00D71F97" w:rsidRPr="00D71F97" w:rsidRDefault="00D71F97" w:rsidP="00D71F97">
      <w:pPr>
        <w:tabs>
          <w:tab w:val="left" w:pos="426"/>
          <w:tab w:val="left" w:pos="4537"/>
          <w:tab w:val="left" w:pos="4962"/>
        </w:tabs>
        <w:spacing w:before="360" w:after="120"/>
        <w:ind w:left="360" w:right="34"/>
        <w:jc w:val="both"/>
        <w:rPr>
          <w:rStyle w:val="Hyperlink"/>
          <w:color w:val="auto"/>
          <w:sz w:val="28"/>
          <w:szCs w:val="24"/>
          <w:u w:val="none"/>
        </w:rPr>
      </w:pPr>
      <w:r w:rsidRPr="00D71F97">
        <w:rPr>
          <w:rStyle w:val="Hyperlink"/>
          <w:color w:val="auto"/>
          <w:sz w:val="28"/>
          <w:szCs w:val="24"/>
          <w:u w:val="none"/>
        </w:rPr>
        <w:t>Graeme Orr</w:t>
      </w:r>
    </w:p>
    <w:p w14:paraId="433602B9" w14:textId="77777777" w:rsidR="00D71F97" w:rsidRPr="00D71F97" w:rsidRDefault="00D71F97" w:rsidP="00D71F97">
      <w:pPr>
        <w:tabs>
          <w:tab w:val="left" w:pos="426"/>
          <w:tab w:val="left" w:pos="4537"/>
          <w:tab w:val="left" w:pos="4962"/>
        </w:tabs>
        <w:spacing w:before="360" w:after="120"/>
        <w:ind w:left="360" w:right="34"/>
        <w:jc w:val="both"/>
        <w:rPr>
          <w:rStyle w:val="Hyperlink"/>
          <w:color w:val="auto"/>
          <w:sz w:val="28"/>
          <w:szCs w:val="24"/>
          <w:u w:val="none"/>
        </w:rPr>
      </w:pPr>
      <w:r w:rsidRPr="00D71F97">
        <w:rPr>
          <w:rStyle w:val="Hyperlink"/>
          <w:color w:val="auto"/>
          <w:sz w:val="28"/>
          <w:szCs w:val="24"/>
          <w:u w:val="none"/>
        </w:rPr>
        <w:t>Professor, Law</w:t>
      </w:r>
    </w:p>
    <w:p w14:paraId="0A133FCA" w14:textId="77777777" w:rsidR="00D71F97" w:rsidRPr="00D71F97" w:rsidRDefault="00D71F97" w:rsidP="00D71F97">
      <w:pPr>
        <w:tabs>
          <w:tab w:val="left" w:pos="426"/>
          <w:tab w:val="left" w:pos="4537"/>
          <w:tab w:val="left" w:pos="4962"/>
        </w:tabs>
        <w:spacing w:before="360" w:after="120"/>
        <w:ind w:left="360" w:right="34"/>
        <w:jc w:val="both"/>
        <w:rPr>
          <w:rStyle w:val="Hyperlink"/>
          <w:color w:val="auto"/>
          <w:sz w:val="28"/>
          <w:szCs w:val="24"/>
          <w:u w:val="none"/>
        </w:rPr>
      </w:pPr>
      <w:r w:rsidRPr="00D71F97">
        <w:rPr>
          <w:rStyle w:val="Hyperlink"/>
          <w:color w:val="auto"/>
          <w:sz w:val="28"/>
          <w:szCs w:val="24"/>
          <w:u w:val="none"/>
        </w:rPr>
        <w:t>University of Queensland</w:t>
      </w:r>
    </w:p>
    <w:p w14:paraId="1F82CDED" w14:textId="77777777" w:rsidR="00A66E45" w:rsidRPr="00A66E45" w:rsidRDefault="00A66E45" w:rsidP="00247993">
      <w:pPr>
        <w:tabs>
          <w:tab w:val="left" w:pos="426"/>
          <w:tab w:val="left" w:pos="4537"/>
          <w:tab w:val="left" w:pos="4962"/>
        </w:tabs>
        <w:spacing w:before="360" w:after="120"/>
        <w:ind w:right="34"/>
        <w:rPr>
          <w:rStyle w:val="Hyperlink"/>
          <w:sz w:val="28"/>
          <w:szCs w:val="24"/>
          <w:u w:val="none"/>
        </w:rPr>
      </w:pPr>
    </w:p>
    <w:sectPr w:rsidR="00A66E45" w:rsidRPr="00A66E45" w:rsidSect="00FC1803">
      <w:pgSz w:w="11907" w:h="16840" w:code="9"/>
      <w:pgMar w:top="1352" w:right="1021" w:bottom="900"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47ED4" w14:textId="77777777" w:rsidR="00F3264D" w:rsidRDefault="00F3264D">
      <w:r>
        <w:separator/>
      </w:r>
    </w:p>
  </w:endnote>
  <w:endnote w:type="continuationSeparator" w:id="0">
    <w:p w14:paraId="3C517EEF" w14:textId="77777777" w:rsidR="00F3264D" w:rsidRDefault="00F3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8DCF8" w14:textId="77777777" w:rsidR="00F3264D" w:rsidRDefault="00F3264D">
      <w:r>
        <w:separator/>
      </w:r>
    </w:p>
  </w:footnote>
  <w:footnote w:type="continuationSeparator" w:id="0">
    <w:p w14:paraId="78C24E1F" w14:textId="77777777" w:rsidR="00F3264D" w:rsidRDefault="00F32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25CDE"/>
    <w:multiLevelType w:val="singleLevel"/>
    <w:tmpl w:val="3086CA22"/>
    <w:lvl w:ilvl="0">
      <w:start w:val="1"/>
      <w:numFmt w:val="decimal"/>
      <w:lvlText w:val="%1."/>
      <w:legacy w:legacy="1" w:legacySpace="0" w:legacyIndent="340"/>
      <w:lvlJc w:val="left"/>
      <w:pPr>
        <w:ind w:left="340" w:hanging="340"/>
      </w:pPr>
    </w:lvl>
  </w:abstractNum>
  <w:abstractNum w:abstractNumId="6">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5CB0EB8"/>
    <w:multiLevelType w:val="hybridMultilevel"/>
    <w:tmpl w:val="D006FE3A"/>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3"/>
  </w:num>
  <w:num w:numId="2">
    <w:abstractNumId w:val="20"/>
  </w:num>
  <w:num w:numId="3">
    <w:abstractNumId w:val="6"/>
  </w:num>
  <w:num w:numId="4">
    <w:abstractNumId w:val="11"/>
  </w:num>
  <w:num w:numId="5">
    <w:abstractNumId w:val="12"/>
  </w:num>
  <w:num w:numId="6">
    <w:abstractNumId w:val="3"/>
  </w:num>
  <w:num w:numId="7">
    <w:abstractNumId w:val="19"/>
  </w:num>
  <w:num w:numId="8">
    <w:abstractNumId w:val="1"/>
  </w:num>
  <w:num w:numId="9">
    <w:abstractNumId w:val="15"/>
  </w:num>
  <w:num w:numId="10">
    <w:abstractNumId w:val="2"/>
  </w:num>
  <w:num w:numId="11">
    <w:abstractNumId w:val="7"/>
  </w:num>
  <w:num w:numId="12">
    <w:abstractNumId w:val="18"/>
  </w:num>
  <w:num w:numId="13">
    <w:abstractNumId w:val="10"/>
  </w:num>
  <w:num w:numId="14">
    <w:abstractNumId w:val="17"/>
  </w:num>
  <w:num w:numId="15">
    <w:abstractNumId w:val="0"/>
  </w:num>
  <w:num w:numId="16">
    <w:abstractNumId w:val="14"/>
  </w:num>
  <w:num w:numId="17">
    <w:abstractNumId w:val="22"/>
  </w:num>
  <w:num w:numId="18">
    <w:abstractNumId w:val="9"/>
  </w:num>
  <w:num w:numId="19">
    <w:abstractNumId w:val="16"/>
  </w:num>
  <w:num w:numId="20">
    <w:abstractNumId w:val="5"/>
  </w:num>
  <w:num w:numId="21">
    <w:abstractNumId w:val="4"/>
  </w:num>
  <w:num w:numId="22">
    <w:abstractNumId w:val="21"/>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C9C"/>
    <w:rsid w:val="00056210"/>
    <w:rsid w:val="0007450F"/>
    <w:rsid w:val="001021A0"/>
    <w:rsid w:val="0015059D"/>
    <w:rsid w:val="0019530F"/>
    <w:rsid w:val="001C5C7C"/>
    <w:rsid w:val="00200E05"/>
    <w:rsid w:val="00217B26"/>
    <w:rsid w:val="00221C86"/>
    <w:rsid w:val="00247993"/>
    <w:rsid w:val="00274095"/>
    <w:rsid w:val="002A0908"/>
    <w:rsid w:val="002D51E9"/>
    <w:rsid w:val="002D6079"/>
    <w:rsid w:val="0038552B"/>
    <w:rsid w:val="003C5524"/>
    <w:rsid w:val="00423861"/>
    <w:rsid w:val="00423BFB"/>
    <w:rsid w:val="00480079"/>
    <w:rsid w:val="0048038E"/>
    <w:rsid w:val="004B21E0"/>
    <w:rsid w:val="004B6E74"/>
    <w:rsid w:val="00513ED8"/>
    <w:rsid w:val="00534A5B"/>
    <w:rsid w:val="0056058A"/>
    <w:rsid w:val="00626C39"/>
    <w:rsid w:val="006349CF"/>
    <w:rsid w:val="007B3028"/>
    <w:rsid w:val="007C3E81"/>
    <w:rsid w:val="00820633"/>
    <w:rsid w:val="00843256"/>
    <w:rsid w:val="0085565D"/>
    <w:rsid w:val="00964937"/>
    <w:rsid w:val="00971FD6"/>
    <w:rsid w:val="00A17B13"/>
    <w:rsid w:val="00A66E45"/>
    <w:rsid w:val="00B848C7"/>
    <w:rsid w:val="00BC20AA"/>
    <w:rsid w:val="00BF2C1E"/>
    <w:rsid w:val="00C51B2C"/>
    <w:rsid w:val="00C96414"/>
    <w:rsid w:val="00D528F3"/>
    <w:rsid w:val="00D71F97"/>
    <w:rsid w:val="00DC03C7"/>
    <w:rsid w:val="00E00C9C"/>
    <w:rsid w:val="00E0213B"/>
    <w:rsid w:val="00E33CD7"/>
    <w:rsid w:val="00E56E21"/>
    <w:rsid w:val="00E65E54"/>
    <w:rsid w:val="00E7598B"/>
    <w:rsid w:val="00EC4447"/>
    <w:rsid w:val="00EC75E2"/>
    <w:rsid w:val="00EE7AE3"/>
    <w:rsid w:val="00F3264D"/>
    <w:rsid w:val="00F51EC1"/>
    <w:rsid w:val="00FA1E1C"/>
    <w:rsid w:val="00FC18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BB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6E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6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papers.ssrn.com/sol3/papers.cfm?abstract_id=1227743"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ubmission-cover-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70da5c63-8548-4ac8-9616-83b0f373280e" ContentTypeId="0x0101007916246811615643A710C6FEAFF56A871101" PreviousValue="false"/>
</file>

<file path=customXml/item3.xml><?xml version="1.0" encoding="utf-8"?>
<ct:contentTypeSchema xmlns:ct="http://schemas.microsoft.com/office/2006/metadata/contentType" xmlns:ma="http://schemas.microsoft.com/office/2006/metadata/properties/metaAttributes" ct:_="" ma:_="" ma:contentTypeName="Inquiry" ma:contentTypeID="0x0101007916246811615643A710C6FEAFF56A87110100DACBAFCEE7175441BB62E17D33457450" ma:contentTypeVersion="11" ma:contentTypeDescription="" ma:contentTypeScope="" ma:versionID="05a1f3584cf391744736fa65638375d0">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0956754caf067b0fe1c7c5a5f7f6447"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o939ead9e1484185b390bbb11d2f5254" minOccurs="0"/>
                <xsd:element ref="ns3: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readOnly="false"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o939ead9e1484185b390bbb11d2f5254" ma:index="12" nillable="true" ma:taxonomy="true" ma:internalName="o939ead9e1484185b390bbb11d2f5254" ma:taxonomyFieldName="Tags1" ma:displayName="Tags" ma:default="" ma:fieldId="{8939ead9-e148-4185-b390-bbb11d2f5254}" ma:taxonomyMulti="true" ma:sspId="70da5c63-8548-4ac8-9616-83b0f373280e" ma:termSetId="e99b77ca-c000-4e3f-a77f-a64077d5e2f2" ma:anchorId="00000000-0000-0000-0000-000000000000" ma:open="false" ma:isKeyword="false">
      <xsd:complexType>
        <xsd:sequence>
          <xsd:element ref="pc:Terms" minOccurs="0" maxOccurs="1"/>
        </xsd:sequence>
      </xsd:complexType>
    </xsd:element>
    <xsd:element name="Archive" ma:index="14"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939ead9e1484185b390bbb11d2f5254 xmlns="8044c801-d84b-4ee1-a77e-678f8dcdee17">
      <Terms xmlns="http://schemas.microsoft.com/office/infopath/2007/PartnerControls"/>
    </o939ead9e1484185b390bbb11d2f5254>
    <Archive xmlns="8044c801-d84b-4ee1-a77e-678f8dcdee17">false</Archive>
    <p7a0baa8c88445a78b6f55906390ba17 xmlns="3f4bcce7-ac1a-4c9d-aa3e-7e77695652db">
      <Terms xmlns="http://schemas.microsoft.com/office/infopath/2007/PartnerControls">
        <TermInfo xmlns="http://schemas.microsoft.com/office/infopath/2007/PartnerControls">
          <TermName>Submissions</TermName>
          <TermId>c6e0dbf8-5444-433c-844d-d567dd519a05</TermId>
        </TermInfo>
      </Terms>
    </p7a0baa8c88445a78b6f55906390ba17>
    <TaxCatchAll xmlns="3f4bcce7-ac1a-4c9d-aa3e-7e77695652db">
      <Value>139</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FB8AF-07C4-4110-B5D6-C1E618A69EFF}">
  <ds:schemaRefs>
    <ds:schemaRef ds:uri="http://schemas.microsoft.com/office/2006/metadata/customXsn"/>
  </ds:schemaRefs>
</ds:datastoreItem>
</file>

<file path=customXml/itemProps2.xml><?xml version="1.0" encoding="utf-8"?>
<ds:datastoreItem xmlns:ds="http://schemas.openxmlformats.org/officeDocument/2006/customXml" ds:itemID="{AF9342C1-4559-40CF-9662-E12E4E7ACE87}">
  <ds:schemaRefs>
    <ds:schemaRef ds:uri="Microsoft.SharePoint.Taxonomy.ContentTypeSync"/>
  </ds:schemaRefs>
</ds:datastoreItem>
</file>

<file path=customXml/itemProps3.xml><?xml version="1.0" encoding="utf-8"?>
<ds:datastoreItem xmlns:ds="http://schemas.openxmlformats.org/officeDocument/2006/customXml" ds:itemID="{76B17176-E358-4FB5-B785-859B4079D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3F28B9-93B3-42BA-8312-3B9E19521340}">
  <ds:schemaRefs>
    <ds:schemaRef ds:uri="8044c801-d84b-4ee1-a77e-678f8dcdee17"/>
    <ds:schemaRef ds:uri="http://purl.org/dc/dcmitype/"/>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3f4bcce7-ac1a-4c9d-aa3e-7e77695652d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0CD9FD8-8569-4C40-AC88-A61347D8F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submission-cover-sheet.dotm</Template>
  <TotalTime>2</TotalTime>
  <Pages>2</Pages>
  <Words>739</Words>
  <Characters>4018</Characters>
  <Application>Microsoft Office Word</Application>
  <DocSecurity>0</DocSecurity>
  <Lines>103</Lines>
  <Paragraphs>27</Paragraphs>
  <ScaleCrop>false</ScaleCrop>
  <HeadingPairs>
    <vt:vector size="2" baseType="variant">
      <vt:variant>
        <vt:lpstr>Title</vt:lpstr>
      </vt:variant>
      <vt:variant>
        <vt:i4>1</vt:i4>
      </vt:variant>
    </vt:vector>
  </HeadingPairs>
  <TitlesOfParts>
    <vt:vector size="1" baseType="lpstr">
      <vt:lpstr>Submission DR264 - Graeme Orr - Workplace Relations Framework - Public inquiry</vt:lpstr>
    </vt:vector>
  </TitlesOfParts>
  <Company>Graeme Orr</Company>
  <LinksUpToDate>false</LinksUpToDate>
  <CharactersWithSpaces>4730</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DR264 - Graeme Orr - Workplace Relations Framework - Public inquiry</dc:title>
  <dc:creator>Graeme Orr</dc:creator>
  <cp:lastModifiedBy>Productivity Commission</cp:lastModifiedBy>
  <cp:revision>4</cp:revision>
  <cp:lastPrinted>2004-07-01T12:55:00Z</cp:lastPrinted>
  <dcterms:created xsi:type="dcterms:W3CDTF">2015-09-01T04:28:00Z</dcterms:created>
  <dcterms:modified xsi:type="dcterms:W3CDTF">2015-09-18T05:00:00Z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0x0101007916246811615643A710C6FEAFF56A87110100DACBAFCEE7175441BB62E17D33457450</vt:lpwstr>
  </property>
  <property fmtid="{D5CDD505-2E9C-101B-9397-08002B2CF9AE}" pid="4" name="Tags1">
    <vt:lpwstr/>
  </property>
  <property fmtid="{D5CDD505-2E9C-101B-9397-08002B2CF9AE}" pid="5" name="Record_x0020_Tag">
    <vt:lpwstr>139;#Submissions|c6e0dbf8-5444-433c-844d-d567dd519a05</vt:lpwstr>
  </property>
  <property fmtid="{D5CDD505-2E9C-101B-9397-08002B2CF9AE}" pid="6" name="Record Tag">
    <vt:lpwstr>139</vt:lpwstr>
  </property>
</Properties>
</file>