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0ECA3" w14:textId="1AC59794" w:rsidR="00EA2532" w:rsidRPr="007B062B" w:rsidRDefault="00EA2532" w:rsidP="00EA2532">
      <w:pPr>
        <w:pStyle w:val="Heading1"/>
        <w:rPr>
          <w:color w:val="FFFFFF" w:themeColor="background1"/>
          <w:sz w:val="16"/>
          <w:szCs w:val="16"/>
        </w:rPr>
      </w:pPr>
      <w:bookmarkStart w:id="0" w:name="ChapterTitle"/>
      <w:r w:rsidRPr="007B062B">
        <w:rPr>
          <w:b/>
          <w:noProof/>
          <w:color w:val="FFFFFF" w:themeColor="background1"/>
          <w:szCs w:val="26"/>
        </w:rPr>
        <w:drawing>
          <wp:anchor distT="0" distB="0" distL="114300" distR="114300" simplePos="0" relativeHeight="251658240" behindDoc="0" locked="0" layoutInCell="1" allowOverlap="1" wp14:anchorId="72318D8B" wp14:editId="61C8339D">
            <wp:simplePos x="832513" y="832513"/>
            <wp:positionH relativeFrom="page">
              <wp:align>center</wp:align>
            </wp:positionH>
            <wp:positionV relativeFrom="page">
              <wp:align>center</wp:align>
            </wp:positionV>
            <wp:extent cx="7820660" cy="11062335"/>
            <wp:effectExtent l="0" t="0" r="8890" b="5715"/>
            <wp:wrapNone/>
            <wp:docPr id="5" name="Picture 5" descr="Cover for Technical supplement 6: Analysis of members' needs, Superannuation: Assessing Efficiency and Competitiveness, Productivity Commission Draft Report, May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chnical-supplement--5-draft-superannuation_Part3.png"/>
                    <pic:cNvPicPr/>
                  </pic:nvPicPr>
                  <pic:blipFill>
                    <a:blip r:embed="rId8">
                      <a:extLst>
                        <a:ext uri="{28A0092B-C50C-407E-A947-70E740481C1C}">
                          <a14:useLocalDpi xmlns:a14="http://schemas.microsoft.com/office/drawing/2010/main" val="0"/>
                        </a:ext>
                      </a:extLst>
                    </a:blip>
                    <a:stretch>
                      <a:fillRect/>
                    </a:stretch>
                  </pic:blipFill>
                  <pic:spPr>
                    <a:xfrm>
                      <a:off x="0" y="0"/>
                      <a:ext cx="7820907" cy="11062800"/>
                    </a:xfrm>
                    <a:prstGeom prst="rect">
                      <a:avLst/>
                    </a:prstGeom>
                  </pic:spPr>
                </pic:pic>
              </a:graphicData>
            </a:graphic>
            <wp14:sizeRelH relativeFrom="margin">
              <wp14:pctWidth>0</wp14:pctWidth>
            </wp14:sizeRelH>
            <wp14:sizeRelV relativeFrom="margin">
              <wp14:pctHeight>0</wp14:pctHeight>
            </wp14:sizeRelV>
          </wp:anchor>
        </w:drawing>
      </w:r>
      <w:r w:rsidRPr="007B062B">
        <w:rPr>
          <w:color w:val="FFFFFF" w:themeColor="background1"/>
          <w:sz w:val="16"/>
          <w:szCs w:val="16"/>
        </w:rPr>
        <w:t>Analysis of members’ needs</w:t>
      </w:r>
    </w:p>
    <w:p w14:paraId="235512DE" w14:textId="3A238ADD" w:rsidR="00EA2532" w:rsidRPr="007B062B" w:rsidRDefault="007B062B" w:rsidP="00EA2532">
      <w:pPr>
        <w:pStyle w:val="BodyText"/>
        <w:rPr>
          <w:color w:val="FFFFFF" w:themeColor="background1"/>
          <w:sz w:val="16"/>
          <w:szCs w:val="16"/>
        </w:rPr>
      </w:pPr>
      <w:r w:rsidRPr="007B062B">
        <w:rPr>
          <w:color w:val="FFFFFF" w:themeColor="background1"/>
          <w:sz w:val="16"/>
          <w:szCs w:val="16"/>
        </w:rPr>
        <w:t>Technical Supplement 6</w:t>
      </w:r>
      <w:r w:rsidRPr="007B062B">
        <w:rPr>
          <w:color w:val="FFFFFF" w:themeColor="background1"/>
          <w:sz w:val="16"/>
          <w:szCs w:val="16"/>
        </w:rPr>
        <w:t xml:space="preserve">, </w:t>
      </w:r>
      <w:r w:rsidR="00EA2532" w:rsidRPr="007B062B">
        <w:rPr>
          <w:color w:val="FFFFFF" w:themeColor="background1"/>
          <w:sz w:val="16"/>
          <w:szCs w:val="16"/>
        </w:rPr>
        <w:t>S</w:t>
      </w:r>
      <w:r w:rsidR="00EA2532" w:rsidRPr="007B062B">
        <w:rPr>
          <w:color w:val="FFFFFF" w:themeColor="background1"/>
          <w:sz w:val="16"/>
          <w:szCs w:val="16"/>
        </w:rPr>
        <w:t xml:space="preserve">uperannuation: Assessing Efficiency and Competitiveness, </w:t>
      </w:r>
      <w:r w:rsidR="00EA2532" w:rsidRPr="007B062B">
        <w:rPr>
          <w:color w:val="FFFFFF" w:themeColor="background1"/>
          <w:sz w:val="16"/>
          <w:szCs w:val="16"/>
        </w:rPr>
        <w:t>Productivity Commission Draft Report,</w:t>
      </w:r>
      <w:r w:rsidR="00EA2532" w:rsidRPr="007B062B">
        <w:rPr>
          <w:color w:val="FFFFFF" w:themeColor="background1"/>
          <w:sz w:val="16"/>
          <w:szCs w:val="16"/>
        </w:rPr>
        <w:t xml:space="preserve"> </w:t>
      </w:r>
      <w:r w:rsidR="00EA2532" w:rsidRPr="007B062B">
        <w:rPr>
          <w:color w:val="FFFFFF" w:themeColor="background1"/>
          <w:sz w:val="16"/>
          <w:szCs w:val="16"/>
        </w:rPr>
        <w:t>May</w:t>
      </w:r>
    </w:p>
    <w:p w14:paraId="11C19143" w14:textId="1FAE8F98" w:rsidR="00EA2532" w:rsidRPr="008B144E" w:rsidRDefault="00EA2532" w:rsidP="00EA2532">
      <w:pPr>
        <w:pStyle w:val="BodyText"/>
        <w:rPr>
          <w:b/>
          <w:szCs w:val="26"/>
        </w:rPr>
      </w:pPr>
      <w:r w:rsidRPr="008B144E">
        <w:rPr>
          <w:color w:val="FFFFFF" w:themeColor="background1"/>
          <w:sz w:val="16"/>
          <w:szCs w:val="16"/>
        </w:rPr>
        <w:t>Superannuation: Assessing Efficiency and Competitiveness, Productivity Commission Draft Report</w:t>
      </w:r>
      <w:r w:rsidRPr="008B144E">
        <w:br w:type="page"/>
      </w:r>
    </w:p>
    <w:p w14:paraId="49EE7D2C" w14:textId="77777777" w:rsidR="00EA2532" w:rsidRDefault="00EA2532" w:rsidP="00EA2532">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2018</w:t>
      </w:r>
    </w:p>
    <w:p w14:paraId="5D44E5E9" w14:textId="77777777" w:rsidR="00EA2532" w:rsidRDefault="00EA2532" w:rsidP="00EA2532">
      <w:pPr>
        <w:pStyle w:val="BodyText"/>
        <w:spacing w:after="120"/>
      </w:pPr>
      <w:bookmarkStart w:id="1" w:name="ISSN"/>
      <w:bookmarkEnd w:id="1"/>
      <w:r w:rsidRPr="00862D8F">
        <w:rPr>
          <w:noProof/>
          <w:sz w:val="22"/>
          <w:szCs w:val="22"/>
        </w:rPr>
        <w:drawing>
          <wp:inline distT="0" distB="0" distL="0" distR="0" wp14:anchorId="2894A3AB" wp14:editId="69579E73">
            <wp:extent cx="843280" cy="295043"/>
            <wp:effectExtent l="0" t="0" r="0" b="0"/>
            <wp:docPr id="1" name="Picture 1"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37350F2F" w14:textId="77777777" w:rsidR="00EA2532" w:rsidRPr="008A3857" w:rsidRDefault="00EA2532" w:rsidP="00EA2532">
      <w:pPr>
        <w:pStyle w:val="Copyrightbodytext"/>
      </w:pPr>
      <w:r w:rsidRPr="008A3857">
        <w:t xml:space="preserve">Except for the Commonwealth Coat of Arms and content supplied by third parties, this copyright work is licensed under a Creative Commons Attribution 3.0 Australia licence. To view a copy of this licence, visit </w:t>
      </w:r>
      <w:hyperlink r:id="rId10" w:history="1">
        <w:hyperlink r:id="rId11" w:history="1">
          <w:r w:rsidRPr="00805FD7">
            <w:t>http://creativecommons.org/licenses/by/3.0/au</w:t>
          </w:r>
        </w:hyperlink>
      </w:hyperlink>
      <w:r w:rsidRPr="008A3857">
        <w:rPr>
          <w:szCs w:val="24"/>
        </w:rPr>
        <w:t>.</w:t>
      </w:r>
      <w:r w:rsidRPr="008A3857">
        <w:t xml:space="preserve"> In essence, you are free to copy, communicate and adapt the work, as long as you attribute the work to the Productivity Commission (but not in any way that suggests the Commission endorses you or your use) and abide by the other licence terms.</w:t>
      </w:r>
    </w:p>
    <w:p w14:paraId="09945B5D" w14:textId="77777777" w:rsidR="00EA2532" w:rsidRPr="008A3857" w:rsidRDefault="00EA2532" w:rsidP="00EA2532">
      <w:pPr>
        <w:pStyle w:val="Copyrightsubtitle"/>
      </w:pPr>
      <w:r w:rsidRPr="008A3857">
        <w:t>Use of the Commonwealth Coat of Arms</w:t>
      </w:r>
    </w:p>
    <w:p w14:paraId="1B81B7BC" w14:textId="77777777" w:rsidR="00EA2532" w:rsidRPr="008A3857" w:rsidRDefault="00EA2532" w:rsidP="00EA2532">
      <w:pPr>
        <w:pStyle w:val="Copyrightbodytext"/>
      </w:pPr>
      <w:r>
        <w:t>Terms of use for the Coat of Arms are available from the Department of the Prime Minister and Cabinet’s website:</w:t>
      </w:r>
      <w:r>
        <w:rPr>
          <w:spacing w:val="-6"/>
        </w:rPr>
        <w:t xml:space="preserve"> </w:t>
      </w:r>
      <w:hyperlink r:id="rId12" w:history="1">
        <w:r w:rsidRPr="00636390">
          <w:rPr>
            <w:rStyle w:val="Hyperlink"/>
          </w:rPr>
          <w:t>https://</w:t>
        </w:r>
        <w:proofErr w:type="spellStart"/>
        <w:r w:rsidRPr="00636390">
          <w:rPr>
            <w:rStyle w:val="Hyperlink"/>
          </w:rPr>
          <w:t>www.pmc.gov.au</w:t>
        </w:r>
        <w:proofErr w:type="spellEnd"/>
        <w:r w:rsidRPr="00636390">
          <w:rPr>
            <w:rStyle w:val="Hyperlink"/>
          </w:rPr>
          <w:t>/government/commonwealth-coat-arms</w:t>
        </w:r>
      </w:hyperlink>
    </w:p>
    <w:p w14:paraId="5A725C92" w14:textId="77777777" w:rsidR="00EA2532" w:rsidRPr="008A3857" w:rsidRDefault="00EA2532" w:rsidP="00EA2532">
      <w:pPr>
        <w:pStyle w:val="Copyrightsubtitle"/>
      </w:pPr>
      <w:r w:rsidRPr="008A3857">
        <w:t>Third party copyright</w:t>
      </w:r>
    </w:p>
    <w:p w14:paraId="70562C7F" w14:textId="77777777" w:rsidR="00EA2532" w:rsidRPr="008A3857" w:rsidRDefault="00EA2532" w:rsidP="00EA2532">
      <w:pPr>
        <w:pStyle w:val="Copyrightbodytext"/>
      </w:pPr>
      <w:r w:rsidRPr="008A3857">
        <w:t>Wherever a third party holds copyright in this material, the copyright remains with that party. Their permission may be required to use the material, please contact them directly.</w:t>
      </w:r>
    </w:p>
    <w:p w14:paraId="34F5EDB6" w14:textId="77777777" w:rsidR="00EA2532" w:rsidRPr="008A3857" w:rsidRDefault="00EA2532" w:rsidP="00EA2532">
      <w:pPr>
        <w:pStyle w:val="Copyrightsubtitle"/>
      </w:pPr>
      <w:r w:rsidRPr="008A3857">
        <w:t>Attribution</w:t>
      </w:r>
    </w:p>
    <w:p w14:paraId="59AD3668" w14:textId="21B5EB06" w:rsidR="00EA2532" w:rsidRPr="008A3857" w:rsidRDefault="00EA2532" w:rsidP="00EA2532">
      <w:pPr>
        <w:pStyle w:val="Copyrightbodytext"/>
      </w:pPr>
      <w:r w:rsidRPr="008A3857">
        <w:t xml:space="preserve">This work should be attributed as follows, </w:t>
      </w:r>
      <w:r w:rsidRPr="008E242D">
        <w:rPr>
          <w:i/>
        </w:rPr>
        <w:t xml:space="preserve">Source: Productivity Commission, </w:t>
      </w:r>
      <w:r w:rsidRPr="00EA2532">
        <w:rPr>
          <w:i/>
        </w:rPr>
        <w:t>Analysis of members’ needs</w:t>
      </w:r>
      <w:r>
        <w:rPr>
          <w:i/>
        </w:rPr>
        <w:t xml:space="preserve">, Technical Supplement </w:t>
      </w:r>
      <w:r>
        <w:rPr>
          <w:i/>
        </w:rPr>
        <w:t>6</w:t>
      </w:r>
      <w:r w:rsidRPr="008A3857">
        <w:t>.</w:t>
      </w:r>
    </w:p>
    <w:p w14:paraId="650D2512" w14:textId="02D69CE0" w:rsidR="00EA2532" w:rsidRPr="002E4EA3" w:rsidRDefault="00EA2532" w:rsidP="00EA2532">
      <w:pPr>
        <w:pStyle w:val="Copyrightbodytext"/>
        <w:spacing w:before="120"/>
        <w:rPr>
          <w:spacing w:val="-2"/>
        </w:rPr>
      </w:pPr>
      <w:r w:rsidRPr="002E4EA3">
        <w:rPr>
          <w:spacing w:val="-2"/>
        </w:rPr>
        <w:t xml:space="preserve">If you have adapted, modified or transformed this work in anyway, please use the following, </w:t>
      </w:r>
      <w:r w:rsidRPr="002E4EA3">
        <w:rPr>
          <w:i/>
          <w:spacing w:val="-2"/>
        </w:rPr>
        <w:t xml:space="preserve">Source: based on Productivity Commission data, </w:t>
      </w:r>
      <w:r w:rsidRPr="00EA2532">
        <w:rPr>
          <w:i/>
          <w:spacing w:val="-2"/>
        </w:rPr>
        <w:t>Analysis of members’ needs</w:t>
      </w:r>
      <w:r w:rsidRPr="002E4EA3">
        <w:rPr>
          <w:i/>
          <w:spacing w:val="-2"/>
        </w:rPr>
        <w:t xml:space="preserve">, Technical Supplement </w:t>
      </w:r>
      <w:r>
        <w:rPr>
          <w:i/>
          <w:spacing w:val="-2"/>
        </w:rPr>
        <w:t>6</w:t>
      </w:r>
      <w:r w:rsidRPr="002E4EA3">
        <w:rPr>
          <w:spacing w:val="-2"/>
        </w:rPr>
        <w:t>.</w:t>
      </w:r>
    </w:p>
    <w:p w14:paraId="445415F4" w14:textId="77777777" w:rsidR="00EA2532" w:rsidRPr="008A3857" w:rsidRDefault="00EA2532" w:rsidP="00EA2532">
      <w:pPr>
        <w:pStyle w:val="Copyrightsubtitle"/>
      </w:pPr>
      <w:r w:rsidRPr="008A3857">
        <w:t xml:space="preserve">An appropriate </w:t>
      </w:r>
      <w:r>
        <w:t>reference</w:t>
      </w:r>
      <w:r w:rsidRPr="008A3857">
        <w:t xml:space="preserve"> for this publication is:</w:t>
      </w:r>
    </w:p>
    <w:p w14:paraId="68DB197D" w14:textId="3C40BBE9" w:rsidR="00EA2532" w:rsidRPr="008A3857" w:rsidRDefault="00EA2532" w:rsidP="00EA2532">
      <w:pPr>
        <w:pStyle w:val="Copyrightbodytext"/>
      </w:pPr>
      <w:r w:rsidRPr="002E4EA3">
        <w:t>Productivity Commission 201</w:t>
      </w:r>
      <w:r>
        <w:t>8</w:t>
      </w:r>
      <w:r w:rsidRPr="002E4EA3">
        <w:t>, ‘</w:t>
      </w:r>
      <w:r>
        <w:t>A</w:t>
      </w:r>
      <w:r>
        <w:t>nalysis of members’ needs</w:t>
      </w:r>
      <w:r w:rsidRPr="002E4EA3">
        <w:t xml:space="preserve">’, Technical Supplement </w:t>
      </w:r>
      <w:r>
        <w:t>6</w:t>
      </w:r>
      <w:r w:rsidRPr="002E4EA3">
        <w:t xml:space="preserve"> to the Draft Report </w:t>
      </w:r>
      <w:r w:rsidRPr="002E4EA3">
        <w:rPr>
          <w:i/>
        </w:rPr>
        <w:t>Superannuation: Assessing Efficiency and Competitiveness</w:t>
      </w:r>
      <w:r w:rsidRPr="002E4EA3">
        <w:t xml:space="preserve">, Canberra, </w:t>
      </w:r>
      <w:r>
        <w:t>May.</w:t>
      </w:r>
    </w:p>
    <w:p w14:paraId="386DC72C" w14:textId="77777777" w:rsidR="00EA2532" w:rsidRPr="008A3857" w:rsidRDefault="00EA2532" w:rsidP="00EA2532">
      <w:pPr>
        <w:pStyle w:val="Copyrightsubtitle"/>
      </w:pPr>
      <w:bookmarkStart w:id="2" w:name="JEL"/>
      <w:bookmarkEnd w:id="2"/>
      <w:r w:rsidRPr="008A3857">
        <w:t>Publications enquiries</w:t>
      </w:r>
    </w:p>
    <w:p w14:paraId="667EB900" w14:textId="77777777" w:rsidR="00EA2532" w:rsidRDefault="00EA2532" w:rsidP="00EA2532">
      <w:pPr>
        <w:pStyle w:val="Copyrightbodytext"/>
      </w:pPr>
      <w:r>
        <w:t xml:space="preserve">Media, </w:t>
      </w:r>
      <w:r w:rsidRPr="008A3857">
        <w:t>Publications</w:t>
      </w:r>
      <w:r>
        <w:t xml:space="preserve"> and Web</w:t>
      </w:r>
      <w:r w:rsidRPr="008A3857">
        <w:t xml:space="preserve">, </w:t>
      </w:r>
      <w:r>
        <w:rPr>
          <w:szCs w:val="24"/>
        </w:rPr>
        <w:t>phone:</w:t>
      </w:r>
      <w:r w:rsidRPr="00BB5DCF">
        <w:rPr>
          <w:szCs w:val="24"/>
        </w:rPr>
        <w:t xml:space="preserve"> (03) 9653 2244 or email: </w:t>
      </w:r>
      <w:r>
        <w:rPr>
          <w:szCs w:val="24"/>
        </w:rPr>
        <w:t>mpw</w:t>
      </w:r>
      <w:r w:rsidRPr="00BB5DCF">
        <w:rPr>
          <w:szCs w:val="24"/>
        </w:rPr>
        <w:t>@pc.gov.au</w:t>
      </w:r>
    </w:p>
    <w:p w14:paraId="268C22EC" w14:textId="77777777" w:rsidR="00EA2532" w:rsidRDefault="00EA2532" w:rsidP="00EA253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A2532" w14:paraId="37E0C962" w14:textId="77777777" w:rsidTr="00945B7D">
        <w:trPr>
          <w:tblHeader/>
        </w:trPr>
        <w:tc>
          <w:tcPr>
            <w:tcW w:w="5000" w:type="pct"/>
            <w:tcBorders>
              <w:top w:val="single" w:sz="6" w:space="0" w:color="78A22F"/>
              <w:left w:val="nil"/>
              <w:bottom w:val="nil"/>
              <w:right w:val="nil"/>
            </w:tcBorders>
            <w:shd w:val="clear" w:color="auto" w:fill="F2F2F2" w:themeFill="background1" w:themeFillShade="F2"/>
          </w:tcPr>
          <w:p w14:paraId="69247D1E" w14:textId="77777777" w:rsidR="00EA2532" w:rsidRPr="008A3857" w:rsidRDefault="00EA2532" w:rsidP="00945B7D">
            <w:pPr>
              <w:pStyle w:val="BoxTitle"/>
              <w:rPr>
                <w:sz w:val="22"/>
              </w:rPr>
            </w:pPr>
            <w:r w:rsidRPr="008A3857">
              <w:rPr>
                <w:sz w:val="22"/>
              </w:rPr>
              <w:t>The Productivity Commission</w:t>
            </w:r>
          </w:p>
        </w:tc>
      </w:tr>
      <w:tr w:rsidR="00EA2532" w14:paraId="1EFB54A3" w14:textId="77777777" w:rsidTr="00945B7D">
        <w:tc>
          <w:tcPr>
            <w:tcW w:w="5000" w:type="pct"/>
            <w:tcBorders>
              <w:top w:val="nil"/>
              <w:left w:val="nil"/>
              <w:bottom w:val="nil"/>
              <w:right w:val="nil"/>
            </w:tcBorders>
            <w:shd w:val="clear" w:color="auto" w:fill="F2F2F2" w:themeFill="background1" w:themeFillShade="F2"/>
          </w:tcPr>
          <w:p w14:paraId="459A7424" w14:textId="77777777" w:rsidR="00EA2532" w:rsidRDefault="00EA2532" w:rsidP="00945B7D">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5166641E" w14:textId="77777777" w:rsidR="00EA2532" w:rsidRDefault="00EA2532" w:rsidP="00945B7D">
            <w:pPr>
              <w:pStyle w:val="Box"/>
            </w:pPr>
            <w:r w:rsidRPr="00BB5DCF">
              <w:t>The Commission’s independence is underpinned by an Act of Parliament. Its processes and outputs are open to public scrutiny and are driven by concern for the wellbeing of the community as a whole.</w:t>
            </w:r>
          </w:p>
          <w:p w14:paraId="601BA0F9" w14:textId="77777777" w:rsidR="00EA2532" w:rsidRDefault="00EA2532" w:rsidP="00945B7D">
            <w:pPr>
              <w:pStyle w:val="Box"/>
            </w:pPr>
            <w:r w:rsidRPr="00BB5DCF">
              <w:rPr>
                <w:szCs w:val="24"/>
              </w:rPr>
              <w:t>Further information on the Productivity Commission can be obtained from the Commission’s website (</w:t>
            </w:r>
            <w:proofErr w:type="spellStart"/>
            <w:r>
              <w:fldChar w:fldCharType="begin"/>
            </w:r>
            <w:r>
              <w:instrText xml:space="preserve"> HYPERLINK "http://www.pc.gov.au/" </w:instrText>
            </w:r>
            <w:r>
              <w:fldChar w:fldCharType="separate"/>
            </w:r>
            <w:r w:rsidRPr="00805FD7">
              <w:t>www.pc.gov.au</w:t>
            </w:r>
            <w:proofErr w:type="spellEnd"/>
            <w:r>
              <w:fldChar w:fldCharType="end"/>
            </w:r>
            <w:r w:rsidRPr="00BB5DCF">
              <w:rPr>
                <w:szCs w:val="24"/>
              </w:rPr>
              <w:t>)</w:t>
            </w:r>
            <w:r>
              <w:rPr>
                <w:szCs w:val="24"/>
              </w:rPr>
              <w:t>.</w:t>
            </w:r>
          </w:p>
        </w:tc>
      </w:tr>
      <w:tr w:rsidR="00EA2532" w14:paraId="0BA51376" w14:textId="77777777" w:rsidTr="00945B7D">
        <w:tc>
          <w:tcPr>
            <w:tcW w:w="5000" w:type="pct"/>
            <w:tcBorders>
              <w:top w:val="nil"/>
              <w:left w:val="nil"/>
              <w:bottom w:val="single" w:sz="6" w:space="0" w:color="78A22F"/>
              <w:right w:val="nil"/>
            </w:tcBorders>
            <w:shd w:val="clear" w:color="auto" w:fill="F2F2F2" w:themeFill="background1" w:themeFillShade="F2"/>
          </w:tcPr>
          <w:p w14:paraId="2AEAC570" w14:textId="77777777" w:rsidR="00EA2532" w:rsidRDefault="00EA2532" w:rsidP="00945B7D">
            <w:pPr>
              <w:pStyle w:val="Box"/>
              <w:spacing w:before="0" w:line="120" w:lineRule="exact"/>
            </w:pPr>
          </w:p>
        </w:tc>
      </w:tr>
    </w:tbl>
    <w:p w14:paraId="56E84B11" w14:textId="77777777" w:rsidR="00EA2532" w:rsidRDefault="00EA2532" w:rsidP="00EA2532">
      <w:pPr>
        <w:pStyle w:val="BodyText"/>
        <w:sectPr w:rsidR="00EA2532" w:rsidSect="004C75C0">
          <w:pgSz w:w="11907" w:h="16840" w:code="9"/>
          <w:pgMar w:top="1304" w:right="1304" w:bottom="567" w:left="1814" w:header="1701" w:footer="397" w:gutter="0"/>
          <w:pgNumType w:fmt="lowerRoman" w:start="1"/>
          <w:cols w:space="720"/>
          <w:titlePg/>
        </w:sectPr>
      </w:pPr>
      <w:bookmarkStart w:id="3" w:name="cov"/>
      <w:bookmarkEnd w:id="3"/>
    </w:p>
    <w:p w14:paraId="50DC2001" w14:textId="0CEF80CB" w:rsidR="00A33DFF" w:rsidRDefault="00B37383" w:rsidP="008A46E6">
      <w:pPr>
        <w:pStyle w:val="Heading1"/>
        <w:ind w:left="0" w:firstLine="0"/>
      </w:pPr>
      <w:bookmarkStart w:id="4" w:name="_GoBack"/>
      <w:r>
        <w:lastRenderedPageBreak/>
        <w:t>Technical supplement</w:t>
      </w:r>
      <w:r w:rsidR="009D1A97">
        <w:t xml:space="preserve"> 6</w:t>
      </w:r>
      <w:r>
        <w:t>: analysis of members</w:t>
      </w:r>
      <w:r w:rsidR="0042265A">
        <w:t>’</w:t>
      </w:r>
      <w:r>
        <w:t xml:space="preserve"> needs</w:t>
      </w:r>
      <w:bookmarkEnd w:id="0"/>
    </w:p>
    <w:p w14:paraId="50DC2002" w14:textId="79DB84D4" w:rsidR="00666E02" w:rsidRDefault="007C45F7" w:rsidP="00120072">
      <w:pPr>
        <w:pStyle w:val="BodyText"/>
      </w:pPr>
      <w:bookmarkStart w:id="5" w:name="begin"/>
      <w:bookmarkEnd w:id="5"/>
      <w:bookmarkEnd w:id="4"/>
      <w:r>
        <w:t xml:space="preserve">This </w:t>
      </w:r>
      <w:r w:rsidR="00602398">
        <w:t>technical supplement</w:t>
      </w:r>
      <w:r>
        <w:t xml:space="preserve"> provides documentation and further results from empirical analysis of some of the key aspects that determine whether members’ needs are met by the superannuation system.</w:t>
      </w:r>
    </w:p>
    <w:p w14:paraId="3057BD32" w14:textId="46F73F73" w:rsidR="007C45F7" w:rsidRDefault="007C45F7" w:rsidP="00120072">
      <w:pPr>
        <w:pStyle w:val="BodyText"/>
      </w:pPr>
      <w:r>
        <w:t>Section </w:t>
      </w:r>
      <w:r w:rsidR="0046059B">
        <w:t>6.</w:t>
      </w:r>
      <w:r>
        <w:t xml:space="preserve">1 </w:t>
      </w:r>
      <w:r w:rsidR="0046059B">
        <w:t xml:space="preserve">outlines the </w:t>
      </w:r>
      <w:r>
        <w:t>simulation methods</w:t>
      </w:r>
      <w:r w:rsidR="0046059B">
        <w:t xml:space="preserve"> used</w:t>
      </w:r>
      <w:r>
        <w:t xml:space="preserve"> to explore the </w:t>
      </w:r>
      <w:r w:rsidR="0002468C">
        <w:t>d</w:t>
      </w:r>
      <w:r>
        <w:t xml:space="preserve">istribution of outcomes from various investment strategies, recognising that asset returns are volatile and that average results conceal the variety of outcomes that can occur. Members do not get average results in the same way that lottery players do not get the average odds on a lottery ticket. Such modelling is also helpful in that </w:t>
      </w:r>
      <w:r w:rsidR="00B519F5">
        <w:t>it</w:t>
      </w:r>
      <w:r>
        <w:t xml:space="preserve"> can indicate that intuition about the outcomes from different product designs may not be correct (as </w:t>
      </w:r>
      <w:r w:rsidR="00CC251B">
        <w:t>for</w:t>
      </w:r>
      <w:r>
        <w:t xml:space="preserve"> </w:t>
      </w:r>
      <w:proofErr w:type="spellStart"/>
      <w:r>
        <w:t>life</w:t>
      </w:r>
      <w:r w:rsidR="0002468C">
        <w:noBreakHyphen/>
      </w:r>
      <w:r>
        <w:t>cycle</w:t>
      </w:r>
      <w:proofErr w:type="spellEnd"/>
      <w:r>
        <w:t xml:space="preserve"> products).</w:t>
      </w:r>
      <w:r w:rsidR="00C02FA5">
        <w:t xml:space="preserve"> </w:t>
      </w:r>
    </w:p>
    <w:p w14:paraId="77D89537" w14:textId="0443891D" w:rsidR="00B248B8" w:rsidRDefault="00B248B8" w:rsidP="00120072">
      <w:pPr>
        <w:pStyle w:val="BodyText"/>
      </w:pPr>
      <w:r>
        <w:t>Section 6.2 provides some simulation results concerning the degree of sequencing risks for</w:t>
      </w:r>
      <w:r w:rsidR="0042265A">
        <w:t xml:space="preserve"> </w:t>
      </w:r>
      <w:r>
        <w:t>superannuation balances as members approach retirement ages.</w:t>
      </w:r>
    </w:p>
    <w:p w14:paraId="02EEAF0F" w14:textId="6A3B8E07" w:rsidR="00B248B8" w:rsidRDefault="00B248B8" w:rsidP="00120072">
      <w:pPr>
        <w:pStyle w:val="BodyText"/>
      </w:pPr>
      <w:r>
        <w:t>Life</w:t>
      </w:r>
      <w:r>
        <w:noBreakHyphen/>
        <w:t>cycle products have been developed to mitigate sequencing risk</w:t>
      </w:r>
      <w:r w:rsidR="006A7641">
        <w:t>s</w:t>
      </w:r>
      <w:r>
        <w:t xml:space="preserve">. Examining the degree to which they do so requires </w:t>
      </w:r>
      <w:r w:rsidR="00881937">
        <w:t>stochastic</w:t>
      </w:r>
      <w:r>
        <w:t xml:space="preserve"> modelling, with the outcomes of various scenarios assessed in section 6.3.</w:t>
      </w:r>
    </w:p>
    <w:p w14:paraId="79147596" w14:textId="51636693" w:rsidR="00881937" w:rsidRDefault="00881937" w:rsidP="00120072">
      <w:pPr>
        <w:pStyle w:val="BodyText"/>
      </w:pPr>
      <w:r>
        <w:t>As noted in chapter 4, some super funds offer thousands of options, with concerns that these are associated with higher fees and lower net returns. Section 6.4 examines some of the empirical evidence underpinning those concerns.</w:t>
      </w:r>
    </w:p>
    <w:p w14:paraId="2CFCAB01" w14:textId="0AC1BA44" w:rsidR="00881937" w:rsidRDefault="00881937" w:rsidP="00120072">
      <w:pPr>
        <w:pStyle w:val="BodyText"/>
      </w:pPr>
      <w:r>
        <w:t>Finally, it is well established that members often have a limited understanding of their super funds or superannuation in general. While this can lead to poor decision</w:t>
      </w:r>
      <w:r>
        <w:noBreakHyphen/>
        <w:t>making, it also can magnify uncertainty</w:t>
      </w:r>
      <w:r w:rsidR="0016591D">
        <w:t xml:space="preserve">, </w:t>
      </w:r>
      <w:r>
        <w:t xml:space="preserve">distrust and lack of satisfaction. The links between various aspects of financial literacy and trust/satisfaction is explored in section 6.5. </w:t>
      </w:r>
    </w:p>
    <w:p w14:paraId="50DC2003" w14:textId="10E23A32" w:rsidR="00666E02" w:rsidRDefault="00B37383" w:rsidP="00575318">
      <w:pPr>
        <w:pStyle w:val="Heading2"/>
      </w:pPr>
      <w:r>
        <w:t>6.</w:t>
      </w:r>
      <w:r w:rsidR="00663B7A">
        <w:rPr>
          <w:noProof/>
        </w:rPr>
        <w:t>1</w:t>
      </w:r>
      <w:r w:rsidR="00575318">
        <w:tab/>
      </w:r>
      <w:r w:rsidR="00C02FA5">
        <w:t xml:space="preserve">Simulation approaches to testing </w:t>
      </w:r>
      <w:r w:rsidR="00575318">
        <w:t>the impacts of superannuation products</w:t>
      </w:r>
    </w:p>
    <w:p w14:paraId="18982DA0" w14:textId="4998D27D" w:rsidR="000B4717" w:rsidRDefault="003717D5" w:rsidP="00575318">
      <w:pPr>
        <w:pStyle w:val="BodyText"/>
      </w:pPr>
      <w:r>
        <w:t>Throughout the inquiry report, t</w:t>
      </w:r>
      <w:r w:rsidR="001A38FC">
        <w:t>he Commission used two general assessment methods for considering the impacts of</w:t>
      </w:r>
      <w:r>
        <w:t>, among other factors,</w:t>
      </w:r>
      <w:r w:rsidR="001A38FC">
        <w:t xml:space="preserve"> </w:t>
      </w:r>
      <w:r w:rsidR="007D67CA">
        <w:t>s</w:t>
      </w:r>
      <w:r w:rsidR="00A74EFD">
        <w:t xml:space="preserve">hifting to </w:t>
      </w:r>
      <w:proofErr w:type="spellStart"/>
      <w:r w:rsidR="00A74EFD">
        <w:t>life</w:t>
      </w:r>
      <w:r w:rsidR="000D5D1C">
        <w:noBreakHyphen/>
      </w:r>
      <w:r w:rsidR="007D67CA">
        <w:t>cycle</w:t>
      </w:r>
      <w:proofErr w:type="spellEnd"/>
      <w:r w:rsidR="007D67CA">
        <w:t xml:space="preserve"> products, </w:t>
      </w:r>
      <w:r>
        <w:t>high fees, low returns and the balance erosion that accompanies insurance</w:t>
      </w:r>
      <w:r w:rsidR="000B4717">
        <w:t>:</w:t>
      </w:r>
    </w:p>
    <w:p w14:paraId="41A82A81" w14:textId="4D408803" w:rsidR="003717D5" w:rsidRDefault="000B4717" w:rsidP="007D67CA">
      <w:pPr>
        <w:pStyle w:val="ListBullet"/>
      </w:pPr>
      <w:r>
        <w:t>a d</w:t>
      </w:r>
      <w:r w:rsidR="002E6AD2">
        <w:t>et</w:t>
      </w:r>
      <w:r>
        <w:t xml:space="preserve">erministic </w:t>
      </w:r>
      <w:r w:rsidR="00080674">
        <w:t xml:space="preserve">cameo </w:t>
      </w:r>
      <w:r>
        <w:t xml:space="preserve">model based on a ‘representative’ member </w:t>
      </w:r>
      <w:r w:rsidR="002E6AD2">
        <w:t>(</w:t>
      </w:r>
      <w:r w:rsidR="007D67CA">
        <w:t xml:space="preserve">described briefly in </w:t>
      </w:r>
      <w:r w:rsidR="002E6AD2">
        <w:t>chapter </w:t>
      </w:r>
      <w:r w:rsidR="002C7095">
        <w:t>1 and in more detail below</w:t>
      </w:r>
      <w:r w:rsidR="002E6AD2">
        <w:t>)</w:t>
      </w:r>
    </w:p>
    <w:p w14:paraId="231B2436" w14:textId="69C4F14B" w:rsidR="007D67CA" w:rsidRDefault="002E6AD2" w:rsidP="007D67CA">
      <w:pPr>
        <w:pStyle w:val="ListBullet"/>
      </w:pPr>
      <w:r>
        <w:lastRenderedPageBreak/>
        <w:t xml:space="preserve">a stochastic model drawing on the </w:t>
      </w:r>
      <w:r w:rsidR="007D67CA">
        <w:t>parameters</w:t>
      </w:r>
      <w:r>
        <w:t xml:space="preserve"> of the abov</w:t>
      </w:r>
      <w:r w:rsidR="007D67CA">
        <w:t>e model</w:t>
      </w:r>
      <w:r>
        <w:t xml:space="preserve">, but with stochastic rates of return, since </w:t>
      </w:r>
      <w:r w:rsidR="007D67CA">
        <w:t>one of the major determinants of outcomes for members are the future distribution of returns. This is particularly valuable for assessment of products that deal with sequencing risk — a problem that only arises when retur</w:t>
      </w:r>
      <w:r w:rsidR="009E139D">
        <w:t>ns are not known ex </w:t>
      </w:r>
      <w:r w:rsidR="007D67CA">
        <w:t xml:space="preserve">ante. </w:t>
      </w:r>
      <w:r w:rsidR="009E139D">
        <w:t xml:space="preserve">The focus </w:t>
      </w:r>
      <w:r w:rsidR="005C3E5D">
        <w:t xml:space="preserve">of the analysis in this technical paper </w:t>
      </w:r>
      <w:r w:rsidR="009E139D">
        <w:t>is on the accum</w:t>
      </w:r>
      <w:r w:rsidR="007D67CA">
        <w:t>ulation phase, but the model can also indicate the outcomes in the retirement period</w:t>
      </w:r>
      <w:r w:rsidR="005C3E5D">
        <w:t>.</w:t>
      </w:r>
    </w:p>
    <w:p w14:paraId="1183D12A" w14:textId="363F378F" w:rsidR="00A0442B" w:rsidRDefault="00A0442B" w:rsidP="00A0442B">
      <w:pPr>
        <w:pStyle w:val="ListBullet"/>
        <w:numPr>
          <w:ilvl w:val="0"/>
          <w:numId w:val="0"/>
        </w:numPr>
        <w:ind w:left="340" w:hanging="340"/>
      </w:pPr>
      <w:r>
        <w:t>Wages and fees are in real terms over the period of the analysis.</w:t>
      </w:r>
    </w:p>
    <w:p w14:paraId="0C6D3D4C" w14:textId="77777777" w:rsidR="00CA7B5C" w:rsidRDefault="00CA7B5C" w:rsidP="0099611D">
      <w:pPr>
        <w:pStyle w:val="Heading3"/>
      </w:pPr>
      <w:r>
        <w:t>The most important ages</w:t>
      </w:r>
    </w:p>
    <w:p w14:paraId="4B0E0288" w14:textId="76C51A13" w:rsidR="000013E5" w:rsidRDefault="0002468C" w:rsidP="0002468C">
      <w:pPr>
        <w:pStyle w:val="BodyText"/>
      </w:pPr>
      <w:r>
        <w:t xml:space="preserve">The member enters the superannuation system </w:t>
      </w:r>
      <w:r w:rsidR="00207B55">
        <w:t xml:space="preserve">in 2018 </w:t>
      </w:r>
      <w:r>
        <w:t xml:space="preserve">at age </w:t>
      </w:r>
      <w:proofErr w:type="spellStart"/>
      <w:r w:rsidRPr="0002468C">
        <w:rPr>
          <w:i/>
        </w:rPr>
        <w:t>StartAge</w:t>
      </w:r>
      <w:proofErr w:type="spellEnd"/>
      <w:r>
        <w:t xml:space="preserve"> </w:t>
      </w:r>
      <w:r w:rsidR="002C7095">
        <w:t>(with the default being 21 </w:t>
      </w:r>
      <w:r>
        <w:t>years)</w:t>
      </w:r>
      <w:r w:rsidR="002C7095">
        <w:t xml:space="preserve">, retires </w:t>
      </w:r>
      <w:r w:rsidR="00207B55">
        <w:t xml:space="preserve">in 2064 </w:t>
      </w:r>
      <w:r w:rsidR="002C7095">
        <w:t xml:space="preserve">at age </w:t>
      </w:r>
      <w:proofErr w:type="spellStart"/>
      <w:r w:rsidR="002C7095" w:rsidRPr="002C7095">
        <w:rPr>
          <w:i/>
        </w:rPr>
        <w:t>RetireAge</w:t>
      </w:r>
      <w:proofErr w:type="spellEnd"/>
      <w:r w:rsidR="002C7095">
        <w:t xml:space="preserve"> (with the default being age 67 years) and </w:t>
      </w:r>
      <w:r>
        <w:t xml:space="preserve">dies </w:t>
      </w:r>
      <w:r w:rsidR="00207B55">
        <w:t xml:space="preserve">in 2085 </w:t>
      </w:r>
      <w:r>
        <w:t xml:space="preserve">at age </w:t>
      </w:r>
      <w:proofErr w:type="spellStart"/>
      <w:r w:rsidRPr="0002468C">
        <w:rPr>
          <w:i/>
        </w:rPr>
        <w:t>Death</w:t>
      </w:r>
      <w:r w:rsidR="002C7095">
        <w:rPr>
          <w:i/>
        </w:rPr>
        <w:t>Age</w:t>
      </w:r>
      <w:proofErr w:type="spellEnd"/>
      <w:r>
        <w:t xml:space="preserve"> (with a default value of 88</w:t>
      </w:r>
      <w:r w:rsidR="00050BD8">
        <w:t> </w:t>
      </w:r>
      <w:r>
        <w:t>years).</w:t>
      </w:r>
      <w:r w:rsidR="00E80B14">
        <w:t xml:space="preserve"> </w:t>
      </w:r>
      <w:r w:rsidR="006706F7">
        <w:t>While many people will have patterns of work, retirement and death that vary from the default values, the</w:t>
      </w:r>
      <w:r w:rsidR="00EE5CE1">
        <w:t>y nevertheless will align with the expected experiences of many people</w:t>
      </w:r>
      <w:r w:rsidR="00483658">
        <w:t>.</w:t>
      </w:r>
    </w:p>
    <w:p w14:paraId="13757901" w14:textId="341619CF" w:rsidR="0002468C" w:rsidRDefault="008F4506" w:rsidP="00CA7B5C">
      <w:pPr>
        <w:pStyle w:val="ListBullet"/>
      </w:pPr>
      <w:r>
        <w:t xml:space="preserve">The default retirement age is higher than the current observed rate, </w:t>
      </w:r>
      <w:r w:rsidR="00BF1B3C">
        <w:t xml:space="preserve">but various </w:t>
      </w:r>
      <w:r w:rsidR="00400A89">
        <w:t>factors</w:t>
      </w:r>
      <w:r w:rsidR="00BF1B3C">
        <w:t xml:space="preserve"> are likely to increase </w:t>
      </w:r>
      <w:r w:rsidR="00400A89">
        <w:t>the average retirement age</w:t>
      </w:r>
      <w:r w:rsidR="00BF1B3C">
        <w:t xml:space="preserve"> over the period of the Commission’s model.</w:t>
      </w:r>
      <w:r w:rsidR="00BA6D3C">
        <w:rPr>
          <w:rStyle w:val="FootnoteReference"/>
        </w:rPr>
        <w:footnoteReference w:id="2"/>
      </w:r>
      <w:r w:rsidR="00BF1B3C">
        <w:t xml:space="preserve"> Improving life expectancy, rising labour force </w:t>
      </w:r>
      <w:r>
        <w:t xml:space="preserve">participation </w:t>
      </w:r>
      <w:r w:rsidR="00BF1B3C">
        <w:t>rates for</w:t>
      </w:r>
      <w:r>
        <w:t xml:space="preserve"> older </w:t>
      </w:r>
      <w:r w:rsidR="00BF1B3C">
        <w:t>p</w:t>
      </w:r>
      <w:r w:rsidR="00802052">
        <w:t>eople</w:t>
      </w:r>
      <w:r>
        <w:t xml:space="preserve"> and policies that have </w:t>
      </w:r>
      <w:r w:rsidR="00BF1B3C">
        <w:t xml:space="preserve">increased the age </w:t>
      </w:r>
      <w:r w:rsidR="00BA6D3C">
        <w:t>when</w:t>
      </w:r>
      <w:r w:rsidR="00BF1B3C">
        <w:t xml:space="preserve"> people are eligible for withdrawals from superannuation (the preservation age) and </w:t>
      </w:r>
      <w:r>
        <w:t xml:space="preserve">access to the Age Pension </w:t>
      </w:r>
      <w:r w:rsidR="00B36F63">
        <w:t xml:space="preserve">will all tend to </w:t>
      </w:r>
      <w:r w:rsidR="00802052">
        <w:t>d</w:t>
      </w:r>
      <w:r w:rsidR="00BA6D3C">
        <w:t>efer retirement ages.</w:t>
      </w:r>
      <w:r w:rsidR="00A52D73">
        <w:t xml:space="preserve"> In particular, the shift to an Age Pension eligibility age of 67</w:t>
      </w:r>
      <w:r w:rsidR="00213D43">
        <w:t> </w:t>
      </w:r>
      <w:r w:rsidR="00A52D73">
        <w:t>years by 2023 is likely to have a marked impact. Regardless, even now a significant share of men retire at or after age 67 years.</w:t>
      </w:r>
    </w:p>
    <w:p w14:paraId="7572691F" w14:textId="6E8CD737" w:rsidR="00601E58" w:rsidRDefault="000013E5" w:rsidP="00CA7B5C">
      <w:pPr>
        <w:pStyle w:val="ListBullet"/>
      </w:pPr>
      <w:r>
        <w:t>The life expectancy estimate is also higher than current levels, but is also plausible. The most recent life tables (2014</w:t>
      </w:r>
      <w:r w:rsidR="0042265A">
        <w:t>–</w:t>
      </w:r>
      <w:r>
        <w:t xml:space="preserve">2016) suggest that someone reaching age 67 </w:t>
      </w:r>
      <w:r w:rsidR="00601E58">
        <w:t xml:space="preserve">years </w:t>
      </w:r>
      <w:r w:rsidR="00E43F56">
        <w:t>in 2015</w:t>
      </w:r>
      <w:r>
        <w:t>, will live another 18 years, which would take them up to age 85 years</w:t>
      </w:r>
      <w:r w:rsidR="00F4554C">
        <w:t xml:space="preserve"> </w:t>
      </w:r>
      <w:r w:rsidR="00E92356" w:rsidRPr="00E92356">
        <w:rPr>
          <w:szCs w:val="24"/>
        </w:rPr>
        <w:t>(ABS </w:t>
      </w:r>
      <w:proofErr w:type="spellStart"/>
      <w:r w:rsidR="00E92356" w:rsidRPr="00E92356">
        <w:rPr>
          <w:szCs w:val="24"/>
        </w:rPr>
        <w:t>2017d</w:t>
      </w:r>
      <w:proofErr w:type="spellEnd"/>
      <w:r w:rsidR="00E92356" w:rsidRPr="00E92356">
        <w:rPr>
          <w:szCs w:val="24"/>
        </w:rPr>
        <w:t>)</w:t>
      </w:r>
      <w:r>
        <w:t xml:space="preserve">. However, this projection is a period (not cohort) life expectancy, which takes as given the </w:t>
      </w:r>
      <w:r w:rsidRPr="000013E5">
        <w:rPr>
          <w:i/>
        </w:rPr>
        <w:t>current</w:t>
      </w:r>
      <w:r>
        <w:t xml:space="preserve"> mortality rates for each year after age 67</w:t>
      </w:r>
      <w:r w:rsidR="00050BD8">
        <w:t> years</w:t>
      </w:r>
      <w:r w:rsidR="00601E58">
        <w:t xml:space="preserve">. The general trend is for declining </w:t>
      </w:r>
      <w:r>
        <w:t>age</w:t>
      </w:r>
      <w:r>
        <w:noBreakHyphen/>
        <w:t>specific mortality rates</w:t>
      </w:r>
      <w:r w:rsidR="006706F7">
        <w:t xml:space="preserve"> </w:t>
      </w:r>
      <w:r w:rsidR="006706F7" w:rsidRPr="006706F7">
        <w:rPr>
          <w:szCs w:val="24"/>
        </w:rPr>
        <w:t>(</w:t>
      </w:r>
      <w:proofErr w:type="spellStart"/>
      <w:r w:rsidR="006706F7" w:rsidRPr="006706F7">
        <w:rPr>
          <w:szCs w:val="24"/>
        </w:rPr>
        <w:t>Kontis</w:t>
      </w:r>
      <w:proofErr w:type="spellEnd"/>
      <w:r w:rsidR="006706F7" w:rsidRPr="006706F7">
        <w:rPr>
          <w:szCs w:val="24"/>
        </w:rPr>
        <w:t xml:space="preserve"> et al. 2017)</w:t>
      </w:r>
      <w:r w:rsidR="00601E58">
        <w:t>.</w:t>
      </w:r>
      <w:r w:rsidR="00601E58" w:rsidRPr="00601E58">
        <w:t xml:space="preserve"> </w:t>
      </w:r>
      <w:r w:rsidR="00CA7B5C">
        <w:t xml:space="preserve">Moreover, </w:t>
      </w:r>
      <w:r w:rsidR="00E43F56">
        <w:t xml:space="preserve">a </w:t>
      </w:r>
      <w:r w:rsidR="00CA7B5C">
        <w:t xml:space="preserve">later retirement </w:t>
      </w:r>
      <w:r w:rsidR="00E43F56">
        <w:t xml:space="preserve">age </w:t>
      </w:r>
      <w:r w:rsidR="00CA7B5C">
        <w:t>(which the age of 67</w:t>
      </w:r>
      <w:r w:rsidR="00050BD8">
        <w:t> years</w:t>
      </w:r>
      <w:r w:rsidR="00CA7B5C">
        <w:t xml:space="preserve"> is) is protective of longevity</w:t>
      </w:r>
      <w:r w:rsidR="00EF7541">
        <w:t>,</w:t>
      </w:r>
      <w:r w:rsidR="00CA7B5C">
        <w:t xml:space="preserve"> even after taking account of observed health status.</w:t>
      </w:r>
    </w:p>
    <w:p w14:paraId="5B8F5C17" w14:textId="586DDF57" w:rsidR="000013E5" w:rsidRDefault="00CA7B5C" w:rsidP="00CA7B5C">
      <w:pPr>
        <w:pStyle w:val="ListBullet"/>
      </w:pPr>
      <w:r>
        <w:t>While many people work before age 21</w:t>
      </w:r>
      <w:r w:rsidR="009910F8">
        <w:t> </w:t>
      </w:r>
      <w:r>
        <w:t>years, the share doing so is still only around 40 per cent for males aged 15</w:t>
      </w:r>
      <w:r w:rsidR="00483658">
        <w:t>–</w:t>
      </w:r>
      <w:r>
        <w:t xml:space="preserve">19 years (in 2018), and this will </w:t>
      </w:r>
      <w:r w:rsidR="00E43F56">
        <w:t xml:space="preserve">often </w:t>
      </w:r>
      <w:r>
        <w:t xml:space="preserve">entail work that does not meet the minimum required threshold for mandatory superannuation contributions </w:t>
      </w:r>
      <w:r w:rsidRPr="00CA7B5C">
        <w:rPr>
          <w:szCs w:val="24"/>
        </w:rPr>
        <w:t>(ABS 2018)</w:t>
      </w:r>
      <w:r>
        <w:t xml:space="preserve">. </w:t>
      </w:r>
      <w:r w:rsidR="00E43F56">
        <w:t>In contrast,</w:t>
      </w:r>
      <w:r>
        <w:t xml:space="preserve"> the employment rates for males aged 20</w:t>
      </w:r>
      <w:r w:rsidR="00483658">
        <w:t>–</w:t>
      </w:r>
      <w:r>
        <w:t>24 years is more than 70 per cent.</w:t>
      </w:r>
    </w:p>
    <w:p w14:paraId="0DE25ADD" w14:textId="555BC338" w:rsidR="00BB519C" w:rsidRDefault="00BB519C" w:rsidP="000E7940">
      <w:pPr>
        <w:pStyle w:val="BodyText"/>
      </w:pPr>
      <w:r>
        <w:t xml:space="preserve">In the main report, an </w:t>
      </w:r>
      <w:r w:rsidR="00DC5AD0">
        <w:t>alternative</w:t>
      </w:r>
      <w:r>
        <w:t xml:space="preserve"> scenario also considers someone who is </w:t>
      </w:r>
      <w:r w:rsidRPr="000E7940">
        <w:rPr>
          <w:i/>
        </w:rPr>
        <w:t>currently</w:t>
      </w:r>
      <w:r>
        <w:t xml:space="preserve"> 55 years old with an existing superannuation balance, and then </w:t>
      </w:r>
      <w:r w:rsidR="00952D22">
        <w:t>estimates</w:t>
      </w:r>
      <w:r>
        <w:t xml:space="preserve"> the </w:t>
      </w:r>
      <w:r w:rsidR="00F647CC">
        <w:t>outcomes</w:t>
      </w:r>
      <w:r>
        <w:t xml:space="preserve"> for them </w:t>
      </w:r>
      <w:r w:rsidR="000E7940">
        <w:t xml:space="preserve">at </w:t>
      </w:r>
      <w:r>
        <w:t>retirement</w:t>
      </w:r>
      <w:r w:rsidR="000E7940">
        <w:t>, which only entails 12 years of further accumulation</w:t>
      </w:r>
      <w:r>
        <w:t xml:space="preserve">. </w:t>
      </w:r>
      <w:r w:rsidR="00F647CC">
        <w:t>T</w:t>
      </w:r>
      <w:r>
        <w:t xml:space="preserve">his technical supplement </w:t>
      </w:r>
      <w:r>
        <w:lastRenderedPageBreak/>
        <w:t xml:space="preserve">does not model outcomes for that cohort. The </w:t>
      </w:r>
      <w:r w:rsidR="00952D22">
        <w:t xml:space="preserve">impacts on the adoption of a </w:t>
      </w:r>
      <w:proofErr w:type="spellStart"/>
      <w:r w:rsidR="00952D22">
        <w:t>life</w:t>
      </w:r>
      <w:r w:rsidR="00952D22">
        <w:noBreakHyphen/>
        <w:t>cycle</w:t>
      </w:r>
      <w:proofErr w:type="spellEnd"/>
      <w:r w:rsidR="00952D22">
        <w:t xml:space="preserve"> product </w:t>
      </w:r>
      <w:r>
        <w:t xml:space="preserve">in </w:t>
      </w:r>
      <w:r w:rsidR="00F647CC" w:rsidRPr="00952D22">
        <w:rPr>
          <w:i/>
        </w:rPr>
        <w:t>absolute</w:t>
      </w:r>
      <w:r>
        <w:t xml:space="preserve"> dollar terms from that cameo will be less than shown here because </w:t>
      </w:r>
      <w:r w:rsidR="00F647CC">
        <w:t xml:space="preserve">the balance </w:t>
      </w:r>
      <w:r w:rsidR="000E7940">
        <w:t xml:space="preserve">for a </w:t>
      </w:r>
      <w:r w:rsidR="00F647CC">
        <w:t>55 year</w:t>
      </w:r>
      <w:r w:rsidR="000E7940">
        <w:t xml:space="preserve"> old</w:t>
      </w:r>
      <w:r w:rsidR="00F647CC">
        <w:t xml:space="preserve"> today will reflect </w:t>
      </w:r>
      <w:r w:rsidR="000E7940">
        <w:t>lower historical statutory contribution rates and wage rates</w:t>
      </w:r>
      <w:r w:rsidR="00952D22">
        <w:t xml:space="preserve">. However, </w:t>
      </w:r>
      <w:r w:rsidR="000E7940">
        <w:t xml:space="preserve">the proportional effect </w:t>
      </w:r>
      <w:r w:rsidR="00330ED9">
        <w:t>on</w:t>
      </w:r>
      <w:r w:rsidR="00952D22">
        <w:t xml:space="preserve"> retirement balances </w:t>
      </w:r>
      <w:r w:rsidR="000E7940">
        <w:t xml:space="preserve">of adopting a </w:t>
      </w:r>
      <w:proofErr w:type="spellStart"/>
      <w:r w:rsidR="000E7940">
        <w:t>life</w:t>
      </w:r>
      <w:r w:rsidR="000E7940">
        <w:noBreakHyphen/>
        <w:t>cycle</w:t>
      </w:r>
      <w:proofErr w:type="spellEnd"/>
      <w:r w:rsidR="000E7940">
        <w:t xml:space="preserve"> product will be similar to that shown below</w:t>
      </w:r>
      <w:r w:rsidR="00952D22">
        <w:t>.</w:t>
      </w:r>
    </w:p>
    <w:p w14:paraId="0315666F" w14:textId="189F6CC5" w:rsidR="000013E5" w:rsidRDefault="00E43F56" w:rsidP="0099611D">
      <w:pPr>
        <w:pStyle w:val="Heading3"/>
      </w:pPr>
      <w:r>
        <w:t>Wage</w:t>
      </w:r>
      <w:r w:rsidR="00787A16">
        <w:t xml:space="preserve"> income and super contributions</w:t>
      </w:r>
    </w:p>
    <w:p w14:paraId="77C28A89" w14:textId="25136EA3" w:rsidR="007C4A7D" w:rsidRDefault="007C4A7D" w:rsidP="00F4554C">
      <w:pPr>
        <w:pStyle w:val="BodyText"/>
      </w:pPr>
      <w:r>
        <w:t>Several factors are important in determining wage income over a lifetime:</w:t>
      </w:r>
    </w:p>
    <w:p w14:paraId="0D277159" w14:textId="6D7E417C" w:rsidR="007C4A7D" w:rsidRDefault="007C4A7D" w:rsidP="007C4A7D">
      <w:pPr>
        <w:pStyle w:val="ListBullet"/>
      </w:pPr>
      <w:r>
        <w:t>a starting wage, which is then subject to growth</w:t>
      </w:r>
      <w:r w:rsidR="00F3566A">
        <w:t xml:space="preserve"> as the member ages</w:t>
      </w:r>
      <w:r w:rsidR="00C0435E">
        <w:t xml:space="preserve"> (box </w:t>
      </w:r>
      <w:r w:rsidR="00BB6302">
        <w:t>6.1</w:t>
      </w:r>
      <w:r w:rsidR="00C0435E">
        <w:t>)</w:t>
      </w:r>
    </w:p>
    <w:p w14:paraId="3D342917" w14:textId="2028B915" w:rsidR="007C4A7D" w:rsidRDefault="007C4A7D" w:rsidP="007C4A7D">
      <w:pPr>
        <w:pStyle w:val="ListBullet"/>
      </w:pPr>
      <w:r>
        <w:t xml:space="preserve">the effect of experience (years working in a job). While this is correlated with age, it is </w:t>
      </w:r>
      <w:r w:rsidR="00080674">
        <w:t xml:space="preserve">a </w:t>
      </w:r>
      <w:r>
        <w:t>distinct concept as people of the same ages can have quite different numbers of years of work experience</w:t>
      </w:r>
      <w:r w:rsidR="001128C0">
        <w:t>. The experience effect</w:t>
      </w:r>
      <w:r w:rsidR="001128C0" w:rsidRPr="001128C0">
        <w:t xml:space="preserve"> </w:t>
      </w:r>
      <w:r w:rsidR="001128C0">
        <w:t xml:space="preserve">on wage rates is modelled </w:t>
      </w:r>
      <w:r w:rsidR="002C285F">
        <w:t xml:space="preserve">(for males) </w:t>
      </w:r>
      <w:r w:rsidR="001128C0">
        <w:t>as:</w:t>
      </w:r>
    </w:p>
    <w:p w14:paraId="656F3621" w14:textId="3AC86F0A" w:rsidR="001128C0" w:rsidRPr="00F02AC6" w:rsidRDefault="00B2266F" w:rsidP="001128C0">
      <w:pPr>
        <w:pStyle w:val="BodyText"/>
        <w:ind w:left="426"/>
      </w:pPr>
      <m:oMath>
        <m:r>
          <w:rPr>
            <w:rFonts w:ascii="Cambria Math" w:hAnsi="Cambria Math"/>
          </w:rPr>
          <m:t xml:space="preserve">100 Ln </m:t>
        </m:r>
        <m:sSub>
          <m:sSubPr>
            <m:ctrlPr>
              <w:rPr>
                <w:rFonts w:ascii="Cambria Math" w:hAnsi="Cambria Math"/>
                <w:i/>
              </w:rPr>
            </m:ctrlPr>
          </m:sSubPr>
          <m:e>
            <m:r>
              <w:rPr>
                <w:rFonts w:ascii="Cambria Math" w:hAnsi="Cambria Math"/>
              </w:rPr>
              <m:t>W</m:t>
            </m:r>
          </m:e>
          <m:sub>
            <m:r>
              <w:rPr>
                <w:rFonts w:ascii="Cambria Math" w:hAnsi="Cambria Math"/>
              </w:rPr>
              <m:t>age</m:t>
            </m:r>
          </m:sub>
        </m:sSub>
        <m:r>
          <w:rPr>
            <w:rFonts w:ascii="Cambria Math" w:hAnsi="Cambria Math"/>
          </w:rPr>
          <m:t xml:space="preserve">= </m:t>
        </m:r>
        <m:r>
          <m:rPr>
            <m:sty m:val="bi"/>
          </m:rPr>
          <w:rPr>
            <w:rFonts w:ascii="Cambria Math" w:hAnsi="Cambria Math"/>
          </w:rPr>
          <m:t xml:space="preserve">Xβ </m:t>
        </m:r>
        <m:r>
          <w:rPr>
            <w:rFonts w:ascii="Cambria Math" w:hAnsi="Cambria Math"/>
          </w:rPr>
          <m:t xml:space="preserve">+ ∝Experience+θ </m:t>
        </m:r>
        <m:sSup>
          <m:sSupPr>
            <m:ctrlPr>
              <w:rPr>
                <w:rFonts w:ascii="Cambria Math" w:hAnsi="Cambria Math"/>
                <w:i/>
              </w:rPr>
            </m:ctrlPr>
          </m:sSupPr>
          <m:e>
            <m:r>
              <w:rPr>
                <w:rFonts w:ascii="Cambria Math" w:hAnsi="Cambria Math"/>
              </w:rPr>
              <m:t>Experience</m:t>
            </m:r>
          </m:e>
          <m:sup>
            <m:r>
              <w:rPr>
                <w:rFonts w:ascii="Cambria Math" w:hAnsi="Cambria Math"/>
              </w:rPr>
              <m:t>2</m:t>
            </m:r>
          </m:sup>
        </m:sSup>
      </m:oMath>
      <w:r w:rsidR="00937630">
        <w:t xml:space="preserve"> </w:t>
      </w:r>
    </w:p>
    <w:p w14:paraId="5FD87867" w14:textId="0DDFE3BD" w:rsidR="00A0442B" w:rsidRDefault="00F02AC6" w:rsidP="001128C0">
      <w:pPr>
        <w:pStyle w:val="BodyText"/>
        <w:ind w:left="426"/>
      </w:pPr>
      <w:r>
        <w:t xml:space="preserve">where </w:t>
      </w:r>
      <m:oMath>
        <m:r>
          <m:rPr>
            <m:sty m:val="bi"/>
          </m:rPr>
          <w:rPr>
            <w:rFonts w:ascii="Cambria Math" w:hAnsi="Cambria Math"/>
          </w:rPr>
          <m:t>Xβ</m:t>
        </m:r>
      </m:oMath>
      <w:r>
        <w:t xml:space="preserve"> repre</w:t>
      </w:r>
      <w:proofErr w:type="spellStart"/>
      <w:r w:rsidR="002C285F">
        <w:t>sents</w:t>
      </w:r>
      <w:proofErr w:type="spellEnd"/>
      <w:r>
        <w:t xml:space="preserve"> the </w:t>
      </w:r>
      <w:r w:rsidR="00B03A91">
        <w:t xml:space="preserve">vector of </w:t>
      </w:r>
      <w:r>
        <w:t xml:space="preserve">individual traits (and their </w:t>
      </w:r>
      <w:r w:rsidR="002C285F">
        <w:t>corresponding</w:t>
      </w:r>
      <w:r>
        <w:t xml:space="preserve"> </w:t>
      </w:r>
      <w:r w:rsidR="00B03A91">
        <w:t xml:space="preserve">estimated </w:t>
      </w:r>
      <w:r w:rsidR="002C285F">
        <w:t>parameters</w:t>
      </w:r>
      <w:r w:rsidR="00AB4439">
        <w:t xml:space="preserve"> from a Mincer </w:t>
      </w:r>
      <w:r w:rsidR="005C3E5D">
        <w:t>equation</w:t>
      </w:r>
      <w:r>
        <w:t xml:space="preserve">) that determine the starting wage of any given </w:t>
      </w:r>
      <w:r w:rsidR="002C285F">
        <w:t>person</w:t>
      </w:r>
      <w:r>
        <w:t xml:space="preserve">, and α and </w:t>
      </w:r>
      <m:oMath>
        <m:r>
          <w:rPr>
            <w:rFonts w:ascii="Cambria Math" w:hAnsi="Cambria Math"/>
          </w:rPr>
          <m:t>θ</m:t>
        </m:r>
      </m:oMath>
      <w:r>
        <w:t xml:space="preserve"> </w:t>
      </w:r>
      <w:r w:rsidR="00A6474F">
        <w:t xml:space="preserve">(respectively 1.556 and </w:t>
      </w:r>
      <w:r w:rsidR="00A6474F">
        <w:noBreakHyphen/>
        <w:t xml:space="preserve">0.019) </w:t>
      </w:r>
      <w:r>
        <w:t xml:space="preserve">are the </w:t>
      </w:r>
      <w:r w:rsidR="00B03A91">
        <w:t xml:space="preserve">estimated </w:t>
      </w:r>
      <w:r>
        <w:t xml:space="preserve">coefficients describing the </w:t>
      </w:r>
      <w:r w:rsidR="002C285F">
        <w:t>impacts</w:t>
      </w:r>
      <w:r>
        <w:t xml:space="preserve"> of experience on wages.</w:t>
      </w:r>
      <w:r w:rsidR="00AB4439">
        <w:rPr>
          <w:rStyle w:val="FootnoteReference"/>
        </w:rPr>
        <w:footnoteReference w:id="3"/>
      </w:r>
      <w:r w:rsidR="002C285F">
        <w:t xml:space="preserve"> Accordingly, the impact of experience </w:t>
      </w:r>
      <w:r w:rsidR="00080674">
        <w:t xml:space="preserve">on </w:t>
      </w:r>
      <w:r w:rsidR="00EE66D1">
        <w:t xml:space="preserve">the wages of a </w:t>
      </w:r>
      <w:r w:rsidR="00B15FED">
        <w:t xml:space="preserve">person who commences work at age 21 years and is employed for every year afterwards is: </w:t>
      </w:r>
    </w:p>
    <w:p w14:paraId="49F04BBA" w14:textId="290D32A8" w:rsidR="00F02AC6" w:rsidRPr="00F02AC6" w:rsidRDefault="008A46E6" w:rsidP="001128C0">
      <w:pPr>
        <w:pStyle w:val="BodyText"/>
        <w:ind w:left="426"/>
      </w:pPr>
      <m:oMath>
        <m:sSub>
          <m:sSubPr>
            <m:ctrlPr>
              <w:rPr>
                <w:rFonts w:ascii="Cambria Math" w:hAnsi="Cambria Math"/>
                <w:i/>
              </w:rPr>
            </m:ctrlPr>
          </m:sSubPr>
          <m:e>
            <m:r>
              <w:rPr>
                <w:rFonts w:ascii="Cambria Math" w:hAnsi="Cambria Math"/>
              </w:rPr>
              <m:t>E_effect</m:t>
            </m:r>
          </m:e>
          <m:sub>
            <m:r>
              <w:rPr>
                <w:rFonts w:ascii="Cambria Math" w:hAnsi="Cambria Math"/>
              </w:rPr>
              <m:t>age</m:t>
            </m:r>
          </m:sub>
        </m:sSub>
        <m:r>
          <w:rPr>
            <w:rFonts w:ascii="Cambria Math" w:hAnsi="Cambria Math"/>
          </w:rPr>
          <m:t xml:space="preserve">= </m:t>
        </m:r>
        <m:sSup>
          <m:sSupPr>
            <m:ctrlPr>
              <w:rPr>
                <w:rFonts w:ascii="Cambria Math" w:hAnsi="Cambria Math"/>
                <w:i/>
              </w:rPr>
            </m:ctrlPr>
          </m:sSupPr>
          <m:e>
            <m:r>
              <w:rPr>
                <w:rFonts w:ascii="Cambria Math" w:hAnsi="Cambria Math"/>
              </w:rPr>
              <m:t>exp</m:t>
            </m:r>
          </m:e>
          <m:sup>
            <m:r>
              <w:rPr>
                <w:rFonts w:ascii="Cambria Math" w:hAnsi="Cambria Math"/>
              </w:rPr>
              <m:t xml:space="preserve">0.01 (∝Experience+θ </m:t>
            </m:r>
            <m:sSup>
              <m:sSupPr>
                <m:ctrlPr>
                  <w:rPr>
                    <w:rFonts w:ascii="Cambria Math" w:hAnsi="Cambria Math"/>
                    <w:i/>
                  </w:rPr>
                </m:ctrlPr>
              </m:sSupPr>
              <m:e>
                <m:r>
                  <w:rPr>
                    <w:rFonts w:ascii="Cambria Math" w:hAnsi="Cambria Math"/>
                  </w:rPr>
                  <m:t>Experience</m:t>
                </m:r>
              </m:e>
              <m:sup>
                <m:r>
                  <w:rPr>
                    <w:rFonts w:ascii="Cambria Math" w:hAnsi="Cambria Math"/>
                  </w:rPr>
                  <m:t>2</m:t>
                </m:r>
              </m:sup>
            </m:sSup>
            <m:r>
              <w:rPr>
                <w:rFonts w:ascii="Cambria Math" w:hAnsi="Cambria Math"/>
              </w:rPr>
              <m:t>)</m:t>
            </m:r>
          </m:sup>
        </m:sSup>
        <m:r>
          <w:rPr>
            <w:rFonts w:ascii="Cambria Math" w:hAnsi="Cambria Math"/>
          </w:rPr>
          <m:t xml:space="preserve"> </m:t>
        </m:r>
      </m:oMath>
      <w:r w:rsidR="00A0442B">
        <w:t>with experience</w:t>
      </w:r>
      <w:r w:rsidR="00483658">
        <w:t xml:space="preserve"> </w:t>
      </w:r>
      <w:r w:rsidR="00A0442B">
        <w:t>=</w:t>
      </w:r>
      <w:r w:rsidR="00483658">
        <w:t xml:space="preserve"> </w:t>
      </w:r>
      <w:r w:rsidR="00A0442B">
        <w:t>0 for age 21</w:t>
      </w:r>
      <w:r w:rsidR="00483658">
        <w:t> </w:t>
      </w:r>
      <w:r w:rsidR="00A0442B">
        <w:t>years, 1 for age 22 years and so on</w:t>
      </w:r>
    </w:p>
    <w:p w14:paraId="6FDD1D6B" w14:textId="1B1295AD" w:rsidR="007C4A7D" w:rsidRDefault="007C4A7D" w:rsidP="007C4A7D">
      <w:pPr>
        <w:pStyle w:val="ListBullet"/>
      </w:pPr>
      <w:r>
        <w:t>the impact of long</w:t>
      </w:r>
      <w:r>
        <w:noBreakHyphen/>
        <w:t xml:space="preserve">run productivity on wage growth, which is </w:t>
      </w:r>
      <w:r w:rsidR="008429F7">
        <w:t xml:space="preserve">the major factor behind </w:t>
      </w:r>
      <w:proofErr w:type="spellStart"/>
      <w:r w:rsidR="008429F7">
        <w:t>economy</w:t>
      </w:r>
      <w:r>
        <w:t>wide</w:t>
      </w:r>
      <w:proofErr w:type="spellEnd"/>
      <w:r>
        <w:t xml:space="preserve"> wage rate trends. Estimated future </w:t>
      </w:r>
      <w:r w:rsidR="00F3566A">
        <w:t xml:space="preserve">labour </w:t>
      </w:r>
      <w:r>
        <w:t>productivity growth is 1.5 per</w:t>
      </w:r>
      <w:r w:rsidR="00483658">
        <w:t> </w:t>
      </w:r>
      <w:r>
        <w:t xml:space="preserve">cent per year, in line with the projections used in the 2015 </w:t>
      </w:r>
      <w:r w:rsidRPr="008429F7">
        <w:rPr>
          <w:i/>
        </w:rPr>
        <w:t>Intergenerational Report</w:t>
      </w:r>
      <w:r w:rsidR="00D57056">
        <w:t xml:space="preserve"> </w:t>
      </w:r>
      <w:r w:rsidR="00D57056" w:rsidRPr="00D57056">
        <w:rPr>
          <w:szCs w:val="24"/>
        </w:rPr>
        <w:t>(Treasury 2015)</w:t>
      </w:r>
    </w:p>
    <w:p w14:paraId="00C7E2F3" w14:textId="4DD2A1CD" w:rsidR="00F3566A" w:rsidRDefault="00F3566A" w:rsidP="007C4A7D">
      <w:pPr>
        <w:pStyle w:val="ListBullet"/>
      </w:pPr>
      <w:r>
        <w:t>gender (with the base model reflecti</w:t>
      </w:r>
      <w:r w:rsidR="00B7338B">
        <w:t>ng male labour force experience</w:t>
      </w:r>
      <w:r>
        <w:t xml:space="preserve"> over time)</w:t>
      </w:r>
    </w:p>
    <w:p w14:paraId="42AE475B" w14:textId="41554F16" w:rsidR="007C4A7D" w:rsidRDefault="007C4A7D" w:rsidP="007C4A7D">
      <w:pPr>
        <w:pStyle w:val="ListBullet"/>
      </w:pPr>
      <w:r>
        <w:t>average working hours per week</w:t>
      </w:r>
      <w:r w:rsidR="00F3566A">
        <w:t xml:space="preserve"> (assumed to be fixed at a full</w:t>
      </w:r>
      <w:r w:rsidR="00F3566A">
        <w:noBreakHyphen/>
        <w:t>time level in the base model)</w:t>
      </w:r>
    </w:p>
    <w:p w14:paraId="1C713C21" w14:textId="2178303F" w:rsidR="00F4554C" w:rsidRDefault="00F3566A" w:rsidP="00957DC2">
      <w:pPr>
        <w:pStyle w:val="ListBullet"/>
      </w:pPr>
      <w:r>
        <w:t>any interruptions to working, such as unemployment or exit from the labour force (which are not included in the base model described here, but can readily be included)</w:t>
      </w:r>
      <w:r w:rsidR="00213D43">
        <w:t>.</w:t>
      </w:r>
    </w:p>
    <w:p w14:paraId="48A22CCB" w14:textId="3E57CF6B" w:rsidR="00B96E21" w:rsidRDefault="00B96E21">
      <w:pPr>
        <w:pStyle w:val="BoxSpaceAbove"/>
      </w:pPr>
    </w:p>
    <w:tbl>
      <w:tblPr>
        <w:tblW w:w="8771" w:type="dxa"/>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B96E21" w14:paraId="7C73E2F4" w14:textId="77777777" w:rsidTr="00331017">
        <w:tc>
          <w:tcPr>
            <w:tcW w:w="8771" w:type="dxa"/>
            <w:tcBorders>
              <w:top w:val="single" w:sz="6" w:space="0" w:color="78A22F"/>
              <w:left w:val="nil"/>
              <w:bottom w:val="nil"/>
              <w:right w:val="nil"/>
            </w:tcBorders>
            <w:shd w:val="clear" w:color="auto" w:fill="F2F2F2"/>
          </w:tcPr>
          <w:p w14:paraId="109D452F" w14:textId="45DEA929" w:rsidR="00B96E21" w:rsidRDefault="00B96E21" w:rsidP="00B96E21">
            <w:pPr>
              <w:pStyle w:val="BoxTitle"/>
            </w:pPr>
            <w:r>
              <w:rPr>
                <w:b w:val="0"/>
              </w:rPr>
              <w:t xml:space="preserve">Box </w:t>
            </w:r>
            <w:r w:rsidR="00B37383">
              <w:rPr>
                <w:b w:val="0"/>
              </w:rPr>
              <w:t>6.</w:t>
            </w:r>
            <w:r w:rsidR="00663B7A">
              <w:rPr>
                <w:b w:val="0"/>
                <w:noProof/>
              </w:rPr>
              <w:t>1</w:t>
            </w:r>
            <w:r>
              <w:tab/>
              <w:t>Some variants on wages and experience effects</w:t>
            </w:r>
          </w:p>
        </w:tc>
      </w:tr>
      <w:tr w:rsidR="00B96E21" w14:paraId="396DBD57" w14:textId="77777777" w:rsidTr="00331017">
        <w:trPr>
          <w:cantSplit/>
        </w:trPr>
        <w:tc>
          <w:tcPr>
            <w:tcW w:w="8771" w:type="dxa"/>
            <w:tcBorders>
              <w:top w:val="nil"/>
              <w:left w:val="nil"/>
              <w:bottom w:val="nil"/>
              <w:right w:val="nil"/>
            </w:tcBorders>
            <w:shd w:val="clear" w:color="auto" w:fill="F2F2F2"/>
          </w:tcPr>
          <w:p w14:paraId="4F0F2AE7" w14:textId="204F270C" w:rsidR="00D2788A" w:rsidRPr="0013727A" w:rsidRDefault="0013727A" w:rsidP="00C0435E">
            <w:pPr>
              <w:pStyle w:val="Box"/>
              <w:rPr>
                <w:b/>
              </w:rPr>
            </w:pPr>
            <w:r>
              <w:rPr>
                <w:b/>
              </w:rPr>
              <w:t>Case A:</w:t>
            </w:r>
            <w:r w:rsidR="006A7641">
              <w:rPr>
                <w:b/>
              </w:rPr>
              <w:t xml:space="preserve"> </w:t>
            </w:r>
            <w:r w:rsidR="00D2788A" w:rsidRPr="0013727A">
              <w:rPr>
                <w:b/>
              </w:rPr>
              <w:t>The default assumption is a full</w:t>
            </w:r>
            <w:r w:rsidR="0042265A">
              <w:rPr>
                <w:b/>
              </w:rPr>
              <w:noBreakHyphen/>
            </w:r>
            <w:r w:rsidR="00D2788A" w:rsidRPr="0013727A">
              <w:rPr>
                <w:b/>
              </w:rPr>
              <w:t xml:space="preserve">time </w:t>
            </w:r>
            <w:r w:rsidR="002D527A" w:rsidRPr="0013727A">
              <w:rPr>
                <w:b/>
              </w:rPr>
              <w:t xml:space="preserve">male </w:t>
            </w:r>
            <w:r w:rsidR="00C44F4E" w:rsidRPr="0013727A">
              <w:rPr>
                <w:b/>
              </w:rPr>
              <w:t>non</w:t>
            </w:r>
            <w:r w:rsidR="00C44F4E" w:rsidRPr="0013727A">
              <w:rPr>
                <w:b/>
              </w:rPr>
              <w:noBreakHyphen/>
              <w:t xml:space="preserve">managerial </w:t>
            </w:r>
            <w:r w:rsidR="00D2788A" w:rsidRPr="0013727A">
              <w:rPr>
                <w:b/>
              </w:rPr>
              <w:t>employee</w:t>
            </w:r>
          </w:p>
          <w:p w14:paraId="4A419327" w14:textId="6160EE91" w:rsidR="00C0435E" w:rsidRDefault="00C0435E" w:rsidP="00C0435E">
            <w:pPr>
              <w:pStyle w:val="Box"/>
            </w:pPr>
            <w:r>
              <w:t xml:space="preserve">There are multiple sources of wage data, but they do not provide contemporary wage estimates at the single year </w:t>
            </w:r>
            <w:proofErr w:type="spellStart"/>
            <w:r>
              <w:t>age</w:t>
            </w:r>
            <w:proofErr w:type="spellEnd"/>
            <w:r>
              <w:t xml:space="preserve"> level. Nevertheless, several indicators suggest that an annual wage rate of around $50 000 is a reasonable estimate for many full</w:t>
            </w:r>
            <w:r w:rsidR="0042265A">
              <w:noBreakHyphen/>
            </w:r>
            <w:r>
              <w:t>time employees</w:t>
            </w:r>
            <w:r w:rsidR="0065663C">
              <w:t xml:space="preserve"> at age 21 years</w:t>
            </w:r>
            <w:r>
              <w:t xml:space="preserve">. </w:t>
            </w:r>
          </w:p>
          <w:p w14:paraId="24B699B9" w14:textId="09546924" w:rsidR="00B96E21" w:rsidRDefault="00C0435E" w:rsidP="00C0435E">
            <w:pPr>
              <w:pStyle w:val="Box"/>
            </w:pPr>
            <w:r>
              <w:t>The average weekly total cash earnings of male permanent full</w:t>
            </w:r>
            <w:r>
              <w:noBreakHyphen/>
              <w:t>time non</w:t>
            </w:r>
            <w:r>
              <w:noBreakHyphen/>
              <w:t>managerial employees aged 21</w:t>
            </w:r>
            <w:r w:rsidR="00661DA4">
              <w:t>–</w:t>
            </w:r>
            <w:r>
              <w:t xml:space="preserve">24 years was $1113 in May 2016, with a corresponding value of $1003 for females </w:t>
            </w:r>
            <w:r w:rsidR="00E92356" w:rsidRPr="00E92356">
              <w:rPr>
                <w:rFonts w:cs="Arial"/>
                <w:szCs w:val="24"/>
              </w:rPr>
              <w:t>(ABS </w:t>
            </w:r>
            <w:proofErr w:type="spellStart"/>
            <w:r w:rsidR="00E92356" w:rsidRPr="00E92356">
              <w:rPr>
                <w:rFonts w:cs="Arial"/>
                <w:szCs w:val="24"/>
              </w:rPr>
              <w:t>2017c</w:t>
            </w:r>
            <w:proofErr w:type="spellEnd"/>
            <w:r w:rsidR="00E92356" w:rsidRPr="00E92356">
              <w:rPr>
                <w:rFonts w:cs="Arial"/>
                <w:szCs w:val="24"/>
              </w:rPr>
              <w:t>, Data Cube 4, table 4)</w:t>
            </w:r>
            <w:r>
              <w:t xml:space="preserve">. Since wages tend to grow with </w:t>
            </w:r>
            <w:r w:rsidR="002D527A">
              <w:t>age</w:t>
            </w:r>
            <w:r>
              <w:t xml:space="preserve">, this suggest that 21 year olds would be receiving less than </w:t>
            </w:r>
            <w:r w:rsidR="009B640A">
              <w:t>the</w:t>
            </w:r>
            <w:r>
              <w:t xml:space="preserve"> rate</w:t>
            </w:r>
            <w:r w:rsidR="009B640A">
              <w:t xml:space="preserve"> for the entire age group</w:t>
            </w:r>
            <w:r>
              <w:t xml:space="preserve">. On the other hand, wage rates have increased (somewhat) over the ensuing years to 2018. </w:t>
            </w:r>
            <w:r w:rsidR="00312BEF">
              <w:t>Drawing on ABS data, t</w:t>
            </w:r>
            <w:r>
              <w:t>he combination of these two factors are consistent with the assumed starting wage</w:t>
            </w:r>
            <w:r w:rsidR="00312BEF">
              <w:t xml:space="preserve"> </w:t>
            </w:r>
            <w:r w:rsidR="00E92356" w:rsidRPr="00E92356">
              <w:rPr>
                <w:rFonts w:cs="Arial"/>
                <w:szCs w:val="24"/>
              </w:rPr>
              <w:t>(ABS </w:t>
            </w:r>
            <w:proofErr w:type="spellStart"/>
            <w:r w:rsidR="00E92356" w:rsidRPr="00E92356">
              <w:rPr>
                <w:rFonts w:cs="Arial"/>
                <w:szCs w:val="24"/>
              </w:rPr>
              <w:t>2017a</w:t>
            </w:r>
            <w:proofErr w:type="spellEnd"/>
            <w:r w:rsidR="00E92356" w:rsidRPr="00E92356">
              <w:rPr>
                <w:rFonts w:cs="Arial"/>
                <w:szCs w:val="24"/>
              </w:rPr>
              <w:t xml:space="preserve">, </w:t>
            </w:r>
            <w:proofErr w:type="spellStart"/>
            <w:r w:rsidR="00E92356" w:rsidRPr="00E92356">
              <w:rPr>
                <w:rFonts w:cs="Arial"/>
                <w:szCs w:val="24"/>
              </w:rPr>
              <w:t>2017b</w:t>
            </w:r>
            <w:proofErr w:type="spellEnd"/>
            <w:r w:rsidR="00E92356" w:rsidRPr="00E92356">
              <w:rPr>
                <w:rFonts w:cs="Arial"/>
                <w:szCs w:val="24"/>
              </w:rPr>
              <w:t>)</w:t>
            </w:r>
            <w:r w:rsidR="00312BEF">
              <w:t>.</w:t>
            </w:r>
          </w:p>
          <w:p w14:paraId="0C3423A1" w14:textId="3C1785BD" w:rsidR="00D2788A" w:rsidRPr="0013727A" w:rsidRDefault="0013727A" w:rsidP="00C0435E">
            <w:pPr>
              <w:pStyle w:val="Box"/>
              <w:rPr>
                <w:b/>
              </w:rPr>
            </w:pPr>
            <w:r>
              <w:rPr>
                <w:b/>
              </w:rPr>
              <w:t xml:space="preserve">Case B: </w:t>
            </w:r>
            <w:r w:rsidR="003D11A9" w:rsidRPr="0013727A">
              <w:rPr>
                <w:b/>
              </w:rPr>
              <w:t>The ‘a</w:t>
            </w:r>
            <w:r w:rsidR="00D2788A" w:rsidRPr="0013727A">
              <w:rPr>
                <w:b/>
              </w:rPr>
              <w:t>verage</w:t>
            </w:r>
            <w:r w:rsidR="003D11A9" w:rsidRPr="0013727A">
              <w:rPr>
                <w:b/>
              </w:rPr>
              <w:t xml:space="preserve">’ </w:t>
            </w:r>
            <w:r w:rsidR="002D527A" w:rsidRPr="0013727A">
              <w:rPr>
                <w:b/>
              </w:rPr>
              <w:t xml:space="preserve">male </w:t>
            </w:r>
            <w:r w:rsidRPr="0013727A">
              <w:rPr>
                <w:b/>
              </w:rPr>
              <w:t>non</w:t>
            </w:r>
            <w:r w:rsidR="0042265A">
              <w:rPr>
                <w:b/>
              </w:rPr>
              <w:noBreakHyphen/>
            </w:r>
            <w:r w:rsidRPr="0013727A">
              <w:rPr>
                <w:b/>
              </w:rPr>
              <w:t xml:space="preserve">managerial </w:t>
            </w:r>
            <w:r w:rsidR="003D11A9" w:rsidRPr="0013727A">
              <w:rPr>
                <w:b/>
              </w:rPr>
              <w:t>employee</w:t>
            </w:r>
          </w:p>
          <w:p w14:paraId="60FC11FC" w14:textId="63E0CFEA" w:rsidR="0013727A" w:rsidRDefault="002D527A" w:rsidP="0013727A">
            <w:pPr>
              <w:pStyle w:val="Box"/>
            </w:pPr>
            <w:r>
              <w:t>Since many people work part</w:t>
            </w:r>
            <w:r w:rsidR="00483658">
              <w:t xml:space="preserve"> </w:t>
            </w:r>
            <w:r>
              <w:t>time, especially at younger ages, the average wages of males (full</w:t>
            </w:r>
            <w:r>
              <w:noBreakHyphen/>
              <w:t>time and part</w:t>
            </w:r>
            <w:r>
              <w:noBreakHyphen/>
              <w:t xml:space="preserve">time) provides an alternative </w:t>
            </w:r>
            <w:r w:rsidR="00E037BC">
              <w:t>basis for estimating</w:t>
            </w:r>
            <w:r>
              <w:t xml:space="preserve"> </w:t>
            </w:r>
            <w:proofErr w:type="spellStart"/>
            <w:r>
              <w:t>life</w:t>
            </w:r>
            <w:r w:rsidR="00D214F9">
              <w:noBreakHyphen/>
            </w:r>
            <w:r>
              <w:t>cycle</w:t>
            </w:r>
            <w:proofErr w:type="spellEnd"/>
            <w:r>
              <w:t xml:space="preserve"> income. The Commission estimates that a </w:t>
            </w:r>
            <w:r w:rsidR="00E037BC">
              <w:t>21 </w:t>
            </w:r>
            <w:r w:rsidR="0013727A">
              <w:t>year old non</w:t>
            </w:r>
            <w:r w:rsidR="0013727A">
              <w:noBreakHyphen/>
              <w:t xml:space="preserve">managerial </w:t>
            </w:r>
            <w:r w:rsidR="00E037BC">
              <w:t xml:space="preserve">male </w:t>
            </w:r>
            <w:r w:rsidR="0013727A">
              <w:t>employee earned around $36 500 in 2018</w:t>
            </w:r>
            <w:r w:rsidR="00E037BC">
              <w:t>, with this being used as an alternative starting wage (but with the same experience effects as in Case A).</w:t>
            </w:r>
          </w:p>
          <w:p w14:paraId="41F8EADE" w14:textId="54D469AB" w:rsidR="0013727A" w:rsidRPr="0013727A" w:rsidRDefault="0013727A" w:rsidP="0013727A">
            <w:pPr>
              <w:pStyle w:val="Box"/>
              <w:rPr>
                <w:b/>
              </w:rPr>
            </w:pPr>
            <w:r w:rsidRPr="0013727A">
              <w:rPr>
                <w:b/>
              </w:rPr>
              <w:t>Case C: A woman with two children</w:t>
            </w:r>
          </w:p>
          <w:p w14:paraId="3E53416B" w14:textId="531B4E0E" w:rsidR="00D2788A" w:rsidRDefault="0013727A" w:rsidP="0013727A">
            <w:pPr>
              <w:pStyle w:val="Box"/>
            </w:pPr>
            <w:r>
              <w:t xml:space="preserve">Women bearing children </w:t>
            </w:r>
            <w:r w:rsidR="00483658">
              <w:t xml:space="preserve">generally </w:t>
            </w:r>
            <w:r>
              <w:t>have interrupted careers, tend to more often work part time, and given the nature of jobs and reduced experience, earn less than their male counterparts of the same age.</w:t>
            </w:r>
          </w:p>
          <w:p w14:paraId="0CE760C6" w14:textId="16B26A16" w:rsidR="00672FC5" w:rsidRDefault="00E037BC" w:rsidP="00866989">
            <w:pPr>
              <w:pStyle w:val="Box"/>
            </w:pPr>
            <w:r>
              <w:t xml:space="preserve">Controlling for the effects of </w:t>
            </w:r>
            <w:proofErr w:type="spellStart"/>
            <w:r>
              <w:t>economywide</w:t>
            </w:r>
            <w:proofErr w:type="spellEnd"/>
            <w:r>
              <w:t xml:space="preserve"> wage increases over time, the earnings profile of women with two children</w:t>
            </w:r>
            <w:r w:rsidR="0013727A">
              <w:t xml:space="preserve"> </w:t>
            </w:r>
            <w:r>
              <w:t xml:space="preserve">were estimated using the relationship found by </w:t>
            </w:r>
            <w:proofErr w:type="spellStart"/>
            <w:r>
              <w:t>Breusch</w:t>
            </w:r>
            <w:proofErr w:type="spellEnd"/>
            <w:r>
              <w:t xml:space="preserve"> and </w:t>
            </w:r>
            <w:proofErr w:type="spellStart"/>
            <w:r>
              <w:t>Gray</w:t>
            </w:r>
            <w:proofErr w:type="spellEnd"/>
            <w:r w:rsidR="00661DA4">
              <w:t> </w:t>
            </w:r>
            <w:r w:rsidR="00D214F9" w:rsidRPr="00D214F9">
              <w:rPr>
                <w:rFonts w:cs="Arial"/>
              </w:rPr>
              <w:t>(2004)</w:t>
            </w:r>
            <w:r w:rsidR="00331017">
              <w:t>. A</w:t>
            </w:r>
            <w:r w:rsidR="00866989">
              <w:t xml:space="preserve"> starting wage equivalent to that of a female non</w:t>
            </w:r>
            <w:r w:rsidR="00866989">
              <w:noBreakHyphen/>
              <w:t>managerial employee aged 21</w:t>
            </w:r>
            <w:r w:rsidR="00661DA4">
              <w:t> </w:t>
            </w:r>
            <w:r w:rsidR="00866989">
              <w:t>years in 2018 (around $30 000 per year)</w:t>
            </w:r>
            <w:r w:rsidR="00661DA4">
              <w:t xml:space="preserve"> </w:t>
            </w:r>
            <w:r w:rsidR="00331017">
              <w:t>is used,</w:t>
            </w:r>
            <w:r w:rsidR="00866989">
              <w:t xml:space="preserve"> </w:t>
            </w:r>
            <w:r w:rsidR="00331017">
              <w:t>based on the</w:t>
            </w:r>
            <w:r w:rsidR="00866989">
              <w:t xml:space="preserve"> same ABS sources </w:t>
            </w:r>
            <w:r w:rsidR="00331017">
              <w:t>used in Case </w:t>
            </w:r>
            <w:r w:rsidR="00866989">
              <w:t>B.</w:t>
            </w:r>
          </w:p>
          <w:p w14:paraId="59302B7A" w14:textId="5C1CBBF4" w:rsidR="00672FC5" w:rsidRPr="000D17C2" w:rsidRDefault="00672FC5" w:rsidP="00866989">
            <w:pPr>
              <w:pStyle w:val="Box"/>
              <w:rPr>
                <w:b/>
              </w:rPr>
            </w:pPr>
            <w:r w:rsidRPr="000D17C2">
              <w:rPr>
                <w:b/>
              </w:rPr>
              <w:t>Case D</w:t>
            </w:r>
            <w:r w:rsidR="006A7641">
              <w:rPr>
                <w:b/>
              </w:rPr>
              <w:t>:</w:t>
            </w:r>
            <w:r w:rsidRPr="000D17C2">
              <w:rPr>
                <w:b/>
              </w:rPr>
              <w:t xml:space="preserve"> Withdrawal from labour </w:t>
            </w:r>
            <w:r w:rsidR="00F76A8E">
              <w:rPr>
                <w:b/>
              </w:rPr>
              <w:t xml:space="preserve">supply </w:t>
            </w:r>
            <w:r w:rsidRPr="000D17C2">
              <w:rPr>
                <w:b/>
              </w:rPr>
              <w:t>at older ages</w:t>
            </w:r>
          </w:p>
          <w:p w14:paraId="683CEA72" w14:textId="04708BFC" w:rsidR="0013727A" w:rsidRDefault="00672FC5" w:rsidP="00866989">
            <w:pPr>
              <w:pStyle w:val="Box"/>
            </w:pPr>
            <w:r>
              <w:t xml:space="preserve">Some older people commence working part time before retirement, which (to the extent that they do not adjust their working hours) means that they are more exposed to sequencing risks. </w:t>
            </w:r>
            <w:r w:rsidR="000A6C14">
              <w:t>The cameo in this instance is that the person works at 90 per cent of the full</w:t>
            </w:r>
            <w:r w:rsidR="000A6C14">
              <w:noBreakHyphen/>
              <w:t xml:space="preserve">time rate between ages 56 and 59 </w:t>
            </w:r>
            <w:r w:rsidR="000D17C2">
              <w:t xml:space="preserve">years </w:t>
            </w:r>
            <w:r w:rsidR="000A6C14">
              <w:t xml:space="preserve">exclusive, 80 per cent between the ages of 60 and 65 years exclusive, and 70 per cent from ages 66 to 67 </w:t>
            </w:r>
            <w:r w:rsidR="000D17C2">
              <w:t xml:space="preserve">years </w:t>
            </w:r>
            <w:r w:rsidR="000A6C14">
              <w:t>exclusive</w:t>
            </w:r>
            <w:r w:rsidR="000D17C2">
              <w:t>. All other variables follow those in Case </w:t>
            </w:r>
            <w:r w:rsidR="00610E33">
              <w:t>A</w:t>
            </w:r>
            <w:r w:rsidR="000D17C2">
              <w:t>.</w:t>
            </w:r>
          </w:p>
          <w:p w14:paraId="52021572" w14:textId="0EBC22D1" w:rsidR="000D17C2" w:rsidRPr="00331017" w:rsidRDefault="00531624" w:rsidP="00866989">
            <w:pPr>
              <w:pStyle w:val="Box"/>
              <w:rPr>
                <w:b/>
              </w:rPr>
            </w:pPr>
            <w:r>
              <w:rPr>
                <w:b/>
              </w:rPr>
              <w:t>Case E</w:t>
            </w:r>
            <w:r w:rsidR="006A7641">
              <w:rPr>
                <w:b/>
              </w:rPr>
              <w:t>:</w:t>
            </w:r>
            <w:r>
              <w:rPr>
                <w:b/>
              </w:rPr>
              <w:t xml:space="preserve"> </w:t>
            </w:r>
            <w:r w:rsidR="0029715B" w:rsidRPr="00331017">
              <w:rPr>
                <w:b/>
              </w:rPr>
              <w:t>Higher payoff from experience in the labour market</w:t>
            </w:r>
          </w:p>
          <w:p w14:paraId="2A38072A" w14:textId="088EF379" w:rsidR="0029715B" w:rsidRDefault="0029715B" w:rsidP="0029715B">
            <w:pPr>
              <w:pStyle w:val="Box"/>
            </w:pPr>
            <w:r>
              <w:t xml:space="preserve">While the experience parameters underpinning case A perform well in terms of predicting actual closing balances of a 21 year old who accumulates superannuation from 1996 to 2017, some studies find stronger experience effects. This case uses the results from Sinning </w:t>
            </w:r>
            <w:r w:rsidR="00331017" w:rsidRPr="00331017">
              <w:rPr>
                <w:rFonts w:cs="Arial"/>
              </w:rPr>
              <w:t>(2014)</w:t>
            </w:r>
            <w:r w:rsidR="00331017">
              <w:t xml:space="preserve"> to estimate the outcomes, but otherwise using the assumptions underpinning Case </w:t>
            </w:r>
            <w:r w:rsidR="00D210DA">
              <w:t>A</w:t>
            </w:r>
            <w:r w:rsidR="00331017">
              <w:t>.</w:t>
            </w:r>
          </w:p>
          <w:p w14:paraId="04D6A467" w14:textId="598E5656" w:rsidR="00531624" w:rsidRPr="00531624" w:rsidRDefault="00531624" w:rsidP="00B9269A">
            <w:pPr>
              <w:pStyle w:val="Box"/>
              <w:rPr>
                <w:b/>
              </w:rPr>
            </w:pPr>
            <w:r w:rsidRPr="00531624">
              <w:rPr>
                <w:b/>
              </w:rPr>
              <w:t>Case F</w:t>
            </w:r>
            <w:r w:rsidR="006A7641">
              <w:rPr>
                <w:b/>
              </w:rPr>
              <w:t>:</w:t>
            </w:r>
            <w:r w:rsidR="00483658">
              <w:rPr>
                <w:b/>
              </w:rPr>
              <w:t xml:space="preserve"> </w:t>
            </w:r>
            <w:r w:rsidRPr="00531624">
              <w:rPr>
                <w:b/>
              </w:rPr>
              <w:t>Life</w:t>
            </w:r>
            <w:r w:rsidRPr="00531624">
              <w:rPr>
                <w:b/>
              </w:rPr>
              <w:noBreakHyphen/>
              <w:t xml:space="preserve">cycle product returns are </w:t>
            </w:r>
            <w:r w:rsidR="00B9269A">
              <w:rPr>
                <w:b/>
              </w:rPr>
              <w:t>50</w:t>
            </w:r>
            <w:r w:rsidRPr="00531624">
              <w:rPr>
                <w:b/>
              </w:rPr>
              <w:t>/</w:t>
            </w:r>
            <w:r w:rsidR="00B9269A">
              <w:rPr>
                <w:b/>
              </w:rPr>
              <w:t>50</w:t>
            </w:r>
            <w:r w:rsidRPr="00531624">
              <w:rPr>
                <w:b/>
              </w:rPr>
              <w:t xml:space="preserve"> shares of </w:t>
            </w:r>
            <w:r w:rsidR="00DE78D7">
              <w:rPr>
                <w:b/>
              </w:rPr>
              <w:t xml:space="preserve">the </w:t>
            </w:r>
            <w:r w:rsidRPr="00531624">
              <w:rPr>
                <w:b/>
              </w:rPr>
              <w:t>ba</w:t>
            </w:r>
            <w:r w:rsidR="00DE78D7">
              <w:rPr>
                <w:b/>
              </w:rPr>
              <w:t>lanced portfolio and safe asset</w:t>
            </w:r>
            <w:r w:rsidR="00DE78D7">
              <w:rPr>
                <w:b/>
              </w:rPr>
              <w:br/>
            </w:r>
            <w:r w:rsidR="00DE78D7">
              <w:rPr>
                <w:b/>
              </w:rPr>
              <w:tab/>
            </w:r>
            <w:r w:rsidRPr="00531624">
              <w:rPr>
                <w:b/>
              </w:rPr>
              <w:t>in</w:t>
            </w:r>
            <w:r w:rsidR="00DE78D7">
              <w:rPr>
                <w:b/>
              </w:rPr>
              <w:t xml:space="preserve"> the </w:t>
            </w:r>
            <w:r w:rsidRPr="00531624">
              <w:rPr>
                <w:b/>
              </w:rPr>
              <w:t>last 5 years</w:t>
            </w:r>
          </w:p>
        </w:tc>
      </w:tr>
      <w:tr w:rsidR="00B96E21" w14:paraId="28A51C64" w14:textId="77777777" w:rsidTr="00331017">
        <w:trPr>
          <w:cantSplit/>
        </w:trPr>
        <w:tc>
          <w:tcPr>
            <w:tcW w:w="8771" w:type="dxa"/>
            <w:tcBorders>
              <w:top w:val="nil"/>
              <w:left w:val="nil"/>
              <w:bottom w:val="single" w:sz="6" w:space="0" w:color="78A22F"/>
              <w:right w:val="nil"/>
            </w:tcBorders>
            <w:shd w:val="clear" w:color="auto" w:fill="F2F2F2"/>
          </w:tcPr>
          <w:p w14:paraId="4296A783" w14:textId="77777777" w:rsidR="00B96E21" w:rsidRDefault="00B96E21">
            <w:pPr>
              <w:pStyle w:val="Box"/>
              <w:spacing w:before="0" w:line="120" w:lineRule="exact"/>
            </w:pPr>
          </w:p>
        </w:tc>
      </w:tr>
      <w:tr w:rsidR="00B96E21" w:rsidRPr="000863A5" w14:paraId="461581E4" w14:textId="77777777" w:rsidTr="00331017">
        <w:tc>
          <w:tcPr>
            <w:tcW w:w="8771" w:type="dxa"/>
            <w:tcBorders>
              <w:top w:val="single" w:sz="6" w:space="0" w:color="78A22F"/>
              <w:left w:val="nil"/>
              <w:bottom w:val="nil"/>
              <w:right w:val="nil"/>
            </w:tcBorders>
          </w:tcPr>
          <w:p w14:paraId="613EECF6" w14:textId="49BD0839" w:rsidR="00B96E21" w:rsidRPr="00626D32" w:rsidRDefault="00B96E21" w:rsidP="0071572D">
            <w:pPr>
              <w:pStyle w:val="BoxSpaceBelow"/>
            </w:pPr>
          </w:p>
        </w:tc>
      </w:tr>
    </w:tbl>
    <w:p w14:paraId="01D51DA3" w14:textId="77777777" w:rsidR="00661DA4" w:rsidRDefault="00661DA4">
      <w:pPr>
        <w:rPr>
          <w:szCs w:val="20"/>
        </w:rPr>
      </w:pPr>
      <w:r>
        <w:br w:type="page"/>
      </w:r>
    </w:p>
    <w:p w14:paraId="14249471" w14:textId="429537C6" w:rsidR="00E86BBF" w:rsidRDefault="00E86BBF" w:rsidP="00F4554C">
      <w:pPr>
        <w:pStyle w:val="BodyText"/>
      </w:pPr>
      <w:r>
        <w:lastRenderedPageBreak/>
        <w:t>Given the above, wages as a member ages are given by</w:t>
      </w:r>
      <w:r w:rsidR="004C36EA">
        <w:t xml:space="preserve"> the combined effect of the member’s starting wage, the benefits of experience, and </w:t>
      </w:r>
      <w:proofErr w:type="spellStart"/>
      <w:r w:rsidR="004C36EA">
        <w:t>economywide</w:t>
      </w:r>
      <w:proofErr w:type="spellEnd"/>
      <w:r w:rsidR="004C36EA">
        <w:t xml:space="preserve"> productivity growth</w:t>
      </w:r>
      <w:r>
        <w:t>:</w:t>
      </w:r>
    </w:p>
    <w:p w14:paraId="4870A95C" w14:textId="2B0B0AC1" w:rsidR="00E86BBF" w:rsidRDefault="008A46E6" w:rsidP="00F4554C">
      <w:pPr>
        <w:pStyle w:val="BodyText"/>
      </w:pPr>
      <m:oMath>
        <m:sSub>
          <m:sSubPr>
            <m:ctrlPr>
              <w:rPr>
                <w:rFonts w:ascii="Cambria Math" w:hAnsi="Cambria Math"/>
                <w:i/>
              </w:rPr>
            </m:ctrlPr>
          </m:sSubPr>
          <m:e>
            <m:sSub>
              <m:sSubPr>
                <m:ctrlPr>
                  <w:rPr>
                    <w:rFonts w:ascii="Cambria Math" w:hAnsi="Cambria Math"/>
                    <w:i/>
                  </w:rPr>
                </m:ctrlPr>
              </m:sSubPr>
              <m:e>
                <m:r>
                  <w:rPr>
                    <w:rFonts w:ascii="Cambria Math" w:hAnsi="Cambria Math"/>
                  </w:rPr>
                  <m:t>W</m:t>
                </m:r>
              </m:e>
              <m:sub>
                <m:r>
                  <w:rPr>
                    <w:rFonts w:ascii="Cambria Math" w:hAnsi="Cambria Math"/>
                  </w:rPr>
                  <m:t>age</m:t>
                </m:r>
              </m:sub>
            </m:sSub>
            <m:r>
              <w:rPr>
                <w:rFonts w:ascii="Cambria Math" w:hAnsi="Cambria Math"/>
              </w:rPr>
              <m:t>=StartingWage×(1+0.015)×E_effect</m:t>
            </m:r>
          </m:e>
          <m:sub>
            <m:r>
              <w:rPr>
                <w:rFonts w:ascii="Cambria Math" w:hAnsi="Cambria Math"/>
              </w:rPr>
              <m:t>age</m:t>
            </m:r>
          </m:sub>
        </m:sSub>
      </m:oMath>
      <w:r w:rsidR="004C36EA">
        <w:t xml:space="preserve"> </w:t>
      </w:r>
    </w:p>
    <w:p w14:paraId="069DCFB8" w14:textId="257C30A5" w:rsidR="00937630" w:rsidRDefault="00937630" w:rsidP="00F4554C">
      <w:pPr>
        <w:pStyle w:val="BodyText"/>
      </w:pPr>
      <w:r>
        <w:t xml:space="preserve">Additions to the members balance </w:t>
      </w:r>
      <w:r w:rsidR="00DA6484">
        <w:t xml:space="preserve">at each age </w:t>
      </w:r>
      <w:r>
        <w:t>are equal to:</w:t>
      </w:r>
    </w:p>
    <w:p w14:paraId="2255D00B" w14:textId="42EBFB69" w:rsidR="00937630" w:rsidRPr="00937630" w:rsidRDefault="008A46E6" w:rsidP="00F4554C">
      <w:pPr>
        <w:pStyle w:val="BodyText"/>
      </w:pPr>
      <m:oMath>
        <m:sSub>
          <m:sSubPr>
            <m:ctrlPr>
              <w:rPr>
                <w:rFonts w:ascii="Cambria Math" w:hAnsi="Cambria Math"/>
                <w:i/>
              </w:rPr>
            </m:ctrlPr>
          </m:sSubPr>
          <m:e>
            <m:r>
              <w:rPr>
                <w:rFonts w:ascii="Cambria Math" w:hAnsi="Cambria Math"/>
              </w:rPr>
              <m:t>Contributions</m:t>
            </m:r>
          </m:e>
          <m:sub>
            <m:r>
              <w:rPr>
                <w:rFonts w:ascii="Cambria Math" w:hAnsi="Cambria Math"/>
              </w:rPr>
              <m:t>age</m:t>
            </m:r>
          </m:sub>
        </m:sSub>
        <m:r>
          <w:rPr>
            <w:rFonts w:ascii="Cambria Math" w:hAnsi="Cambria Math"/>
          </w:rPr>
          <m:t>=ContribRate×</m:t>
        </m:r>
        <m:d>
          <m:dPr>
            <m:ctrlPr>
              <w:rPr>
                <w:rFonts w:ascii="Cambria Math" w:hAnsi="Cambria Math"/>
                <w:i/>
              </w:rPr>
            </m:ctrlPr>
          </m:dPr>
          <m:e>
            <m:r>
              <w:rPr>
                <w:rFonts w:ascii="Cambria Math" w:hAnsi="Cambria Math"/>
              </w:rPr>
              <m:t>1-ContribTax</m:t>
            </m:r>
          </m:e>
        </m:d>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age</m:t>
            </m:r>
          </m:sub>
        </m:sSub>
      </m:oMath>
      <w:r w:rsidR="00937630">
        <w:t xml:space="preserve"> </w:t>
      </w:r>
    </w:p>
    <w:p w14:paraId="122FCC21" w14:textId="718972C1" w:rsidR="00DA6484" w:rsidRPr="00937630" w:rsidRDefault="00937630" w:rsidP="00DA6484">
      <w:pPr>
        <w:pStyle w:val="BodyText"/>
      </w:pPr>
      <w:proofErr w:type="spellStart"/>
      <w:r w:rsidRPr="00EF7541">
        <w:rPr>
          <w:i/>
        </w:rPr>
        <w:t>Contrib</w:t>
      </w:r>
      <w:r w:rsidR="00A05AF3" w:rsidRPr="00EF7541">
        <w:rPr>
          <w:i/>
        </w:rPr>
        <w:t>Rate</w:t>
      </w:r>
      <w:proofErr w:type="spellEnd"/>
      <w:r w:rsidR="00A05AF3">
        <w:t xml:space="preserve"> is the current 9.5 per cent contribution rate</w:t>
      </w:r>
      <w:r w:rsidR="00881DC0">
        <w:t xml:space="preserve"> for the Superannuation Guarantee</w:t>
      </w:r>
      <w:r w:rsidR="00A05AF3">
        <w:t xml:space="preserve">. </w:t>
      </w:r>
      <w:r w:rsidR="00FD3F6D">
        <w:t xml:space="preserve">The model does not </w:t>
      </w:r>
      <w:proofErr w:type="spellStart"/>
      <w:r w:rsidR="00FD3F6D">
        <w:t>pre</w:t>
      </w:r>
      <w:r w:rsidR="0042265A">
        <w:noBreakHyphen/>
      </w:r>
      <w:r w:rsidR="00FD3F6D">
        <w:t>suppose</w:t>
      </w:r>
      <w:proofErr w:type="spellEnd"/>
      <w:r w:rsidR="00FD3F6D">
        <w:t xml:space="preserve"> that the </w:t>
      </w:r>
      <w:r w:rsidR="00A05AF3">
        <w:t xml:space="preserve">contribution rate will be </w:t>
      </w:r>
      <w:r w:rsidR="00FD3F6D">
        <w:t xml:space="preserve">subsequently </w:t>
      </w:r>
      <w:r w:rsidR="00A05AF3">
        <w:t xml:space="preserve">increased to 12 per cent (as proposed by </w:t>
      </w:r>
      <w:r w:rsidR="00483658">
        <w:t>G</w:t>
      </w:r>
      <w:r w:rsidR="00A05AF3">
        <w:t xml:space="preserve">overnment) or that a member makes any </w:t>
      </w:r>
      <w:r w:rsidR="00FD3F6D">
        <w:t xml:space="preserve">voluntary </w:t>
      </w:r>
      <w:r w:rsidR="00A05AF3">
        <w:t xml:space="preserve">contributions. </w:t>
      </w:r>
      <w:r w:rsidR="00FD3F6D">
        <w:t xml:space="preserve">Including these features in the model would exacerbate the </w:t>
      </w:r>
      <w:r w:rsidR="00C04D6D">
        <w:t xml:space="preserve">adverse </w:t>
      </w:r>
      <w:r w:rsidR="00FD3F6D">
        <w:t xml:space="preserve">impacts </w:t>
      </w:r>
      <w:r w:rsidR="00C04D6D">
        <w:t xml:space="preserve">on retirement balances </w:t>
      </w:r>
      <w:r w:rsidR="00FD3F6D">
        <w:t xml:space="preserve">of higher fees or lower returns. </w:t>
      </w:r>
      <w:proofErr w:type="spellStart"/>
      <w:r w:rsidR="00FD3F6D" w:rsidRPr="00EF7541">
        <w:rPr>
          <w:i/>
        </w:rPr>
        <w:t>ContribTax</w:t>
      </w:r>
      <w:proofErr w:type="spellEnd"/>
      <w:r w:rsidR="00FD3F6D">
        <w:t xml:space="preserve"> is the 15 per cent contribution tax. </w:t>
      </w:r>
    </w:p>
    <w:p w14:paraId="1EA122C6" w14:textId="2263B4B6" w:rsidR="000013E5" w:rsidRDefault="001455BE" w:rsidP="0099611D">
      <w:pPr>
        <w:pStyle w:val="Heading3"/>
      </w:pPr>
      <w:r>
        <w:t>Financial returns to members</w:t>
      </w:r>
    </w:p>
    <w:p w14:paraId="7215C691" w14:textId="045F2A93" w:rsidR="00C26E3A" w:rsidRDefault="001455BE" w:rsidP="000013E5">
      <w:pPr>
        <w:pStyle w:val="BodyText"/>
      </w:pPr>
      <w:r>
        <w:t xml:space="preserve">In </w:t>
      </w:r>
      <w:r w:rsidR="004D53F4">
        <w:t xml:space="preserve">the </w:t>
      </w:r>
      <w:r>
        <w:t>non</w:t>
      </w:r>
      <w:r>
        <w:noBreakHyphen/>
        <w:t>stochastic mode</w:t>
      </w:r>
      <w:r w:rsidR="004D53F4">
        <w:t xml:space="preserve"> of the model</w:t>
      </w:r>
      <w:r>
        <w:t>, the gross rate of return on assets is 5 per cent, as in the cameo model presented in chapter 1 of the main report.</w:t>
      </w:r>
      <w:r w:rsidR="00C26E3A">
        <w:t xml:space="preserve"> Investment and admin</w:t>
      </w:r>
      <w:r w:rsidR="00B2126D">
        <w:t>istrative</w:t>
      </w:r>
      <w:r w:rsidR="00C26E3A">
        <w:t xml:space="preserve"> fees and charges for insurance are also as set out in chapter 1. </w:t>
      </w:r>
    </w:p>
    <w:p w14:paraId="69C7130C" w14:textId="77777777" w:rsidR="005756BA" w:rsidRDefault="00C26E3A" w:rsidP="000013E5">
      <w:pPr>
        <w:pStyle w:val="BodyText"/>
      </w:pPr>
      <w:r>
        <w:t xml:space="preserve">In the stochastic model, the </w:t>
      </w:r>
      <w:r w:rsidR="00B2126D">
        <w:t xml:space="preserve">gross </w:t>
      </w:r>
      <w:r w:rsidR="00DA6484">
        <w:t xml:space="preserve">real </w:t>
      </w:r>
      <w:r w:rsidR="00B2126D">
        <w:t xml:space="preserve">asset </w:t>
      </w:r>
      <w:r>
        <w:t xml:space="preserve">returns are estimated by bootstrapping from </w:t>
      </w:r>
      <w:r w:rsidR="000A0451">
        <w:t>historical</w:t>
      </w:r>
      <w:r>
        <w:t xml:space="preserve"> data </w:t>
      </w:r>
      <w:r w:rsidR="003E77DC">
        <w:t xml:space="preserve">on </w:t>
      </w:r>
      <w:r w:rsidR="00DA6484">
        <w:t xml:space="preserve">asset </w:t>
      </w:r>
      <w:r w:rsidR="003E77DC">
        <w:t xml:space="preserve">returns from 1988 to 2017 for a balanced portfolio. </w:t>
      </w:r>
      <w:r w:rsidR="004D53F4">
        <w:t xml:space="preserve">The advantage of this approach is that </w:t>
      </w:r>
      <w:r w:rsidR="00962F16">
        <w:t xml:space="preserve">it mimics </w:t>
      </w:r>
      <w:r w:rsidR="004D53F4">
        <w:t>the underlying distribution of asset returns</w:t>
      </w:r>
      <w:r w:rsidR="00962F16">
        <w:t xml:space="preserve"> without needing to make assumptions about the distribution of the returns (such as normality).</w:t>
      </w:r>
      <w:r w:rsidR="004D53F4">
        <w:t xml:space="preserve"> </w:t>
      </w:r>
    </w:p>
    <w:p w14:paraId="55252CBA" w14:textId="21AC9CF2" w:rsidR="005756BA" w:rsidRDefault="003E77DC" w:rsidP="000013E5">
      <w:pPr>
        <w:pStyle w:val="BodyText"/>
      </w:pPr>
      <w:r>
        <w:t xml:space="preserve">For any given simulation, the estimated return for each of the years from 2018 to 2085 year is determined as a random sample (with replacement) for the historical series of returns. As there is some serial dependence between asset returns over successive years, </w:t>
      </w:r>
      <w:r w:rsidR="00245744">
        <w:t xml:space="preserve">the ‘stationary block bootstrap’ is used </w:t>
      </w:r>
      <w:r w:rsidR="00B2126D" w:rsidRPr="00B2126D">
        <w:rPr>
          <w:szCs w:val="24"/>
        </w:rPr>
        <w:t xml:space="preserve">(as in </w:t>
      </w:r>
      <w:proofErr w:type="spellStart"/>
      <w:r w:rsidR="00B2126D" w:rsidRPr="00B2126D">
        <w:rPr>
          <w:szCs w:val="24"/>
        </w:rPr>
        <w:t>Ganegoda</w:t>
      </w:r>
      <w:proofErr w:type="spellEnd"/>
      <w:r w:rsidR="00B2126D" w:rsidRPr="00B2126D">
        <w:rPr>
          <w:szCs w:val="24"/>
        </w:rPr>
        <w:t xml:space="preserve"> and Evans 2015)</w:t>
      </w:r>
      <w:r w:rsidR="00B2126D">
        <w:t xml:space="preserve"> with a block length of a maximum of five</w:t>
      </w:r>
      <w:r w:rsidR="00245744">
        <w:t>. This samples from blocks of returns in successive years</w:t>
      </w:r>
      <w:r>
        <w:t xml:space="preserve"> with </w:t>
      </w:r>
      <w:r w:rsidR="00245744">
        <w:t xml:space="preserve">the block length varying randomly to ensure </w:t>
      </w:r>
      <w:proofErr w:type="spellStart"/>
      <w:r w:rsidR="00245744">
        <w:t>stationarity</w:t>
      </w:r>
      <w:proofErr w:type="spellEnd"/>
      <w:r w:rsidR="00245744">
        <w:t xml:space="preserve"> of the series</w:t>
      </w:r>
      <w:r w:rsidR="00B2126D">
        <w:t>,</w:t>
      </w:r>
      <w:r w:rsidR="00245744">
        <w:t xml:space="preserve"> </w:t>
      </w:r>
      <w:r w:rsidR="00F75FC9">
        <w:t>reflecting</w:t>
      </w:r>
      <w:r w:rsidR="00245744">
        <w:t xml:space="preserve"> the time series nature of asset returns </w:t>
      </w:r>
      <w:r w:rsidR="00245744" w:rsidRPr="00245744">
        <w:rPr>
          <w:szCs w:val="24"/>
        </w:rPr>
        <w:t>(</w:t>
      </w:r>
      <w:proofErr w:type="spellStart"/>
      <w:r w:rsidR="00245744" w:rsidRPr="00245744">
        <w:rPr>
          <w:szCs w:val="24"/>
        </w:rPr>
        <w:t>Politis</w:t>
      </w:r>
      <w:proofErr w:type="spellEnd"/>
      <w:r w:rsidR="00245744" w:rsidRPr="00245744">
        <w:rPr>
          <w:szCs w:val="24"/>
        </w:rPr>
        <w:t xml:space="preserve"> and Romano 1994)</w:t>
      </w:r>
      <w:r w:rsidR="00245744">
        <w:t xml:space="preserve">. </w:t>
      </w:r>
    </w:p>
    <w:p w14:paraId="566547F1" w14:textId="188245F1" w:rsidR="00B3031A" w:rsidRDefault="00B2126D" w:rsidP="000013E5">
      <w:pPr>
        <w:pStyle w:val="BodyText"/>
      </w:pPr>
      <w:r>
        <w:t xml:space="preserve">The returns for the balanced portfolio are derived from data on nine asset classes </w:t>
      </w:r>
      <w:r w:rsidR="00DF1BC7" w:rsidRPr="00DF1BC7">
        <w:rPr>
          <w:szCs w:val="24"/>
        </w:rPr>
        <w:t>(from Vanguard 2017 with conversion to real values through inflation-adjustment)</w:t>
      </w:r>
      <w:r>
        <w:rPr>
          <w:rStyle w:val="FootnoteReference"/>
        </w:rPr>
        <w:footnoteReference w:id="4"/>
      </w:r>
      <w:r>
        <w:t xml:space="preserve"> and assumed </w:t>
      </w:r>
      <w:r>
        <w:lastRenderedPageBreak/>
        <w:t xml:space="preserve">asset class </w:t>
      </w:r>
      <w:r w:rsidR="00E80AC1">
        <w:t>shares</w:t>
      </w:r>
      <w:r>
        <w:t xml:space="preserve"> </w:t>
      </w:r>
      <w:r w:rsidR="00E80AC1">
        <w:t>consistent</w:t>
      </w:r>
      <w:r>
        <w:t xml:space="preserve"> with a balanced portfolio.</w:t>
      </w:r>
      <w:r w:rsidR="00E80AC1">
        <w:t xml:space="preserve"> </w:t>
      </w:r>
      <w:r w:rsidR="00B3031A">
        <w:t>The mean (non</w:t>
      </w:r>
      <w:r w:rsidR="00B3031A">
        <w:noBreakHyphen/>
        <w:t xml:space="preserve">geometric) rate of return over the period from 1988 to 2017 is </w:t>
      </w:r>
      <w:r w:rsidR="008A10FD">
        <w:t>5.3 per cent</w:t>
      </w:r>
      <w:r w:rsidR="00483658">
        <w:t>, and is</w:t>
      </w:r>
      <w:r w:rsidR="008A10FD">
        <w:t xml:space="preserve"> </w:t>
      </w:r>
      <w:r w:rsidR="00B3031A">
        <w:t>close to the long</w:t>
      </w:r>
      <w:r w:rsidR="00B3031A">
        <w:noBreakHyphen/>
        <w:t>run rate assumed in the non</w:t>
      </w:r>
      <w:r w:rsidR="00B3031A">
        <w:noBreakHyphen/>
        <w:t>stochastic model. The standard error of the return is 8.2 per cent</w:t>
      </w:r>
      <w:r w:rsidR="005756BA">
        <w:t xml:space="preserve">, </w:t>
      </w:r>
      <w:r w:rsidR="00B3031A">
        <w:t>signifying the co</w:t>
      </w:r>
      <w:r w:rsidR="005756BA">
        <w:t>nsiderable variation in returns</w:t>
      </w:r>
      <w:r w:rsidR="00B3031A">
        <w:t>. There is some skewness in the distribution of return</w:t>
      </w:r>
      <w:r w:rsidR="00860C38">
        <w:t>s</w:t>
      </w:r>
      <w:r w:rsidR="00B3031A">
        <w:t xml:space="preserve">, although not so extreme that normality of the underlying distribution is </w:t>
      </w:r>
      <w:r w:rsidR="00860C38">
        <w:t xml:space="preserve">statistically </w:t>
      </w:r>
      <w:r w:rsidR="00B3031A">
        <w:t>rejected.</w:t>
      </w:r>
      <w:r w:rsidR="00B3031A">
        <w:rPr>
          <w:rStyle w:val="FootnoteReference"/>
        </w:rPr>
        <w:footnoteReference w:id="5"/>
      </w:r>
      <w:r w:rsidR="005A0796">
        <w:t xml:space="preserve"> </w:t>
      </w:r>
      <w:r w:rsidR="005756BA">
        <w:t xml:space="preserve">While this means that </w:t>
      </w:r>
      <w:r w:rsidR="00860C38">
        <w:t xml:space="preserve">the assumption of normality of </w:t>
      </w:r>
      <w:r w:rsidR="005756BA">
        <w:t xml:space="preserve">rates of return </w:t>
      </w:r>
      <w:r w:rsidR="00860C38">
        <w:t>may be a reasonable rule of thumb for simulations</w:t>
      </w:r>
      <w:r w:rsidR="005756BA">
        <w:t xml:space="preserve">, this </w:t>
      </w:r>
      <w:r w:rsidR="00860C38">
        <w:t xml:space="preserve">assumption </w:t>
      </w:r>
      <w:r w:rsidR="005756BA">
        <w:t xml:space="preserve">may not </w:t>
      </w:r>
      <w:r w:rsidR="00860C38">
        <w:t>apply</w:t>
      </w:r>
      <w:r w:rsidR="005756BA">
        <w:t xml:space="preserve"> for returns on a portfolio based on different weights for asset classes, and it does not capture any serial correlation in returns.</w:t>
      </w:r>
      <w:r w:rsidR="00860C38">
        <w:t xml:space="preserve"> </w:t>
      </w:r>
    </w:p>
    <w:p w14:paraId="04C1EC55" w14:textId="0685D62D" w:rsidR="003E77DC" w:rsidRDefault="004D53F4" w:rsidP="000013E5">
      <w:pPr>
        <w:pStyle w:val="BodyText"/>
      </w:pPr>
      <w:r>
        <w:t>It is assumed that the funds undertake full annual auto</w:t>
      </w:r>
      <w:r>
        <w:noBreakHyphen/>
        <w:t xml:space="preserve">rebalancing to maintain fixed asset shares over time, an investment approach that is required to preserve the original risk strategy. </w:t>
      </w:r>
    </w:p>
    <w:p w14:paraId="1C9EED7F" w14:textId="74579267" w:rsidR="00E86BBF" w:rsidRDefault="00E86BBF" w:rsidP="0099611D">
      <w:pPr>
        <w:pStyle w:val="Heading3"/>
      </w:pPr>
      <w:r>
        <w:t xml:space="preserve">Determining the member’s net balance for </w:t>
      </w:r>
      <w:r w:rsidR="00EF7541">
        <w:t>each year of age</w:t>
      </w:r>
    </w:p>
    <w:p w14:paraId="7A52BAFC" w14:textId="58901C9C" w:rsidR="00EF7541" w:rsidRDefault="00EF7541" w:rsidP="007D67CA">
      <w:pPr>
        <w:pStyle w:val="BodyText"/>
      </w:pPr>
      <w:r>
        <w:t xml:space="preserve">Until members retire, the net balance at the end of each year </w:t>
      </w:r>
      <w:r w:rsidR="00FD5A80">
        <w:t xml:space="preserve">(t from 2018 to 2064) </w:t>
      </w:r>
      <w:r>
        <w:t>is</w:t>
      </w:r>
      <w:r w:rsidR="00960597">
        <w:t xml:space="preserve"> derived as</w:t>
      </w:r>
      <w:r>
        <w:t>:</w:t>
      </w:r>
    </w:p>
    <w:p w14:paraId="4060BBD8" w14:textId="0ADC7822" w:rsidR="00960597" w:rsidRPr="00960597" w:rsidRDefault="008A46E6" w:rsidP="00960597">
      <w:pPr>
        <w:pStyle w:val="BodyText"/>
      </w:pPr>
      <m:oMath>
        <m:sSub>
          <m:sSubPr>
            <m:ctrlPr>
              <w:rPr>
                <w:rFonts w:ascii="Cambria Math" w:hAnsi="Cambria Math"/>
                <w:i/>
              </w:rPr>
            </m:ctrlPr>
          </m:sSubPr>
          <m:e>
            <m:r>
              <w:rPr>
                <w:rFonts w:ascii="Cambria Math" w:hAnsi="Cambria Math"/>
              </w:rPr>
              <m:t>StartB</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NetBalance</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Contributions</m:t>
            </m:r>
          </m:e>
          <m:sub>
            <m:r>
              <w:rPr>
                <w:rFonts w:ascii="Cambria Math" w:hAnsi="Cambria Math"/>
              </w:rPr>
              <m:t>t</m:t>
            </m:r>
          </m:sub>
        </m:sSub>
      </m:oMath>
      <w:r w:rsidR="00B83BD3">
        <w:t xml:space="preserve">, </w:t>
      </w:r>
      <w:r w:rsidR="00960597">
        <w:t xml:space="preserve">with </w:t>
      </w:r>
      <w:proofErr w:type="spellStart"/>
      <w:r w:rsidR="00960597" w:rsidRPr="00B83BD3">
        <w:rPr>
          <w:i/>
        </w:rPr>
        <w:t>NetBalance</w:t>
      </w:r>
      <w:r w:rsidR="00960597" w:rsidRPr="00B83BD3">
        <w:rPr>
          <w:sz w:val="28"/>
          <w:szCs w:val="28"/>
          <w:vertAlign w:val="subscript"/>
        </w:rPr>
        <w:t>t</w:t>
      </w:r>
      <w:proofErr w:type="spellEnd"/>
      <w:r w:rsidR="00960597" w:rsidRPr="00B83BD3">
        <w:rPr>
          <w:sz w:val="28"/>
          <w:szCs w:val="28"/>
          <w:vertAlign w:val="subscript"/>
        </w:rPr>
        <w:t>-1</w:t>
      </w:r>
      <w:r w:rsidR="00960597">
        <w:t xml:space="preserve"> = 0 in the first year</w:t>
      </w:r>
    </w:p>
    <w:p w14:paraId="4E142BC3" w14:textId="17FE5841" w:rsidR="00960597" w:rsidRPr="00960597" w:rsidRDefault="008A46E6" w:rsidP="007D67CA">
      <w:pPr>
        <w:pStyle w:val="BodyText"/>
      </w:pPr>
      <m:oMath>
        <m:sSub>
          <m:sSubPr>
            <m:ctrlPr>
              <w:rPr>
                <w:rFonts w:ascii="Cambria Math" w:hAnsi="Cambria Math"/>
                <w:i/>
              </w:rPr>
            </m:ctrlPr>
          </m:sSubPr>
          <m:e>
            <m:r>
              <w:rPr>
                <w:rFonts w:ascii="Cambria Math" w:hAnsi="Cambria Math"/>
              </w:rPr>
              <m:t>NetBalance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StartB</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AdminFeeRate</m:t>
                </m:r>
              </m:e>
              <m:sub>
                <m:r>
                  <w:rPr>
                    <w:rFonts w:ascii="Cambria Math" w:hAnsi="Cambria Math"/>
                  </w:rPr>
                  <m:t>t</m:t>
                </m:r>
              </m:sub>
            </m:sSub>
            <m:r>
              <w:rPr>
                <w:rFonts w:ascii="Cambria Math" w:hAnsi="Cambria Math"/>
              </w:rPr>
              <m:t>-I</m:t>
            </m:r>
            <m:sSub>
              <m:sSubPr>
                <m:ctrlPr>
                  <w:rPr>
                    <w:rFonts w:ascii="Cambria Math" w:hAnsi="Cambria Math"/>
                    <w:i/>
                  </w:rPr>
                </m:ctrlPr>
              </m:sSubPr>
              <m:e>
                <m:r>
                  <w:rPr>
                    <w:rFonts w:ascii="Cambria Math" w:hAnsi="Cambria Math"/>
                  </w:rPr>
                  <m:t>nvestFeeRate</m:t>
                </m:r>
              </m:e>
              <m:sub>
                <m:r>
                  <w:rPr>
                    <w:rFonts w:ascii="Cambria Math" w:hAnsi="Cambria Math"/>
                  </w:rPr>
                  <m:t>t</m:t>
                </m:r>
              </m:sub>
            </m:sSub>
          </m:e>
        </m:d>
        <m:r>
          <w:rPr>
            <w:rFonts w:ascii="Cambria Math" w:hAnsi="Cambria Math"/>
          </w:rPr>
          <m:t>-A</m:t>
        </m:r>
        <m:sSub>
          <m:sSubPr>
            <m:ctrlPr>
              <w:rPr>
                <w:rFonts w:ascii="Cambria Math" w:hAnsi="Cambria Math"/>
                <w:i/>
              </w:rPr>
            </m:ctrlPr>
          </m:sSubPr>
          <m:e>
            <m:r>
              <w:rPr>
                <w:rFonts w:ascii="Cambria Math" w:hAnsi="Cambria Math"/>
              </w:rPr>
              <m:t>dminFeeFlat</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Insurance</m:t>
            </m:r>
          </m:e>
          <m:sub>
            <m:r>
              <w:rPr>
                <w:rFonts w:ascii="Cambria Math" w:hAnsi="Cambria Math"/>
              </w:rPr>
              <m:t>t</m:t>
            </m:r>
          </m:sub>
        </m:sSub>
      </m:oMath>
      <w:r w:rsidR="00960597">
        <w:t xml:space="preserve"> </w:t>
      </w:r>
    </w:p>
    <w:p w14:paraId="00BE3A38" w14:textId="41044F6C" w:rsidR="00960597" w:rsidRDefault="00960597" w:rsidP="007D67CA">
      <w:pPr>
        <w:pStyle w:val="BodyText"/>
      </w:pPr>
      <w:r>
        <w:t xml:space="preserve">where </w:t>
      </w:r>
      <w:proofErr w:type="spellStart"/>
      <w:r w:rsidRPr="00B83BD3">
        <w:rPr>
          <w:i/>
        </w:rPr>
        <w:t>StartB</w:t>
      </w:r>
      <w:proofErr w:type="spellEnd"/>
      <w:r>
        <w:t xml:space="preserve"> is the </w:t>
      </w:r>
      <w:r w:rsidR="00B83BD3">
        <w:t>starting</w:t>
      </w:r>
      <w:r>
        <w:t xml:space="preserve"> balance for </w:t>
      </w:r>
      <w:r w:rsidR="00B83BD3">
        <w:t>each</w:t>
      </w:r>
      <w:r>
        <w:t xml:space="preserve"> year</w:t>
      </w:r>
      <w:r w:rsidR="00B83BD3">
        <w:t xml:space="preserve"> after any new contributions</w:t>
      </w:r>
      <w:r>
        <w:t xml:space="preserve">, </w:t>
      </w:r>
      <w:proofErr w:type="spellStart"/>
      <w:r w:rsidRPr="00B83BD3">
        <w:rPr>
          <w:i/>
        </w:rPr>
        <w:t>AdminFeeFlat</w:t>
      </w:r>
      <w:proofErr w:type="spellEnd"/>
      <w:r>
        <w:t xml:space="preserve"> is a fixed </w:t>
      </w:r>
      <w:r w:rsidR="00B83BD3">
        <w:t>administration</w:t>
      </w:r>
      <w:r>
        <w:t xml:space="preserve"> fee unrelated to the amount of investment funds, and </w:t>
      </w:r>
      <w:proofErr w:type="spellStart"/>
      <w:r w:rsidRPr="00B83BD3">
        <w:rPr>
          <w:i/>
        </w:rPr>
        <w:t>AdminFeeRate</w:t>
      </w:r>
      <w:proofErr w:type="spellEnd"/>
      <w:r w:rsidR="00B83BD3">
        <w:t xml:space="preserve"> and </w:t>
      </w:r>
      <w:proofErr w:type="spellStart"/>
      <w:r w:rsidR="00B83BD3" w:rsidRPr="00B83BD3">
        <w:rPr>
          <w:i/>
        </w:rPr>
        <w:t>InvestFeeRate</w:t>
      </w:r>
      <w:proofErr w:type="spellEnd"/>
      <w:r>
        <w:t xml:space="preserve"> are fees that vary with the stock of </w:t>
      </w:r>
      <w:r w:rsidR="00B83BD3">
        <w:t>investments</w:t>
      </w:r>
      <w:r>
        <w:t xml:space="preserve"> in the member’s fund</w:t>
      </w:r>
      <w:r w:rsidR="00B83BD3">
        <w:t>. These fee rates vary between pre-retirement and post</w:t>
      </w:r>
      <w:r w:rsidR="00B83BD3">
        <w:noBreakHyphen/>
        <w:t>retirement periods, but are otherwise fixed within those phases of a member’s life. Insurance costs (chapter</w:t>
      </w:r>
      <w:r w:rsidR="0042265A">
        <w:t> </w:t>
      </w:r>
      <w:r w:rsidR="00B83BD3">
        <w:t>1) depend on the age of the member and cease at retirement.</w:t>
      </w:r>
    </w:p>
    <w:p w14:paraId="4078646E" w14:textId="3D3754AA" w:rsidR="00871ABF" w:rsidRDefault="00B83BD3" w:rsidP="00871ABF">
      <w:pPr>
        <w:pStyle w:val="BodyText"/>
      </w:pPr>
      <w:r>
        <w:t xml:space="preserve">At retirement, </w:t>
      </w:r>
      <w:r w:rsidR="00871ABF">
        <w:t>the member withdraws income, with no additional contributions to replenish the stock of funds</w:t>
      </w:r>
      <w:r w:rsidR="00FD5A80">
        <w:t xml:space="preserve"> (with t from 2065 to 2085)</w:t>
      </w:r>
      <w:r w:rsidR="00871ABF">
        <w:t>:</w:t>
      </w:r>
    </w:p>
    <w:p w14:paraId="23568A1F" w14:textId="77777777" w:rsidR="008E22A2" w:rsidRPr="00960597" w:rsidRDefault="008E22A2" w:rsidP="008E22A2">
      <w:pPr>
        <w:pStyle w:val="BodyText"/>
      </w:pPr>
      <m:oMathPara>
        <m:oMath>
          <m:r>
            <w:rPr>
              <w:rFonts w:ascii="Cambria Math" w:hAnsi="Cambria Math"/>
            </w:rPr>
            <m:t>I</m:t>
          </m:r>
          <m:sSub>
            <m:sSubPr>
              <m:ctrlPr>
                <w:rPr>
                  <w:rFonts w:ascii="Cambria Math" w:hAnsi="Cambria Math"/>
                  <w:i/>
                </w:rPr>
              </m:ctrlPr>
            </m:sSubPr>
            <m:e>
              <m:r>
                <w:rPr>
                  <w:rFonts w:ascii="Cambria Math" w:hAnsi="Cambria Math"/>
                </w:rPr>
                <m:t>ncome</m:t>
              </m:r>
            </m:e>
            <m:sub>
              <m:r>
                <w:rPr>
                  <w:rFonts w:ascii="Cambria Math" w:hAnsi="Cambria Math"/>
                </w:rPr>
                <m:t>t</m:t>
              </m:r>
            </m:sub>
          </m:sSub>
          <m:r>
            <w:rPr>
              <w:rFonts w:ascii="Cambria Math" w:hAnsi="Cambria Math"/>
            </w:rPr>
            <m:t>=Dr</m:t>
          </m:r>
          <m:sSub>
            <m:sSubPr>
              <m:ctrlPr>
                <w:rPr>
                  <w:rFonts w:ascii="Cambria Math" w:hAnsi="Cambria Math"/>
                  <w:i/>
                </w:rPr>
              </m:ctrlPr>
            </m:sSubPr>
            <m:e>
              <m:r>
                <w:rPr>
                  <w:rFonts w:ascii="Cambria Math" w:hAnsi="Cambria Math"/>
                </w:rPr>
                <m:t>awR</m:t>
              </m:r>
            </m:e>
            <m:sub>
              <m:r>
                <w:rPr>
                  <w:rFonts w:ascii="Cambria Math" w:hAnsi="Cambria Math"/>
                </w:rPr>
                <m:t>t</m:t>
              </m:r>
            </m:sub>
          </m:sSub>
          <m:r>
            <w:rPr>
              <w:rFonts w:ascii="Cambria Math" w:hAnsi="Cambria Math"/>
            </w:rPr>
            <m:t>×Net</m:t>
          </m:r>
          <m:sSub>
            <m:sSubPr>
              <m:ctrlPr>
                <w:rPr>
                  <w:rFonts w:ascii="Cambria Math" w:hAnsi="Cambria Math"/>
                  <w:i/>
                </w:rPr>
              </m:ctrlPr>
            </m:sSubPr>
            <m:e>
              <m:r>
                <w:rPr>
                  <w:rFonts w:ascii="Cambria Math" w:hAnsi="Cambria Math"/>
                </w:rPr>
                <m:t>Balance</m:t>
              </m:r>
            </m:e>
            <m:sub>
              <m:r>
                <w:rPr>
                  <w:rFonts w:ascii="Cambria Math" w:hAnsi="Cambria Math"/>
                </w:rPr>
                <m:t>t</m:t>
              </m:r>
            </m:sub>
          </m:sSub>
        </m:oMath>
      </m:oMathPara>
    </w:p>
    <w:p w14:paraId="5D6413B2" w14:textId="5524960F" w:rsidR="00871ABF" w:rsidRPr="008E22A2" w:rsidRDefault="008A46E6" w:rsidP="00871ABF">
      <w:pPr>
        <w:pStyle w:val="BodyText"/>
      </w:pPr>
      <m:oMathPara>
        <m:oMath>
          <m:sSub>
            <m:sSubPr>
              <m:ctrlPr>
                <w:rPr>
                  <w:rFonts w:ascii="Cambria Math" w:hAnsi="Cambria Math"/>
                  <w:i/>
                </w:rPr>
              </m:ctrlPr>
            </m:sSubPr>
            <m:e>
              <m:r>
                <w:rPr>
                  <w:rFonts w:ascii="Cambria Math" w:hAnsi="Cambria Math"/>
                </w:rPr>
                <m:t>StartB</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NetBalance</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Income</m:t>
              </m:r>
            </m:e>
            <m:sub>
              <m:r>
                <w:rPr>
                  <w:rFonts w:ascii="Cambria Math" w:hAnsi="Cambria Math"/>
                </w:rPr>
                <m:t>t-1</m:t>
              </m:r>
            </m:sub>
          </m:sSub>
        </m:oMath>
      </m:oMathPara>
    </w:p>
    <w:p w14:paraId="6962F206" w14:textId="5BE8379A" w:rsidR="00871ABF" w:rsidRDefault="008E22A2" w:rsidP="00871ABF">
      <w:pPr>
        <w:pStyle w:val="BodyText"/>
      </w:pPr>
      <w:r>
        <w:lastRenderedPageBreak/>
        <w:t>It is assumed that members withdraw at t</w:t>
      </w:r>
      <w:r w:rsidR="00871ABF">
        <w:t>he minimum regulated rates</w:t>
      </w:r>
      <w:r w:rsidR="005C3E5D">
        <w:t>.</w:t>
      </w:r>
      <w:r w:rsidR="005C3E5D">
        <w:rPr>
          <w:rStyle w:val="FootnoteReference"/>
        </w:rPr>
        <w:footnoteReference w:id="6"/>
      </w:r>
    </w:p>
    <w:p w14:paraId="30373B43" w14:textId="4FC850CA" w:rsidR="00E86BBF" w:rsidRDefault="00B37383" w:rsidP="0099611D">
      <w:pPr>
        <w:pStyle w:val="Heading2"/>
      </w:pPr>
      <w:r>
        <w:t>6.</w:t>
      </w:r>
      <w:r w:rsidR="00663B7A">
        <w:rPr>
          <w:noProof/>
        </w:rPr>
        <w:t>2</w:t>
      </w:r>
      <w:r w:rsidR="0099611D">
        <w:tab/>
        <w:t>Sequencing risk</w:t>
      </w:r>
    </w:p>
    <w:p w14:paraId="446C6FC8" w14:textId="6B7D3CCE" w:rsidR="005C3E5D" w:rsidRDefault="006C06D8" w:rsidP="007D67CA">
      <w:pPr>
        <w:pStyle w:val="BodyText"/>
      </w:pPr>
      <w:r>
        <w:t>Downturns in asset returns close to retirement have much larger effects on retirement balances than downturns early in the working life of a member — a problem referred to as sequencing risk. Sequencing risk is particularly high for people in funds with high</w:t>
      </w:r>
      <w:r>
        <w:noBreakHyphen/>
        <w:t xml:space="preserve">risk exposure (say with </w:t>
      </w:r>
      <w:r w:rsidR="00E549F3">
        <w:t>a large weighting</w:t>
      </w:r>
      <w:r>
        <w:t xml:space="preserve"> to equities). </w:t>
      </w:r>
    </w:p>
    <w:p w14:paraId="4A40EB4B" w14:textId="5D67BF12" w:rsidR="006C06D8" w:rsidRDefault="006C14A1" w:rsidP="007D67CA">
      <w:pPr>
        <w:pStyle w:val="BodyText"/>
      </w:pPr>
      <w:r>
        <w:t>While balances increase exponentially over time, so too do the extreme possibilities</w:t>
      </w:r>
      <w:r w:rsidR="00887BC8">
        <w:t xml:space="preserve"> (the left hand panel of figure 6.1)</w:t>
      </w:r>
      <w:r>
        <w:t>.</w:t>
      </w:r>
      <w:r w:rsidR="00887BC8">
        <w:t xml:space="preserve"> For example, after working </w:t>
      </w:r>
      <w:r w:rsidR="00881DC0">
        <w:t xml:space="preserve">for </w:t>
      </w:r>
      <w:r w:rsidR="00887BC8">
        <w:t>47 years,</w:t>
      </w:r>
      <w:r w:rsidR="00E549F3">
        <w:t xml:space="preserve"> the average balance of an employee </w:t>
      </w:r>
      <w:r w:rsidR="00887BC8">
        <w:t xml:space="preserve">under the default case </w:t>
      </w:r>
      <w:r w:rsidR="00E549F3">
        <w:t xml:space="preserve">is </w:t>
      </w:r>
      <w:r w:rsidR="009F7D14">
        <w:t xml:space="preserve">close to </w:t>
      </w:r>
      <w:r w:rsidR="00E549F3">
        <w:t>$1 million, but there is a 5 per cent chance that their balance will be above $1.67 million and a 5 per cent chance it will be below $51</w:t>
      </w:r>
      <w:r w:rsidR="00405B57">
        <w:t>1</w:t>
      </w:r>
      <w:r w:rsidR="00E549F3">
        <w:t> 000</w:t>
      </w:r>
      <w:r w:rsidR="000962CF">
        <w:t xml:space="preserve"> </w:t>
      </w:r>
      <w:r w:rsidR="00887BC8">
        <w:t>(</w:t>
      </w:r>
      <w:r w:rsidR="00483658">
        <w:t>c</w:t>
      </w:r>
      <w:r w:rsidR="00E549F3">
        <w:t>ase</w:t>
      </w:r>
      <w:r w:rsidR="000962CF">
        <w:t> </w:t>
      </w:r>
      <w:r w:rsidR="00E549F3">
        <w:t>A)</w:t>
      </w:r>
      <w:r w:rsidR="00887BC8">
        <w:t>.</w:t>
      </w:r>
      <w:r w:rsidR="00E549F3">
        <w:t xml:space="preserve"> A single indicator of this </w:t>
      </w:r>
      <w:r w:rsidR="000962CF">
        <w:t>pattern</w:t>
      </w:r>
      <w:r w:rsidR="00E549F3">
        <w:t xml:space="preserve"> is the ratio of the standard deviation of the balance and the average balance, which more than quadruples from the first to last year of the employee’s working life (the </w:t>
      </w:r>
      <w:r w:rsidR="00405B57">
        <w:t>right</w:t>
      </w:r>
      <w:r w:rsidR="00E549F3">
        <w:t xml:space="preserve"> hand panel of figure 6.1).</w:t>
      </w:r>
    </w:p>
    <w:p w14:paraId="19C5A13F" w14:textId="307373CD" w:rsidR="00E549F3" w:rsidRDefault="00E549F3" w:rsidP="00E549F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183980" w:rsidRPr="00176D3F" w14:paraId="223699CB" w14:textId="77777777" w:rsidTr="0071572D">
        <w:trPr>
          <w:tblHeader/>
        </w:trPr>
        <w:tc>
          <w:tcPr>
            <w:tcW w:w="5000" w:type="pct"/>
            <w:tcBorders>
              <w:top w:val="single" w:sz="6" w:space="0" w:color="78A22F"/>
              <w:left w:val="nil"/>
              <w:bottom w:val="nil"/>
              <w:right w:val="nil"/>
            </w:tcBorders>
            <w:shd w:val="clear" w:color="auto" w:fill="auto"/>
          </w:tcPr>
          <w:p w14:paraId="57924A3B" w14:textId="7A517772" w:rsidR="00183980" w:rsidRPr="00176D3F" w:rsidRDefault="00183980" w:rsidP="0071572D">
            <w:pPr>
              <w:pStyle w:val="FigureTitle"/>
            </w:pPr>
            <w:r w:rsidRPr="00784A05">
              <w:rPr>
                <w:b w:val="0"/>
              </w:rPr>
              <w:t xml:space="preserve">Figure </w:t>
            </w:r>
            <w:r w:rsidR="00B37383">
              <w:rPr>
                <w:b w:val="0"/>
              </w:rPr>
              <w:t>6.</w:t>
            </w:r>
            <w:r w:rsidR="00663B7A">
              <w:rPr>
                <w:b w:val="0"/>
                <w:noProof/>
              </w:rPr>
              <w:t>1</w:t>
            </w:r>
            <w:r>
              <w:tab/>
            </w:r>
            <w:r w:rsidR="006C14A1">
              <w:t>Luck gets more important</w:t>
            </w:r>
            <w:r>
              <w:t xml:space="preserve"> the longer people work</w:t>
            </w:r>
            <w:r w:rsidR="00483658" w:rsidRPr="00483658">
              <w:rPr>
                <w:rStyle w:val="NoteLabel"/>
                <w:b/>
              </w:rPr>
              <w:t>a</w:t>
            </w:r>
          </w:p>
        </w:tc>
      </w:tr>
      <w:tr w:rsidR="00183980" w14:paraId="7A212C56" w14:textId="77777777" w:rsidTr="0071572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4252"/>
              <w:gridCol w:w="4252"/>
            </w:tblGrid>
            <w:tr w:rsidR="00183980" w:rsidRPr="00B1465D" w14:paraId="6DEE0D9B" w14:textId="77777777" w:rsidTr="0071572D">
              <w:trPr>
                <w:tblHeader/>
                <w:jc w:val="center"/>
              </w:trPr>
              <w:tc>
                <w:tcPr>
                  <w:tcW w:w="2500" w:type="pct"/>
                  <w:tcBorders>
                    <w:top w:val="nil"/>
                    <w:bottom w:val="nil"/>
                  </w:tcBorders>
                </w:tcPr>
                <w:p w14:paraId="23B6CADA" w14:textId="6972FD29" w:rsidR="00183980" w:rsidRPr="00B1465D" w:rsidRDefault="00183980" w:rsidP="0071572D">
                  <w:pPr>
                    <w:pStyle w:val="Figure"/>
                    <w:spacing w:before="60" w:after="60"/>
                    <w:rPr>
                      <w:rFonts w:ascii="Arial" w:hAnsi="Arial" w:cs="Arial"/>
                      <w:sz w:val="18"/>
                      <w:szCs w:val="18"/>
                    </w:rPr>
                  </w:pPr>
                  <w:r>
                    <w:rPr>
                      <w:rFonts w:ascii="Arial" w:hAnsi="Arial" w:cs="Arial"/>
                      <w:sz w:val="18"/>
                      <w:szCs w:val="18"/>
                    </w:rPr>
                    <w:t>Va</w:t>
                  </w:r>
                  <w:r w:rsidR="001F33CB">
                    <w:rPr>
                      <w:rFonts w:ascii="Arial" w:hAnsi="Arial" w:cs="Arial"/>
                      <w:sz w:val="18"/>
                      <w:szCs w:val="18"/>
                    </w:rPr>
                    <w:t>riations in retirement balances</w:t>
                  </w:r>
                  <w:r w:rsidR="001F33CB">
                    <w:rPr>
                      <w:rFonts w:ascii="Arial" w:hAnsi="Arial" w:cs="Arial"/>
                      <w:sz w:val="18"/>
                      <w:szCs w:val="18"/>
                    </w:rPr>
                    <w:br/>
                  </w:r>
                  <w:r>
                    <w:rPr>
                      <w:rFonts w:ascii="Arial" w:hAnsi="Arial" w:cs="Arial"/>
                      <w:sz w:val="18"/>
                      <w:szCs w:val="18"/>
                    </w:rPr>
                    <w:t>at retirement</w:t>
                  </w:r>
                </w:p>
              </w:tc>
              <w:tc>
                <w:tcPr>
                  <w:tcW w:w="2500" w:type="pct"/>
                  <w:tcBorders>
                    <w:top w:val="nil"/>
                    <w:bottom w:val="nil"/>
                  </w:tcBorders>
                </w:tcPr>
                <w:p w14:paraId="3690D953" w14:textId="7EC93429" w:rsidR="00183980" w:rsidRPr="00B1465D" w:rsidRDefault="00183980" w:rsidP="0071572D">
                  <w:pPr>
                    <w:pStyle w:val="Figure"/>
                    <w:spacing w:before="60" w:after="60"/>
                    <w:rPr>
                      <w:rFonts w:ascii="Arial" w:hAnsi="Arial" w:cs="Arial"/>
                      <w:sz w:val="18"/>
                      <w:szCs w:val="18"/>
                    </w:rPr>
                  </w:pPr>
                  <w:r>
                    <w:rPr>
                      <w:rFonts w:ascii="Arial" w:hAnsi="Arial" w:cs="Arial"/>
                      <w:sz w:val="18"/>
                      <w:szCs w:val="18"/>
                    </w:rPr>
                    <w:t>The relative</w:t>
                  </w:r>
                  <w:r w:rsidR="001F33CB">
                    <w:rPr>
                      <w:rFonts w:ascii="Arial" w:hAnsi="Arial" w:cs="Arial"/>
                      <w:sz w:val="18"/>
                      <w:szCs w:val="18"/>
                    </w:rPr>
                    <w:t xml:space="preserve"> variation of balances increase</w:t>
                  </w:r>
                  <w:r w:rsidR="001F33CB">
                    <w:rPr>
                      <w:rFonts w:ascii="Arial" w:hAnsi="Arial" w:cs="Arial"/>
                      <w:sz w:val="18"/>
                      <w:szCs w:val="18"/>
                    </w:rPr>
                    <w:br/>
                  </w:r>
                  <w:r>
                    <w:rPr>
                      <w:rFonts w:ascii="Arial" w:hAnsi="Arial" w:cs="Arial"/>
                      <w:sz w:val="18"/>
                      <w:szCs w:val="18"/>
                    </w:rPr>
                    <w:t>as people work longer</w:t>
                  </w:r>
                </w:p>
              </w:tc>
            </w:tr>
            <w:tr w:rsidR="00183980" w:rsidRPr="00B1465D" w14:paraId="7A415742" w14:textId="77777777" w:rsidTr="0071572D">
              <w:trPr>
                <w:tblHeader/>
                <w:jc w:val="center"/>
              </w:trPr>
              <w:tc>
                <w:tcPr>
                  <w:tcW w:w="2500" w:type="pct"/>
                  <w:tcBorders>
                    <w:top w:val="nil"/>
                    <w:bottom w:val="nil"/>
                  </w:tcBorders>
                </w:tcPr>
                <w:p w14:paraId="608CE5F2" w14:textId="66FE435E" w:rsidR="00183980" w:rsidRPr="00B1465D" w:rsidRDefault="0029192F" w:rsidP="0071572D">
                  <w:pPr>
                    <w:pStyle w:val="Figure"/>
                    <w:spacing w:before="60" w:after="60"/>
                    <w:rPr>
                      <w:rFonts w:ascii="Arial" w:hAnsi="Arial" w:cs="Arial"/>
                      <w:sz w:val="18"/>
                      <w:szCs w:val="18"/>
                    </w:rPr>
                  </w:pPr>
                  <w:r w:rsidRPr="0029192F">
                    <w:rPr>
                      <w:rFonts w:ascii="Arial" w:hAnsi="Arial" w:cs="Arial"/>
                      <w:noProof/>
                      <w:sz w:val="18"/>
                      <w:szCs w:val="18"/>
                    </w:rPr>
                    <w:drawing>
                      <wp:inline distT="0" distB="0" distL="0" distR="0" wp14:anchorId="1A03EAF6" wp14:editId="72ACE648">
                        <wp:extent cx="2666365" cy="2466340"/>
                        <wp:effectExtent l="0" t="0" r="635" b="0"/>
                        <wp:docPr id="18" name="Picture 18" descr="This figure shows the variation in retirement balances as a member 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6365" cy="2466340"/>
                                </a:xfrm>
                                <a:prstGeom prst="rect">
                                  <a:avLst/>
                                </a:prstGeom>
                                <a:noFill/>
                                <a:ln>
                                  <a:noFill/>
                                </a:ln>
                              </pic:spPr>
                            </pic:pic>
                          </a:graphicData>
                        </a:graphic>
                      </wp:inline>
                    </w:drawing>
                  </w:r>
                </w:p>
              </w:tc>
              <w:tc>
                <w:tcPr>
                  <w:tcW w:w="2500" w:type="pct"/>
                  <w:tcBorders>
                    <w:top w:val="nil"/>
                    <w:bottom w:val="nil"/>
                  </w:tcBorders>
                </w:tcPr>
                <w:p w14:paraId="185E71D3" w14:textId="7EEF1668" w:rsidR="00183980" w:rsidRPr="00B1465D" w:rsidRDefault="00B755DD" w:rsidP="0071572D">
                  <w:pPr>
                    <w:pStyle w:val="Figure"/>
                    <w:spacing w:before="60" w:after="60"/>
                    <w:rPr>
                      <w:rFonts w:ascii="Arial" w:hAnsi="Arial" w:cs="Arial"/>
                      <w:sz w:val="18"/>
                      <w:szCs w:val="18"/>
                    </w:rPr>
                  </w:pPr>
                  <w:r w:rsidRPr="00B755DD">
                    <w:rPr>
                      <w:rFonts w:ascii="Arial" w:hAnsi="Arial" w:cs="Arial"/>
                      <w:noProof/>
                      <w:sz w:val="18"/>
                      <w:szCs w:val="18"/>
                    </w:rPr>
                    <w:drawing>
                      <wp:inline distT="0" distB="0" distL="0" distR="0" wp14:anchorId="292E95C4" wp14:editId="6E0B5476">
                        <wp:extent cx="2666365" cy="2466340"/>
                        <wp:effectExtent l="0" t="0" r="635" b="0"/>
                        <wp:docPr id="19" name="Picture 19" descr="This figure shows that variation increases as a member’s average balance incre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6365" cy="2466340"/>
                                </a:xfrm>
                                <a:prstGeom prst="rect">
                                  <a:avLst/>
                                </a:prstGeom>
                                <a:noFill/>
                                <a:ln>
                                  <a:noFill/>
                                </a:ln>
                              </pic:spPr>
                            </pic:pic>
                          </a:graphicData>
                        </a:graphic>
                      </wp:inline>
                    </w:drawing>
                  </w:r>
                </w:p>
              </w:tc>
            </w:tr>
          </w:tbl>
          <w:p w14:paraId="37BD743D" w14:textId="77777777" w:rsidR="00183980" w:rsidRDefault="00183980" w:rsidP="0071572D">
            <w:pPr>
              <w:pStyle w:val="Figure"/>
            </w:pPr>
          </w:p>
        </w:tc>
      </w:tr>
      <w:tr w:rsidR="00183980" w:rsidRPr="00176D3F" w14:paraId="7FE753C8" w14:textId="77777777" w:rsidTr="0071572D">
        <w:tc>
          <w:tcPr>
            <w:tcW w:w="5000" w:type="pct"/>
            <w:tcBorders>
              <w:top w:val="nil"/>
              <w:left w:val="nil"/>
              <w:bottom w:val="nil"/>
              <w:right w:val="nil"/>
            </w:tcBorders>
            <w:shd w:val="clear" w:color="auto" w:fill="auto"/>
          </w:tcPr>
          <w:p w14:paraId="65AED9D3" w14:textId="36F6C8D1" w:rsidR="00183980" w:rsidRPr="00176D3F" w:rsidRDefault="00183980" w:rsidP="00D210DA">
            <w:pPr>
              <w:pStyle w:val="Note"/>
            </w:pPr>
            <w:r>
              <w:rPr>
                <w:rStyle w:val="NoteLabel"/>
              </w:rPr>
              <w:t>a</w:t>
            </w:r>
            <w:r>
              <w:t xml:space="preserve"> Results are based on </w:t>
            </w:r>
            <w:r w:rsidR="00D210DA">
              <w:t xml:space="preserve">one million </w:t>
            </w:r>
            <w:r>
              <w:t xml:space="preserve">replications. </w:t>
            </w:r>
            <w:r w:rsidR="00887BC8">
              <w:t xml:space="preserve">The upper 5 per cent upper </w:t>
            </w:r>
            <w:proofErr w:type="spellStart"/>
            <w:r w:rsidR="00887BC8">
              <w:t>fractile</w:t>
            </w:r>
            <w:proofErr w:type="spellEnd"/>
            <w:r w:rsidR="00887BC8">
              <w:t xml:space="preserve"> is the value of the balance above which 5 per cent of outcomes occur, while the 5 per cent lower </w:t>
            </w:r>
            <w:proofErr w:type="spellStart"/>
            <w:r w:rsidR="00887BC8">
              <w:t>fractile</w:t>
            </w:r>
            <w:proofErr w:type="spellEnd"/>
            <w:r w:rsidR="00887BC8">
              <w:t xml:space="preserve"> is the value of the balance below which 5 per cent of outcomes occur. </w:t>
            </w:r>
            <w:r w:rsidR="004861ED">
              <w:t xml:space="preserve">The variation relative to the average balance is the coefficient of variation (the standard deviation of the balances at any given age and the average balance for that age from the simulations). The results are based on bootstrapping asset </w:t>
            </w:r>
            <w:r w:rsidR="00CC626A">
              <w:t>returns with a block of 5 years</w:t>
            </w:r>
            <w:r>
              <w:t>.</w:t>
            </w:r>
          </w:p>
        </w:tc>
      </w:tr>
      <w:tr w:rsidR="00183980" w14:paraId="646BC37D" w14:textId="77777777" w:rsidTr="0071572D">
        <w:tc>
          <w:tcPr>
            <w:tcW w:w="5000" w:type="pct"/>
            <w:tcBorders>
              <w:top w:val="nil"/>
              <w:left w:val="nil"/>
              <w:bottom w:val="single" w:sz="6" w:space="0" w:color="78A22F"/>
              <w:right w:val="nil"/>
            </w:tcBorders>
            <w:shd w:val="clear" w:color="auto" w:fill="auto"/>
          </w:tcPr>
          <w:p w14:paraId="66263FD5" w14:textId="77777777" w:rsidR="00183980" w:rsidRDefault="00183980" w:rsidP="0071572D">
            <w:pPr>
              <w:pStyle w:val="Figurespace"/>
            </w:pPr>
          </w:p>
        </w:tc>
      </w:tr>
      <w:tr w:rsidR="00183980" w:rsidRPr="00626D32" w14:paraId="0F73890C" w14:textId="77777777" w:rsidTr="0071572D">
        <w:tc>
          <w:tcPr>
            <w:tcW w:w="5000" w:type="pct"/>
            <w:tcBorders>
              <w:top w:val="single" w:sz="6" w:space="0" w:color="78A22F"/>
              <w:left w:val="nil"/>
              <w:bottom w:val="nil"/>
              <w:right w:val="nil"/>
            </w:tcBorders>
          </w:tcPr>
          <w:p w14:paraId="15378EF2" w14:textId="582E442E" w:rsidR="00183980" w:rsidRPr="00626D32" w:rsidRDefault="00183980" w:rsidP="0071572D">
            <w:pPr>
              <w:pStyle w:val="BoxSpaceBelow"/>
            </w:pPr>
          </w:p>
        </w:tc>
      </w:tr>
    </w:tbl>
    <w:p w14:paraId="736F844A" w14:textId="24E5FF76" w:rsidR="00414A5F" w:rsidRDefault="00414A5F" w:rsidP="00414A5F">
      <w:pPr>
        <w:pStyle w:val="BodyText"/>
      </w:pPr>
      <w:r>
        <w:lastRenderedPageBreak/>
        <w:t>Life</w:t>
      </w:r>
      <w:r w:rsidR="0042265A">
        <w:noBreakHyphen/>
      </w:r>
      <w:r>
        <w:t>cycle products do not seek to eliminate sequencing risks. Such a strategy would not be possible as no asset is free of risk — even ‘safe’ ones. Second, any strategy that involved investments in safer lower</w:t>
      </w:r>
      <w:r>
        <w:noBreakHyphen/>
        <w:t>returning assets over all of the years of a persons’ working life would</w:t>
      </w:r>
      <w:r w:rsidR="00DE5BB9">
        <w:t xml:space="preserve"> nearly always </w:t>
      </w:r>
      <w:r>
        <w:t xml:space="preserve">lead to lower balances at retirement than more risky strategies. Accordingly, most </w:t>
      </w:r>
      <w:proofErr w:type="spellStart"/>
      <w:r>
        <w:t>life</w:t>
      </w:r>
      <w:r>
        <w:noBreakHyphen/>
        <w:t>cycle</w:t>
      </w:r>
      <w:proofErr w:type="spellEnd"/>
      <w:r>
        <w:t xml:space="preserve"> products reduce risk exposure closer to retirement, though some products</w:t>
      </w:r>
      <w:r w:rsidR="0071572D">
        <w:t xml:space="preserve"> have a </w:t>
      </w:r>
      <w:r>
        <w:t>glide</w:t>
      </w:r>
      <w:r>
        <w:noBreakHyphen/>
        <w:t>path that commences early (</w:t>
      </w:r>
      <w:r w:rsidR="00405B57">
        <w:t>figure 4.7 in the main report).</w:t>
      </w:r>
      <w:r>
        <w:t xml:space="preserve"> </w:t>
      </w:r>
    </w:p>
    <w:p w14:paraId="48844687" w14:textId="2314F929" w:rsidR="0071572D" w:rsidRDefault="0071572D" w:rsidP="00414A5F">
      <w:pPr>
        <w:pStyle w:val="BodyText"/>
      </w:pPr>
      <w:r>
        <w:t xml:space="preserve">The likelihood that a balanced portfolio will deliver returns at retirement that are lower than </w:t>
      </w:r>
      <w:r w:rsidR="00F501E6">
        <w:t xml:space="preserve">even </w:t>
      </w:r>
      <w:r>
        <w:t>five years earlier is relatively low — around 10 per cent in the circumstances described in the default cameo (Case A). And if such an event occurs, the average losses are not that great compared to the balance five years before retirement (figure 6.</w:t>
      </w:r>
      <w:r w:rsidR="00405B57">
        <w:t>2</w:t>
      </w:r>
      <w:r>
        <w:t>).</w:t>
      </w:r>
    </w:p>
    <w:p w14:paraId="047DA5B0" w14:textId="03481786" w:rsidR="0071572D" w:rsidRDefault="0071572D" w:rsidP="0071572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1572D" w14:paraId="57492ED9" w14:textId="77777777" w:rsidTr="0071572D">
        <w:trPr>
          <w:tblHeader/>
        </w:trPr>
        <w:tc>
          <w:tcPr>
            <w:tcW w:w="5000" w:type="pct"/>
            <w:tcBorders>
              <w:top w:val="single" w:sz="6" w:space="0" w:color="78A22F"/>
              <w:left w:val="nil"/>
              <w:bottom w:val="nil"/>
              <w:right w:val="nil"/>
            </w:tcBorders>
            <w:shd w:val="clear" w:color="auto" w:fill="auto"/>
          </w:tcPr>
          <w:p w14:paraId="28B23287" w14:textId="1F7B293D" w:rsidR="0071572D" w:rsidRPr="00176D3F" w:rsidRDefault="0071572D" w:rsidP="000962CF">
            <w:pPr>
              <w:pStyle w:val="FigureTitle"/>
            </w:pPr>
            <w:r w:rsidRPr="00784A05">
              <w:rPr>
                <w:b w:val="0"/>
              </w:rPr>
              <w:t xml:space="preserve">Figure </w:t>
            </w:r>
            <w:r w:rsidR="00405B57">
              <w:rPr>
                <w:b w:val="0"/>
              </w:rPr>
              <w:t>6.</w:t>
            </w:r>
            <w:r w:rsidR="00663B7A">
              <w:rPr>
                <w:b w:val="0"/>
                <w:noProof/>
              </w:rPr>
              <w:t>2</w:t>
            </w:r>
            <w:r>
              <w:tab/>
            </w:r>
            <w:r w:rsidR="000962CF">
              <w:t>The five year regret — what happens if balances go down in the last five years before retirement</w:t>
            </w:r>
            <w:r w:rsidR="00B62551" w:rsidRPr="00483658">
              <w:rPr>
                <w:rStyle w:val="NoteLabel"/>
                <w:b/>
              </w:rPr>
              <w:t>a</w:t>
            </w:r>
          </w:p>
        </w:tc>
      </w:tr>
      <w:tr w:rsidR="00663B7A" w14:paraId="3C5D282F" w14:textId="77777777" w:rsidTr="00663B7A">
        <w:tc>
          <w:tcPr>
            <w:tcW w:w="5000" w:type="pct"/>
            <w:tcBorders>
              <w:top w:val="nil"/>
              <w:left w:val="nil"/>
              <w:bottom w:val="nil"/>
              <w:right w:val="nil"/>
            </w:tcBorders>
            <w:shd w:val="clear" w:color="auto" w:fill="auto"/>
            <w:tcMar>
              <w:top w:w="28" w:type="dxa"/>
              <w:bottom w:w="28" w:type="dxa"/>
            </w:tcMar>
          </w:tcPr>
          <w:p w14:paraId="5DE52F87" w14:textId="597DB352" w:rsidR="00663B7A" w:rsidRPr="00B1465D" w:rsidRDefault="00663B7A" w:rsidP="0071572D">
            <w:pPr>
              <w:pStyle w:val="Figure"/>
              <w:spacing w:before="60" w:after="60"/>
              <w:rPr>
                <w:rFonts w:ascii="Arial" w:hAnsi="Arial" w:cs="Arial"/>
                <w:sz w:val="18"/>
                <w:szCs w:val="18"/>
              </w:rPr>
            </w:pPr>
            <w:r w:rsidRPr="00663B7A">
              <w:rPr>
                <w:rFonts w:ascii="Arial" w:hAnsi="Arial" w:cs="Arial"/>
                <w:noProof/>
                <w:sz w:val="18"/>
                <w:szCs w:val="18"/>
              </w:rPr>
              <w:drawing>
                <wp:inline distT="0" distB="0" distL="0" distR="0" wp14:anchorId="52CA53E4" wp14:editId="43B419E5">
                  <wp:extent cx="5471795" cy="2522220"/>
                  <wp:effectExtent l="0" t="0" r="0" b="0"/>
                  <wp:docPr id="2" name="Picture 2" descr="This figure shows that the chance of a sequencing loss is around 10%. If it occurs then the figures show the likely losses in both dollar and percentage terms by average and median retirement balances and by percent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71795" cy="2522220"/>
                          </a:xfrm>
                          <a:prstGeom prst="rect">
                            <a:avLst/>
                          </a:prstGeom>
                          <a:noFill/>
                          <a:ln>
                            <a:noFill/>
                          </a:ln>
                        </pic:spPr>
                      </pic:pic>
                    </a:graphicData>
                  </a:graphic>
                </wp:inline>
              </w:drawing>
            </w:r>
          </w:p>
        </w:tc>
      </w:tr>
      <w:tr w:rsidR="0071572D" w:rsidRPr="00176D3F" w14:paraId="15260B23" w14:textId="77777777" w:rsidTr="0071572D">
        <w:tc>
          <w:tcPr>
            <w:tcW w:w="5000" w:type="pct"/>
            <w:tcBorders>
              <w:top w:val="nil"/>
              <w:left w:val="nil"/>
              <w:bottom w:val="nil"/>
              <w:right w:val="nil"/>
            </w:tcBorders>
            <w:shd w:val="clear" w:color="auto" w:fill="auto"/>
          </w:tcPr>
          <w:p w14:paraId="10793655" w14:textId="2E4ECA6B" w:rsidR="0071572D" w:rsidRPr="00176D3F" w:rsidRDefault="0071572D" w:rsidP="00405B57">
            <w:pPr>
              <w:pStyle w:val="Note"/>
            </w:pPr>
            <w:r>
              <w:rPr>
                <w:rStyle w:val="NoteLabel"/>
              </w:rPr>
              <w:t>a</w:t>
            </w:r>
            <w:r>
              <w:t xml:space="preserve"> </w:t>
            </w:r>
            <w:r w:rsidR="00405B57">
              <w:t xml:space="preserve">Based on simulating </w:t>
            </w:r>
            <w:r w:rsidR="00483658">
              <w:t>c</w:t>
            </w:r>
            <w:r w:rsidR="00405B57">
              <w:t>ase A</w:t>
            </w:r>
            <w:r>
              <w:t>.</w:t>
            </w:r>
            <w:r w:rsidR="002D7AFD">
              <w:t xml:space="preserve"> See the note in figure 6.1 to interpret percentiles.</w:t>
            </w:r>
            <w:r w:rsidR="009D335A">
              <w:t xml:space="preserve"> The Commission also modelled a case where the bootstrap model did not have a block structure. In that instance, sequencing risk fell to 7.3 per cent and the average loss when sequencing risk occurred was around 15 per cent less.</w:t>
            </w:r>
          </w:p>
        </w:tc>
      </w:tr>
      <w:tr w:rsidR="0071572D" w14:paraId="180E36DF" w14:textId="77777777" w:rsidTr="0071572D">
        <w:tc>
          <w:tcPr>
            <w:tcW w:w="5000" w:type="pct"/>
            <w:tcBorders>
              <w:top w:val="nil"/>
              <w:left w:val="nil"/>
              <w:bottom w:val="single" w:sz="6" w:space="0" w:color="78A22F"/>
              <w:right w:val="nil"/>
            </w:tcBorders>
            <w:shd w:val="clear" w:color="auto" w:fill="auto"/>
          </w:tcPr>
          <w:p w14:paraId="065222D0" w14:textId="77777777" w:rsidR="0071572D" w:rsidRDefault="0071572D" w:rsidP="0071572D">
            <w:pPr>
              <w:pStyle w:val="Figurespace"/>
            </w:pPr>
          </w:p>
        </w:tc>
      </w:tr>
      <w:tr w:rsidR="0071572D" w:rsidRPr="000863A5" w14:paraId="7DBF1615" w14:textId="77777777" w:rsidTr="0071572D">
        <w:tc>
          <w:tcPr>
            <w:tcW w:w="5000" w:type="pct"/>
            <w:tcBorders>
              <w:top w:val="single" w:sz="6" w:space="0" w:color="78A22F"/>
              <w:left w:val="nil"/>
              <w:bottom w:val="nil"/>
              <w:right w:val="nil"/>
            </w:tcBorders>
          </w:tcPr>
          <w:p w14:paraId="745BB86D" w14:textId="7FBB20FB" w:rsidR="0071572D" w:rsidRPr="00626D32" w:rsidRDefault="0071572D" w:rsidP="0071572D">
            <w:pPr>
              <w:pStyle w:val="BoxSpaceBelow"/>
            </w:pPr>
          </w:p>
        </w:tc>
      </w:tr>
    </w:tbl>
    <w:p w14:paraId="4B5FE50D" w14:textId="62998634" w:rsidR="00A30CBA" w:rsidRDefault="00B37383" w:rsidP="00A30CBA">
      <w:pPr>
        <w:pStyle w:val="Heading2"/>
      </w:pPr>
      <w:r>
        <w:t>6.</w:t>
      </w:r>
      <w:r w:rsidR="00663B7A">
        <w:rPr>
          <w:noProof/>
        </w:rPr>
        <w:t>3</w:t>
      </w:r>
      <w:r w:rsidR="00A30CBA">
        <w:tab/>
        <w:t xml:space="preserve">What are the impacts of </w:t>
      </w:r>
      <w:proofErr w:type="spellStart"/>
      <w:r w:rsidR="00A30CBA">
        <w:t>life</w:t>
      </w:r>
      <w:r w:rsidR="00A30CBA">
        <w:noBreakHyphen/>
        <w:t>cycle</w:t>
      </w:r>
      <w:proofErr w:type="spellEnd"/>
      <w:r w:rsidR="00A30CBA">
        <w:t xml:space="preserve"> strategies?</w:t>
      </w:r>
    </w:p>
    <w:p w14:paraId="545AE308" w14:textId="38E3111E" w:rsidR="006C06D8" w:rsidRDefault="006C06D8" w:rsidP="007D67CA">
      <w:pPr>
        <w:pStyle w:val="BodyText"/>
      </w:pPr>
      <w:r>
        <w:t xml:space="preserve">To address sequencing risks, </w:t>
      </w:r>
      <w:proofErr w:type="spellStart"/>
      <w:r>
        <w:t>life</w:t>
      </w:r>
      <w:r>
        <w:noBreakHyphen/>
        <w:t>cycle</w:t>
      </w:r>
      <w:proofErr w:type="spellEnd"/>
      <w:r>
        <w:t xml:space="preserve"> products shift members into lower</w:t>
      </w:r>
      <w:r>
        <w:noBreakHyphen/>
        <w:t>risk portfolios as they approach retirement. How well they do this is debatable and can only be assessed using stochastic modelling.</w:t>
      </w:r>
    </w:p>
    <w:p w14:paraId="4F65297B" w14:textId="7FCE5F97" w:rsidR="005C3E5D" w:rsidRDefault="006C06D8" w:rsidP="007D67CA">
      <w:pPr>
        <w:pStyle w:val="BodyText"/>
      </w:pPr>
      <w:r>
        <w:t xml:space="preserve">One illustration of the effects of </w:t>
      </w:r>
      <w:proofErr w:type="spellStart"/>
      <w:r>
        <w:t>life</w:t>
      </w:r>
      <w:r>
        <w:noBreakHyphen/>
        <w:t>cycle</w:t>
      </w:r>
      <w:proofErr w:type="spellEnd"/>
      <w:r>
        <w:t xml:space="preserve"> strategies is to compare outcomes of maintaining a balanced investment strategy until retirement and the outcomes of shifting from a balanced to a safe portfolio five years before retirement. In the example below, the safe portfolio </w:t>
      </w:r>
      <w:r w:rsidR="00A045C3">
        <w:t>produces</w:t>
      </w:r>
      <w:r>
        <w:t xml:space="preserve"> a 2.5 per cent real return with zero variance</w:t>
      </w:r>
      <w:r w:rsidR="00A045C3">
        <w:t xml:space="preserve">. This gives the benefit of doubt to </w:t>
      </w:r>
      <w:proofErr w:type="spellStart"/>
      <w:r w:rsidR="00A045C3">
        <w:lastRenderedPageBreak/>
        <w:t>life</w:t>
      </w:r>
      <w:r w:rsidR="00A045C3">
        <w:noBreakHyphen/>
        <w:t>cycle</w:t>
      </w:r>
      <w:proofErr w:type="spellEnd"/>
      <w:r w:rsidR="00A045C3">
        <w:t xml:space="preserve"> products as it is in excess of the real rates of return on cash in recent years,</w:t>
      </w:r>
      <w:r w:rsidR="00405B57">
        <w:rPr>
          <w:rStyle w:val="FootnoteReference"/>
        </w:rPr>
        <w:footnoteReference w:id="7"/>
      </w:r>
      <w:r w:rsidR="00A045C3">
        <w:t xml:space="preserve"> which have sometimes been negative, and because in fact, ‘safe’ rates have never had zero variance. </w:t>
      </w:r>
    </w:p>
    <w:p w14:paraId="6DC644EF" w14:textId="0028F56E" w:rsidR="001C3837" w:rsidRDefault="00BB0F2A" w:rsidP="00F91AD8">
      <w:pPr>
        <w:pStyle w:val="BodyText"/>
      </w:pPr>
      <w:r>
        <w:t xml:space="preserve">A shift to a </w:t>
      </w:r>
      <w:proofErr w:type="spellStart"/>
      <w:r>
        <w:t>life</w:t>
      </w:r>
      <w:r>
        <w:noBreakHyphen/>
        <w:t>cycle</w:t>
      </w:r>
      <w:proofErr w:type="spellEnd"/>
      <w:r>
        <w:t xml:space="preserve"> product will </w:t>
      </w:r>
      <w:r w:rsidRPr="00BB0F2A">
        <w:rPr>
          <w:i/>
        </w:rPr>
        <w:t>typically</w:t>
      </w:r>
      <w:r>
        <w:t xml:space="preserve"> forego significant returns as shown by the relative </w:t>
      </w:r>
      <w:r w:rsidR="001C3837">
        <w:t xml:space="preserve">distribution of retirement balances associated with </w:t>
      </w:r>
      <w:proofErr w:type="spellStart"/>
      <w:r w:rsidR="001C3837">
        <w:t>life</w:t>
      </w:r>
      <w:r w:rsidR="001C3837">
        <w:noBreakHyphen/>
        <w:t>cycle</w:t>
      </w:r>
      <w:proofErr w:type="spellEnd"/>
      <w:r w:rsidR="001C3837">
        <w:t xml:space="preserve"> </w:t>
      </w:r>
      <w:r>
        <w:t xml:space="preserve">and balanced </w:t>
      </w:r>
      <w:r w:rsidR="001C3837">
        <w:t>products</w:t>
      </w:r>
      <w:r>
        <w:t xml:space="preserve"> (figure 6.3). Overall, t</w:t>
      </w:r>
      <w:r w:rsidR="005A74A1">
        <w:t xml:space="preserve">he </w:t>
      </w:r>
      <w:r w:rsidR="005A74A1" w:rsidRPr="001A77BF">
        <w:t xml:space="preserve">simulation model shows that </w:t>
      </w:r>
      <w:r w:rsidR="00405B57">
        <w:t xml:space="preserve">the </w:t>
      </w:r>
      <w:proofErr w:type="spellStart"/>
      <w:r w:rsidR="005A74A1">
        <w:t>life</w:t>
      </w:r>
      <w:r w:rsidR="005A74A1">
        <w:noBreakHyphen/>
        <w:t>cycle</w:t>
      </w:r>
      <w:proofErr w:type="spellEnd"/>
      <w:r w:rsidR="005A74A1">
        <w:t xml:space="preserve"> product </w:t>
      </w:r>
      <w:r w:rsidR="00F91AD8">
        <w:t>produces</w:t>
      </w:r>
      <w:r w:rsidR="005A74A1">
        <w:t xml:space="preserve"> an expected retirement balance more than $1</w:t>
      </w:r>
      <w:r w:rsidR="002773D2">
        <w:t>3</w:t>
      </w:r>
      <w:r w:rsidR="005A74A1">
        <w:t xml:space="preserve">0 000 lower than </w:t>
      </w:r>
      <w:r w:rsidR="00405B57">
        <w:t>maintaining a balanced investment strategy</w:t>
      </w:r>
      <w:r w:rsidR="005A74A1">
        <w:t xml:space="preserve">. </w:t>
      </w:r>
      <w:r w:rsidR="002773D2">
        <w:t>(If the safe portfolio returns a long</w:t>
      </w:r>
      <w:r w:rsidR="002773D2">
        <w:noBreakHyphen/>
        <w:t>run real cash rate of 2 per cent consistent with lower cash rates in recen</w:t>
      </w:r>
      <w:r w:rsidR="00D210DA">
        <w:t>t years, then the average loss</w:t>
      </w:r>
      <w:r w:rsidR="002773D2">
        <w:t xml:space="preserve"> </w:t>
      </w:r>
      <w:r w:rsidR="00D210DA">
        <w:t>is</w:t>
      </w:r>
      <w:r w:rsidR="002773D2">
        <w:t xml:space="preserve"> more than $150 000.)</w:t>
      </w:r>
    </w:p>
    <w:p w14:paraId="0D67E5E3" w14:textId="6A4F89F9" w:rsidR="00F91AD8" w:rsidRDefault="00405B57" w:rsidP="00F91AD8">
      <w:pPr>
        <w:pStyle w:val="BodyText"/>
      </w:pPr>
      <w:r>
        <w:t xml:space="preserve">Moreover, while the </w:t>
      </w:r>
      <w:proofErr w:type="spellStart"/>
      <w:r>
        <w:t>life</w:t>
      </w:r>
      <w:r>
        <w:noBreakHyphen/>
        <w:t>cycle</w:t>
      </w:r>
      <w:proofErr w:type="spellEnd"/>
      <w:r>
        <w:t xml:space="preserve"> product can </w:t>
      </w:r>
      <w:r w:rsidR="001C3837">
        <w:t xml:space="preserve">sometimes produce better results than a balanced product, the worst outcome from a </w:t>
      </w:r>
      <w:proofErr w:type="spellStart"/>
      <w:r w:rsidR="001C3837">
        <w:t>life</w:t>
      </w:r>
      <w:r w:rsidR="001C3837">
        <w:noBreakHyphen/>
        <w:t>cycle</w:t>
      </w:r>
      <w:proofErr w:type="spellEnd"/>
      <w:r w:rsidR="001C3837">
        <w:t xml:space="preserve"> product are very poor, involving losses of $500 000 or more, while the best positive outcomes are smaller in magnitude (figure 6.4).</w:t>
      </w:r>
    </w:p>
    <w:p w14:paraId="4ABBC871" w14:textId="5107FAE4" w:rsidR="00F2787C" w:rsidRDefault="00F2787C" w:rsidP="0071572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2787C" w14:paraId="39F266BB" w14:textId="77777777" w:rsidTr="0071572D">
        <w:trPr>
          <w:tblHeader/>
        </w:trPr>
        <w:tc>
          <w:tcPr>
            <w:tcW w:w="5000" w:type="pct"/>
            <w:tcBorders>
              <w:top w:val="single" w:sz="6" w:space="0" w:color="78A22F"/>
              <w:left w:val="nil"/>
              <w:bottom w:val="nil"/>
              <w:right w:val="nil"/>
            </w:tcBorders>
            <w:shd w:val="clear" w:color="auto" w:fill="auto"/>
          </w:tcPr>
          <w:p w14:paraId="6BFBE7A4" w14:textId="1C63F053" w:rsidR="00F2787C" w:rsidRPr="00176D3F" w:rsidRDefault="00F2787C" w:rsidP="00DC0A76">
            <w:pPr>
              <w:pStyle w:val="FigureTitle"/>
            </w:pPr>
            <w:r w:rsidRPr="00784A05">
              <w:rPr>
                <w:b w:val="0"/>
              </w:rPr>
              <w:t xml:space="preserve">Figure </w:t>
            </w:r>
            <w:r w:rsidR="00B37383">
              <w:rPr>
                <w:b w:val="0"/>
              </w:rPr>
              <w:t>6.</w:t>
            </w:r>
            <w:r w:rsidR="00663B7A">
              <w:rPr>
                <w:b w:val="0"/>
                <w:noProof/>
              </w:rPr>
              <w:t>3</w:t>
            </w:r>
            <w:r>
              <w:tab/>
            </w:r>
            <w:r w:rsidR="00457E17">
              <w:t xml:space="preserve">The distribution of </w:t>
            </w:r>
            <w:r w:rsidR="00DC0A76">
              <w:t>retirement balances</w:t>
            </w:r>
            <w:r w:rsidR="00457E17">
              <w:t xml:space="preserve"> under </w:t>
            </w:r>
            <w:proofErr w:type="spellStart"/>
            <w:r w:rsidR="00457E17">
              <w:t>life</w:t>
            </w:r>
            <w:r w:rsidR="00457E17">
              <w:noBreakHyphen/>
              <w:t>cycle</w:t>
            </w:r>
            <w:proofErr w:type="spellEnd"/>
            <w:r w:rsidR="00457E17">
              <w:t xml:space="preserve"> versus balanced portfolios</w:t>
            </w:r>
            <w:r w:rsidR="00334B07" w:rsidRPr="00213D43">
              <w:rPr>
                <w:rStyle w:val="NoteLabel"/>
                <w:b/>
              </w:rPr>
              <w:t>a</w:t>
            </w:r>
          </w:p>
        </w:tc>
      </w:tr>
      <w:tr w:rsidR="00F2787C" w14:paraId="343ADAF0" w14:textId="77777777" w:rsidTr="0071572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F2787C" w:rsidRPr="00B1465D" w14:paraId="15C6B8BF" w14:textId="77777777" w:rsidTr="0071572D">
              <w:trPr>
                <w:tblHeader/>
                <w:jc w:val="center"/>
              </w:trPr>
              <w:tc>
                <w:tcPr>
                  <w:tcW w:w="5000" w:type="pct"/>
                  <w:tcBorders>
                    <w:top w:val="nil"/>
                    <w:bottom w:val="nil"/>
                  </w:tcBorders>
                </w:tcPr>
                <w:p w14:paraId="235BD9FE" w14:textId="6D51126F" w:rsidR="00F2787C" w:rsidRPr="00B1465D" w:rsidRDefault="00C13E27" w:rsidP="0071572D">
                  <w:pPr>
                    <w:pStyle w:val="Figure"/>
                    <w:spacing w:before="60" w:after="60"/>
                    <w:rPr>
                      <w:rFonts w:ascii="Arial" w:hAnsi="Arial" w:cs="Arial"/>
                      <w:sz w:val="18"/>
                      <w:szCs w:val="18"/>
                    </w:rPr>
                  </w:pPr>
                  <w:r w:rsidRPr="00C13E27">
                    <w:rPr>
                      <w:rFonts w:ascii="Arial" w:hAnsi="Arial" w:cs="Arial"/>
                      <w:noProof/>
                      <w:sz w:val="18"/>
                      <w:szCs w:val="18"/>
                    </w:rPr>
                    <w:drawing>
                      <wp:inline distT="0" distB="0" distL="0" distR="0" wp14:anchorId="3722A777" wp14:editId="6F5236BD">
                        <wp:extent cx="5401945" cy="2881630"/>
                        <wp:effectExtent l="0" t="0" r="8255" b="0"/>
                        <wp:docPr id="11" name="Picture 11" descr="This figure shows the different distributions of retirement balances from a balance portfolio and a Safe life-cycle portfolio (last 5 years) by percen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01945" cy="2881630"/>
                                </a:xfrm>
                                <a:prstGeom prst="rect">
                                  <a:avLst/>
                                </a:prstGeom>
                                <a:noFill/>
                                <a:ln>
                                  <a:noFill/>
                                </a:ln>
                              </pic:spPr>
                            </pic:pic>
                          </a:graphicData>
                        </a:graphic>
                      </wp:inline>
                    </w:drawing>
                  </w:r>
                </w:p>
              </w:tc>
            </w:tr>
          </w:tbl>
          <w:p w14:paraId="03AA3834" w14:textId="77777777" w:rsidR="00F2787C" w:rsidRDefault="00F2787C" w:rsidP="0071572D">
            <w:pPr>
              <w:pStyle w:val="Figure"/>
            </w:pPr>
          </w:p>
        </w:tc>
      </w:tr>
      <w:tr w:rsidR="00F2787C" w:rsidRPr="00176D3F" w14:paraId="55337E02" w14:textId="77777777" w:rsidTr="0071572D">
        <w:tc>
          <w:tcPr>
            <w:tcW w:w="5000" w:type="pct"/>
            <w:tcBorders>
              <w:top w:val="nil"/>
              <w:left w:val="nil"/>
              <w:bottom w:val="nil"/>
              <w:right w:val="nil"/>
            </w:tcBorders>
            <w:shd w:val="clear" w:color="auto" w:fill="auto"/>
          </w:tcPr>
          <w:p w14:paraId="50EDFDEE" w14:textId="1FB84829" w:rsidR="00F2787C" w:rsidRPr="00176D3F" w:rsidRDefault="00F2787C" w:rsidP="00686588">
            <w:pPr>
              <w:pStyle w:val="Note"/>
            </w:pPr>
            <w:r>
              <w:rPr>
                <w:rStyle w:val="NoteLabel"/>
              </w:rPr>
              <w:t>a</w:t>
            </w:r>
            <w:r>
              <w:t xml:space="preserve"> </w:t>
            </w:r>
            <w:r w:rsidR="00695EAE">
              <w:t xml:space="preserve">One million </w:t>
            </w:r>
            <w:r w:rsidR="00457E17">
              <w:t xml:space="preserve">bootstrapped simulations based on </w:t>
            </w:r>
            <w:r w:rsidR="00483658">
              <w:t>c</w:t>
            </w:r>
            <w:r w:rsidR="00457E17">
              <w:t xml:space="preserve">ase A parameters, with the </w:t>
            </w:r>
            <w:proofErr w:type="spellStart"/>
            <w:r w:rsidR="00457E17">
              <w:t>life</w:t>
            </w:r>
            <w:r w:rsidR="0042265A">
              <w:noBreakHyphen/>
            </w:r>
            <w:r w:rsidR="00457E17">
              <w:t>cycle</w:t>
            </w:r>
            <w:proofErr w:type="spellEnd"/>
            <w:r w:rsidR="00457E17">
              <w:t xml:space="preserve"> o</w:t>
            </w:r>
            <w:r w:rsidR="00334B07">
              <w:t>ut</w:t>
            </w:r>
            <w:r w:rsidR="00457E17">
              <w:t>come based on a safe annual return of 2.5 per cent real over the last five years before retirement</w:t>
            </w:r>
            <w:r>
              <w:t>.</w:t>
            </w:r>
            <w:r w:rsidR="00457E17">
              <w:t xml:space="preserve"> </w:t>
            </w:r>
            <w:r w:rsidR="00561AEF">
              <w:t xml:space="preserve">Note that the </w:t>
            </w:r>
            <w:r w:rsidR="00561AEF" w:rsidRPr="00D074B5">
              <w:rPr>
                <w:i/>
              </w:rPr>
              <w:t>difference</w:t>
            </w:r>
            <w:r w:rsidR="00561AEF">
              <w:t xml:space="preserve"> between the two sets of outcome for any given percentile is not a valid indicator of the effects of </w:t>
            </w:r>
            <w:proofErr w:type="spellStart"/>
            <w:r w:rsidR="00561AEF">
              <w:t>life</w:t>
            </w:r>
            <w:r w:rsidR="00561AEF">
              <w:noBreakHyphen/>
              <w:t>cycle</w:t>
            </w:r>
            <w:proofErr w:type="spellEnd"/>
            <w:r w:rsidR="00561AEF">
              <w:t xml:space="preserve"> products at any given percentile (which is shown below</w:t>
            </w:r>
            <w:r w:rsidR="00D074B5">
              <w:t xml:space="preserve"> in figure 6.</w:t>
            </w:r>
            <w:r w:rsidR="00BB6302">
              <w:t>4</w:t>
            </w:r>
            <w:r w:rsidR="00561AEF">
              <w:t>). This is because, for example, the simulation where the fund balance equals $511 000 for the balanced portfolio (the 5</w:t>
            </w:r>
            <w:r w:rsidR="00561AEF" w:rsidRPr="00561AEF">
              <w:rPr>
                <w:vertAlign w:val="superscript"/>
              </w:rPr>
              <w:t>th</w:t>
            </w:r>
            <w:r w:rsidR="00561AEF">
              <w:t xml:space="preserve"> percentile for that fund) is not the one where the fund balance equals $48</w:t>
            </w:r>
            <w:r w:rsidR="00063A5F">
              <w:t>1</w:t>
            </w:r>
            <w:r w:rsidR="00561AEF">
              <w:t xml:space="preserve"> 000 for the </w:t>
            </w:r>
            <w:proofErr w:type="spellStart"/>
            <w:r w:rsidR="00561AEF">
              <w:t>life</w:t>
            </w:r>
            <w:r w:rsidR="00561AEF">
              <w:noBreakHyphen/>
              <w:t>cycle</w:t>
            </w:r>
            <w:proofErr w:type="spellEnd"/>
            <w:r w:rsidR="00561AEF">
              <w:t xml:space="preserve"> product.</w:t>
            </w:r>
            <w:r w:rsidR="00D074B5">
              <w:t xml:space="preserve"> </w:t>
            </w:r>
          </w:p>
        </w:tc>
      </w:tr>
      <w:tr w:rsidR="00F2787C" w14:paraId="2E8620D9" w14:textId="77777777" w:rsidTr="0071572D">
        <w:tc>
          <w:tcPr>
            <w:tcW w:w="5000" w:type="pct"/>
            <w:tcBorders>
              <w:top w:val="nil"/>
              <w:left w:val="nil"/>
              <w:bottom w:val="single" w:sz="6" w:space="0" w:color="78A22F"/>
              <w:right w:val="nil"/>
            </w:tcBorders>
            <w:shd w:val="clear" w:color="auto" w:fill="auto"/>
          </w:tcPr>
          <w:p w14:paraId="3F836352" w14:textId="77777777" w:rsidR="00F2787C" w:rsidRDefault="00F2787C" w:rsidP="0071572D">
            <w:pPr>
              <w:pStyle w:val="Figurespace"/>
            </w:pPr>
          </w:p>
        </w:tc>
      </w:tr>
      <w:tr w:rsidR="00F2787C" w:rsidRPr="000863A5" w14:paraId="22BBA736" w14:textId="77777777" w:rsidTr="0071572D">
        <w:tc>
          <w:tcPr>
            <w:tcW w:w="5000" w:type="pct"/>
            <w:tcBorders>
              <w:top w:val="single" w:sz="6" w:space="0" w:color="78A22F"/>
              <w:left w:val="nil"/>
              <w:bottom w:val="nil"/>
              <w:right w:val="nil"/>
            </w:tcBorders>
          </w:tcPr>
          <w:p w14:paraId="6AA6F96C" w14:textId="3A30E115" w:rsidR="00F2787C" w:rsidRPr="00626D32" w:rsidRDefault="00F2787C" w:rsidP="0071572D">
            <w:pPr>
              <w:pStyle w:val="BoxSpaceBelow"/>
            </w:pPr>
          </w:p>
        </w:tc>
      </w:tr>
    </w:tbl>
    <w:p w14:paraId="68386265" w14:textId="7579D6EF" w:rsidR="00BF3D43" w:rsidRDefault="00BF3D43" w:rsidP="0071572D">
      <w:pPr>
        <w:pStyle w:val="BoxSpaceAbove"/>
      </w:pPr>
    </w:p>
    <w:tbl>
      <w:tblPr>
        <w:tblW w:w="5000" w:type="pct"/>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4394"/>
        <w:gridCol w:w="4395"/>
      </w:tblGrid>
      <w:tr w:rsidR="00BF3D43" w14:paraId="2B03E597" w14:textId="77777777" w:rsidTr="00334B07">
        <w:trPr>
          <w:tblHeader/>
        </w:trPr>
        <w:tc>
          <w:tcPr>
            <w:tcW w:w="5000" w:type="pct"/>
            <w:gridSpan w:val="2"/>
            <w:tcBorders>
              <w:top w:val="single" w:sz="6" w:space="0" w:color="78A22F"/>
              <w:left w:val="nil"/>
              <w:bottom w:val="nil"/>
              <w:right w:val="nil"/>
            </w:tcBorders>
            <w:shd w:val="clear" w:color="auto" w:fill="auto"/>
          </w:tcPr>
          <w:p w14:paraId="31692D84" w14:textId="69D4FDAB" w:rsidR="00BF3D43" w:rsidRPr="00176D3F" w:rsidRDefault="00BF3D43" w:rsidP="00334B07">
            <w:pPr>
              <w:pStyle w:val="FigureTitle"/>
            </w:pPr>
            <w:r w:rsidRPr="00784A05">
              <w:rPr>
                <w:b w:val="0"/>
              </w:rPr>
              <w:t xml:space="preserve">Figure </w:t>
            </w:r>
            <w:r w:rsidR="00B37383">
              <w:rPr>
                <w:b w:val="0"/>
              </w:rPr>
              <w:t>6.</w:t>
            </w:r>
            <w:r w:rsidR="00663B7A">
              <w:rPr>
                <w:b w:val="0"/>
                <w:noProof/>
              </w:rPr>
              <w:t>4</w:t>
            </w:r>
            <w:r>
              <w:tab/>
            </w:r>
            <w:r w:rsidR="00334B07">
              <w:t>Life</w:t>
            </w:r>
            <w:r w:rsidR="00334B07">
              <w:noBreakHyphen/>
              <w:t>cycle products have large downsides</w:t>
            </w:r>
            <w:r w:rsidR="00B62551" w:rsidRPr="00483658">
              <w:rPr>
                <w:rStyle w:val="NoteLabel"/>
                <w:b/>
              </w:rPr>
              <w:t>a</w:t>
            </w:r>
          </w:p>
        </w:tc>
      </w:tr>
      <w:tr w:rsidR="00334B07" w14:paraId="03B1CB30" w14:textId="77777777" w:rsidTr="00334B07">
        <w:trPr>
          <w:trHeight w:val="147"/>
        </w:trPr>
        <w:tc>
          <w:tcPr>
            <w:tcW w:w="2500" w:type="pct"/>
            <w:tcBorders>
              <w:top w:val="nil"/>
              <w:left w:val="nil"/>
              <w:bottom w:val="nil"/>
              <w:right w:val="nil"/>
            </w:tcBorders>
            <w:shd w:val="clear" w:color="auto" w:fill="auto"/>
            <w:tcMar>
              <w:top w:w="28" w:type="dxa"/>
              <w:bottom w:w="28" w:type="dxa"/>
            </w:tcMar>
          </w:tcPr>
          <w:p w14:paraId="43EBF2F9" w14:textId="67031764" w:rsidR="00334B07" w:rsidRPr="00B1465D" w:rsidRDefault="00334B07" w:rsidP="00562601">
            <w:pPr>
              <w:pStyle w:val="Figure"/>
              <w:spacing w:before="60" w:after="60"/>
              <w:rPr>
                <w:rFonts w:ascii="Arial" w:hAnsi="Arial" w:cs="Arial"/>
                <w:sz w:val="18"/>
                <w:szCs w:val="18"/>
              </w:rPr>
            </w:pPr>
            <w:r>
              <w:rPr>
                <w:rFonts w:ascii="Arial" w:hAnsi="Arial" w:cs="Arial"/>
                <w:sz w:val="18"/>
                <w:szCs w:val="18"/>
              </w:rPr>
              <w:t xml:space="preserve">Percentage differences between a </w:t>
            </w:r>
            <w:proofErr w:type="spellStart"/>
            <w:r>
              <w:rPr>
                <w:rFonts w:ascii="Arial" w:hAnsi="Arial" w:cs="Arial"/>
                <w:sz w:val="18"/>
                <w:szCs w:val="18"/>
              </w:rPr>
              <w:t>life</w:t>
            </w:r>
            <w:r>
              <w:rPr>
                <w:rFonts w:ascii="Arial" w:hAnsi="Arial" w:cs="Arial"/>
                <w:sz w:val="18"/>
                <w:szCs w:val="18"/>
              </w:rPr>
              <w:noBreakHyphen/>
              <w:t>cycle</w:t>
            </w:r>
            <w:proofErr w:type="spellEnd"/>
            <w:r>
              <w:rPr>
                <w:rFonts w:ascii="Arial" w:hAnsi="Arial" w:cs="Arial"/>
                <w:sz w:val="18"/>
                <w:szCs w:val="18"/>
              </w:rPr>
              <w:t xml:space="preserve"> </w:t>
            </w:r>
            <w:r w:rsidR="00562601">
              <w:rPr>
                <w:rFonts w:ascii="Arial" w:hAnsi="Arial" w:cs="Arial"/>
                <w:sz w:val="18"/>
                <w:szCs w:val="18"/>
              </w:rPr>
              <w:t>and</w:t>
            </w:r>
            <w:r>
              <w:rPr>
                <w:rFonts w:ascii="Arial" w:hAnsi="Arial" w:cs="Arial"/>
                <w:sz w:val="18"/>
                <w:szCs w:val="18"/>
              </w:rPr>
              <w:t xml:space="preserve"> balanced portfolio</w:t>
            </w:r>
          </w:p>
        </w:tc>
        <w:tc>
          <w:tcPr>
            <w:tcW w:w="2500" w:type="pct"/>
            <w:tcBorders>
              <w:top w:val="nil"/>
              <w:left w:val="nil"/>
              <w:bottom w:val="nil"/>
              <w:right w:val="nil"/>
            </w:tcBorders>
            <w:shd w:val="clear" w:color="auto" w:fill="auto"/>
          </w:tcPr>
          <w:p w14:paraId="4DD51C76" w14:textId="143E5137" w:rsidR="00334B07" w:rsidRPr="00B1465D" w:rsidRDefault="00334B07" w:rsidP="00334B07">
            <w:pPr>
              <w:pStyle w:val="Figure"/>
              <w:spacing w:before="60" w:after="60"/>
              <w:rPr>
                <w:rFonts w:ascii="Arial" w:hAnsi="Arial" w:cs="Arial"/>
                <w:sz w:val="18"/>
                <w:szCs w:val="18"/>
              </w:rPr>
            </w:pPr>
            <w:r>
              <w:rPr>
                <w:rFonts w:ascii="Arial" w:hAnsi="Arial" w:cs="Arial"/>
                <w:sz w:val="18"/>
                <w:szCs w:val="18"/>
              </w:rPr>
              <w:t xml:space="preserve">Big losses are more likely with </w:t>
            </w:r>
            <w:proofErr w:type="spellStart"/>
            <w:r>
              <w:rPr>
                <w:rFonts w:ascii="Arial" w:hAnsi="Arial" w:cs="Arial"/>
                <w:sz w:val="18"/>
                <w:szCs w:val="18"/>
              </w:rPr>
              <w:t>life</w:t>
            </w:r>
            <w:r>
              <w:rPr>
                <w:rFonts w:ascii="Arial" w:hAnsi="Arial" w:cs="Arial"/>
                <w:sz w:val="18"/>
                <w:szCs w:val="18"/>
              </w:rPr>
              <w:noBreakHyphen/>
              <w:t>cycle</w:t>
            </w:r>
            <w:proofErr w:type="spellEnd"/>
            <w:r>
              <w:rPr>
                <w:rFonts w:ascii="Arial" w:hAnsi="Arial" w:cs="Arial"/>
                <w:sz w:val="18"/>
                <w:szCs w:val="18"/>
              </w:rPr>
              <w:t xml:space="preserve"> products than big gains</w:t>
            </w:r>
            <w:r w:rsidR="0042265A">
              <w:rPr>
                <w:rFonts w:ascii="Arial" w:hAnsi="Arial" w:cs="Arial"/>
                <w:sz w:val="18"/>
                <w:szCs w:val="18"/>
              </w:rPr>
              <w:t xml:space="preserve"> </w:t>
            </w:r>
          </w:p>
        </w:tc>
      </w:tr>
      <w:tr w:rsidR="00334B07" w14:paraId="6AD022B8" w14:textId="77777777" w:rsidTr="00334B07">
        <w:trPr>
          <w:trHeight w:val="147"/>
        </w:trPr>
        <w:tc>
          <w:tcPr>
            <w:tcW w:w="2500" w:type="pct"/>
            <w:tcBorders>
              <w:top w:val="nil"/>
              <w:left w:val="nil"/>
              <w:bottom w:val="nil"/>
              <w:right w:val="nil"/>
            </w:tcBorders>
            <w:shd w:val="clear" w:color="auto" w:fill="auto"/>
            <w:tcMar>
              <w:top w:w="28" w:type="dxa"/>
              <w:bottom w:w="28" w:type="dxa"/>
            </w:tcMar>
          </w:tcPr>
          <w:p w14:paraId="5A1428E6" w14:textId="3D1BC7F0" w:rsidR="00334B07" w:rsidRPr="00B1465D" w:rsidRDefault="00663B7A" w:rsidP="0071572D">
            <w:pPr>
              <w:pStyle w:val="Figure"/>
              <w:spacing w:before="60" w:after="60"/>
              <w:rPr>
                <w:rFonts w:ascii="Arial" w:hAnsi="Arial" w:cs="Arial"/>
                <w:sz w:val="18"/>
                <w:szCs w:val="18"/>
              </w:rPr>
            </w:pPr>
            <w:r w:rsidRPr="00663B7A">
              <w:rPr>
                <w:rFonts w:ascii="Arial" w:hAnsi="Arial" w:cs="Arial"/>
                <w:noProof/>
                <w:sz w:val="18"/>
                <w:szCs w:val="18"/>
              </w:rPr>
              <w:drawing>
                <wp:inline distT="0" distB="0" distL="0" distR="0" wp14:anchorId="187FE1E3" wp14:editId="400AD49D">
                  <wp:extent cx="2610485" cy="2610485"/>
                  <wp:effectExtent l="0" t="0" r="0" b="0"/>
                  <wp:docPr id="3" name="Picture 3" descr="This figure shows the percentage difference in retirement balances between a life-cycle and a balanced port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10485" cy="2610485"/>
                          </a:xfrm>
                          <a:prstGeom prst="rect">
                            <a:avLst/>
                          </a:prstGeom>
                          <a:noFill/>
                          <a:ln>
                            <a:noFill/>
                          </a:ln>
                        </pic:spPr>
                      </pic:pic>
                    </a:graphicData>
                  </a:graphic>
                </wp:inline>
              </w:drawing>
            </w:r>
          </w:p>
        </w:tc>
        <w:tc>
          <w:tcPr>
            <w:tcW w:w="2500" w:type="pct"/>
            <w:tcBorders>
              <w:top w:val="nil"/>
              <w:left w:val="nil"/>
              <w:bottom w:val="nil"/>
              <w:right w:val="nil"/>
            </w:tcBorders>
            <w:shd w:val="clear" w:color="auto" w:fill="auto"/>
          </w:tcPr>
          <w:p w14:paraId="6286DCC3" w14:textId="39073237" w:rsidR="00334B07" w:rsidRPr="00B1465D" w:rsidRDefault="00663B7A" w:rsidP="0071572D">
            <w:pPr>
              <w:pStyle w:val="Figure"/>
              <w:spacing w:before="60" w:after="60"/>
              <w:rPr>
                <w:rFonts w:ascii="Arial" w:hAnsi="Arial" w:cs="Arial"/>
                <w:sz w:val="18"/>
                <w:szCs w:val="18"/>
              </w:rPr>
            </w:pPr>
            <w:r w:rsidRPr="00663B7A">
              <w:rPr>
                <w:rFonts w:ascii="Arial" w:hAnsi="Arial" w:cs="Arial"/>
                <w:noProof/>
                <w:sz w:val="18"/>
                <w:szCs w:val="18"/>
              </w:rPr>
              <w:drawing>
                <wp:inline distT="0" distB="0" distL="0" distR="0" wp14:anchorId="057E5CAD" wp14:editId="7A8B70DC">
                  <wp:extent cx="2610485" cy="2610485"/>
                  <wp:effectExtent l="0" t="0" r="0" b="0"/>
                  <wp:docPr id="4" name="Picture 4" descr="This figure shows that big dollar losses are more likely with life-cycle products than big dollar g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10485" cy="2610485"/>
                          </a:xfrm>
                          <a:prstGeom prst="rect">
                            <a:avLst/>
                          </a:prstGeom>
                          <a:noFill/>
                          <a:ln>
                            <a:noFill/>
                          </a:ln>
                        </pic:spPr>
                      </pic:pic>
                    </a:graphicData>
                  </a:graphic>
                </wp:inline>
              </w:drawing>
            </w:r>
          </w:p>
        </w:tc>
      </w:tr>
      <w:tr w:rsidR="00BF3D43" w:rsidRPr="00176D3F" w14:paraId="1A820A5C" w14:textId="77777777" w:rsidTr="00334B07">
        <w:tc>
          <w:tcPr>
            <w:tcW w:w="5000" w:type="pct"/>
            <w:gridSpan w:val="2"/>
            <w:tcBorders>
              <w:top w:val="nil"/>
              <w:left w:val="nil"/>
              <w:bottom w:val="nil"/>
              <w:right w:val="nil"/>
            </w:tcBorders>
            <w:shd w:val="clear" w:color="auto" w:fill="auto"/>
          </w:tcPr>
          <w:p w14:paraId="1426406B" w14:textId="7BB505D6" w:rsidR="00BF3D43" w:rsidRPr="00176D3F" w:rsidRDefault="00BF3D43" w:rsidP="00BB6302">
            <w:pPr>
              <w:pStyle w:val="Note"/>
            </w:pPr>
            <w:proofErr w:type="spellStart"/>
            <w:r>
              <w:rPr>
                <w:rStyle w:val="NoteLabel"/>
              </w:rPr>
              <w:t>a</w:t>
            </w:r>
            <w:proofErr w:type="spellEnd"/>
            <w:r>
              <w:t xml:space="preserve"> </w:t>
            </w:r>
            <w:r w:rsidR="00334B07">
              <w:t xml:space="preserve">The model is as specified in </w:t>
            </w:r>
            <w:r w:rsidR="00483658">
              <w:t>c</w:t>
            </w:r>
            <w:r w:rsidR="00334B07">
              <w:t>ase A with the same simulations as in figure 6.</w:t>
            </w:r>
            <w:r w:rsidR="00BB6302">
              <w:t>3</w:t>
            </w:r>
            <w:r>
              <w:t>.</w:t>
            </w:r>
          </w:p>
        </w:tc>
      </w:tr>
      <w:tr w:rsidR="00BF3D43" w14:paraId="7818745B" w14:textId="77777777" w:rsidTr="00334B07">
        <w:tc>
          <w:tcPr>
            <w:tcW w:w="5000" w:type="pct"/>
            <w:gridSpan w:val="2"/>
            <w:tcBorders>
              <w:top w:val="nil"/>
              <w:left w:val="nil"/>
              <w:bottom w:val="single" w:sz="6" w:space="0" w:color="78A22F"/>
              <w:right w:val="nil"/>
            </w:tcBorders>
            <w:shd w:val="clear" w:color="auto" w:fill="auto"/>
          </w:tcPr>
          <w:p w14:paraId="79F64741" w14:textId="77777777" w:rsidR="00BF3D43" w:rsidRDefault="00BF3D43" w:rsidP="0071572D">
            <w:pPr>
              <w:pStyle w:val="Figurespace"/>
            </w:pPr>
          </w:p>
        </w:tc>
      </w:tr>
      <w:tr w:rsidR="00BF3D43" w:rsidRPr="000863A5" w14:paraId="4DF819A3" w14:textId="77777777" w:rsidTr="00334B07">
        <w:tc>
          <w:tcPr>
            <w:tcW w:w="5000" w:type="pct"/>
            <w:gridSpan w:val="2"/>
            <w:tcBorders>
              <w:top w:val="single" w:sz="6" w:space="0" w:color="78A22F"/>
              <w:left w:val="nil"/>
              <w:bottom w:val="nil"/>
              <w:right w:val="nil"/>
            </w:tcBorders>
          </w:tcPr>
          <w:p w14:paraId="5D34CF0D" w14:textId="5E379120" w:rsidR="00BF3D43" w:rsidRPr="00626D32" w:rsidRDefault="00BF3D43" w:rsidP="0071572D">
            <w:pPr>
              <w:pStyle w:val="BoxSpaceBelow"/>
            </w:pPr>
          </w:p>
        </w:tc>
      </w:tr>
    </w:tbl>
    <w:p w14:paraId="6754EC8E" w14:textId="17D04602" w:rsidR="00F1431C" w:rsidRDefault="00D074B5" w:rsidP="00D074B5">
      <w:pPr>
        <w:pStyle w:val="Heading3"/>
      </w:pPr>
      <w:r>
        <w:t>Other scenarios</w:t>
      </w:r>
    </w:p>
    <w:p w14:paraId="6E8FA595" w14:textId="7459C232" w:rsidR="00D074B5" w:rsidRDefault="00A87F8F" w:rsidP="00575318">
      <w:pPr>
        <w:pStyle w:val="BodyText"/>
      </w:pPr>
      <w:r>
        <w:t xml:space="preserve">All of the cases described in box 6.1 lead to significant expected losses from adoption of a </w:t>
      </w:r>
      <w:proofErr w:type="spellStart"/>
      <w:r>
        <w:t>life</w:t>
      </w:r>
      <w:r>
        <w:noBreakHyphen/>
        <w:t>cycle</w:t>
      </w:r>
      <w:proofErr w:type="spellEnd"/>
      <w:r>
        <w:t xml:space="preserve"> strategy. </w:t>
      </w:r>
      <w:r w:rsidR="009277C5">
        <w:t>However, investments in balanced funds nevertheless involve higher sequencing risks for some members, most notably women who have had children, and people whose retirement from the labour force involves a shift to part</w:t>
      </w:r>
      <w:r w:rsidR="009277C5">
        <w:noBreakHyphen/>
        <w:t>time work</w:t>
      </w:r>
      <w:r w:rsidR="00BB0F2A">
        <w:t xml:space="preserve"> (table 6.1)</w:t>
      </w:r>
      <w:r w:rsidR="009277C5">
        <w:t xml:space="preserve">. This occurs because wages in the last few years before retirement provide an important contribution to previous super balances, and for these groups, wages are less </w:t>
      </w:r>
      <w:r w:rsidR="00BB0F2A">
        <w:t xml:space="preserve">in this period </w:t>
      </w:r>
      <w:r w:rsidR="009277C5">
        <w:t xml:space="preserve">than at younger ages. </w:t>
      </w:r>
      <w:r w:rsidR="00BB0F2A">
        <w:t>F</w:t>
      </w:r>
      <w:r w:rsidR="009277C5">
        <w:t xml:space="preserve">or these people, </w:t>
      </w:r>
      <w:proofErr w:type="spellStart"/>
      <w:r w:rsidR="009277C5">
        <w:t>life</w:t>
      </w:r>
      <w:r w:rsidR="009277C5">
        <w:noBreakHyphen/>
        <w:t>cycle</w:t>
      </w:r>
      <w:proofErr w:type="spellEnd"/>
      <w:r w:rsidR="009277C5">
        <w:t xml:space="preserve"> products are more attractive than for others to the extent that they are willing to forgo the likely higher returns from a balanced product. </w:t>
      </w:r>
    </w:p>
    <w:p w14:paraId="223B96B7" w14:textId="2C2D2C8F" w:rsidR="009277C5" w:rsidRDefault="009277C5" w:rsidP="00575318">
      <w:pPr>
        <w:pStyle w:val="BodyText"/>
      </w:pPr>
      <w:r>
        <w:t xml:space="preserve">The </w:t>
      </w:r>
      <w:r w:rsidR="009D335A">
        <w:t xml:space="preserve">different </w:t>
      </w:r>
      <w:r>
        <w:t>outcome</w:t>
      </w:r>
      <w:r w:rsidR="009D335A">
        <w:t xml:space="preserve">s between </w:t>
      </w:r>
      <w:r w:rsidR="00483658">
        <w:t>c</w:t>
      </w:r>
      <w:r w:rsidR="009D335A">
        <w:t xml:space="preserve">ase A and </w:t>
      </w:r>
      <w:r w:rsidR="00483658">
        <w:t>c</w:t>
      </w:r>
      <w:r w:rsidR="009D335A">
        <w:t xml:space="preserve">ase </w:t>
      </w:r>
      <w:r w:rsidR="00413070">
        <w:t>D</w:t>
      </w:r>
      <w:r w:rsidR="009D335A">
        <w:t xml:space="preserve"> </w:t>
      </w:r>
      <w:r w:rsidR="00BB0F2A">
        <w:t>in table 6.1 also reveal</w:t>
      </w:r>
      <w:r w:rsidR="009D335A">
        <w:t xml:space="preserve"> the benefits that a capacity to work provides for insuring people against sequencing risk.</w:t>
      </w:r>
      <w:r w:rsidR="005D0AEF">
        <w:t xml:space="preserve"> </w:t>
      </w:r>
    </w:p>
    <w:p w14:paraId="26352C28" w14:textId="14C75C0F" w:rsidR="004A4FD1" w:rsidRDefault="004A4FD1" w:rsidP="00B71F05">
      <w:pPr>
        <w:pStyle w:val="BoxSpaceAbove"/>
      </w:pPr>
    </w:p>
    <w:tbl>
      <w:tblPr>
        <w:tblW w:w="5081" w:type="pct"/>
        <w:tblInd w:w="-142"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Description w:val="Table used for design: contains a nested table with data/information."/>
      </w:tblPr>
      <w:tblGrid>
        <w:gridCol w:w="8931"/>
      </w:tblGrid>
      <w:tr w:rsidR="004A4FD1" w14:paraId="02AB12A0" w14:textId="77777777" w:rsidTr="00663B7A">
        <w:trPr>
          <w:tblHeader/>
        </w:trPr>
        <w:tc>
          <w:tcPr>
            <w:tcW w:w="5000" w:type="pct"/>
            <w:tcBorders>
              <w:top w:val="single" w:sz="6" w:space="0" w:color="78A22F"/>
              <w:left w:val="nil"/>
              <w:bottom w:val="nil"/>
              <w:right w:val="nil"/>
            </w:tcBorders>
            <w:shd w:val="clear" w:color="auto" w:fill="auto"/>
          </w:tcPr>
          <w:p w14:paraId="4E53DF51" w14:textId="7CC61CB0" w:rsidR="004A4FD1" w:rsidRPr="00784A05" w:rsidRDefault="004A4FD1" w:rsidP="002E767F">
            <w:pPr>
              <w:pStyle w:val="TableTitle"/>
            </w:pPr>
            <w:r>
              <w:rPr>
                <w:b w:val="0"/>
              </w:rPr>
              <w:t xml:space="preserve">Table </w:t>
            </w:r>
            <w:r w:rsidR="00562601">
              <w:rPr>
                <w:b w:val="0"/>
              </w:rPr>
              <w:t>6.</w:t>
            </w:r>
            <w:r w:rsidR="00663B7A">
              <w:rPr>
                <w:b w:val="0"/>
                <w:noProof/>
              </w:rPr>
              <w:t>1</w:t>
            </w:r>
            <w:r>
              <w:tab/>
            </w:r>
            <w:r w:rsidR="002E767F">
              <w:t>Life</w:t>
            </w:r>
            <w:r w:rsidR="002E767F">
              <w:noBreakHyphen/>
              <w:t>cycle products produce losses for many different types of member</w:t>
            </w:r>
          </w:p>
        </w:tc>
      </w:tr>
      <w:tr w:rsidR="004A4FD1" w14:paraId="7E75AAA7" w14:textId="77777777" w:rsidTr="00663B7A">
        <w:tc>
          <w:tcPr>
            <w:tcW w:w="5000" w:type="pct"/>
            <w:tcBorders>
              <w:top w:val="nil"/>
              <w:left w:val="nil"/>
              <w:bottom w:val="nil"/>
              <w:right w:val="nil"/>
            </w:tcBorders>
            <w:shd w:val="clear" w:color="auto" w:fill="auto"/>
          </w:tcPr>
          <w:tbl>
            <w:tblPr>
              <w:tblW w:w="5000" w:type="pct"/>
              <w:tblLayout w:type="fixed"/>
              <w:tblCellMar>
                <w:top w:w="28" w:type="dxa"/>
                <w:left w:w="0" w:type="dxa"/>
                <w:right w:w="0" w:type="dxa"/>
              </w:tblCellMar>
              <w:tblLook w:val="0000" w:firstRow="0" w:lastRow="0" w:firstColumn="0" w:lastColumn="0" w:noHBand="0" w:noVBand="0"/>
            </w:tblPr>
            <w:tblGrid>
              <w:gridCol w:w="3120"/>
              <w:gridCol w:w="993"/>
              <w:gridCol w:w="996"/>
              <w:gridCol w:w="847"/>
              <w:gridCol w:w="994"/>
              <w:gridCol w:w="853"/>
              <w:gridCol w:w="844"/>
            </w:tblGrid>
            <w:tr w:rsidR="0043421A" w14:paraId="52AA925C" w14:textId="77777777" w:rsidTr="000F6E5E">
              <w:trPr>
                <w:tblHeader/>
              </w:trPr>
              <w:tc>
                <w:tcPr>
                  <w:tcW w:w="1804" w:type="pct"/>
                  <w:vMerge w:val="restart"/>
                  <w:tcBorders>
                    <w:top w:val="single" w:sz="6" w:space="0" w:color="BFBFBF"/>
                  </w:tcBorders>
                  <w:shd w:val="clear" w:color="auto" w:fill="auto"/>
                  <w:tcMar>
                    <w:top w:w="28" w:type="dxa"/>
                  </w:tcMar>
                </w:tcPr>
                <w:p w14:paraId="4D428542" w14:textId="77777777" w:rsidR="00663B7A" w:rsidRDefault="00663B7A" w:rsidP="00B71F05">
                  <w:pPr>
                    <w:pStyle w:val="TableColumnHeading"/>
                    <w:jc w:val="left"/>
                  </w:pPr>
                </w:p>
              </w:tc>
              <w:tc>
                <w:tcPr>
                  <w:tcW w:w="574" w:type="pct"/>
                  <w:tcBorders>
                    <w:top w:val="single" w:sz="6" w:space="0" w:color="BFBFBF"/>
                    <w:bottom w:val="single" w:sz="6" w:space="0" w:color="BFBFBF"/>
                  </w:tcBorders>
                  <w:shd w:val="clear" w:color="auto" w:fill="auto"/>
                  <w:vAlign w:val="center"/>
                </w:tcPr>
                <w:p w14:paraId="77F642B0" w14:textId="7BFF5C8E" w:rsidR="00663B7A" w:rsidRPr="00483658" w:rsidRDefault="00663B7A" w:rsidP="00663B7A">
                  <w:pPr>
                    <w:pStyle w:val="TableColumnHeading"/>
                  </w:pPr>
                  <w:r w:rsidRPr="00483658">
                    <w:t>Average retirement balance</w:t>
                  </w:r>
                </w:p>
              </w:tc>
              <w:tc>
                <w:tcPr>
                  <w:tcW w:w="576" w:type="pct"/>
                  <w:tcBorders>
                    <w:top w:val="single" w:sz="6" w:space="0" w:color="BFBFBF"/>
                    <w:bottom w:val="single" w:sz="6" w:space="0" w:color="BFBFBF"/>
                  </w:tcBorders>
                  <w:vAlign w:val="center"/>
                </w:tcPr>
                <w:p w14:paraId="64B6326D" w14:textId="0338A488" w:rsidR="00663B7A" w:rsidRDefault="00663B7A" w:rsidP="00663B7A">
                  <w:pPr>
                    <w:pStyle w:val="TableColumnHeading"/>
                  </w:pPr>
                  <w:proofErr w:type="spellStart"/>
                  <w:r>
                    <w:t>Sequenc</w:t>
                  </w:r>
                  <w:r w:rsidR="0043421A">
                    <w:t>-</w:t>
                  </w:r>
                  <w:r>
                    <w:t>ing</w:t>
                  </w:r>
                  <w:proofErr w:type="spellEnd"/>
                  <w:r>
                    <w:t xml:space="preserve"> risk</w:t>
                  </w:r>
                  <w:r w:rsidRPr="00487781">
                    <w:rPr>
                      <w:rStyle w:val="NoteLabel"/>
                      <w:i w:val="0"/>
                    </w:rPr>
                    <w:t>a</w:t>
                  </w:r>
                </w:p>
              </w:tc>
              <w:tc>
                <w:tcPr>
                  <w:tcW w:w="490" w:type="pct"/>
                  <w:tcBorders>
                    <w:top w:val="single" w:sz="6" w:space="0" w:color="BFBFBF"/>
                    <w:bottom w:val="single" w:sz="6" w:space="0" w:color="BFBFBF"/>
                  </w:tcBorders>
                  <w:vAlign w:val="center"/>
                </w:tcPr>
                <w:p w14:paraId="3D694D7B" w14:textId="6237408B" w:rsidR="00663B7A" w:rsidRDefault="00663B7A" w:rsidP="00663B7A">
                  <w:pPr>
                    <w:pStyle w:val="TableColumnHeading"/>
                  </w:pPr>
                  <w:r>
                    <w:t>Loss if risk occurs</w:t>
                  </w:r>
                  <w:r w:rsidRPr="00487781">
                    <w:rPr>
                      <w:rStyle w:val="NoteLabel"/>
                      <w:i w:val="0"/>
                    </w:rPr>
                    <w:t>b</w:t>
                  </w:r>
                </w:p>
              </w:tc>
              <w:tc>
                <w:tcPr>
                  <w:tcW w:w="575" w:type="pct"/>
                  <w:tcBorders>
                    <w:top w:val="single" w:sz="6" w:space="0" w:color="BFBFBF"/>
                    <w:bottom w:val="single" w:sz="6" w:space="0" w:color="BFBFBF"/>
                  </w:tcBorders>
                  <w:shd w:val="clear" w:color="auto" w:fill="auto"/>
                  <w:tcMar>
                    <w:top w:w="28" w:type="dxa"/>
                  </w:tcMar>
                  <w:vAlign w:val="center"/>
                </w:tcPr>
                <w:p w14:paraId="53246BC3" w14:textId="4FDF2D2A" w:rsidR="00663B7A" w:rsidRDefault="00663B7A" w:rsidP="00663B7A">
                  <w:pPr>
                    <w:pStyle w:val="TableColumnHeading"/>
                  </w:pPr>
                  <w:proofErr w:type="spellStart"/>
                  <w:r>
                    <w:t>Sequenc</w:t>
                  </w:r>
                  <w:proofErr w:type="spellEnd"/>
                  <w:r w:rsidR="0043421A">
                    <w:t>-</w:t>
                  </w:r>
                  <w:r w:rsidR="0043421A">
                    <w:br/>
                  </w:r>
                  <w:proofErr w:type="spellStart"/>
                  <w:r>
                    <w:t>ing</w:t>
                  </w:r>
                  <w:proofErr w:type="spellEnd"/>
                  <w:r>
                    <w:t xml:space="preserve"> risk in </w:t>
                  </w:r>
                  <w:proofErr w:type="spellStart"/>
                  <w:r>
                    <w:t>life</w:t>
                  </w:r>
                  <w:r>
                    <w:noBreakHyphen/>
                    <w:t>cycle</w:t>
                  </w:r>
                  <w:proofErr w:type="spellEnd"/>
                  <w:r>
                    <w:t xml:space="preserve"> product</w:t>
                  </w:r>
                  <w:r w:rsidRPr="00487781">
                    <w:rPr>
                      <w:rStyle w:val="NoteLabel"/>
                      <w:i w:val="0"/>
                    </w:rPr>
                    <w:t>c</w:t>
                  </w:r>
                </w:p>
              </w:tc>
              <w:tc>
                <w:tcPr>
                  <w:tcW w:w="493" w:type="pct"/>
                  <w:tcBorders>
                    <w:top w:val="single" w:sz="6" w:space="0" w:color="BFBFBF"/>
                    <w:bottom w:val="single" w:sz="6" w:space="0" w:color="BFBFBF"/>
                  </w:tcBorders>
                  <w:shd w:val="clear" w:color="auto" w:fill="auto"/>
                  <w:vAlign w:val="center"/>
                </w:tcPr>
                <w:p w14:paraId="0BCE35B0" w14:textId="719FA562" w:rsidR="00663B7A" w:rsidRDefault="00663B7A" w:rsidP="00663B7A">
                  <w:pPr>
                    <w:pStyle w:val="TableColumnHeading"/>
                  </w:pPr>
                  <w:r>
                    <w:t xml:space="preserve">Average loss from </w:t>
                  </w:r>
                  <w:proofErr w:type="spellStart"/>
                  <w:r>
                    <w:t>life</w:t>
                  </w:r>
                  <w:r>
                    <w:noBreakHyphen/>
                    <w:t>cycle</w:t>
                  </w:r>
                  <w:proofErr w:type="spellEnd"/>
                  <w:r>
                    <w:t xml:space="preserve"> product</w:t>
                  </w:r>
                  <w:r w:rsidRPr="00487781">
                    <w:rPr>
                      <w:rStyle w:val="NoteLabel"/>
                      <w:i w:val="0"/>
                    </w:rPr>
                    <w:t>d</w:t>
                  </w:r>
                </w:p>
              </w:tc>
              <w:tc>
                <w:tcPr>
                  <w:tcW w:w="489" w:type="pct"/>
                  <w:tcBorders>
                    <w:top w:val="single" w:sz="6" w:space="0" w:color="BFBFBF"/>
                    <w:bottom w:val="single" w:sz="6" w:space="0" w:color="BFBFBF"/>
                  </w:tcBorders>
                  <w:shd w:val="clear" w:color="auto" w:fill="auto"/>
                  <w:tcMar>
                    <w:top w:w="28" w:type="dxa"/>
                  </w:tcMar>
                  <w:vAlign w:val="center"/>
                </w:tcPr>
                <w:p w14:paraId="00EE57CA" w14:textId="25D5006F" w:rsidR="00663B7A" w:rsidRPr="00483658" w:rsidRDefault="00663B7A" w:rsidP="00663B7A">
                  <w:pPr>
                    <w:pStyle w:val="TableColumnHeading"/>
                  </w:pPr>
                  <w:r w:rsidRPr="00483658">
                    <w:t>Relative loss</w:t>
                  </w:r>
                  <w:r w:rsidRPr="00487781">
                    <w:rPr>
                      <w:rStyle w:val="NoteLabel"/>
                      <w:i w:val="0"/>
                    </w:rPr>
                    <w:t>e</w:t>
                  </w:r>
                </w:p>
              </w:tc>
            </w:tr>
            <w:tr w:rsidR="0043421A" w14:paraId="328FF05A" w14:textId="77777777" w:rsidTr="000F6E5E">
              <w:tc>
                <w:tcPr>
                  <w:tcW w:w="1804" w:type="pct"/>
                  <w:vMerge/>
                  <w:shd w:val="clear" w:color="auto" w:fill="auto"/>
                </w:tcPr>
                <w:p w14:paraId="5D0433A8" w14:textId="77777777" w:rsidR="00663B7A" w:rsidRDefault="00663B7A" w:rsidP="00B71F05">
                  <w:pPr>
                    <w:pStyle w:val="TableUnitsRow"/>
                    <w:jc w:val="left"/>
                  </w:pPr>
                </w:p>
              </w:tc>
              <w:tc>
                <w:tcPr>
                  <w:tcW w:w="574" w:type="pct"/>
                  <w:tcBorders>
                    <w:top w:val="single" w:sz="6" w:space="0" w:color="BFBFBF"/>
                  </w:tcBorders>
                  <w:shd w:val="clear" w:color="auto" w:fill="auto"/>
                </w:tcPr>
                <w:p w14:paraId="74BDB32E" w14:textId="0E4E7462" w:rsidR="00663B7A" w:rsidRDefault="00663B7A" w:rsidP="002E767F">
                  <w:pPr>
                    <w:pStyle w:val="TableUnitsRow"/>
                  </w:pPr>
                  <w:r>
                    <w:t>$’000</w:t>
                  </w:r>
                </w:p>
              </w:tc>
              <w:tc>
                <w:tcPr>
                  <w:tcW w:w="576" w:type="pct"/>
                  <w:tcBorders>
                    <w:top w:val="single" w:sz="6" w:space="0" w:color="BFBFBF"/>
                  </w:tcBorders>
                </w:tcPr>
                <w:p w14:paraId="7832CB09" w14:textId="49A36083" w:rsidR="00663B7A" w:rsidRDefault="00663B7A" w:rsidP="00B71F05">
                  <w:pPr>
                    <w:pStyle w:val="TableUnitsRow"/>
                  </w:pPr>
                  <w:r>
                    <w:t>%</w:t>
                  </w:r>
                </w:p>
              </w:tc>
              <w:tc>
                <w:tcPr>
                  <w:tcW w:w="490" w:type="pct"/>
                  <w:tcBorders>
                    <w:top w:val="single" w:sz="6" w:space="0" w:color="BFBFBF"/>
                  </w:tcBorders>
                </w:tcPr>
                <w:p w14:paraId="2C8FD643" w14:textId="4AB23F64" w:rsidR="00663B7A" w:rsidRDefault="00663B7A" w:rsidP="00B71F05">
                  <w:pPr>
                    <w:pStyle w:val="TableUnitsRow"/>
                  </w:pPr>
                  <w:r>
                    <w:t>$’000</w:t>
                  </w:r>
                </w:p>
              </w:tc>
              <w:tc>
                <w:tcPr>
                  <w:tcW w:w="575" w:type="pct"/>
                  <w:tcBorders>
                    <w:top w:val="single" w:sz="6" w:space="0" w:color="BFBFBF"/>
                  </w:tcBorders>
                  <w:shd w:val="clear" w:color="auto" w:fill="auto"/>
                </w:tcPr>
                <w:p w14:paraId="7F553B45" w14:textId="4BEDFF38" w:rsidR="00663B7A" w:rsidRDefault="00663B7A" w:rsidP="00B71F05">
                  <w:pPr>
                    <w:pStyle w:val="TableUnitsRow"/>
                  </w:pPr>
                  <w:r>
                    <w:t>%</w:t>
                  </w:r>
                </w:p>
              </w:tc>
              <w:tc>
                <w:tcPr>
                  <w:tcW w:w="493" w:type="pct"/>
                  <w:tcBorders>
                    <w:top w:val="single" w:sz="6" w:space="0" w:color="BFBFBF"/>
                  </w:tcBorders>
                  <w:shd w:val="clear" w:color="auto" w:fill="auto"/>
                </w:tcPr>
                <w:p w14:paraId="251B8735" w14:textId="1B926E3C" w:rsidR="00663B7A" w:rsidRDefault="00663B7A" w:rsidP="00B71F05">
                  <w:pPr>
                    <w:pStyle w:val="TableUnitsRow"/>
                  </w:pPr>
                  <w:r>
                    <w:t>$’000</w:t>
                  </w:r>
                </w:p>
              </w:tc>
              <w:tc>
                <w:tcPr>
                  <w:tcW w:w="489" w:type="pct"/>
                  <w:tcBorders>
                    <w:top w:val="single" w:sz="6" w:space="0" w:color="BFBFBF"/>
                  </w:tcBorders>
                </w:tcPr>
                <w:p w14:paraId="2C1EBEF1" w14:textId="2ABED9AF" w:rsidR="00663B7A" w:rsidRDefault="00663B7A" w:rsidP="00B71F05">
                  <w:pPr>
                    <w:pStyle w:val="TableUnitsRow"/>
                    <w:ind w:right="28"/>
                  </w:pPr>
                  <w:r>
                    <w:t>%</w:t>
                  </w:r>
                </w:p>
              </w:tc>
            </w:tr>
            <w:tr w:rsidR="00663B7A" w14:paraId="49FA9FBD" w14:textId="77777777" w:rsidTr="000F6E5E">
              <w:tc>
                <w:tcPr>
                  <w:tcW w:w="1804" w:type="pct"/>
                  <w:tcBorders>
                    <w:top w:val="single" w:sz="6" w:space="0" w:color="BFBFBF"/>
                  </w:tcBorders>
                  <w:shd w:val="clear" w:color="auto" w:fill="auto"/>
                </w:tcPr>
                <w:p w14:paraId="3F95EC66" w14:textId="76F4323C" w:rsidR="004A4FD1" w:rsidRDefault="004A4FD1" w:rsidP="004A4FD1">
                  <w:pPr>
                    <w:pStyle w:val="TableUnitsRow"/>
                    <w:jc w:val="left"/>
                  </w:pPr>
                  <w:r w:rsidRPr="001C2E0B">
                    <w:t>Case A (default model)</w:t>
                  </w:r>
                </w:p>
              </w:tc>
              <w:tc>
                <w:tcPr>
                  <w:tcW w:w="574" w:type="pct"/>
                  <w:tcBorders>
                    <w:top w:val="single" w:sz="6" w:space="0" w:color="BFBFBF"/>
                  </w:tcBorders>
                  <w:shd w:val="clear" w:color="auto" w:fill="auto"/>
                </w:tcPr>
                <w:p w14:paraId="759AE8C8" w14:textId="11380E27" w:rsidR="004A4FD1" w:rsidRDefault="004A4FD1" w:rsidP="002E767F">
                  <w:pPr>
                    <w:pStyle w:val="TableUnitsRow"/>
                  </w:pPr>
                  <w:r w:rsidRPr="001C2E0B">
                    <w:t>977</w:t>
                  </w:r>
                </w:p>
              </w:tc>
              <w:tc>
                <w:tcPr>
                  <w:tcW w:w="576" w:type="pct"/>
                  <w:tcBorders>
                    <w:top w:val="single" w:sz="6" w:space="0" w:color="BFBFBF"/>
                  </w:tcBorders>
                </w:tcPr>
                <w:p w14:paraId="52E137CB" w14:textId="4588DB7A" w:rsidR="004A4FD1" w:rsidRDefault="004A4FD1" w:rsidP="00077717">
                  <w:pPr>
                    <w:pStyle w:val="TableUnitsRow"/>
                  </w:pPr>
                  <w:r w:rsidRPr="001C2E0B">
                    <w:t>9.</w:t>
                  </w:r>
                  <w:r w:rsidR="00077717">
                    <w:t>8</w:t>
                  </w:r>
                </w:p>
              </w:tc>
              <w:tc>
                <w:tcPr>
                  <w:tcW w:w="490" w:type="pct"/>
                  <w:tcBorders>
                    <w:top w:val="single" w:sz="6" w:space="0" w:color="BFBFBF"/>
                  </w:tcBorders>
                </w:tcPr>
                <w:p w14:paraId="25263965" w14:textId="0B950057" w:rsidR="004A4FD1" w:rsidRDefault="004A4FD1" w:rsidP="004A4FD1">
                  <w:pPr>
                    <w:pStyle w:val="TableUnitsRow"/>
                  </w:pPr>
                  <w:r w:rsidRPr="001C2E0B">
                    <w:t>73</w:t>
                  </w:r>
                </w:p>
              </w:tc>
              <w:tc>
                <w:tcPr>
                  <w:tcW w:w="575" w:type="pct"/>
                  <w:tcBorders>
                    <w:top w:val="single" w:sz="6" w:space="0" w:color="BFBFBF"/>
                  </w:tcBorders>
                  <w:shd w:val="clear" w:color="auto" w:fill="auto"/>
                </w:tcPr>
                <w:p w14:paraId="46749894" w14:textId="6E3AC16D" w:rsidR="004A4FD1" w:rsidRDefault="004A4FD1" w:rsidP="004A4FD1">
                  <w:pPr>
                    <w:pStyle w:val="TableUnitsRow"/>
                  </w:pPr>
                  <w:r w:rsidRPr="001C2E0B">
                    <w:t>0</w:t>
                  </w:r>
                </w:p>
              </w:tc>
              <w:tc>
                <w:tcPr>
                  <w:tcW w:w="493" w:type="pct"/>
                  <w:tcBorders>
                    <w:top w:val="single" w:sz="6" w:space="0" w:color="BFBFBF"/>
                  </w:tcBorders>
                  <w:shd w:val="clear" w:color="auto" w:fill="auto"/>
                </w:tcPr>
                <w:p w14:paraId="020E4B26" w14:textId="4902D629" w:rsidR="004A4FD1" w:rsidRDefault="00077717" w:rsidP="004A4FD1">
                  <w:pPr>
                    <w:pStyle w:val="TableUnitsRow"/>
                  </w:pPr>
                  <w:r>
                    <w:t>132</w:t>
                  </w:r>
                </w:p>
              </w:tc>
              <w:tc>
                <w:tcPr>
                  <w:tcW w:w="489" w:type="pct"/>
                  <w:tcBorders>
                    <w:top w:val="single" w:sz="6" w:space="0" w:color="BFBFBF"/>
                  </w:tcBorders>
                </w:tcPr>
                <w:p w14:paraId="79659B10" w14:textId="797CBB6F" w:rsidR="004A4FD1" w:rsidRDefault="00077717" w:rsidP="004A4FD1">
                  <w:pPr>
                    <w:pStyle w:val="TableUnitsRow"/>
                    <w:ind w:right="28"/>
                  </w:pPr>
                  <w:r>
                    <w:t>10</w:t>
                  </w:r>
                  <w:r w:rsidR="004A4FD1" w:rsidRPr="001C2E0B">
                    <w:t>.5</w:t>
                  </w:r>
                </w:p>
              </w:tc>
            </w:tr>
            <w:tr w:rsidR="00663B7A" w14:paraId="5B2936F9" w14:textId="77777777" w:rsidTr="000F6E5E">
              <w:tc>
                <w:tcPr>
                  <w:tcW w:w="1804" w:type="pct"/>
                  <w:shd w:val="clear" w:color="auto" w:fill="auto"/>
                </w:tcPr>
                <w:p w14:paraId="5065D888" w14:textId="08001535" w:rsidR="004A4FD1" w:rsidRDefault="004A4FD1" w:rsidP="004A4FD1">
                  <w:pPr>
                    <w:pStyle w:val="TableUnitsRow"/>
                    <w:jc w:val="left"/>
                  </w:pPr>
                  <w:r w:rsidRPr="002E648A">
                    <w:t>Case B (lower male wages)</w:t>
                  </w:r>
                </w:p>
              </w:tc>
              <w:tc>
                <w:tcPr>
                  <w:tcW w:w="574" w:type="pct"/>
                  <w:shd w:val="clear" w:color="auto" w:fill="auto"/>
                </w:tcPr>
                <w:p w14:paraId="6E30B0D8" w14:textId="7BCFC77F" w:rsidR="004A4FD1" w:rsidRDefault="004A4FD1" w:rsidP="00077717">
                  <w:pPr>
                    <w:pStyle w:val="TableUnitsRow"/>
                  </w:pPr>
                  <w:r w:rsidRPr="002E648A">
                    <w:t>69</w:t>
                  </w:r>
                  <w:r w:rsidR="00077717">
                    <w:t>7</w:t>
                  </w:r>
                </w:p>
              </w:tc>
              <w:tc>
                <w:tcPr>
                  <w:tcW w:w="576" w:type="pct"/>
                </w:tcPr>
                <w:p w14:paraId="5CFD4DB2" w14:textId="1A120E76" w:rsidR="004A4FD1" w:rsidRDefault="004A4FD1" w:rsidP="00077717">
                  <w:pPr>
                    <w:pStyle w:val="TableUnitsRow"/>
                  </w:pPr>
                  <w:r w:rsidRPr="002E648A">
                    <w:t>9.</w:t>
                  </w:r>
                  <w:r w:rsidR="00077717">
                    <w:t>7</w:t>
                  </w:r>
                </w:p>
              </w:tc>
              <w:tc>
                <w:tcPr>
                  <w:tcW w:w="490" w:type="pct"/>
                </w:tcPr>
                <w:p w14:paraId="7C9A8FFC" w14:textId="6EBA79F9" w:rsidR="004A4FD1" w:rsidRDefault="004A4FD1" w:rsidP="004A4FD1">
                  <w:pPr>
                    <w:pStyle w:val="TableUnitsRow"/>
                  </w:pPr>
                  <w:r w:rsidRPr="002E648A">
                    <w:t>52</w:t>
                  </w:r>
                </w:p>
              </w:tc>
              <w:tc>
                <w:tcPr>
                  <w:tcW w:w="575" w:type="pct"/>
                  <w:shd w:val="clear" w:color="auto" w:fill="auto"/>
                </w:tcPr>
                <w:p w14:paraId="5092AD15" w14:textId="02E63D32" w:rsidR="004A4FD1" w:rsidRDefault="004A4FD1" w:rsidP="004A4FD1">
                  <w:pPr>
                    <w:pStyle w:val="TableUnitsRow"/>
                  </w:pPr>
                  <w:r w:rsidRPr="002E648A">
                    <w:t>0</w:t>
                  </w:r>
                </w:p>
              </w:tc>
              <w:tc>
                <w:tcPr>
                  <w:tcW w:w="493" w:type="pct"/>
                  <w:shd w:val="clear" w:color="auto" w:fill="auto"/>
                </w:tcPr>
                <w:p w14:paraId="2606E642" w14:textId="5D50A958" w:rsidR="004A4FD1" w:rsidRDefault="00077717" w:rsidP="004A4FD1">
                  <w:pPr>
                    <w:pStyle w:val="TableUnitsRow"/>
                  </w:pPr>
                  <w:r>
                    <w:t>95</w:t>
                  </w:r>
                </w:p>
              </w:tc>
              <w:tc>
                <w:tcPr>
                  <w:tcW w:w="489" w:type="pct"/>
                </w:tcPr>
                <w:p w14:paraId="71BC2D78" w14:textId="7F2E3D37" w:rsidR="004A4FD1" w:rsidRDefault="004A4FD1" w:rsidP="00077717">
                  <w:pPr>
                    <w:pStyle w:val="TableUnitsRow"/>
                    <w:ind w:right="28"/>
                  </w:pPr>
                  <w:r w:rsidRPr="002E648A">
                    <w:t>1</w:t>
                  </w:r>
                  <w:r w:rsidR="00077717">
                    <w:t>0</w:t>
                  </w:r>
                  <w:r w:rsidRPr="002E648A">
                    <w:t>.5</w:t>
                  </w:r>
                </w:p>
              </w:tc>
            </w:tr>
            <w:tr w:rsidR="00663B7A" w14:paraId="4200E9E6" w14:textId="77777777" w:rsidTr="000F6E5E">
              <w:tc>
                <w:tcPr>
                  <w:tcW w:w="1804" w:type="pct"/>
                  <w:shd w:val="clear" w:color="auto" w:fill="auto"/>
                </w:tcPr>
                <w:p w14:paraId="2593F561" w14:textId="094123C7" w:rsidR="004A4FD1" w:rsidRDefault="004A4FD1" w:rsidP="004A4FD1">
                  <w:pPr>
                    <w:pStyle w:val="TableUnitsRow"/>
                    <w:jc w:val="left"/>
                  </w:pPr>
                  <w:r w:rsidRPr="002E648A">
                    <w:t>Case C (woman with 2 children)</w:t>
                  </w:r>
                </w:p>
              </w:tc>
              <w:tc>
                <w:tcPr>
                  <w:tcW w:w="574" w:type="pct"/>
                  <w:shd w:val="clear" w:color="auto" w:fill="auto"/>
                </w:tcPr>
                <w:p w14:paraId="38395265" w14:textId="230634AE" w:rsidR="004A4FD1" w:rsidRDefault="004A4FD1" w:rsidP="002E767F">
                  <w:pPr>
                    <w:pStyle w:val="TableUnitsRow"/>
                  </w:pPr>
                  <w:r w:rsidRPr="002E648A">
                    <w:t>331</w:t>
                  </w:r>
                </w:p>
              </w:tc>
              <w:tc>
                <w:tcPr>
                  <w:tcW w:w="576" w:type="pct"/>
                </w:tcPr>
                <w:p w14:paraId="0A1AC376" w14:textId="5B74C7AD" w:rsidR="004A4FD1" w:rsidRDefault="004A4FD1" w:rsidP="00077717">
                  <w:pPr>
                    <w:pStyle w:val="TableUnitsRow"/>
                  </w:pPr>
                  <w:r w:rsidRPr="002E648A">
                    <w:t>1</w:t>
                  </w:r>
                  <w:r w:rsidR="00077717">
                    <w:t>3.9</w:t>
                  </w:r>
                </w:p>
              </w:tc>
              <w:tc>
                <w:tcPr>
                  <w:tcW w:w="490" w:type="pct"/>
                </w:tcPr>
                <w:p w14:paraId="3FC94661" w14:textId="4E96876E" w:rsidR="004A4FD1" w:rsidRDefault="004A4FD1" w:rsidP="00077717">
                  <w:pPr>
                    <w:pStyle w:val="TableUnitsRow"/>
                  </w:pPr>
                  <w:r w:rsidRPr="002E648A">
                    <w:t>2</w:t>
                  </w:r>
                  <w:r w:rsidR="00077717">
                    <w:t>6</w:t>
                  </w:r>
                </w:p>
              </w:tc>
              <w:tc>
                <w:tcPr>
                  <w:tcW w:w="575" w:type="pct"/>
                  <w:shd w:val="clear" w:color="auto" w:fill="auto"/>
                </w:tcPr>
                <w:p w14:paraId="279DE024" w14:textId="52F37D8C" w:rsidR="004A4FD1" w:rsidRDefault="004A4FD1" w:rsidP="004A4FD1">
                  <w:pPr>
                    <w:pStyle w:val="TableUnitsRow"/>
                  </w:pPr>
                  <w:r w:rsidRPr="002E648A">
                    <w:t>0</w:t>
                  </w:r>
                </w:p>
              </w:tc>
              <w:tc>
                <w:tcPr>
                  <w:tcW w:w="493" w:type="pct"/>
                  <w:shd w:val="clear" w:color="auto" w:fill="auto"/>
                </w:tcPr>
                <w:p w14:paraId="6EAC83F1" w14:textId="39E78121" w:rsidR="004A4FD1" w:rsidRDefault="00077717" w:rsidP="004A4FD1">
                  <w:pPr>
                    <w:pStyle w:val="TableUnitsRow"/>
                  </w:pPr>
                  <w:r>
                    <w:t>46</w:t>
                  </w:r>
                </w:p>
              </w:tc>
              <w:tc>
                <w:tcPr>
                  <w:tcW w:w="489" w:type="pct"/>
                </w:tcPr>
                <w:p w14:paraId="6B4E9D99" w14:textId="19A78670" w:rsidR="004A4FD1" w:rsidRDefault="004A4FD1" w:rsidP="00077717">
                  <w:pPr>
                    <w:pStyle w:val="TableUnitsRow"/>
                    <w:ind w:right="28"/>
                  </w:pPr>
                  <w:r w:rsidRPr="002E648A">
                    <w:t>1</w:t>
                  </w:r>
                  <w:r w:rsidR="00077717">
                    <w:t>0</w:t>
                  </w:r>
                  <w:r w:rsidRPr="002E648A">
                    <w:t>.6</w:t>
                  </w:r>
                </w:p>
              </w:tc>
            </w:tr>
            <w:tr w:rsidR="00663B7A" w14:paraId="5EF1B0CD" w14:textId="77777777" w:rsidTr="000F6E5E">
              <w:tc>
                <w:tcPr>
                  <w:tcW w:w="1804" w:type="pct"/>
                  <w:shd w:val="clear" w:color="auto" w:fill="auto"/>
                </w:tcPr>
                <w:p w14:paraId="0AA5BE44" w14:textId="5C133420" w:rsidR="004A4FD1" w:rsidRDefault="004A4FD1" w:rsidP="004A4FD1">
                  <w:pPr>
                    <w:pStyle w:val="TableUnitsRow"/>
                    <w:jc w:val="left"/>
                  </w:pPr>
                  <w:r w:rsidRPr="002E648A">
                    <w:t>Case D (part</w:t>
                  </w:r>
                  <w:r w:rsidR="00483658">
                    <w:t>-</w:t>
                  </w:r>
                  <w:r w:rsidRPr="002E648A">
                    <w:t>time work when older)</w:t>
                  </w:r>
                </w:p>
              </w:tc>
              <w:tc>
                <w:tcPr>
                  <w:tcW w:w="574" w:type="pct"/>
                  <w:shd w:val="clear" w:color="auto" w:fill="auto"/>
                </w:tcPr>
                <w:p w14:paraId="1380EF21" w14:textId="6B1700DE" w:rsidR="004A4FD1" w:rsidRDefault="004A4FD1" w:rsidP="002E767F">
                  <w:pPr>
                    <w:pStyle w:val="TableUnitsRow"/>
                  </w:pPr>
                  <w:r w:rsidRPr="002E648A">
                    <w:t>948</w:t>
                  </w:r>
                </w:p>
              </w:tc>
              <w:tc>
                <w:tcPr>
                  <w:tcW w:w="576" w:type="pct"/>
                </w:tcPr>
                <w:p w14:paraId="54626FD9" w14:textId="6C894227" w:rsidR="004A4FD1" w:rsidRDefault="004A4FD1" w:rsidP="004A4FD1">
                  <w:pPr>
                    <w:pStyle w:val="TableUnitsRow"/>
                  </w:pPr>
                  <w:r w:rsidRPr="002E648A">
                    <w:t>11.3</w:t>
                  </w:r>
                </w:p>
              </w:tc>
              <w:tc>
                <w:tcPr>
                  <w:tcW w:w="490" w:type="pct"/>
                </w:tcPr>
                <w:p w14:paraId="5F69ADC6" w14:textId="68BBB598" w:rsidR="004A4FD1" w:rsidRDefault="004A4FD1" w:rsidP="004A4FD1">
                  <w:pPr>
                    <w:pStyle w:val="TableUnitsRow"/>
                  </w:pPr>
                  <w:r w:rsidRPr="002E648A">
                    <w:t>73</w:t>
                  </w:r>
                </w:p>
              </w:tc>
              <w:tc>
                <w:tcPr>
                  <w:tcW w:w="575" w:type="pct"/>
                  <w:shd w:val="clear" w:color="auto" w:fill="auto"/>
                </w:tcPr>
                <w:p w14:paraId="743C6BE1" w14:textId="043289EC" w:rsidR="004A4FD1" w:rsidRDefault="004A4FD1" w:rsidP="004A4FD1">
                  <w:pPr>
                    <w:pStyle w:val="TableUnitsRow"/>
                  </w:pPr>
                  <w:r w:rsidRPr="002E648A">
                    <w:t>0</w:t>
                  </w:r>
                </w:p>
              </w:tc>
              <w:tc>
                <w:tcPr>
                  <w:tcW w:w="493" w:type="pct"/>
                  <w:shd w:val="clear" w:color="auto" w:fill="auto"/>
                </w:tcPr>
                <w:p w14:paraId="4D03869B" w14:textId="52521509" w:rsidR="004A4FD1" w:rsidRDefault="00077717" w:rsidP="004A4FD1">
                  <w:pPr>
                    <w:pStyle w:val="TableUnitsRow"/>
                  </w:pPr>
                  <w:r>
                    <w:t>130</w:t>
                  </w:r>
                </w:p>
              </w:tc>
              <w:tc>
                <w:tcPr>
                  <w:tcW w:w="489" w:type="pct"/>
                </w:tcPr>
                <w:p w14:paraId="1B4FC97E" w14:textId="228B7065" w:rsidR="004A4FD1" w:rsidRDefault="004A4FD1" w:rsidP="00077717">
                  <w:pPr>
                    <w:pStyle w:val="TableUnitsRow"/>
                    <w:ind w:right="28"/>
                  </w:pPr>
                  <w:r w:rsidRPr="002E648A">
                    <w:t>1</w:t>
                  </w:r>
                  <w:r w:rsidR="00077717">
                    <w:t>0.5</w:t>
                  </w:r>
                </w:p>
              </w:tc>
            </w:tr>
            <w:tr w:rsidR="00663B7A" w14:paraId="533580DC" w14:textId="77777777" w:rsidTr="000F6E5E">
              <w:tc>
                <w:tcPr>
                  <w:tcW w:w="1804" w:type="pct"/>
                  <w:shd w:val="clear" w:color="auto" w:fill="auto"/>
                </w:tcPr>
                <w:p w14:paraId="194008C7" w14:textId="4AC61D46" w:rsidR="004A4FD1" w:rsidRDefault="004A4FD1" w:rsidP="004A4FD1">
                  <w:pPr>
                    <w:pStyle w:val="TableBodyText"/>
                    <w:jc w:val="left"/>
                  </w:pPr>
                  <w:r w:rsidRPr="000C148C">
                    <w:t>Case E (higher experience effect)</w:t>
                  </w:r>
                </w:p>
              </w:tc>
              <w:tc>
                <w:tcPr>
                  <w:tcW w:w="574" w:type="pct"/>
                  <w:shd w:val="clear" w:color="auto" w:fill="auto"/>
                </w:tcPr>
                <w:p w14:paraId="57048D80" w14:textId="234FF218" w:rsidR="004A4FD1" w:rsidRDefault="004A4FD1" w:rsidP="00077717">
                  <w:pPr>
                    <w:pStyle w:val="TableBodyText"/>
                  </w:pPr>
                  <w:r w:rsidRPr="000C148C">
                    <w:t>1</w:t>
                  </w:r>
                  <w:r w:rsidR="002E767F">
                    <w:t> </w:t>
                  </w:r>
                  <w:r w:rsidRPr="000C148C">
                    <w:t>27</w:t>
                  </w:r>
                  <w:r w:rsidR="00077717">
                    <w:t>8</w:t>
                  </w:r>
                </w:p>
              </w:tc>
              <w:tc>
                <w:tcPr>
                  <w:tcW w:w="576" w:type="pct"/>
                </w:tcPr>
                <w:p w14:paraId="662C046C" w14:textId="48F7571B" w:rsidR="004A4FD1" w:rsidRDefault="004A4FD1" w:rsidP="00077717">
                  <w:pPr>
                    <w:pStyle w:val="TableBodyText"/>
                  </w:pPr>
                  <w:r w:rsidRPr="000C148C">
                    <w:t>10.</w:t>
                  </w:r>
                  <w:r w:rsidR="00077717">
                    <w:t>5</w:t>
                  </w:r>
                </w:p>
              </w:tc>
              <w:tc>
                <w:tcPr>
                  <w:tcW w:w="490" w:type="pct"/>
                </w:tcPr>
                <w:p w14:paraId="64B55B6A" w14:textId="31B7B988" w:rsidR="004A4FD1" w:rsidRDefault="004A4FD1" w:rsidP="00077717">
                  <w:pPr>
                    <w:pStyle w:val="TableBodyText"/>
                  </w:pPr>
                  <w:r w:rsidRPr="000C148C">
                    <w:t>9</w:t>
                  </w:r>
                  <w:r w:rsidR="00077717">
                    <w:t>7</w:t>
                  </w:r>
                </w:p>
              </w:tc>
              <w:tc>
                <w:tcPr>
                  <w:tcW w:w="575" w:type="pct"/>
                  <w:shd w:val="clear" w:color="auto" w:fill="auto"/>
                </w:tcPr>
                <w:p w14:paraId="143B97FB" w14:textId="1A925C6F" w:rsidR="004A4FD1" w:rsidRDefault="004A4FD1" w:rsidP="004A4FD1">
                  <w:pPr>
                    <w:pStyle w:val="TableBodyText"/>
                  </w:pPr>
                  <w:r w:rsidRPr="000C148C">
                    <w:t>0</w:t>
                  </w:r>
                </w:p>
              </w:tc>
              <w:tc>
                <w:tcPr>
                  <w:tcW w:w="493" w:type="pct"/>
                  <w:shd w:val="clear" w:color="auto" w:fill="auto"/>
                </w:tcPr>
                <w:p w14:paraId="1C80CB46" w14:textId="2A7D5ED7" w:rsidR="004A4FD1" w:rsidRDefault="00077717" w:rsidP="004A4FD1">
                  <w:pPr>
                    <w:pStyle w:val="TableBodyText"/>
                  </w:pPr>
                  <w:r>
                    <w:t>174</w:t>
                  </w:r>
                </w:p>
              </w:tc>
              <w:tc>
                <w:tcPr>
                  <w:tcW w:w="489" w:type="pct"/>
                </w:tcPr>
                <w:p w14:paraId="14030723" w14:textId="68CD18F8" w:rsidR="004A4FD1" w:rsidRDefault="004A4FD1" w:rsidP="00077717">
                  <w:pPr>
                    <w:pStyle w:val="TableBodyText"/>
                    <w:ind w:right="28"/>
                  </w:pPr>
                  <w:r w:rsidRPr="000C148C">
                    <w:t>1</w:t>
                  </w:r>
                  <w:r w:rsidR="00077717">
                    <w:t>0</w:t>
                  </w:r>
                  <w:r w:rsidRPr="000C148C">
                    <w:t>.5</w:t>
                  </w:r>
                </w:p>
              </w:tc>
            </w:tr>
            <w:tr w:rsidR="00663B7A" w14:paraId="11B1A5C9" w14:textId="77777777" w:rsidTr="000F6E5E">
              <w:tc>
                <w:tcPr>
                  <w:tcW w:w="1804" w:type="pct"/>
                  <w:tcBorders>
                    <w:bottom w:val="single" w:sz="6" w:space="0" w:color="BFBFBF"/>
                  </w:tcBorders>
                  <w:shd w:val="clear" w:color="auto" w:fill="auto"/>
                </w:tcPr>
                <w:p w14:paraId="25995D5F" w14:textId="7EAF4434" w:rsidR="004A4FD1" w:rsidRDefault="004A4FD1" w:rsidP="004A4FD1">
                  <w:pPr>
                    <w:pStyle w:val="TableBodyText"/>
                    <w:jc w:val="left"/>
                  </w:pPr>
                  <w:r>
                    <w:t>Case F (higher risk</w:t>
                  </w:r>
                  <w:r w:rsidR="00A66D0C">
                    <w:t xml:space="preserve"> </w:t>
                  </w:r>
                  <w:proofErr w:type="spellStart"/>
                  <w:r w:rsidRPr="000C148C">
                    <w:t>life</w:t>
                  </w:r>
                  <w:r w:rsidR="0042265A">
                    <w:noBreakHyphen/>
                  </w:r>
                  <w:r w:rsidRPr="000C148C">
                    <w:t>cycle</w:t>
                  </w:r>
                  <w:proofErr w:type="spellEnd"/>
                  <w:r w:rsidRPr="000C148C">
                    <w:t xml:space="preserve"> product)</w:t>
                  </w:r>
                </w:p>
              </w:tc>
              <w:tc>
                <w:tcPr>
                  <w:tcW w:w="574" w:type="pct"/>
                  <w:tcBorders>
                    <w:bottom w:val="single" w:sz="6" w:space="0" w:color="BFBFBF"/>
                  </w:tcBorders>
                  <w:shd w:val="clear" w:color="auto" w:fill="auto"/>
                </w:tcPr>
                <w:p w14:paraId="469D6C23" w14:textId="71B7B8CA" w:rsidR="004A4FD1" w:rsidRDefault="004A4FD1" w:rsidP="00077717">
                  <w:pPr>
                    <w:pStyle w:val="TableBodyText"/>
                  </w:pPr>
                  <w:r w:rsidRPr="000C148C">
                    <w:t>97</w:t>
                  </w:r>
                  <w:r w:rsidR="00077717">
                    <w:t>7</w:t>
                  </w:r>
                </w:p>
              </w:tc>
              <w:tc>
                <w:tcPr>
                  <w:tcW w:w="576" w:type="pct"/>
                  <w:tcBorders>
                    <w:bottom w:val="single" w:sz="6" w:space="0" w:color="BFBFBF"/>
                  </w:tcBorders>
                </w:tcPr>
                <w:p w14:paraId="61B5B03E" w14:textId="7340462D" w:rsidR="004A4FD1" w:rsidRDefault="004A4FD1" w:rsidP="00077717">
                  <w:pPr>
                    <w:pStyle w:val="TableBodyText"/>
                  </w:pPr>
                  <w:r w:rsidRPr="000C148C">
                    <w:t>9.</w:t>
                  </w:r>
                  <w:r w:rsidR="00077717">
                    <w:t>8</w:t>
                  </w:r>
                </w:p>
              </w:tc>
              <w:tc>
                <w:tcPr>
                  <w:tcW w:w="490" w:type="pct"/>
                  <w:tcBorders>
                    <w:bottom w:val="single" w:sz="6" w:space="0" w:color="BFBFBF"/>
                  </w:tcBorders>
                </w:tcPr>
                <w:p w14:paraId="204A49FE" w14:textId="289908FC" w:rsidR="004A4FD1" w:rsidRDefault="004A4FD1" w:rsidP="00077717">
                  <w:pPr>
                    <w:pStyle w:val="TableBodyText"/>
                  </w:pPr>
                  <w:r w:rsidRPr="000C148C">
                    <w:t>7</w:t>
                  </w:r>
                  <w:r w:rsidR="00077717">
                    <w:t>3</w:t>
                  </w:r>
                </w:p>
              </w:tc>
              <w:tc>
                <w:tcPr>
                  <w:tcW w:w="575" w:type="pct"/>
                  <w:tcBorders>
                    <w:bottom w:val="single" w:sz="6" w:space="0" w:color="BFBFBF"/>
                  </w:tcBorders>
                  <w:shd w:val="clear" w:color="auto" w:fill="auto"/>
                </w:tcPr>
                <w:p w14:paraId="124C7149" w14:textId="1569A964" w:rsidR="004A4FD1" w:rsidRDefault="00413070" w:rsidP="00077717">
                  <w:pPr>
                    <w:pStyle w:val="TableBodyText"/>
                  </w:pPr>
                  <w:r>
                    <w:t>2.1</w:t>
                  </w:r>
                </w:p>
              </w:tc>
              <w:tc>
                <w:tcPr>
                  <w:tcW w:w="493" w:type="pct"/>
                  <w:tcBorders>
                    <w:bottom w:val="single" w:sz="6" w:space="0" w:color="BFBFBF"/>
                  </w:tcBorders>
                  <w:shd w:val="clear" w:color="auto" w:fill="auto"/>
                </w:tcPr>
                <w:p w14:paraId="5D054F7E" w14:textId="0E82B9EF" w:rsidR="004A4FD1" w:rsidRDefault="00413070" w:rsidP="00077717">
                  <w:pPr>
                    <w:pStyle w:val="TableBodyText"/>
                  </w:pPr>
                  <w:r>
                    <w:t>69</w:t>
                  </w:r>
                </w:p>
              </w:tc>
              <w:tc>
                <w:tcPr>
                  <w:tcW w:w="489" w:type="pct"/>
                  <w:tcBorders>
                    <w:bottom w:val="single" w:sz="6" w:space="0" w:color="BFBFBF"/>
                  </w:tcBorders>
                  <w:shd w:val="clear" w:color="auto" w:fill="auto"/>
                </w:tcPr>
                <w:p w14:paraId="2FC773C9" w14:textId="61B67D66" w:rsidR="004A4FD1" w:rsidRDefault="00413070" w:rsidP="004A4FD1">
                  <w:pPr>
                    <w:pStyle w:val="TableBodyText"/>
                    <w:ind w:right="28"/>
                  </w:pPr>
                  <w:r>
                    <w:t>5.5</w:t>
                  </w:r>
                </w:p>
              </w:tc>
            </w:tr>
          </w:tbl>
          <w:p w14:paraId="6731D999" w14:textId="77777777" w:rsidR="004A4FD1" w:rsidRDefault="004A4FD1" w:rsidP="00B71F05">
            <w:pPr>
              <w:pStyle w:val="Box"/>
            </w:pPr>
          </w:p>
        </w:tc>
      </w:tr>
      <w:tr w:rsidR="004A4FD1" w14:paraId="1D7EB0E6" w14:textId="77777777" w:rsidTr="00663B7A">
        <w:tc>
          <w:tcPr>
            <w:tcW w:w="5000" w:type="pct"/>
            <w:tcBorders>
              <w:top w:val="nil"/>
              <w:left w:val="nil"/>
              <w:bottom w:val="nil"/>
              <w:right w:val="nil"/>
            </w:tcBorders>
            <w:shd w:val="clear" w:color="auto" w:fill="auto"/>
          </w:tcPr>
          <w:p w14:paraId="0320D457" w14:textId="583A7553" w:rsidR="004A4FD1" w:rsidRDefault="004A4FD1" w:rsidP="00C163CE">
            <w:pPr>
              <w:pStyle w:val="Note"/>
              <w:rPr>
                <w:i/>
              </w:rPr>
            </w:pPr>
            <w:r w:rsidRPr="008E77FE">
              <w:rPr>
                <w:rStyle w:val="NoteLabel"/>
              </w:rPr>
              <w:t>a</w:t>
            </w:r>
            <w:r>
              <w:t xml:space="preserve"> </w:t>
            </w:r>
            <w:r w:rsidR="00DF46EC">
              <w:t xml:space="preserve">Based on one million simulations. </w:t>
            </w:r>
            <w:r w:rsidR="00A66D0C">
              <w:t xml:space="preserve">This is the risk that the value at retirement is less than the value five years earlier. </w:t>
            </w:r>
            <w:r w:rsidR="00A66D0C" w:rsidRPr="002E767F">
              <w:rPr>
                <w:rStyle w:val="NoteLabel"/>
              </w:rPr>
              <w:t>b</w:t>
            </w:r>
            <w:r w:rsidR="002E767F">
              <w:t xml:space="preserve"> </w:t>
            </w:r>
            <w:r w:rsidR="00D109C7">
              <w:t xml:space="preserve">In the event of a </w:t>
            </w:r>
            <w:r w:rsidR="002E767F">
              <w:t>sequencing</w:t>
            </w:r>
            <w:r w:rsidR="00D109C7">
              <w:t xml:space="preserve"> risk, this is the average loss that occurs compared with a counterfactual in which the fund invests in a safe asset with a real return of 2.5</w:t>
            </w:r>
            <w:r w:rsidR="00483658">
              <w:t xml:space="preserve"> per cent</w:t>
            </w:r>
            <w:r w:rsidR="00D109C7">
              <w:t xml:space="preserve"> per year</w:t>
            </w:r>
            <w:r w:rsidR="002E767F">
              <w:t xml:space="preserve">. </w:t>
            </w:r>
            <w:r w:rsidR="002E767F" w:rsidRPr="002E767F">
              <w:rPr>
                <w:rStyle w:val="NoteLabel"/>
              </w:rPr>
              <w:t>c</w:t>
            </w:r>
            <w:r w:rsidR="00D109C7">
              <w:t xml:space="preserve"> While, by definition, there is zero sequencing risk where the </w:t>
            </w:r>
            <w:proofErr w:type="spellStart"/>
            <w:r w:rsidR="00D109C7">
              <w:t>life</w:t>
            </w:r>
            <w:r w:rsidR="0042265A">
              <w:noBreakHyphen/>
            </w:r>
            <w:r w:rsidR="00D109C7">
              <w:t>cycle</w:t>
            </w:r>
            <w:proofErr w:type="spellEnd"/>
            <w:r w:rsidR="00D109C7">
              <w:t xml:space="preserve"> product involves an entirely safe asset, where the ‘safe’ asset includes some risky assets, this is no longer true. This is why sequencing risk remains for </w:t>
            </w:r>
            <w:r w:rsidR="00483658">
              <w:t>c</w:t>
            </w:r>
            <w:r w:rsidR="00D109C7">
              <w:t xml:space="preserve">ase F. </w:t>
            </w:r>
            <w:r w:rsidR="00C163CE" w:rsidRPr="002E767F">
              <w:rPr>
                <w:rStyle w:val="NoteLabel"/>
              </w:rPr>
              <w:t>d</w:t>
            </w:r>
            <w:r w:rsidR="00C163CE">
              <w:t xml:space="preserve"> This is the </w:t>
            </w:r>
            <w:r w:rsidR="0042265A">
              <w:t>average</w:t>
            </w:r>
            <w:r w:rsidR="00C163CE">
              <w:t xml:space="preserve"> loss in the retirement balance from investing in a </w:t>
            </w:r>
            <w:proofErr w:type="spellStart"/>
            <w:r w:rsidR="00C163CE">
              <w:t>life</w:t>
            </w:r>
            <w:r w:rsidR="00C163CE">
              <w:noBreakHyphen/>
              <w:t>cycle</w:t>
            </w:r>
            <w:proofErr w:type="spellEnd"/>
            <w:r w:rsidR="00C163CE">
              <w:t xml:space="preserve"> product. </w:t>
            </w:r>
            <w:r w:rsidR="00C163CE" w:rsidRPr="002E767F">
              <w:rPr>
                <w:rStyle w:val="NoteLabel"/>
              </w:rPr>
              <w:t>e</w:t>
            </w:r>
            <w:r w:rsidR="00C163CE">
              <w:t xml:space="preserve"> This is the average percentage reduction in the retirement balance of the </w:t>
            </w:r>
            <w:proofErr w:type="spellStart"/>
            <w:r w:rsidR="00C163CE">
              <w:t>life</w:t>
            </w:r>
            <w:r w:rsidR="00C163CE">
              <w:noBreakHyphen/>
              <w:t>cycle</w:t>
            </w:r>
            <w:proofErr w:type="spellEnd"/>
            <w:r w:rsidR="00C163CE">
              <w:t xml:space="preserve"> product relative to the balanced product. </w:t>
            </w:r>
          </w:p>
        </w:tc>
      </w:tr>
      <w:tr w:rsidR="004A4FD1" w14:paraId="005AA8A7" w14:textId="77777777" w:rsidTr="00663B7A">
        <w:tc>
          <w:tcPr>
            <w:tcW w:w="5000" w:type="pct"/>
            <w:tcBorders>
              <w:top w:val="nil"/>
              <w:left w:val="nil"/>
              <w:bottom w:val="single" w:sz="6" w:space="0" w:color="78A22F"/>
              <w:right w:val="nil"/>
            </w:tcBorders>
            <w:shd w:val="clear" w:color="auto" w:fill="auto"/>
          </w:tcPr>
          <w:p w14:paraId="4BDD3582" w14:textId="77777777" w:rsidR="004A4FD1" w:rsidRDefault="004A4FD1" w:rsidP="00B71F05">
            <w:pPr>
              <w:pStyle w:val="Box"/>
              <w:spacing w:before="0" w:line="120" w:lineRule="exact"/>
            </w:pPr>
          </w:p>
        </w:tc>
      </w:tr>
      <w:tr w:rsidR="004A4FD1" w:rsidRPr="000863A5" w14:paraId="1DA4821C" w14:textId="77777777" w:rsidTr="00663B7A">
        <w:tc>
          <w:tcPr>
            <w:tcW w:w="5000" w:type="pct"/>
            <w:tcBorders>
              <w:top w:val="single" w:sz="6" w:space="0" w:color="78A22F"/>
              <w:left w:val="nil"/>
              <w:bottom w:val="nil"/>
              <w:right w:val="nil"/>
            </w:tcBorders>
          </w:tcPr>
          <w:p w14:paraId="3104BBC7" w14:textId="3F236059" w:rsidR="004A4FD1" w:rsidRPr="00626D32" w:rsidRDefault="004A4FD1" w:rsidP="00B71F05">
            <w:pPr>
              <w:pStyle w:val="BoxSpaceBelow"/>
            </w:pPr>
          </w:p>
        </w:tc>
      </w:tr>
    </w:tbl>
    <w:p w14:paraId="08C8B97A" w14:textId="73B8AF8F" w:rsidR="00B71F05" w:rsidRDefault="00B37383" w:rsidP="00F1431C">
      <w:pPr>
        <w:pStyle w:val="Heading2"/>
      </w:pPr>
      <w:r>
        <w:t>6.</w:t>
      </w:r>
      <w:r w:rsidR="00663B7A">
        <w:rPr>
          <w:noProof/>
        </w:rPr>
        <w:t>4</w:t>
      </w:r>
      <w:r w:rsidR="00EB01A8">
        <w:tab/>
        <w:t>T</w:t>
      </w:r>
      <w:r w:rsidR="00B71F05">
        <w:t xml:space="preserve">he impact </w:t>
      </w:r>
      <w:r w:rsidR="00EB01A8">
        <w:t xml:space="preserve">of more options </w:t>
      </w:r>
    </w:p>
    <w:p w14:paraId="5DD98012" w14:textId="5F9D9186" w:rsidR="00B71F05" w:rsidRDefault="003F180B" w:rsidP="00EB01A8">
      <w:pPr>
        <w:pStyle w:val="BodyText"/>
      </w:pPr>
      <w:r>
        <w:t xml:space="preserve">The Commission investigated the relationship between the number of investment options provided by a fund and </w:t>
      </w:r>
      <w:r w:rsidR="00962CEC">
        <w:t>its</w:t>
      </w:r>
      <w:r>
        <w:t xml:space="preserve"> 10 year return rate using </w:t>
      </w:r>
      <w:r w:rsidR="003B4475">
        <w:t xml:space="preserve">several </w:t>
      </w:r>
      <w:r w:rsidR="00962CEC">
        <w:t>approaches</w:t>
      </w:r>
      <w:r>
        <w:t>:</w:t>
      </w:r>
    </w:p>
    <w:p w14:paraId="3A4A2928" w14:textId="3AE4B96B" w:rsidR="00962CEC" w:rsidRDefault="00962CEC" w:rsidP="002257ED">
      <w:pPr>
        <w:pStyle w:val="ListBullet"/>
      </w:pPr>
      <w:r>
        <w:t>a continuous measure of option numbers</w:t>
      </w:r>
      <w:r w:rsidR="001F327C">
        <w:t xml:space="preserve"> (in log form)</w:t>
      </w:r>
    </w:p>
    <w:p w14:paraId="36C545B0" w14:textId="50A6C5EB" w:rsidR="001F327C" w:rsidRDefault="00962CEC" w:rsidP="002257ED">
      <w:pPr>
        <w:pStyle w:val="ListBullet"/>
      </w:pPr>
      <w:r>
        <w:t xml:space="preserve">categorising option numbers into </w:t>
      </w:r>
      <w:r w:rsidR="003B4475">
        <w:t>six</w:t>
      </w:r>
      <w:r>
        <w:t xml:space="preserve"> </w:t>
      </w:r>
      <w:r w:rsidR="001D44CC">
        <w:t>categories</w:t>
      </w:r>
      <w:r>
        <w:t xml:space="preserve"> </w:t>
      </w:r>
      <w:r w:rsidR="001D44CC">
        <w:t xml:space="preserve">with roughly equal </w:t>
      </w:r>
      <w:r w:rsidR="00904515">
        <w:t>numbers of accounts in each group</w:t>
      </w:r>
      <w:r w:rsidR="001D44CC">
        <w:t>. This can capture</w:t>
      </w:r>
      <w:r>
        <w:t xml:space="preserve"> any major non</w:t>
      </w:r>
      <w:r>
        <w:noBreakHyphen/>
      </w:r>
      <w:proofErr w:type="spellStart"/>
      <w:r>
        <w:t>linearities</w:t>
      </w:r>
      <w:proofErr w:type="spellEnd"/>
      <w:r>
        <w:t xml:space="preserve"> in </w:t>
      </w:r>
      <w:r w:rsidR="001D44CC">
        <w:t>the</w:t>
      </w:r>
      <w:r>
        <w:t xml:space="preserve"> effects </w:t>
      </w:r>
      <w:r w:rsidR="001D44CC">
        <w:t xml:space="preserve">of option numbers </w:t>
      </w:r>
      <w:r>
        <w:t>(</w:t>
      </w:r>
      <w:r w:rsidR="001D44CC">
        <w:t xml:space="preserve">with the </w:t>
      </w:r>
      <w:r w:rsidR="00904515">
        <w:t>categories</w:t>
      </w:r>
      <w:r w:rsidR="001D44CC">
        <w:t xml:space="preserve"> being 1</w:t>
      </w:r>
      <w:r w:rsidR="00483658">
        <w:t>–</w:t>
      </w:r>
      <w:r w:rsidR="001D44CC">
        <w:t>10 options, 11</w:t>
      </w:r>
      <w:r w:rsidR="00483658">
        <w:t>–</w:t>
      </w:r>
      <w:r w:rsidR="001D44CC">
        <w:t>15 options, 16</w:t>
      </w:r>
      <w:r w:rsidR="00483658">
        <w:t>–</w:t>
      </w:r>
      <w:r w:rsidR="001D44CC">
        <w:t>25 options, 26</w:t>
      </w:r>
      <w:r w:rsidR="00483658">
        <w:t>–</w:t>
      </w:r>
      <w:r w:rsidR="001D44CC">
        <w:t>100 options, 101</w:t>
      </w:r>
      <w:r w:rsidR="00483658">
        <w:t>–</w:t>
      </w:r>
      <w:r w:rsidR="001D44CC">
        <w:t>320 options and 321 or more options)</w:t>
      </w:r>
      <w:r w:rsidR="002257ED">
        <w:t>.</w:t>
      </w:r>
    </w:p>
    <w:p w14:paraId="260DC7B2" w14:textId="1AC6FAA3" w:rsidR="003F180B" w:rsidRDefault="001F327C" w:rsidP="00EB01A8">
      <w:pPr>
        <w:pStyle w:val="BodyText"/>
      </w:pPr>
      <w:r>
        <w:t>Several models were estimated using these measures of option numbers</w:t>
      </w:r>
      <w:r w:rsidR="0005550F">
        <w:t xml:space="preserve"> (and data from APRA)</w:t>
      </w:r>
      <w:r>
        <w:t>. At the simplest, this involved a model with no controls for other</w:t>
      </w:r>
      <w:r w:rsidR="003B4475">
        <w:t xml:space="preserve"> factors that might affect 10 </w:t>
      </w:r>
      <w:r>
        <w:t>year returns. More complex models were estimated that took account of the effects of fund type, the portfolio share in cash and fixed income</w:t>
      </w:r>
      <w:r w:rsidR="00962CEC">
        <w:t xml:space="preserve"> </w:t>
      </w:r>
      <w:r>
        <w:t>(since this would be expected to lower returns), and the benefit to account number ratio (a measure of the average size of each parcel of managed funds per member). The effects of options on return rates were simil</w:t>
      </w:r>
      <w:r w:rsidR="003B4475">
        <w:t xml:space="preserve">ar across different models, </w:t>
      </w:r>
      <w:r>
        <w:t>were statistically significant</w:t>
      </w:r>
      <w:r w:rsidR="00EE66D1">
        <w:t>,</w:t>
      </w:r>
      <w:r w:rsidR="003B4475">
        <w:t xml:space="preserve"> and had large </w:t>
      </w:r>
      <w:r w:rsidR="00BB0F2A">
        <w:t>impacts</w:t>
      </w:r>
      <w:r w:rsidR="003B4475">
        <w:t xml:space="preserve"> on retirement balances </w:t>
      </w:r>
      <w:r w:rsidR="00BB0F2A">
        <w:t>(table 6.2)</w:t>
      </w:r>
      <w:r>
        <w:t>.</w:t>
      </w:r>
    </w:p>
    <w:p w14:paraId="74ABEC8D" w14:textId="28BBE9E1" w:rsidR="003560EC" w:rsidRDefault="003560EC" w:rsidP="00405B57">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3560EC" w14:paraId="586D4117" w14:textId="77777777" w:rsidTr="00405B57">
        <w:trPr>
          <w:tblHeader/>
        </w:trPr>
        <w:tc>
          <w:tcPr>
            <w:tcW w:w="5000" w:type="pct"/>
            <w:tcBorders>
              <w:top w:val="single" w:sz="6" w:space="0" w:color="78A22F"/>
              <w:left w:val="nil"/>
              <w:bottom w:val="nil"/>
              <w:right w:val="nil"/>
            </w:tcBorders>
            <w:shd w:val="clear" w:color="auto" w:fill="auto"/>
          </w:tcPr>
          <w:p w14:paraId="214E6B0B" w14:textId="499FE5A2" w:rsidR="003560EC" w:rsidRPr="00784A05" w:rsidRDefault="003560EC" w:rsidP="006839E4">
            <w:pPr>
              <w:pStyle w:val="TableTitle"/>
            </w:pPr>
            <w:r>
              <w:rPr>
                <w:b w:val="0"/>
              </w:rPr>
              <w:t xml:space="preserve">Table </w:t>
            </w:r>
            <w:r w:rsidR="00B37383">
              <w:rPr>
                <w:b w:val="0"/>
              </w:rPr>
              <w:t>6.</w:t>
            </w:r>
            <w:r w:rsidR="00663B7A">
              <w:rPr>
                <w:b w:val="0"/>
                <w:noProof/>
              </w:rPr>
              <w:t>2</w:t>
            </w:r>
            <w:r>
              <w:tab/>
            </w:r>
            <w:r w:rsidR="00C74337">
              <w:t>The impacts of option numbers on ten year rates of return</w:t>
            </w:r>
          </w:p>
        </w:tc>
      </w:tr>
      <w:tr w:rsidR="003560EC" w14:paraId="0675F24D" w14:textId="77777777" w:rsidTr="00405B57">
        <w:tc>
          <w:tcPr>
            <w:tcW w:w="5000" w:type="pct"/>
            <w:tcBorders>
              <w:top w:val="nil"/>
              <w:left w:val="nil"/>
              <w:bottom w:val="nil"/>
              <w:right w:val="nil"/>
            </w:tcBorders>
            <w:shd w:val="clear" w:color="auto" w:fill="auto"/>
          </w:tcPr>
          <w:tbl>
            <w:tblPr>
              <w:tblW w:w="8525" w:type="dxa"/>
              <w:tblCellMar>
                <w:top w:w="28" w:type="dxa"/>
                <w:left w:w="0" w:type="dxa"/>
                <w:right w:w="0" w:type="dxa"/>
              </w:tblCellMar>
              <w:tblLook w:val="0000" w:firstRow="0" w:lastRow="0" w:firstColumn="0" w:lastColumn="0" w:noHBand="0" w:noVBand="0"/>
            </w:tblPr>
            <w:tblGrid>
              <w:gridCol w:w="874"/>
              <w:gridCol w:w="1419"/>
              <w:gridCol w:w="1558"/>
              <w:gridCol w:w="1985"/>
              <w:gridCol w:w="2689"/>
            </w:tblGrid>
            <w:tr w:rsidR="00663B7A" w14:paraId="724BB74E" w14:textId="77777777" w:rsidTr="00663B7A">
              <w:trPr>
                <w:tblHeader/>
              </w:trPr>
              <w:tc>
                <w:tcPr>
                  <w:tcW w:w="513" w:type="pct"/>
                  <w:vMerge w:val="restart"/>
                  <w:tcBorders>
                    <w:top w:val="single" w:sz="6" w:space="0" w:color="BFBFBF"/>
                  </w:tcBorders>
                  <w:shd w:val="clear" w:color="auto" w:fill="auto"/>
                  <w:tcMar>
                    <w:top w:w="28" w:type="dxa"/>
                  </w:tcMar>
                  <w:vAlign w:val="center"/>
                </w:tcPr>
                <w:p w14:paraId="4BACC96C" w14:textId="716CEE52" w:rsidR="00663B7A" w:rsidRDefault="00663B7A" w:rsidP="00663B7A">
                  <w:pPr>
                    <w:pStyle w:val="TableColumnHeading"/>
                    <w:jc w:val="left"/>
                  </w:pPr>
                  <w:r>
                    <w:t>Model</w:t>
                  </w:r>
                  <w:r w:rsidRPr="00D73E02">
                    <w:rPr>
                      <w:rStyle w:val="NoteLabel"/>
                    </w:rPr>
                    <w:t>a</w:t>
                  </w:r>
                </w:p>
              </w:tc>
              <w:tc>
                <w:tcPr>
                  <w:tcW w:w="832" w:type="pct"/>
                  <w:tcBorders>
                    <w:top w:val="single" w:sz="6" w:space="0" w:color="BFBFBF"/>
                    <w:bottom w:val="single" w:sz="6" w:space="0" w:color="BFBFBF"/>
                  </w:tcBorders>
                  <w:shd w:val="clear" w:color="auto" w:fill="auto"/>
                </w:tcPr>
                <w:p w14:paraId="7266F3C2" w14:textId="04689101" w:rsidR="00663B7A" w:rsidRDefault="00663B7A" w:rsidP="003027C9">
                  <w:pPr>
                    <w:pStyle w:val="TableColumnHeading"/>
                  </w:pPr>
                  <w:r>
                    <w:t>Impact on rate of return</w:t>
                  </w:r>
                </w:p>
              </w:tc>
              <w:tc>
                <w:tcPr>
                  <w:tcW w:w="914" w:type="pct"/>
                  <w:tcBorders>
                    <w:top w:val="single" w:sz="6" w:space="0" w:color="BFBFBF"/>
                    <w:bottom w:val="single" w:sz="6" w:space="0" w:color="BFBFBF"/>
                  </w:tcBorders>
                </w:tcPr>
                <w:p w14:paraId="72A24299" w14:textId="353D8EB1" w:rsidR="00663B7A" w:rsidRDefault="00663B7A" w:rsidP="008F2BFB">
                  <w:pPr>
                    <w:pStyle w:val="TableColumnHeading"/>
                  </w:pPr>
                  <w:r>
                    <w:t>Retirement balance</w:t>
                  </w:r>
                </w:p>
              </w:tc>
              <w:tc>
                <w:tcPr>
                  <w:tcW w:w="1164" w:type="pct"/>
                  <w:tcBorders>
                    <w:top w:val="single" w:sz="6" w:space="0" w:color="BFBFBF"/>
                    <w:bottom w:val="single" w:sz="6" w:space="0" w:color="BFBFBF"/>
                  </w:tcBorders>
                  <w:shd w:val="clear" w:color="auto" w:fill="auto"/>
                  <w:tcMar>
                    <w:top w:w="28" w:type="dxa"/>
                  </w:tcMar>
                </w:tcPr>
                <w:p w14:paraId="55E1E1CA" w14:textId="33E5B924" w:rsidR="00663B7A" w:rsidRDefault="00663B7A" w:rsidP="008F2BFB">
                  <w:pPr>
                    <w:pStyle w:val="TableColumnHeading"/>
                  </w:pPr>
                  <w:r>
                    <w:t>Impact on retirement balance</w:t>
                  </w:r>
                </w:p>
              </w:tc>
              <w:tc>
                <w:tcPr>
                  <w:tcW w:w="1577" w:type="pct"/>
                  <w:tcBorders>
                    <w:top w:val="single" w:sz="6" w:space="0" w:color="BFBFBF"/>
                    <w:bottom w:val="single" w:sz="6" w:space="0" w:color="BFBFBF"/>
                  </w:tcBorders>
                  <w:shd w:val="clear" w:color="auto" w:fill="auto"/>
                  <w:tcMar>
                    <w:top w:w="28" w:type="dxa"/>
                  </w:tcMar>
                </w:tcPr>
                <w:p w14:paraId="559FE61D" w14:textId="00719E29" w:rsidR="00663B7A" w:rsidRDefault="00663B7A" w:rsidP="008F2BFB">
                  <w:pPr>
                    <w:pStyle w:val="TableColumnHeading"/>
                  </w:pPr>
                  <w:r>
                    <w:t>Change in option numbers modelled</w:t>
                  </w:r>
                </w:p>
              </w:tc>
            </w:tr>
            <w:tr w:rsidR="00663B7A" w14:paraId="1A9CCD91" w14:textId="77777777" w:rsidTr="00961C02">
              <w:trPr>
                <w:tblHeader/>
              </w:trPr>
              <w:tc>
                <w:tcPr>
                  <w:tcW w:w="513" w:type="pct"/>
                  <w:vMerge/>
                  <w:tcBorders>
                    <w:bottom w:val="single" w:sz="6" w:space="0" w:color="BFBFBF"/>
                  </w:tcBorders>
                  <w:shd w:val="clear" w:color="auto" w:fill="auto"/>
                  <w:tcMar>
                    <w:top w:w="28" w:type="dxa"/>
                  </w:tcMar>
                </w:tcPr>
                <w:p w14:paraId="2A0CADD2" w14:textId="77777777" w:rsidR="00663B7A" w:rsidRDefault="00663B7A" w:rsidP="00405B57">
                  <w:pPr>
                    <w:pStyle w:val="TableBodyText"/>
                    <w:jc w:val="left"/>
                  </w:pPr>
                </w:p>
              </w:tc>
              <w:tc>
                <w:tcPr>
                  <w:tcW w:w="832" w:type="pct"/>
                  <w:tcBorders>
                    <w:top w:val="single" w:sz="6" w:space="0" w:color="BFBFBF"/>
                    <w:bottom w:val="single" w:sz="6" w:space="0" w:color="BFBFBF"/>
                  </w:tcBorders>
                  <w:shd w:val="clear" w:color="auto" w:fill="auto"/>
                </w:tcPr>
                <w:p w14:paraId="437525F5" w14:textId="779F5DD0" w:rsidR="00663B7A" w:rsidRDefault="00663B7A" w:rsidP="003027C9">
                  <w:pPr>
                    <w:pStyle w:val="TableBodyText"/>
                  </w:pPr>
                  <w:r>
                    <w:t>Percentage points</w:t>
                  </w:r>
                </w:p>
              </w:tc>
              <w:tc>
                <w:tcPr>
                  <w:tcW w:w="914" w:type="pct"/>
                  <w:tcBorders>
                    <w:top w:val="single" w:sz="6" w:space="0" w:color="BFBFBF"/>
                    <w:bottom w:val="single" w:sz="6" w:space="0" w:color="BFBFBF"/>
                  </w:tcBorders>
                </w:tcPr>
                <w:p w14:paraId="003E0B96" w14:textId="172B6B6F" w:rsidR="00663B7A" w:rsidRDefault="00663B7A" w:rsidP="00405B57">
                  <w:pPr>
                    <w:pStyle w:val="TableColumnHeading"/>
                  </w:pPr>
                  <w:r>
                    <w:t>$’000</w:t>
                  </w:r>
                </w:p>
              </w:tc>
              <w:tc>
                <w:tcPr>
                  <w:tcW w:w="1164" w:type="pct"/>
                  <w:tcBorders>
                    <w:top w:val="single" w:sz="6" w:space="0" w:color="BFBFBF"/>
                    <w:bottom w:val="single" w:sz="6" w:space="0" w:color="BFBFBF"/>
                  </w:tcBorders>
                  <w:shd w:val="clear" w:color="auto" w:fill="auto"/>
                  <w:tcMar>
                    <w:top w:w="28" w:type="dxa"/>
                  </w:tcMar>
                </w:tcPr>
                <w:p w14:paraId="674F3C53" w14:textId="50C7F1D2" w:rsidR="00663B7A" w:rsidRDefault="00663B7A" w:rsidP="00405B57">
                  <w:pPr>
                    <w:pStyle w:val="TableColumnHeading"/>
                  </w:pPr>
                  <w:r>
                    <w:t>$’000</w:t>
                  </w:r>
                </w:p>
              </w:tc>
              <w:tc>
                <w:tcPr>
                  <w:tcW w:w="1577" w:type="pct"/>
                  <w:tcBorders>
                    <w:top w:val="single" w:sz="6" w:space="0" w:color="BFBFBF"/>
                    <w:bottom w:val="single" w:sz="6" w:space="0" w:color="BFBFBF"/>
                  </w:tcBorders>
                  <w:shd w:val="clear" w:color="auto" w:fill="auto"/>
                  <w:tcMar>
                    <w:top w:w="28" w:type="dxa"/>
                  </w:tcMar>
                </w:tcPr>
                <w:p w14:paraId="65CA3D41" w14:textId="61F6A62E" w:rsidR="00663B7A" w:rsidRDefault="00663B7A" w:rsidP="00405B57">
                  <w:pPr>
                    <w:pStyle w:val="TableColumnHeading"/>
                    <w:ind w:right="28"/>
                  </w:pPr>
                  <w:r>
                    <w:t>Description</w:t>
                  </w:r>
                </w:p>
              </w:tc>
            </w:tr>
            <w:tr w:rsidR="00EA20AE" w14:paraId="3AFA3E67" w14:textId="77777777" w:rsidTr="00EF39E3">
              <w:tc>
                <w:tcPr>
                  <w:tcW w:w="513" w:type="pct"/>
                  <w:tcBorders>
                    <w:top w:val="single" w:sz="6" w:space="0" w:color="BFBFBF"/>
                  </w:tcBorders>
                  <w:shd w:val="clear" w:color="auto" w:fill="auto"/>
                </w:tcPr>
                <w:p w14:paraId="18B85429" w14:textId="6C92789B" w:rsidR="00EA20AE" w:rsidRDefault="00EA20AE" w:rsidP="00EA20AE">
                  <w:pPr>
                    <w:pStyle w:val="TableBodyText"/>
                    <w:jc w:val="left"/>
                  </w:pPr>
                  <w:r>
                    <w:t>(1)</w:t>
                  </w:r>
                </w:p>
              </w:tc>
              <w:tc>
                <w:tcPr>
                  <w:tcW w:w="832" w:type="pct"/>
                  <w:tcBorders>
                    <w:top w:val="single" w:sz="6" w:space="0" w:color="BFBFBF"/>
                  </w:tcBorders>
                  <w:shd w:val="clear" w:color="auto" w:fill="auto"/>
                </w:tcPr>
                <w:p w14:paraId="5DC42432" w14:textId="15F0825F" w:rsidR="00EA20AE" w:rsidRDefault="0042265A" w:rsidP="00EA20AE">
                  <w:pPr>
                    <w:pStyle w:val="TableBodyText"/>
                  </w:pPr>
                  <w:r>
                    <w:noBreakHyphen/>
                  </w:r>
                  <w:r w:rsidR="00EA20AE" w:rsidRPr="00D9594B">
                    <w:t>1.</w:t>
                  </w:r>
                  <w:r w:rsidR="00EA20AE">
                    <w:t>35</w:t>
                  </w:r>
                </w:p>
              </w:tc>
              <w:tc>
                <w:tcPr>
                  <w:tcW w:w="914" w:type="pct"/>
                  <w:tcBorders>
                    <w:top w:val="single" w:sz="6" w:space="0" w:color="BFBFBF"/>
                  </w:tcBorders>
                </w:tcPr>
                <w:p w14:paraId="48AD6B8E" w14:textId="5A32681F" w:rsidR="00EA20AE" w:rsidRDefault="00EA20AE" w:rsidP="00EA20AE">
                  <w:pPr>
                    <w:pStyle w:val="TableUnitsRow"/>
                  </w:pPr>
                  <w:r w:rsidRPr="008D0966">
                    <w:t>60</w:t>
                  </w:r>
                  <w:r>
                    <w:t>7</w:t>
                  </w:r>
                </w:p>
              </w:tc>
              <w:tc>
                <w:tcPr>
                  <w:tcW w:w="1164" w:type="pct"/>
                  <w:tcBorders>
                    <w:top w:val="single" w:sz="6" w:space="0" w:color="BFBFBF"/>
                  </w:tcBorders>
                </w:tcPr>
                <w:p w14:paraId="4003F4D0" w14:textId="2A30A70F" w:rsidR="00EA20AE" w:rsidRDefault="0042265A" w:rsidP="00EA20AE">
                  <w:pPr>
                    <w:pStyle w:val="TableUnitsRow"/>
                  </w:pPr>
                  <w:r>
                    <w:noBreakHyphen/>
                  </w:r>
                  <w:r w:rsidR="00EA20AE" w:rsidRPr="008D0966">
                    <w:t>226</w:t>
                  </w:r>
                </w:p>
              </w:tc>
              <w:tc>
                <w:tcPr>
                  <w:tcW w:w="1577" w:type="pct"/>
                  <w:tcBorders>
                    <w:top w:val="single" w:sz="6" w:space="0" w:color="BFBFBF"/>
                  </w:tcBorders>
                </w:tcPr>
                <w:p w14:paraId="72D39B50" w14:textId="681B0332" w:rsidR="00EA20AE" w:rsidRDefault="00EA20AE" w:rsidP="00EA20AE">
                  <w:pPr>
                    <w:pStyle w:val="TableUnitsRow"/>
                    <w:ind w:right="28"/>
                  </w:pPr>
                  <w:r w:rsidRPr="00EF0F0C">
                    <w:t>10 to 700 options</w:t>
                  </w:r>
                </w:p>
              </w:tc>
            </w:tr>
            <w:tr w:rsidR="00EA20AE" w14:paraId="26E7B80C" w14:textId="77777777" w:rsidTr="00EF39E3">
              <w:tc>
                <w:tcPr>
                  <w:tcW w:w="513" w:type="pct"/>
                  <w:shd w:val="clear" w:color="auto" w:fill="auto"/>
                </w:tcPr>
                <w:p w14:paraId="58B18A8C" w14:textId="3A8A099A" w:rsidR="00EA20AE" w:rsidRDefault="00EA20AE" w:rsidP="00EA20AE">
                  <w:pPr>
                    <w:pStyle w:val="TableBodyText"/>
                    <w:jc w:val="left"/>
                  </w:pPr>
                  <w:r>
                    <w:t>(2)</w:t>
                  </w:r>
                </w:p>
              </w:tc>
              <w:tc>
                <w:tcPr>
                  <w:tcW w:w="832" w:type="pct"/>
                  <w:shd w:val="clear" w:color="auto" w:fill="auto"/>
                </w:tcPr>
                <w:p w14:paraId="1E71D84D" w14:textId="64A47541" w:rsidR="00EA20AE" w:rsidRDefault="0042265A" w:rsidP="00EA20AE">
                  <w:pPr>
                    <w:pStyle w:val="TableBodyText"/>
                  </w:pPr>
                  <w:r>
                    <w:noBreakHyphen/>
                  </w:r>
                  <w:r w:rsidR="00EA20AE" w:rsidRPr="00D9594B">
                    <w:t>0.72</w:t>
                  </w:r>
                </w:p>
              </w:tc>
              <w:tc>
                <w:tcPr>
                  <w:tcW w:w="914" w:type="pct"/>
                </w:tcPr>
                <w:p w14:paraId="1083D080" w14:textId="5AD15AF5" w:rsidR="00EA20AE" w:rsidRDefault="00EA20AE" w:rsidP="00EA20AE">
                  <w:pPr>
                    <w:pStyle w:val="TableBodyText"/>
                  </w:pPr>
                  <w:r w:rsidRPr="008D0966">
                    <w:t>693</w:t>
                  </w:r>
                </w:p>
              </w:tc>
              <w:tc>
                <w:tcPr>
                  <w:tcW w:w="1164" w:type="pct"/>
                </w:tcPr>
                <w:p w14:paraId="2BE27FC4" w14:textId="6E63ED10" w:rsidR="00EA20AE" w:rsidRDefault="0042265A" w:rsidP="00EA20AE">
                  <w:pPr>
                    <w:pStyle w:val="TableBodyText"/>
                  </w:pPr>
                  <w:r>
                    <w:noBreakHyphen/>
                  </w:r>
                  <w:r w:rsidR="00EA20AE" w:rsidRPr="008D0966">
                    <w:t>140</w:t>
                  </w:r>
                </w:p>
              </w:tc>
              <w:tc>
                <w:tcPr>
                  <w:tcW w:w="1577" w:type="pct"/>
                </w:tcPr>
                <w:p w14:paraId="2B4C3DB3" w14:textId="2903BB9A" w:rsidR="00EA20AE" w:rsidRDefault="00EA20AE" w:rsidP="00EA20AE">
                  <w:pPr>
                    <w:pStyle w:val="TableBodyText"/>
                    <w:ind w:right="28"/>
                  </w:pPr>
                  <w:r w:rsidRPr="00EF0F0C">
                    <w:t>11</w:t>
                  </w:r>
                  <w:r w:rsidR="00483658">
                    <w:t>–</w:t>
                  </w:r>
                  <w:r w:rsidRPr="00EF0F0C">
                    <w:t>15 options to 321+ options</w:t>
                  </w:r>
                </w:p>
              </w:tc>
            </w:tr>
            <w:tr w:rsidR="00EA20AE" w14:paraId="402CAB83" w14:textId="77777777" w:rsidTr="00EF39E3">
              <w:tc>
                <w:tcPr>
                  <w:tcW w:w="513" w:type="pct"/>
                  <w:shd w:val="clear" w:color="auto" w:fill="auto"/>
                </w:tcPr>
                <w:p w14:paraId="0F4E5431" w14:textId="64262382" w:rsidR="00EA20AE" w:rsidRDefault="00EA20AE" w:rsidP="00EA20AE">
                  <w:pPr>
                    <w:pStyle w:val="TableBodyText"/>
                    <w:jc w:val="left"/>
                  </w:pPr>
                  <w:r>
                    <w:t>(3)</w:t>
                  </w:r>
                </w:p>
              </w:tc>
              <w:tc>
                <w:tcPr>
                  <w:tcW w:w="832" w:type="pct"/>
                  <w:shd w:val="clear" w:color="auto" w:fill="auto"/>
                </w:tcPr>
                <w:p w14:paraId="260614E5" w14:textId="57D4A0DD" w:rsidR="00EA20AE" w:rsidRDefault="0042265A" w:rsidP="00EA20AE">
                  <w:pPr>
                    <w:pStyle w:val="TableBodyText"/>
                  </w:pPr>
                  <w:r>
                    <w:noBreakHyphen/>
                  </w:r>
                  <w:r w:rsidR="00EA20AE">
                    <w:t>1.02</w:t>
                  </w:r>
                </w:p>
              </w:tc>
              <w:tc>
                <w:tcPr>
                  <w:tcW w:w="914" w:type="pct"/>
                </w:tcPr>
                <w:p w14:paraId="525C4D50" w14:textId="21FFA0C3" w:rsidR="00EA20AE" w:rsidRDefault="00EA20AE" w:rsidP="00EA20AE">
                  <w:pPr>
                    <w:pStyle w:val="TableBodyText"/>
                  </w:pPr>
                  <w:r w:rsidRPr="008D0966">
                    <w:t>66</w:t>
                  </w:r>
                  <w:r>
                    <w:t>3</w:t>
                  </w:r>
                </w:p>
              </w:tc>
              <w:tc>
                <w:tcPr>
                  <w:tcW w:w="1164" w:type="pct"/>
                </w:tcPr>
                <w:p w14:paraId="3A0ED1C7" w14:textId="178667A3" w:rsidR="00EA20AE" w:rsidRDefault="0042265A" w:rsidP="00EA20AE">
                  <w:pPr>
                    <w:pStyle w:val="TableBodyText"/>
                  </w:pPr>
                  <w:r>
                    <w:noBreakHyphen/>
                  </w:r>
                  <w:r w:rsidR="00EA20AE" w:rsidRPr="008D0966">
                    <w:t>170</w:t>
                  </w:r>
                </w:p>
              </w:tc>
              <w:tc>
                <w:tcPr>
                  <w:tcW w:w="1577" w:type="pct"/>
                </w:tcPr>
                <w:p w14:paraId="65927F5B" w14:textId="0F40DB70" w:rsidR="00EA20AE" w:rsidRDefault="00EA20AE" w:rsidP="00EA20AE">
                  <w:pPr>
                    <w:pStyle w:val="TableBodyText"/>
                    <w:ind w:right="28"/>
                  </w:pPr>
                  <w:r w:rsidRPr="00EF0F0C">
                    <w:t>11</w:t>
                  </w:r>
                  <w:r w:rsidR="00483658">
                    <w:t>–</w:t>
                  </w:r>
                  <w:r w:rsidRPr="00EF0F0C">
                    <w:t>15 options to 321+ options</w:t>
                  </w:r>
                </w:p>
              </w:tc>
            </w:tr>
            <w:tr w:rsidR="00EF39E3" w14:paraId="1CACB4E1" w14:textId="77777777" w:rsidTr="00EF39E3">
              <w:tc>
                <w:tcPr>
                  <w:tcW w:w="513" w:type="pct"/>
                  <w:shd w:val="clear" w:color="auto" w:fill="auto"/>
                </w:tcPr>
                <w:p w14:paraId="3F5CF7B0" w14:textId="4916D2A5" w:rsidR="008F2BFB" w:rsidRDefault="00EF39E3" w:rsidP="008F2BFB">
                  <w:pPr>
                    <w:pStyle w:val="TableBodyText"/>
                    <w:jc w:val="left"/>
                  </w:pPr>
                  <w:r>
                    <w:t>(4)</w:t>
                  </w:r>
                </w:p>
              </w:tc>
              <w:tc>
                <w:tcPr>
                  <w:tcW w:w="832" w:type="pct"/>
                  <w:shd w:val="clear" w:color="auto" w:fill="auto"/>
                </w:tcPr>
                <w:p w14:paraId="2D38D674" w14:textId="70F3D575" w:rsidR="008F2BFB" w:rsidRDefault="0042265A" w:rsidP="003027C9">
                  <w:pPr>
                    <w:pStyle w:val="TableBodyText"/>
                  </w:pPr>
                  <w:r>
                    <w:noBreakHyphen/>
                  </w:r>
                  <w:r w:rsidR="008F2BFB" w:rsidRPr="00D9594B">
                    <w:t>1.06</w:t>
                  </w:r>
                </w:p>
              </w:tc>
              <w:tc>
                <w:tcPr>
                  <w:tcW w:w="914" w:type="pct"/>
                </w:tcPr>
                <w:p w14:paraId="7887DC3B" w14:textId="406B6D22" w:rsidR="008F2BFB" w:rsidRDefault="008F2BFB" w:rsidP="008F2BFB">
                  <w:pPr>
                    <w:pStyle w:val="TableBodyText"/>
                  </w:pPr>
                  <w:r w:rsidRPr="00EA07C1">
                    <w:t>637</w:t>
                  </w:r>
                </w:p>
              </w:tc>
              <w:tc>
                <w:tcPr>
                  <w:tcW w:w="1164" w:type="pct"/>
                </w:tcPr>
                <w:p w14:paraId="0F18B733" w14:textId="7DC4981B" w:rsidR="008F2BFB" w:rsidRDefault="0042265A" w:rsidP="008F2BFB">
                  <w:pPr>
                    <w:pStyle w:val="TableBodyText"/>
                  </w:pPr>
                  <w:r>
                    <w:noBreakHyphen/>
                  </w:r>
                  <w:r w:rsidR="008F2BFB" w:rsidRPr="001D0443">
                    <w:t>196</w:t>
                  </w:r>
                </w:p>
              </w:tc>
              <w:tc>
                <w:tcPr>
                  <w:tcW w:w="1577" w:type="pct"/>
                </w:tcPr>
                <w:p w14:paraId="4238EB6E" w14:textId="23EE5693" w:rsidR="008F2BFB" w:rsidRDefault="008F2BFB" w:rsidP="008F2BFB">
                  <w:pPr>
                    <w:pStyle w:val="TableBodyText"/>
                    <w:ind w:right="28"/>
                  </w:pPr>
                  <w:r w:rsidRPr="00EF0F0C">
                    <w:t>10 to 700 options</w:t>
                  </w:r>
                </w:p>
              </w:tc>
            </w:tr>
            <w:tr w:rsidR="003027C9" w14:paraId="76C225B1" w14:textId="77777777" w:rsidTr="00EF39E3">
              <w:tc>
                <w:tcPr>
                  <w:tcW w:w="513" w:type="pct"/>
                  <w:tcBorders>
                    <w:bottom w:val="single" w:sz="6" w:space="0" w:color="BFBFBF"/>
                  </w:tcBorders>
                  <w:shd w:val="clear" w:color="auto" w:fill="auto"/>
                </w:tcPr>
                <w:p w14:paraId="798703C4" w14:textId="43407036" w:rsidR="008F2BFB" w:rsidRDefault="00EF39E3" w:rsidP="008F2BFB">
                  <w:pPr>
                    <w:pStyle w:val="TableBodyText"/>
                    <w:jc w:val="left"/>
                  </w:pPr>
                  <w:r>
                    <w:t>(5)</w:t>
                  </w:r>
                </w:p>
              </w:tc>
              <w:tc>
                <w:tcPr>
                  <w:tcW w:w="832" w:type="pct"/>
                  <w:tcBorders>
                    <w:bottom w:val="single" w:sz="6" w:space="0" w:color="BFBFBF"/>
                  </w:tcBorders>
                  <w:shd w:val="clear" w:color="auto" w:fill="auto"/>
                </w:tcPr>
                <w:p w14:paraId="28A3CE04" w14:textId="30A9AFBF" w:rsidR="008F2BFB" w:rsidRDefault="008F2BFB" w:rsidP="003027C9">
                  <w:pPr>
                    <w:pStyle w:val="TableBodyText"/>
                  </w:pPr>
                  <w:r w:rsidRPr="00D9594B">
                    <w:t>0</w:t>
                  </w:r>
                </w:p>
              </w:tc>
              <w:tc>
                <w:tcPr>
                  <w:tcW w:w="914" w:type="pct"/>
                  <w:tcBorders>
                    <w:bottom w:val="single" w:sz="6" w:space="0" w:color="BFBFBF"/>
                  </w:tcBorders>
                </w:tcPr>
                <w:p w14:paraId="2F2344B9" w14:textId="4AC081C8" w:rsidR="008F2BFB" w:rsidRDefault="008F2BFB" w:rsidP="008F2BFB">
                  <w:pPr>
                    <w:pStyle w:val="TableBodyText"/>
                  </w:pPr>
                  <w:r w:rsidRPr="00EA07C1">
                    <w:t>833</w:t>
                  </w:r>
                </w:p>
              </w:tc>
              <w:tc>
                <w:tcPr>
                  <w:tcW w:w="1164" w:type="pct"/>
                  <w:tcBorders>
                    <w:bottom w:val="single" w:sz="6" w:space="0" w:color="BFBFBF"/>
                  </w:tcBorders>
                  <w:shd w:val="clear" w:color="auto" w:fill="auto"/>
                </w:tcPr>
                <w:p w14:paraId="77103BCE" w14:textId="4B534EE8" w:rsidR="008F2BFB" w:rsidRDefault="008F2BFB" w:rsidP="008F2BFB">
                  <w:pPr>
                    <w:pStyle w:val="TableBodyText"/>
                  </w:pPr>
                  <w:r w:rsidRPr="001D0443">
                    <w:t>0</w:t>
                  </w:r>
                </w:p>
              </w:tc>
              <w:tc>
                <w:tcPr>
                  <w:tcW w:w="1577" w:type="pct"/>
                  <w:tcBorders>
                    <w:bottom w:val="single" w:sz="6" w:space="0" w:color="BFBFBF"/>
                  </w:tcBorders>
                  <w:shd w:val="clear" w:color="auto" w:fill="auto"/>
                </w:tcPr>
                <w:p w14:paraId="44D33C6E" w14:textId="3DC7756A" w:rsidR="008F2BFB" w:rsidRDefault="00EF39E3" w:rsidP="008F2BFB">
                  <w:pPr>
                    <w:pStyle w:val="TableBodyText"/>
                    <w:ind w:right="28"/>
                  </w:pPr>
                  <w:r>
                    <w:t>Not applicable</w:t>
                  </w:r>
                </w:p>
              </w:tc>
            </w:tr>
          </w:tbl>
          <w:p w14:paraId="112D006C" w14:textId="77777777" w:rsidR="003560EC" w:rsidRDefault="003560EC" w:rsidP="00405B57">
            <w:pPr>
              <w:pStyle w:val="Box"/>
            </w:pPr>
          </w:p>
        </w:tc>
      </w:tr>
      <w:tr w:rsidR="003560EC" w14:paraId="3DC3F508" w14:textId="77777777" w:rsidTr="00405B57">
        <w:tc>
          <w:tcPr>
            <w:tcW w:w="5000" w:type="pct"/>
            <w:tcBorders>
              <w:top w:val="nil"/>
              <w:left w:val="nil"/>
              <w:bottom w:val="nil"/>
              <w:right w:val="nil"/>
            </w:tcBorders>
            <w:shd w:val="clear" w:color="auto" w:fill="auto"/>
          </w:tcPr>
          <w:p w14:paraId="75DD16E3" w14:textId="70A13C69" w:rsidR="003560EC" w:rsidRDefault="003560EC" w:rsidP="00813001">
            <w:pPr>
              <w:pStyle w:val="Note"/>
              <w:rPr>
                <w:i/>
              </w:rPr>
            </w:pPr>
            <w:r w:rsidRPr="008E77FE">
              <w:rPr>
                <w:rStyle w:val="NoteLabel"/>
              </w:rPr>
              <w:t>a</w:t>
            </w:r>
            <w:r>
              <w:t xml:space="preserve"> </w:t>
            </w:r>
            <w:r w:rsidR="00EF39E3">
              <w:t xml:space="preserve">The models are (1) </w:t>
            </w:r>
            <w:r w:rsidR="000D5D1C">
              <w:t>ordinary least squares (</w:t>
            </w:r>
            <w:proofErr w:type="spellStart"/>
            <w:r w:rsidR="00EF39E3">
              <w:t>OLS</w:t>
            </w:r>
            <w:proofErr w:type="spellEnd"/>
            <w:r w:rsidR="000D5D1C">
              <w:t>)</w:t>
            </w:r>
            <w:r w:rsidR="00EF39E3">
              <w:t xml:space="preserve"> of </w:t>
            </w:r>
            <w:r w:rsidR="00EF39E3" w:rsidRPr="00E777F0">
              <w:t xml:space="preserve">returns on </w:t>
            </w:r>
            <w:r w:rsidR="004D4F43">
              <w:t>six</w:t>
            </w:r>
            <w:r w:rsidR="00EF39E3" w:rsidRPr="00E777F0">
              <w:t xml:space="preserve"> option number categories</w:t>
            </w:r>
            <w:r w:rsidR="00EF39E3">
              <w:t xml:space="preserve">; (2) </w:t>
            </w:r>
            <w:proofErr w:type="spellStart"/>
            <w:r w:rsidR="00EF39E3" w:rsidRPr="00E777F0">
              <w:t>OLS</w:t>
            </w:r>
            <w:proofErr w:type="spellEnd"/>
            <w:r w:rsidR="00EF39E3" w:rsidRPr="00E777F0">
              <w:t xml:space="preserve"> of returns on log of options and controls for fund type, share in cash and fixed income, and the log of the benefit to account number ratio</w:t>
            </w:r>
            <w:r w:rsidR="00EF39E3">
              <w:t xml:space="preserve">; (3) </w:t>
            </w:r>
            <w:proofErr w:type="spellStart"/>
            <w:r w:rsidR="00EF39E3" w:rsidRPr="00E777F0">
              <w:t>OLS</w:t>
            </w:r>
            <w:proofErr w:type="spellEnd"/>
            <w:r w:rsidR="00EF39E3" w:rsidRPr="00E777F0">
              <w:t xml:space="preserve"> on </w:t>
            </w:r>
            <w:r w:rsidR="004D4F43">
              <w:t>six option number categories</w:t>
            </w:r>
            <w:r w:rsidR="00EF39E3" w:rsidRPr="00E777F0">
              <w:t>, plus controls for retail fund status, the share of assets in cash and fixed</w:t>
            </w:r>
            <w:r w:rsidR="00EF39E3">
              <w:t xml:space="preserve"> </w:t>
            </w:r>
            <w:r w:rsidR="00EF39E3" w:rsidRPr="00E777F0">
              <w:t>income, and log of the benefit to account ratio</w:t>
            </w:r>
            <w:r w:rsidR="00EF39E3">
              <w:t xml:space="preserve">; (4) </w:t>
            </w:r>
            <w:proofErr w:type="spellStart"/>
            <w:r w:rsidR="00EF39E3" w:rsidRPr="00E777F0">
              <w:t>OLS</w:t>
            </w:r>
            <w:proofErr w:type="spellEnd"/>
            <w:r w:rsidR="00EF39E3" w:rsidRPr="00E777F0">
              <w:t xml:space="preserve"> </w:t>
            </w:r>
            <w:r w:rsidR="00EF39E3">
              <w:t>of returns on the</w:t>
            </w:r>
            <w:r w:rsidR="00EF39E3" w:rsidRPr="00E777F0">
              <w:t xml:space="preserve"> log of option numbers</w:t>
            </w:r>
            <w:r w:rsidR="00EF39E3">
              <w:t xml:space="preserve">; </w:t>
            </w:r>
            <w:r w:rsidR="004D4F43">
              <w:t>and (5) t</w:t>
            </w:r>
            <w:r w:rsidR="00EF39E3">
              <w:t>he result — as in the main cameo model used in this report — where returns are 5 per cent throughout the accumulation period.</w:t>
            </w:r>
            <w:r w:rsidR="00647847">
              <w:t xml:space="preserve"> All coefficients were statistically significant.</w:t>
            </w:r>
            <w:r w:rsidR="00BB0F2A">
              <w:t xml:space="preserve"> The non</w:t>
            </w:r>
            <w:r w:rsidR="00BB0F2A">
              <w:noBreakHyphen/>
              <w:t>stochastic model described above and in chapter</w:t>
            </w:r>
            <w:r w:rsidR="0042265A">
              <w:t> </w:t>
            </w:r>
            <w:r w:rsidR="00BB0F2A">
              <w:t>1 was used to provide the impacts on retirement balances.</w:t>
            </w:r>
          </w:p>
        </w:tc>
      </w:tr>
      <w:tr w:rsidR="003560EC" w14:paraId="6A407C6C" w14:textId="77777777" w:rsidTr="00405B57">
        <w:tc>
          <w:tcPr>
            <w:tcW w:w="5000" w:type="pct"/>
            <w:tcBorders>
              <w:top w:val="nil"/>
              <w:left w:val="nil"/>
              <w:bottom w:val="single" w:sz="6" w:space="0" w:color="78A22F"/>
              <w:right w:val="nil"/>
            </w:tcBorders>
            <w:shd w:val="clear" w:color="auto" w:fill="auto"/>
          </w:tcPr>
          <w:p w14:paraId="7A0D45ED" w14:textId="77777777" w:rsidR="003560EC" w:rsidRDefault="003560EC" w:rsidP="00405B57">
            <w:pPr>
              <w:pStyle w:val="Box"/>
              <w:spacing w:before="0" w:line="120" w:lineRule="exact"/>
            </w:pPr>
          </w:p>
        </w:tc>
      </w:tr>
      <w:tr w:rsidR="003560EC" w:rsidRPr="000863A5" w14:paraId="52E82B80" w14:textId="77777777" w:rsidTr="00405B57">
        <w:tc>
          <w:tcPr>
            <w:tcW w:w="5000" w:type="pct"/>
            <w:tcBorders>
              <w:top w:val="single" w:sz="6" w:space="0" w:color="78A22F"/>
              <w:left w:val="nil"/>
              <w:bottom w:val="nil"/>
              <w:right w:val="nil"/>
            </w:tcBorders>
          </w:tcPr>
          <w:p w14:paraId="46F227A8" w14:textId="4C083215" w:rsidR="003560EC" w:rsidRPr="00626D32" w:rsidRDefault="003560EC" w:rsidP="00405B57">
            <w:pPr>
              <w:pStyle w:val="BoxSpaceBelow"/>
            </w:pPr>
          </w:p>
        </w:tc>
      </w:tr>
    </w:tbl>
    <w:p w14:paraId="3752784A" w14:textId="462F1F05" w:rsidR="001F327C" w:rsidRDefault="005C2EBE" w:rsidP="00EB01A8">
      <w:pPr>
        <w:pStyle w:val="BodyText"/>
      </w:pPr>
      <w:r>
        <w:t xml:space="preserve">The impacts of the number of options </w:t>
      </w:r>
      <w:r w:rsidR="00E76988">
        <w:t xml:space="preserve">on fees </w:t>
      </w:r>
      <w:r>
        <w:t>were estimated using a similar approach</w:t>
      </w:r>
      <w:r w:rsidR="00E76988">
        <w:t>. Fees were represented as the ratio of all fees</w:t>
      </w:r>
      <w:r w:rsidR="00D73E02">
        <w:t xml:space="preserve"> (</w:t>
      </w:r>
      <w:r w:rsidR="00E76988">
        <w:t>less any charges for insurance</w:t>
      </w:r>
      <w:r w:rsidR="0005550F">
        <w:t xml:space="preserve">) </w:t>
      </w:r>
      <w:r w:rsidR="00E76988">
        <w:t>to each fund’s net assets (to normalise for fund size)</w:t>
      </w:r>
      <w:r>
        <w:t xml:space="preserve">. </w:t>
      </w:r>
      <w:r w:rsidR="00647847">
        <w:t>A shift from a modest number of options (11</w:t>
      </w:r>
      <w:r w:rsidR="00483658">
        <w:t>–</w:t>
      </w:r>
      <w:r w:rsidR="00647847">
        <w:t>15) to 321 or more increases the ratio of fees to net assets by between 0.5 to 0.7 percentage points</w:t>
      </w:r>
      <w:r w:rsidR="00BA1C99">
        <w:t xml:space="preserve"> (table 6.</w:t>
      </w:r>
      <w:r w:rsidR="00562601">
        <w:t>3</w:t>
      </w:r>
      <w:r w:rsidR="00BA1C99">
        <w:t>)</w:t>
      </w:r>
      <w:r w:rsidR="00647847">
        <w:t>.</w:t>
      </w:r>
    </w:p>
    <w:p w14:paraId="6496EF79" w14:textId="5C7DD9A3" w:rsidR="005F66AF" w:rsidRDefault="005F66AF" w:rsidP="00405B57">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5F66AF" w14:paraId="1D14EB16" w14:textId="77777777" w:rsidTr="00405B57">
        <w:trPr>
          <w:tblHeader/>
        </w:trPr>
        <w:tc>
          <w:tcPr>
            <w:tcW w:w="5000" w:type="pct"/>
            <w:tcBorders>
              <w:top w:val="single" w:sz="6" w:space="0" w:color="78A22F"/>
              <w:left w:val="nil"/>
              <w:bottom w:val="nil"/>
              <w:right w:val="nil"/>
            </w:tcBorders>
            <w:shd w:val="clear" w:color="auto" w:fill="auto"/>
          </w:tcPr>
          <w:p w14:paraId="4A46E6E6" w14:textId="29E45934" w:rsidR="005F66AF" w:rsidRPr="00784A05" w:rsidRDefault="005F66AF" w:rsidP="00D73E02">
            <w:pPr>
              <w:pStyle w:val="TableTitle"/>
            </w:pPr>
            <w:r>
              <w:rPr>
                <w:b w:val="0"/>
              </w:rPr>
              <w:t xml:space="preserve">Table </w:t>
            </w:r>
            <w:r w:rsidR="00B37383">
              <w:rPr>
                <w:b w:val="0"/>
              </w:rPr>
              <w:t>6.</w:t>
            </w:r>
            <w:r w:rsidR="00663B7A">
              <w:rPr>
                <w:b w:val="0"/>
                <w:noProof/>
              </w:rPr>
              <w:t>3</w:t>
            </w:r>
            <w:r>
              <w:tab/>
            </w:r>
            <w:r w:rsidR="00D73E02">
              <w:t>Impacts of option numbers on fee rates</w:t>
            </w:r>
          </w:p>
        </w:tc>
      </w:tr>
      <w:tr w:rsidR="005F66AF" w14:paraId="5B98A224" w14:textId="77777777" w:rsidTr="00405B57">
        <w:tc>
          <w:tcPr>
            <w:tcW w:w="5000" w:type="pct"/>
            <w:tcBorders>
              <w:top w:val="nil"/>
              <w:left w:val="nil"/>
              <w:bottom w:val="nil"/>
              <w:right w:val="nil"/>
            </w:tcBorders>
            <w:shd w:val="clear" w:color="auto" w:fill="auto"/>
          </w:tcPr>
          <w:tbl>
            <w:tblPr>
              <w:tblW w:w="8530" w:type="dxa"/>
              <w:tblCellMar>
                <w:top w:w="28" w:type="dxa"/>
                <w:left w:w="0" w:type="dxa"/>
                <w:right w:w="0" w:type="dxa"/>
              </w:tblCellMar>
              <w:tblLook w:val="0000" w:firstRow="0" w:lastRow="0" w:firstColumn="0" w:lastColumn="0" w:noHBand="0" w:noVBand="0"/>
            </w:tblPr>
            <w:tblGrid>
              <w:gridCol w:w="1017"/>
              <w:gridCol w:w="2977"/>
              <w:gridCol w:w="4536"/>
            </w:tblGrid>
            <w:tr w:rsidR="00663B7A" w14:paraId="37B3B6EA" w14:textId="77777777" w:rsidTr="00663B7A">
              <w:trPr>
                <w:tblHeader/>
              </w:trPr>
              <w:tc>
                <w:tcPr>
                  <w:tcW w:w="596" w:type="pct"/>
                  <w:vMerge w:val="restart"/>
                  <w:tcBorders>
                    <w:top w:val="single" w:sz="6" w:space="0" w:color="BFBFBF"/>
                  </w:tcBorders>
                  <w:shd w:val="clear" w:color="auto" w:fill="auto"/>
                  <w:tcMar>
                    <w:top w:w="28" w:type="dxa"/>
                  </w:tcMar>
                  <w:vAlign w:val="center"/>
                </w:tcPr>
                <w:p w14:paraId="468B6330" w14:textId="4CD2FF3E" w:rsidR="00663B7A" w:rsidRDefault="00663B7A" w:rsidP="00663B7A">
                  <w:pPr>
                    <w:pStyle w:val="TableColumnHeading"/>
                    <w:jc w:val="left"/>
                  </w:pPr>
                  <w:r>
                    <w:t>Model</w:t>
                  </w:r>
                  <w:r w:rsidRPr="00813001">
                    <w:rPr>
                      <w:rStyle w:val="NoteLabel"/>
                    </w:rPr>
                    <w:t>a</w:t>
                  </w:r>
                </w:p>
              </w:tc>
              <w:tc>
                <w:tcPr>
                  <w:tcW w:w="1745" w:type="pct"/>
                  <w:tcBorders>
                    <w:top w:val="single" w:sz="6" w:space="0" w:color="BFBFBF"/>
                    <w:bottom w:val="single" w:sz="6" w:space="0" w:color="BFBFBF"/>
                  </w:tcBorders>
                </w:tcPr>
                <w:p w14:paraId="6C690B1E" w14:textId="402EBB44" w:rsidR="00663B7A" w:rsidRDefault="00663B7A" w:rsidP="00405B57">
                  <w:pPr>
                    <w:pStyle w:val="TableColumnHeading"/>
                  </w:pPr>
                  <w:r>
                    <w:t>Impact on fee rate</w:t>
                  </w:r>
                </w:p>
              </w:tc>
              <w:tc>
                <w:tcPr>
                  <w:tcW w:w="2659" w:type="pct"/>
                  <w:tcBorders>
                    <w:top w:val="single" w:sz="6" w:space="0" w:color="BFBFBF"/>
                    <w:bottom w:val="single" w:sz="6" w:space="0" w:color="BFBFBF"/>
                  </w:tcBorders>
                  <w:shd w:val="clear" w:color="auto" w:fill="auto"/>
                  <w:tcMar>
                    <w:top w:w="28" w:type="dxa"/>
                  </w:tcMar>
                </w:tcPr>
                <w:p w14:paraId="656390B7" w14:textId="792962A0" w:rsidR="00663B7A" w:rsidRDefault="00663B7A" w:rsidP="00405B57">
                  <w:pPr>
                    <w:pStyle w:val="TableColumnHeading"/>
                    <w:ind w:right="28"/>
                  </w:pPr>
                  <w:r>
                    <w:t>Change in option numbers modelled</w:t>
                  </w:r>
                </w:p>
              </w:tc>
            </w:tr>
            <w:tr w:rsidR="00663B7A" w14:paraId="54820738" w14:textId="77777777" w:rsidTr="00C05A05">
              <w:tc>
                <w:tcPr>
                  <w:tcW w:w="596" w:type="pct"/>
                  <w:vMerge/>
                </w:tcPr>
                <w:p w14:paraId="047D0135" w14:textId="77777777" w:rsidR="00663B7A" w:rsidRDefault="00663B7A" w:rsidP="00405B57">
                  <w:pPr>
                    <w:pStyle w:val="TableUnitsRow"/>
                    <w:jc w:val="left"/>
                  </w:pPr>
                </w:p>
              </w:tc>
              <w:tc>
                <w:tcPr>
                  <w:tcW w:w="1745" w:type="pct"/>
                  <w:tcBorders>
                    <w:top w:val="single" w:sz="6" w:space="0" w:color="BFBFBF"/>
                  </w:tcBorders>
                </w:tcPr>
                <w:p w14:paraId="4AA40BB2" w14:textId="03DF20C6" w:rsidR="00663B7A" w:rsidRDefault="00663B7A" w:rsidP="00405B57">
                  <w:pPr>
                    <w:pStyle w:val="TableUnitsRow"/>
                  </w:pPr>
                  <w:r>
                    <w:t>Percentage points</w:t>
                  </w:r>
                </w:p>
              </w:tc>
              <w:tc>
                <w:tcPr>
                  <w:tcW w:w="2659" w:type="pct"/>
                  <w:tcBorders>
                    <w:top w:val="single" w:sz="6" w:space="0" w:color="BFBFBF"/>
                  </w:tcBorders>
                </w:tcPr>
                <w:p w14:paraId="41FAFB28" w14:textId="68D1531C" w:rsidR="00663B7A" w:rsidRDefault="00663B7A" w:rsidP="00405B57">
                  <w:pPr>
                    <w:pStyle w:val="TableUnitsRow"/>
                    <w:ind w:right="28"/>
                  </w:pPr>
                  <w:r>
                    <w:t>Description</w:t>
                  </w:r>
                </w:p>
              </w:tc>
            </w:tr>
            <w:tr w:rsidR="00D73E02" w14:paraId="68BF8D76" w14:textId="77777777" w:rsidTr="00D73E02">
              <w:tc>
                <w:tcPr>
                  <w:tcW w:w="596" w:type="pct"/>
                  <w:tcBorders>
                    <w:top w:val="single" w:sz="6" w:space="0" w:color="BFBFBF"/>
                  </w:tcBorders>
                </w:tcPr>
                <w:p w14:paraId="388C2ABB" w14:textId="14F73628" w:rsidR="00D73E02" w:rsidRDefault="00D73E02" w:rsidP="00D73E02">
                  <w:pPr>
                    <w:pStyle w:val="TableUnitsRow"/>
                    <w:jc w:val="left"/>
                  </w:pPr>
                  <w:r>
                    <w:t>(1)</w:t>
                  </w:r>
                </w:p>
              </w:tc>
              <w:tc>
                <w:tcPr>
                  <w:tcW w:w="1745" w:type="pct"/>
                  <w:tcBorders>
                    <w:top w:val="single" w:sz="6" w:space="0" w:color="BFBFBF"/>
                  </w:tcBorders>
                </w:tcPr>
                <w:p w14:paraId="74502524" w14:textId="44134213" w:rsidR="00D73E02" w:rsidRDefault="00D73E02" w:rsidP="00D73E02">
                  <w:pPr>
                    <w:pStyle w:val="TableUnitsRow"/>
                  </w:pPr>
                  <w:r>
                    <w:t>0.80</w:t>
                  </w:r>
                </w:p>
              </w:tc>
              <w:tc>
                <w:tcPr>
                  <w:tcW w:w="2659" w:type="pct"/>
                  <w:tcBorders>
                    <w:top w:val="single" w:sz="6" w:space="0" w:color="BFBFBF"/>
                  </w:tcBorders>
                </w:tcPr>
                <w:p w14:paraId="44C8DC7D" w14:textId="15164E6C" w:rsidR="00D73E02" w:rsidRDefault="00D73E02" w:rsidP="00D73E02">
                  <w:pPr>
                    <w:pStyle w:val="TableUnitsRow"/>
                    <w:ind w:right="28"/>
                  </w:pPr>
                  <w:r w:rsidRPr="00407EED">
                    <w:t>10 to 700 options</w:t>
                  </w:r>
                </w:p>
              </w:tc>
            </w:tr>
            <w:tr w:rsidR="00D73E02" w14:paraId="27EC0625" w14:textId="77777777" w:rsidTr="00D73E02">
              <w:tc>
                <w:tcPr>
                  <w:tcW w:w="596" w:type="pct"/>
                </w:tcPr>
                <w:p w14:paraId="1B5BD972" w14:textId="423B56C7" w:rsidR="00D73E02" w:rsidRDefault="00D73E02" w:rsidP="00D73E02">
                  <w:pPr>
                    <w:pStyle w:val="TableBodyText"/>
                    <w:jc w:val="left"/>
                  </w:pPr>
                  <w:r>
                    <w:t>(2)</w:t>
                  </w:r>
                </w:p>
              </w:tc>
              <w:tc>
                <w:tcPr>
                  <w:tcW w:w="1745" w:type="pct"/>
                </w:tcPr>
                <w:p w14:paraId="2DB1A5AF" w14:textId="30BB27F1" w:rsidR="00D73E02" w:rsidRDefault="00D73E02" w:rsidP="00D73E02">
                  <w:pPr>
                    <w:pStyle w:val="TableBodyText"/>
                  </w:pPr>
                  <w:r>
                    <w:t>0.51</w:t>
                  </w:r>
                </w:p>
              </w:tc>
              <w:tc>
                <w:tcPr>
                  <w:tcW w:w="2659" w:type="pct"/>
                </w:tcPr>
                <w:p w14:paraId="6591DD84" w14:textId="18C5D9A9" w:rsidR="00D73E02" w:rsidRDefault="00D73E02" w:rsidP="00D73E02">
                  <w:pPr>
                    <w:pStyle w:val="TableBodyText"/>
                    <w:ind w:right="28"/>
                  </w:pPr>
                  <w:r w:rsidRPr="00407EED">
                    <w:t>11</w:t>
                  </w:r>
                  <w:r w:rsidR="00483658">
                    <w:t>–</w:t>
                  </w:r>
                  <w:r w:rsidRPr="00407EED">
                    <w:t>15 options to 321+ options</w:t>
                  </w:r>
                </w:p>
              </w:tc>
            </w:tr>
            <w:tr w:rsidR="00D73E02" w14:paraId="76567A77" w14:textId="77777777" w:rsidTr="00D73E02">
              <w:tc>
                <w:tcPr>
                  <w:tcW w:w="596" w:type="pct"/>
                </w:tcPr>
                <w:p w14:paraId="226623C1" w14:textId="43BBB13D" w:rsidR="00D73E02" w:rsidRDefault="00D73E02" w:rsidP="00D73E02">
                  <w:pPr>
                    <w:pStyle w:val="TableBodyText"/>
                    <w:jc w:val="left"/>
                  </w:pPr>
                  <w:r>
                    <w:t>(3)</w:t>
                  </w:r>
                </w:p>
              </w:tc>
              <w:tc>
                <w:tcPr>
                  <w:tcW w:w="1745" w:type="pct"/>
                </w:tcPr>
                <w:p w14:paraId="4376649A" w14:textId="3D89F4F6" w:rsidR="00D73E02" w:rsidRDefault="00D73E02" w:rsidP="00D73E02">
                  <w:pPr>
                    <w:pStyle w:val="TableBodyText"/>
                  </w:pPr>
                  <w:r>
                    <w:t>0.68</w:t>
                  </w:r>
                </w:p>
              </w:tc>
              <w:tc>
                <w:tcPr>
                  <w:tcW w:w="2659" w:type="pct"/>
                </w:tcPr>
                <w:p w14:paraId="46C45DFD" w14:textId="793BEFDF" w:rsidR="00D73E02" w:rsidRDefault="00D73E02" w:rsidP="00D73E02">
                  <w:pPr>
                    <w:pStyle w:val="TableBodyText"/>
                    <w:ind w:right="28"/>
                  </w:pPr>
                  <w:r w:rsidRPr="00407EED">
                    <w:t>11</w:t>
                  </w:r>
                  <w:r w:rsidR="00483658">
                    <w:t>–</w:t>
                  </w:r>
                  <w:r w:rsidRPr="00407EED">
                    <w:t>15 options to 321+ options</w:t>
                  </w:r>
                </w:p>
              </w:tc>
            </w:tr>
            <w:tr w:rsidR="00D73E02" w14:paraId="6DF8CBC9" w14:textId="77777777" w:rsidTr="00D73E02">
              <w:tc>
                <w:tcPr>
                  <w:tcW w:w="596" w:type="pct"/>
                  <w:tcBorders>
                    <w:bottom w:val="single" w:sz="6" w:space="0" w:color="BFBFBF"/>
                  </w:tcBorders>
                  <w:shd w:val="clear" w:color="auto" w:fill="auto"/>
                </w:tcPr>
                <w:p w14:paraId="24B47037" w14:textId="57F15649" w:rsidR="00D73E02" w:rsidRDefault="00D73E02" w:rsidP="00D73E02">
                  <w:pPr>
                    <w:pStyle w:val="TableBodyText"/>
                    <w:jc w:val="left"/>
                  </w:pPr>
                  <w:r>
                    <w:t>(4)</w:t>
                  </w:r>
                </w:p>
              </w:tc>
              <w:tc>
                <w:tcPr>
                  <w:tcW w:w="1745" w:type="pct"/>
                  <w:tcBorders>
                    <w:bottom w:val="single" w:sz="6" w:space="0" w:color="BFBFBF"/>
                  </w:tcBorders>
                </w:tcPr>
                <w:p w14:paraId="3941BF5A" w14:textId="1E34985D" w:rsidR="00D73E02" w:rsidRDefault="00D73E02" w:rsidP="00D73E02">
                  <w:pPr>
                    <w:pStyle w:val="TableBodyText"/>
                  </w:pPr>
                  <w:r>
                    <w:t>0.69</w:t>
                  </w:r>
                </w:p>
              </w:tc>
              <w:tc>
                <w:tcPr>
                  <w:tcW w:w="2659" w:type="pct"/>
                  <w:tcBorders>
                    <w:bottom w:val="single" w:sz="6" w:space="0" w:color="BFBFBF"/>
                  </w:tcBorders>
                  <w:shd w:val="clear" w:color="auto" w:fill="auto"/>
                </w:tcPr>
                <w:p w14:paraId="5D99BD1C" w14:textId="359115E1" w:rsidR="00D73E02" w:rsidRDefault="00D73E02" w:rsidP="00D73E02">
                  <w:pPr>
                    <w:pStyle w:val="TableBodyText"/>
                    <w:ind w:right="28"/>
                  </w:pPr>
                  <w:r w:rsidRPr="00407EED">
                    <w:t>10 to 700 options</w:t>
                  </w:r>
                </w:p>
              </w:tc>
            </w:tr>
          </w:tbl>
          <w:p w14:paraId="7CAEDE71" w14:textId="77777777" w:rsidR="005F66AF" w:rsidRDefault="005F66AF" w:rsidP="00405B57">
            <w:pPr>
              <w:pStyle w:val="Box"/>
            </w:pPr>
          </w:p>
        </w:tc>
      </w:tr>
      <w:tr w:rsidR="005F66AF" w14:paraId="1EA3BEFA" w14:textId="77777777" w:rsidTr="00405B57">
        <w:tc>
          <w:tcPr>
            <w:tcW w:w="5000" w:type="pct"/>
            <w:tcBorders>
              <w:top w:val="nil"/>
              <w:left w:val="nil"/>
              <w:bottom w:val="nil"/>
              <w:right w:val="nil"/>
            </w:tcBorders>
            <w:shd w:val="clear" w:color="auto" w:fill="auto"/>
          </w:tcPr>
          <w:p w14:paraId="09911A1F" w14:textId="1BBD77D4" w:rsidR="005F66AF" w:rsidRDefault="005F66AF" w:rsidP="0099468B">
            <w:pPr>
              <w:pStyle w:val="Note"/>
              <w:rPr>
                <w:i/>
              </w:rPr>
            </w:pPr>
            <w:r w:rsidRPr="008E77FE">
              <w:rPr>
                <w:rStyle w:val="NoteLabel"/>
              </w:rPr>
              <w:t>a</w:t>
            </w:r>
            <w:r>
              <w:t xml:space="preserve"> </w:t>
            </w:r>
            <w:r w:rsidR="00D73E02">
              <w:t xml:space="preserve">The regression models were: (1) </w:t>
            </w:r>
            <w:proofErr w:type="spellStart"/>
            <w:r w:rsidR="00D73E02" w:rsidRPr="00D73E02">
              <w:t>OLS</w:t>
            </w:r>
            <w:proofErr w:type="spellEnd"/>
            <w:r w:rsidR="00D73E02" w:rsidRPr="00D73E02">
              <w:t xml:space="preserve"> of </w:t>
            </w:r>
            <w:r w:rsidR="00D73E02">
              <w:t>fee rat</w:t>
            </w:r>
            <w:r w:rsidR="00813001">
              <w:t>e</w:t>
            </w:r>
            <w:r w:rsidR="00D73E02" w:rsidRPr="00D73E02">
              <w:t xml:space="preserve"> on six option number categories; (2) </w:t>
            </w:r>
            <w:proofErr w:type="spellStart"/>
            <w:r w:rsidR="00D73E02" w:rsidRPr="00D73E02">
              <w:t>OLS</w:t>
            </w:r>
            <w:proofErr w:type="spellEnd"/>
            <w:r w:rsidR="00D73E02" w:rsidRPr="00D73E02">
              <w:t xml:space="preserve"> of </w:t>
            </w:r>
            <w:r w:rsidR="00813001">
              <w:t>fee rate</w:t>
            </w:r>
            <w:r w:rsidR="00D73E02" w:rsidRPr="00D73E02">
              <w:t xml:space="preserve"> on log of options and controls for </w:t>
            </w:r>
            <w:r w:rsidR="0099468B">
              <w:t xml:space="preserve">retail </w:t>
            </w:r>
            <w:r w:rsidR="00D73E02" w:rsidRPr="00D73E02">
              <w:t>fund type</w:t>
            </w:r>
            <w:r w:rsidR="0099468B">
              <w:t xml:space="preserve"> </w:t>
            </w:r>
            <w:r w:rsidR="00D73E02" w:rsidRPr="00D73E02">
              <w:t xml:space="preserve">and the log of the benefit to account number ratio; (3) </w:t>
            </w:r>
            <w:proofErr w:type="spellStart"/>
            <w:r w:rsidR="00D73E02" w:rsidRPr="00D73E02">
              <w:t>OLS</w:t>
            </w:r>
            <w:proofErr w:type="spellEnd"/>
            <w:r w:rsidR="00D73E02" w:rsidRPr="00D73E02">
              <w:t xml:space="preserve"> on six option number categories, plus controls for retail fund status, and </w:t>
            </w:r>
            <w:r w:rsidR="0099468B">
              <w:t xml:space="preserve">the </w:t>
            </w:r>
            <w:r w:rsidR="00D73E02" w:rsidRPr="00D73E02">
              <w:t xml:space="preserve">log of the benefit to account ratio; (4) </w:t>
            </w:r>
            <w:proofErr w:type="spellStart"/>
            <w:r w:rsidR="00D73E02" w:rsidRPr="00D73E02">
              <w:t>OLS</w:t>
            </w:r>
            <w:proofErr w:type="spellEnd"/>
            <w:r w:rsidR="00D73E02" w:rsidRPr="00D73E02">
              <w:t xml:space="preserve"> of returns on the log of option numbers</w:t>
            </w:r>
            <w:r w:rsidR="0005550F">
              <w:t>.</w:t>
            </w:r>
            <w:r w:rsidR="00647847">
              <w:t xml:space="preserve"> All coefficients were statistically significant.</w:t>
            </w:r>
          </w:p>
        </w:tc>
      </w:tr>
      <w:tr w:rsidR="005F66AF" w14:paraId="681AC910" w14:textId="77777777" w:rsidTr="00405B57">
        <w:tc>
          <w:tcPr>
            <w:tcW w:w="5000" w:type="pct"/>
            <w:tcBorders>
              <w:top w:val="nil"/>
              <w:left w:val="nil"/>
              <w:bottom w:val="single" w:sz="6" w:space="0" w:color="78A22F"/>
              <w:right w:val="nil"/>
            </w:tcBorders>
            <w:shd w:val="clear" w:color="auto" w:fill="auto"/>
          </w:tcPr>
          <w:p w14:paraId="55BDA975" w14:textId="77777777" w:rsidR="005F66AF" w:rsidRDefault="005F66AF" w:rsidP="00405B57">
            <w:pPr>
              <w:pStyle w:val="Box"/>
              <w:spacing w:before="0" w:line="120" w:lineRule="exact"/>
            </w:pPr>
          </w:p>
        </w:tc>
      </w:tr>
      <w:tr w:rsidR="005F66AF" w:rsidRPr="000863A5" w14:paraId="33028C74" w14:textId="77777777" w:rsidTr="00405B57">
        <w:tc>
          <w:tcPr>
            <w:tcW w:w="5000" w:type="pct"/>
            <w:tcBorders>
              <w:top w:val="single" w:sz="6" w:space="0" w:color="78A22F"/>
              <w:left w:val="nil"/>
              <w:bottom w:val="nil"/>
              <w:right w:val="nil"/>
            </w:tcBorders>
          </w:tcPr>
          <w:p w14:paraId="66A069AA" w14:textId="63132066" w:rsidR="005F66AF" w:rsidRPr="00626D32" w:rsidRDefault="005F66AF" w:rsidP="00405B57">
            <w:pPr>
              <w:pStyle w:val="BoxSpaceBelow"/>
            </w:pPr>
          </w:p>
        </w:tc>
      </w:tr>
    </w:tbl>
    <w:p w14:paraId="2DA4EEC5" w14:textId="71790C14" w:rsidR="00F1431C" w:rsidRDefault="00B37383" w:rsidP="009D1A97">
      <w:pPr>
        <w:pStyle w:val="Heading2"/>
        <w:spacing w:before="480"/>
      </w:pPr>
      <w:r>
        <w:t>6.</w:t>
      </w:r>
      <w:r w:rsidR="00663B7A">
        <w:rPr>
          <w:noProof/>
        </w:rPr>
        <w:t>5</w:t>
      </w:r>
      <w:r w:rsidR="00F1431C">
        <w:tab/>
        <w:t>Modelling satisfaction and trust</w:t>
      </w:r>
    </w:p>
    <w:p w14:paraId="4BD78775" w14:textId="0157E208" w:rsidR="00D14313" w:rsidRDefault="00D14313" w:rsidP="00F1431C">
      <w:pPr>
        <w:pStyle w:val="BodyText"/>
      </w:pPr>
      <w:r>
        <w:t>Members’ superannuation and financial literacy are often seen as important for good decision</w:t>
      </w:r>
      <w:r>
        <w:noBreakHyphen/>
        <w:t>making (chapter 5). Such literacy can also affect the degree to which members are satisfied with the system and can trust their superfund, most likely because improved knowledge reduces uncertainty about the quality of the services provided by super funds.</w:t>
      </w:r>
    </w:p>
    <w:p w14:paraId="368E5481" w14:textId="21A18525" w:rsidR="00F1431C" w:rsidRDefault="00D14313" w:rsidP="00F1431C">
      <w:pPr>
        <w:pStyle w:val="BodyText"/>
      </w:pPr>
      <w:r>
        <w:lastRenderedPageBreak/>
        <w:t>To gain insight into how the various dimension</w:t>
      </w:r>
      <w:r w:rsidR="00754A94">
        <w:t>s</w:t>
      </w:r>
      <w:r>
        <w:t xml:space="preserve"> of literacy may affect members’ perceptions about the </w:t>
      </w:r>
      <w:r w:rsidR="00754A94">
        <w:t xml:space="preserve">performance of the system, </w:t>
      </w:r>
      <w:r>
        <w:t>three indices were constructed:</w:t>
      </w:r>
    </w:p>
    <w:p w14:paraId="0D4CA153" w14:textId="0B6E4928" w:rsidR="00F1431C" w:rsidRDefault="00D14313" w:rsidP="00225A00">
      <w:pPr>
        <w:pStyle w:val="ListBullet"/>
      </w:pPr>
      <w:r>
        <w:t xml:space="preserve">KNOWLEDGE OF </w:t>
      </w:r>
      <w:r w:rsidR="00F1431C">
        <w:t xml:space="preserve">SUPER </w:t>
      </w:r>
      <w:r>
        <w:t xml:space="preserve">is </w:t>
      </w:r>
      <w:r w:rsidR="00F1431C">
        <w:t xml:space="preserve">an index of overall understanding of the system based on a series of questions about people’s knowledge of </w:t>
      </w:r>
      <w:r w:rsidR="00754A94">
        <w:t>superannuation</w:t>
      </w:r>
      <w:r w:rsidR="00F1431C">
        <w:t xml:space="preserve"> and various aspects of their own superfund. </w:t>
      </w:r>
      <w:r w:rsidR="00754A94">
        <w:t>The index</w:t>
      </w:r>
      <w:r w:rsidR="00F1431C">
        <w:t xml:space="preserve"> </w:t>
      </w:r>
      <w:r w:rsidR="00754A94">
        <w:t>is</w:t>
      </w:r>
      <w:r w:rsidR="00F1431C">
        <w:t xml:space="preserve"> based on</w:t>
      </w:r>
      <w:r w:rsidR="00225A00">
        <w:t xml:space="preserve"> members’ </w:t>
      </w:r>
      <w:r w:rsidR="00F1431C">
        <w:t xml:space="preserve">answers to </w:t>
      </w:r>
      <w:proofErr w:type="spellStart"/>
      <w:r w:rsidR="00F1431C">
        <w:t>Q1a</w:t>
      </w:r>
      <w:proofErr w:type="spellEnd"/>
      <w:r w:rsidR="00EA3095">
        <w:t>,</w:t>
      </w:r>
      <w:r w:rsidR="005B1539">
        <w:rPr>
          <w:rStyle w:val="FootnoteReference"/>
        </w:rPr>
        <w:footnoteReference w:id="8"/>
      </w:r>
      <w:r w:rsidR="00F1431C">
        <w:t xml:space="preserve"> </w:t>
      </w:r>
      <w:proofErr w:type="spellStart"/>
      <w:r w:rsidR="00F1431C">
        <w:t>Q1b</w:t>
      </w:r>
      <w:proofErr w:type="spellEnd"/>
      <w:r w:rsidR="00F1431C">
        <w:t xml:space="preserve">, </w:t>
      </w:r>
      <w:proofErr w:type="spellStart"/>
      <w:r w:rsidR="00F1431C">
        <w:t>Q3a</w:t>
      </w:r>
      <w:proofErr w:type="spellEnd"/>
      <w:r w:rsidR="00F1431C">
        <w:t xml:space="preserve">, </w:t>
      </w:r>
      <w:proofErr w:type="spellStart"/>
      <w:r w:rsidR="00F1431C">
        <w:t>Q3e</w:t>
      </w:r>
      <w:proofErr w:type="spellEnd"/>
      <w:r w:rsidR="00F1431C">
        <w:t xml:space="preserve"> and </w:t>
      </w:r>
      <w:proofErr w:type="spellStart"/>
      <w:r w:rsidR="00F1431C">
        <w:t>Q3f</w:t>
      </w:r>
      <w:proofErr w:type="spellEnd"/>
      <w:r w:rsidR="00F1431C">
        <w:t xml:space="preserve"> </w:t>
      </w:r>
      <w:r w:rsidR="00225A00">
        <w:t xml:space="preserve">of the survey. </w:t>
      </w:r>
      <w:r>
        <w:t xml:space="preserve">For example, the questions </w:t>
      </w:r>
      <w:r w:rsidR="00754A94">
        <w:t xml:space="preserve">covered whether employers were required to make super payments, whether superannuation was </w:t>
      </w:r>
      <w:proofErr w:type="spellStart"/>
      <w:r w:rsidR="00754A94">
        <w:t>concessionally</w:t>
      </w:r>
      <w:proofErr w:type="spellEnd"/>
      <w:r w:rsidR="00754A94">
        <w:t xml:space="preserve"> taxed and the age when members can access their balances. </w:t>
      </w:r>
      <w:r w:rsidR="00225A00">
        <w:t>The index</w:t>
      </w:r>
      <w:r w:rsidR="00F1431C">
        <w:t xml:space="preserve"> sums to a score anywhere from 0 to 17</w:t>
      </w:r>
      <w:r w:rsidR="004E07FF">
        <w:t xml:space="preserve"> for any given respondent (with 0 meaning no knowledge, and 17 meaning ‘complete’ knowledge)</w:t>
      </w:r>
      <w:r w:rsidR="00F1431C">
        <w:t xml:space="preserve">. </w:t>
      </w:r>
      <w:r w:rsidR="004E07FF">
        <w:t xml:space="preserve">The index had good internal consistency as measured </w:t>
      </w:r>
      <w:r w:rsidR="00F1431C">
        <w:t xml:space="preserve">by </w:t>
      </w:r>
      <w:proofErr w:type="spellStart"/>
      <w:r w:rsidR="00F1431C">
        <w:t>Cronbach’s</w:t>
      </w:r>
      <w:proofErr w:type="spellEnd"/>
      <w:r w:rsidR="00F1431C">
        <w:t xml:space="preserve"> alpha. </w:t>
      </w:r>
    </w:p>
    <w:p w14:paraId="4FD59311" w14:textId="7018F291" w:rsidR="00F1431C" w:rsidRDefault="00F1431C" w:rsidP="00225A00">
      <w:pPr>
        <w:pStyle w:val="ListBullet"/>
      </w:pPr>
      <w:r>
        <w:t>LITERACY</w:t>
      </w:r>
      <w:r w:rsidR="004E07FF">
        <w:t xml:space="preserve"> is</w:t>
      </w:r>
      <w:r>
        <w:t xml:space="preserve"> an index of finan</w:t>
      </w:r>
      <w:r w:rsidR="004E07FF">
        <w:t>cial literacy, such as an understanding of compound interest rates (</w:t>
      </w:r>
      <w:r>
        <w:t xml:space="preserve">based on </w:t>
      </w:r>
      <w:proofErr w:type="spellStart"/>
      <w:r>
        <w:t>Q27</w:t>
      </w:r>
      <w:proofErr w:type="spellEnd"/>
      <w:r>
        <w:t xml:space="preserve"> to </w:t>
      </w:r>
      <w:proofErr w:type="spellStart"/>
      <w:r>
        <w:t>Q29</w:t>
      </w:r>
      <w:proofErr w:type="spellEnd"/>
      <w:r>
        <w:t xml:space="preserve"> </w:t>
      </w:r>
      <w:r w:rsidR="00BA1C99">
        <w:t xml:space="preserve">of the survey). </w:t>
      </w:r>
      <w:r w:rsidR="004E07FF">
        <w:t>The index sums between 0 and 3 for any given respondent</w:t>
      </w:r>
      <w:r>
        <w:t xml:space="preserve">. </w:t>
      </w:r>
    </w:p>
    <w:p w14:paraId="4F77C991" w14:textId="2F1D1AEA" w:rsidR="00F1431C" w:rsidRDefault="00F1431C" w:rsidP="00225A00">
      <w:pPr>
        <w:pStyle w:val="ListBullet"/>
      </w:pPr>
      <w:r>
        <w:t xml:space="preserve">UNDERSTAND </w:t>
      </w:r>
      <w:r w:rsidR="004E07FF">
        <w:t xml:space="preserve">STATEMENT </w:t>
      </w:r>
      <w:r w:rsidR="00225A00">
        <w:t xml:space="preserve">is </w:t>
      </w:r>
      <w:r>
        <w:t>the extent to which a member can understand their statement (</w:t>
      </w:r>
      <w:proofErr w:type="spellStart"/>
      <w:r>
        <w:t>Q5b</w:t>
      </w:r>
      <w:proofErr w:type="spellEnd"/>
      <w:r>
        <w:t xml:space="preserve">) </w:t>
      </w:r>
      <w:r w:rsidR="00562601">
        <w:t>(</w:t>
      </w:r>
      <w:r>
        <w:t xml:space="preserve">with 1 = fairly or very well, and 0 = not very well to can’t say). </w:t>
      </w:r>
    </w:p>
    <w:p w14:paraId="2CB445A7" w14:textId="3A9B664C" w:rsidR="00225A00" w:rsidRDefault="00F1431C" w:rsidP="004E07FF">
      <w:pPr>
        <w:pStyle w:val="BodyText"/>
      </w:pPr>
      <w:r>
        <w:t xml:space="preserve">All three measures were </w:t>
      </w:r>
      <w:r w:rsidR="00847665">
        <w:t>statistically</w:t>
      </w:r>
      <w:r>
        <w:t xml:space="preserve"> related to the measures of satisfaction</w:t>
      </w:r>
      <w:r w:rsidR="000D5D1C">
        <w:t xml:space="preserve"> </w:t>
      </w:r>
      <w:r>
        <w:t>and trust (figure</w:t>
      </w:r>
      <w:r w:rsidR="00EA3095">
        <w:t>s</w:t>
      </w:r>
      <w:r w:rsidR="0042265A">
        <w:t> </w:t>
      </w:r>
      <w:r w:rsidR="00EA3095">
        <w:t xml:space="preserve">4.1 and </w:t>
      </w:r>
      <w:r>
        <w:t>4.2</w:t>
      </w:r>
      <w:r w:rsidR="00EA3095">
        <w:t>, respectively, in the main report</w:t>
      </w:r>
      <w:r>
        <w:t xml:space="preserve">), with a particularly strong relationship between </w:t>
      </w:r>
      <w:r w:rsidR="00847665">
        <w:t xml:space="preserve">these and the </w:t>
      </w:r>
      <w:r>
        <w:t xml:space="preserve">UNDERSTAND </w:t>
      </w:r>
      <w:r w:rsidR="004E07FF">
        <w:t xml:space="preserve">STATEMENT </w:t>
      </w:r>
      <w:r w:rsidR="00847665">
        <w:t>index</w:t>
      </w:r>
      <w:r>
        <w:t xml:space="preserve">. </w:t>
      </w:r>
      <w:r w:rsidR="0087722A">
        <w:t>While correlation need not imply causation, it seems plausible that improved knowledge leads to better satisfaction and trust (and not the other way around).</w:t>
      </w:r>
    </w:p>
    <w:p w14:paraId="7125F902" w14:textId="3CFA982C" w:rsidR="004A06FB" w:rsidRDefault="004A06FB" w:rsidP="00F1431C">
      <w:pPr>
        <w:pStyle w:val="BodyText"/>
      </w:pPr>
      <w:r>
        <w:t xml:space="preserve">The effects are material. </w:t>
      </w:r>
      <w:r w:rsidR="00BA1C99">
        <w:t>For example:</w:t>
      </w:r>
    </w:p>
    <w:p w14:paraId="417CAA13" w14:textId="3B0ED8C6" w:rsidR="00F1431C" w:rsidRDefault="00BA1C99" w:rsidP="00DE6DFF">
      <w:pPr>
        <w:pStyle w:val="ListBullet"/>
      </w:pPr>
      <w:r>
        <w:t>a</w:t>
      </w:r>
      <w:r w:rsidR="00847665">
        <w:t xml:space="preserve">n </w:t>
      </w:r>
      <w:r w:rsidR="000D5D1C">
        <w:t>ordinary least squares (</w:t>
      </w:r>
      <w:proofErr w:type="spellStart"/>
      <w:r w:rsidR="00847665">
        <w:t>OLS</w:t>
      </w:r>
      <w:proofErr w:type="spellEnd"/>
      <w:r w:rsidR="000D5D1C">
        <w:t>)</w:t>
      </w:r>
      <w:r w:rsidR="00F1431C">
        <w:t xml:space="preserve"> regression of satisfaction on </w:t>
      </w:r>
      <w:r w:rsidR="0087722A">
        <w:t xml:space="preserve">the </w:t>
      </w:r>
      <w:r w:rsidR="00F1431C">
        <w:t>UNDERSTAND</w:t>
      </w:r>
      <w:r w:rsidR="00847665">
        <w:t xml:space="preserve"> STATEMENT</w:t>
      </w:r>
      <w:r w:rsidR="00F1431C">
        <w:t xml:space="preserve"> </w:t>
      </w:r>
      <w:r w:rsidR="0087722A">
        <w:t xml:space="preserve">index </w:t>
      </w:r>
      <w:r w:rsidR="004A06FB">
        <w:t xml:space="preserve">provides an indication of the impact. The results </w:t>
      </w:r>
      <w:r w:rsidR="00F1431C">
        <w:t xml:space="preserve">showed that having some understanding of </w:t>
      </w:r>
      <w:r w:rsidR="00847665">
        <w:t xml:space="preserve">a member’s superannuation </w:t>
      </w:r>
      <w:r w:rsidR="00F1431C">
        <w:t>statement increased satisfaction by about 1.6 points. Given that the average satisfaction level is 7</w:t>
      </w:r>
      <w:r w:rsidR="0087722A">
        <w:t xml:space="preserve"> out of 10</w:t>
      </w:r>
      <w:r w:rsidR="00F1431C">
        <w:t>, this represents a significant increase. Much the same effect was apparent for a measure of trust, where the gain was about 1.5</w:t>
      </w:r>
      <w:r w:rsidR="00EA3095">
        <w:t> </w:t>
      </w:r>
      <w:r w:rsidR="00847665">
        <w:t xml:space="preserve">points on a scale from 0 to 10, which again is a significant impact given that the </w:t>
      </w:r>
      <w:r w:rsidR="00F1431C">
        <w:t xml:space="preserve">average score </w:t>
      </w:r>
      <w:r w:rsidR="00847665">
        <w:t xml:space="preserve">for trust was </w:t>
      </w:r>
      <w:r w:rsidR="00F1431C">
        <w:t>6.8</w:t>
      </w:r>
      <w:r w:rsidR="00847665">
        <w:t xml:space="preserve"> out of 10</w:t>
      </w:r>
      <w:r w:rsidR="00F1431C">
        <w:t xml:space="preserve"> </w:t>
      </w:r>
    </w:p>
    <w:p w14:paraId="77B2D8F5" w14:textId="1D0F9B01" w:rsidR="00F1431C" w:rsidRPr="009D1A97" w:rsidRDefault="00BA1C99" w:rsidP="00DE6DFF">
      <w:pPr>
        <w:pStyle w:val="ListBullet"/>
        <w:rPr>
          <w:spacing w:val="-2"/>
        </w:rPr>
      </w:pPr>
      <w:r w:rsidRPr="009D1A97">
        <w:rPr>
          <w:spacing w:val="-2"/>
        </w:rPr>
        <w:t>w</w:t>
      </w:r>
      <w:r w:rsidR="0087722A" w:rsidRPr="009D1A97">
        <w:rPr>
          <w:spacing w:val="-2"/>
        </w:rPr>
        <w:t xml:space="preserve">hile </w:t>
      </w:r>
      <w:r w:rsidR="004A06FB" w:rsidRPr="009D1A97">
        <w:rPr>
          <w:spacing w:val="-2"/>
        </w:rPr>
        <w:t>more complex</w:t>
      </w:r>
      <w:r w:rsidR="0087722A" w:rsidRPr="009D1A97">
        <w:rPr>
          <w:spacing w:val="-2"/>
        </w:rPr>
        <w:t xml:space="preserve">, an </w:t>
      </w:r>
      <w:r w:rsidR="004A06FB" w:rsidRPr="009D1A97">
        <w:rPr>
          <w:spacing w:val="-2"/>
        </w:rPr>
        <w:t>alternative</w:t>
      </w:r>
      <w:r w:rsidR="0087722A" w:rsidRPr="009D1A97">
        <w:rPr>
          <w:spacing w:val="-2"/>
        </w:rPr>
        <w:t xml:space="preserve">, more rigorous approach is to undertake ordered logistic regression </w:t>
      </w:r>
      <w:r w:rsidR="004A06FB" w:rsidRPr="009D1A97">
        <w:rPr>
          <w:spacing w:val="-2"/>
        </w:rPr>
        <w:t xml:space="preserve">of measures of trust and confidence against the various indexes above. Unlike </w:t>
      </w:r>
      <w:proofErr w:type="spellStart"/>
      <w:r w:rsidR="004A06FB" w:rsidRPr="009D1A97">
        <w:rPr>
          <w:spacing w:val="-2"/>
        </w:rPr>
        <w:t>OLS</w:t>
      </w:r>
      <w:proofErr w:type="spellEnd"/>
      <w:r w:rsidR="004A06FB" w:rsidRPr="009D1A97">
        <w:rPr>
          <w:spacing w:val="-2"/>
        </w:rPr>
        <w:t xml:space="preserve">, this approach takes account of the fact that satisfaction and trust measures are bounded and ordered count variables. </w:t>
      </w:r>
      <w:r w:rsidR="00F1431C" w:rsidRPr="009D1A97">
        <w:rPr>
          <w:spacing w:val="-2"/>
        </w:rPr>
        <w:t xml:space="preserve">There is no simple analogue to </w:t>
      </w:r>
      <w:r w:rsidR="00BA439F" w:rsidRPr="009D1A97">
        <w:rPr>
          <w:spacing w:val="-2"/>
        </w:rPr>
        <w:t xml:space="preserve">the impacts suggested by the </w:t>
      </w:r>
      <w:proofErr w:type="spellStart"/>
      <w:r w:rsidR="00BA439F" w:rsidRPr="009D1A97">
        <w:rPr>
          <w:spacing w:val="-2"/>
        </w:rPr>
        <w:t>OLS</w:t>
      </w:r>
      <w:proofErr w:type="spellEnd"/>
      <w:r w:rsidR="00BA439F" w:rsidRPr="009D1A97">
        <w:rPr>
          <w:spacing w:val="-2"/>
        </w:rPr>
        <w:t xml:space="preserve"> regression above</w:t>
      </w:r>
      <w:r w:rsidR="00F1431C" w:rsidRPr="009D1A97">
        <w:rPr>
          <w:spacing w:val="-2"/>
        </w:rPr>
        <w:t>, but an indicative result from an ordered regression is that the probability of getting a score of 10 out of 10 on satisfaction i</w:t>
      </w:r>
      <w:r w:rsidR="00BA439F" w:rsidRPr="009D1A97">
        <w:rPr>
          <w:spacing w:val="-2"/>
        </w:rPr>
        <w:t>ncreases from 4 per </w:t>
      </w:r>
      <w:r w:rsidR="00F1431C" w:rsidRPr="009D1A97">
        <w:rPr>
          <w:spacing w:val="-2"/>
        </w:rPr>
        <w:t>cent (if there</w:t>
      </w:r>
      <w:r w:rsidR="00BA439F" w:rsidRPr="009D1A97">
        <w:rPr>
          <w:spacing w:val="-2"/>
        </w:rPr>
        <w:t xml:space="preserve"> is a weak understanding) to 14 per </w:t>
      </w:r>
      <w:r w:rsidR="00F1431C" w:rsidRPr="009D1A97">
        <w:rPr>
          <w:spacing w:val="-2"/>
        </w:rPr>
        <w:t xml:space="preserve">cent </w:t>
      </w:r>
      <w:r w:rsidR="00562601" w:rsidRPr="009D1A97">
        <w:rPr>
          <w:spacing w:val="-2"/>
        </w:rPr>
        <w:t>(</w:t>
      </w:r>
      <w:r w:rsidR="00F1431C" w:rsidRPr="009D1A97">
        <w:rPr>
          <w:spacing w:val="-2"/>
        </w:rPr>
        <w:t>if there is a good understanding</w:t>
      </w:r>
      <w:r w:rsidR="00562601" w:rsidRPr="009D1A97">
        <w:rPr>
          <w:spacing w:val="-2"/>
        </w:rPr>
        <w:t>)</w:t>
      </w:r>
      <w:r w:rsidR="00F1431C" w:rsidRPr="009D1A97">
        <w:rPr>
          <w:spacing w:val="-2"/>
        </w:rPr>
        <w:t xml:space="preserve">. Overall, the probability of getting a scale of 9 or 10 in the satisfaction measure is around 30 per cent if there is </w:t>
      </w:r>
      <w:r w:rsidR="002049BD" w:rsidRPr="009D1A97">
        <w:rPr>
          <w:spacing w:val="-2"/>
        </w:rPr>
        <w:t>a good understanding and 10 per </w:t>
      </w:r>
      <w:r w:rsidR="00F1431C" w:rsidRPr="009D1A97">
        <w:rPr>
          <w:spacing w:val="-2"/>
        </w:rPr>
        <w:t>cent otherwise.</w:t>
      </w:r>
      <w:r w:rsidR="00DE6DFF" w:rsidRPr="009D1A97">
        <w:rPr>
          <w:spacing w:val="-2"/>
        </w:rPr>
        <w:t xml:space="preserve"> </w:t>
      </w:r>
    </w:p>
    <w:p w14:paraId="66D6B9AE" w14:textId="23990BD2" w:rsidR="00CE2BB5" w:rsidRDefault="00391CDC" w:rsidP="00E25D54">
      <w:pPr>
        <w:pStyle w:val="Heading2"/>
      </w:pPr>
      <w:r>
        <w:lastRenderedPageBreak/>
        <w:t>References</w:t>
      </w:r>
    </w:p>
    <w:p w14:paraId="1BABF044" w14:textId="6E58A67D" w:rsidR="00C9513C" w:rsidRPr="00C9513C" w:rsidRDefault="00C9513C" w:rsidP="009D1A97">
      <w:pPr>
        <w:pStyle w:val="Reference"/>
        <w:spacing w:before="360"/>
      </w:pPr>
      <w:r w:rsidRPr="00C9513C">
        <w:t xml:space="preserve">ABS (Australian Bureau of Statistics) </w:t>
      </w:r>
      <w:proofErr w:type="spellStart"/>
      <w:r w:rsidRPr="00C9513C">
        <w:t>2017a</w:t>
      </w:r>
      <w:proofErr w:type="spellEnd"/>
      <w:r w:rsidRPr="00C9513C">
        <w:t xml:space="preserve">, </w:t>
      </w:r>
      <w:r w:rsidRPr="00C9513C">
        <w:rPr>
          <w:i/>
          <w:iCs/>
        </w:rPr>
        <w:t>2016 Census</w:t>
      </w:r>
      <w:r w:rsidRPr="00C9513C">
        <w:t>, Cat. no. 2071.0.</w:t>
      </w:r>
    </w:p>
    <w:p w14:paraId="2E2D0F9C" w14:textId="77777777" w:rsidR="00C9513C" w:rsidRPr="00C9513C" w:rsidRDefault="00C9513C" w:rsidP="009D1A97">
      <w:pPr>
        <w:pStyle w:val="Reference"/>
      </w:pPr>
      <w:r w:rsidRPr="00C9513C">
        <w:t xml:space="preserve">—— (Australian Bureau of Statistics) </w:t>
      </w:r>
      <w:proofErr w:type="spellStart"/>
      <w:r w:rsidRPr="00C9513C">
        <w:t>2017b</w:t>
      </w:r>
      <w:proofErr w:type="spellEnd"/>
      <w:r w:rsidRPr="00C9513C">
        <w:t xml:space="preserve">, </w:t>
      </w:r>
      <w:r w:rsidRPr="00C9513C">
        <w:rPr>
          <w:i/>
          <w:iCs/>
        </w:rPr>
        <w:t>Average Weekly Earnings, Australia, May 2017</w:t>
      </w:r>
      <w:r w:rsidRPr="00C9513C">
        <w:t>, Cat. no. 6302.0, Canberra.</w:t>
      </w:r>
    </w:p>
    <w:p w14:paraId="11BCA246" w14:textId="77777777" w:rsidR="00C9513C" w:rsidRPr="00C9513C" w:rsidRDefault="00C9513C" w:rsidP="009D1A97">
      <w:pPr>
        <w:pStyle w:val="Reference"/>
      </w:pPr>
      <w:r w:rsidRPr="00C9513C">
        <w:t xml:space="preserve">—— (Australian Bureau of Statistics) </w:t>
      </w:r>
      <w:proofErr w:type="spellStart"/>
      <w:r w:rsidRPr="00C9513C">
        <w:t>2017c</w:t>
      </w:r>
      <w:proofErr w:type="spellEnd"/>
      <w:r w:rsidRPr="00C9513C">
        <w:t xml:space="preserve">, </w:t>
      </w:r>
      <w:r w:rsidRPr="00C9513C">
        <w:rPr>
          <w:i/>
          <w:iCs/>
        </w:rPr>
        <w:t>Employee Earnings and Hours, Australia, May 2016</w:t>
      </w:r>
      <w:r w:rsidRPr="00C9513C">
        <w:t>, Cat. no. 6306.0.</w:t>
      </w:r>
    </w:p>
    <w:p w14:paraId="0CAA1FAA" w14:textId="77777777" w:rsidR="00C9513C" w:rsidRPr="00C9513C" w:rsidRDefault="00C9513C" w:rsidP="009D1A97">
      <w:pPr>
        <w:pStyle w:val="Reference"/>
      </w:pPr>
      <w:r w:rsidRPr="00C9513C">
        <w:t xml:space="preserve">—— (Australian Bureau of Statistics) </w:t>
      </w:r>
      <w:proofErr w:type="spellStart"/>
      <w:r w:rsidRPr="00C9513C">
        <w:t>2017d</w:t>
      </w:r>
      <w:proofErr w:type="spellEnd"/>
      <w:r w:rsidRPr="00C9513C">
        <w:t xml:space="preserve">, </w:t>
      </w:r>
      <w:r w:rsidRPr="00C9513C">
        <w:rPr>
          <w:i/>
          <w:iCs/>
        </w:rPr>
        <w:t>Life Tables, States, Territories and Australia, 2014-2016</w:t>
      </w:r>
      <w:r w:rsidRPr="00C9513C">
        <w:t>, Cat. no. 3302, Canberra.</w:t>
      </w:r>
    </w:p>
    <w:p w14:paraId="758D7420" w14:textId="77777777" w:rsidR="00C9513C" w:rsidRPr="00C9513C" w:rsidRDefault="00C9513C" w:rsidP="009D1A97">
      <w:pPr>
        <w:pStyle w:val="Reference"/>
      </w:pPr>
      <w:r w:rsidRPr="00C9513C">
        <w:t xml:space="preserve">—— (Australian Bureau of Statistics) </w:t>
      </w:r>
      <w:proofErr w:type="spellStart"/>
      <w:r w:rsidRPr="00C9513C">
        <w:t>2017e</w:t>
      </w:r>
      <w:proofErr w:type="spellEnd"/>
      <w:r w:rsidRPr="00C9513C">
        <w:t xml:space="preserve">, </w:t>
      </w:r>
      <w:r w:rsidRPr="00C9513C">
        <w:rPr>
          <w:i/>
          <w:iCs/>
        </w:rPr>
        <w:t>Participation, Job Search and Mobility, Australia, February 2017</w:t>
      </w:r>
      <w:r w:rsidRPr="00C9513C">
        <w:t>, Cat. no. 6226.0.</w:t>
      </w:r>
    </w:p>
    <w:p w14:paraId="4EACF8BE" w14:textId="77777777" w:rsidR="00C9513C" w:rsidRPr="00C9513C" w:rsidRDefault="00C9513C" w:rsidP="009D1A97">
      <w:pPr>
        <w:pStyle w:val="Reference"/>
      </w:pPr>
      <w:r w:rsidRPr="00C9513C">
        <w:t xml:space="preserve">—— (Australian Bureau of Statistics) 2018, </w:t>
      </w:r>
      <w:r w:rsidRPr="00C9513C">
        <w:rPr>
          <w:i/>
          <w:iCs/>
        </w:rPr>
        <w:t>Labour Force, Australia, Detailed - Electronic Delivery, March 2018</w:t>
      </w:r>
      <w:r w:rsidRPr="00C9513C">
        <w:t>, Cat. no. 6291.0.55.001, Canberra.</w:t>
      </w:r>
    </w:p>
    <w:p w14:paraId="5CCF7A72" w14:textId="77777777" w:rsidR="00C9513C" w:rsidRPr="00C9513C" w:rsidRDefault="00C9513C" w:rsidP="009D1A97">
      <w:pPr>
        <w:pStyle w:val="Reference"/>
      </w:pPr>
      <w:proofErr w:type="spellStart"/>
      <w:r w:rsidRPr="00C9513C">
        <w:t>Breusch</w:t>
      </w:r>
      <w:proofErr w:type="spellEnd"/>
      <w:r w:rsidRPr="00C9513C">
        <w:t xml:space="preserve">, T. and </w:t>
      </w:r>
      <w:proofErr w:type="spellStart"/>
      <w:r w:rsidRPr="00C9513C">
        <w:t>Gray</w:t>
      </w:r>
      <w:proofErr w:type="spellEnd"/>
      <w:r w:rsidRPr="00C9513C">
        <w:t xml:space="preserve">, E. 2004, ‘New estimates of mothers’ forgone earnings using HILDA data’, </w:t>
      </w:r>
      <w:r w:rsidRPr="00C9513C">
        <w:rPr>
          <w:i/>
          <w:iCs/>
        </w:rPr>
        <w:t>Australian Journal of Labour Economics</w:t>
      </w:r>
      <w:r w:rsidRPr="00C9513C">
        <w:t>, vol. 7, no. 2, pp. 125–150.</w:t>
      </w:r>
    </w:p>
    <w:p w14:paraId="1E99570F" w14:textId="77777777" w:rsidR="00C9513C" w:rsidRPr="00C9513C" w:rsidRDefault="00C9513C" w:rsidP="009D1A97">
      <w:pPr>
        <w:pStyle w:val="Reference"/>
      </w:pPr>
      <w:proofErr w:type="spellStart"/>
      <w:r w:rsidRPr="00C9513C">
        <w:t>Cai</w:t>
      </w:r>
      <w:proofErr w:type="spellEnd"/>
      <w:r w:rsidRPr="00C9513C">
        <w:t xml:space="preserve">, L. 2007, </w:t>
      </w:r>
      <w:r w:rsidRPr="00C9513C">
        <w:rPr>
          <w:i/>
          <w:iCs/>
        </w:rPr>
        <w:t>Effects of Health on Wages of Australian Men</w:t>
      </w:r>
      <w:r w:rsidRPr="00C9513C">
        <w:t>, Melbourne Institute Working Paper No. 2/07, Melbourne Institute of Applied Economic and Social Research, Melbourne University, Melbourne.</w:t>
      </w:r>
    </w:p>
    <w:p w14:paraId="7BADA6A6" w14:textId="77777777" w:rsidR="00C9513C" w:rsidRPr="00C9513C" w:rsidRDefault="00C9513C" w:rsidP="009D1A97">
      <w:pPr>
        <w:pStyle w:val="Reference"/>
      </w:pPr>
      <w:r w:rsidRPr="00C9513C">
        <w:t xml:space="preserve">Forbes, M., Barker, A. and Turner, S. 2010, </w:t>
      </w:r>
      <w:r w:rsidRPr="00C9513C">
        <w:rPr>
          <w:i/>
          <w:iCs/>
        </w:rPr>
        <w:t>The Effects of Education and Health on Wages and Productivity</w:t>
      </w:r>
      <w:r w:rsidRPr="00C9513C">
        <w:t>, Productivity Commission Staff Working Paper, Canberra.</w:t>
      </w:r>
    </w:p>
    <w:p w14:paraId="4FDF2417" w14:textId="77777777" w:rsidR="00C9513C" w:rsidRPr="00C9513C" w:rsidRDefault="00C9513C" w:rsidP="009D1A97">
      <w:pPr>
        <w:pStyle w:val="Reference"/>
      </w:pPr>
      <w:proofErr w:type="spellStart"/>
      <w:r w:rsidRPr="00C9513C">
        <w:t>Ganegoda</w:t>
      </w:r>
      <w:proofErr w:type="spellEnd"/>
      <w:r w:rsidRPr="00C9513C">
        <w:t xml:space="preserve">, A. and Evans, J. 2015, </w:t>
      </w:r>
      <w:r w:rsidRPr="00C9513C">
        <w:rPr>
          <w:i/>
          <w:iCs/>
        </w:rPr>
        <w:t>The Australian Retirement Lottery: A System Failure</w:t>
      </w:r>
      <w:r w:rsidRPr="00C9513C">
        <w:t>, Sydney Business School Papers, University of Wollongong.</w:t>
      </w:r>
    </w:p>
    <w:p w14:paraId="3E7874E0" w14:textId="77777777" w:rsidR="00C9513C" w:rsidRPr="00C9513C" w:rsidRDefault="00C9513C" w:rsidP="009D1A97">
      <w:pPr>
        <w:pStyle w:val="Reference"/>
      </w:pPr>
      <w:proofErr w:type="spellStart"/>
      <w:r w:rsidRPr="00C9513C">
        <w:t>Kontis</w:t>
      </w:r>
      <w:proofErr w:type="spellEnd"/>
      <w:r w:rsidRPr="00C9513C">
        <w:t xml:space="preserve">, V., Bennett, </w:t>
      </w:r>
      <w:proofErr w:type="spellStart"/>
      <w:r w:rsidRPr="00C9513C">
        <w:t>J.E</w:t>
      </w:r>
      <w:proofErr w:type="spellEnd"/>
      <w:r w:rsidRPr="00C9513C">
        <w:t xml:space="preserve">., </w:t>
      </w:r>
      <w:proofErr w:type="spellStart"/>
      <w:r w:rsidRPr="00C9513C">
        <w:t>Mathers</w:t>
      </w:r>
      <w:proofErr w:type="spellEnd"/>
      <w:r w:rsidRPr="00C9513C">
        <w:t xml:space="preserve">, C.D., Li, G., Foreman, K. and </w:t>
      </w:r>
      <w:proofErr w:type="spellStart"/>
      <w:r w:rsidRPr="00C9513C">
        <w:t>Ezzati</w:t>
      </w:r>
      <w:proofErr w:type="spellEnd"/>
      <w:r w:rsidRPr="00C9513C">
        <w:t xml:space="preserve">, M. 2017, ‘Future life expectancy in 35 industrialised countries: projections with a Bayesian model ensemble’, </w:t>
      </w:r>
      <w:r w:rsidRPr="00C9513C">
        <w:rPr>
          <w:i/>
          <w:iCs/>
        </w:rPr>
        <w:t>The Lancet</w:t>
      </w:r>
      <w:r w:rsidRPr="00C9513C">
        <w:t>, vol. 389, no. 10076, pp. 1323–1335.</w:t>
      </w:r>
    </w:p>
    <w:p w14:paraId="2E288C25" w14:textId="77777777" w:rsidR="00C9513C" w:rsidRPr="00C9513C" w:rsidRDefault="00C9513C" w:rsidP="009D1A97">
      <w:pPr>
        <w:pStyle w:val="Reference"/>
      </w:pPr>
      <w:proofErr w:type="spellStart"/>
      <w:r w:rsidRPr="00C9513C">
        <w:t>Politis</w:t>
      </w:r>
      <w:proofErr w:type="spellEnd"/>
      <w:r w:rsidRPr="00C9513C">
        <w:t xml:space="preserve">, </w:t>
      </w:r>
      <w:proofErr w:type="spellStart"/>
      <w:r w:rsidRPr="00C9513C">
        <w:t>D.N</w:t>
      </w:r>
      <w:proofErr w:type="spellEnd"/>
      <w:r w:rsidRPr="00C9513C">
        <w:t xml:space="preserve">. and Romano, J.P. 1994, ‘The Stationary Bootstrap’, </w:t>
      </w:r>
      <w:r w:rsidRPr="00C9513C">
        <w:rPr>
          <w:i/>
          <w:iCs/>
        </w:rPr>
        <w:t>Journal of the American Statistical Association</w:t>
      </w:r>
      <w:r w:rsidRPr="00C9513C">
        <w:t>, vol. 89, no. 428, pp. 1303–1313.</w:t>
      </w:r>
    </w:p>
    <w:p w14:paraId="649527F4" w14:textId="77777777" w:rsidR="00C9513C" w:rsidRPr="009D1A97" w:rsidRDefault="00C9513C" w:rsidP="009D1A97">
      <w:pPr>
        <w:pStyle w:val="Reference"/>
        <w:rPr>
          <w:spacing w:val="-4"/>
        </w:rPr>
      </w:pPr>
      <w:r w:rsidRPr="009D1A97">
        <w:rPr>
          <w:spacing w:val="-4"/>
        </w:rPr>
        <w:t xml:space="preserve">Sinning, M. 2014, </w:t>
      </w:r>
      <w:r w:rsidRPr="009D1A97">
        <w:rPr>
          <w:i/>
          <w:iCs/>
          <w:spacing w:val="-4"/>
        </w:rPr>
        <w:t>How Much Is It Worth? New Estimates of Private Returns to University Education in Australia</w:t>
      </w:r>
      <w:r w:rsidRPr="009D1A97">
        <w:rPr>
          <w:spacing w:val="-4"/>
        </w:rPr>
        <w:t xml:space="preserve">, Final Report, December, University of Queensland, </w:t>
      </w:r>
      <w:proofErr w:type="spellStart"/>
      <w:r w:rsidRPr="009D1A97">
        <w:rPr>
          <w:spacing w:val="-4"/>
        </w:rPr>
        <w:t>RWI</w:t>
      </w:r>
      <w:proofErr w:type="spellEnd"/>
      <w:r w:rsidRPr="009D1A97">
        <w:rPr>
          <w:spacing w:val="-4"/>
        </w:rPr>
        <w:t xml:space="preserve"> and </w:t>
      </w:r>
      <w:proofErr w:type="spellStart"/>
      <w:r w:rsidRPr="009D1A97">
        <w:rPr>
          <w:spacing w:val="-4"/>
        </w:rPr>
        <w:t>IZA</w:t>
      </w:r>
      <w:proofErr w:type="spellEnd"/>
      <w:r w:rsidRPr="009D1A97">
        <w:rPr>
          <w:spacing w:val="-4"/>
        </w:rPr>
        <w:t>.</w:t>
      </w:r>
    </w:p>
    <w:p w14:paraId="492AA48A" w14:textId="77777777" w:rsidR="00C9513C" w:rsidRPr="00C9513C" w:rsidRDefault="00C9513C" w:rsidP="009D1A97">
      <w:pPr>
        <w:pStyle w:val="Reference"/>
      </w:pPr>
      <w:r w:rsidRPr="00C9513C">
        <w:t xml:space="preserve">Treasury 2015, </w:t>
      </w:r>
      <w:r w:rsidRPr="00C9513C">
        <w:rPr>
          <w:i/>
          <w:iCs/>
        </w:rPr>
        <w:t>Intergenerational Report</w:t>
      </w:r>
      <w:r w:rsidRPr="00C9513C">
        <w:t>, Australian Government, Canberra.</w:t>
      </w:r>
    </w:p>
    <w:p w14:paraId="03F7275D" w14:textId="77777777" w:rsidR="00C9513C" w:rsidRPr="00C9513C" w:rsidRDefault="00C9513C" w:rsidP="009D1A97">
      <w:pPr>
        <w:pStyle w:val="Reference"/>
      </w:pPr>
      <w:r w:rsidRPr="00C9513C">
        <w:t xml:space="preserve">Vanguard 2017, </w:t>
      </w:r>
      <w:r w:rsidRPr="00C9513C">
        <w:rPr>
          <w:i/>
          <w:iCs/>
        </w:rPr>
        <w:t>The Power of Perspective: Vanguard 2017 Index Chart</w:t>
      </w:r>
      <w:r w:rsidRPr="00C9513C">
        <w:t>.</w:t>
      </w:r>
    </w:p>
    <w:p w14:paraId="3BADDD79" w14:textId="77777777" w:rsidR="00C9513C" w:rsidRPr="00C9513C" w:rsidRDefault="00C9513C" w:rsidP="009D1A97">
      <w:pPr>
        <w:pStyle w:val="Reference"/>
      </w:pPr>
      <w:r w:rsidRPr="00C9513C">
        <w:t xml:space="preserve">Wei, H. 2010, </w:t>
      </w:r>
      <w:r w:rsidRPr="00C9513C">
        <w:rPr>
          <w:i/>
          <w:iCs/>
        </w:rPr>
        <w:t>Measuring Economic Returns to Post-School Education in Australia</w:t>
      </w:r>
      <w:r w:rsidRPr="00C9513C">
        <w:t>, Research Paper, Cat.  1351.0.55.032, Australian Bureau of Statistics, Canberra.</w:t>
      </w:r>
    </w:p>
    <w:p w14:paraId="602BB056" w14:textId="28D3A27A" w:rsidR="007573FF" w:rsidRPr="007573FF" w:rsidRDefault="00C9513C" w:rsidP="009D1A97">
      <w:pPr>
        <w:pStyle w:val="Reference"/>
      </w:pPr>
      <w:r w:rsidRPr="00C9513C">
        <w:t xml:space="preserve">Yu, P. 2004, </w:t>
      </w:r>
      <w:r w:rsidRPr="00C9513C">
        <w:rPr>
          <w:i/>
          <w:iCs/>
        </w:rPr>
        <w:t>Return to Education for Australian Male Workers: An Estimate with HILDA</w:t>
      </w:r>
      <w:r w:rsidRPr="00C9513C">
        <w:t>, Australian National University, Canberra.</w:t>
      </w:r>
    </w:p>
    <w:sectPr w:rsidR="007573FF" w:rsidRPr="007573FF" w:rsidSect="00E31B81">
      <w:headerReference w:type="even" r:id="rId19"/>
      <w:headerReference w:type="default" r:id="rId20"/>
      <w:footerReference w:type="even" r:id="rId21"/>
      <w:footerReference w:type="default" r:id="rId22"/>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D8055" w14:textId="77777777" w:rsidR="001F33CB" w:rsidRDefault="001F33CB">
      <w:r>
        <w:separator/>
      </w:r>
    </w:p>
  </w:endnote>
  <w:endnote w:type="continuationSeparator" w:id="0">
    <w:p w14:paraId="03BA8F10" w14:textId="77777777" w:rsidR="001F33CB" w:rsidRDefault="001F33CB">
      <w:r>
        <w:continuationSeparator/>
      </w:r>
    </w:p>
  </w:endnote>
  <w:endnote w:type="continuationNotice" w:id="1">
    <w:p w14:paraId="09B00987" w14:textId="77777777" w:rsidR="001F33CB" w:rsidRDefault="001F3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1F33CB" w14:paraId="50DC2015" w14:textId="77777777" w:rsidTr="005F48ED">
      <w:trPr>
        <w:trHeight w:hRule="exact" w:val="567"/>
      </w:trPr>
      <w:tc>
        <w:tcPr>
          <w:tcW w:w="510" w:type="dxa"/>
        </w:tcPr>
        <w:p w14:paraId="50DC2012" w14:textId="77777777" w:rsidR="001F33CB" w:rsidRPr="00A24443" w:rsidRDefault="001F33CB"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A46E6">
            <w:rPr>
              <w:rStyle w:val="PageNumber"/>
              <w:caps w:val="0"/>
              <w:noProof/>
            </w:rPr>
            <w:t>14</w:t>
          </w:r>
          <w:r w:rsidRPr="00A24443">
            <w:rPr>
              <w:rStyle w:val="PageNumber"/>
              <w:caps w:val="0"/>
            </w:rPr>
            <w:fldChar w:fldCharType="end"/>
          </w:r>
        </w:p>
      </w:tc>
      <w:tc>
        <w:tcPr>
          <w:tcW w:w="7767" w:type="dxa"/>
        </w:tcPr>
        <w:p w14:paraId="50DC2013" w14:textId="5002CFC7" w:rsidR="001F33CB" w:rsidRPr="0013739A" w:rsidRDefault="00663B7A" w:rsidP="0013739A">
          <w:pPr>
            <w:pStyle w:val="Footer"/>
            <w:rPr>
              <w:rFonts w:cs="Arial"/>
            </w:rPr>
          </w:pPr>
          <w:r>
            <w:rPr>
              <w:rFonts w:cs="Arial"/>
            </w:rPr>
            <w:t>Superannuation: efficiency and competitiveness</w:t>
          </w:r>
          <w:bookmarkStart w:id="6" w:name="DraftReportEven"/>
          <w:bookmarkEnd w:id="6"/>
        </w:p>
      </w:tc>
      <w:tc>
        <w:tcPr>
          <w:tcW w:w="510" w:type="dxa"/>
        </w:tcPr>
        <w:p w14:paraId="50DC2014" w14:textId="77777777" w:rsidR="001F33CB" w:rsidRDefault="001F33CB" w:rsidP="0019293B">
          <w:pPr>
            <w:pStyle w:val="Footer"/>
          </w:pPr>
        </w:p>
      </w:tc>
    </w:tr>
  </w:tbl>
  <w:p w14:paraId="50DC2016" w14:textId="77777777" w:rsidR="001F33CB" w:rsidRDefault="001F33CB"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1F33CB" w14:paraId="50DC201A" w14:textId="77777777" w:rsidTr="005F48ED">
      <w:trPr>
        <w:trHeight w:hRule="exact" w:val="567"/>
      </w:trPr>
      <w:tc>
        <w:tcPr>
          <w:tcW w:w="510" w:type="dxa"/>
        </w:tcPr>
        <w:p w14:paraId="50DC2017" w14:textId="77777777" w:rsidR="001F33CB" w:rsidRDefault="001F33CB">
          <w:pPr>
            <w:pStyle w:val="Footer"/>
            <w:ind w:right="360" w:firstLine="360"/>
          </w:pPr>
        </w:p>
      </w:tc>
      <w:tc>
        <w:tcPr>
          <w:tcW w:w="7767" w:type="dxa"/>
        </w:tcPr>
        <w:p w14:paraId="50DC2018" w14:textId="5E3806B9" w:rsidR="001F33CB" w:rsidRPr="00BA5B14" w:rsidRDefault="00663B7A" w:rsidP="0013739A">
          <w:pPr>
            <w:pStyle w:val="Footer"/>
            <w:jc w:val="right"/>
            <w:rPr>
              <w:rFonts w:cs="Arial"/>
            </w:rPr>
          </w:pPr>
          <w:r>
            <w:rPr>
              <w:rFonts w:cs="Arial"/>
            </w:rPr>
            <w:t>Technical supplement 6</w:t>
          </w:r>
          <w:bookmarkStart w:id="7" w:name="DraftReportOdd"/>
          <w:bookmarkEnd w:id="7"/>
        </w:p>
      </w:tc>
      <w:tc>
        <w:tcPr>
          <w:tcW w:w="510" w:type="dxa"/>
        </w:tcPr>
        <w:p w14:paraId="50DC2019" w14:textId="77777777" w:rsidR="001F33CB" w:rsidRPr="00A24443" w:rsidRDefault="001F33CB">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A46E6">
            <w:rPr>
              <w:rStyle w:val="PageNumber"/>
              <w:caps w:val="0"/>
              <w:noProof/>
            </w:rPr>
            <w:t>13</w:t>
          </w:r>
          <w:r w:rsidRPr="00A24443">
            <w:rPr>
              <w:rStyle w:val="PageNumber"/>
              <w:caps w:val="0"/>
            </w:rPr>
            <w:fldChar w:fldCharType="end"/>
          </w:r>
        </w:p>
      </w:tc>
    </w:tr>
  </w:tbl>
  <w:p w14:paraId="50DC201B" w14:textId="77777777" w:rsidR="001F33CB" w:rsidRDefault="001F33CB">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F3778" w14:textId="77777777" w:rsidR="001F33CB" w:rsidRDefault="001F33CB">
      <w:r>
        <w:separator/>
      </w:r>
    </w:p>
  </w:footnote>
  <w:footnote w:type="continuationSeparator" w:id="0">
    <w:p w14:paraId="293953F7" w14:textId="77777777" w:rsidR="001F33CB" w:rsidRDefault="001F33CB">
      <w:r>
        <w:continuationSeparator/>
      </w:r>
    </w:p>
  </w:footnote>
  <w:footnote w:type="continuationNotice" w:id="1">
    <w:p w14:paraId="7BCAFB16" w14:textId="77777777" w:rsidR="001F33CB" w:rsidRDefault="001F33CB" w:rsidP="000452F1">
      <w:pPr>
        <w:spacing w:line="120" w:lineRule="exact"/>
      </w:pPr>
    </w:p>
  </w:footnote>
  <w:footnote w:id="2">
    <w:p w14:paraId="21DFF1E3" w14:textId="7486AF99" w:rsidR="001F33CB" w:rsidRPr="00BA6D3C" w:rsidRDefault="001F33CB">
      <w:pPr>
        <w:pStyle w:val="FootnoteText"/>
      </w:pPr>
      <w:r>
        <w:rPr>
          <w:rStyle w:val="FootnoteReference"/>
        </w:rPr>
        <w:footnoteRef/>
      </w:r>
      <w:r>
        <w:tab/>
        <w:t>In 2016</w:t>
      </w:r>
      <w:r>
        <w:noBreakHyphen/>
        <w:t>17, t</w:t>
      </w:r>
      <w:r w:rsidRPr="00BA6D3C">
        <w:t>he average retirement age for men (the default gender</w:t>
      </w:r>
      <w:r>
        <w:t xml:space="preserve"> in the PC model</w:t>
      </w:r>
      <w:r w:rsidRPr="00BA6D3C">
        <w:t>) aged 45 years and over was 58.8 years</w:t>
      </w:r>
      <w:r>
        <w:t xml:space="preserve"> </w:t>
      </w:r>
      <w:r w:rsidRPr="00E92356">
        <w:rPr>
          <w:szCs w:val="24"/>
        </w:rPr>
        <w:t>(ABS </w:t>
      </w:r>
      <w:proofErr w:type="spellStart"/>
      <w:r w:rsidRPr="00E92356">
        <w:rPr>
          <w:szCs w:val="24"/>
        </w:rPr>
        <w:t>2017e</w:t>
      </w:r>
      <w:proofErr w:type="spellEnd"/>
      <w:r w:rsidRPr="00E92356">
        <w:rPr>
          <w:szCs w:val="24"/>
        </w:rPr>
        <w:t xml:space="preserve"> table 3)</w:t>
      </w:r>
      <w:r w:rsidRPr="00BA6D3C">
        <w:t xml:space="preserve">. Around 30 per cent had retired </w:t>
      </w:r>
      <w:r>
        <w:t>after age 65 years or more.</w:t>
      </w:r>
    </w:p>
  </w:footnote>
  <w:footnote w:id="3">
    <w:p w14:paraId="1C7AEEB7" w14:textId="2CB8363B" w:rsidR="001F33CB" w:rsidRDefault="001F33CB">
      <w:pPr>
        <w:pStyle w:val="FootnoteText"/>
      </w:pPr>
      <w:r>
        <w:rPr>
          <w:rStyle w:val="FootnoteReference"/>
        </w:rPr>
        <w:footnoteRef/>
      </w:r>
      <w:r>
        <w:tab/>
        <w:t xml:space="preserve">The estimates are obtained from Forbes et al. </w:t>
      </w:r>
      <w:r w:rsidRPr="00AB4439">
        <w:t>(2010)</w:t>
      </w:r>
      <w:r>
        <w:t xml:space="preserve">, whose model controls for many other aspects that determine wages. Similar results are obtained by </w:t>
      </w:r>
      <w:proofErr w:type="spellStart"/>
      <w:r>
        <w:t>Cai</w:t>
      </w:r>
      <w:proofErr w:type="spellEnd"/>
      <w:r>
        <w:t xml:space="preserve"> </w:t>
      </w:r>
      <w:r w:rsidRPr="00D77BA6">
        <w:t>(2007)</w:t>
      </w:r>
      <w:r>
        <w:t xml:space="preserve"> and Yu </w:t>
      </w:r>
      <w:r w:rsidRPr="00DD4241">
        <w:t>(2004)</w:t>
      </w:r>
      <w:r>
        <w:t xml:space="preserve">, which have equally comprehensive models. Other models that have fewer control variables tend to find larger experience effects </w:t>
      </w:r>
      <w:r w:rsidRPr="00DD4241">
        <w:rPr>
          <w:szCs w:val="24"/>
        </w:rPr>
        <w:t>(</w:t>
      </w:r>
      <w:proofErr w:type="spellStart"/>
      <w:r w:rsidRPr="00DD4241">
        <w:rPr>
          <w:szCs w:val="24"/>
        </w:rPr>
        <w:t>Ganegoda</w:t>
      </w:r>
      <w:proofErr w:type="spellEnd"/>
      <w:r w:rsidRPr="00DD4241">
        <w:rPr>
          <w:szCs w:val="24"/>
        </w:rPr>
        <w:t xml:space="preserve"> and Evans 2015; Sinning 2014; Wei 2010)</w:t>
      </w:r>
      <w:r>
        <w:t xml:space="preserve">, which may reflect omitted variable bias. Models with greater experience effects will lead to higher lifetime incomes and larger absolute impacts of any factors that erode member balances. </w:t>
      </w:r>
    </w:p>
  </w:footnote>
  <w:footnote w:id="4">
    <w:p w14:paraId="3566E094" w14:textId="7970F1A1" w:rsidR="001F33CB" w:rsidRDefault="001F33CB" w:rsidP="00B2126D">
      <w:pPr>
        <w:pStyle w:val="FootnoteText"/>
      </w:pPr>
      <w:r>
        <w:rPr>
          <w:rStyle w:val="FootnoteReference"/>
        </w:rPr>
        <w:footnoteRef/>
      </w:r>
      <w:r>
        <w:tab/>
        <w:t>Asset shares for balanced/growth portfolios vary across super fund and time. Consequently, some judgment has been made in producing ranges for each asset class such that the midpoints of these ranges add to 100 per cent — with these midpoints being the basis for the (default) asset allocation used in the model. Vanguard’s nine</w:t>
      </w:r>
      <w:r w:rsidRPr="003E77DC">
        <w:t xml:space="preserve"> asset classes and their weights in the portfolio</w:t>
      </w:r>
      <w:r>
        <w:t xml:space="preserve"> were Australian equities (27.5 per cent); global equities (17.5 per </w:t>
      </w:r>
      <w:r w:rsidRPr="003E77DC">
        <w:t>cent); global equitie</w:t>
      </w:r>
      <w:r>
        <w:t>s (hedged) (7.5 per cent); US equities (2.5 per cent); Australian bonds (15 </w:t>
      </w:r>
      <w:r w:rsidRPr="003E77DC">
        <w:t>per</w:t>
      </w:r>
      <w:r>
        <w:t> cent); global bonds (hedged) (5 per cent); cash (15 per cent); Australian property (7.5 per cent); and global property (2.5 </w:t>
      </w:r>
      <w:r w:rsidRPr="003E77DC">
        <w:t>per cent).</w:t>
      </w:r>
      <w:r>
        <w:t xml:space="preserve"> Some funds construct portfolios that include other asset classes (for example, unlisted companies and infrastructure), but the Vanguard data has the advantage that it extends much further back than other asset return series. A simulation, using a </w:t>
      </w:r>
      <w:proofErr w:type="spellStart"/>
      <w:r>
        <w:t>Dirichlet</w:t>
      </w:r>
      <w:proofErr w:type="spellEnd"/>
      <w:r>
        <w:t xml:space="preserve"> distribution, randomly drew from asset share ranges that included the above asset allocations, revealed modest impacts on retirement balances, suggesting that balanced funds with generally similar asset choices produce similar results.</w:t>
      </w:r>
    </w:p>
  </w:footnote>
  <w:footnote w:id="5">
    <w:p w14:paraId="74634219" w14:textId="6E5C673F" w:rsidR="001F33CB" w:rsidRDefault="001F33CB">
      <w:pPr>
        <w:pStyle w:val="FootnoteText"/>
      </w:pPr>
      <w:r>
        <w:rPr>
          <w:rStyle w:val="FootnoteReference"/>
        </w:rPr>
        <w:footnoteRef/>
      </w:r>
      <w:r>
        <w:tab/>
        <w:t>However, the log of the rate of returns is much less aptly described as normally distributed, though often this is how asset returns are characterised.</w:t>
      </w:r>
    </w:p>
  </w:footnote>
  <w:footnote w:id="6">
    <w:p w14:paraId="76A9F5AB" w14:textId="22373461" w:rsidR="001F33CB" w:rsidRPr="001F33CB" w:rsidRDefault="001F33CB" w:rsidP="001F33CB">
      <w:pPr>
        <w:pStyle w:val="FootnoteText"/>
      </w:pPr>
      <w:r>
        <w:rPr>
          <w:rStyle w:val="FootnoteReference"/>
        </w:rPr>
        <w:footnoteRef/>
      </w:r>
      <w:r>
        <w:tab/>
        <w:t>In 2018, these were</w:t>
      </w:r>
      <w:r w:rsidRPr="005C3E5D">
        <w:t xml:space="preserve"> 4</w:t>
      </w:r>
      <w:r>
        <w:t> per cent</w:t>
      </w:r>
      <w:r w:rsidRPr="005C3E5D">
        <w:t xml:space="preserve"> for age less than 65 years; 5</w:t>
      </w:r>
      <w:r>
        <w:t> per cent</w:t>
      </w:r>
      <w:r w:rsidRPr="005C3E5D">
        <w:t xml:space="preserve"> for age 65 to &lt;75 years; 6</w:t>
      </w:r>
      <w:r>
        <w:t> per cent</w:t>
      </w:r>
      <w:r w:rsidRPr="005C3E5D">
        <w:t xml:space="preserve"> for age 75 to &lt;80 years; 7</w:t>
      </w:r>
      <w:r>
        <w:t> per cent</w:t>
      </w:r>
      <w:r w:rsidRPr="005C3E5D">
        <w:t xml:space="preserve"> for age 80 to &lt;85 years, 9</w:t>
      </w:r>
      <w:r>
        <w:t> per cent</w:t>
      </w:r>
      <w:r w:rsidRPr="005C3E5D">
        <w:t xml:space="preserve"> for age 85 to &lt;90 years; 11</w:t>
      </w:r>
      <w:r>
        <w:t> per cent</w:t>
      </w:r>
      <w:r w:rsidRPr="005C3E5D">
        <w:t xml:space="preserve"> for age 90 to &lt;95 years; and 14</w:t>
      </w:r>
      <w:r>
        <w:t> per cent</w:t>
      </w:r>
      <w:r w:rsidRPr="005C3E5D">
        <w:t xml:space="preserve"> for age 95 years or greater.</w:t>
      </w:r>
    </w:p>
  </w:footnote>
  <w:footnote w:id="7">
    <w:p w14:paraId="5435C98B" w14:textId="7B3C1229" w:rsidR="001F33CB" w:rsidRPr="00663B7A" w:rsidRDefault="001F33CB">
      <w:pPr>
        <w:pStyle w:val="FootnoteText"/>
        <w:rPr>
          <w:sz w:val="18"/>
          <w:szCs w:val="18"/>
        </w:rPr>
      </w:pPr>
      <w:r>
        <w:rPr>
          <w:rStyle w:val="FootnoteReference"/>
        </w:rPr>
        <w:footnoteRef/>
      </w:r>
      <w:r>
        <w:tab/>
      </w:r>
      <w:r w:rsidRPr="00663B7A">
        <w:rPr>
          <w:sz w:val="18"/>
          <w:szCs w:val="18"/>
        </w:rPr>
        <w:t>The implicit assumption is that real rates of return on cash (or other low risk assets) will rise over the longer run.</w:t>
      </w:r>
    </w:p>
  </w:footnote>
  <w:footnote w:id="8">
    <w:p w14:paraId="1B8E6F91" w14:textId="6E1BA147" w:rsidR="001F33CB" w:rsidRDefault="001F33CB">
      <w:pPr>
        <w:pStyle w:val="FootnoteText"/>
      </w:pPr>
      <w:r>
        <w:rPr>
          <w:rStyle w:val="FootnoteReference"/>
        </w:rPr>
        <w:footnoteRef/>
      </w:r>
      <w:r>
        <w:tab/>
        <w:t>T</w:t>
      </w:r>
      <w:r w:rsidRPr="005B1539">
        <w:t xml:space="preserve">he 5th </w:t>
      </w:r>
      <w:r>
        <w:t>sub</w:t>
      </w:r>
      <w:r>
        <w:noBreakHyphen/>
        <w:t xml:space="preserve">question in </w:t>
      </w:r>
      <w:proofErr w:type="spellStart"/>
      <w:r>
        <w:t>Q1a</w:t>
      </w:r>
      <w:proofErr w:type="spellEnd"/>
      <w:r>
        <w:t xml:space="preserve"> was excluded. It</w:t>
      </w:r>
      <w:r w:rsidRPr="005B1539">
        <w:t xml:space="preserve"> </w:t>
      </w:r>
      <w:r>
        <w:t>related to a question about insurance cover, and had poor consistency with measures of overall understanding of super.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1F33CB" w14:paraId="50DC200C" w14:textId="77777777">
      <w:tc>
        <w:tcPr>
          <w:tcW w:w="2155" w:type="dxa"/>
          <w:tcBorders>
            <w:top w:val="single" w:sz="24" w:space="0" w:color="auto"/>
          </w:tcBorders>
        </w:tcPr>
        <w:p w14:paraId="50DC200A" w14:textId="77777777" w:rsidR="001F33CB" w:rsidRDefault="001F33CB" w:rsidP="0019293B">
          <w:pPr>
            <w:pStyle w:val="HeaderEven"/>
          </w:pPr>
        </w:p>
      </w:tc>
      <w:tc>
        <w:tcPr>
          <w:tcW w:w="6634" w:type="dxa"/>
          <w:tcBorders>
            <w:top w:val="single" w:sz="6" w:space="0" w:color="auto"/>
          </w:tcBorders>
        </w:tcPr>
        <w:p w14:paraId="50DC200B" w14:textId="77777777" w:rsidR="001F33CB" w:rsidRDefault="001F33CB" w:rsidP="0019293B">
          <w:pPr>
            <w:pStyle w:val="HeaderEven"/>
          </w:pPr>
        </w:p>
      </w:tc>
    </w:tr>
  </w:tbl>
  <w:p w14:paraId="50DC200D" w14:textId="77777777" w:rsidR="001F33CB" w:rsidRDefault="001F33CB"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1F33CB" w14:paraId="50DC2010" w14:textId="77777777">
      <w:tc>
        <w:tcPr>
          <w:tcW w:w="6634" w:type="dxa"/>
          <w:tcBorders>
            <w:top w:val="single" w:sz="6" w:space="0" w:color="auto"/>
          </w:tcBorders>
        </w:tcPr>
        <w:p w14:paraId="50DC200E" w14:textId="77777777" w:rsidR="001F33CB" w:rsidRDefault="001F33CB" w:rsidP="00E669E2">
          <w:pPr>
            <w:pStyle w:val="HeaderOdd"/>
          </w:pPr>
        </w:p>
      </w:tc>
      <w:tc>
        <w:tcPr>
          <w:tcW w:w="2155" w:type="dxa"/>
          <w:tcBorders>
            <w:top w:val="single" w:sz="24" w:space="0" w:color="auto"/>
          </w:tcBorders>
        </w:tcPr>
        <w:p w14:paraId="50DC200F" w14:textId="77777777" w:rsidR="001F33CB" w:rsidRDefault="001F33CB" w:rsidP="00E669E2">
          <w:pPr>
            <w:pStyle w:val="HeaderOdd"/>
          </w:pPr>
        </w:p>
      </w:tc>
    </w:tr>
  </w:tbl>
  <w:p w14:paraId="50DC2011" w14:textId="77777777" w:rsidR="001F33CB" w:rsidRDefault="001F33CB"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mirrorMargin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endixNumber" w:val="6"/>
    <w:docVar w:name="FindingOptions" w:val="1"/>
    <w:docVar w:name="RecOptions" w:val="111"/>
    <w:docVar w:name="ShortChapterTitle" w:val="Technical supplement 6"/>
    <w:docVar w:name="ShortReportTitle" w:val="Superannuation: efficiency and competitiveness"/>
  </w:docVars>
  <w:rsids>
    <w:rsidRoot w:val="008A3098"/>
    <w:rsid w:val="000013E5"/>
    <w:rsid w:val="000227D5"/>
    <w:rsid w:val="000245AA"/>
    <w:rsid w:val="0002468C"/>
    <w:rsid w:val="0002589D"/>
    <w:rsid w:val="0003664B"/>
    <w:rsid w:val="0004111F"/>
    <w:rsid w:val="000452F1"/>
    <w:rsid w:val="00050BD8"/>
    <w:rsid w:val="00055077"/>
    <w:rsid w:val="0005550F"/>
    <w:rsid w:val="000565B3"/>
    <w:rsid w:val="00063A5F"/>
    <w:rsid w:val="00064243"/>
    <w:rsid w:val="0007150B"/>
    <w:rsid w:val="00077717"/>
    <w:rsid w:val="00080674"/>
    <w:rsid w:val="000938F5"/>
    <w:rsid w:val="00094657"/>
    <w:rsid w:val="00095663"/>
    <w:rsid w:val="000962CF"/>
    <w:rsid w:val="00096E55"/>
    <w:rsid w:val="0009783E"/>
    <w:rsid w:val="000A0451"/>
    <w:rsid w:val="000A6C14"/>
    <w:rsid w:val="000B1022"/>
    <w:rsid w:val="000B2475"/>
    <w:rsid w:val="000B4717"/>
    <w:rsid w:val="000B601B"/>
    <w:rsid w:val="000C207E"/>
    <w:rsid w:val="000C46FA"/>
    <w:rsid w:val="000C4ECA"/>
    <w:rsid w:val="000D17C2"/>
    <w:rsid w:val="000D41E9"/>
    <w:rsid w:val="000D5D1C"/>
    <w:rsid w:val="000E7940"/>
    <w:rsid w:val="000F0035"/>
    <w:rsid w:val="000F04E7"/>
    <w:rsid w:val="000F060A"/>
    <w:rsid w:val="000F420B"/>
    <w:rsid w:val="000F539C"/>
    <w:rsid w:val="000F6E5E"/>
    <w:rsid w:val="00110116"/>
    <w:rsid w:val="001128C0"/>
    <w:rsid w:val="0011485C"/>
    <w:rsid w:val="00120072"/>
    <w:rsid w:val="00126EB8"/>
    <w:rsid w:val="001274D4"/>
    <w:rsid w:val="001363AA"/>
    <w:rsid w:val="0013727A"/>
    <w:rsid w:val="0013739A"/>
    <w:rsid w:val="00142165"/>
    <w:rsid w:val="001455BE"/>
    <w:rsid w:val="001546FD"/>
    <w:rsid w:val="00162434"/>
    <w:rsid w:val="0016591D"/>
    <w:rsid w:val="001667A8"/>
    <w:rsid w:val="00183980"/>
    <w:rsid w:val="00183E82"/>
    <w:rsid w:val="001878BB"/>
    <w:rsid w:val="00191AE0"/>
    <w:rsid w:val="0019293B"/>
    <w:rsid w:val="0019426B"/>
    <w:rsid w:val="001A38FC"/>
    <w:rsid w:val="001A540B"/>
    <w:rsid w:val="001A6A4B"/>
    <w:rsid w:val="001A77BF"/>
    <w:rsid w:val="001B21AE"/>
    <w:rsid w:val="001B4700"/>
    <w:rsid w:val="001C0865"/>
    <w:rsid w:val="001C0AED"/>
    <w:rsid w:val="001C3837"/>
    <w:rsid w:val="001C3ABA"/>
    <w:rsid w:val="001C5111"/>
    <w:rsid w:val="001C5338"/>
    <w:rsid w:val="001D44CC"/>
    <w:rsid w:val="001E7BE8"/>
    <w:rsid w:val="001F0248"/>
    <w:rsid w:val="001F1D88"/>
    <w:rsid w:val="001F327C"/>
    <w:rsid w:val="001F33CB"/>
    <w:rsid w:val="001F38AC"/>
    <w:rsid w:val="001F3EB3"/>
    <w:rsid w:val="001F4F86"/>
    <w:rsid w:val="00200071"/>
    <w:rsid w:val="00202C2C"/>
    <w:rsid w:val="00203050"/>
    <w:rsid w:val="002049BD"/>
    <w:rsid w:val="00207B55"/>
    <w:rsid w:val="002135AB"/>
    <w:rsid w:val="00213D43"/>
    <w:rsid w:val="002144BE"/>
    <w:rsid w:val="00223FC3"/>
    <w:rsid w:val="00224F98"/>
    <w:rsid w:val="002257ED"/>
    <w:rsid w:val="00225A00"/>
    <w:rsid w:val="00230851"/>
    <w:rsid w:val="002320B8"/>
    <w:rsid w:val="00242279"/>
    <w:rsid w:val="00243997"/>
    <w:rsid w:val="0024516C"/>
    <w:rsid w:val="00245744"/>
    <w:rsid w:val="00245C82"/>
    <w:rsid w:val="002601B6"/>
    <w:rsid w:val="00265BAB"/>
    <w:rsid w:val="002724BA"/>
    <w:rsid w:val="002773D2"/>
    <w:rsid w:val="0029192F"/>
    <w:rsid w:val="00291B40"/>
    <w:rsid w:val="0029715B"/>
    <w:rsid w:val="002B17B1"/>
    <w:rsid w:val="002B4008"/>
    <w:rsid w:val="002C285F"/>
    <w:rsid w:val="002C439F"/>
    <w:rsid w:val="002C5A8C"/>
    <w:rsid w:val="002C6BBC"/>
    <w:rsid w:val="002C7095"/>
    <w:rsid w:val="002D0C42"/>
    <w:rsid w:val="002D0E8E"/>
    <w:rsid w:val="002D4967"/>
    <w:rsid w:val="002D527A"/>
    <w:rsid w:val="002D7AFD"/>
    <w:rsid w:val="002E6AD2"/>
    <w:rsid w:val="002E767F"/>
    <w:rsid w:val="00300914"/>
    <w:rsid w:val="00301189"/>
    <w:rsid w:val="00301E4A"/>
    <w:rsid w:val="003027C9"/>
    <w:rsid w:val="00312BEF"/>
    <w:rsid w:val="003168B8"/>
    <w:rsid w:val="00322D64"/>
    <w:rsid w:val="00323E09"/>
    <w:rsid w:val="00330ED9"/>
    <w:rsid w:val="00331017"/>
    <w:rsid w:val="00333932"/>
    <w:rsid w:val="00334B07"/>
    <w:rsid w:val="003518AA"/>
    <w:rsid w:val="00352165"/>
    <w:rsid w:val="00353182"/>
    <w:rsid w:val="003560EC"/>
    <w:rsid w:val="003565D9"/>
    <w:rsid w:val="003602E1"/>
    <w:rsid w:val="003605A4"/>
    <w:rsid w:val="00360EBA"/>
    <w:rsid w:val="0037026F"/>
    <w:rsid w:val="00371240"/>
    <w:rsid w:val="003717D5"/>
    <w:rsid w:val="00374731"/>
    <w:rsid w:val="00376E59"/>
    <w:rsid w:val="00377EC1"/>
    <w:rsid w:val="00380340"/>
    <w:rsid w:val="00380DA8"/>
    <w:rsid w:val="003919F9"/>
    <w:rsid w:val="00391CDC"/>
    <w:rsid w:val="003920CF"/>
    <w:rsid w:val="003B0FD9"/>
    <w:rsid w:val="003B23C2"/>
    <w:rsid w:val="003B4475"/>
    <w:rsid w:val="003C38B5"/>
    <w:rsid w:val="003C5751"/>
    <w:rsid w:val="003C5D99"/>
    <w:rsid w:val="003D1087"/>
    <w:rsid w:val="003D11A9"/>
    <w:rsid w:val="003E2F59"/>
    <w:rsid w:val="003E3A85"/>
    <w:rsid w:val="003E746B"/>
    <w:rsid w:val="003E77DC"/>
    <w:rsid w:val="003F0789"/>
    <w:rsid w:val="003F180B"/>
    <w:rsid w:val="00400A89"/>
    <w:rsid w:val="00401882"/>
    <w:rsid w:val="00405B57"/>
    <w:rsid w:val="004100C8"/>
    <w:rsid w:val="00411DBD"/>
    <w:rsid w:val="00412ACE"/>
    <w:rsid w:val="00413070"/>
    <w:rsid w:val="004145D2"/>
    <w:rsid w:val="00414A5F"/>
    <w:rsid w:val="0042265A"/>
    <w:rsid w:val="00424D7F"/>
    <w:rsid w:val="00425128"/>
    <w:rsid w:val="00426CB4"/>
    <w:rsid w:val="00431223"/>
    <w:rsid w:val="00431249"/>
    <w:rsid w:val="0043421A"/>
    <w:rsid w:val="00434C19"/>
    <w:rsid w:val="00435C9F"/>
    <w:rsid w:val="00450810"/>
    <w:rsid w:val="00457E17"/>
    <w:rsid w:val="0046059B"/>
    <w:rsid w:val="00460F20"/>
    <w:rsid w:val="00462C59"/>
    <w:rsid w:val="00470737"/>
    <w:rsid w:val="00477144"/>
    <w:rsid w:val="00483658"/>
    <w:rsid w:val="004861ED"/>
    <w:rsid w:val="00486915"/>
    <w:rsid w:val="00487781"/>
    <w:rsid w:val="00491380"/>
    <w:rsid w:val="0049459F"/>
    <w:rsid w:val="004A06FB"/>
    <w:rsid w:val="004A38DD"/>
    <w:rsid w:val="004A4FD1"/>
    <w:rsid w:val="004B43AE"/>
    <w:rsid w:val="004C30ED"/>
    <w:rsid w:val="004C36EA"/>
    <w:rsid w:val="004D4F43"/>
    <w:rsid w:val="004D53F4"/>
    <w:rsid w:val="004D5675"/>
    <w:rsid w:val="004E07FF"/>
    <w:rsid w:val="004E7A65"/>
    <w:rsid w:val="0050461C"/>
    <w:rsid w:val="005057BA"/>
    <w:rsid w:val="0051306E"/>
    <w:rsid w:val="00517795"/>
    <w:rsid w:val="00523639"/>
    <w:rsid w:val="00531624"/>
    <w:rsid w:val="00531FE5"/>
    <w:rsid w:val="005402FA"/>
    <w:rsid w:val="00541E1A"/>
    <w:rsid w:val="00561AEF"/>
    <w:rsid w:val="00562601"/>
    <w:rsid w:val="00563311"/>
    <w:rsid w:val="005729BD"/>
    <w:rsid w:val="00573437"/>
    <w:rsid w:val="00573BE3"/>
    <w:rsid w:val="00575318"/>
    <w:rsid w:val="005756BA"/>
    <w:rsid w:val="00580154"/>
    <w:rsid w:val="00583C39"/>
    <w:rsid w:val="00586A90"/>
    <w:rsid w:val="00587F28"/>
    <w:rsid w:val="005909CF"/>
    <w:rsid w:val="00591E71"/>
    <w:rsid w:val="00594C90"/>
    <w:rsid w:val="005A0796"/>
    <w:rsid w:val="005A0D41"/>
    <w:rsid w:val="005A6C6E"/>
    <w:rsid w:val="005A74A1"/>
    <w:rsid w:val="005B1539"/>
    <w:rsid w:val="005C2EBE"/>
    <w:rsid w:val="005C3E5D"/>
    <w:rsid w:val="005D0AEF"/>
    <w:rsid w:val="005D329F"/>
    <w:rsid w:val="005D6604"/>
    <w:rsid w:val="005F48ED"/>
    <w:rsid w:val="005F66AF"/>
    <w:rsid w:val="00601E58"/>
    <w:rsid w:val="00602398"/>
    <w:rsid w:val="00606E78"/>
    <w:rsid w:val="00607BF1"/>
    <w:rsid w:val="00610E33"/>
    <w:rsid w:val="00615C38"/>
    <w:rsid w:val="006243A6"/>
    <w:rsid w:val="00630D4D"/>
    <w:rsid w:val="00632A74"/>
    <w:rsid w:val="00647847"/>
    <w:rsid w:val="00654D42"/>
    <w:rsid w:val="0065663C"/>
    <w:rsid w:val="00661DA4"/>
    <w:rsid w:val="00663B7A"/>
    <w:rsid w:val="00666E02"/>
    <w:rsid w:val="006706F7"/>
    <w:rsid w:val="00672FC5"/>
    <w:rsid w:val="006839E4"/>
    <w:rsid w:val="00684B7F"/>
    <w:rsid w:val="00686588"/>
    <w:rsid w:val="00695EAE"/>
    <w:rsid w:val="006A4655"/>
    <w:rsid w:val="006A7641"/>
    <w:rsid w:val="006B0E79"/>
    <w:rsid w:val="006B2B3C"/>
    <w:rsid w:val="006B5840"/>
    <w:rsid w:val="006B75F9"/>
    <w:rsid w:val="006C06D8"/>
    <w:rsid w:val="006C14A1"/>
    <w:rsid w:val="006C1D81"/>
    <w:rsid w:val="006C6A4D"/>
    <w:rsid w:val="006C7038"/>
    <w:rsid w:val="006D01AB"/>
    <w:rsid w:val="006E3289"/>
    <w:rsid w:val="006E73EF"/>
    <w:rsid w:val="007079C9"/>
    <w:rsid w:val="00707B7A"/>
    <w:rsid w:val="00712E09"/>
    <w:rsid w:val="00714D4D"/>
    <w:rsid w:val="0071572D"/>
    <w:rsid w:val="007266D3"/>
    <w:rsid w:val="00732029"/>
    <w:rsid w:val="0075010E"/>
    <w:rsid w:val="00754A94"/>
    <w:rsid w:val="007573FF"/>
    <w:rsid w:val="007604BB"/>
    <w:rsid w:val="00772909"/>
    <w:rsid w:val="007749B2"/>
    <w:rsid w:val="007801F8"/>
    <w:rsid w:val="00785232"/>
    <w:rsid w:val="00787A16"/>
    <w:rsid w:val="007936C8"/>
    <w:rsid w:val="0079701E"/>
    <w:rsid w:val="007A21EB"/>
    <w:rsid w:val="007A6296"/>
    <w:rsid w:val="007B062B"/>
    <w:rsid w:val="007B1A93"/>
    <w:rsid w:val="007B293E"/>
    <w:rsid w:val="007B34F0"/>
    <w:rsid w:val="007B50A0"/>
    <w:rsid w:val="007C3473"/>
    <w:rsid w:val="007C36C9"/>
    <w:rsid w:val="007C45F7"/>
    <w:rsid w:val="007C4A7D"/>
    <w:rsid w:val="007D6401"/>
    <w:rsid w:val="007D67CA"/>
    <w:rsid w:val="007E01E4"/>
    <w:rsid w:val="007E55DB"/>
    <w:rsid w:val="007E7A12"/>
    <w:rsid w:val="007F3C31"/>
    <w:rsid w:val="007F7107"/>
    <w:rsid w:val="00800D4C"/>
    <w:rsid w:val="00802052"/>
    <w:rsid w:val="0081030F"/>
    <w:rsid w:val="00812F4A"/>
    <w:rsid w:val="00813001"/>
    <w:rsid w:val="0081770D"/>
    <w:rsid w:val="0082087D"/>
    <w:rsid w:val="00822AB2"/>
    <w:rsid w:val="008277D0"/>
    <w:rsid w:val="00835771"/>
    <w:rsid w:val="00840AF7"/>
    <w:rsid w:val="00842933"/>
    <w:rsid w:val="008429F7"/>
    <w:rsid w:val="00847665"/>
    <w:rsid w:val="0086082C"/>
    <w:rsid w:val="00860C38"/>
    <w:rsid w:val="00864ADC"/>
    <w:rsid w:val="008657EE"/>
    <w:rsid w:val="00866989"/>
    <w:rsid w:val="00871ABF"/>
    <w:rsid w:val="0087457A"/>
    <w:rsid w:val="00875401"/>
    <w:rsid w:val="00875B4A"/>
    <w:rsid w:val="0087722A"/>
    <w:rsid w:val="00880153"/>
    <w:rsid w:val="00880F97"/>
    <w:rsid w:val="0088133A"/>
    <w:rsid w:val="00881937"/>
    <w:rsid w:val="00881DC0"/>
    <w:rsid w:val="00887BC8"/>
    <w:rsid w:val="0089285E"/>
    <w:rsid w:val="0089436C"/>
    <w:rsid w:val="008A10FD"/>
    <w:rsid w:val="008A3098"/>
    <w:rsid w:val="008A46E6"/>
    <w:rsid w:val="008A57F3"/>
    <w:rsid w:val="008D365C"/>
    <w:rsid w:val="008D7622"/>
    <w:rsid w:val="008E18C4"/>
    <w:rsid w:val="008E22A2"/>
    <w:rsid w:val="008E2627"/>
    <w:rsid w:val="008F2BFB"/>
    <w:rsid w:val="008F4506"/>
    <w:rsid w:val="00900864"/>
    <w:rsid w:val="009021A6"/>
    <w:rsid w:val="009030BF"/>
    <w:rsid w:val="00903B52"/>
    <w:rsid w:val="009041FF"/>
    <w:rsid w:val="00904515"/>
    <w:rsid w:val="0091032F"/>
    <w:rsid w:val="00914368"/>
    <w:rsid w:val="009277C5"/>
    <w:rsid w:val="00930302"/>
    <w:rsid w:val="009309E1"/>
    <w:rsid w:val="00931076"/>
    <w:rsid w:val="009345D9"/>
    <w:rsid w:val="00934B15"/>
    <w:rsid w:val="009366DF"/>
    <w:rsid w:val="00937630"/>
    <w:rsid w:val="00940C87"/>
    <w:rsid w:val="00942B62"/>
    <w:rsid w:val="00952D22"/>
    <w:rsid w:val="0095323B"/>
    <w:rsid w:val="00956A0C"/>
    <w:rsid w:val="00956BD9"/>
    <w:rsid w:val="00960597"/>
    <w:rsid w:val="00962489"/>
    <w:rsid w:val="00962CEC"/>
    <w:rsid w:val="00962F16"/>
    <w:rsid w:val="00967CD3"/>
    <w:rsid w:val="00990C2C"/>
    <w:rsid w:val="009910F8"/>
    <w:rsid w:val="0099468B"/>
    <w:rsid w:val="0099611D"/>
    <w:rsid w:val="009A5171"/>
    <w:rsid w:val="009B640A"/>
    <w:rsid w:val="009C563A"/>
    <w:rsid w:val="009D1A97"/>
    <w:rsid w:val="009D335A"/>
    <w:rsid w:val="009E139D"/>
    <w:rsid w:val="009E1844"/>
    <w:rsid w:val="009F0D1B"/>
    <w:rsid w:val="009F53DD"/>
    <w:rsid w:val="009F5BBD"/>
    <w:rsid w:val="009F696D"/>
    <w:rsid w:val="009F6BC6"/>
    <w:rsid w:val="009F6E7C"/>
    <w:rsid w:val="009F74EF"/>
    <w:rsid w:val="009F7D14"/>
    <w:rsid w:val="009F7E5E"/>
    <w:rsid w:val="00A02826"/>
    <w:rsid w:val="00A0442B"/>
    <w:rsid w:val="00A045C3"/>
    <w:rsid w:val="00A05AF3"/>
    <w:rsid w:val="00A15D4F"/>
    <w:rsid w:val="00A15D5A"/>
    <w:rsid w:val="00A17328"/>
    <w:rsid w:val="00A23A20"/>
    <w:rsid w:val="00A24443"/>
    <w:rsid w:val="00A268B9"/>
    <w:rsid w:val="00A2703A"/>
    <w:rsid w:val="00A30CBA"/>
    <w:rsid w:val="00A33DFF"/>
    <w:rsid w:val="00A35115"/>
    <w:rsid w:val="00A36D9A"/>
    <w:rsid w:val="00A451DC"/>
    <w:rsid w:val="00A52D73"/>
    <w:rsid w:val="00A554AB"/>
    <w:rsid w:val="00A57062"/>
    <w:rsid w:val="00A6018F"/>
    <w:rsid w:val="00A6474F"/>
    <w:rsid w:val="00A66D0C"/>
    <w:rsid w:val="00A67781"/>
    <w:rsid w:val="00A74EFD"/>
    <w:rsid w:val="00A761F9"/>
    <w:rsid w:val="00A87F8F"/>
    <w:rsid w:val="00A920F9"/>
    <w:rsid w:val="00A92B53"/>
    <w:rsid w:val="00A94FA6"/>
    <w:rsid w:val="00AA49A0"/>
    <w:rsid w:val="00AA6710"/>
    <w:rsid w:val="00AB0681"/>
    <w:rsid w:val="00AB4439"/>
    <w:rsid w:val="00AB6254"/>
    <w:rsid w:val="00AC3A15"/>
    <w:rsid w:val="00AD520B"/>
    <w:rsid w:val="00AE3BCC"/>
    <w:rsid w:val="00B03A91"/>
    <w:rsid w:val="00B15FED"/>
    <w:rsid w:val="00B2126D"/>
    <w:rsid w:val="00B2266F"/>
    <w:rsid w:val="00B248B8"/>
    <w:rsid w:val="00B3031A"/>
    <w:rsid w:val="00B36F63"/>
    <w:rsid w:val="00B37383"/>
    <w:rsid w:val="00B425C3"/>
    <w:rsid w:val="00B4373D"/>
    <w:rsid w:val="00B440AD"/>
    <w:rsid w:val="00B479BB"/>
    <w:rsid w:val="00B519F5"/>
    <w:rsid w:val="00B53E7E"/>
    <w:rsid w:val="00B62551"/>
    <w:rsid w:val="00B6342E"/>
    <w:rsid w:val="00B7113F"/>
    <w:rsid w:val="00B71F05"/>
    <w:rsid w:val="00B7338B"/>
    <w:rsid w:val="00B755DD"/>
    <w:rsid w:val="00B8075E"/>
    <w:rsid w:val="00B83BD3"/>
    <w:rsid w:val="00B9108C"/>
    <w:rsid w:val="00B9269A"/>
    <w:rsid w:val="00B96E21"/>
    <w:rsid w:val="00BA0EF5"/>
    <w:rsid w:val="00BA1C99"/>
    <w:rsid w:val="00BA2BCF"/>
    <w:rsid w:val="00BA439F"/>
    <w:rsid w:val="00BA5B14"/>
    <w:rsid w:val="00BA6D3C"/>
    <w:rsid w:val="00BA73B6"/>
    <w:rsid w:val="00BA7E27"/>
    <w:rsid w:val="00BB0F2A"/>
    <w:rsid w:val="00BB2603"/>
    <w:rsid w:val="00BB4094"/>
    <w:rsid w:val="00BB4FCD"/>
    <w:rsid w:val="00BB519C"/>
    <w:rsid w:val="00BB6302"/>
    <w:rsid w:val="00BB722E"/>
    <w:rsid w:val="00BC04E9"/>
    <w:rsid w:val="00BD13EA"/>
    <w:rsid w:val="00BD1B4D"/>
    <w:rsid w:val="00BD7755"/>
    <w:rsid w:val="00BE3808"/>
    <w:rsid w:val="00BF1B3C"/>
    <w:rsid w:val="00BF3D43"/>
    <w:rsid w:val="00C02FA5"/>
    <w:rsid w:val="00C03B88"/>
    <w:rsid w:val="00C0435E"/>
    <w:rsid w:val="00C04D6D"/>
    <w:rsid w:val="00C062E9"/>
    <w:rsid w:val="00C069AA"/>
    <w:rsid w:val="00C07B64"/>
    <w:rsid w:val="00C107CB"/>
    <w:rsid w:val="00C13721"/>
    <w:rsid w:val="00C13E27"/>
    <w:rsid w:val="00C14FE4"/>
    <w:rsid w:val="00C163CE"/>
    <w:rsid w:val="00C26E3A"/>
    <w:rsid w:val="00C3066D"/>
    <w:rsid w:val="00C44F4E"/>
    <w:rsid w:val="00C52416"/>
    <w:rsid w:val="00C543F4"/>
    <w:rsid w:val="00C626FB"/>
    <w:rsid w:val="00C6291C"/>
    <w:rsid w:val="00C633CB"/>
    <w:rsid w:val="00C664CD"/>
    <w:rsid w:val="00C7356A"/>
    <w:rsid w:val="00C736B7"/>
    <w:rsid w:val="00C74337"/>
    <w:rsid w:val="00C775B8"/>
    <w:rsid w:val="00C81D4A"/>
    <w:rsid w:val="00C8762C"/>
    <w:rsid w:val="00C9513C"/>
    <w:rsid w:val="00CA00F9"/>
    <w:rsid w:val="00CA1D56"/>
    <w:rsid w:val="00CA2961"/>
    <w:rsid w:val="00CA631E"/>
    <w:rsid w:val="00CA7B5C"/>
    <w:rsid w:val="00CB50D7"/>
    <w:rsid w:val="00CB7177"/>
    <w:rsid w:val="00CB7CED"/>
    <w:rsid w:val="00CC002F"/>
    <w:rsid w:val="00CC070F"/>
    <w:rsid w:val="00CC1998"/>
    <w:rsid w:val="00CC251B"/>
    <w:rsid w:val="00CC4946"/>
    <w:rsid w:val="00CC626A"/>
    <w:rsid w:val="00CC64A1"/>
    <w:rsid w:val="00CD7BD0"/>
    <w:rsid w:val="00CE2BB5"/>
    <w:rsid w:val="00CF3B11"/>
    <w:rsid w:val="00CF47F6"/>
    <w:rsid w:val="00D074B5"/>
    <w:rsid w:val="00D109C7"/>
    <w:rsid w:val="00D14313"/>
    <w:rsid w:val="00D210DA"/>
    <w:rsid w:val="00D214F9"/>
    <w:rsid w:val="00D270A4"/>
    <w:rsid w:val="00D2788A"/>
    <w:rsid w:val="00D31FE9"/>
    <w:rsid w:val="00D34E1B"/>
    <w:rsid w:val="00D35519"/>
    <w:rsid w:val="00D376BA"/>
    <w:rsid w:val="00D434A0"/>
    <w:rsid w:val="00D443E4"/>
    <w:rsid w:val="00D45634"/>
    <w:rsid w:val="00D5568A"/>
    <w:rsid w:val="00D57056"/>
    <w:rsid w:val="00D60D11"/>
    <w:rsid w:val="00D63D73"/>
    <w:rsid w:val="00D64452"/>
    <w:rsid w:val="00D66E1E"/>
    <w:rsid w:val="00D70696"/>
    <w:rsid w:val="00D73E02"/>
    <w:rsid w:val="00D75722"/>
    <w:rsid w:val="00D77BA6"/>
    <w:rsid w:val="00D80CF5"/>
    <w:rsid w:val="00D96A24"/>
    <w:rsid w:val="00DA5BBA"/>
    <w:rsid w:val="00DA6484"/>
    <w:rsid w:val="00DB1BD5"/>
    <w:rsid w:val="00DB26D2"/>
    <w:rsid w:val="00DB67C9"/>
    <w:rsid w:val="00DC0A76"/>
    <w:rsid w:val="00DC0C95"/>
    <w:rsid w:val="00DC4F0B"/>
    <w:rsid w:val="00DC5AD0"/>
    <w:rsid w:val="00DD4241"/>
    <w:rsid w:val="00DD6580"/>
    <w:rsid w:val="00DE11B8"/>
    <w:rsid w:val="00DE5514"/>
    <w:rsid w:val="00DE5BB9"/>
    <w:rsid w:val="00DE6DFF"/>
    <w:rsid w:val="00DE78D7"/>
    <w:rsid w:val="00DF1BC7"/>
    <w:rsid w:val="00DF39F3"/>
    <w:rsid w:val="00DF418D"/>
    <w:rsid w:val="00DF46EC"/>
    <w:rsid w:val="00E01D7F"/>
    <w:rsid w:val="00E03588"/>
    <w:rsid w:val="00E037BC"/>
    <w:rsid w:val="00E05C03"/>
    <w:rsid w:val="00E0622A"/>
    <w:rsid w:val="00E17C72"/>
    <w:rsid w:val="00E21FC6"/>
    <w:rsid w:val="00E25D54"/>
    <w:rsid w:val="00E31B81"/>
    <w:rsid w:val="00E41FEE"/>
    <w:rsid w:val="00E431A9"/>
    <w:rsid w:val="00E43F56"/>
    <w:rsid w:val="00E47E1E"/>
    <w:rsid w:val="00E549F3"/>
    <w:rsid w:val="00E61610"/>
    <w:rsid w:val="00E64CCE"/>
    <w:rsid w:val="00E669E2"/>
    <w:rsid w:val="00E679A4"/>
    <w:rsid w:val="00E76135"/>
    <w:rsid w:val="00E76988"/>
    <w:rsid w:val="00E80AC1"/>
    <w:rsid w:val="00E80B14"/>
    <w:rsid w:val="00E82F4F"/>
    <w:rsid w:val="00E864DF"/>
    <w:rsid w:val="00E86BBF"/>
    <w:rsid w:val="00E92356"/>
    <w:rsid w:val="00E94E4A"/>
    <w:rsid w:val="00EA20AE"/>
    <w:rsid w:val="00EA2532"/>
    <w:rsid w:val="00EA3095"/>
    <w:rsid w:val="00EA60A1"/>
    <w:rsid w:val="00EB01A8"/>
    <w:rsid w:val="00EB2CC3"/>
    <w:rsid w:val="00EC2844"/>
    <w:rsid w:val="00EC5500"/>
    <w:rsid w:val="00ED18F8"/>
    <w:rsid w:val="00EE07B6"/>
    <w:rsid w:val="00EE5CE1"/>
    <w:rsid w:val="00EE66D1"/>
    <w:rsid w:val="00EE6EDA"/>
    <w:rsid w:val="00EE778E"/>
    <w:rsid w:val="00EF39E3"/>
    <w:rsid w:val="00EF54D1"/>
    <w:rsid w:val="00EF6719"/>
    <w:rsid w:val="00EF6C6C"/>
    <w:rsid w:val="00EF7541"/>
    <w:rsid w:val="00F02AC6"/>
    <w:rsid w:val="00F056FC"/>
    <w:rsid w:val="00F0632F"/>
    <w:rsid w:val="00F069AE"/>
    <w:rsid w:val="00F10476"/>
    <w:rsid w:val="00F134E3"/>
    <w:rsid w:val="00F135D8"/>
    <w:rsid w:val="00F1431C"/>
    <w:rsid w:val="00F2787C"/>
    <w:rsid w:val="00F31299"/>
    <w:rsid w:val="00F3437E"/>
    <w:rsid w:val="00F3534A"/>
    <w:rsid w:val="00F3566A"/>
    <w:rsid w:val="00F35BFB"/>
    <w:rsid w:val="00F36ACC"/>
    <w:rsid w:val="00F4554C"/>
    <w:rsid w:val="00F501E6"/>
    <w:rsid w:val="00F51609"/>
    <w:rsid w:val="00F55C25"/>
    <w:rsid w:val="00F647CC"/>
    <w:rsid w:val="00F73727"/>
    <w:rsid w:val="00F75FC9"/>
    <w:rsid w:val="00F766A7"/>
    <w:rsid w:val="00F76A8E"/>
    <w:rsid w:val="00F80D61"/>
    <w:rsid w:val="00F81006"/>
    <w:rsid w:val="00F85325"/>
    <w:rsid w:val="00F91AD8"/>
    <w:rsid w:val="00FB7748"/>
    <w:rsid w:val="00FD1DD1"/>
    <w:rsid w:val="00FD22B1"/>
    <w:rsid w:val="00FD33F1"/>
    <w:rsid w:val="00FD3566"/>
    <w:rsid w:val="00FD3F6D"/>
    <w:rsid w:val="00FD5A80"/>
    <w:rsid w:val="00FE3C71"/>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0DC2001"/>
  <w15:docId w15:val="{7CE7EBC2-1FB0-42D2-A915-D15945A0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C002F"/>
    <w:rPr>
      <w:sz w:val="24"/>
      <w:szCs w:val="24"/>
    </w:rPr>
  </w:style>
  <w:style w:type="paragraph" w:styleId="Heading1">
    <w:name w:val="heading 1"/>
    <w:basedOn w:val="Normal"/>
    <w:next w:val="BodyText"/>
    <w:rsid w:val="00FD22B1"/>
    <w:pPr>
      <w:keepNext/>
      <w:spacing w:before="160" w:after="1360" w:line="600" w:lineRule="exact"/>
      <w:ind w:left="907" w:hanging="907"/>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customStyle="1" w:styleId="CommentTextChar">
    <w:name w:val="Comment Text Char"/>
    <w:basedOn w:val="DefaultParagraphFont"/>
    <w:link w:val="CommentText"/>
    <w:semiHidden/>
    <w:rsid w:val="00CC002F"/>
    <w:rPr>
      <w:szCs w:val="24"/>
    </w:rPr>
  </w:style>
  <w:style w:type="character" w:customStyle="1" w:styleId="BoxChar">
    <w:name w:val="Box Char"/>
    <w:basedOn w:val="DefaultParagraphFont"/>
    <w:link w:val="Box"/>
    <w:locked/>
    <w:rsid w:val="00F1431C"/>
    <w:rPr>
      <w:rFonts w:ascii="Arial" w:hAnsi="Arial"/>
    </w:rPr>
  </w:style>
  <w:style w:type="character" w:styleId="PlaceholderText">
    <w:name w:val="Placeholder Text"/>
    <w:basedOn w:val="DefaultParagraphFont"/>
    <w:uiPriority w:val="99"/>
    <w:semiHidden/>
    <w:rsid w:val="001128C0"/>
    <w:rPr>
      <w:color w:val="808080"/>
    </w:rPr>
  </w:style>
  <w:style w:type="paragraph" w:styleId="CommentSubject">
    <w:name w:val="annotation subject"/>
    <w:basedOn w:val="CommentText"/>
    <w:next w:val="CommentText"/>
    <w:link w:val="CommentSubjectChar"/>
    <w:semiHidden/>
    <w:unhideWhenUsed/>
    <w:rsid w:val="0002589D"/>
    <w:pPr>
      <w:spacing w:before="0" w:line="240" w:lineRule="auto"/>
      <w:ind w:left="0" w:firstLine="0"/>
    </w:pPr>
    <w:rPr>
      <w:b/>
      <w:bCs/>
      <w:szCs w:val="20"/>
    </w:rPr>
  </w:style>
  <w:style w:type="character" w:customStyle="1" w:styleId="CommentSubjectChar">
    <w:name w:val="Comment Subject Char"/>
    <w:basedOn w:val="CommentTextChar"/>
    <w:link w:val="CommentSubject"/>
    <w:semiHidden/>
    <w:rsid w:val="0002589D"/>
    <w:rPr>
      <w:b/>
      <w:bCs/>
      <w:szCs w:val="24"/>
    </w:rPr>
  </w:style>
  <w:style w:type="paragraph" w:styleId="Bibliography">
    <w:name w:val="Bibliography"/>
    <w:basedOn w:val="Normal"/>
    <w:next w:val="Normal"/>
    <w:uiPriority w:val="37"/>
    <w:unhideWhenUsed/>
    <w:rsid w:val="000C46FA"/>
    <w:pPr>
      <w:spacing w:after="240"/>
      <w:ind w:left="720" w:hanging="720"/>
    </w:pPr>
  </w:style>
  <w:style w:type="character" w:styleId="Hyperlink">
    <w:name w:val="Hyperlink"/>
    <w:basedOn w:val="DefaultParagraphFont"/>
    <w:unhideWhenUsed/>
    <w:rsid w:val="00EA2532"/>
    <w:rPr>
      <w:color w:val="000000" w:themeColor="hyperlink"/>
      <w:u w:val="single"/>
    </w:rPr>
  </w:style>
  <w:style w:type="paragraph" w:customStyle="1" w:styleId="Copyrightheading">
    <w:name w:val="Copyright heading"/>
    <w:basedOn w:val="TOC1"/>
    <w:link w:val="CopyrightheadingChar"/>
    <w:qFormat/>
    <w:rsid w:val="00EA2532"/>
    <w:pPr>
      <w:spacing w:line="300" w:lineRule="exact"/>
    </w:pPr>
    <w:rPr>
      <w:sz w:val="22"/>
    </w:rPr>
  </w:style>
  <w:style w:type="character" w:customStyle="1" w:styleId="CopyrightheadingChar">
    <w:name w:val="Copyright heading Char"/>
    <w:basedOn w:val="TOC1Char"/>
    <w:link w:val="Copyrightheading"/>
    <w:rsid w:val="00EA2532"/>
    <w:rPr>
      <w:rFonts w:ascii="Arial" w:hAnsi="Arial"/>
      <w:b/>
      <w:sz w:val="22"/>
      <w:szCs w:val="26"/>
      <w:lang w:eastAsia="en-US"/>
    </w:rPr>
  </w:style>
  <w:style w:type="paragraph" w:customStyle="1" w:styleId="Copyrightsubtitle">
    <w:name w:val="Copyright subtitle"/>
    <w:basedOn w:val="BodyText"/>
    <w:rsid w:val="00EA2532"/>
    <w:rPr>
      <w:rFonts w:ascii="Arial" w:hAnsi="Arial"/>
      <w:b/>
      <w:sz w:val="22"/>
      <w:szCs w:val="25"/>
    </w:rPr>
  </w:style>
  <w:style w:type="paragraph" w:customStyle="1" w:styleId="Copyrightbodytext">
    <w:name w:val="Copyright bodytext"/>
    <w:basedOn w:val="BodyText"/>
    <w:link w:val="CopyrightbodytextChar"/>
    <w:qFormat/>
    <w:rsid w:val="00EA2532"/>
    <w:pPr>
      <w:spacing w:before="60"/>
    </w:pPr>
  </w:style>
  <w:style w:type="character" w:customStyle="1" w:styleId="CopyrightbodytextChar">
    <w:name w:val="Copyright bodytext Char"/>
    <w:basedOn w:val="BodyTextChar"/>
    <w:link w:val="Copyrightbodytext"/>
    <w:rsid w:val="00EA253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mc.gov.au/government/commonwealth-coat-arms" TargetMode="External"/><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hyperlink" Target="http://creativecommons.org/licenses/by/3.0/a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 Id="rId22" Type="http://schemas.openxmlformats.org/officeDocument/2006/relationships/footer" Target="footer2.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906E9-1F3B-4DC7-8131-EA6406162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5468</Words>
  <Characters>29311</Characters>
  <Application>Microsoft Office Word</Application>
  <DocSecurity>0</DocSecurity>
  <Lines>1085</Lines>
  <Paragraphs>681</Paragraphs>
  <ScaleCrop>false</ScaleCrop>
  <HeadingPairs>
    <vt:vector size="2" baseType="variant">
      <vt:variant>
        <vt:lpstr>Title</vt:lpstr>
      </vt:variant>
      <vt:variant>
        <vt:i4>1</vt:i4>
      </vt:variant>
    </vt:vector>
  </HeadingPairs>
  <TitlesOfParts>
    <vt:vector size="1" baseType="lpstr">
      <vt:lpstr>Technical supplement 6: analysis of members’ needs</vt:lpstr>
    </vt:vector>
  </TitlesOfParts>
  <Company/>
  <LinksUpToDate>false</LinksUpToDate>
  <CharactersWithSpaces>34098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supplement 6: Analysis of members’ needs - Superannuation: Assessing Efficiency and Competitiveness Draft Report</dc:title>
  <dc:subject/>
  <dc:creator>Productivity Commission</dc:creator>
  <cp:keywords/>
  <dc:description/>
  <cp:lastModifiedBy>Cross, Michelle</cp:lastModifiedBy>
  <cp:revision>6</cp:revision>
  <cp:lastPrinted>2018-05-24T13:02:00Z</cp:lastPrinted>
  <dcterms:created xsi:type="dcterms:W3CDTF">2018-05-24T12:52:00Z</dcterms:created>
  <dcterms:modified xsi:type="dcterms:W3CDTF">2018-05-24T13:05:00Z</dcterms:modified>
</cp:coreProperties>
</file>