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653778" w:rsidP="00A54595">
      <w:pPr>
        <w:pStyle w:val="Heading1"/>
      </w:pPr>
      <w:bookmarkStart w:id="0" w:name="_AppendixNotByChapter"/>
      <w:bookmarkStart w:id="1" w:name="ChapterNumber"/>
      <w:bookmarkStart w:id="2" w:name="_GoBack"/>
      <w:bookmarkEnd w:id="0"/>
      <w:bookmarkEnd w:id="2"/>
      <w:r>
        <w:t>B</w:t>
      </w:r>
      <w:bookmarkEnd w:id="1"/>
      <w:r>
        <w:tab/>
      </w:r>
      <w:bookmarkStart w:id="3" w:name="ChapterTitle"/>
      <w:r>
        <w:t>A brief history of statutory marketing in Australian agriculture</w:t>
      </w:r>
      <w:bookmarkEnd w:id="3"/>
    </w:p>
    <w:p w:rsidR="001505AA" w:rsidRDefault="001505AA" w:rsidP="001505AA">
      <w:pPr>
        <w:pStyle w:val="BodyText"/>
        <w:rPr>
          <w:lang w:eastAsia="en-US"/>
        </w:rPr>
      </w:pPr>
      <w:bookmarkStart w:id="4" w:name="begin"/>
      <w:bookmarkEnd w:id="4"/>
      <w:r>
        <w:rPr>
          <w:lang w:eastAsia="en-US"/>
        </w:rPr>
        <w:t xml:space="preserve">The evolution of statutory marketing boards in Australia was comprehensively reviewed by Watson and Parish </w:t>
      </w:r>
      <w:r w:rsidR="007602E8" w:rsidRPr="007602E8">
        <w:t>(1982)</w:t>
      </w:r>
      <w:r>
        <w:rPr>
          <w:lang w:eastAsia="en-US"/>
        </w:rPr>
        <w:t xml:space="preserve"> and Lloyd </w:t>
      </w:r>
      <w:r w:rsidR="007602E8" w:rsidRPr="007602E8">
        <w:t>(1982)</w:t>
      </w:r>
      <w:r>
        <w:rPr>
          <w:lang w:eastAsia="en-US"/>
        </w:rPr>
        <w:t xml:space="preserve">, and later by the </w:t>
      </w:r>
      <w:r w:rsidR="00167A81">
        <w:rPr>
          <w:lang w:eastAsia="en-US"/>
        </w:rPr>
        <w:t xml:space="preserve">Industry Commission </w:t>
      </w:r>
      <w:r w:rsidR="00167A81" w:rsidRPr="00167A81">
        <w:rPr>
          <w:szCs w:val="24"/>
        </w:rPr>
        <w:t>(IC 1991)</w:t>
      </w:r>
      <w:r>
        <w:rPr>
          <w:lang w:eastAsia="en-US"/>
        </w:rPr>
        <w:t xml:space="preserve"> and the </w:t>
      </w:r>
      <w:r w:rsidR="00167A81">
        <w:rPr>
          <w:lang w:eastAsia="en-US"/>
        </w:rPr>
        <w:t>Productivity Commission</w:t>
      </w:r>
      <w:r>
        <w:rPr>
          <w:lang w:eastAsia="en-US"/>
        </w:rPr>
        <w:t xml:space="preserve"> </w:t>
      </w:r>
      <w:r w:rsidR="0032301C" w:rsidRPr="0032301C">
        <w:t>(2000)</w:t>
      </w:r>
      <w:r>
        <w:rPr>
          <w:lang w:eastAsia="en-US"/>
        </w:rPr>
        <w:t>. The first statutory marketing arrangements were imposed on sugar in 1902 and dried fruit in 1904 to compensate for the mandated use of costly European labour. Most statutory marketing boards in Australia evolved following World War I to raise and stabilise prices and farm incomes, protect producers from the market power of traders and compensate farmers for tariffs on inputs</w:t>
      </w:r>
      <w:r w:rsidR="003C5D39">
        <w:rPr>
          <w:lang w:eastAsia="en-US"/>
        </w:rPr>
        <w:t xml:space="preserve"> </w:t>
      </w:r>
      <w:r w:rsidR="007602E8" w:rsidRPr="007602E8">
        <w:rPr>
          <w:szCs w:val="24"/>
        </w:rPr>
        <w:t>(Lloyd 1982; Watson and Parish 1982)</w:t>
      </w:r>
      <w:r>
        <w:rPr>
          <w:lang w:eastAsia="en-US"/>
        </w:rPr>
        <w:t>. Legislation enabling statutory marketing boards was firs</w:t>
      </w:r>
      <w:r w:rsidR="00AF5DD6">
        <w:rPr>
          <w:lang w:eastAsia="en-US"/>
        </w:rPr>
        <w:t>t passed in Queensland in 1922</w:t>
      </w:r>
      <w:r w:rsidR="00E8304F">
        <w:rPr>
          <w:lang w:eastAsia="en-US"/>
        </w:rPr>
        <w:t>,</w:t>
      </w:r>
      <w:r w:rsidR="00AF5DD6">
        <w:rPr>
          <w:lang w:eastAsia="en-US"/>
        </w:rPr>
        <w:t xml:space="preserve"> </w:t>
      </w:r>
      <w:r>
        <w:rPr>
          <w:lang w:eastAsia="en-US"/>
        </w:rPr>
        <w:t>New South Wales in 1927, Victoria in 1935 and Tasmania in 1945, with the other states legislating on a commodity</w:t>
      </w:r>
      <w:r w:rsidR="000D513B">
        <w:rPr>
          <w:lang w:eastAsia="en-US"/>
        </w:rPr>
        <w:noBreakHyphen/>
      </w:r>
      <w:r>
        <w:rPr>
          <w:lang w:eastAsia="en-US"/>
        </w:rPr>
        <w:t>by</w:t>
      </w:r>
      <w:r w:rsidR="000D513B">
        <w:rPr>
          <w:lang w:eastAsia="en-US"/>
        </w:rPr>
        <w:noBreakHyphen/>
      </w:r>
      <w:r>
        <w:rPr>
          <w:lang w:eastAsia="en-US"/>
        </w:rPr>
        <w:t>commodity basis.</w:t>
      </w:r>
    </w:p>
    <w:p w:rsidR="001505AA" w:rsidRDefault="001505AA" w:rsidP="001505AA">
      <w:pPr>
        <w:pStyle w:val="BodyText"/>
        <w:rPr>
          <w:lang w:eastAsia="en-US"/>
        </w:rPr>
      </w:pPr>
      <w:r>
        <w:rPr>
          <w:lang w:eastAsia="en-US"/>
        </w:rPr>
        <w:t>By 1939, most agricultural industries in Australia were protected by some form of statutory marketing</w:t>
      </w:r>
      <w:r w:rsidR="00125014">
        <w:rPr>
          <w:lang w:eastAsia="en-US"/>
        </w:rPr>
        <w:t xml:space="preserve"> </w:t>
      </w:r>
      <w:r w:rsidR="007602E8" w:rsidRPr="007602E8">
        <w:rPr>
          <w:szCs w:val="24"/>
        </w:rPr>
        <w:t>(Lloyd 1982)</w:t>
      </w:r>
      <w:r>
        <w:rPr>
          <w:lang w:eastAsia="en-US"/>
        </w:rPr>
        <w:t>. In 1982</w:t>
      </w:r>
      <w:r w:rsidR="00AD25B0">
        <w:rPr>
          <w:lang w:eastAsia="en-US"/>
        </w:rPr>
        <w:t xml:space="preserve"> </w:t>
      </w:r>
      <w:r>
        <w:rPr>
          <w:lang w:eastAsia="en-US"/>
        </w:rPr>
        <w:t>Australia had 11 marketing boards operating under Commonwealth legislation and more than 50 operating under state legislation</w:t>
      </w:r>
      <w:r w:rsidR="00AF5DD6">
        <w:rPr>
          <w:lang w:eastAsia="en-US"/>
        </w:rPr>
        <w:t xml:space="preserve"> </w:t>
      </w:r>
      <w:r w:rsidR="007602E8" w:rsidRPr="007602E8">
        <w:rPr>
          <w:szCs w:val="24"/>
        </w:rPr>
        <w:t>(Watson and Parish 1982)</w:t>
      </w:r>
      <w:r w:rsidR="00864424">
        <w:rPr>
          <w:lang w:eastAsia="en-US"/>
        </w:rPr>
        <w:t xml:space="preserve"> (table </w:t>
      </w:r>
      <w:proofErr w:type="spellStart"/>
      <w:r w:rsidR="00864424">
        <w:rPr>
          <w:lang w:eastAsia="en-US"/>
        </w:rPr>
        <w:t>B.1</w:t>
      </w:r>
      <w:proofErr w:type="spellEnd"/>
      <w:r w:rsidR="00864424">
        <w:rPr>
          <w:lang w:eastAsia="en-US"/>
        </w:rPr>
        <w:t>)</w:t>
      </w:r>
      <w:r>
        <w:rPr>
          <w:lang w:eastAsia="en-US"/>
        </w:rPr>
        <w:t xml:space="preserve">. </w:t>
      </w:r>
    </w:p>
    <w:p w:rsidR="001505AA" w:rsidRDefault="001505AA" w:rsidP="001505AA">
      <w:pPr>
        <w:pStyle w:val="BodyText"/>
        <w:rPr>
          <w:lang w:eastAsia="en-US"/>
        </w:rPr>
      </w:pPr>
      <w:r>
        <w:t xml:space="preserve">Statutory marketing </w:t>
      </w:r>
      <w:r w:rsidR="008F385B">
        <w:t>is</w:t>
      </w:r>
      <w:r>
        <w:t xml:space="preserve"> a package of inter</w:t>
      </w:r>
      <w:r w:rsidR="000D513B">
        <w:noBreakHyphen/>
      </w:r>
      <w:r>
        <w:t>related regulation</w:t>
      </w:r>
      <w:r w:rsidR="00B54AAD">
        <w:t>s</w:t>
      </w:r>
      <w:r>
        <w:t xml:space="preserve"> that compel farmers to sell to a single marketing agent, protect industries from international competition, and set domestic prices above export parity </w:t>
      </w:r>
      <w:r w:rsidR="007602E8" w:rsidRPr="007602E8">
        <w:rPr>
          <w:szCs w:val="24"/>
        </w:rPr>
        <w:t>(Watson and Parish 1982)</w:t>
      </w:r>
      <w:r w:rsidR="00125014">
        <w:t>.</w:t>
      </w:r>
      <w:r>
        <w:t xml:space="preserve"> </w:t>
      </w:r>
      <w:r>
        <w:rPr>
          <w:lang w:eastAsia="en-US"/>
        </w:rPr>
        <w:t>A degree of complexity made them costly to administer</w:t>
      </w:r>
      <w:r w:rsidR="001009B7">
        <w:rPr>
          <w:lang w:eastAsia="en-US"/>
        </w:rPr>
        <w:t xml:space="preserve"> </w:t>
      </w:r>
      <w:r w:rsidR="00125014">
        <w:rPr>
          <w:lang w:eastAsia="en-US"/>
        </w:rPr>
        <w:t xml:space="preserve">with </w:t>
      </w:r>
      <w:r>
        <w:rPr>
          <w:lang w:eastAsia="en-US"/>
        </w:rPr>
        <w:t xml:space="preserve">the burden of these administrative costs </w:t>
      </w:r>
      <w:r w:rsidR="00125014">
        <w:rPr>
          <w:lang w:eastAsia="en-US"/>
        </w:rPr>
        <w:t>being</w:t>
      </w:r>
      <w:r>
        <w:rPr>
          <w:lang w:eastAsia="en-US"/>
        </w:rPr>
        <w:t xml:space="preserve"> met by taxpayers and consumers. A raft of supporting legislation </w:t>
      </w:r>
      <w:r w:rsidR="0043791B">
        <w:rPr>
          <w:lang w:eastAsia="en-US"/>
        </w:rPr>
        <w:t xml:space="preserve">was required </w:t>
      </w:r>
      <w:r>
        <w:rPr>
          <w:lang w:eastAsia="en-US"/>
        </w:rPr>
        <w:t>to establish and maint</w:t>
      </w:r>
      <w:r w:rsidR="00125014">
        <w:rPr>
          <w:lang w:eastAsia="en-US"/>
        </w:rPr>
        <w:t xml:space="preserve">ain statutory marketing boards </w:t>
      </w:r>
      <w:r>
        <w:rPr>
          <w:lang w:eastAsia="en-US"/>
        </w:rPr>
        <w:t>including:</w:t>
      </w:r>
    </w:p>
    <w:p w:rsidR="001505AA" w:rsidRDefault="001505AA" w:rsidP="004D45F1">
      <w:pPr>
        <w:pStyle w:val="ListBullet"/>
        <w:rPr>
          <w:lang w:eastAsia="en-US"/>
        </w:rPr>
      </w:pPr>
      <w:r>
        <w:rPr>
          <w:lang w:eastAsia="en-US"/>
        </w:rPr>
        <w:t>procedures for setting up ma</w:t>
      </w:r>
      <w:r w:rsidR="00592191">
        <w:rPr>
          <w:lang w:eastAsia="en-US"/>
        </w:rPr>
        <w:t>rketing boards</w:t>
      </w:r>
    </w:p>
    <w:p w:rsidR="001505AA" w:rsidRDefault="001505AA" w:rsidP="004D45F1">
      <w:pPr>
        <w:pStyle w:val="ListBullet"/>
        <w:rPr>
          <w:lang w:eastAsia="en-US"/>
        </w:rPr>
      </w:pPr>
      <w:r>
        <w:rPr>
          <w:lang w:eastAsia="en-US"/>
        </w:rPr>
        <w:t>tariffs, quotas and other restrictions on trade to protect marketing board</w:t>
      </w:r>
      <w:r w:rsidR="00E8304F">
        <w:rPr>
          <w:lang w:eastAsia="en-US"/>
        </w:rPr>
        <w:t>s</w:t>
      </w:r>
      <w:r w:rsidR="00592191">
        <w:rPr>
          <w:lang w:eastAsia="en-US"/>
        </w:rPr>
        <w:t xml:space="preserve"> from international competition</w:t>
      </w:r>
    </w:p>
    <w:p w:rsidR="001505AA" w:rsidRDefault="001505AA" w:rsidP="004D45F1">
      <w:pPr>
        <w:pStyle w:val="ListBullet"/>
        <w:rPr>
          <w:lang w:eastAsia="en-US"/>
        </w:rPr>
      </w:pPr>
      <w:r>
        <w:rPr>
          <w:lang w:eastAsia="en-US"/>
        </w:rPr>
        <w:t xml:space="preserve">legislation to protect marketing boards from </w:t>
      </w:r>
      <w:r w:rsidR="00592191">
        <w:rPr>
          <w:lang w:eastAsia="en-US"/>
        </w:rPr>
        <w:t>legal challenges</w:t>
      </w:r>
    </w:p>
    <w:p w:rsidR="001505AA" w:rsidRDefault="001505AA" w:rsidP="004D45F1">
      <w:pPr>
        <w:pStyle w:val="ListBullet"/>
        <w:rPr>
          <w:lang w:eastAsia="en-US"/>
        </w:rPr>
      </w:pPr>
      <w:r>
        <w:rPr>
          <w:lang w:eastAsia="en-US"/>
        </w:rPr>
        <w:t xml:space="preserve">exemptions for marketing boards from trade practices and </w:t>
      </w:r>
      <w:r w:rsidR="00592191">
        <w:rPr>
          <w:lang w:eastAsia="en-US"/>
        </w:rPr>
        <w:t>consumer protection legislation</w:t>
      </w:r>
      <w:r>
        <w:rPr>
          <w:lang w:eastAsia="en-US"/>
        </w:rPr>
        <w:t xml:space="preserve"> </w:t>
      </w:r>
    </w:p>
    <w:p w:rsidR="001505AA" w:rsidRDefault="001505AA" w:rsidP="004D45F1">
      <w:pPr>
        <w:pStyle w:val="ListBullet"/>
        <w:rPr>
          <w:lang w:eastAsia="en-US"/>
        </w:rPr>
      </w:pPr>
      <w:r>
        <w:rPr>
          <w:lang w:eastAsia="en-US"/>
        </w:rPr>
        <w:t>subsidised finance for marketing boards</w:t>
      </w:r>
      <w:r w:rsidR="00AF5DD6">
        <w:rPr>
          <w:lang w:eastAsia="en-US"/>
        </w:rPr>
        <w:t xml:space="preserve"> </w:t>
      </w:r>
      <w:r w:rsidR="007602E8" w:rsidRPr="007602E8">
        <w:rPr>
          <w:szCs w:val="24"/>
        </w:rPr>
        <w:t>(Watson and Parish 1982)</w:t>
      </w:r>
      <w:r>
        <w:rPr>
          <w:lang w:eastAsia="en-US"/>
        </w:rPr>
        <w:t>.</w:t>
      </w:r>
    </w:p>
    <w:p w:rsidR="001505AA" w:rsidRDefault="001505AA" w:rsidP="001505AA">
      <w:pPr>
        <w:pStyle w:val="BodyText"/>
        <w:rPr>
          <w:lang w:eastAsia="en-US"/>
        </w:rPr>
      </w:pPr>
      <w:r>
        <w:rPr>
          <w:lang w:eastAsia="en-US"/>
        </w:rPr>
        <w:t>Statutory marketing boards were usually established after a referendum of producers</w:t>
      </w:r>
      <w:r w:rsidR="000F474A">
        <w:rPr>
          <w:lang w:eastAsia="en-US"/>
        </w:rPr>
        <w:t>,</w:t>
      </w:r>
      <w:r>
        <w:rPr>
          <w:lang w:eastAsia="en-US"/>
        </w:rPr>
        <w:t xml:space="preserve"> and performed the basic processing and trading functions of cooperatives </w:t>
      </w:r>
      <w:r w:rsidR="007602E8" w:rsidRPr="007602E8">
        <w:rPr>
          <w:szCs w:val="24"/>
        </w:rPr>
        <w:t>(Watson and Parish 1982)</w:t>
      </w:r>
      <w:r>
        <w:rPr>
          <w:lang w:eastAsia="en-US"/>
        </w:rPr>
        <w:t xml:space="preserve">. These included consolidating production from multiple farms throughout the year into supply chains providing consistent quantities and quality to realise economies of </w:t>
      </w:r>
      <w:r>
        <w:rPr>
          <w:lang w:eastAsia="en-US"/>
        </w:rPr>
        <w:lastRenderedPageBreak/>
        <w:t xml:space="preserve">scale in processing. Pooling production also enabled statutory marketing boards to average prices and stabilise farm incomes. </w:t>
      </w:r>
    </w:p>
    <w:p w:rsidR="001505AA" w:rsidRDefault="001505AA" w:rsidP="001505AA">
      <w:pPr>
        <w:pStyle w:val="BodyText"/>
        <w:rPr>
          <w:lang w:eastAsia="en-US"/>
        </w:rPr>
      </w:pPr>
      <w:r>
        <w:rPr>
          <w:lang w:eastAsia="en-US"/>
        </w:rPr>
        <w:t xml:space="preserve">Stabilising prices and incomes </w:t>
      </w:r>
      <w:r w:rsidR="00DE10D7">
        <w:rPr>
          <w:lang w:eastAsia="en-US"/>
        </w:rPr>
        <w:t>were</w:t>
      </w:r>
      <w:r>
        <w:rPr>
          <w:lang w:eastAsia="en-US"/>
        </w:rPr>
        <w:t xml:space="preserve"> key </w:t>
      </w:r>
      <w:r w:rsidR="00DE10D7">
        <w:rPr>
          <w:lang w:eastAsia="en-US"/>
        </w:rPr>
        <w:t>objectives</w:t>
      </w:r>
      <w:r>
        <w:rPr>
          <w:lang w:eastAsia="en-US"/>
        </w:rPr>
        <w:t xml:space="preserve"> of statutory marketing boards partly as a result </w:t>
      </w:r>
      <w:r w:rsidR="00AF5DD6">
        <w:rPr>
          <w:lang w:eastAsia="en-US"/>
        </w:rPr>
        <w:t xml:space="preserve">of </w:t>
      </w:r>
      <w:r>
        <w:rPr>
          <w:lang w:eastAsia="en-US"/>
        </w:rPr>
        <w:t xml:space="preserve">production risk arising from Australia’s variable climate, and partly as a response to </w:t>
      </w:r>
      <w:r w:rsidR="00AF5DD6">
        <w:rPr>
          <w:lang w:eastAsia="en-US"/>
        </w:rPr>
        <w:t>the</w:t>
      </w:r>
      <w:r>
        <w:rPr>
          <w:lang w:eastAsia="en-US"/>
        </w:rPr>
        <w:t xml:space="preserve"> volatility of export markets. </w:t>
      </w:r>
      <w:r w:rsidR="00AF5DD6">
        <w:rPr>
          <w:lang w:eastAsia="en-US"/>
        </w:rPr>
        <w:t>The</w:t>
      </w:r>
      <w:r>
        <w:rPr>
          <w:lang w:eastAsia="en-US"/>
        </w:rPr>
        <w:t xml:space="preserve"> volatility </w:t>
      </w:r>
      <w:r w:rsidR="00AF5DD6">
        <w:rPr>
          <w:lang w:eastAsia="en-US"/>
        </w:rPr>
        <w:t xml:space="preserve">of export markets </w:t>
      </w:r>
      <w:r>
        <w:rPr>
          <w:lang w:eastAsia="en-US"/>
        </w:rPr>
        <w:t xml:space="preserve">was exacerbated by </w:t>
      </w:r>
      <w:r w:rsidR="00DE10D7">
        <w:rPr>
          <w:lang w:eastAsia="en-US"/>
        </w:rPr>
        <w:t xml:space="preserve">the then </w:t>
      </w:r>
      <w:r>
        <w:rPr>
          <w:lang w:eastAsia="en-US"/>
        </w:rPr>
        <w:t xml:space="preserve">fixed exchange rate policies </w:t>
      </w:r>
      <w:r w:rsidR="004D45F1" w:rsidRPr="004D45F1">
        <w:rPr>
          <w:szCs w:val="24"/>
        </w:rPr>
        <w:t>(Atkin et al. 2014; IC 1991)</w:t>
      </w:r>
      <w:r w:rsidR="009272C3">
        <w:rPr>
          <w:lang w:eastAsia="en-US"/>
        </w:rPr>
        <w:t>.</w:t>
      </w:r>
      <w:r>
        <w:rPr>
          <w:lang w:eastAsia="en-US"/>
        </w:rPr>
        <w:t xml:space="preserve"> A supply response to booming agricultural prices towards the end of World War I led to dramatic falls in </w:t>
      </w:r>
      <w:r w:rsidR="00AF5DD6">
        <w:rPr>
          <w:lang w:eastAsia="en-US"/>
        </w:rPr>
        <w:t xml:space="preserve">export prices in the </w:t>
      </w:r>
      <w:r w:rsidR="00E8304F">
        <w:rPr>
          <w:lang w:eastAsia="en-US"/>
        </w:rPr>
        <w:t>mid–</w:t>
      </w:r>
      <w:proofErr w:type="spellStart"/>
      <w:r w:rsidR="00E8304F">
        <w:rPr>
          <w:lang w:eastAsia="en-US"/>
        </w:rPr>
        <w:t>1920s</w:t>
      </w:r>
      <w:proofErr w:type="spellEnd"/>
      <w:r w:rsidR="00AF5DD6">
        <w:rPr>
          <w:lang w:eastAsia="en-US"/>
        </w:rPr>
        <w:t xml:space="preserve">. </w:t>
      </w:r>
      <w:r w:rsidR="006B65E4">
        <w:rPr>
          <w:lang w:eastAsia="en-US"/>
        </w:rPr>
        <w:t xml:space="preserve">Concerns </w:t>
      </w:r>
      <w:r>
        <w:rPr>
          <w:lang w:eastAsia="en-US"/>
        </w:rPr>
        <w:t xml:space="preserve">that this experience would be repeated following World War II </w:t>
      </w:r>
      <w:r w:rsidR="006B65E4">
        <w:rPr>
          <w:lang w:eastAsia="en-US"/>
        </w:rPr>
        <w:t xml:space="preserve">formed the basis of arguments put forward </w:t>
      </w:r>
      <w:r>
        <w:rPr>
          <w:lang w:eastAsia="en-US"/>
        </w:rPr>
        <w:t xml:space="preserve">to </w:t>
      </w:r>
      <w:r w:rsidR="00AF5DD6">
        <w:rPr>
          <w:lang w:eastAsia="en-US"/>
        </w:rPr>
        <w:t>expand</w:t>
      </w:r>
      <w:r>
        <w:rPr>
          <w:lang w:eastAsia="en-US"/>
        </w:rPr>
        <w:t xml:space="preserve"> statutory marketing </w:t>
      </w:r>
      <w:r w:rsidR="007602E8" w:rsidRPr="007602E8">
        <w:rPr>
          <w:szCs w:val="24"/>
        </w:rPr>
        <w:t>(Lloyd 1982)</w:t>
      </w:r>
      <w:r>
        <w:rPr>
          <w:lang w:eastAsia="en-US"/>
        </w:rPr>
        <w:t xml:space="preserve">. </w:t>
      </w:r>
      <w:r w:rsidR="007A23A5">
        <w:rPr>
          <w:lang w:eastAsia="en-US"/>
        </w:rPr>
        <w:t xml:space="preserve">These </w:t>
      </w:r>
      <w:r w:rsidR="006B65E4">
        <w:rPr>
          <w:lang w:eastAsia="en-US"/>
        </w:rPr>
        <w:t xml:space="preserve">concerns </w:t>
      </w:r>
      <w:r w:rsidR="007A23A5">
        <w:rPr>
          <w:lang w:eastAsia="en-US"/>
        </w:rPr>
        <w:t>were realised during the Korean War when a surge in demand for wool in the United States coincided with a drought</w:t>
      </w:r>
      <w:r w:rsidR="000D513B">
        <w:rPr>
          <w:lang w:eastAsia="en-US"/>
        </w:rPr>
        <w:noBreakHyphen/>
      </w:r>
      <w:r w:rsidR="007A23A5">
        <w:rPr>
          <w:lang w:eastAsia="en-US"/>
        </w:rPr>
        <w:t xml:space="preserve">induced drop in sheep numbers </w:t>
      </w:r>
      <w:r w:rsidR="007A23A5" w:rsidRPr="00050FD3">
        <w:rPr>
          <w:szCs w:val="24"/>
        </w:rPr>
        <w:t>(Atkin et al. 2014)</w:t>
      </w:r>
      <w:r w:rsidR="007A23A5">
        <w:rPr>
          <w:lang w:eastAsia="en-US"/>
        </w:rPr>
        <w:t xml:space="preserve"> and the selling off of a wool stockpile that had accumulated during World War II </w:t>
      </w:r>
      <w:r w:rsidR="007A23A5" w:rsidRPr="00050FD3">
        <w:rPr>
          <w:szCs w:val="24"/>
        </w:rPr>
        <w:t>(Richardson 2001)</w:t>
      </w:r>
      <w:r w:rsidR="007A23A5">
        <w:rPr>
          <w:lang w:eastAsia="en-US"/>
        </w:rPr>
        <w:t xml:space="preserve">. The consequent spike in wool prices and </w:t>
      </w:r>
      <w:r w:rsidR="000F474A">
        <w:rPr>
          <w:lang w:eastAsia="en-US"/>
        </w:rPr>
        <w:t>a</w:t>
      </w:r>
      <w:r w:rsidR="00E8304F">
        <w:rPr>
          <w:lang w:eastAsia="en-US"/>
        </w:rPr>
        <w:t xml:space="preserve"> </w:t>
      </w:r>
      <w:r w:rsidR="007A23A5">
        <w:rPr>
          <w:lang w:eastAsia="en-US"/>
        </w:rPr>
        <w:t>fixed exchange rate sent Australia’s terms of trade to their highest level to date, w</w:t>
      </w:r>
      <w:r w:rsidR="004D45F1">
        <w:rPr>
          <w:lang w:eastAsia="en-US"/>
        </w:rPr>
        <w:t>ith</w:t>
      </w:r>
      <w:r w:rsidR="007A23A5">
        <w:rPr>
          <w:lang w:eastAsia="en-US"/>
        </w:rPr>
        <w:t xml:space="preserve"> significant impacts throughout the economy </w:t>
      </w:r>
      <w:r w:rsidR="007A23A5" w:rsidRPr="00670D3D">
        <w:rPr>
          <w:szCs w:val="24"/>
        </w:rPr>
        <w:t>(Atkin et al. 2014)</w:t>
      </w:r>
      <w:r w:rsidR="007A23A5">
        <w:rPr>
          <w:lang w:eastAsia="en-US"/>
        </w:rPr>
        <w:t>.</w:t>
      </w:r>
    </w:p>
    <w:p w:rsidR="001505AA" w:rsidRDefault="001505AA" w:rsidP="001505AA">
      <w:pPr>
        <w:pStyle w:val="BodyText"/>
        <w:rPr>
          <w:lang w:eastAsia="en-US"/>
        </w:rPr>
      </w:pPr>
      <w:r>
        <w:rPr>
          <w:lang w:eastAsia="en-US"/>
        </w:rPr>
        <w:t xml:space="preserve">Statutory marketing boards were originally seen as providing a public good service to remote and isolated agricultural producers. Remoteness, isolation and lack of marketing expertise were seen as placing farmers at a significant disadvantage in negotiating sales </w:t>
      </w:r>
      <w:r w:rsidR="0051327F" w:rsidRPr="0051327F">
        <w:rPr>
          <w:szCs w:val="24"/>
        </w:rPr>
        <w:t>(</w:t>
      </w:r>
      <w:proofErr w:type="spellStart"/>
      <w:r w:rsidR="0051327F" w:rsidRPr="0051327F">
        <w:rPr>
          <w:szCs w:val="24"/>
        </w:rPr>
        <w:t>Sapiro</w:t>
      </w:r>
      <w:proofErr w:type="spellEnd"/>
      <w:r w:rsidR="0051327F" w:rsidRPr="0051327F">
        <w:rPr>
          <w:szCs w:val="24"/>
        </w:rPr>
        <w:t> 1923)</w:t>
      </w:r>
      <w:r w:rsidR="0051327F">
        <w:rPr>
          <w:lang w:eastAsia="en-US"/>
        </w:rPr>
        <w:t>. L</w:t>
      </w:r>
      <w:r>
        <w:rPr>
          <w:lang w:eastAsia="en-US"/>
        </w:rPr>
        <w:t>arge number</w:t>
      </w:r>
      <w:r w:rsidR="006B65E4">
        <w:rPr>
          <w:lang w:eastAsia="en-US"/>
        </w:rPr>
        <w:t>s</w:t>
      </w:r>
      <w:r>
        <w:rPr>
          <w:lang w:eastAsia="en-US"/>
        </w:rPr>
        <w:t xml:space="preserve"> of diverse and widely distributed producers tended to work against the voluntary formation of marketing cooperatives in many of Australia’s agricultural industries </w:t>
      </w:r>
      <w:r w:rsidR="0051327F" w:rsidRPr="0051327F">
        <w:rPr>
          <w:szCs w:val="24"/>
        </w:rPr>
        <w:t>(Lewis 1961)</w:t>
      </w:r>
      <w:r>
        <w:rPr>
          <w:lang w:eastAsia="en-US"/>
        </w:rPr>
        <w:t>. This was addressed by compelling producer participation in these cooperatives by law, such that they became know</w:t>
      </w:r>
      <w:r w:rsidR="0051327F">
        <w:rPr>
          <w:lang w:eastAsia="en-US"/>
        </w:rPr>
        <w:t xml:space="preserve">n as </w:t>
      </w:r>
      <w:r w:rsidR="00CD224B">
        <w:rPr>
          <w:lang w:eastAsia="en-US"/>
        </w:rPr>
        <w:t>‘</w:t>
      </w:r>
      <w:r w:rsidR="0051327F">
        <w:rPr>
          <w:lang w:eastAsia="en-US"/>
        </w:rPr>
        <w:t>compulsory cooperative</w:t>
      </w:r>
      <w:r w:rsidR="009272C3">
        <w:rPr>
          <w:lang w:eastAsia="en-US"/>
        </w:rPr>
        <w:t>s</w:t>
      </w:r>
      <w:r w:rsidR="00CD224B">
        <w:rPr>
          <w:lang w:eastAsia="en-US"/>
        </w:rPr>
        <w:t>’</w:t>
      </w:r>
      <w:r w:rsidR="009272C3">
        <w:rPr>
          <w:lang w:eastAsia="en-US"/>
        </w:rPr>
        <w:t xml:space="preserve"> </w:t>
      </w:r>
      <w:r w:rsidR="009272C3" w:rsidRPr="009272C3">
        <w:rPr>
          <w:szCs w:val="24"/>
        </w:rPr>
        <w:t>(Watson and Parish 1982)</w:t>
      </w:r>
      <w:r w:rsidR="0051327F">
        <w:rPr>
          <w:lang w:eastAsia="en-US"/>
        </w:rPr>
        <w:t>.</w:t>
      </w:r>
    </w:p>
    <w:p w:rsidR="004279F4" w:rsidRDefault="004279F4" w:rsidP="004279F4">
      <w:pPr>
        <w:pStyle w:val="BodyText"/>
        <w:rPr>
          <w:lang w:eastAsia="en-US"/>
        </w:rPr>
      </w:pPr>
      <w:r>
        <w:rPr>
          <w:lang w:eastAsia="en-US"/>
        </w:rPr>
        <w:t xml:space="preserve">A feature of Australia’s statutory marketing boards was that their activities went beyond the basic functions of cooperative marketing. In industries where conditions were conducive, tariff protection and import controls were used to divide domestic and international markets, and raise prices in domestic markets where demand was less responsive to price </w:t>
      </w:r>
      <w:r w:rsidR="007602E8" w:rsidRPr="007602E8">
        <w:rPr>
          <w:szCs w:val="24"/>
        </w:rPr>
        <w:t>(Watson and Parish 1982)</w:t>
      </w:r>
      <w:r>
        <w:rPr>
          <w:lang w:eastAsia="en-US"/>
        </w:rPr>
        <w:t>. These measures added the protective effect of raising prices to the insurance effect of income pooling and the equalisat</w:t>
      </w:r>
      <w:r w:rsidR="00D07364">
        <w:rPr>
          <w:lang w:eastAsia="en-US"/>
        </w:rPr>
        <w:t>ion effect of average pricing. Internationally, t</w:t>
      </w:r>
      <w:r>
        <w:rPr>
          <w:lang w:eastAsia="en-US"/>
        </w:rPr>
        <w:t xml:space="preserve">his overall package of statutory marketing activities became known as </w:t>
      </w:r>
      <w:r w:rsidR="00CD224B">
        <w:rPr>
          <w:lang w:eastAsia="en-US"/>
        </w:rPr>
        <w:t>‘</w:t>
      </w:r>
      <w:r>
        <w:rPr>
          <w:lang w:eastAsia="en-US"/>
        </w:rPr>
        <w:t>orderly</w:t>
      </w:r>
      <w:r w:rsidR="00CD224B">
        <w:rPr>
          <w:lang w:eastAsia="en-US"/>
        </w:rPr>
        <w:t>’</w:t>
      </w:r>
      <w:r>
        <w:rPr>
          <w:lang w:eastAsia="en-US"/>
        </w:rPr>
        <w:t xml:space="preserve"> marketing </w:t>
      </w:r>
      <w:r w:rsidRPr="0012775D">
        <w:rPr>
          <w:szCs w:val="24"/>
        </w:rPr>
        <w:t>(</w:t>
      </w:r>
      <w:proofErr w:type="spellStart"/>
      <w:r w:rsidRPr="0012775D">
        <w:rPr>
          <w:szCs w:val="24"/>
        </w:rPr>
        <w:t>Sapiro</w:t>
      </w:r>
      <w:proofErr w:type="spellEnd"/>
      <w:r w:rsidRPr="0012775D">
        <w:rPr>
          <w:szCs w:val="24"/>
        </w:rPr>
        <w:t> 1923)</w:t>
      </w:r>
      <w:r>
        <w:rPr>
          <w:lang w:eastAsia="en-US"/>
        </w:rPr>
        <w:t>.</w:t>
      </w:r>
      <w:r w:rsidR="004F465F">
        <w:rPr>
          <w:lang w:eastAsia="en-US"/>
        </w:rPr>
        <w:t xml:space="preserve"> The Tariff Board was set up to advise the government on the level of assistance that should be provided to industry </w:t>
      </w:r>
      <w:r w:rsidR="004F465F" w:rsidRPr="002A5E8D">
        <w:rPr>
          <w:szCs w:val="24"/>
        </w:rPr>
        <w:t>(</w:t>
      </w:r>
      <w:proofErr w:type="spellStart"/>
      <w:r w:rsidR="004F465F" w:rsidRPr="002A5E8D">
        <w:rPr>
          <w:szCs w:val="24"/>
        </w:rPr>
        <w:t>Emmery</w:t>
      </w:r>
      <w:proofErr w:type="spellEnd"/>
      <w:r w:rsidR="004F465F" w:rsidRPr="002A5E8D">
        <w:rPr>
          <w:szCs w:val="24"/>
        </w:rPr>
        <w:t> 1999)</w:t>
      </w:r>
      <w:r w:rsidR="004F465F">
        <w:rPr>
          <w:lang w:eastAsia="en-US"/>
        </w:rPr>
        <w:t>. Th</w:t>
      </w:r>
      <w:r w:rsidR="006B65E4">
        <w:rPr>
          <w:lang w:eastAsia="en-US"/>
        </w:rPr>
        <w:t xml:space="preserve">e Tariff Board </w:t>
      </w:r>
      <w:r w:rsidR="004F465F">
        <w:rPr>
          <w:lang w:eastAsia="en-US"/>
        </w:rPr>
        <w:t>later became the Industry Assistance Commission (1974), the Industry Commission (1989) and the Productivity Commission (1998).</w:t>
      </w:r>
    </w:p>
    <w:p w:rsidR="004279F4" w:rsidRDefault="004279F4" w:rsidP="004279F4">
      <w:pPr>
        <w:pStyle w:val="BodyText"/>
        <w:rPr>
          <w:lang w:eastAsia="en-US"/>
        </w:rPr>
      </w:pPr>
      <w:r>
        <w:rPr>
          <w:lang w:eastAsia="en-US"/>
        </w:rPr>
        <w:t xml:space="preserve">Later schemes including those for wheat and wool used government funds to guarantee a minimum export price. An argument used to sustain statutory marketing boards for these and other commodities was an ability to generate price </w:t>
      </w:r>
      <w:proofErr w:type="spellStart"/>
      <w:r>
        <w:rPr>
          <w:lang w:eastAsia="en-US"/>
        </w:rPr>
        <w:t>premia</w:t>
      </w:r>
      <w:proofErr w:type="spellEnd"/>
      <w:r>
        <w:rPr>
          <w:lang w:eastAsia="en-US"/>
        </w:rPr>
        <w:t xml:space="preserve"> by acting as monopolies in international markets </w:t>
      </w:r>
      <w:r w:rsidRPr="0012775D">
        <w:rPr>
          <w:szCs w:val="24"/>
        </w:rPr>
        <w:t>(PC 2000)</w:t>
      </w:r>
      <w:r>
        <w:rPr>
          <w:lang w:eastAsia="en-US"/>
        </w:rPr>
        <w:t>.</w:t>
      </w:r>
      <w:r w:rsidR="00405D69">
        <w:rPr>
          <w:lang w:eastAsia="en-US"/>
        </w:rPr>
        <w:t xml:space="preserve"> Such arguments had little merit, as Australia </w:t>
      </w:r>
      <w:r w:rsidR="006B65E4">
        <w:rPr>
          <w:lang w:eastAsia="en-US"/>
        </w:rPr>
        <w:t xml:space="preserve">was </w:t>
      </w:r>
      <w:r w:rsidR="00405D69">
        <w:rPr>
          <w:lang w:eastAsia="en-US"/>
        </w:rPr>
        <w:t>rarely a price maker in international markets.</w:t>
      </w:r>
    </w:p>
    <w:p w:rsidR="00E02ABC" w:rsidRPr="000D513B" w:rsidRDefault="00E02ABC" w:rsidP="00E02ABC">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E02ABC" w:rsidTr="00E02ABC">
        <w:tc>
          <w:tcPr>
            <w:tcW w:w="8771" w:type="dxa"/>
            <w:tcBorders>
              <w:top w:val="single" w:sz="6" w:space="0" w:color="78A22F"/>
              <w:left w:val="nil"/>
              <w:bottom w:val="nil"/>
              <w:right w:val="nil"/>
            </w:tcBorders>
            <w:shd w:val="clear" w:color="auto" w:fill="auto"/>
          </w:tcPr>
          <w:p w:rsidR="00E02ABC" w:rsidRDefault="00E02ABC" w:rsidP="00E02ABC">
            <w:pPr>
              <w:pStyle w:val="TableTitle"/>
            </w:pPr>
            <w:r>
              <w:rPr>
                <w:b w:val="0"/>
              </w:rPr>
              <w:t xml:space="preserve">Table </w:t>
            </w:r>
            <w:proofErr w:type="spellStart"/>
            <w:r>
              <w:rPr>
                <w:b w:val="0"/>
              </w:rPr>
              <w:t>B.</w:t>
            </w:r>
            <w:r w:rsidR="002C1ABB">
              <w:rPr>
                <w:b w:val="0"/>
                <w:noProof/>
              </w:rPr>
              <w:t>1</w:t>
            </w:r>
            <w:proofErr w:type="spellEnd"/>
            <w:r>
              <w:tab/>
              <w:t>Statutory marketing authorities by commodity and state</w:t>
            </w:r>
          </w:p>
          <w:p w:rsidR="00E02ABC" w:rsidRPr="00784A05" w:rsidRDefault="00E02ABC" w:rsidP="00E02ABC">
            <w:pPr>
              <w:pStyle w:val="Subtitle"/>
            </w:pPr>
            <w:r w:rsidRPr="007C5F6F">
              <w:t>1980</w:t>
            </w:r>
          </w:p>
        </w:tc>
      </w:tr>
      <w:tr w:rsidR="00E02ABC" w:rsidTr="00E02ABC">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248"/>
              <w:gridCol w:w="1282"/>
              <w:gridCol w:w="852"/>
              <w:gridCol w:w="852"/>
              <w:gridCol w:w="850"/>
              <w:gridCol w:w="850"/>
              <w:gridCol w:w="850"/>
              <w:gridCol w:w="703"/>
            </w:tblGrid>
            <w:tr w:rsidR="00E02ABC" w:rsidTr="00E02ABC">
              <w:tc>
                <w:tcPr>
                  <w:tcW w:w="1324" w:type="pct"/>
                  <w:tcBorders>
                    <w:top w:val="single" w:sz="6" w:space="0" w:color="BFBFBF"/>
                    <w:bottom w:val="single" w:sz="6" w:space="0" w:color="BFBFBF"/>
                  </w:tcBorders>
                  <w:shd w:val="clear" w:color="auto" w:fill="auto"/>
                  <w:tcMar>
                    <w:top w:w="28" w:type="dxa"/>
                  </w:tcMar>
                </w:tcPr>
                <w:p w:rsidR="00E02ABC" w:rsidRPr="00EB6DED" w:rsidRDefault="00E02ABC" w:rsidP="00E02ABC">
                  <w:pPr>
                    <w:pStyle w:val="TableColumnHeading"/>
                    <w:jc w:val="center"/>
                  </w:pPr>
                </w:p>
              </w:tc>
              <w:tc>
                <w:tcPr>
                  <w:tcW w:w="755" w:type="pct"/>
                  <w:tcBorders>
                    <w:top w:val="single" w:sz="6" w:space="0" w:color="BFBFBF"/>
                    <w:bottom w:val="single" w:sz="6" w:space="0" w:color="BFBFBF"/>
                  </w:tcBorders>
                  <w:vAlign w:val="center"/>
                </w:tcPr>
                <w:p w:rsidR="00E02ABC" w:rsidRPr="00EB6DED" w:rsidRDefault="00E02ABC" w:rsidP="00E02ABC">
                  <w:pPr>
                    <w:pStyle w:val="TableColumnHeading"/>
                    <w:jc w:val="center"/>
                  </w:pPr>
                  <w:proofErr w:type="spellStart"/>
                  <w:r w:rsidRPr="00145E4B">
                    <w:t>Cwlth</w:t>
                  </w:r>
                  <w:proofErr w:type="spellEnd"/>
                </w:p>
              </w:tc>
              <w:tc>
                <w:tcPr>
                  <w:tcW w:w="502" w:type="pct"/>
                  <w:tcBorders>
                    <w:top w:val="single" w:sz="6" w:space="0" w:color="BFBFBF"/>
                    <w:bottom w:val="single" w:sz="6" w:space="0" w:color="BFBFBF"/>
                  </w:tcBorders>
                  <w:shd w:val="clear" w:color="auto" w:fill="auto"/>
                  <w:tcMar>
                    <w:top w:w="28" w:type="dxa"/>
                  </w:tcMar>
                  <w:vAlign w:val="center"/>
                </w:tcPr>
                <w:p w:rsidR="00E02ABC" w:rsidRPr="00EB6DED" w:rsidRDefault="00E02ABC" w:rsidP="00E02ABC">
                  <w:pPr>
                    <w:pStyle w:val="TableColumnHeading"/>
                    <w:jc w:val="center"/>
                  </w:pPr>
                  <w:r w:rsidRPr="00145E4B">
                    <w:t>NSW</w:t>
                  </w:r>
                </w:p>
              </w:tc>
              <w:tc>
                <w:tcPr>
                  <w:tcW w:w="502" w:type="pct"/>
                  <w:tcBorders>
                    <w:top w:val="single" w:sz="6" w:space="0" w:color="BFBFBF"/>
                    <w:bottom w:val="single" w:sz="6" w:space="0" w:color="BFBFBF"/>
                  </w:tcBorders>
                  <w:shd w:val="clear" w:color="auto" w:fill="auto"/>
                  <w:tcMar>
                    <w:top w:w="28" w:type="dxa"/>
                  </w:tcMar>
                  <w:vAlign w:val="center"/>
                </w:tcPr>
                <w:p w:rsidR="00E02ABC" w:rsidRPr="00EB6DED" w:rsidRDefault="00E02ABC" w:rsidP="00E02ABC">
                  <w:pPr>
                    <w:pStyle w:val="TableColumnHeading"/>
                    <w:jc w:val="center"/>
                  </w:pPr>
                  <w:r w:rsidRPr="00145E4B">
                    <w:t>Vic</w:t>
                  </w:r>
                </w:p>
              </w:tc>
              <w:tc>
                <w:tcPr>
                  <w:tcW w:w="501" w:type="pct"/>
                  <w:tcBorders>
                    <w:top w:val="single" w:sz="6" w:space="0" w:color="BFBFBF"/>
                    <w:bottom w:val="single" w:sz="6" w:space="0" w:color="BFBFBF"/>
                  </w:tcBorders>
                  <w:vAlign w:val="center"/>
                </w:tcPr>
                <w:p w:rsidR="00E02ABC" w:rsidRPr="00EB6DED" w:rsidRDefault="00E02ABC" w:rsidP="00E02ABC">
                  <w:pPr>
                    <w:pStyle w:val="TableColumnHeading"/>
                    <w:jc w:val="center"/>
                  </w:pPr>
                  <w:r w:rsidRPr="00145E4B">
                    <w:t>Qld</w:t>
                  </w:r>
                </w:p>
              </w:tc>
              <w:tc>
                <w:tcPr>
                  <w:tcW w:w="501" w:type="pct"/>
                  <w:tcBorders>
                    <w:top w:val="single" w:sz="6" w:space="0" w:color="BFBFBF"/>
                    <w:bottom w:val="single" w:sz="6" w:space="0" w:color="BFBFBF"/>
                  </w:tcBorders>
                  <w:vAlign w:val="center"/>
                </w:tcPr>
                <w:p w:rsidR="00E02ABC" w:rsidRPr="00EB6DED" w:rsidRDefault="00E02ABC" w:rsidP="00E02ABC">
                  <w:pPr>
                    <w:pStyle w:val="TableColumnHeading"/>
                    <w:jc w:val="center"/>
                  </w:pPr>
                  <w:r w:rsidRPr="00145E4B">
                    <w:t>SA</w:t>
                  </w:r>
                </w:p>
              </w:tc>
              <w:tc>
                <w:tcPr>
                  <w:tcW w:w="501" w:type="pct"/>
                  <w:tcBorders>
                    <w:top w:val="single" w:sz="6" w:space="0" w:color="BFBFBF"/>
                    <w:bottom w:val="single" w:sz="6" w:space="0" w:color="BFBFBF"/>
                  </w:tcBorders>
                  <w:vAlign w:val="center"/>
                </w:tcPr>
                <w:p w:rsidR="00E02ABC" w:rsidRPr="00EB6DED" w:rsidRDefault="00E02ABC" w:rsidP="00E02ABC">
                  <w:pPr>
                    <w:pStyle w:val="TableColumnHeading"/>
                    <w:jc w:val="center"/>
                  </w:pPr>
                  <w:r w:rsidRPr="00145E4B">
                    <w:t>WA</w:t>
                  </w:r>
                </w:p>
              </w:tc>
              <w:tc>
                <w:tcPr>
                  <w:tcW w:w="414" w:type="pct"/>
                  <w:tcBorders>
                    <w:top w:val="single" w:sz="6" w:space="0" w:color="BFBFBF"/>
                    <w:bottom w:val="single" w:sz="6" w:space="0" w:color="BFBFBF"/>
                  </w:tcBorders>
                  <w:vAlign w:val="center"/>
                </w:tcPr>
                <w:p w:rsidR="00E02ABC" w:rsidRPr="00EB6DED" w:rsidRDefault="00E02ABC" w:rsidP="00E02ABC">
                  <w:pPr>
                    <w:pStyle w:val="TableColumnHeading"/>
                    <w:jc w:val="center"/>
                  </w:pPr>
                  <w:proofErr w:type="spellStart"/>
                  <w:r w:rsidRPr="00145E4B">
                    <w:t>Tas</w:t>
                  </w:r>
                  <w:proofErr w:type="spellEnd"/>
                </w:p>
              </w:tc>
            </w:tr>
            <w:tr w:rsidR="00E02ABC" w:rsidTr="00E02ABC">
              <w:tc>
                <w:tcPr>
                  <w:tcW w:w="1324" w:type="pct"/>
                  <w:tcBorders>
                    <w:top w:val="single" w:sz="6" w:space="0" w:color="BFBFBF"/>
                  </w:tcBorders>
                  <w:vAlign w:val="center"/>
                </w:tcPr>
                <w:p w:rsidR="00E02ABC" w:rsidRDefault="00E02ABC" w:rsidP="00BA7430">
                  <w:pPr>
                    <w:pStyle w:val="TableBodyText"/>
                    <w:spacing w:after="0" w:line="240" w:lineRule="auto"/>
                    <w:jc w:val="left"/>
                  </w:pPr>
                  <w:r w:rsidRPr="00765F75">
                    <w:t>Wool</w:t>
                  </w:r>
                </w:p>
              </w:tc>
              <w:tc>
                <w:tcPr>
                  <w:tcW w:w="755" w:type="pct"/>
                  <w:tcBorders>
                    <w:top w:val="single" w:sz="6" w:space="0" w:color="BFBFBF"/>
                  </w:tcBorders>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2" w:type="pct"/>
                  <w:tcBorders>
                    <w:top w:val="single" w:sz="6" w:space="0" w:color="BFBFBF"/>
                  </w:tcBorders>
                  <w:vAlign w:val="center"/>
                </w:tcPr>
                <w:p w:rsidR="00E02ABC" w:rsidRPr="00BA7430" w:rsidRDefault="00E02ABC" w:rsidP="00BA7430">
                  <w:pPr>
                    <w:pStyle w:val="TableBodyText"/>
                    <w:spacing w:after="0" w:line="240" w:lineRule="auto"/>
                    <w:jc w:val="center"/>
                    <w:rPr>
                      <w:sz w:val="24"/>
                      <w:szCs w:val="24"/>
                    </w:rPr>
                  </w:pPr>
                </w:p>
              </w:tc>
              <w:tc>
                <w:tcPr>
                  <w:tcW w:w="502" w:type="pct"/>
                  <w:tcBorders>
                    <w:top w:val="single" w:sz="6" w:space="0" w:color="BFBFBF"/>
                  </w:tcBorders>
                  <w:vAlign w:val="center"/>
                </w:tcPr>
                <w:p w:rsidR="00E02ABC" w:rsidRPr="00BA7430" w:rsidRDefault="00E02ABC" w:rsidP="00BA7430">
                  <w:pPr>
                    <w:pStyle w:val="TableBodyText"/>
                    <w:spacing w:after="0" w:line="240" w:lineRule="auto"/>
                    <w:jc w:val="center"/>
                    <w:rPr>
                      <w:sz w:val="24"/>
                      <w:szCs w:val="24"/>
                    </w:rPr>
                  </w:pPr>
                </w:p>
              </w:tc>
              <w:tc>
                <w:tcPr>
                  <w:tcW w:w="501" w:type="pct"/>
                  <w:tcBorders>
                    <w:top w:val="single" w:sz="6" w:space="0" w:color="BFBFBF"/>
                  </w:tcBorders>
                  <w:vAlign w:val="center"/>
                </w:tcPr>
                <w:p w:rsidR="00E02ABC" w:rsidRPr="00BA7430" w:rsidRDefault="00E02ABC" w:rsidP="00BA7430">
                  <w:pPr>
                    <w:pStyle w:val="TableBodyText"/>
                    <w:spacing w:after="0" w:line="240" w:lineRule="auto"/>
                    <w:jc w:val="center"/>
                    <w:rPr>
                      <w:sz w:val="24"/>
                      <w:szCs w:val="24"/>
                    </w:rPr>
                  </w:pPr>
                </w:p>
              </w:tc>
              <w:tc>
                <w:tcPr>
                  <w:tcW w:w="501" w:type="pct"/>
                  <w:tcBorders>
                    <w:top w:val="single" w:sz="6" w:space="0" w:color="BFBFBF"/>
                  </w:tcBorders>
                  <w:vAlign w:val="center"/>
                </w:tcPr>
                <w:p w:rsidR="00E02ABC" w:rsidRPr="00BA7430" w:rsidRDefault="00E02ABC" w:rsidP="00BA7430">
                  <w:pPr>
                    <w:pStyle w:val="TableBodyText"/>
                    <w:spacing w:after="0" w:line="240" w:lineRule="auto"/>
                    <w:jc w:val="center"/>
                    <w:rPr>
                      <w:sz w:val="24"/>
                      <w:szCs w:val="24"/>
                    </w:rPr>
                  </w:pPr>
                </w:p>
              </w:tc>
              <w:tc>
                <w:tcPr>
                  <w:tcW w:w="501" w:type="pct"/>
                  <w:tcBorders>
                    <w:top w:val="single" w:sz="6" w:space="0" w:color="BFBFBF"/>
                  </w:tcBorders>
                  <w:vAlign w:val="center"/>
                </w:tcPr>
                <w:p w:rsidR="00E02ABC" w:rsidRPr="00BA7430" w:rsidRDefault="00E02ABC" w:rsidP="00BA7430">
                  <w:pPr>
                    <w:pStyle w:val="TableBodyText"/>
                    <w:spacing w:after="0" w:line="240" w:lineRule="auto"/>
                    <w:jc w:val="center"/>
                    <w:rPr>
                      <w:sz w:val="24"/>
                      <w:szCs w:val="24"/>
                    </w:rPr>
                  </w:pPr>
                </w:p>
              </w:tc>
              <w:tc>
                <w:tcPr>
                  <w:tcW w:w="414" w:type="pct"/>
                  <w:tcBorders>
                    <w:top w:val="single" w:sz="6" w:space="0" w:color="BFBFBF"/>
                  </w:tcBorders>
                  <w:vAlign w:val="center"/>
                </w:tcPr>
                <w:p w:rsidR="00E02ABC" w:rsidRPr="00BA7430" w:rsidRDefault="00E02ABC" w:rsidP="00BA7430">
                  <w:pPr>
                    <w:pStyle w:val="TableBodyText"/>
                    <w:spacing w:after="0" w:line="240" w:lineRule="auto"/>
                    <w:jc w:val="center"/>
                    <w:rPr>
                      <w:sz w:val="24"/>
                      <w:szCs w:val="24"/>
                    </w:rPr>
                  </w:pP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Meat/lamb</w:t>
                  </w:r>
                </w:p>
              </w:tc>
              <w:tc>
                <w:tcPr>
                  <w:tcW w:w="755"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414" w:type="pct"/>
                  <w:vAlign w:val="center"/>
                </w:tcPr>
                <w:p w:rsidR="00E02ABC" w:rsidRPr="00BA7430" w:rsidRDefault="00E02ABC" w:rsidP="00BA7430">
                  <w:pPr>
                    <w:pStyle w:val="TableBodyText"/>
                    <w:spacing w:after="0" w:line="240" w:lineRule="auto"/>
                    <w:jc w:val="center"/>
                    <w:rPr>
                      <w:sz w:val="24"/>
                      <w:szCs w:val="24"/>
                    </w:rPr>
                  </w:pP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Fish</w:t>
                  </w:r>
                </w:p>
              </w:tc>
              <w:tc>
                <w:tcPr>
                  <w:tcW w:w="755"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414" w:type="pct"/>
                  <w:vAlign w:val="center"/>
                </w:tcPr>
                <w:p w:rsidR="00E02ABC" w:rsidRPr="00BA7430" w:rsidRDefault="00E02ABC" w:rsidP="00BA7430">
                  <w:pPr>
                    <w:pStyle w:val="TableBodyText"/>
                    <w:spacing w:after="0" w:line="240" w:lineRule="auto"/>
                    <w:jc w:val="center"/>
                    <w:rPr>
                      <w:sz w:val="24"/>
                      <w:szCs w:val="24"/>
                    </w:rPr>
                  </w:pP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Dairy/milk</w:t>
                  </w:r>
                </w:p>
              </w:tc>
              <w:tc>
                <w:tcPr>
                  <w:tcW w:w="755"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2"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2"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414"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Butter</w:t>
                  </w:r>
                </w:p>
              </w:tc>
              <w:tc>
                <w:tcPr>
                  <w:tcW w:w="755"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414" w:type="pct"/>
                  <w:vAlign w:val="center"/>
                </w:tcPr>
                <w:p w:rsidR="00E02ABC" w:rsidRPr="00BA7430" w:rsidRDefault="00E02ABC" w:rsidP="00BA7430">
                  <w:pPr>
                    <w:pStyle w:val="TableBodyText"/>
                    <w:spacing w:after="0" w:line="240" w:lineRule="auto"/>
                    <w:jc w:val="center"/>
                    <w:rPr>
                      <w:sz w:val="24"/>
                      <w:szCs w:val="24"/>
                    </w:rPr>
                  </w:pP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Cheese</w:t>
                  </w:r>
                </w:p>
              </w:tc>
              <w:tc>
                <w:tcPr>
                  <w:tcW w:w="755"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414" w:type="pct"/>
                  <w:vAlign w:val="center"/>
                </w:tcPr>
                <w:p w:rsidR="00E02ABC" w:rsidRPr="00BA7430" w:rsidRDefault="00E02ABC" w:rsidP="00BA7430">
                  <w:pPr>
                    <w:pStyle w:val="TableBodyText"/>
                    <w:spacing w:after="0" w:line="240" w:lineRule="auto"/>
                    <w:jc w:val="center"/>
                    <w:rPr>
                      <w:sz w:val="24"/>
                      <w:szCs w:val="24"/>
                    </w:rPr>
                  </w:pP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Eggs</w:t>
                  </w:r>
                </w:p>
              </w:tc>
              <w:tc>
                <w:tcPr>
                  <w:tcW w:w="755"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2"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2"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414"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Honey</w:t>
                  </w:r>
                </w:p>
              </w:tc>
              <w:tc>
                <w:tcPr>
                  <w:tcW w:w="755"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414" w:type="pct"/>
                  <w:vAlign w:val="center"/>
                </w:tcPr>
                <w:p w:rsidR="00E02ABC" w:rsidRPr="00BA7430" w:rsidRDefault="00E02ABC" w:rsidP="00BA7430">
                  <w:pPr>
                    <w:pStyle w:val="TableBodyText"/>
                    <w:spacing w:after="0" w:line="240" w:lineRule="auto"/>
                    <w:jc w:val="center"/>
                    <w:rPr>
                      <w:sz w:val="24"/>
                      <w:szCs w:val="24"/>
                    </w:rPr>
                  </w:pP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Wheat/grains</w:t>
                  </w:r>
                </w:p>
              </w:tc>
              <w:tc>
                <w:tcPr>
                  <w:tcW w:w="755"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414" w:type="pct"/>
                  <w:vAlign w:val="center"/>
                </w:tcPr>
                <w:p w:rsidR="00E02ABC" w:rsidRPr="00BA7430" w:rsidRDefault="00E02ABC" w:rsidP="00BA7430">
                  <w:pPr>
                    <w:pStyle w:val="TableBodyText"/>
                    <w:spacing w:after="0" w:line="240" w:lineRule="auto"/>
                    <w:jc w:val="center"/>
                    <w:rPr>
                      <w:sz w:val="24"/>
                      <w:szCs w:val="24"/>
                    </w:rPr>
                  </w:pP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Barley</w:t>
                  </w:r>
                </w:p>
              </w:tc>
              <w:tc>
                <w:tcPr>
                  <w:tcW w:w="755"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2"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414" w:type="pct"/>
                  <w:vAlign w:val="center"/>
                </w:tcPr>
                <w:p w:rsidR="00E02ABC" w:rsidRPr="00BA7430" w:rsidRDefault="00E02ABC" w:rsidP="00BA7430">
                  <w:pPr>
                    <w:pStyle w:val="TableBodyText"/>
                    <w:spacing w:after="0" w:line="240" w:lineRule="auto"/>
                    <w:jc w:val="center"/>
                    <w:rPr>
                      <w:sz w:val="24"/>
                      <w:szCs w:val="24"/>
                    </w:rPr>
                  </w:pP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Oats</w:t>
                  </w:r>
                </w:p>
              </w:tc>
              <w:tc>
                <w:tcPr>
                  <w:tcW w:w="755"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414" w:type="pct"/>
                  <w:vAlign w:val="center"/>
                </w:tcPr>
                <w:p w:rsidR="00E02ABC" w:rsidRPr="00BA7430" w:rsidRDefault="00E02ABC" w:rsidP="00BA7430">
                  <w:pPr>
                    <w:pStyle w:val="TableBodyText"/>
                    <w:spacing w:after="0" w:line="240" w:lineRule="auto"/>
                    <w:jc w:val="center"/>
                    <w:rPr>
                      <w:sz w:val="24"/>
                      <w:szCs w:val="24"/>
                    </w:rPr>
                  </w:pP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Maize</w:t>
                  </w:r>
                </w:p>
              </w:tc>
              <w:tc>
                <w:tcPr>
                  <w:tcW w:w="755"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414" w:type="pct"/>
                  <w:vAlign w:val="center"/>
                </w:tcPr>
                <w:p w:rsidR="00E02ABC" w:rsidRPr="00BA7430" w:rsidRDefault="00E02ABC" w:rsidP="00BA7430">
                  <w:pPr>
                    <w:pStyle w:val="TableBodyText"/>
                    <w:spacing w:after="0" w:line="240" w:lineRule="auto"/>
                    <w:jc w:val="center"/>
                    <w:rPr>
                      <w:sz w:val="24"/>
                      <w:szCs w:val="24"/>
                    </w:rPr>
                  </w:pP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Sorghum</w:t>
                  </w:r>
                </w:p>
              </w:tc>
              <w:tc>
                <w:tcPr>
                  <w:tcW w:w="755"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414" w:type="pct"/>
                  <w:vAlign w:val="center"/>
                </w:tcPr>
                <w:p w:rsidR="00E02ABC" w:rsidRPr="00BA7430" w:rsidRDefault="00E02ABC" w:rsidP="00BA7430">
                  <w:pPr>
                    <w:pStyle w:val="TableBodyText"/>
                    <w:spacing w:after="0" w:line="240" w:lineRule="auto"/>
                    <w:jc w:val="center"/>
                    <w:rPr>
                      <w:sz w:val="24"/>
                      <w:szCs w:val="24"/>
                    </w:rPr>
                  </w:pP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Rice</w:t>
                  </w:r>
                </w:p>
              </w:tc>
              <w:tc>
                <w:tcPr>
                  <w:tcW w:w="755"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414" w:type="pct"/>
                  <w:vAlign w:val="center"/>
                </w:tcPr>
                <w:p w:rsidR="00E02ABC" w:rsidRPr="00BA7430" w:rsidRDefault="00E02ABC" w:rsidP="00BA7430">
                  <w:pPr>
                    <w:pStyle w:val="TableBodyText"/>
                    <w:spacing w:after="0" w:line="240" w:lineRule="auto"/>
                    <w:jc w:val="center"/>
                    <w:rPr>
                      <w:sz w:val="24"/>
                      <w:szCs w:val="24"/>
                    </w:rPr>
                  </w:pP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Sugar</w:t>
                  </w:r>
                </w:p>
              </w:tc>
              <w:tc>
                <w:tcPr>
                  <w:tcW w:w="755"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414" w:type="pct"/>
                  <w:vAlign w:val="center"/>
                </w:tcPr>
                <w:p w:rsidR="00E02ABC" w:rsidRPr="00BA7430" w:rsidRDefault="00E02ABC" w:rsidP="00BA7430">
                  <w:pPr>
                    <w:pStyle w:val="TableBodyText"/>
                    <w:spacing w:after="0" w:line="240" w:lineRule="auto"/>
                    <w:jc w:val="center"/>
                    <w:rPr>
                      <w:sz w:val="24"/>
                      <w:szCs w:val="24"/>
                    </w:rPr>
                  </w:pP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Tobacco</w:t>
                  </w:r>
                </w:p>
              </w:tc>
              <w:tc>
                <w:tcPr>
                  <w:tcW w:w="755"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2"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2"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414" w:type="pct"/>
                  <w:vAlign w:val="center"/>
                </w:tcPr>
                <w:p w:rsidR="00E02ABC" w:rsidRPr="00BA7430" w:rsidRDefault="00E02ABC" w:rsidP="00BA7430">
                  <w:pPr>
                    <w:pStyle w:val="TableBodyText"/>
                    <w:spacing w:after="0" w:line="240" w:lineRule="auto"/>
                    <w:jc w:val="center"/>
                    <w:rPr>
                      <w:sz w:val="24"/>
                      <w:szCs w:val="24"/>
                    </w:rPr>
                  </w:pP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Cotton</w:t>
                  </w:r>
                </w:p>
              </w:tc>
              <w:tc>
                <w:tcPr>
                  <w:tcW w:w="755"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414" w:type="pct"/>
                  <w:vAlign w:val="center"/>
                </w:tcPr>
                <w:p w:rsidR="00E02ABC" w:rsidRPr="00BA7430" w:rsidRDefault="00E02ABC" w:rsidP="00BA7430">
                  <w:pPr>
                    <w:pStyle w:val="TableBodyText"/>
                    <w:spacing w:after="0" w:line="240" w:lineRule="auto"/>
                    <w:jc w:val="center"/>
                    <w:rPr>
                      <w:sz w:val="24"/>
                      <w:szCs w:val="24"/>
                    </w:rPr>
                  </w:pP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Peanuts</w:t>
                  </w:r>
                </w:p>
              </w:tc>
              <w:tc>
                <w:tcPr>
                  <w:tcW w:w="755"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414" w:type="pct"/>
                  <w:vAlign w:val="center"/>
                </w:tcPr>
                <w:p w:rsidR="00E02ABC" w:rsidRPr="00BA7430" w:rsidRDefault="00E02ABC" w:rsidP="00BA7430">
                  <w:pPr>
                    <w:pStyle w:val="TableBodyText"/>
                    <w:spacing w:after="0" w:line="240" w:lineRule="auto"/>
                    <w:jc w:val="center"/>
                    <w:rPr>
                      <w:sz w:val="24"/>
                      <w:szCs w:val="24"/>
                    </w:rPr>
                  </w:pP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Oilseeds</w:t>
                  </w:r>
                </w:p>
              </w:tc>
              <w:tc>
                <w:tcPr>
                  <w:tcW w:w="755"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414" w:type="pct"/>
                  <w:vAlign w:val="center"/>
                </w:tcPr>
                <w:p w:rsidR="00E02ABC" w:rsidRPr="00BA7430" w:rsidRDefault="00E02ABC" w:rsidP="00BA7430">
                  <w:pPr>
                    <w:pStyle w:val="TableBodyText"/>
                    <w:spacing w:after="0" w:line="240" w:lineRule="auto"/>
                    <w:jc w:val="center"/>
                    <w:rPr>
                      <w:sz w:val="24"/>
                      <w:szCs w:val="24"/>
                    </w:rPr>
                  </w:pP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Potatoes</w:t>
                  </w:r>
                </w:p>
              </w:tc>
              <w:tc>
                <w:tcPr>
                  <w:tcW w:w="755"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414"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Navy beans</w:t>
                  </w:r>
                </w:p>
              </w:tc>
              <w:tc>
                <w:tcPr>
                  <w:tcW w:w="755"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414" w:type="pct"/>
                  <w:vAlign w:val="center"/>
                </w:tcPr>
                <w:p w:rsidR="00E02ABC" w:rsidRPr="00BA7430" w:rsidRDefault="00E02ABC" w:rsidP="00BA7430">
                  <w:pPr>
                    <w:pStyle w:val="TableBodyText"/>
                    <w:spacing w:after="0" w:line="240" w:lineRule="auto"/>
                    <w:jc w:val="center"/>
                    <w:rPr>
                      <w:sz w:val="24"/>
                      <w:szCs w:val="24"/>
                    </w:rPr>
                  </w:pP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Ginger</w:t>
                  </w:r>
                </w:p>
              </w:tc>
              <w:tc>
                <w:tcPr>
                  <w:tcW w:w="755"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414" w:type="pct"/>
                  <w:vAlign w:val="center"/>
                </w:tcPr>
                <w:p w:rsidR="00E02ABC" w:rsidRPr="00BA7430" w:rsidRDefault="00E02ABC" w:rsidP="00BA7430">
                  <w:pPr>
                    <w:pStyle w:val="TableBodyText"/>
                    <w:spacing w:after="0" w:line="240" w:lineRule="auto"/>
                    <w:jc w:val="center"/>
                    <w:rPr>
                      <w:sz w:val="24"/>
                      <w:szCs w:val="24"/>
                    </w:rPr>
                  </w:pP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Canned/soft fruit</w:t>
                  </w:r>
                </w:p>
              </w:tc>
              <w:tc>
                <w:tcPr>
                  <w:tcW w:w="755"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414"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Fresh fruit</w:t>
                  </w:r>
                </w:p>
              </w:tc>
              <w:tc>
                <w:tcPr>
                  <w:tcW w:w="755"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414" w:type="pct"/>
                  <w:vAlign w:val="center"/>
                </w:tcPr>
                <w:p w:rsidR="00E02ABC" w:rsidRPr="00BA7430" w:rsidRDefault="00E02ABC" w:rsidP="00BA7430">
                  <w:pPr>
                    <w:pStyle w:val="TableBodyText"/>
                    <w:spacing w:after="0" w:line="240" w:lineRule="auto"/>
                    <w:jc w:val="center"/>
                    <w:rPr>
                      <w:sz w:val="24"/>
                      <w:szCs w:val="24"/>
                    </w:rPr>
                  </w:pP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Apples and pears</w:t>
                  </w:r>
                </w:p>
              </w:tc>
              <w:tc>
                <w:tcPr>
                  <w:tcW w:w="755"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414"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Bananas</w:t>
                  </w:r>
                </w:p>
              </w:tc>
              <w:tc>
                <w:tcPr>
                  <w:tcW w:w="755"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414" w:type="pct"/>
                  <w:vAlign w:val="center"/>
                </w:tcPr>
                <w:p w:rsidR="00E02ABC" w:rsidRPr="00BA7430" w:rsidRDefault="00E02ABC" w:rsidP="00BA7430">
                  <w:pPr>
                    <w:pStyle w:val="TableBodyText"/>
                    <w:spacing w:after="0" w:line="240" w:lineRule="auto"/>
                    <w:jc w:val="center"/>
                    <w:rPr>
                      <w:sz w:val="24"/>
                      <w:szCs w:val="24"/>
                    </w:rPr>
                  </w:pP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Citrus</w:t>
                  </w:r>
                </w:p>
              </w:tc>
              <w:tc>
                <w:tcPr>
                  <w:tcW w:w="755"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2"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414" w:type="pct"/>
                  <w:vAlign w:val="center"/>
                </w:tcPr>
                <w:p w:rsidR="00E02ABC" w:rsidRPr="00BA7430" w:rsidRDefault="00E02ABC" w:rsidP="00BA7430">
                  <w:pPr>
                    <w:pStyle w:val="TableBodyText"/>
                    <w:spacing w:after="0" w:line="240" w:lineRule="auto"/>
                    <w:jc w:val="center"/>
                    <w:rPr>
                      <w:sz w:val="24"/>
                      <w:szCs w:val="24"/>
                    </w:rPr>
                  </w:pP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Lemons</w:t>
                  </w:r>
                </w:p>
              </w:tc>
              <w:tc>
                <w:tcPr>
                  <w:tcW w:w="755" w:type="pct"/>
                  <w:vAlign w:val="center"/>
                </w:tcPr>
                <w:p w:rsidR="00E02ABC" w:rsidRPr="00BA7430" w:rsidRDefault="00E02ABC" w:rsidP="00BA7430">
                  <w:pPr>
                    <w:pStyle w:val="TableBodyText"/>
                    <w:spacing w:after="0" w:line="240" w:lineRule="auto"/>
                    <w:jc w:val="center"/>
                    <w:rPr>
                      <w:sz w:val="24"/>
                      <w:szCs w:val="24"/>
                    </w:rPr>
                  </w:pPr>
                </w:p>
              </w:tc>
              <w:tc>
                <w:tcPr>
                  <w:tcW w:w="502"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414" w:type="pct"/>
                  <w:vAlign w:val="center"/>
                </w:tcPr>
                <w:p w:rsidR="00E02ABC" w:rsidRPr="00BA7430" w:rsidRDefault="00E02ABC" w:rsidP="00BA7430">
                  <w:pPr>
                    <w:pStyle w:val="TableBodyText"/>
                    <w:spacing w:after="0" w:line="240" w:lineRule="auto"/>
                    <w:jc w:val="center"/>
                    <w:rPr>
                      <w:sz w:val="24"/>
                      <w:szCs w:val="24"/>
                    </w:rPr>
                  </w:pP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Wine/grapes</w:t>
                  </w:r>
                </w:p>
              </w:tc>
              <w:tc>
                <w:tcPr>
                  <w:tcW w:w="755"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2"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2"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414" w:type="pct"/>
                  <w:vAlign w:val="center"/>
                </w:tcPr>
                <w:p w:rsidR="00E02ABC" w:rsidRPr="00BA7430" w:rsidRDefault="00E02ABC" w:rsidP="00BA7430">
                  <w:pPr>
                    <w:pStyle w:val="TableBodyText"/>
                    <w:spacing w:after="0" w:line="240" w:lineRule="auto"/>
                    <w:jc w:val="center"/>
                    <w:rPr>
                      <w:sz w:val="24"/>
                      <w:szCs w:val="24"/>
                    </w:rPr>
                  </w:pPr>
                </w:p>
              </w:tc>
            </w:tr>
            <w:tr w:rsidR="00E02ABC" w:rsidTr="00E02ABC">
              <w:tc>
                <w:tcPr>
                  <w:tcW w:w="1324" w:type="pct"/>
                  <w:vAlign w:val="center"/>
                </w:tcPr>
                <w:p w:rsidR="00E02ABC" w:rsidRPr="00EB6DED" w:rsidRDefault="00E02ABC" w:rsidP="00BA7430">
                  <w:pPr>
                    <w:pStyle w:val="TableBodyText"/>
                    <w:spacing w:after="0" w:line="240" w:lineRule="auto"/>
                    <w:jc w:val="left"/>
                  </w:pPr>
                  <w:r w:rsidRPr="00EB6DED">
                    <w:t>Dried fruit</w:t>
                  </w:r>
                </w:p>
              </w:tc>
              <w:tc>
                <w:tcPr>
                  <w:tcW w:w="755"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2"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2"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501" w:type="pct"/>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c>
                <w:tcPr>
                  <w:tcW w:w="414" w:type="pct"/>
                  <w:vAlign w:val="center"/>
                </w:tcPr>
                <w:p w:rsidR="00E02ABC" w:rsidRPr="00BA7430" w:rsidRDefault="00E02ABC" w:rsidP="00BA7430">
                  <w:pPr>
                    <w:pStyle w:val="TableBodyText"/>
                    <w:spacing w:after="0" w:line="240" w:lineRule="auto"/>
                    <w:jc w:val="center"/>
                    <w:rPr>
                      <w:sz w:val="24"/>
                      <w:szCs w:val="24"/>
                    </w:rPr>
                  </w:pPr>
                </w:p>
              </w:tc>
            </w:tr>
            <w:tr w:rsidR="00E02ABC" w:rsidTr="00E02ABC">
              <w:tc>
                <w:tcPr>
                  <w:tcW w:w="1324" w:type="pct"/>
                  <w:tcBorders>
                    <w:bottom w:val="single" w:sz="6" w:space="0" w:color="BFBFBF"/>
                  </w:tcBorders>
                  <w:vAlign w:val="center"/>
                </w:tcPr>
                <w:p w:rsidR="00E02ABC" w:rsidRPr="00EB6DED" w:rsidRDefault="00E02ABC" w:rsidP="00BA7430">
                  <w:pPr>
                    <w:pStyle w:val="TableBodyText"/>
                    <w:spacing w:after="0" w:line="240" w:lineRule="auto"/>
                    <w:jc w:val="left"/>
                  </w:pPr>
                  <w:r w:rsidRPr="00EB6DED">
                    <w:t>Ryegrass</w:t>
                  </w:r>
                </w:p>
              </w:tc>
              <w:tc>
                <w:tcPr>
                  <w:tcW w:w="755" w:type="pct"/>
                  <w:tcBorders>
                    <w:bottom w:val="single" w:sz="6" w:space="0" w:color="BFBFBF"/>
                  </w:tcBorders>
                  <w:vAlign w:val="center"/>
                </w:tcPr>
                <w:p w:rsidR="00E02ABC" w:rsidRPr="00BA7430" w:rsidRDefault="00E02ABC" w:rsidP="00BA7430">
                  <w:pPr>
                    <w:pStyle w:val="TableBodyText"/>
                    <w:spacing w:after="0" w:line="240" w:lineRule="auto"/>
                    <w:jc w:val="center"/>
                    <w:rPr>
                      <w:sz w:val="24"/>
                      <w:szCs w:val="24"/>
                    </w:rPr>
                  </w:pPr>
                </w:p>
              </w:tc>
              <w:tc>
                <w:tcPr>
                  <w:tcW w:w="502" w:type="pct"/>
                  <w:tcBorders>
                    <w:bottom w:val="single" w:sz="6" w:space="0" w:color="BFBFBF"/>
                  </w:tcBorders>
                  <w:vAlign w:val="center"/>
                </w:tcPr>
                <w:p w:rsidR="00E02ABC" w:rsidRPr="00BA7430" w:rsidRDefault="00E02ABC" w:rsidP="00BA7430">
                  <w:pPr>
                    <w:pStyle w:val="TableBodyText"/>
                    <w:spacing w:after="0" w:line="240" w:lineRule="auto"/>
                    <w:jc w:val="center"/>
                    <w:rPr>
                      <w:sz w:val="24"/>
                      <w:szCs w:val="24"/>
                    </w:rPr>
                  </w:pPr>
                </w:p>
              </w:tc>
              <w:tc>
                <w:tcPr>
                  <w:tcW w:w="502" w:type="pct"/>
                  <w:tcBorders>
                    <w:bottom w:val="single" w:sz="6" w:space="0" w:color="BFBFBF"/>
                  </w:tcBorders>
                  <w:vAlign w:val="center"/>
                </w:tcPr>
                <w:p w:rsidR="00E02ABC" w:rsidRPr="00BA7430" w:rsidRDefault="00E02ABC" w:rsidP="00BA7430">
                  <w:pPr>
                    <w:pStyle w:val="TableBodyText"/>
                    <w:spacing w:after="0" w:line="240" w:lineRule="auto"/>
                    <w:jc w:val="center"/>
                    <w:rPr>
                      <w:sz w:val="24"/>
                      <w:szCs w:val="24"/>
                    </w:rPr>
                  </w:pPr>
                </w:p>
              </w:tc>
              <w:tc>
                <w:tcPr>
                  <w:tcW w:w="501" w:type="pct"/>
                  <w:tcBorders>
                    <w:bottom w:val="single" w:sz="6" w:space="0" w:color="BFBFBF"/>
                  </w:tcBorders>
                  <w:vAlign w:val="center"/>
                </w:tcPr>
                <w:p w:rsidR="00E02ABC" w:rsidRPr="00BA7430" w:rsidRDefault="00E02ABC" w:rsidP="00BA7430">
                  <w:pPr>
                    <w:pStyle w:val="TableBodyText"/>
                    <w:spacing w:after="0" w:line="240" w:lineRule="auto"/>
                    <w:jc w:val="center"/>
                    <w:rPr>
                      <w:sz w:val="24"/>
                      <w:szCs w:val="24"/>
                    </w:rPr>
                  </w:pPr>
                </w:p>
              </w:tc>
              <w:tc>
                <w:tcPr>
                  <w:tcW w:w="501" w:type="pct"/>
                  <w:tcBorders>
                    <w:bottom w:val="single" w:sz="6" w:space="0" w:color="BFBFBF"/>
                  </w:tcBorders>
                  <w:vAlign w:val="center"/>
                </w:tcPr>
                <w:p w:rsidR="00E02ABC" w:rsidRPr="00BA7430" w:rsidRDefault="00E02ABC" w:rsidP="00BA7430">
                  <w:pPr>
                    <w:pStyle w:val="TableBodyText"/>
                    <w:spacing w:after="0" w:line="240" w:lineRule="auto"/>
                    <w:jc w:val="center"/>
                    <w:rPr>
                      <w:sz w:val="24"/>
                      <w:szCs w:val="24"/>
                    </w:rPr>
                  </w:pPr>
                </w:p>
              </w:tc>
              <w:tc>
                <w:tcPr>
                  <w:tcW w:w="501" w:type="pct"/>
                  <w:tcBorders>
                    <w:bottom w:val="single" w:sz="6" w:space="0" w:color="BFBFBF"/>
                  </w:tcBorders>
                  <w:vAlign w:val="center"/>
                </w:tcPr>
                <w:p w:rsidR="00E02ABC" w:rsidRPr="00BA7430" w:rsidRDefault="00E02ABC" w:rsidP="00BA7430">
                  <w:pPr>
                    <w:pStyle w:val="TableBodyText"/>
                    <w:spacing w:after="0" w:line="240" w:lineRule="auto"/>
                    <w:jc w:val="center"/>
                    <w:rPr>
                      <w:sz w:val="24"/>
                      <w:szCs w:val="24"/>
                    </w:rPr>
                  </w:pPr>
                </w:p>
              </w:tc>
              <w:tc>
                <w:tcPr>
                  <w:tcW w:w="414" w:type="pct"/>
                  <w:tcBorders>
                    <w:bottom w:val="single" w:sz="6" w:space="0" w:color="BFBFBF"/>
                  </w:tcBorders>
                  <w:vAlign w:val="center"/>
                </w:tcPr>
                <w:p w:rsidR="00E02ABC" w:rsidRPr="00BA7430" w:rsidRDefault="00E02ABC" w:rsidP="00BA7430">
                  <w:pPr>
                    <w:pStyle w:val="TableBodyText"/>
                    <w:spacing w:after="0" w:line="240" w:lineRule="auto"/>
                    <w:jc w:val="center"/>
                    <w:rPr>
                      <w:sz w:val="24"/>
                      <w:szCs w:val="24"/>
                    </w:rPr>
                  </w:pPr>
                  <w:r w:rsidRPr="00BA7430">
                    <w:rPr>
                      <w:sz w:val="24"/>
                      <w:szCs w:val="24"/>
                    </w:rPr>
                    <w:t>•</w:t>
                  </w:r>
                </w:p>
              </w:tc>
            </w:tr>
          </w:tbl>
          <w:p w:rsidR="00E02ABC" w:rsidRDefault="00E02ABC" w:rsidP="00E02ABC">
            <w:pPr>
              <w:pStyle w:val="Box"/>
            </w:pPr>
          </w:p>
        </w:tc>
      </w:tr>
      <w:tr w:rsidR="00E02ABC" w:rsidTr="00E02ABC">
        <w:trPr>
          <w:cantSplit/>
        </w:trPr>
        <w:tc>
          <w:tcPr>
            <w:tcW w:w="8771" w:type="dxa"/>
            <w:tcBorders>
              <w:top w:val="nil"/>
              <w:left w:val="nil"/>
              <w:bottom w:val="nil"/>
              <w:right w:val="nil"/>
            </w:tcBorders>
            <w:shd w:val="clear" w:color="auto" w:fill="auto"/>
          </w:tcPr>
          <w:p w:rsidR="00E02ABC" w:rsidRDefault="00E02ABC" w:rsidP="00E02ABC">
            <w:pPr>
              <w:pStyle w:val="Source"/>
            </w:pPr>
            <w:r>
              <w:rPr>
                <w:i/>
              </w:rPr>
              <w:t>Source</w:t>
            </w:r>
            <w:r w:rsidRPr="00167F06">
              <w:t>:</w:t>
            </w:r>
            <w:r>
              <w:t xml:space="preserve"> </w:t>
            </w:r>
            <w:proofErr w:type="spellStart"/>
            <w:r>
              <w:t>Vinning</w:t>
            </w:r>
            <w:proofErr w:type="spellEnd"/>
            <w:r w:rsidRPr="00167F06">
              <w:t xml:space="preserve"> </w:t>
            </w:r>
            <w:r w:rsidRPr="00F237E5">
              <w:rPr>
                <w:rFonts w:cs="Arial"/>
              </w:rPr>
              <w:t>(1980)</w:t>
            </w:r>
            <w:r>
              <w:t>.</w:t>
            </w:r>
          </w:p>
        </w:tc>
      </w:tr>
      <w:tr w:rsidR="00E02ABC" w:rsidTr="00E02ABC">
        <w:trPr>
          <w:cantSplit/>
        </w:trPr>
        <w:tc>
          <w:tcPr>
            <w:tcW w:w="8771" w:type="dxa"/>
            <w:tcBorders>
              <w:top w:val="nil"/>
              <w:left w:val="nil"/>
              <w:bottom w:val="single" w:sz="6" w:space="0" w:color="78A22F"/>
              <w:right w:val="nil"/>
            </w:tcBorders>
            <w:shd w:val="clear" w:color="auto" w:fill="auto"/>
          </w:tcPr>
          <w:p w:rsidR="00E02ABC" w:rsidRDefault="00E02ABC" w:rsidP="00E02ABC">
            <w:pPr>
              <w:pStyle w:val="Box"/>
              <w:spacing w:before="0" w:line="120" w:lineRule="exact"/>
            </w:pPr>
          </w:p>
        </w:tc>
      </w:tr>
      <w:tr w:rsidR="00E02ABC" w:rsidRPr="000863A5" w:rsidTr="00E02ABC">
        <w:tc>
          <w:tcPr>
            <w:tcW w:w="8771" w:type="dxa"/>
            <w:tcBorders>
              <w:top w:val="single" w:sz="6" w:space="0" w:color="78A22F"/>
              <w:left w:val="nil"/>
              <w:bottom w:val="nil"/>
              <w:right w:val="nil"/>
            </w:tcBorders>
          </w:tcPr>
          <w:p w:rsidR="00E02ABC" w:rsidRPr="000D513B" w:rsidRDefault="00E02ABC" w:rsidP="00E02ABC">
            <w:pPr>
              <w:pStyle w:val="BoxSpaceBelow"/>
            </w:pPr>
          </w:p>
        </w:tc>
      </w:tr>
    </w:tbl>
    <w:p w:rsidR="001505AA" w:rsidRDefault="001505AA" w:rsidP="0006575F">
      <w:pPr>
        <w:pStyle w:val="Heading2"/>
        <w:rPr>
          <w:lang w:eastAsia="en-US"/>
        </w:rPr>
      </w:pPr>
      <w:r>
        <w:rPr>
          <w:lang w:eastAsia="en-US"/>
        </w:rPr>
        <w:t>Economic impacts of statutory marketing</w:t>
      </w:r>
    </w:p>
    <w:p w:rsidR="001505AA" w:rsidRDefault="001505AA" w:rsidP="001505AA">
      <w:pPr>
        <w:pStyle w:val="BodyText"/>
        <w:rPr>
          <w:lang w:eastAsia="en-US"/>
        </w:rPr>
      </w:pPr>
      <w:r>
        <w:rPr>
          <w:lang w:eastAsia="en-US"/>
        </w:rPr>
        <w:t xml:space="preserve">The distortionary effects of statutory marketing </w:t>
      </w:r>
      <w:r w:rsidR="0011595E">
        <w:rPr>
          <w:lang w:eastAsia="en-US"/>
        </w:rPr>
        <w:t>by</w:t>
      </w:r>
      <w:r>
        <w:rPr>
          <w:lang w:eastAsia="en-US"/>
        </w:rPr>
        <w:t xml:space="preserve"> misallocating resources ha</w:t>
      </w:r>
      <w:r w:rsidR="00FB5FF1">
        <w:rPr>
          <w:lang w:eastAsia="en-US"/>
        </w:rPr>
        <w:t>ve</w:t>
      </w:r>
      <w:r>
        <w:rPr>
          <w:lang w:eastAsia="en-US"/>
        </w:rPr>
        <w:t xml:space="preserve"> long been recognised. According to Lewis </w:t>
      </w:r>
      <w:r w:rsidRPr="00371624">
        <w:rPr>
          <w:szCs w:val="24"/>
        </w:rPr>
        <w:t>(1967, p. 313)</w:t>
      </w:r>
      <w:r w:rsidR="0033075A">
        <w:rPr>
          <w:lang w:eastAsia="en-US"/>
        </w:rPr>
        <w:t xml:space="preserve"> ‘</w:t>
      </w:r>
      <w:r>
        <w:rPr>
          <w:lang w:eastAsia="en-US"/>
        </w:rPr>
        <w:t xml:space="preserve">price support and stabilisation policies have consistently tended to transfer resources to industries in which Australia’s </w:t>
      </w:r>
      <w:r w:rsidR="0033075A">
        <w:rPr>
          <w:lang w:eastAsia="en-US"/>
        </w:rPr>
        <w:lastRenderedPageBreak/>
        <w:t>competitive position is weakest’</w:t>
      </w:r>
      <w:r>
        <w:rPr>
          <w:lang w:eastAsia="en-US"/>
        </w:rPr>
        <w:t xml:space="preserve">. To meet rural development goals </w:t>
      </w:r>
      <w:r w:rsidR="0033075A">
        <w:rPr>
          <w:lang w:eastAsia="en-US"/>
        </w:rPr>
        <w:t>such as increasing</w:t>
      </w:r>
      <w:r>
        <w:rPr>
          <w:lang w:eastAsia="en-US"/>
        </w:rPr>
        <w:t xml:space="preserve"> employment, statutory marketing tended to favour intensive dairy and cropping industries rather than the extensive industries </w:t>
      </w:r>
      <w:r w:rsidR="0033075A">
        <w:rPr>
          <w:lang w:eastAsia="en-US"/>
        </w:rPr>
        <w:t xml:space="preserve">for </w:t>
      </w:r>
      <w:r>
        <w:rPr>
          <w:lang w:eastAsia="en-US"/>
        </w:rPr>
        <w:t>which Australia’s land resources provided a natural comparative advantage.</w:t>
      </w:r>
    </w:p>
    <w:p w:rsidR="001505AA" w:rsidRDefault="001505AA" w:rsidP="001505AA">
      <w:pPr>
        <w:pStyle w:val="BodyText"/>
        <w:rPr>
          <w:lang w:eastAsia="en-US"/>
        </w:rPr>
      </w:pPr>
      <w:r>
        <w:rPr>
          <w:lang w:eastAsia="en-US"/>
        </w:rPr>
        <w:t xml:space="preserve">Rates of assistance varied considerably from little or no assistance for most broadacre crops (excluding wheat) to substantial assistance for tobacco, milk production, eggs, citrus, wine grapes and dried vine fruits </w:t>
      </w:r>
      <w:r w:rsidRPr="00AE77E2">
        <w:rPr>
          <w:szCs w:val="24"/>
        </w:rPr>
        <w:t>(</w:t>
      </w:r>
      <w:proofErr w:type="spellStart"/>
      <w:r w:rsidRPr="00AE77E2">
        <w:rPr>
          <w:szCs w:val="24"/>
        </w:rPr>
        <w:t>Gray</w:t>
      </w:r>
      <w:proofErr w:type="spellEnd"/>
      <w:r w:rsidRPr="00AE77E2">
        <w:rPr>
          <w:szCs w:val="24"/>
        </w:rPr>
        <w:t>, Oss-</w:t>
      </w:r>
      <w:proofErr w:type="spellStart"/>
      <w:r w:rsidRPr="00AE77E2">
        <w:rPr>
          <w:szCs w:val="24"/>
        </w:rPr>
        <w:t>Emer</w:t>
      </w:r>
      <w:proofErr w:type="spellEnd"/>
      <w:r w:rsidRPr="00AE77E2">
        <w:rPr>
          <w:szCs w:val="24"/>
        </w:rPr>
        <w:t xml:space="preserve"> and Sheng 2014; Lewis 1967)</w:t>
      </w:r>
      <w:r>
        <w:rPr>
          <w:lang w:eastAsia="en-US"/>
        </w:rPr>
        <w:t xml:space="preserve">. This encouraged resources to move from lightly assisted </w:t>
      </w:r>
      <w:r w:rsidR="00FB5FF1">
        <w:rPr>
          <w:lang w:eastAsia="en-US"/>
        </w:rPr>
        <w:t xml:space="preserve">and more efficient industries </w:t>
      </w:r>
      <w:r>
        <w:rPr>
          <w:lang w:eastAsia="en-US"/>
        </w:rPr>
        <w:t xml:space="preserve">to supported industries based on the returns that could be earned from assistance schemes rather than price signals in world markets </w:t>
      </w:r>
      <w:r w:rsidR="003E0119" w:rsidRPr="003E0119">
        <w:rPr>
          <w:szCs w:val="24"/>
        </w:rPr>
        <w:t>(</w:t>
      </w:r>
      <w:proofErr w:type="spellStart"/>
      <w:r w:rsidR="003E0119" w:rsidRPr="003E0119">
        <w:rPr>
          <w:szCs w:val="24"/>
        </w:rPr>
        <w:t>Gray</w:t>
      </w:r>
      <w:proofErr w:type="spellEnd"/>
      <w:r w:rsidR="003E0119" w:rsidRPr="003E0119">
        <w:rPr>
          <w:szCs w:val="24"/>
        </w:rPr>
        <w:t>, Oss-</w:t>
      </w:r>
      <w:proofErr w:type="spellStart"/>
      <w:r w:rsidR="003E0119" w:rsidRPr="003E0119">
        <w:rPr>
          <w:szCs w:val="24"/>
        </w:rPr>
        <w:t>Emer</w:t>
      </w:r>
      <w:proofErr w:type="spellEnd"/>
      <w:r w:rsidR="003E0119" w:rsidRPr="003E0119">
        <w:rPr>
          <w:szCs w:val="24"/>
        </w:rPr>
        <w:t xml:space="preserve"> and Sheng 2014; Wonder, Beynon and Hunt 1995)</w:t>
      </w:r>
      <w:r>
        <w:rPr>
          <w:lang w:eastAsia="en-US"/>
        </w:rPr>
        <w:t>.</w:t>
      </w:r>
    </w:p>
    <w:p w:rsidR="001505AA" w:rsidRDefault="001505AA" w:rsidP="001505AA">
      <w:pPr>
        <w:pStyle w:val="BodyText"/>
        <w:rPr>
          <w:lang w:eastAsia="en-US"/>
        </w:rPr>
      </w:pPr>
      <w:r>
        <w:rPr>
          <w:lang w:eastAsia="en-US"/>
        </w:rPr>
        <w:t xml:space="preserve">The attraction to growers of stable prices and incomes was offset by a loss of autonomy over marketing and disincentives for innovation and entrepreneurship </w:t>
      </w:r>
      <w:r w:rsidR="00E77F47" w:rsidRPr="00E77F47">
        <w:rPr>
          <w:szCs w:val="24"/>
        </w:rPr>
        <w:t>(Lewis 1961; Watson and Parish 1982)</w:t>
      </w:r>
      <w:r>
        <w:rPr>
          <w:lang w:eastAsia="en-US"/>
        </w:rPr>
        <w:t xml:space="preserve">. Compulsory statutory marketing provided a disincentive for farmers to </w:t>
      </w:r>
      <w:r w:rsidR="00FB5FF1">
        <w:rPr>
          <w:lang w:eastAsia="en-US"/>
        </w:rPr>
        <w:t>seek</w:t>
      </w:r>
      <w:r>
        <w:rPr>
          <w:lang w:eastAsia="en-US"/>
        </w:rPr>
        <w:t xml:space="preserve"> new markets that would yield more than average returns </w:t>
      </w:r>
      <w:r w:rsidR="003E0119" w:rsidRPr="003E0119">
        <w:rPr>
          <w:szCs w:val="24"/>
        </w:rPr>
        <w:t>(PC 2000)</w:t>
      </w:r>
      <w:r>
        <w:rPr>
          <w:lang w:eastAsia="en-US"/>
        </w:rPr>
        <w:t>. Averaging meant that the price received by farmers did not reflect their individual managerial</w:t>
      </w:r>
      <w:r w:rsidR="003E0119">
        <w:rPr>
          <w:lang w:eastAsia="en-US"/>
        </w:rPr>
        <w:t xml:space="preserve"> skill or</w:t>
      </w:r>
      <w:r>
        <w:rPr>
          <w:lang w:eastAsia="en-US"/>
        </w:rPr>
        <w:t xml:space="preserve"> effort</w:t>
      </w:r>
      <w:r w:rsidR="00835B8B">
        <w:rPr>
          <w:lang w:eastAsia="en-US"/>
        </w:rPr>
        <w:t xml:space="preserve"> </w:t>
      </w:r>
      <w:r w:rsidR="00835B8B" w:rsidRPr="007602E8">
        <w:rPr>
          <w:szCs w:val="24"/>
        </w:rPr>
        <w:t>(Watson and Parish 1982)</w:t>
      </w:r>
      <w:r>
        <w:rPr>
          <w:lang w:eastAsia="en-US"/>
        </w:rPr>
        <w:t xml:space="preserve">, creating </w:t>
      </w:r>
      <w:r w:rsidR="003E0119">
        <w:rPr>
          <w:lang w:eastAsia="en-US"/>
        </w:rPr>
        <w:t>a</w:t>
      </w:r>
      <w:r>
        <w:rPr>
          <w:lang w:eastAsia="en-US"/>
        </w:rPr>
        <w:t xml:space="preserve"> disincentive to innovate</w:t>
      </w:r>
      <w:r w:rsidR="002823EA">
        <w:rPr>
          <w:lang w:eastAsia="en-US"/>
        </w:rPr>
        <w:t xml:space="preserve"> </w:t>
      </w:r>
      <w:r w:rsidR="002823EA" w:rsidRPr="003E0119">
        <w:rPr>
          <w:szCs w:val="24"/>
        </w:rPr>
        <w:t>(PC 2000)</w:t>
      </w:r>
      <w:r w:rsidR="002823EA">
        <w:rPr>
          <w:lang w:eastAsia="en-US"/>
        </w:rPr>
        <w:t>.</w:t>
      </w:r>
      <w:r>
        <w:rPr>
          <w:lang w:eastAsia="en-US"/>
        </w:rPr>
        <w:t xml:space="preserve"> Averaging and price support also undermined incentives for farmers to find better ways of managing production and price risk </w:t>
      </w:r>
      <w:r w:rsidR="003E0119" w:rsidRPr="003E0119">
        <w:rPr>
          <w:szCs w:val="24"/>
        </w:rPr>
        <w:t>(</w:t>
      </w:r>
      <w:proofErr w:type="spellStart"/>
      <w:r w:rsidR="003E0119" w:rsidRPr="003E0119">
        <w:rPr>
          <w:szCs w:val="24"/>
        </w:rPr>
        <w:t>Gray</w:t>
      </w:r>
      <w:proofErr w:type="spellEnd"/>
      <w:r w:rsidR="003E0119" w:rsidRPr="003E0119">
        <w:rPr>
          <w:szCs w:val="24"/>
        </w:rPr>
        <w:t>, Oss-</w:t>
      </w:r>
      <w:proofErr w:type="spellStart"/>
      <w:r w:rsidR="003E0119" w:rsidRPr="003E0119">
        <w:rPr>
          <w:szCs w:val="24"/>
        </w:rPr>
        <w:t>Emer</w:t>
      </w:r>
      <w:proofErr w:type="spellEnd"/>
      <w:r w:rsidR="003E0119" w:rsidRPr="003E0119">
        <w:rPr>
          <w:szCs w:val="24"/>
        </w:rPr>
        <w:t xml:space="preserve"> and Sheng 2014)</w:t>
      </w:r>
      <w:r w:rsidR="00050FD3">
        <w:rPr>
          <w:lang w:eastAsia="en-US"/>
        </w:rPr>
        <w:t>.</w:t>
      </w:r>
    </w:p>
    <w:p w:rsidR="007D375F" w:rsidRDefault="007D375F" w:rsidP="007D375F">
      <w:pPr>
        <w:pStyle w:val="BodyText"/>
        <w:rPr>
          <w:lang w:eastAsia="en-US"/>
        </w:rPr>
      </w:pPr>
      <w:r>
        <w:rPr>
          <w:lang w:eastAsia="en-US"/>
        </w:rPr>
        <w:t xml:space="preserve">Attempts to stabilise commodity prices </w:t>
      </w:r>
      <w:r w:rsidR="00B0092D" w:rsidRPr="00C361D6">
        <w:rPr>
          <w:lang w:eastAsia="en-US"/>
        </w:rPr>
        <w:t xml:space="preserve">(and </w:t>
      </w:r>
      <w:r w:rsidRPr="00C361D6">
        <w:rPr>
          <w:lang w:eastAsia="en-US"/>
        </w:rPr>
        <w:t>farm incomes</w:t>
      </w:r>
      <w:r w:rsidR="00B0092D" w:rsidRPr="00C361D6">
        <w:rPr>
          <w:lang w:eastAsia="en-US"/>
        </w:rPr>
        <w:t>)</w:t>
      </w:r>
      <w:r w:rsidRPr="00C361D6">
        <w:rPr>
          <w:lang w:eastAsia="en-US"/>
        </w:rPr>
        <w:t xml:space="preserve"> resulted in </w:t>
      </w:r>
      <w:r w:rsidR="00B0092D" w:rsidRPr="00C361D6">
        <w:rPr>
          <w:lang w:eastAsia="en-US"/>
        </w:rPr>
        <w:t>some</w:t>
      </w:r>
      <w:r w:rsidRPr="00C361D6">
        <w:rPr>
          <w:lang w:eastAsia="en-US"/>
        </w:rPr>
        <w:t xml:space="preserve"> perverse effects with irreversible consequences for Australia’s agricultural industries. A floor price scheme for wool introduced in 1973 initially appeared to help stabilise prices and incomes </w:t>
      </w:r>
      <w:r w:rsidRPr="00C361D6">
        <w:rPr>
          <w:szCs w:val="24"/>
        </w:rPr>
        <w:t>(Richardson 2001)</w:t>
      </w:r>
      <w:r w:rsidRPr="00C361D6">
        <w:rPr>
          <w:lang w:eastAsia="en-US"/>
        </w:rPr>
        <w:t xml:space="preserve">. </w:t>
      </w:r>
      <w:r w:rsidR="00B0092D" w:rsidRPr="00C361D6">
        <w:rPr>
          <w:lang w:eastAsia="en-US"/>
        </w:rPr>
        <w:t>However, d</w:t>
      </w:r>
      <w:r w:rsidRPr="00C361D6">
        <w:rPr>
          <w:lang w:eastAsia="en-US"/>
        </w:rPr>
        <w:t xml:space="preserve">uring the </w:t>
      </w:r>
      <w:proofErr w:type="spellStart"/>
      <w:r w:rsidRPr="00C361D6">
        <w:rPr>
          <w:lang w:eastAsia="en-US"/>
        </w:rPr>
        <w:t>1980s</w:t>
      </w:r>
      <w:proofErr w:type="spellEnd"/>
      <w:r w:rsidR="00B0092D" w:rsidRPr="00C361D6">
        <w:rPr>
          <w:lang w:eastAsia="en-US"/>
        </w:rPr>
        <w:t xml:space="preserve"> </w:t>
      </w:r>
      <w:r w:rsidRPr="00C361D6">
        <w:rPr>
          <w:lang w:eastAsia="en-US"/>
        </w:rPr>
        <w:t xml:space="preserve">the scheme </w:t>
      </w:r>
      <w:r w:rsidR="00B0092D" w:rsidRPr="00C361D6">
        <w:rPr>
          <w:lang w:eastAsia="en-US"/>
        </w:rPr>
        <w:t>shifted</w:t>
      </w:r>
      <w:r w:rsidRPr="00C361D6">
        <w:rPr>
          <w:lang w:eastAsia="en-US"/>
        </w:rPr>
        <w:t xml:space="preserve"> from a conservative floor price to a reserve price scheme. Purchases by the Australian Wool Corporation to</w:t>
      </w:r>
      <w:r>
        <w:rPr>
          <w:lang w:eastAsia="en-US"/>
        </w:rPr>
        <w:t xml:space="preserve"> maintain the reserve price </w:t>
      </w:r>
      <w:r w:rsidR="00B01A16">
        <w:rPr>
          <w:lang w:eastAsia="en-US"/>
        </w:rPr>
        <w:t>and a significant decline in the global consumption of woo</w:t>
      </w:r>
      <w:r w:rsidR="00924F7A">
        <w:rPr>
          <w:lang w:eastAsia="en-US"/>
        </w:rPr>
        <w:t>l</w:t>
      </w:r>
      <w:r w:rsidR="00B01A16">
        <w:rPr>
          <w:lang w:eastAsia="en-US"/>
        </w:rPr>
        <w:t xml:space="preserve"> </w:t>
      </w:r>
      <w:r>
        <w:rPr>
          <w:lang w:eastAsia="en-US"/>
        </w:rPr>
        <w:t xml:space="preserve">led to the rapid accumulation of 4.7 million bales by the early </w:t>
      </w:r>
      <w:proofErr w:type="spellStart"/>
      <w:r>
        <w:rPr>
          <w:lang w:eastAsia="en-US"/>
        </w:rPr>
        <w:t>1990s</w:t>
      </w:r>
      <w:proofErr w:type="spellEnd"/>
      <w:r>
        <w:rPr>
          <w:lang w:eastAsia="en-US"/>
        </w:rPr>
        <w:t xml:space="preserve">, which were not sold off until 2001 </w:t>
      </w:r>
      <w:r w:rsidRPr="007D375F">
        <w:rPr>
          <w:szCs w:val="24"/>
        </w:rPr>
        <w:t>(ABS 2003)</w:t>
      </w:r>
      <w:r>
        <w:rPr>
          <w:lang w:eastAsia="en-US"/>
        </w:rPr>
        <w:t>. The subsequent collapse of world wool prices reduced the profitability of wool farming, and resulted in Australian sheep numbers falling from 177</w:t>
      </w:r>
      <w:r w:rsidR="006B09EE">
        <w:rPr>
          <w:lang w:eastAsia="en-US"/>
        </w:rPr>
        <w:t> </w:t>
      </w:r>
      <w:r>
        <w:rPr>
          <w:lang w:eastAsia="en-US"/>
        </w:rPr>
        <w:t>million in 1989 to less than 70</w:t>
      </w:r>
      <w:r w:rsidR="006B09EE">
        <w:rPr>
          <w:lang w:eastAsia="en-US"/>
        </w:rPr>
        <w:t> </w:t>
      </w:r>
      <w:r>
        <w:rPr>
          <w:lang w:eastAsia="en-US"/>
        </w:rPr>
        <w:t xml:space="preserve">million in the early </w:t>
      </w:r>
      <w:proofErr w:type="spellStart"/>
      <w:r>
        <w:rPr>
          <w:lang w:eastAsia="en-US"/>
        </w:rPr>
        <w:t>2000s</w:t>
      </w:r>
      <w:proofErr w:type="spellEnd"/>
      <w:r>
        <w:rPr>
          <w:lang w:eastAsia="en-US"/>
        </w:rPr>
        <w:t xml:space="preserve">, fundamentally altering Australia’s agricultural landscape </w:t>
      </w:r>
      <w:r w:rsidRPr="002D0004">
        <w:rPr>
          <w:szCs w:val="24"/>
        </w:rPr>
        <w:t xml:space="preserve">(Nelson and </w:t>
      </w:r>
      <w:proofErr w:type="spellStart"/>
      <w:r w:rsidRPr="002D0004">
        <w:rPr>
          <w:szCs w:val="24"/>
        </w:rPr>
        <w:t>Lawrance</w:t>
      </w:r>
      <w:proofErr w:type="spellEnd"/>
      <w:r w:rsidRPr="002D0004">
        <w:rPr>
          <w:szCs w:val="24"/>
        </w:rPr>
        <w:t> 2004)</w:t>
      </w:r>
      <w:r>
        <w:rPr>
          <w:lang w:eastAsia="en-US"/>
        </w:rPr>
        <w:t>.</w:t>
      </w:r>
    </w:p>
    <w:p w:rsidR="001505AA" w:rsidRDefault="001505AA" w:rsidP="001505AA">
      <w:pPr>
        <w:pStyle w:val="BodyText"/>
        <w:rPr>
          <w:lang w:eastAsia="en-US"/>
        </w:rPr>
      </w:pPr>
      <w:r>
        <w:rPr>
          <w:lang w:eastAsia="en-US"/>
        </w:rPr>
        <w:t xml:space="preserve">The ability of marketing boards to raise domestic prices was limited by their control over production which, for example, could require marketing boards in several states to agree on production quotas </w:t>
      </w:r>
      <w:r w:rsidR="007602E8" w:rsidRPr="007602E8">
        <w:rPr>
          <w:szCs w:val="24"/>
        </w:rPr>
        <w:t>(Lewis 1967; Watson and Parish 1982)</w:t>
      </w:r>
      <w:r>
        <w:rPr>
          <w:lang w:eastAsia="en-US"/>
        </w:rPr>
        <w:t xml:space="preserve">. In industries that were geographically concentrated, marketing boards could operate effectively as monopolies. In more diffuse industries there was a degree of competition between boards in different states. As early as 1961, Lewis </w:t>
      </w:r>
      <w:r w:rsidRPr="005940FD">
        <w:t>(1961)</w:t>
      </w:r>
      <w:r>
        <w:rPr>
          <w:lang w:eastAsia="en-US"/>
        </w:rPr>
        <w:t xml:space="preserve"> observed that: </w:t>
      </w:r>
      <w:r w:rsidR="003E0119">
        <w:rPr>
          <w:lang w:eastAsia="en-US"/>
        </w:rPr>
        <w:t>‘</w:t>
      </w:r>
      <w:r w:rsidR="003C546E">
        <w:rPr>
          <w:lang w:eastAsia="en-US"/>
        </w:rPr>
        <w:t>b</w:t>
      </w:r>
      <w:r>
        <w:rPr>
          <w:lang w:eastAsia="en-US"/>
        </w:rPr>
        <w:t>ecause of the large number of widely dispersed producers, voluntary organi</w:t>
      </w:r>
      <w:r w:rsidR="006B09EE">
        <w:rPr>
          <w:lang w:eastAsia="en-US"/>
        </w:rPr>
        <w:t>s</w:t>
      </w:r>
      <w:r>
        <w:rPr>
          <w:lang w:eastAsia="en-US"/>
        </w:rPr>
        <w:t>ation in the form of cooperative societies has failed to achieve the necessary conditions for effective impleme</w:t>
      </w:r>
      <w:r w:rsidR="003E0119">
        <w:rPr>
          <w:lang w:eastAsia="en-US"/>
        </w:rPr>
        <w:t>ntation of two</w:t>
      </w:r>
      <w:r w:rsidR="000D513B">
        <w:rPr>
          <w:lang w:eastAsia="en-US"/>
        </w:rPr>
        <w:noBreakHyphen/>
      </w:r>
      <w:r w:rsidR="003E0119">
        <w:rPr>
          <w:lang w:eastAsia="en-US"/>
        </w:rPr>
        <w:t>price schemes</w:t>
      </w:r>
      <w:r w:rsidR="00864424">
        <w:rPr>
          <w:lang w:eastAsia="en-US"/>
        </w:rPr>
        <w:t>’</w:t>
      </w:r>
      <w:r w:rsidR="003E0119">
        <w:rPr>
          <w:lang w:eastAsia="en-US"/>
        </w:rPr>
        <w:t xml:space="preserve"> (p. </w:t>
      </w:r>
      <w:r>
        <w:rPr>
          <w:lang w:eastAsia="en-US"/>
        </w:rPr>
        <w:t xml:space="preserve">2). Discriminatory pricing also meant that farmers received an average price that was higher than export prices, but lower than domestic prices. This created an incentive for individual growers to sell directly to domestic consumers at the higher </w:t>
      </w:r>
      <w:r>
        <w:rPr>
          <w:lang w:eastAsia="en-US"/>
        </w:rPr>
        <w:lastRenderedPageBreak/>
        <w:t xml:space="preserve">domestic price, </w:t>
      </w:r>
      <w:r w:rsidR="003E0119">
        <w:rPr>
          <w:lang w:eastAsia="en-US"/>
        </w:rPr>
        <w:t>a strategy</w:t>
      </w:r>
      <w:r>
        <w:rPr>
          <w:lang w:eastAsia="en-US"/>
        </w:rPr>
        <w:t xml:space="preserve"> that </w:t>
      </w:r>
      <w:r w:rsidR="003E0119">
        <w:rPr>
          <w:lang w:eastAsia="en-US"/>
        </w:rPr>
        <w:t>inevitably drove</w:t>
      </w:r>
      <w:r>
        <w:rPr>
          <w:lang w:eastAsia="en-US"/>
        </w:rPr>
        <w:t xml:space="preserve"> domestic prices </w:t>
      </w:r>
      <w:r w:rsidR="000A7151">
        <w:rPr>
          <w:lang w:eastAsia="en-US"/>
        </w:rPr>
        <w:t>down</w:t>
      </w:r>
      <w:r>
        <w:rPr>
          <w:lang w:eastAsia="en-US"/>
        </w:rPr>
        <w:t xml:space="preserve"> to</w:t>
      </w:r>
      <w:r w:rsidR="003E0119">
        <w:rPr>
          <w:lang w:eastAsia="en-US"/>
        </w:rPr>
        <w:t>wards</w:t>
      </w:r>
      <w:r>
        <w:rPr>
          <w:lang w:eastAsia="en-US"/>
        </w:rPr>
        <w:t xml:space="preserve"> export parity</w:t>
      </w:r>
      <w:r w:rsidR="003E0119">
        <w:rPr>
          <w:lang w:eastAsia="en-US"/>
        </w:rPr>
        <w:t xml:space="preserve"> </w:t>
      </w:r>
      <w:r w:rsidR="002F734E" w:rsidRPr="002F734E">
        <w:rPr>
          <w:szCs w:val="24"/>
        </w:rPr>
        <w:t>(Lewis 1961; Watson and Parish 1982)</w:t>
      </w:r>
      <w:r>
        <w:rPr>
          <w:lang w:eastAsia="en-US"/>
        </w:rPr>
        <w:t>.</w:t>
      </w:r>
    </w:p>
    <w:p w:rsidR="001505AA" w:rsidRDefault="001505AA" w:rsidP="002B24DA">
      <w:pPr>
        <w:pStyle w:val="BodyText"/>
        <w:rPr>
          <w:lang w:eastAsia="en-US"/>
        </w:rPr>
      </w:pPr>
      <w:r>
        <w:rPr>
          <w:lang w:eastAsia="en-US"/>
        </w:rPr>
        <w:t xml:space="preserve">Raising domestic prices to subsidise production increased the cost of food to consumers and created </w:t>
      </w:r>
      <w:r w:rsidR="00A929BA">
        <w:rPr>
          <w:lang w:eastAsia="en-US"/>
        </w:rPr>
        <w:t>in</w:t>
      </w:r>
      <w:r>
        <w:rPr>
          <w:lang w:eastAsia="en-US"/>
        </w:rPr>
        <w:t xml:space="preserve">equity between consumers and producers. </w:t>
      </w:r>
      <w:r w:rsidR="00864424">
        <w:rPr>
          <w:lang w:eastAsia="en-US"/>
        </w:rPr>
        <w:t xml:space="preserve">The </w:t>
      </w:r>
      <w:r>
        <w:rPr>
          <w:lang w:eastAsia="en-US"/>
        </w:rPr>
        <w:t xml:space="preserve">Industry Commission </w:t>
      </w:r>
      <w:r w:rsidR="005C0537" w:rsidRPr="005C0537">
        <w:t>(1991)</w:t>
      </w:r>
      <w:r>
        <w:rPr>
          <w:lang w:eastAsia="en-US"/>
        </w:rPr>
        <w:t xml:space="preserve"> estimated that </w:t>
      </w:r>
      <w:r w:rsidR="00864424">
        <w:rPr>
          <w:lang w:eastAsia="en-US"/>
        </w:rPr>
        <w:t>in 1988</w:t>
      </w:r>
      <w:r w:rsidR="00864424">
        <w:rPr>
          <w:lang w:eastAsia="en-US"/>
        </w:rPr>
        <w:softHyphen/>
      </w:r>
      <w:r w:rsidR="00864424">
        <w:rPr>
          <w:lang w:eastAsia="en-US"/>
        </w:rPr>
        <w:noBreakHyphen/>
        <w:t xml:space="preserve">89 </w:t>
      </w:r>
      <w:r>
        <w:rPr>
          <w:lang w:eastAsia="en-US"/>
        </w:rPr>
        <w:t xml:space="preserve">statutory marketing arrangements for milk, sugar and rice raised consumer prices by 0.3 per cent, and taxed user industries and consumers of food by </w:t>
      </w:r>
      <w:r w:rsidR="00AD25B0">
        <w:rPr>
          <w:lang w:eastAsia="en-US"/>
        </w:rPr>
        <w:t>about</w:t>
      </w:r>
      <w:r>
        <w:rPr>
          <w:lang w:eastAsia="en-US"/>
        </w:rPr>
        <w:t xml:space="preserve"> $550 million. </w:t>
      </w:r>
      <w:r w:rsidR="00A929BA">
        <w:rPr>
          <w:lang w:eastAsia="en-US"/>
        </w:rPr>
        <w:t xml:space="preserve">This inequity could persist partly because the voice of consumers was diffuse and less well organised than the concentrated and well organised voice of </w:t>
      </w:r>
      <w:r w:rsidR="002B24DA">
        <w:rPr>
          <w:lang w:eastAsia="en-US"/>
        </w:rPr>
        <w:t>statutory marketing boards</w:t>
      </w:r>
      <w:r w:rsidR="00E77F47">
        <w:rPr>
          <w:lang w:eastAsia="en-US"/>
        </w:rPr>
        <w:t xml:space="preserve"> </w:t>
      </w:r>
      <w:r w:rsidR="00E77F47" w:rsidRPr="00E77F47">
        <w:rPr>
          <w:szCs w:val="24"/>
        </w:rPr>
        <w:t>(Watson and Parish 1982)</w:t>
      </w:r>
      <w:r w:rsidR="002B24DA">
        <w:rPr>
          <w:lang w:eastAsia="en-US"/>
        </w:rPr>
        <w:t xml:space="preserve">. Statutory marketing was also established in an </w:t>
      </w:r>
      <w:r w:rsidR="00E77F47">
        <w:rPr>
          <w:lang w:eastAsia="en-US"/>
        </w:rPr>
        <w:t>era</w:t>
      </w:r>
      <w:r w:rsidR="005F738E">
        <w:rPr>
          <w:lang w:eastAsia="en-US"/>
        </w:rPr>
        <w:t xml:space="preserve"> when there was ‘</w:t>
      </w:r>
      <w:r>
        <w:rPr>
          <w:lang w:eastAsia="en-US"/>
        </w:rPr>
        <w:t xml:space="preserve">widespread acceptance of </w:t>
      </w:r>
      <w:proofErr w:type="spellStart"/>
      <w:r>
        <w:rPr>
          <w:lang w:eastAsia="en-US"/>
        </w:rPr>
        <w:t>restrictionist</w:t>
      </w:r>
      <w:proofErr w:type="spellEnd"/>
      <w:r>
        <w:rPr>
          <w:lang w:eastAsia="en-US"/>
        </w:rPr>
        <w:t xml:space="preserve"> economic philosophy and distrust of free markets</w:t>
      </w:r>
      <w:r w:rsidR="000D513B">
        <w:rPr>
          <w:lang w:eastAsia="en-US"/>
        </w:rPr>
        <w:t xml:space="preserve"> </w:t>
      </w:r>
      <w:r>
        <w:rPr>
          <w:lang w:eastAsia="en-US"/>
        </w:rPr>
        <w:t>…</w:t>
      </w:r>
      <w:r w:rsidR="000D513B">
        <w:rPr>
          <w:lang w:eastAsia="en-US"/>
        </w:rPr>
        <w:t xml:space="preserve"> </w:t>
      </w:r>
      <w:r w:rsidR="002B24DA">
        <w:rPr>
          <w:lang w:eastAsia="en-US"/>
        </w:rPr>
        <w:t>’</w:t>
      </w:r>
      <w:r>
        <w:rPr>
          <w:lang w:eastAsia="en-US"/>
        </w:rPr>
        <w:t xml:space="preserve"> </w:t>
      </w:r>
      <w:r w:rsidR="007602E8" w:rsidRPr="007602E8">
        <w:rPr>
          <w:szCs w:val="24"/>
        </w:rPr>
        <w:t>(Watson and Parish 1982, p. 328)</w:t>
      </w:r>
      <w:r w:rsidR="00B0092D">
        <w:rPr>
          <w:lang w:eastAsia="en-US"/>
        </w:rPr>
        <w:t xml:space="preserve">. </w:t>
      </w:r>
    </w:p>
    <w:p w:rsidR="001505AA" w:rsidRDefault="001505AA" w:rsidP="001505AA">
      <w:pPr>
        <w:pStyle w:val="BodyText"/>
        <w:rPr>
          <w:lang w:eastAsia="en-US"/>
        </w:rPr>
      </w:pPr>
      <w:r>
        <w:rPr>
          <w:lang w:eastAsia="en-US"/>
        </w:rPr>
        <w:t xml:space="preserve">A more modern argument for maintaining statutory marketing boards as </w:t>
      </w:r>
      <w:r w:rsidR="00AA4D1A">
        <w:rPr>
          <w:lang w:eastAsia="en-US"/>
        </w:rPr>
        <w:t>‘</w:t>
      </w:r>
      <w:r>
        <w:rPr>
          <w:lang w:eastAsia="en-US"/>
        </w:rPr>
        <w:t>single</w:t>
      </w:r>
      <w:r w:rsidR="000D513B">
        <w:rPr>
          <w:lang w:eastAsia="en-US"/>
        </w:rPr>
        <w:noBreakHyphen/>
      </w:r>
      <w:r>
        <w:rPr>
          <w:lang w:eastAsia="en-US"/>
        </w:rPr>
        <w:t>desk</w:t>
      </w:r>
      <w:r w:rsidR="00AA4D1A">
        <w:rPr>
          <w:lang w:eastAsia="en-US"/>
        </w:rPr>
        <w:t>’</w:t>
      </w:r>
      <w:r>
        <w:rPr>
          <w:lang w:eastAsia="en-US"/>
        </w:rPr>
        <w:t xml:space="preserve"> exporters </w:t>
      </w:r>
      <w:r w:rsidR="002B24DA">
        <w:rPr>
          <w:lang w:eastAsia="en-US"/>
        </w:rPr>
        <w:t>was</w:t>
      </w:r>
      <w:r>
        <w:rPr>
          <w:lang w:eastAsia="en-US"/>
        </w:rPr>
        <w:t xml:space="preserve"> the potential for monopoly</w:t>
      </w:r>
      <w:r w:rsidR="00864424">
        <w:rPr>
          <w:lang w:eastAsia="en-US"/>
        </w:rPr>
        <w:t xml:space="preserve"> </w:t>
      </w:r>
      <w:r>
        <w:rPr>
          <w:lang w:eastAsia="en-US"/>
        </w:rPr>
        <w:t>selling to achieve higher export prices. However,</w:t>
      </w:r>
      <w:r w:rsidR="000D513B">
        <w:rPr>
          <w:lang w:eastAsia="en-US"/>
        </w:rPr>
        <w:t xml:space="preserve"> </w:t>
      </w:r>
      <w:r>
        <w:rPr>
          <w:lang w:eastAsia="en-US"/>
        </w:rPr>
        <w:t>the</w:t>
      </w:r>
      <w:r w:rsidR="004B3154">
        <w:rPr>
          <w:lang w:eastAsia="en-US"/>
        </w:rPr>
        <w:t xml:space="preserve"> </w:t>
      </w:r>
      <w:r w:rsidR="00864424">
        <w:rPr>
          <w:lang w:eastAsia="en-US"/>
        </w:rPr>
        <w:t xml:space="preserve">Commission </w:t>
      </w:r>
      <w:r w:rsidR="0032301C" w:rsidRPr="0032301C">
        <w:t>(2000)</w:t>
      </w:r>
      <w:r>
        <w:rPr>
          <w:lang w:eastAsia="en-US"/>
        </w:rPr>
        <w:t xml:space="preserve"> found that maintaining a single desk exporter is not sufficient to guarantee monopoly power in export markets, due to competition from other exporters and an ability of consumers to substitute to other products. </w:t>
      </w:r>
      <w:r w:rsidR="00D42E9A">
        <w:rPr>
          <w:lang w:eastAsia="en-US"/>
        </w:rPr>
        <w:t>H</w:t>
      </w:r>
      <w:r>
        <w:rPr>
          <w:lang w:eastAsia="en-US"/>
        </w:rPr>
        <w:t xml:space="preserve">igher export returns from </w:t>
      </w:r>
      <w:r w:rsidR="00D42E9A">
        <w:rPr>
          <w:lang w:eastAsia="en-US"/>
        </w:rPr>
        <w:t xml:space="preserve">the provision of </w:t>
      </w:r>
      <w:r>
        <w:rPr>
          <w:lang w:eastAsia="en-US"/>
        </w:rPr>
        <w:t>specialised marketing service</w:t>
      </w:r>
      <w:r w:rsidR="00D42E9A">
        <w:rPr>
          <w:lang w:eastAsia="en-US"/>
        </w:rPr>
        <w:t>s do not require monopoly power</w:t>
      </w:r>
      <w:r>
        <w:rPr>
          <w:lang w:eastAsia="en-US"/>
        </w:rPr>
        <w:t xml:space="preserve"> to realise.</w:t>
      </w:r>
    </w:p>
    <w:p w:rsidR="001505AA" w:rsidRDefault="001505AA" w:rsidP="001505AA">
      <w:pPr>
        <w:pStyle w:val="BodyText"/>
        <w:rPr>
          <w:lang w:eastAsia="en-US"/>
        </w:rPr>
      </w:pPr>
      <w:r>
        <w:rPr>
          <w:lang w:eastAsia="en-US"/>
        </w:rPr>
        <w:t xml:space="preserve">There were also always questions </w:t>
      </w:r>
      <w:r w:rsidR="00B0092D">
        <w:rPr>
          <w:lang w:eastAsia="en-US"/>
        </w:rPr>
        <w:t>about</w:t>
      </w:r>
      <w:r>
        <w:rPr>
          <w:lang w:eastAsia="en-US"/>
        </w:rPr>
        <w:t xml:space="preserve"> whether statutory marketing boards could perform the storage and marketing functions as efficiently as private businesses </w:t>
      </w:r>
      <w:r w:rsidR="007602E8" w:rsidRPr="007602E8">
        <w:rPr>
          <w:szCs w:val="24"/>
        </w:rPr>
        <w:t>(Watson and Parish 1982)</w:t>
      </w:r>
      <w:r>
        <w:rPr>
          <w:lang w:eastAsia="en-US"/>
        </w:rPr>
        <w:t xml:space="preserve">. Pooling of transport and distribution costs encourages inefficient distribution and production which </w:t>
      </w:r>
      <w:r w:rsidR="001F1F91">
        <w:rPr>
          <w:lang w:eastAsia="en-US"/>
        </w:rPr>
        <w:t xml:space="preserve">incurs relatively high costs. A </w:t>
      </w:r>
      <w:r>
        <w:rPr>
          <w:lang w:eastAsia="en-US"/>
        </w:rPr>
        <w:t xml:space="preserve">lack of competition and choice of </w:t>
      </w:r>
      <w:r w:rsidR="001F1F91">
        <w:rPr>
          <w:lang w:eastAsia="en-US"/>
        </w:rPr>
        <w:t>marketer can</w:t>
      </w:r>
      <w:r>
        <w:rPr>
          <w:lang w:eastAsia="en-US"/>
        </w:rPr>
        <w:t xml:space="preserve"> promote inefficient </w:t>
      </w:r>
      <w:r w:rsidR="001F1F91">
        <w:rPr>
          <w:lang w:eastAsia="en-US"/>
        </w:rPr>
        <w:t>practices such as</w:t>
      </w:r>
      <w:r>
        <w:rPr>
          <w:lang w:eastAsia="en-US"/>
        </w:rPr>
        <w:t xml:space="preserve"> over</w:t>
      </w:r>
      <w:r w:rsidR="000D513B">
        <w:rPr>
          <w:lang w:eastAsia="en-US"/>
        </w:rPr>
        <w:noBreakHyphen/>
      </w:r>
      <w:r>
        <w:rPr>
          <w:lang w:eastAsia="en-US"/>
        </w:rPr>
        <w:t>servicing and cost</w:t>
      </w:r>
      <w:r w:rsidR="000D513B">
        <w:rPr>
          <w:lang w:eastAsia="en-US"/>
        </w:rPr>
        <w:noBreakHyphen/>
      </w:r>
      <w:r>
        <w:rPr>
          <w:lang w:eastAsia="en-US"/>
        </w:rPr>
        <w:t>padding by statutory marketing boards</w:t>
      </w:r>
      <w:r w:rsidR="00427E85">
        <w:rPr>
          <w:lang w:eastAsia="en-US"/>
        </w:rPr>
        <w:t xml:space="preserve"> </w:t>
      </w:r>
      <w:r w:rsidR="00427E85" w:rsidRPr="00427E85">
        <w:rPr>
          <w:szCs w:val="24"/>
        </w:rPr>
        <w:t>(PC 2000)</w:t>
      </w:r>
      <w:r>
        <w:rPr>
          <w:lang w:eastAsia="en-US"/>
        </w:rPr>
        <w:t>.</w:t>
      </w:r>
    </w:p>
    <w:p w:rsidR="001505AA" w:rsidRDefault="001F1F91" w:rsidP="001505AA">
      <w:pPr>
        <w:pStyle w:val="BodyText"/>
        <w:rPr>
          <w:lang w:eastAsia="en-US"/>
        </w:rPr>
      </w:pPr>
      <w:r>
        <w:rPr>
          <w:lang w:eastAsia="en-US"/>
        </w:rPr>
        <w:t>S</w:t>
      </w:r>
      <w:r w:rsidR="001505AA">
        <w:rPr>
          <w:lang w:eastAsia="en-US"/>
        </w:rPr>
        <w:t>tatutory marketing had a range of significant negative impacts on agricultural productivity</w:t>
      </w:r>
      <w:r w:rsidR="006B09EE">
        <w:rPr>
          <w:lang w:eastAsia="en-US"/>
        </w:rPr>
        <w:t>,</w:t>
      </w:r>
      <w:r w:rsidR="001505AA">
        <w:rPr>
          <w:lang w:eastAsia="en-US"/>
        </w:rPr>
        <w:t xml:space="preserve"> including</w:t>
      </w:r>
      <w:r w:rsidR="00864424">
        <w:rPr>
          <w:lang w:eastAsia="en-US"/>
        </w:rPr>
        <w:t xml:space="preserve"> on</w:t>
      </w:r>
      <w:r w:rsidR="001505AA">
        <w:rPr>
          <w:lang w:eastAsia="en-US"/>
        </w:rPr>
        <w:t>:</w:t>
      </w:r>
    </w:p>
    <w:p w:rsidR="001505AA" w:rsidRDefault="00B0092D" w:rsidP="008D7A40">
      <w:pPr>
        <w:pStyle w:val="ListBullet"/>
        <w:rPr>
          <w:lang w:eastAsia="en-US"/>
        </w:rPr>
      </w:pPr>
      <w:r>
        <w:rPr>
          <w:lang w:eastAsia="en-US"/>
        </w:rPr>
        <w:t>i</w:t>
      </w:r>
      <w:r w:rsidR="001505AA">
        <w:rPr>
          <w:lang w:eastAsia="en-US"/>
        </w:rPr>
        <w:t>nnovation</w:t>
      </w:r>
      <w:r w:rsidR="00864424">
        <w:rPr>
          <w:lang w:eastAsia="en-US"/>
        </w:rPr>
        <w:t xml:space="preserve"> —</w:t>
      </w:r>
      <w:r w:rsidR="001505AA">
        <w:rPr>
          <w:lang w:eastAsia="en-US"/>
        </w:rPr>
        <w:t xml:space="preserve"> average pricing undermines incentives for farmers to seek new and higher value markets</w:t>
      </w:r>
    </w:p>
    <w:p w:rsidR="001505AA" w:rsidRDefault="00B0092D">
      <w:pPr>
        <w:pStyle w:val="ListBullet"/>
        <w:rPr>
          <w:lang w:eastAsia="en-US"/>
        </w:rPr>
      </w:pPr>
      <w:r>
        <w:rPr>
          <w:lang w:eastAsia="en-US"/>
        </w:rPr>
        <w:t>r</w:t>
      </w:r>
      <w:r w:rsidR="001505AA">
        <w:rPr>
          <w:lang w:eastAsia="en-US"/>
        </w:rPr>
        <w:t>isk management</w:t>
      </w:r>
      <w:r w:rsidR="00864424">
        <w:rPr>
          <w:lang w:eastAsia="en-US"/>
        </w:rPr>
        <w:t xml:space="preserve"> —</w:t>
      </w:r>
      <w:r w:rsidR="001505AA">
        <w:rPr>
          <w:lang w:eastAsia="en-US"/>
        </w:rPr>
        <w:t xml:space="preserve"> income pooling and price support undermines incentives to manage risk</w:t>
      </w:r>
    </w:p>
    <w:p w:rsidR="001505AA" w:rsidRDefault="00B0092D">
      <w:pPr>
        <w:pStyle w:val="ListBullet"/>
        <w:rPr>
          <w:lang w:eastAsia="en-US"/>
        </w:rPr>
      </w:pPr>
      <w:r>
        <w:rPr>
          <w:lang w:eastAsia="en-US"/>
        </w:rPr>
        <w:t>r</w:t>
      </w:r>
      <w:r w:rsidR="001505AA">
        <w:rPr>
          <w:lang w:eastAsia="en-US"/>
        </w:rPr>
        <w:t>esource allocation</w:t>
      </w:r>
      <w:r w:rsidR="00864424">
        <w:rPr>
          <w:lang w:eastAsia="en-US"/>
        </w:rPr>
        <w:t xml:space="preserve"> —</w:t>
      </w:r>
      <w:r w:rsidR="001505AA">
        <w:rPr>
          <w:lang w:eastAsia="en-US"/>
        </w:rPr>
        <w:t xml:space="preserve"> resources flowed from less protected to heavily protected industries.</w:t>
      </w:r>
    </w:p>
    <w:p w:rsidR="001505AA" w:rsidRDefault="00B0092D">
      <w:pPr>
        <w:pStyle w:val="ListBullet"/>
        <w:rPr>
          <w:lang w:eastAsia="en-US"/>
        </w:rPr>
      </w:pPr>
      <w:r>
        <w:rPr>
          <w:lang w:eastAsia="en-US"/>
        </w:rPr>
        <w:t>e</w:t>
      </w:r>
      <w:r w:rsidR="001505AA">
        <w:rPr>
          <w:lang w:eastAsia="en-US"/>
        </w:rPr>
        <w:t>ffectiveness</w:t>
      </w:r>
      <w:r w:rsidR="00864424">
        <w:rPr>
          <w:lang w:eastAsia="en-US"/>
        </w:rPr>
        <w:t xml:space="preserve"> —</w:t>
      </w:r>
      <w:r w:rsidR="001505AA">
        <w:rPr>
          <w:lang w:eastAsia="en-US"/>
        </w:rPr>
        <w:t xml:space="preserve"> statutory marketing boards had a limited ability to raise prices</w:t>
      </w:r>
    </w:p>
    <w:p w:rsidR="001505AA" w:rsidRDefault="00B0092D">
      <w:pPr>
        <w:pStyle w:val="ListBullet"/>
        <w:rPr>
          <w:lang w:eastAsia="en-US"/>
        </w:rPr>
      </w:pPr>
      <w:r>
        <w:rPr>
          <w:lang w:eastAsia="en-US"/>
        </w:rPr>
        <w:t>c</w:t>
      </w:r>
      <w:r w:rsidR="001505AA">
        <w:rPr>
          <w:lang w:eastAsia="en-US"/>
        </w:rPr>
        <w:t>ost of administration</w:t>
      </w:r>
      <w:r w:rsidR="00864424">
        <w:rPr>
          <w:lang w:eastAsia="en-US"/>
        </w:rPr>
        <w:t xml:space="preserve"> —</w:t>
      </w:r>
      <w:r w:rsidR="001505AA">
        <w:rPr>
          <w:lang w:eastAsia="en-US"/>
        </w:rPr>
        <w:t xml:space="preserve"> statutory marketing boards were administratively complex to establish and maintain </w:t>
      </w:r>
    </w:p>
    <w:p w:rsidR="001505AA" w:rsidRDefault="00B0092D">
      <w:pPr>
        <w:pStyle w:val="ListBullet"/>
        <w:rPr>
          <w:lang w:eastAsia="en-US"/>
        </w:rPr>
      </w:pPr>
      <w:r>
        <w:rPr>
          <w:lang w:eastAsia="en-US"/>
        </w:rPr>
        <w:t>c</w:t>
      </w:r>
      <w:r w:rsidR="001505AA">
        <w:rPr>
          <w:lang w:eastAsia="en-US"/>
        </w:rPr>
        <w:t>onsumers</w:t>
      </w:r>
      <w:r w:rsidR="00864424">
        <w:rPr>
          <w:lang w:eastAsia="en-US"/>
        </w:rPr>
        <w:t xml:space="preserve"> —</w:t>
      </w:r>
      <w:r w:rsidR="001505AA">
        <w:rPr>
          <w:lang w:eastAsia="en-US"/>
        </w:rPr>
        <w:t xml:space="preserve"> raising prices increases the cost of food to consumers</w:t>
      </w:r>
    </w:p>
    <w:p w:rsidR="001505AA" w:rsidRDefault="00B0092D">
      <w:pPr>
        <w:pStyle w:val="ListBullet"/>
        <w:rPr>
          <w:lang w:eastAsia="en-US"/>
        </w:rPr>
      </w:pPr>
      <w:r>
        <w:rPr>
          <w:lang w:eastAsia="en-US"/>
        </w:rPr>
        <w:t>i</w:t>
      </w:r>
      <w:r w:rsidR="001505AA">
        <w:rPr>
          <w:lang w:eastAsia="en-US"/>
        </w:rPr>
        <w:t>nefficient marketing</w:t>
      </w:r>
      <w:r w:rsidR="00864424">
        <w:rPr>
          <w:lang w:eastAsia="en-US"/>
        </w:rPr>
        <w:t xml:space="preserve"> —</w:t>
      </w:r>
      <w:r w:rsidR="001505AA">
        <w:rPr>
          <w:lang w:eastAsia="en-US"/>
        </w:rPr>
        <w:t xml:space="preserve"> statutory power undermines incentives for inno</w:t>
      </w:r>
      <w:r w:rsidR="001F1F91">
        <w:rPr>
          <w:lang w:eastAsia="en-US"/>
        </w:rPr>
        <w:t>vative and efficient</w:t>
      </w:r>
      <w:r w:rsidR="000D513B">
        <w:rPr>
          <w:lang w:eastAsia="en-US"/>
        </w:rPr>
        <w:t xml:space="preserve"> </w:t>
      </w:r>
      <w:r w:rsidR="001F1F91">
        <w:rPr>
          <w:lang w:eastAsia="en-US"/>
        </w:rPr>
        <w:t xml:space="preserve">marketing </w:t>
      </w:r>
      <w:r w:rsidR="001505AA" w:rsidRPr="001F1F91">
        <w:rPr>
          <w:lang w:eastAsia="en-US"/>
        </w:rPr>
        <w:t>(</w:t>
      </w:r>
      <w:proofErr w:type="spellStart"/>
      <w:r w:rsidR="001505AA" w:rsidRPr="001F1F91">
        <w:rPr>
          <w:lang w:eastAsia="en-US"/>
        </w:rPr>
        <w:t>Gray</w:t>
      </w:r>
      <w:proofErr w:type="spellEnd"/>
      <w:r w:rsidR="001505AA" w:rsidRPr="001F1F91">
        <w:rPr>
          <w:lang w:eastAsia="en-US"/>
        </w:rPr>
        <w:t>, Oss-</w:t>
      </w:r>
      <w:proofErr w:type="spellStart"/>
      <w:r w:rsidR="001505AA" w:rsidRPr="001F1F91">
        <w:rPr>
          <w:lang w:eastAsia="en-US"/>
        </w:rPr>
        <w:t>Emer</w:t>
      </w:r>
      <w:proofErr w:type="spellEnd"/>
      <w:r w:rsidR="001505AA" w:rsidRPr="001F1F91">
        <w:rPr>
          <w:lang w:eastAsia="en-US"/>
        </w:rPr>
        <w:t xml:space="preserve"> and Sheng 2014; PC 2000)</w:t>
      </w:r>
      <w:r w:rsidR="001505AA">
        <w:rPr>
          <w:lang w:eastAsia="en-US"/>
        </w:rPr>
        <w:t>.</w:t>
      </w:r>
    </w:p>
    <w:p w:rsidR="001505AA" w:rsidRDefault="001505AA" w:rsidP="0006575F">
      <w:pPr>
        <w:pStyle w:val="Heading2"/>
      </w:pPr>
      <w:r>
        <w:lastRenderedPageBreak/>
        <w:t>Deregulation of Australian agriculture</w:t>
      </w:r>
    </w:p>
    <w:p w:rsidR="001505AA" w:rsidRDefault="001505AA" w:rsidP="001505AA">
      <w:pPr>
        <w:pStyle w:val="BodyText"/>
      </w:pPr>
      <w:r>
        <w:t>Over time changes in production</w:t>
      </w:r>
      <w:r w:rsidR="006B09EE">
        <w:t>,</w:t>
      </w:r>
      <w:r>
        <w:t xml:space="preserve"> technology and patterns of demand can significantly alter the structure of markets and reduce the need for regulation </w:t>
      </w:r>
      <w:r>
        <w:rPr>
          <w:noProof/>
        </w:rPr>
        <w:t>(Weimer and Vining 2015)</w:t>
      </w:r>
      <w:r>
        <w:t xml:space="preserve">. </w:t>
      </w:r>
    </w:p>
    <w:p w:rsidR="001505AA" w:rsidRDefault="001505AA" w:rsidP="001505AA">
      <w:pPr>
        <w:pStyle w:val="BodyText"/>
      </w:pPr>
      <w:r>
        <w:t>T</w:t>
      </w:r>
      <w:r w:rsidRPr="004A56AE">
        <w:t>he economic and policy environment within which farm</w:t>
      </w:r>
      <w:r>
        <w:t xml:space="preserve"> businesses</w:t>
      </w:r>
      <w:r w:rsidRPr="004A56AE">
        <w:t xml:space="preserve"> operate has changed </w:t>
      </w:r>
      <w:r>
        <w:t xml:space="preserve">dramatically over the last 30 years </w:t>
      </w:r>
      <w:r w:rsidRPr="0082295B">
        <w:t>(</w:t>
      </w:r>
      <w:proofErr w:type="spellStart"/>
      <w:r w:rsidRPr="0082295B">
        <w:t>Gray</w:t>
      </w:r>
      <w:proofErr w:type="spellEnd"/>
      <w:r w:rsidRPr="0082295B">
        <w:t>, Oss-</w:t>
      </w:r>
      <w:proofErr w:type="spellStart"/>
      <w:r w:rsidRPr="0082295B">
        <w:t>Emer</w:t>
      </w:r>
      <w:proofErr w:type="spellEnd"/>
      <w:r w:rsidRPr="0082295B">
        <w:t xml:space="preserve"> and Sheng 2014)</w:t>
      </w:r>
      <w:r w:rsidRPr="004A56AE">
        <w:t xml:space="preserve">. The Australian economy </w:t>
      </w:r>
      <w:r>
        <w:t>has been</w:t>
      </w:r>
      <w:r w:rsidRPr="004A56AE">
        <w:t xml:space="preserve"> transformed by a series of economic reforms that </w:t>
      </w:r>
      <w:r>
        <w:t>exposed</w:t>
      </w:r>
      <w:r w:rsidRPr="004A56AE">
        <w:t xml:space="preserve"> Australian industries to greater interna</w:t>
      </w:r>
      <w:r>
        <w:t xml:space="preserve">tional and domestic competition. These reforms have </w:t>
      </w:r>
      <w:r w:rsidRPr="004A56AE">
        <w:t>increas</w:t>
      </w:r>
      <w:r w:rsidR="006B09EE">
        <w:t>ed</w:t>
      </w:r>
      <w:r w:rsidRPr="004A56AE">
        <w:t xml:space="preserve"> </w:t>
      </w:r>
      <w:r>
        <w:t xml:space="preserve">the </w:t>
      </w:r>
      <w:r w:rsidRPr="004A56AE">
        <w:t>flexibility and productivity</w:t>
      </w:r>
      <w:r>
        <w:t xml:space="preserve"> of </w:t>
      </w:r>
      <w:r w:rsidR="006B09EE">
        <w:t>the economy</w:t>
      </w:r>
      <w:r>
        <w:t xml:space="preserve"> by enabling resources to flow to their highest value uses, resulting in significant improvements in</w:t>
      </w:r>
      <w:r w:rsidRPr="004A56AE">
        <w:t xml:space="preserve"> </w:t>
      </w:r>
      <w:r>
        <w:t>agricultural productivity.</w:t>
      </w:r>
    </w:p>
    <w:p w:rsidR="001505AA" w:rsidRDefault="001505AA" w:rsidP="001505AA">
      <w:pPr>
        <w:pStyle w:val="BodyText"/>
      </w:pPr>
      <w:r>
        <w:t xml:space="preserve">From the </w:t>
      </w:r>
      <w:proofErr w:type="spellStart"/>
      <w:r>
        <w:t>1970s</w:t>
      </w:r>
      <w:proofErr w:type="spellEnd"/>
      <w:r>
        <w:t xml:space="preserve"> onwards, economic conditions began to change significantly from those in which statutory marketing arrangements were conceived. Examples of some of the economic changes </w:t>
      </w:r>
      <w:r w:rsidR="00CB04CD">
        <w:t xml:space="preserve">that </w:t>
      </w:r>
      <w:r>
        <w:t>affect</w:t>
      </w:r>
      <w:r w:rsidR="00CB04CD">
        <w:t xml:space="preserve">ed </w:t>
      </w:r>
      <w:r>
        <w:t>agricultural marketing included:</w:t>
      </w:r>
    </w:p>
    <w:p w:rsidR="001505AA" w:rsidRDefault="001505AA" w:rsidP="00451BBB">
      <w:pPr>
        <w:pStyle w:val="ListBullet"/>
      </w:pPr>
      <w:r>
        <w:t xml:space="preserve">deregulation and international linking of financial markets </w:t>
      </w:r>
      <w:r w:rsidR="00CB04CD">
        <w:t xml:space="preserve">which </w:t>
      </w:r>
      <w:r>
        <w:t>lower</w:t>
      </w:r>
      <w:r w:rsidR="00CB04CD">
        <w:t xml:space="preserve">ed </w:t>
      </w:r>
      <w:r>
        <w:t>the cost of capital</w:t>
      </w:r>
    </w:p>
    <w:p w:rsidR="001505AA" w:rsidRDefault="001505AA" w:rsidP="00451BBB">
      <w:pPr>
        <w:pStyle w:val="ListBullet"/>
      </w:pPr>
      <w:r>
        <w:t xml:space="preserve">floating exchange rates </w:t>
      </w:r>
      <w:r w:rsidR="00CB04CD">
        <w:t xml:space="preserve">which </w:t>
      </w:r>
      <w:r>
        <w:t>reduc</w:t>
      </w:r>
      <w:r w:rsidR="00CB04CD">
        <w:t xml:space="preserve">ed </w:t>
      </w:r>
      <w:r>
        <w:t>price volatility</w:t>
      </w:r>
    </w:p>
    <w:p w:rsidR="001505AA" w:rsidRDefault="001505AA" w:rsidP="00451BBB">
      <w:pPr>
        <w:pStyle w:val="ListBullet"/>
      </w:pPr>
      <w:r>
        <w:t>lower levels of protection in general and on farm inputs</w:t>
      </w:r>
    </w:p>
    <w:p w:rsidR="001505AA" w:rsidRDefault="001505AA" w:rsidP="00451BBB">
      <w:pPr>
        <w:pStyle w:val="ListBullet"/>
      </w:pPr>
      <w:r>
        <w:t>improvements in the strength and coverage of trade practices legislation</w:t>
      </w:r>
    </w:p>
    <w:p w:rsidR="001505AA" w:rsidRDefault="001505AA" w:rsidP="00451BBB">
      <w:pPr>
        <w:pStyle w:val="ListBullet"/>
      </w:pPr>
      <w:r>
        <w:t>increased review and accountability of statutory business enterprises</w:t>
      </w:r>
    </w:p>
    <w:p w:rsidR="001505AA" w:rsidRDefault="001505AA" w:rsidP="00451BBB">
      <w:pPr>
        <w:pStyle w:val="ListBullet"/>
      </w:pPr>
      <w:r>
        <w:t>expansion of the agribusiness sector to fulfil roles previously performed by statutory authorities</w:t>
      </w:r>
    </w:p>
    <w:p w:rsidR="001505AA" w:rsidRDefault="001505AA" w:rsidP="00451BBB">
      <w:pPr>
        <w:pStyle w:val="ListBullet"/>
      </w:pPr>
      <w:r>
        <w:t>increas</w:t>
      </w:r>
      <w:r w:rsidR="00CB04CD">
        <w:t xml:space="preserve">ed </w:t>
      </w:r>
      <w:r>
        <w:t>education and skill in the rural sector</w:t>
      </w:r>
    </w:p>
    <w:p w:rsidR="001505AA" w:rsidRDefault="001505AA" w:rsidP="00451BBB">
      <w:pPr>
        <w:pStyle w:val="ListBullet"/>
      </w:pPr>
      <w:r>
        <w:t>development of communic</w:t>
      </w:r>
      <w:r w:rsidR="00E30C08">
        <w:t xml:space="preserve">ation technologies and networks </w:t>
      </w:r>
      <w:r w:rsidR="00E30C08" w:rsidRPr="00E30C08">
        <w:rPr>
          <w:szCs w:val="24"/>
        </w:rPr>
        <w:t>(IC 1991; PC 2000)</w:t>
      </w:r>
      <w:r w:rsidR="00E30C08">
        <w:t>.</w:t>
      </w:r>
    </w:p>
    <w:p w:rsidR="008A0DFD" w:rsidRDefault="001505AA" w:rsidP="001505AA">
      <w:pPr>
        <w:pStyle w:val="BodyText"/>
      </w:pPr>
      <w:r>
        <w:t xml:space="preserve">From the </w:t>
      </w:r>
      <w:proofErr w:type="spellStart"/>
      <w:r>
        <w:t>1990s</w:t>
      </w:r>
      <w:proofErr w:type="spellEnd"/>
      <w:r>
        <w:t xml:space="preserve"> onwards, multiple government reviews analysed the continued appropriateness, effectiveness and efficiency of statutory marketing arrangement (</w:t>
      </w:r>
      <w:r w:rsidR="00F6458F">
        <w:t>t</w:t>
      </w:r>
      <w:r>
        <w:t xml:space="preserve">able </w:t>
      </w:r>
      <w:proofErr w:type="spellStart"/>
      <w:r w:rsidR="003275B6">
        <w:t>B</w:t>
      </w:r>
      <w:r>
        <w:t>.2</w:t>
      </w:r>
      <w:proofErr w:type="spellEnd"/>
      <w:r>
        <w:t xml:space="preserve">). </w:t>
      </w:r>
      <w:r w:rsidR="00E30C08">
        <w:t>This led to</w:t>
      </w:r>
      <w:r>
        <w:t xml:space="preserve"> question</w:t>
      </w:r>
      <w:r w:rsidR="00826C01">
        <w:t xml:space="preserve">s about </w:t>
      </w:r>
      <w:r>
        <w:t xml:space="preserve">whether the objectives of statutory marketing arrangements </w:t>
      </w:r>
      <w:r w:rsidR="004279F4">
        <w:t xml:space="preserve">in terms of overcoming market failures </w:t>
      </w:r>
      <w:r>
        <w:t>remained valid, and whether other policy options could achieve residual objectives at lower cost.</w:t>
      </w:r>
    </w:p>
    <w:p w:rsidR="00A444F0" w:rsidRPr="00CB04CD" w:rsidRDefault="00CB04CD" w:rsidP="00CB04CD">
      <w:pPr>
        <w:pStyle w:val="ListBullet"/>
      </w:pPr>
      <w:r w:rsidRPr="00CB04CD">
        <w:t>I</w:t>
      </w:r>
      <w:r w:rsidR="009B115B" w:rsidRPr="00CB04CD">
        <w:t>t was increasingly recognised that insulation of agricultural markets via trade protection increases price volatility on world markets (Anderson 2014). Reductions in trade protection and industry assistance enabled farmers to respond more quickly to changing market signals, enabling supply to respond to demand and greatly reducing this source of price volatility. This was assisted by floa</w:t>
      </w:r>
      <w:r w:rsidR="009B115B" w:rsidRPr="009E4ED8">
        <w:t xml:space="preserve">ting exchange rates that reduced the impact of price changes in other sectors of the economy on agricultural prices. Advances in transport and communication facilitated trade, enabling substitution between sources that reduced price volatility. </w:t>
      </w:r>
    </w:p>
    <w:p w:rsidR="001505AA" w:rsidRDefault="00CB04CD" w:rsidP="008A0DFD">
      <w:pPr>
        <w:pStyle w:val="ListBullet"/>
      </w:pPr>
      <w:r>
        <w:lastRenderedPageBreak/>
        <w:t>T</w:t>
      </w:r>
      <w:r w:rsidR="001505AA" w:rsidRPr="009E4ED8">
        <w:t xml:space="preserve">he use of market power to raise </w:t>
      </w:r>
      <w:r w:rsidR="001505AA">
        <w:t xml:space="preserve">domestic </w:t>
      </w:r>
      <w:r w:rsidR="001505AA" w:rsidRPr="009E4ED8">
        <w:t>and export prices was increasingly ineffective as improvements in transport and communication increased competition</w:t>
      </w:r>
      <w:r w:rsidR="001505AA">
        <w:t xml:space="preserve"> in domestic and global markets</w:t>
      </w:r>
      <w:r>
        <w:t>.</w:t>
      </w:r>
    </w:p>
    <w:p w:rsidR="001505AA" w:rsidRDefault="00CB04CD" w:rsidP="008A0DFD">
      <w:pPr>
        <w:pStyle w:val="ListBullet"/>
      </w:pPr>
      <w:r>
        <w:t>T</w:t>
      </w:r>
      <w:r w:rsidR="001505AA">
        <w:t xml:space="preserve">he </w:t>
      </w:r>
      <w:r w:rsidR="001505AA" w:rsidRPr="009E4ED8">
        <w:t xml:space="preserve">consolidation of farms into larger commercial businesses and </w:t>
      </w:r>
      <w:r w:rsidR="001505AA">
        <w:t>vertical integration of agricultural markets</w:t>
      </w:r>
      <w:r w:rsidR="001505AA" w:rsidRPr="009E4ED8">
        <w:t xml:space="preserve"> </w:t>
      </w:r>
      <w:r w:rsidR="001505AA">
        <w:t xml:space="preserve">led to more direct marketing channels </w:t>
      </w:r>
      <w:r w:rsidR="002430C7">
        <w:t xml:space="preserve">in domestic markets </w:t>
      </w:r>
      <w:r w:rsidR="001505AA">
        <w:t>between farmers and retailers</w:t>
      </w:r>
      <w:r>
        <w:t>.</w:t>
      </w:r>
    </w:p>
    <w:p w:rsidR="001505AA" w:rsidRDefault="00CB04CD" w:rsidP="008A0DFD">
      <w:pPr>
        <w:pStyle w:val="ListBullet"/>
      </w:pPr>
      <w:r>
        <w:t>T</w:t>
      </w:r>
      <w:r w:rsidR="001505AA">
        <w:t>he development of communication technologies combined with increasing skills levels and business orientation of commercial farms reduced the need for third party knowledge brokers</w:t>
      </w:r>
      <w:r>
        <w:t>.</w:t>
      </w:r>
    </w:p>
    <w:p w:rsidR="001505AA" w:rsidRDefault="00CB04CD" w:rsidP="008A0DFD">
      <w:pPr>
        <w:pStyle w:val="ListBullet"/>
      </w:pPr>
      <w:r>
        <w:t>G</w:t>
      </w:r>
      <w:r w:rsidR="001505AA">
        <w:t xml:space="preserve">eneral reductions in tariffs and industry assistance removed the need for countervailing protection, underpinned by improvements in </w:t>
      </w:r>
      <w:r w:rsidR="004279F4">
        <w:t>antidumping</w:t>
      </w:r>
      <w:r w:rsidR="001505AA">
        <w:t xml:space="preserve"> legislation</w:t>
      </w:r>
      <w:r>
        <w:t>.</w:t>
      </w:r>
    </w:p>
    <w:p w:rsidR="001505AA" w:rsidRDefault="00CB04CD" w:rsidP="008A0DFD">
      <w:pPr>
        <w:pStyle w:val="ListBullet"/>
      </w:pPr>
      <w:r>
        <w:t>T</w:t>
      </w:r>
      <w:r w:rsidR="001505AA" w:rsidRPr="009E4ED8">
        <w:t>he use of market power to raise export prices was increasingly</w:t>
      </w:r>
      <w:r w:rsidR="001505AA">
        <w:t xml:space="preserve"> at odds with global negotiations under the World Trade Organi</w:t>
      </w:r>
      <w:r w:rsidR="009B115B">
        <w:t>z</w:t>
      </w:r>
      <w:r w:rsidR="001505AA">
        <w:t>ation to reduce tariff and non</w:t>
      </w:r>
      <w:r w:rsidR="000D513B">
        <w:noBreakHyphen/>
      </w:r>
      <w:r w:rsidR="001505AA">
        <w:t>tariff barriers to trade.</w:t>
      </w:r>
    </w:p>
    <w:p w:rsidR="001B04EC" w:rsidRPr="000D513B" w:rsidRDefault="001B04EC" w:rsidP="001B04EC">
      <w:pPr>
        <w:pStyle w:val="Box"/>
        <w:keepNext w:val="0"/>
        <w:spacing w:before="240" w:line="300" w:lineRule="atLeast"/>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1B04EC" w:rsidTr="008A0DFD">
        <w:tc>
          <w:tcPr>
            <w:tcW w:w="8771" w:type="dxa"/>
            <w:tcBorders>
              <w:top w:val="single" w:sz="6" w:space="0" w:color="78A22F"/>
              <w:left w:val="nil"/>
              <w:bottom w:val="nil"/>
              <w:right w:val="nil"/>
            </w:tcBorders>
            <w:shd w:val="clear" w:color="auto" w:fill="auto"/>
          </w:tcPr>
          <w:p w:rsidR="001B04EC" w:rsidRPr="00784A05" w:rsidRDefault="001B04EC" w:rsidP="00FF4E76">
            <w:pPr>
              <w:pStyle w:val="TableTitle"/>
            </w:pPr>
            <w:r>
              <w:rPr>
                <w:b w:val="0"/>
              </w:rPr>
              <w:t xml:space="preserve">Table </w:t>
            </w:r>
            <w:proofErr w:type="spellStart"/>
            <w:r>
              <w:rPr>
                <w:b w:val="0"/>
              </w:rPr>
              <w:t>B.</w:t>
            </w:r>
            <w:r w:rsidR="002C1ABB">
              <w:rPr>
                <w:b w:val="0"/>
                <w:noProof/>
              </w:rPr>
              <w:t>2</w:t>
            </w:r>
            <w:proofErr w:type="spellEnd"/>
            <w:r>
              <w:tab/>
            </w:r>
            <w:r w:rsidR="00FF4E76">
              <w:t>Notable r</w:t>
            </w:r>
            <w:r>
              <w:t>eviews of statutory marketing in Australia</w:t>
            </w:r>
          </w:p>
        </w:tc>
      </w:tr>
      <w:tr w:rsidR="001B04EC" w:rsidTr="008A0DFD">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829"/>
              <w:gridCol w:w="2410"/>
              <w:gridCol w:w="5248"/>
            </w:tblGrid>
            <w:tr w:rsidR="001B04EC" w:rsidTr="008A0DFD">
              <w:tc>
                <w:tcPr>
                  <w:tcW w:w="488" w:type="pct"/>
                  <w:tcBorders>
                    <w:top w:val="single" w:sz="6" w:space="0" w:color="BFBFBF"/>
                    <w:bottom w:val="single" w:sz="6" w:space="0" w:color="BFBFBF"/>
                  </w:tcBorders>
                  <w:shd w:val="clear" w:color="auto" w:fill="auto"/>
                  <w:tcMar>
                    <w:top w:w="28" w:type="dxa"/>
                  </w:tcMar>
                </w:tcPr>
                <w:p w:rsidR="001B04EC" w:rsidRDefault="001B04EC" w:rsidP="008A0DFD">
                  <w:pPr>
                    <w:pStyle w:val="TableColumnHeading"/>
                    <w:jc w:val="left"/>
                  </w:pPr>
                  <w:r>
                    <w:t>Year</w:t>
                  </w:r>
                </w:p>
              </w:tc>
              <w:tc>
                <w:tcPr>
                  <w:tcW w:w="1420" w:type="pct"/>
                  <w:tcBorders>
                    <w:top w:val="single" w:sz="6" w:space="0" w:color="BFBFBF"/>
                    <w:bottom w:val="single" w:sz="6" w:space="0" w:color="BFBFBF"/>
                  </w:tcBorders>
                  <w:shd w:val="clear" w:color="auto" w:fill="auto"/>
                  <w:tcMar>
                    <w:top w:w="28" w:type="dxa"/>
                  </w:tcMar>
                </w:tcPr>
                <w:p w:rsidR="001B04EC" w:rsidRDefault="001B04EC" w:rsidP="008A0DFD">
                  <w:pPr>
                    <w:pStyle w:val="TableColumnHeading"/>
                    <w:jc w:val="left"/>
                  </w:pPr>
                  <w:r>
                    <w:t>Author</w:t>
                  </w:r>
                </w:p>
              </w:tc>
              <w:tc>
                <w:tcPr>
                  <w:tcW w:w="3092" w:type="pct"/>
                  <w:tcBorders>
                    <w:top w:val="single" w:sz="6" w:space="0" w:color="BFBFBF"/>
                    <w:bottom w:val="single" w:sz="6" w:space="0" w:color="BFBFBF"/>
                  </w:tcBorders>
                  <w:shd w:val="clear" w:color="auto" w:fill="auto"/>
                  <w:tcMar>
                    <w:top w:w="28" w:type="dxa"/>
                  </w:tcMar>
                </w:tcPr>
                <w:p w:rsidR="001B04EC" w:rsidRDefault="001B04EC" w:rsidP="008A0DFD">
                  <w:pPr>
                    <w:pStyle w:val="TableColumnHeading"/>
                    <w:ind w:right="28"/>
                    <w:jc w:val="left"/>
                  </w:pPr>
                  <w:r>
                    <w:t>Title</w:t>
                  </w:r>
                </w:p>
              </w:tc>
            </w:tr>
            <w:tr w:rsidR="001B04EC" w:rsidTr="00BB1890">
              <w:tc>
                <w:tcPr>
                  <w:tcW w:w="488" w:type="pct"/>
                  <w:tcBorders>
                    <w:top w:val="single" w:sz="6" w:space="0" w:color="BFBFBF"/>
                  </w:tcBorders>
                </w:tcPr>
                <w:p w:rsidR="001B04EC" w:rsidRDefault="001B04EC" w:rsidP="00D018DD">
                  <w:pPr>
                    <w:pStyle w:val="TableBodyText"/>
                    <w:spacing w:before="80"/>
                    <w:jc w:val="left"/>
                  </w:pPr>
                  <w:r>
                    <w:t>1990</w:t>
                  </w:r>
                </w:p>
              </w:tc>
              <w:tc>
                <w:tcPr>
                  <w:tcW w:w="1420" w:type="pct"/>
                  <w:tcBorders>
                    <w:top w:val="single" w:sz="6" w:space="0" w:color="BFBFBF"/>
                  </w:tcBorders>
                </w:tcPr>
                <w:p w:rsidR="001B04EC" w:rsidRDefault="001B04EC" w:rsidP="00D018DD">
                  <w:pPr>
                    <w:pStyle w:val="TableBodyText"/>
                    <w:spacing w:before="80"/>
                    <w:jc w:val="left"/>
                  </w:pPr>
                  <w:r>
                    <w:t>Davis, L. (Chair)</w:t>
                  </w:r>
                </w:p>
                <w:p w:rsidR="001B04EC" w:rsidRDefault="001B04EC" w:rsidP="008A0DFD">
                  <w:pPr>
                    <w:pStyle w:val="TableBodyText"/>
                    <w:jc w:val="left"/>
                  </w:pPr>
                  <w:r w:rsidRPr="00387353">
                    <w:t>Department of Primary Industries and Energy</w:t>
                  </w:r>
                </w:p>
              </w:tc>
              <w:tc>
                <w:tcPr>
                  <w:tcW w:w="3092" w:type="pct"/>
                  <w:tcBorders>
                    <w:top w:val="single" w:sz="6" w:space="0" w:color="BFBFBF"/>
                  </w:tcBorders>
                </w:tcPr>
                <w:p w:rsidR="001B04EC" w:rsidRDefault="001B04EC" w:rsidP="00D018DD">
                  <w:pPr>
                    <w:pStyle w:val="TableBodyText"/>
                    <w:spacing w:before="80"/>
                    <w:jc w:val="left"/>
                  </w:pPr>
                  <w:r w:rsidRPr="003F279C">
                    <w:t xml:space="preserve">Review of the </w:t>
                  </w:r>
                  <w:r>
                    <w:t>c</w:t>
                  </w:r>
                  <w:r w:rsidRPr="003F279C">
                    <w:t>ommonwealth primary industry sta</w:t>
                  </w:r>
                  <w:r>
                    <w:t>tutory marketing authorities: R</w:t>
                  </w:r>
                  <w:r w:rsidRPr="003F279C">
                    <w:t xml:space="preserve">eport to the </w:t>
                  </w:r>
                  <w:r>
                    <w:t>M</w:t>
                  </w:r>
                  <w:r w:rsidRPr="003F279C">
                    <w:t>inister for Primary Industries and Energy</w:t>
                  </w:r>
                </w:p>
              </w:tc>
            </w:tr>
            <w:tr w:rsidR="001B04EC" w:rsidTr="00BB1890">
              <w:tc>
                <w:tcPr>
                  <w:tcW w:w="488" w:type="pct"/>
                </w:tcPr>
                <w:p w:rsidR="001B04EC" w:rsidRDefault="001B04EC" w:rsidP="008A0DFD">
                  <w:pPr>
                    <w:pStyle w:val="TableBodyText"/>
                    <w:jc w:val="left"/>
                  </w:pPr>
                  <w:r>
                    <w:t>1991</w:t>
                  </w:r>
                </w:p>
              </w:tc>
              <w:tc>
                <w:tcPr>
                  <w:tcW w:w="1420" w:type="pct"/>
                </w:tcPr>
                <w:p w:rsidR="001B04EC" w:rsidRDefault="001B04EC" w:rsidP="008A0DFD">
                  <w:pPr>
                    <w:pStyle w:val="TableBodyText"/>
                    <w:jc w:val="left"/>
                  </w:pPr>
                  <w:r>
                    <w:t>Industry Commission</w:t>
                  </w:r>
                </w:p>
              </w:tc>
              <w:tc>
                <w:tcPr>
                  <w:tcW w:w="3092" w:type="pct"/>
                </w:tcPr>
                <w:p w:rsidR="001B04EC" w:rsidRDefault="001B04EC" w:rsidP="008A0DFD">
                  <w:pPr>
                    <w:pStyle w:val="TableBodyText"/>
                    <w:jc w:val="left"/>
                  </w:pPr>
                  <w:r>
                    <w:t>Statutory marketing arrangements for primary products</w:t>
                  </w:r>
                </w:p>
              </w:tc>
            </w:tr>
            <w:tr w:rsidR="001B04EC" w:rsidTr="00BB1890">
              <w:tc>
                <w:tcPr>
                  <w:tcW w:w="488" w:type="pct"/>
                </w:tcPr>
                <w:p w:rsidR="001B04EC" w:rsidRDefault="001B04EC" w:rsidP="008A0DFD">
                  <w:pPr>
                    <w:pStyle w:val="TableBodyText"/>
                    <w:jc w:val="left"/>
                  </w:pPr>
                  <w:r>
                    <w:t>1998</w:t>
                  </w:r>
                </w:p>
              </w:tc>
              <w:tc>
                <w:tcPr>
                  <w:tcW w:w="1420" w:type="pct"/>
                </w:tcPr>
                <w:p w:rsidR="001B04EC" w:rsidRDefault="001B04EC" w:rsidP="008A0DFD">
                  <w:pPr>
                    <w:pStyle w:val="TableBodyText"/>
                    <w:jc w:val="left"/>
                  </w:pPr>
                  <w:r>
                    <w:t>Industry Commission</w:t>
                  </w:r>
                </w:p>
              </w:tc>
              <w:tc>
                <w:tcPr>
                  <w:tcW w:w="3092" w:type="pct"/>
                </w:tcPr>
                <w:p w:rsidR="001B04EC" w:rsidRDefault="001B04EC" w:rsidP="008A0DFD">
                  <w:pPr>
                    <w:pStyle w:val="TableBodyText"/>
                    <w:jc w:val="left"/>
                  </w:pPr>
                  <w:r>
                    <w:t xml:space="preserve">Microeconomic reforms in Australia: A compendium from the </w:t>
                  </w:r>
                  <w:proofErr w:type="spellStart"/>
                  <w:r>
                    <w:t>1970s</w:t>
                  </w:r>
                  <w:proofErr w:type="spellEnd"/>
                  <w:r>
                    <w:t xml:space="preserve"> to 1997</w:t>
                  </w:r>
                </w:p>
              </w:tc>
            </w:tr>
            <w:tr w:rsidR="001B04EC" w:rsidTr="00BB1890">
              <w:tc>
                <w:tcPr>
                  <w:tcW w:w="488" w:type="pct"/>
                  <w:shd w:val="clear" w:color="auto" w:fill="auto"/>
                </w:tcPr>
                <w:p w:rsidR="001B04EC" w:rsidRDefault="001B04EC" w:rsidP="008A0DFD">
                  <w:pPr>
                    <w:pStyle w:val="TableBodyText"/>
                    <w:jc w:val="left"/>
                  </w:pPr>
                  <w:r>
                    <w:t>1999</w:t>
                  </w:r>
                </w:p>
              </w:tc>
              <w:tc>
                <w:tcPr>
                  <w:tcW w:w="1420" w:type="pct"/>
                  <w:shd w:val="clear" w:color="auto" w:fill="auto"/>
                </w:tcPr>
                <w:p w:rsidR="001B04EC" w:rsidRDefault="001B04EC" w:rsidP="008A0DFD">
                  <w:pPr>
                    <w:pStyle w:val="TableBodyText"/>
                    <w:jc w:val="left"/>
                  </w:pPr>
                  <w:r>
                    <w:t>Productivity Commission</w:t>
                  </w:r>
                </w:p>
              </w:tc>
              <w:tc>
                <w:tcPr>
                  <w:tcW w:w="3092" w:type="pct"/>
                  <w:shd w:val="clear" w:color="auto" w:fill="auto"/>
                </w:tcPr>
                <w:p w:rsidR="001B04EC" w:rsidRDefault="001B04EC" w:rsidP="008A0DFD">
                  <w:pPr>
                    <w:pStyle w:val="TableBodyText"/>
                    <w:jc w:val="left"/>
                  </w:pPr>
                  <w:r>
                    <w:t>Impact of competition policy reforms on rural and regional Australia</w:t>
                  </w:r>
                </w:p>
              </w:tc>
            </w:tr>
            <w:tr w:rsidR="001B04EC" w:rsidTr="00BB1890">
              <w:tc>
                <w:tcPr>
                  <w:tcW w:w="488" w:type="pct"/>
                  <w:shd w:val="clear" w:color="auto" w:fill="auto"/>
                </w:tcPr>
                <w:p w:rsidR="001B04EC" w:rsidRDefault="001B04EC" w:rsidP="008A0DFD">
                  <w:pPr>
                    <w:pStyle w:val="TableBodyText"/>
                    <w:jc w:val="left"/>
                  </w:pPr>
                  <w:r>
                    <w:t>2000</w:t>
                  </w:r>
                </w:p>
              </w:tc>
              <w:tc>
                <w:tcPr>
                  <w:tcW w:w="1420" w:type="pct"/>
                  <w:shd w:val="clear" w:color="auto" w:fill="auto"/>
                </w:tcPr>
                <w:p w:rsidR="001B04EC" w:rsidRDefault="001B04EC" w:rsidP="008A0DFD">
                  <w:pPr>
                    <w:pStyle w:val="TableBodyText"/>
                    <w:jc w:val="left"/>
                  </w:pPr>
                  <w:r>
                    <w:t>Productivity Commission</w:t>
                  </w:r>
                </w:p>
              </w:tc>
              <w:tc>
                <w:tcPr>
                  <w:tcW w:w="3092" w:type="pct"/>
                  <w:shd w:val="clear" w:color="auto" w:fill="auto"/>
                </w:tcPr>
                <w:p w:rsidR="001B04EC" w:rsidRDefault="001B04EC" w:rsidP="008A0DFD">
                  <w:pPr>
                    <w:pStyle w:val="TableBodyText"/>
                    <w:jc w:val="left"/>
                  </w:pPr>
                  <w:r>
                    <w:t>Single</w:t>
                  </w:r>
                  <w:r w:rsidR="000D513B">
                    <w:noBreakHyphen/>
                  </w:r>
                  <w:r>
                    <w:t>desk marketing: Assessing the economic arguments</w:t>
                  </w:r>
                </w:p>
              </w:tc>
            </w:tr>
            <w:tr w:rsidR="001B04EC" w:rsidTr="00BB1890">
              <w:tc>
                <w:tcPr>
                  <w:tcW w:w="488" w:type="pct"/>
                  <w:shd w:val="clear" w:color="auto" w:fill="auto"/>
                </w:tcPr>
                <w:p w:rsidR="001B04EC" w:rsidRDefault="001B04EC" w:rsidP="008A0DFD">
                  <w:pPr>
                    <w:pStyle w:val="TableBodyText"/>
                    <w:jc w:val="left"/>
                  </w:pPr>
                  <w:r>
                    <w:t>2005</w:t>
                  </w:r>
                </w:p>
              </w:tc>
              <w:tc>
                <w:tcPr>
                  <w:tcW w:w="1420" w:type="pct"/>
                  <w:shd w:val="clear" w:color="auto" w:fill="auto"/>
                </w:tcPr>
                <w:p w:rsidR="001B04EC" w:rsidRDefault="001B04EC" w:rsidP="008A0DFD">
                  <w:pPr>
                    <w:pStyle w:val="TableBodyText"/>
                    <w:jc w:val="left"/>
                  </w:pPr>
                  <w:r>
                    <w:t>Productivity Commission</w:t>
                  </w:r>
                </w:p>
              </w:tc>
              <w:tc>
                <w:tcPr>
                  <w:tcW w:w="3092" w:type="pct"/>
                  <w:shd w:val="clear" w:color="auto" w:fill="auto"/>
                </w:tcPr>
                <w:p w:rsidR="001B04EC" w:rsidRDefault="001B04EC" w:rsidP="008A0DFD">
                  <w:pPr>
                    <w:pStyle w:val="TableBodyText"/>
                    <w:jc w:val="left"/>
                  </w:pPr>
                  <w:r>
                    <w:t>Review of national competition policy reforms</w:t>
                  </w:r>
                </w:p>
              </w:tc>
            </w:tr>
            <w:tr w:rsidR="001B04EC" w:rsidTr="00BB1890">
              <w:tc>
                <w:tcPr>
                  <w:tcW w:w="488" w:type="pct"/>
                  <w:shd w:val="clear" w:color="auto" w:fill="auto"/>
                </w:tcPr>
                <w:p w:rsidR="001B04EC" w:rsidRDefault="001B04EC" w:rsidP="008A0DFD">
                  <w:pPr>
                    <w:pStyle w:val="TableBodyText"/>
                    <w:jc w:val="left"/>
                  </w:pPr>
                  <w:r>
                    <w:t>2007</w:t>
                  </w:r>
                </w:p>
              </w:tc>
              <w:tc>
                <w:tcPr>
                  <w:tcW w:w="1420" w:type="pct"/>
                  <w:shd w:val="clear" w:color="auto" w:fill="auto"/>
                </w:tcPr>
                <w:p w:rsidR="001B04EC" w:rsidRDefault="001B04EC" w:rsidP="008A0DFD">
                  <w:pPr>
                    <w:pStyle w:val="TableBodyText"/>
                    <w:jc w:val="left"/>
                  </w:pPr>
                  <w:r>
                    <w:t>Productivity Commission</w:t>
                  </w:r>
                </w:p>
              </w:tc>
              <w:tc>
                <w:tcPr>
                  <w:tcW w:w="3092" w:type="pct"/>
                  <w:shd w:val="clear" w:color="auto" w:fill="auto"/>
                </w:tcPr>
                <w:p w:rsidR="001B04EC" w:rsidRDefault="001B04EC" w:rsidP="008A0DFD">
                  <w:pPr>
                    <w:pStyle w:val="TableBodyText"/>
                    <w:jc w:val="left"/>
                  </w:pPr>
                  <w:r>
                    <w:t>Annual review of regulatory burdens on business: Primary sector</w:t>
                  </w:r>
                </w:p>
              </w:tc>
            </w:tr>
            <w:tr w:rsidR="001B04EC" w:rsidTr="00BB1890">
              <w:tc>
                <w:tcPr>
                  <w:tcW w:w="488" w:type="pct"/>
                  <w:shd w:val="clear" w:color="auto" w:fill="auto"/>
                </w:tcPr>
                <w:p w:rsidR="001B04EC" w:rsidRDefault="001B04EC" w:rsidP="008A0DFD">
                  <w:pPr>
                    <w:pStyle w:val="TableBodyText"/>
                    <w:jc w:val="left"/>
                  </w:pPr>
                  <w:r>
                    <w:t>2010</w:t>
                  </w:r>
                </w:p>
              </w:tc>
              <w:tc>
                <w:tcPr>
                  <w:tcW w:w="1420" w:type="pct"/>
                  <w:shd w:val="clear" w:color="auto" w:fill="auto"/>
                </w:tcPr>
                <w:p w:rsidR="001B04EC" w:rsidRDefault="001B04EC" w:rsidP="008A0DFD">
                  <w:pPr>
                    <w:pStyle w:val="TableBodyText"/>
                    <w:jc w:val="left"/>
                  </w:pPr>
                  <w:r>
                    <w:t>Productivity Commission</w:t>
                  </w:r>
                </w:p>
              </w:tc>
              <w:tc>
                <w:tcPr>
                  <w:tcW w:w="3092" w:type="pct"/>
                  <w:shd w:val="clear" w:color="auto" w:fill="auto"/>
                </w:tcPr>
                <w:p w:rsidR="001B04EC" w:rsidRDefault="001B04EC" w:rsidP="008A0DFD">
                  <w:pPr>
                    <w:pStyle w:val="TableBodyText"/>
                    <w:jc w:val="left"/>
                  </w:pPr>
                  <w:r>
                    <w:t>Wheat export marketing arrangements</w:t>
                  </w:r>
                </w:p>
              </w:tc>
            </w:tr>
            <w:tr w:rsidR="001B04EC" w:rsidTr="00BB1890">
              <w:tc>
                <w:tcPr>
                  <w:tcW w:w="488" w:type="pct"/>
                  <w:shd w:val="clear" w:color="auto" w:fill="auto"/>
                </w:tcPr>
                <w:p w:rsidR="001B04EC" w:rsidRDefault="001B04EC" w:rsidP="008A0DFD">
                  <w:pPr>
                    <w:pStyle w:val="TableBodyText"/>
                    <w:jc w:val="left"/>
                  </w:pPr>
                  <w:r>
                    <w:t>2013</w:t>
                  </w:r>
                </w:p>
              </w:tc>
              <w:tc>
                <w:tcPr>
                  <w:tcW w:w="1420" w:type="pct"/>
                  <w:shd w:val="clear" w:color="auto" w:fill="auto"/>
                </w:tcPr>
                <w:p w:rsidR="001B04EC" w:rsidRDefault="001B04EC" w:rsidP="008A0DFD">
                  <w:pPr>
                    <w:pStyle w:val="TableBodyText"/>
                    <w:jc w:val="left"/>
                  </w:pPr>
                  <w:proofErr w:type="spellStart"/>
                  <w:r>
                    <w:t>ABARES</w:t>
                  </w:r>
                  <w:proofErr w:type="spellEnd"/>
                </w:p>
              </w:tc>
              <w:tc>
                <w:tcPr>
                  <w:tcW w:w="3092" w:type="pct"/>
                  <w:shd w:val="clear" w:color="auto" w:fill="auto"/>
                </w:tcPr>
                <w:p w:rsidR="001B04EC" w:rsidRDefault="001B04EC" w:rsidP="008A0DFD">
                  <w:pPr>
                    <w:pStyle w:val="TableBodyText"/>
                    <w:jc w:val="left"/>
                  </w:pPr>
                  <w:r w:rsidRPr="00485D12">
                    <w:t xml:space="preserve">Review of </w:t>
                  </w:r>
                  <w:r>
                    <w:t>s</w:t>
                  </w:r>
                  <w:r w:rsidRPr="00485D12">
                    <w:t xml:space="preserve">elected </w:t>
                  </w:r>
                  <w:r>
                    <w:t>r</w:t>
                  </w:r>
                  <w:r w:rsidRPr="00485D12">
                    <w:t xml:space="preserve">egulatory </w:t>
                  </w:r>
                  <w:r>
                    <w:t>b</w:t>
                  </w:r>
                  <w:r w:rsidRPr="00485D12">
                    <w:t xml:space="preserve">urdens on </w:t>
                  </w:r>
                  <w:r>
                    <w:t>a</w:t>
                  </w:r>
                  <w:r w:rsidRPr="00485D12">
                    <w:t xml:space="preserve">griculture and </w:t>
                  </w:r>
                  <w:r>
                    <w:t>f</w:t>
                  </w:r>
                  <w:r w:rsidRPr="00485D12">
                    <w:t xml:space="preserve">orestry </w:t>
                  </w:r>
                  <w:r>
                    <w:t>b</w:t>
                  </w:r>
                  <w:r w:rsidRPr="00485D12">
                    <w:t>usinesses</w:t>
                  </w:r>
                </w:p>
              </w:tc>
            </w:tr>
            <w:tr w:rsidR="001B04EC" w:rsidTr="00BB1890">
              <w:tc>
                <w:tcPr>
                  <w:tcW w:w="488" w:type="pct"/>
                  <w:shd w:val="clear" w:color="auto" w:fill="auto"/>
                </w:tcPr>
                <w:p w:rsidR="001B04EC" w:rsidRDefault="001B04EC" w:rsidP="008A0DFD">
                  <w:pPr>
                    <w:pStyle w:val="TableBodyText"/>
                    <w:jc w:val="left"/>
                  </w:pPr>
                  <w:r>
                    <w:t>2014</w:t>
                  </w:r>
                </w:p>
              </w:tc>
              <w:tc>
                <w:tcPr>
                  <w:tcW w:w="1420" w:type="pct"/>
                  <w:shd w:val="clear" w:color="auto" w:fill="auto"/>
                </w:tcPr>
                <w:p w:rsidR="001B04EC" w:rsidRDefault="001B04EC" w:rsidP="008A0DFD">
                  <w:pPr>
                    <w:pStyle w:val="TableBodyText"/>
                    <w:jc w:val="left"/>
                  </w:pPr>
                  <w:proofErr w:type="spellStart"/>
                  <w:r>
                    <w:t>ABARES</w:t>
                  </w:r>
                  <w:proofErr w:type="spellEnd"/>
                </w:p>
              </w:tc>
              <w:tc>
                <w:tcPr>
                  <w:tcW w:w="3092" w:type="pct"/>
                  <w:shd w:val="clear" w:color="auto" w:fill="auto"/>
                </w:tcPr>
                <w:p w:rsidR="001B04EC" w:rsidRDefault="001B04EC" w:rsidP="008A0DFD">
                  <w:pPr>
                    <w:pStyle w:val="TableBodyText"/>
                    <w:jc w:val="left"/>
                  </w:pPr>
                  <w:r>
                    <w:t>Australian agricultural productivity growth: Past reforms and future opportunities</w:t>
                  </w:r>
                </w:p>
              </w:tc>
            </w:tr>
            <w:tr w:rsidR="001B04EC" w:rsidTr="00BB1890">
              <w:tc>
                <w:tcPr>
                  <w:tcW w:w="488" w:type="pct"/>
                  <w:tcBorders>
                    <w:bottom w:val="single" w:sz="6" w:space="0" w:color="BFBFBF"/>
                  </w:tcBorders>
                  <w:shd w:val="clear" w:color="auto" w:fill="auto"/>
                </w:tcPr>
                <w:p w:rsidR="001B04EC" w:rsidRDefault="001B04EC" w:rsidP="008A0DFD">
                  <w:pPr>
                    <w:pStyle w:val="TableBodyText"/>
                    <w:jc w:val="left"/>
                  </w:pPr>
                  <w:r>
                    <w:t>2015</w:t>
                  </w:r>
                </w:p>
              </w:tc>
              <w:tc>
                <w:tcPr>
                  <w:tcW w:w="1420" w:type="pct"/>
                  <w:tcBorders>
                    <w:bottom w:val="single" w:sz="6" w:space="0" w:color="BFBFBF"/>
                  </w:tcBorders>
                  <w:shd w:val="clear" w:color="auto" w:fill="auto"/>
                </w:tcPr>
                <w:p w:rsidR="001B04EC" w:rsidRDefault="001B04EC" w:rsidP="008A0DFD">
                  <w:pPr>
                    <w:pStyle w:val="TableBodyText"/>
                    <w:jc w:val="left"/>
                  </w:pPr>
                  <w:r>
                    <w:t>OECD</w:t>
                  </w:r>
                </w:p>
              </w:tc>
              <w:tc>
                <w:tcPr>
                  <w:tcW w:w="3092" w:type="pct"/>
                  <w:tcBorders>
                    <w:bottom w:val="single" w:sz="6" w:space="0" w:color="BFBFBF"/>
                  </w:tcBorders>
                  <w:shd w:val="clear" w:color="auto" w:fill="auto"/>
                </w:tcPr>
                <w:p w:rsidR="001B04EC" w:rsidRDefault="001B04EC" w:rsidP="008A0DFD">
                  <w:pPr>
                    <w:pStyle w:val="TableBodyText"/>
                    <w:jc w:val="left"/>
                  </w:pPr>
                  <w:r>
                    <w:t>Innovation, agricultural, productivity and sustainability in Australia</w:t>
                  </w:r>
                </w:p>
              </w:tc>
            </w:tr>
          </w:tbl>
          <w:p w:rsidR="001B04EC" w:rsidRDefault="001B04EC" w:rsidP="008A0DFD">
            <w:pPr>
              <w:pStyle w:val="Box"/>
            </w:pPr>
          </w:p>
        </w:tc>
      </w:tr>
      <w:tr w:rsidR="001B04EC" w:rsidTr="008A0DFD">
        <w:trPr>
          <w:cantSplit/>
        </w:trPr>
        <w:tc>
          <w:tcPr>
            <w:tcW w:w="8771" w:type="dxa"/>
            <w:tcBorders>
              <w:top w:val="nil"/>
              <w:left w:val="nil"/>
              <w:bottom w:val="nil"/>
              <w:right w:val="nil"/>
            </w:tcBorders>
            <w:shd w:val="clear" w:color="auto" w:fill="auto"/>
          </w:tcPr>
          <w:p w:rsidR="001B04EC" w:rsidRDefault="001B04EC" w:rsidP="00D0167E">
            <w:pPr>
              <w:pStyle w:val="Source"/>
            </w:pPr>
            <w:r>
              <w:rPr>
                <w:i/>
              </w:rPr>
              <w:t>Sources</w:t>
            </w:r>
            <w:r w:rsidRPr="00167F06">
              <w:t xml:space="preserve">: </w:t>
            </w:r>
            <w:r>
              <w:t xml:space="preserve">Updated from IC </w:t>
            </w:r>
            <w:r w:rsidRPr="0020004C">
              <w:rPr>
                <w:rFonts w:cs="Arial"/>
              </w:rPr>
              <w:t>(1991)</w:t>
            </w:r>
            <w:r w:rsidR="00D0167E">
              <w:t xml:space="preserve"> and</w:t>
            </w:r>
            <w:r>
              <w:t xml:space="preserve"> PC </w:t>
            </w:r>
            <w:r w:rsidR="00D0167E" w:rsidRPr="00D0167E">
              <w:rPr>
                <w:rFonts w:cs="Arial"/>
              </w:rPr>
              <w:t>(2000, 2010)</w:t>
            </w:r>
            <w:r>
              <w:t xml:space="preserve">. </w:t>
            </w:r>
          </w:p>
        </w:tc>
      </w:tr>
      <w:tr w:rsidR="001B04EC" w:rsidTr="008A0DFD">
        <w:trPr>
          <w:cantSplit/>
        </w:trPr>
        <w:tc>
          <w:tcPr>
            <w:tcW w:w="8771" w:type="dxa"/>
            <w:tcBorders>
              <w:top w:val="nil"/>
              <w:left w:val="nil"/>
              <w:bottom w:val="single" w:sz="6" w:space="0" w:color="78A22F"/>
              <w:right w:val="nil"/>
            </w:tcBorders>
            <w:shd w:val="clear" w:color="auto" w:fill="auto"/>
          </w:tcPr>
          <w:p w:rsidR="001B04EC" w:rsidRDefault="001B04EC" w:rsidP="008A0DFD">
            <w:pPr>
              <w:pStyle w:val="Box"/>
              <w:spacing w:before="0" w:line="120" w:lineRule="exact"/>
            </w:pPr>
          </w:p>
        </w:tc>
      </w:tr>
      <w:tr w:rsidR="001B04EC" w:rsidRPr="000863A5" w:rsidTr="008A0DFD">
        <w:tc>
          <w:tcPr>
            <w:tcW w:w="8771" w:type="dxa"/>
            <w:tcBorders>
              <w:top w:val="single" w:sz="6" w:space="0" w:color="78A22F"/>
              <w:left w:val="nil"/>
              <w:bottom w:val="nil"/>
              <w:right w:val="nil"/>
            </w:tcBorders>
          </w:tcPr>
          <w:p w:rsidR="001B04EC" w:rsidRPr="000D513B" w:rsidRDefault="001B04EC" w:rsidP="008A0DFD">
            <w:pPr>
              <w:pStyle w:val="BoxSpaceBelow"/>
            </w:pPr>
          </w:p>
        </w:tc>
      </w:tr>
    </w:tbl>
    <w:p w:rsidR="00B52237" w:rsidRDefault="001505AA" w:rsidP="0071584B">
      <w:pPr>
        <w:pStyle w:val="BodyText"/>
        <w:keepNext/>
        <w:keepLines/>
      </w:pPr>
      <w:r>
        <w:lastRenderedPageBreak/>
        <w:t>The recent history of agricultural market</w:t>
      </w:r>
      <w:r w:rsidR="00073563">
        <w:t>ing</w:t>
      </w:r>
      <w:r>
        <w:t xml:space="preserve"> reforms was summarised by </w:t>
      </w:r>
      <w:proofErr w:type="spellStart"/>
      <w:r>
        <w:t>Gray</w:t>
      </w:r>
      <w:proofErr w:type="spellEnd"/>
      <w:r>
        <w:t xml:space="preserve"> et al. </w:t>
      </w:r>
      <w:r w:rsidRPr="00303733">
        <w:t>(2014)</w:t>
      </w:r>
      <w:r>
        <w:t xml:space="preserve"> </w:t>
      </w:r>
      <w:r w:rsidR="006B09EE">
        <w:t>(</w:t>
      </w:r>
      <w:r>
        <w:t xml:space="preserve">updated in </w:t>
      </w:r>
      <w:r w:rsidR="0071584B">
        <w:t xml:space="preserve">table </w:t>
      </w:r>
      <w:proofErr w:type="spellStart"/>
      <w:r w:rsidR="0071584B">
        <w:t>B.3</w:t>
      </w:r>
      <w:proofErr w:type="spellEnd"/>
      <w:r w:rsidR="006B09EE">
        <w:t>)</w:t>
      </w:r>
      <w:r w:rsidR="00CB04CD">
        <w:t xml:space="preserve">. </w:t>
      </w:r>
      <w:proofErr w:type="spellStart"/>
      <w:r w:rsidR="00CB04CD">
        <w:t>Gray</w:t>
      </w:r>
      <w:proofErr w:type="spellEnd"/>
      <w:r w:rsidR="00CB04CD">
        <w:t xml:space="preserve"> et al. </w:t>
      </w:r>
      <w:r w:rsidR="00CB04CD" w:rsidRPr="00303733">
        <w:t>(2014)</w:t>
      </w:r>
      <w:r w:rsidR="00B52237">
        <w:t xml:space="preserve"> </w:t>
      </w:r>
      <w:r w:rsidR="00B52237" w:rsidRPr="00077B8A">
        <w:t>estimated that regulation</w:t>
      </w:r>
      <w:r w:rsidR="000D513B">
        <w:noBreakHyphen/>
      </w:r>
      <w:r w:rsidR="00B52237" w:rsidRPr="00077B8A">
        <w:t>induced misallocation of resources reduced productivity growth in Australia’s broadacre agricultural industries by 4.1 per cent per year between 1977</w:t>
      </w:r>
      <w:r w:rsidR="00CB04CD">
        <w:t>–</w:t>
      </w:r>
      <w:r w:rsidR="00B52237" w:rsidRPr="00077B8A">
        <w:t>78 and 1989</w:t>
      </w:r>
      <w:r w:rsidR="00CB04CD">
        <w:t>–</w:t>
      </w:r>
      <w:r w:rsidR="00B52237" w:rsidRPr="00077B8A">
        <w:t>90. Subsequent market reforms generated efficiency gains from the reallocation of resources that accounted for over a third (34.5</w:t>
      </w:r>
      <w:r w:rsidR="001B04EC">
        <w:t> </w:t>
      </w:r>
      <w:r w:rsidR="00B52237" w:rsidRPr="00077B8A">
        <w:t>per</w:t>
      </w:r>
      <w:r w:rsidR="00073563">
        <w:t> </w:t>
      </w:r>
      <w:r w:rsidR="00B52237" w:rsidRPr="00077B8A">
        <w:t>cent per year) of prod</w:t>
      </w:r>
      <w:r w:rsidR="00FD796B">
        <w:t>uctivity growth between 1989</w:t>
      </w:r>
      <w:r w:rsidR="00CB04CD">
        <w:t>–</w:t>
      </w:r>
      <w:r w:rsidR="00B52237" w:rsidRPr="00077B8A">
        <w:t>90 and 1999</w:t>
      </w:r>
      <w:r w:rsidR="00CB04CD">
        <w:t>–</w:t>
      </w:r>
      <w:r w:rsidR="00B52237" w:rsidRPr="00077B8A">
        <w:t>2000, and two</w:t>
      </w:r>
      <w:r w:rsidR="000D513B">
        <w:noBreakHyphen/>
      </w:r>
      <w:r w:rsidR="00B52237" w:rsidRPr="00077B8A">
        <w:t>thirds (66.7 per cent per year) between 1999</w:t>
      </w:r>
      <w:r w:rsidR="00CB04CD">
        <w:t>–</w:t>
      </w:r>
      <w:r w:rsidR="00B52237" w:rsidRPr="00077B8A">
        <w:t>2000 and 2009</w:t>
      </w:r>
      <w:r w:rsidR="00CB04CD">
        <w:t>–</w:t>
      </w:r>
      <w:r w:rsidR="00B52237" w:rsidRPr="00077B8A">
        <w:t>10.</w:t>
      </w:r>
    </w:p>
    <w:p w:rsidR="00FD796B" w:rsidRPr="000D513B" w:rsidRDefault="00FD796B" w:rsidP="008A0DFD">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FD796B" w:rsidTr="008A0DFD">
        <w:tc>
          <w:tcPr>
            <w:tcW w:w="8771" w:type="dxa"/>
            <w:tcBorders>
              <w:top w:val="single" w:sz="6" w:space="0" w:color="78A22F"/>
              <w:left w:val="nil"/>
              <w:bottom w:val="nil"/>
              <w:right w:val="nil"/>
            </w:tcBorders>
            <w:shd w:val="clear" w:color="auto" w:fill="auto"/>
          </w:tcPr>
          <w:p w:rsidR="00FD796B" w:rsidRPr="00784A05" w:rsidRDefault="00FD796B" w:rsidP="004D286B">
            <w:pPr>
              <w:pStyle w:val="TableTitle"/>
            </w:pPr>
            <w:r>
              <w:rPr>
                <w:b w:val="0"/>
              </w:rPr>
              <w:t xml:space="preserve">Table </w:t>
            </w:r>
            <w:proofErr w:type="spellStart"/>
            <w:r>
              <w:rPr>
                <w:b w:val="0"/>
              </w:rPr>
              <w:t>B.</w:t>
            </w:r>
            <w:r w:rsidR="002C1ABB">
              <w:rPr>
                <w:b w:val="0"/>
                <w:noProof/>
              </w:rPr>
              <w:t>3</w:t>
            </w:r>
            <w:proofErr w:type="spellEnd"/>
            <w:r>
              <w:tab/>
              <w:t>A summary of agricultural policy reform</w:t>
            </w:r>
          </w:p>
        </w:tc>
      </w:tr>
      <w:tr w:rsidR="00FD796B" w:rsidTr="008A0DFD">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998"/>
              <w:gridCol w:w="1134"/>
              <w:gridCol w:w="6355"/>
            </w:tblGrid>
            <w:tr w:rsidR="00FD796B" w:rsidTr="00FD796B">
              <w:tc>
                <w:tcPr>
                  <w:tcW w:w="588" w:type="pct"/>
                  <w:tcBorders>
                    <w:top w:val="single" w:sz="6" w:space="0" w:color="BFBFBF"/>
                    <w:bottom w:val="single" w:sz="6" w:space="0" w:color="BFBFBF"/>
                  </w:tcBorders>
                  <w:shd w:val="clear" w:color="auto" w:fill="auto"/>
                  <w:tcMar>
                    <w:top w:w="28" w:type="dxa"/>
                  </w:tcMar>
                </w:tcPr>
                <w:p w:rsidR="00FD796B" w:rsidRDefault="00FD796B" w:rsidP="00FD796B">
                  <w:pPr>
                    <w:pStyle w:val="TableColumnHeading"/>
                    <w:jc w:val="left"/>
                  </w:pPr>
                  <w:r>
                    <w:rPr>
                      <w:sz w:val="19"/>
                      <w:szCs w:val="19"/>
                    </w:rPr>
                    <w:t>D</w:t>
                  </w:r>
                  <w:r w:rsidRPr="00903ABD">
                    <w:rPr>
                      <w:sz w:val="19"/>
                      <w:szCs w:val="19"/>
                    </w:rPr>
                    <w:t>ecade</w:t>
                  </w:r>
                </w:p>
              </w:tc>
              <w:tc>
                <w:tcPr>
                  <w:tcW w:w="668" w:type="pct"/>
                  <w:tcBorders>
                    <w:top w:val="single" w:sz="6" w:space="0" w:color="BFBFBF"/>
                    <w:bottom w:val="single" w:sz="6" w:space="0" w:color="BFBFBF"/>
                  </w:tcBorders>
                  <w:shd w:val="clear" w:color="auto" w:fill="auto"/>
                  <w:tcMar>
                    <w:top w:w="28" w:type="dxa"/>
                  </w:tcMar>
                </w:tcPr>
                <w:p w:rsidR="00FD796B" w:rsidRDefault="00FD796B" w:rsidP="00FD796B">
                  <w:pPr>
                    <w:pStyle w:val="TableColumnHeading"/>
                    <w:jc w:val="left"/>
                  </w:pPr>
                  <w:r w:rsidRPr="00903ABD">
                    <w:rPr>
                      <w:sz w:val="19"/>
                      <w:szCs w:val="19"/>
                    </w:rPr>
                    <w:t>Commodity</w:t>
                  </w:r>
                </w:p>
              </w:tc>
              <w:tc>
                <w:tcPr>
                  <w:tcW w:w="3744" w:type="pct"/>
                  <w:tcBorders>
                    <w:top w:val="single" w:sz="6" w:space="0" w:color="BFBFBF"/>
                    <w:bottom w:val="single" w:sz="6" w:space="0" w:color="BFBFBF"/>
                  </w:tcBorders>
                  <w:shd w:val="clear" w:color="auto" w:fill="auto"/>
                  <w:tcMar>
                    <w:top w:w="28" w:type="dxa"/>
                  </w:tcMar>
                </w:tcPr>
                <w:p w:rsidR="00FD796B" w:rsidRDefault="00CB04CD" w:rsidP="00CB04CD">
                  <w:pPr>
                    <w:pStyle w:val="TableColumnHeading"/>
                    <w:ind w:right="28"/>
                    <w:jc w:val="left"/>
                  </w:pPr>
                  <w:r>
                    <w:rPr>
                      <w:sz w:val="19"/>
                      <w:szCs w:val="19"/>
                    </w:rPr>
                    <w:t>Policy c</w:t>
                  </w:r>
                  <w:r w:rsidR="00FD796B" w:rsidRPr="00903ABD">
                    <w:rPr>
                      <w:sz w:val="19"/>
                      <w:szCs w:val="19"/>
                    </w:rPr>
                    <w:t>hange</w:t>
                  </w:r>
                </w:p>
              </w:tc>
            </w:tr>
            <w:tr w:rsidR="00FD796B" w:rsidTr="006F64A2">
              <w:tc>
                <w:tcPr>
                  <w:tcW w:w="588" w:type="pct"/>
                  <w:tcBorders>
                    <w:top w:val="single" w:sz="6" w:space="0" w:color="BFBFBF"/>
                  </w:tcBorders>
                </w:tcPr>
                <w:p w:rsidR="00FD796B" w:rsidRDefault="00FD796B" w:rsidP="00FD796B">
                  <w:pPr>
                    <w:pStyle w:val="TableUnitsRow"/>
                    <w:jc w:val="left"/>
                  </w:pPr>
                  <w:proofErr w:type="spellStart"/>
                  <w:r>
                    <w:rPr>
                      <w:sz w:val="19"/>
                      <w:szCs w:val="19"/>
                    </w:rPr>
                    <w:t>1970s</w:t>
                  </w:r>
                  <w:proofErr w:type="spellEnd"/>
                </w:p>
              </w:tc>
              <w:tc>
                <w:tcPr>
                  <w:tcW w:w="668" w:type="pct"/>
                  <w:tcBorders>
                    <w:top w:val="single" w:sz="6" w:space="0" w:color="BFBFBF"/>
                  </w:tcBorders>
                </w:tcPr>
                <w:p w:rsidR="00FD796B" w:rsidRDefault="00FD796B" w:rsidP="00FD796B">
                  <w:pPr>
                    <w:pStyle w:val="TableUnitsRow"/>
                    <w:jc w:val="left"/>
                  </w:pPr>
                  <w:r>
                    <w:rPr>
                      <w:sz w:val="19"/>
                      <w:szCs w:val="19"/>
                    </w:rPr>
                    <w:t>Wheat</w:t>
                  </w:r>
                </w:p>
              </w:tc>
              <w:tc>
                <w:tcPr>
                  <w:tcW w:w="3744" w:type="pct"/>
                  <w:tcBorders>
                    <w:top w:val="single" w:sz="6" w:space="0" w:color="BFBFBF"/>
                  </w:tcBorders>
                </w:tcPr>
                <w:p w:rsidR="00FD796B" w:rsidRDefault="00FD796B" w:rsidP="00CB04CD">
                  <w:pPr>
                    <w:pStyle w:val="TableUnitsRow"/>
                    <w:ind w:right="28"/>
                    <w:jc w:val="left"/>
                  </w:pPr>
                  <w:r>
                    <w:rPr>
                      <w:sz w:val="19"/>
                      <w:szCs w:val="19"/>
                    </w:rPr>
                    <w:t>Move from guaranteed to stabilised prices; provision for ‘grower to buyer’ sales outside the pooling arrangements; home consumption price limited to wheat for human consumption and determined by a formula to take account of export prices</w:t>
                  </w:r>
                </w:p>
              </w:tc>
            </w:tr>
            <w:tr w:rsidR="00FD796B" w:rsidTr="00FD796B">
              <w:tc>
                <w:tcPr>
                  <w:tcW w:w="588" w:type="pct"/>
                </w:tcPr>
                <w:p w:rsidR="00FD796B" w:rsidRDefault="00FD796B" w:rsidP="00FD796B">
                  <w:pPr>
                    <w:pStyle w:val="TableBodyText"/>
                    <w:jc w:val="left"/>
                  </w:pPr>
                  <w:proofErr w:type="spellStart"/>
                  <w:r>
                    <w:rPr>
                      <w:sz w:val="19"/>
                      <w:szCs w:val="19"/>
                    </w:rPr>
                    <w:t>1980s</w:t>
                  </w:r>
                  <w:proofErr w:type="spellEnd"/>
                </w:p>
              </w:tc>
              <w:tc>
                <w:tcPr>
                  <w:tcW w:w="668" w:type="pct"/>
                </w:tcPr>
                <w:p w:rsidR="00FD796B" w:rsidRDefault="00FD796B" w:rsidP="00FD796B">
                  <w:pPr>
                    <w:pStyle w:val="TableBodyText"/>
                    <w:jc w:val="left"/>
                  </w:pPr>
                  <w:r>
                    <w:rPr>
                      <w:sz w:val="19"/>
                      <w:szCs w:val="19"/>
                    </w:rPr>
                    <w:t>Dried vine fruits</w:t>
                  </w:r>
                </w:p>
              </w:tc>
              <w:tc>
                <w:tcPr>
                  <w:tcW w:w="3744" w:type="pct"/>
                </w:tcPr>
                <w:p w:rsidR="00FD796B" w:rsidRDefault="00FD796B" w:rsidP="00FD796B">
                  <w:pPr>
                    <w:pStyle w:val="TableBodyText"/>
                    <w:ind w:right="28"/>
                    <w:jc w:val="left"/>
                  </w:pPr>
                  <w:r>
                    <w:rPr>
                      <w:sz w:val="19"/>
                      <w:szCs w:val="19"/>
                    </w:rPr>
                    <w:t>End of price stabilisation arrangements in 1980</w:t>
                  </w:r>
                </w:p>
              </w:tc>
            </w:tr>
            <w:tr w:rsidR="00FD796B" w:rsidTr="006F64A2">
              <w:tc>
                <w:tcPr>
                  <w:tcW w:w="588" w:type="pct"/>
                  <w:shd w:val="clear" w:color="auto" w:fill="auto"/>
                </w:tcPr>
                <w:p w:rsidR="00FD796B" w:rsidRDefault="00FD796B" w:rsidP="00FD796B">
                  <w:pPr>
                    <w:pStyle w:val="TableBodyText"/>
                    <w:jc w:val="left"/>
                  </w:pPr>
                </w:p>
              </w:tc>
              <w:tc>
                <w:tcPr>
                  <w:tcW w:w="668" w:type="pct"/>
                  <w:shd w:val="clear" w:color="auto" w:fill="auto"/>
                </w:tcPr>
                <w:p w:rsidR="00FD796B" w:rsidRDefault="00FD796B" w:rsidP="00FD796B">
                  <w:pPr>
                    <w:pStyle w:val="TableBodyText"/>
                    <w:jc w:val="left"/>
                  </w:pPr>
                  <w:r>
                    <w:rPr>
                      <w:sz w:val="19"/>
                      <w:szCs w:val="19"/>
                    </w:rPr>
                    <w:t>Citrus</w:t>
                  </w:r>
                </w:p>
              </w:tc>
              <w:tc>
                <w:tcPr>
                  <w:tcW w:w="3744" w:type="pct"/>
                  <w:shd w:val="clear" w:color="auto" w:fill="auto"/>
                </w:tcPr>
                <w:p w:rsidR="00FD796B" w:rsidRDefault="00FD796B" w:rsidP="00FD796B">
                  <w:pPr>
                    <w:pStyle w:val="TableBodyText"/>
                    <w:ind w:right="28"/>
                    <w:jc w:val="left"/>
                  </w:pPr>
                  <w:r>
                    <w:rPr>
                      <w:sz w:val="19"/>
                      <w:szCs w:val="19"/>
                    </w:rPr>
                    <w:t>Decade</w:t>
                  </w:r>
                  <w:r w:rsidR="000D513B">
                    <w:rPr>
                      <w:sz w:val="19"/>
                      <w:szCs w:val="19"/>
                    </w:rPr>
                    <w:noBreakHyphen/>
                  </w:r>
                  <w:r>
                    <w:rPr>
                      <w:sz w:val="19"/>
                      <w:szCs w:val="19"/>
                    </w:rPr>
                    <w:t>long phase down of tariffs from 30 to 5 per cent, beginning in 1986; state marketing boards amalgamated, reducing geographical barriers to competition</w:t>
                  </w:r>
                </w:p>
              </w:tc>
            </w:tr>
            <w:tr w:rsidR="00FD796B" w:rsidTr="006F64A2">
              <w:tc>
                <w:tcPr>
                  <w:tcW w:w="588" w:type="pct"/>
                  <w:shd w:val="clear" w:color="auto" w:fill="auto"/>
                </w:tcPr>
                <w:p w:rsidR="00FD796B" w:rsidRDefault="00FD796B" w:rsidP="00FD796B">
                  <w:pPr>
                    <w:pStyle w:val="TableBodyText"/>
                    <w:jc w:val="left"/>
                  </w:pPr>
                </w:p>
              </w:tc>
              <w:tc>
                <w:tcPr>
                  <w:tcW w:w="668" w:type="pct"/>
                  <w:shd w:val="clear" w:color="auto" w:fill="auto"/>
                </w:tcPr>
                <w:p w:rsidR="00FD796B" w:rsidRDefault="00FD796B" w:rsidP="00FD796B">
                  <w:pPr>
                    <w:pStyle w:val="TableBodyText"/>
                    <w:jc w:val="left"/>
                    <w:rPr>
                      <w:sz w:val="19"/>
                      <w:szCs w:val="19"/>
                    </w:rPr>
                  </w:pPr>
                  <w:r>
                    <w:rPr>
                      <w:sz w:val="19"/>
                      <w:szCs w:val="19"/>
                    </w:rPr>
                    <w:t>Eggs</w:t>
                  </w:r>
                </w:p>
              </w:tc>
              <w:tc>
                <w:tcPr>
                  <w:tcW w:w="3744" w:type="pct"/>
                  <w:shd w:val="clear" w:color="auto" w:fill="auto"/>
                </w:tcPr>
                <w:p w:rsidR="00FD796B" w:rsidRDefault="00FD796B" w:rsidP="00FD796B">
                  <w:pPr>
                    <w:pStyle w:val="TableBodyText"/>
                    <w:ind w:right="28"/>
                    <w:jc w:val="left"/>
                    <w:rPr>
                      <w:sz w:val="19"/>
                      <w:szCs w:val="19"/>
                    </w:rPr>
                  </w:pPr>
                  <w:r>
                    <w:rPr>
                      <w:sz w:val="19"/>
                      <w:szCs w:val="19"/>
                    </w:rPr>
                    <w:t>State</w:t>
                  </w:r>
                  <w:r w:rsidR="000D513B">
                    <w:rPr>
                      <w:sz w:val="19"/>
                      <w:szCs w:val="19"/>
                    </w:rPr>
                    <w:noBreakHyphen/>
                  </w:r>
                  <w:r>
                    <w:rPr>
                      <w:sz w:val="19"/>
                      <w:szCs w:val="19"/>
                    </w:rPr>
                    <w:t>based production and pricing controls progressively withdrawn from 1989</w:t>
                  </w:r>
                </w:p>
              </w:tc>
            </w:tr>
            <w:tr w:rsidR="00FD796B" w:rsidTr="006F64A2">
              <w:tc>
                <w:tcPr>
                  <w:tcW w:w="588" w:type="pct"/>
                  <w:shd w:val="clear" w:color="auto" w:fill="auto"/>
                </w:tcPr>
                <w:p w:rsidR="00FD796B" w:rsidRDefault="00FD796B" w:rsidP="00FD796B">
                  <w:pPr>
                    <w:pStyle w:val="TableBodyText"/>
                    <w:jc w:val="left"/>
                  </w:pPr>
                </w:p>
              </w:tc>
              <w:tc>
                <w:tcPr>
                  <w:tcW w:w="668" w:type="pct"/>
                  <w:shd w:val="clear" w:color="auto" w:fill="auto"/>
                </w:tcPr>
                <w:p w:rsidR="00FD796B" w:rsidRDefault="00FD796B" w:rsidP="00FD796B">
                  <w:pPr>
                    <w:pStyle w:val="TableBodyText"/>
                    <w:jc w:val="left"/>
                    <w:rPr>
                      <w:sz w:val="19"/>
                      <w:szCs w:val="19"/>
                    </w:rPr>
                  </w:pPr>
                  <w:r>
                    <w:rPr>
                      <w:sz w:val="19"/>
                      <w:szCs w:val="19"/>
                    </w:rPr>
                    <w:t>Sugar</w:t>
                  </w:r>
                </w:p>
              </w:tc>
              <w:tc>
                <w:tcPr>
                  <w:tcW w:w="3744" w:type="pct"/>
                  <w:shd w:val="clear" w:color="auto" w:fill="auto"/>
                </w:tcPr>
                <w:p w:rsidR="00FD796B" w:rsidRDefault="00FD796B" w:rsidP="00FD796B">
                  <w:pPr>
                    <w:pStyle w:val="TableBodyText"/>
                    <w:ind w:right="28"/>
                    <w:jc w:val="left"/>
                    <w:rPr>
                      <w:sz w:val="19"/>
                      <w:szCs w:val="19"/>
                    </w:rPr>
                  </w:pPr>
                  <w:r>
                    <w:rPr>
                      <w:sz w:val="19"/>
                      <w:szCs w:val="19"/>
                    </w:rPr>
                    <w:t xml:space="preserve">Domestic administered price arrangements and export controls terminated by the Commonwealth in the late </w:t>
                  </w:r>
                  <w:proofErr w:type="spellStart"/>
                  <w:r>
                    <w:rPr>
                      <w:sz w:val="19"/>
                      <w:szCs w:val="19"/>
                    </w:rPr>
                    <w:t>1980s</w:t>
                  </w:r>
                  <w:proofErr w:type="spellEnd"/>
                </w:p>
              </w:tc>
            </w:tr>
            <w:tr w:rsidR="00FD796B" w:rsidTr="006F64A2">
              <w:tc>
                <w:tcPr>
                  <w:tcW w:w="588" w:type="pct"/>
                  <w:shd w:val="clear" w:color="auto" w:fill="auto"/>
                </w:tcPr>
                <w:p w:rsidR="00FD796B" w:rsidRDefault="00FD796B" w:rsidP="00FD796B">
                  <w:pPr>
                    <w:pStyle w:val="TableBodyText"/>
                    <w:jc w:val="left"/>
                  </w:pPr>
                </w:p>
              </w:tc>
              <w:tc>
                <w:tcPr>
                  <w:tcW w:w="668" w:type="pct"/>
                  <w:shd w:val="clear" w:color="auto" w:fill="auto"/>
                </w:tcPr>
                <w:p w:rsidR="00FD796B" w:rsidRDefault="00FD796B" w:rsidP="00FD796B">
                  <w:pPr>
                    <w:pStyle w:val="TableBodyText"/>
                    <w:jc w:val="left"/>
                    <w:rPr>
                      <w:sz w:val="19"/>
                      <w:szCs w:val="19"/>
                    </w:rPr>
                  </w:pPr>
                  <w:r>
                    <w:rPr>
                      <w:sz w:val="19"/>
                      <w:szCs w:val="19"/>
                    </w:rPr>
                    <w:t>Wheat</w:t>
                  </w:r>
                </w:p>
              </w:tc>
              <w:tc>
                <w:tcPr>
                  <w:tcW w:w="3744" w:type="pct"/>
                  <w:shd w:val="clear" w:color="auto" w:fill="auto"/>
                </w:tcPr>
                <w:p w:rsidR="00FD796B" w:rsidRDefault="00FD796B" w:rsidP="00FD796B">
                  <w:pPr>
                    <w:pStyle w:val="TableBodyText"/>
                    <w:ind w:right="28"/>
                    <w:jc w:val="left"/>
                    <w:rPr>
                      <w:sz w:val="19"/>
                      <w:szCs w:val="19"/>
                    </w:rPr>
                  </w:pPr>
                  <w:r>
                    <w:rPr>
                      <w:sz w:val="19"/>
                      <w:szCs w:val="19"/>
                    </w:rPr>
                    <w:t>Domestic market deregulated in 1989; grower levy fund introduced to replace the Commonwealth guarantee of Australian Wheat Board borrowing</w:t>
                  </w:r>
                </w:p>
              </w:tc>
            </w:tr>
            <w:tr w:rsidR="00FD796B" w:rsidTr="006F64A2">
              <w:tc>
                <w:tcPr>
                  <w:tcW w:w="588" w:type="pct"/>
                  <w:shd w:val="clear" w:color="auto" w:fill="auto"/>
                </w:tcPr>
                <w:p w:rsidR="00FD796B" w:rsidRDefault="00FD796B" w:rsidP="00FD796B">
                  <w:pPr>
                    <w:pStyle w:val="TableBodyText"/>
                    <w:jc w:val="left"/>
                  </w:pPr>
                  <w:proofErr w:type="spellStart"/>
                  <w:r>
                    <w:rPr>
                      <w:sz w:val="19"/>
                      <w:szCs w:val="19"/>
                    </w:rPr>
                    <w:t>1990s</w:t>
                  </w:r>
                  <w:proofErr w:type="spellEnd"/>
                </w:p>
              </w:tc>
              <w:tc>
                <w:tcPr>
                  <w:tcW w:w="668" w:type="pct"/>
                  <w:shd w:val="clear" w:color="auto" w:fill="auto"/>
                </w:tcPr>
                <w:p w:rsidR="00FD796B" w:rsidRDefault="00FD796B" w:rsidP="00FD796B">
                  <w:pPr>
                    <w:pStyle w:val="TableBodyText"/>
                    <w:jc w:val="left"/>
                    <w:rPr>
                      <w:sz w:val="19"/>
                      <w:szCs w:val="19"/>
                    </w:rPr>
                  </w:pPr>
                  <w:r>
                    <w:rPr>
                      <w:sz w:val="19"/>
                      <w:szCs w:val="19"/>
                    </w:rPr>
                    <w:t>Barley</w:t>
                  </w:r>
                </w:p>
              </w:tc>
              <w:tc>
                <w:tcPr>
                  <w:tcW w:w="3744" w:type="pct"/>
                  <w:shd w:val="clear" w:color="auto" w:fill="auto"/>
                </w:tcPr>
                <w:p w:rsidR="00FD796B" w:rsidRDefault="00FD796B" w:rsidP="00FD796B">
                  <w:pPr>
                    <w:pStyle w:val="TableBodyText"/>
                    <w:ind w:right="28"/>
                    <w:jc w:val="left"/>
                    <w:rPr>
                      <w:sz w:val="19"/>
                      <w:szCs w:val="19"/>
                    </w:rPr>
                  </w:pPr>
                  <w:r>
                    <w:rPr>
                      <w:sz w:val="19"/>
                      <w:szCs w:val="19"/>
                    </w:rPr>
                    <w:t>Competition gradually introduced into domestic feed and malting barley marketing in South Australia and Victoria from 1998</w:t>
                  </w:r>
                </w:p>
              </w:tc>
            </w:tr>
            <w:tr w:rsidR="00FD796B" w:rsidTr="006F64A2">
              <w:tc>
                <w:tcPr>
                  <w:tcW w:w="588" w:type="pct"/>
                  <w:shd w:val="clear" w:color="auto" w:fill="auto"/>
                </w:tcPr>
                <w:p w:rsidR="00FD796B" w:rsidRDefault="00FD796B" w:rsidP="00FD796B">
                  <w:pPr>
                    <w:pStyle w:val="TableBodyText"/>
                    <w:jc w:val="left"/>
                    <w:rPr>
                      <w:sz w:val="19"/>
                      <w:szCs w:val="19"/>
                    </w:rPr>
                  </w:pPr>
                </w:p>
              </w:tc>
              <w:tc>
                <w:tcPr>
                  <w:tcW w:w="668" w:type="pct"/>
                  <w:shd w:val="clear" w:color="auto" w:fill="auto"/>
                </w:tcPr>
                <w:p w:rsidR="00FD796B" w:rsidRDefault="00FD796B" w:rsidP="00FD796B">
                  <w:pPr>
                    <w:pStyle w:val="TableBodyText"/>
                    <w:jc w:val="left"/>
                    <w:rPr>
                      <w:sz w:val="19"/>
                      <w:szCs w:val="19"/>
                    </w:rPr>
                  </w:pPr>
                  <w:r>
                    <w:rPr>
                      <w:sz w:val="19"/>
                      <w:szCs w:val="19"/>
                    </w:rPr>
                    <w:t>Dairy</w:t>
                  </w:r>
                </w:p>
              </w:tc>
              <w:tc>
                <w:tcPr>
                  <w:tcW w:w="3744" w:type="pct"/>
                  <w:shd w:val="clear" w:color="auto" w:fill="auto"/>
                </w:tcPr>
                <w:p w:rsidR="00FD796B" w:rsidRDefault="00FD796B" w:rsidP="00FD796B">
                  <w:pPr>
                    <w:pStyle w:val="TableBodyText"/>
                    <w:ind w:right="28"/>
                    <w:jc w:val="left"/>
                    <w:rPr>
                      <w:sz w:val="19"/>
                      <w:szCs w:val="19"/>
                    </w:rPr>
                  </w:pPr>
                  <w:r>
                    <w:rPr>
                      <w:sz w:val="19"/>
                      <w:szCs w:val="19"/>
                    </w:rPr>
                    <w:t>Phased reductions in market support payments on export of dairy products</w:t>
                  </w:r>
                </w:p>
              </w:tc>
            </w:tr>
            <w:tr w:rsidR="00FD796B" w:rsidTr="006F64A2">
              <w:tc>
                <w:tcPr>
                  <w:tcW w:w="588" w:type="pct"/>
                  <w:shd w:val="clear" w:color="auto" w:fill="auto"/>
                </w:tcPr>
                <w:p w:rsidR="00FD796B" w:rsidRDefault="00FD796B" w:rsidP="00FD796B">
                  <w:pPr>
                    <w:pStyle w:val="TableBodyText"/>
                    <w:jc w:val="left"/>
                    <w:rPr>
                      <w:sz w:val="19"/>
                      <w:szCs w:val="19"/>
                    </w:rPr>
                  </w:pPr>
                </w:p>
              </w:tc>
              <w:tc>
                <w:tcPr>
                  <w:tcW w:w="668" w:type="pct"/>
                  <w:shd w:val="clear" w:color="auto" w:fill="auto"/>
                </w:tcPr>
                <w:p w:rsidR="00FD796B" w:rsidRDefault="00FD796B" w:rsidP="00FD796B">
                  <w:pPr>
                    <w:pStyle w:val="TableBodyText"/>
                    <w:jc w:val="left"/>
                    <w:rPr>
                      <w:sz w:val="19"/>
                      <w:szCs w:val="19"/>
                    </w:rPr>
                  </w:pPr>
                  <w:r>
                    <w:rPr>
                      <w:sz w:val="19"/>
                      <w:szCs w:val="19"/>
                    </w:rPr>
                    <w:t>Dried vine fruits</w:t>
                  </w:r>
                </w:p>
              </w:tc>
              <w:tc>
                <w:tcPr>
                  <w:tcW w:w="3744" w:type="pct"/>
                  <w:shd w:val="clear" w:color="auto" w:fill="auto"/>
                </w:tcPr>
                <w:p w:rsidR="00FD796B" w:rsidRDefault="00FD796B" w:rsidP="00FD796B">
                  <w:pPr>
                    <w:pStyle w:val="TableBodyText"/>
                    <w:ind w:right="28"/>
                    <w:jc w:val="left"/>
                    <w:rPr>
                      <w:sz w:val="19"/>
                      <w:szCs w:val="19"/>
                    </w:rPr>
                  </w:pPr>
                  <w:r>
                    <w:rPr>
                      <w:sz w:val="19"/>
                      <w:szCs w:val="19"/>
                    </w:rPr>
                    <w:t xml:space="preserve">Commonwealth price equalisation levy and statutory equalisation of domestic sales removed in the early </w:t>
                  </w:r>
                  <w:proofErr w:type="spellStart"/>
                  <w:r>
                    <w:rPr>
                      <w:sz w:val="19"/>
                      <w:szCs w:val="19"/>
                    </w:rPr>
                    <w:t>1990s</w:t>
                  </w:r>
                  <w:proofErr w:type="spellEnd"/>
                  <w:r>
                    <w:rPr>
                      <w:sz w:val="19"/>
                      <w:szCs w:val="19"/>
                    </w:rPr>
                    <w:t xml:space="preserve">, as was the industry’s exemption from section 45 of the Trade Practices Act </w:t>
                  </w:r>
                  <w:r w:rsidR="00990FC0">
                    <w:rPr>
                      <w:sz w:val="19"/>
                      <w:szCs w:val="19"/>
                    </w:rPr>
                    <w:t>1974 (</w:t>
                  </w:r>
                  <w:proofErr w:type="spellStart"/>
                  <w:r w:rsidR="00990FC0">
                    <w:rPr>
                      <w:sz w:val="19"/>
                      <w:szCs w:val="19"/>
                    </w:rPr>
                    <w:t>Cwlth</w:t>
                  </w:r>
                  <w:proofErr w:type="spellEnd"/>
                  <w:r w:rsidR="00990FC0">
                    <w:rPr>
                      <w:sz w:val="19"/>
                      <w:szCs w:val="19"/>
                    </w:rPr>
                    <w:t xml:space="preserve">) </w:t>
                  </w:r>
                  <w:r>
                    <w:rPr>
                      <w:sz w:val="19"/>
                      <w:szCs w:val="19"/>
                    </w:rPr>
                    <w:t>(which reduced the scope for collusive price discrimination)</w:t>
                  </w:r>
                </w:p>
              </w:tc>
            </w:tr>
            <w:tr w:rsidR="00FD796B" w:rsidTr="006F64A2">
              <w:tc>
                <w:tcPr>
                  <w:tcW w:w="588" w:type="pct"/>
                  <w:shd w:val="clear" w:color="auto" w:fill="auto"/>
                </w:tcPr>
                <w:p w:rsidR="00FD796B" w:rsidRDefault="00FD796B" w:rsidP="00FD796B">
                  <w:pPr>
                    <w:pStyle w:val="TableBodyText"/>
                    <w:jc w:val="left"/>
                    <w:rPr>
                      <w:sz w:val="19"/>
                      <w:szCs w:val="19"/>
                    </w:rPr>
                  </w:pPr>
                </w:p>
              </w:tc>
              <w:tc>
                <w:tcPr>
                  <w:tcW w:w="668" w:type="pct"/>
                  <w:shd w:val="clear" w:color="auto" w:fill="auto"/>
                </w:tcPr>
                <w:p w:rsidR="00FD796B" w:rsidRDefault="00FD796B" w:rsidP="00FD796B">
                  <w:pPr>
                    <w:pStyle w:val="TableBodyText"/>
                    <w:jc w:val="left"/>
                    <w:rPr>
                      <w:sz w:val="19"/>
                      <w:szCs w:val="19"/>
                    </w:rPr>
                  </w:pPr>
                  <w:r>
                    <w:rPr>
                      <w:sz w:val="19"/>
                      <w:szCs w:val="19"/>
                    </w:rPr>
                    <w:t>Horticulture</w:t>
                  </w:r>
                </w:p>
              </w:tc>
              <w:tc>
                <w:tcPr>
                  <w:tcW w:w="3744" w:type="pct"/>
                  <w:shd w:val="clear" w:color="auto" w:fill="auto"/>
                </w:tcPr>
                <w:p w:rsidR="00FD796B" w:rsidRDefault="00FD796B" w:rsidP="00FD796B">
                  <w:pPr>
                    <w:pStyle w:val="TableBodyText"/>
                    <w:ind w:right="28"/>
                    <w:jc w:val="left"/>
                    <w:rPr>
                      <w:sz w:val="19"/>
                      <w:szCs w:val="19"/>
                    </w:rPr>
                  </w:pPr>
                  <w:r>
                    <w:rPr>
                      <w:sz w:val="19"/>
                      <w:szCs w:val="19"/>
                    </w:rPr>
                    <w:t>Underwriting scheme for apples and pears terminated in 1990</w:t>
                  </w:r>
                </w:p>
              </w:tc>
            </w:tr>
            <w:tr w:rsidR="00FD796B" w:rsidTr="006F64A2">
              <w:tc>
                <w:tcPr>
                  <w:tcW w:w="588" w:type="pct"/>
                  <w:shd w:val="clear" w:color="auto" w:fill="auto"/>
                </w:tcPr>
                <w:p w:rsidR="00FD796B" w:rsidRDefault="00FD796B" w:rsidP="00FD796B">
                  <w:pPr>
                    <w:pStyle w:val="TableBodyText"/>
                    <w:jc w:val="left"/>
                    <w:rPr>
                      <w:sz w:val="19"/>
                      <w:szCs w:val="19"/>
                    </w:rPr>
                  </w:pPr>
                </w:p>
              </w:tc>
              <w:tc>
                <w:tcPr>
                  <w:tcW w:w="668" w:type="pct"/>
                  <w:shd w:val="clear" w:color="auto" w:fill="auto"/>
                </w:tcPr>
                <w:p w:rsidR="00FD796B" w:rsidRDefault="00FD796B" w:rsidP="00FD796B">
                  <w:pPr>
                    <w:pStyle w:val="TableBodyText"/>
                    <w:jc w:val="left"/>
                    <w:rPr>
                      <w:sz w:val="19"/>
                      <w:szCs w:val="19"/>
                    </w:rPr>
                  </w:pPr>
                  <w:r>
                    <w:rPr>
                      <w:sz w:val="19"/>
                      <w:szCs w:val="19"/>
                    </w:rPr>
                    <w:t>Tobacco</w:t>
                  </w:r>
                </w:p>
              </w:tc>
              <w:tc>
                <w:tcPr>
                  <w:tcW w:w="3744" w:type="pct"/>
                  <w:shd w:val="clear" w:color="auto" w:fill="auto"/>
                </w:tcPr>
                <w:p w:rsidR="00FD796B" w:rsidRDefault="00FD796B" w:rsidP="00FD796B">
                  <w:pPr>
                    <w:pStyle w:val="TableBodyText"/>
                    <w:ind w:right="28"/>
                    <w:jc w:val="left"/>
                    <w:rPr>
                      <w:sz w:val="19"/>
                      <w:szCs w:val="19"/>
                    </w:rPr>
                  </w:pPr>
                  <w:r>
                    <w:rPr>
                      <w:sz w:val="19"/>
                      <w:szCs w:val="19"/>
                    </w:rPr>
                    <w:t>Local Leaf Content Scheme and the Tobacco Industry Stabilisation plan ceased in 1995; withdrawal of vesting powers in 1995</w:t>
                  </w:r>
                </w:p>
              </w:tc>
            </w:tr>
            <w:tr w:rsidR="00FD796B" w:rsidTr="006F64A2">
              <w:tc>
                <w:tcPr>
                  <w:tcW w:w="588" w:type="pct"/>
                  <w:shd w:val="clear" w:color="auto" w:fill="auto"/>
                </w:tcPr>
                <w:p w:rsidR="00FD796B" w:rsidRDefault="00FD796B" w:rsidP="00FD796B">
                  <w:pPr>
                    <w:pStyle w:val="TableBodyText"/>
                    <w:jc w:val="left"/>
                    <w:rPr>
                      <w:sz w:val="19"/>
                      <w:szCs w:val="19"/>
                    </w:rPr>
                  </w:pPr>
                </w:p>
              </w:tc>
              <w:tc>
                <w:tcPr>
                  <w:tcW w:w="668" w:type="pct"/>
                  <w:shd w:val="clear" w:color="auto" w:fill="auto"/>
                </w:tcPr>
                <w:p w:rsidR="00FD796B" w:rsidRDefault="00FD796B" w:rsidP="00FD796B">
                  <w:pPr>
                    <w:pStyle w:val="TableBodyText"/>
                    <w:jc w:val="left"/>
                    <w:rPr>
                      <w:sz w:val="19"/>
                      <w:szCs w:val="19"/>
                    </w:rPr>
                  </w:pPr>
                  <w:r>
                    <w:rPr>
                      <w:sz w:val="19"/>
                      <w:szCs w:val="19"/>
                    </w:rPr>
                    <w:t>Sugar</w:t>
                  </w:r>
                </w:p>
              </w:tc>
              <w:tc>
                <w:tcPr>
                  <w:tcW w:w="3744" w:type="pct"/>
                  <w:shd w:val="clear" w:color="auto" w:fill="auto"/>
                </w:tcPr>
                <w:p w:rsidR="00FD796B" w:rsidRDefault="00FD796B" w:rsidP="00FD796B">
                  <w:pPr>
                    <w:pStyle w:val="TableBodyText"/>
                    <w:ind w:right="28"/>
                    <w:jc w:val="left"/>
                    <w:rPr>
                      <w:sz w:val="19"/>
                      <w:szCs w:val="19"/>
                    </w:rPr>
                  </w:pPr>
                  <w:r>
                    <w:rPr>
                      <w:sz w:val="19"/>
                      <w:szCs w:val="19"/>
                    </w:rPr>
                    <w:t>Import tariffs and domestic price supports removed in mid 1997</w:t>
                  </w:r>
                </w:p>
              </w:tc>
            </w:tr>
            <w:tr w:rsidR="00FD796B" w:rsidTr="006F64A2">
              <w:tc>
                <w:tcPr>
                  <w:tcW w:w="588" w:type="pct"/>
                  <w:shd w:val="clear" w:color="auto" w:fill="auto"/>
                </w:tcPr>
                <w:p w:rsidR="00FD796B" w:rsidRDefault="00FD796B" w:rsidP="00FD796B">
                  <w:pPr>
                    <w:pStyle w:val="TableBodyText"/>
                    <w:jc w:val="left"/>
                    <w:rPr>
                      <w:sz w:val="19"/>
                      <w:szCs w:val="19"/>
                    </w:rPr>
                  </w:pPr>
                </w:p>
              </w:tc>
              <w:tc>
                <w:tcPr>
                  <w:tcW w:w="668" w:type="pct"/>
                  <w:shd w:val="clear" w:color="auto" w:fill="auto"/>
                </w:tcPr>
                <w:p w:rsidR="00FD796B" w:rsidRDefault="00FD796B" w:rsidP="00FD796B">
                  <w:pPr>
                    <w:pStyle w:val="TableBodyText"/>
                    <w:jc w:val="left"/>
                    <w:rPr>
                      <w:sz w:val="19"/>
                      <w:szCs w:val="19"/>
                    </w:rPr>
                  </w:pPr>
                  <w:r>
                    <w:rPr>
                      <w:sz w:val="19"/>
                      <w:szCs w:val="19"/>
                    </w:rPr>
                    <w:t>Wheat</w:t>
                  </w:r>
                </w:p>
              </w:tc>
              <w:tc>
                <w:tcPr>
                  <w:tcW w:w="3744" w:type="pct"/>
                  <w:shd w:val="clear" w:color="auto" w:fill="auto"/>
                </w:tcPr>
                <w:p w:rsidR="00FD796B" w:rsidRDefault="00FD796B" w:rsidP="00FD796B">
                  <w:pPr>
                    <w:pStyle w:val="TableBodyText"/>
                    <w:ind w:right="28"/>
                    <w:jc w:val="left"/>
                    <w:rPr>
                      <w:sz w:val="19"/>
                      <w:szCs w:val="19"/>
                    </w:rPr>
                  </w:pPr>
                  <w:r>
                    <w:rPr>
                      <w:sz w:val="19"/>
                      <w:szCs w:val="19"/>
                    </w:rPr>
                    <w:t>Australian Wheat Board converted from statutory authority to a grower</w:t>
                  </w:r>
                  <w:r w:rsidR="000D513B">
                    <w:rPr>
                      <w:sz w:val="19"/>
                      <w:szCs w:val="19"/>
                    </w:rPr>
                    <w:noBreakHyphen/>
                  </w:r>
                  <w:r>
                    <w:rPr>
                      <w:sz w:val="19"/>
                      <w:szCs w:val="19"/>
                    </w:rPr>
                    <w:t>owned company in 1999</w:t>
                  </w:r>
                </w:p>
              </w:tc>
            </w:tr>
            <w:tr w:rsidR="00FD796B" w:rsidTr="006F64A2">
              <w:tc>
                <w:tcPr>
                  <w:tcW w:w="588" w:type="pct"/>
                  <w:tcBorders>
                    <w:bottom w:val="single" w:sz="6" w:space="0" w:color="BFBFBF"/>
                  </w:tcBorders>
                  <w:shd w:val="clear" w:color="auto" w:fill="auto"/>
                </w:tcPr>
                <w:p w:rsidR="00FD796B" w:rsidRDefault="00FD796B" w:rsidP="00FD796B">
                  <w:pPr>
                    <w:pStyle w:val="TableBodyText"/>
                    <w:jc w:val="left"/>
                    <w:rPr>
                      <w:sz w:val="19"/>
                      <w:szCs w:val="19"/>
                    </w:rPr>
                  </w:pPr>
                </w:p>
              </w:tc>
              <w:tc>
                <w:tcPr>
                  <w:tcW w:w="668" w:type="pct"/>
                  <w:tcBorders>
                    <w:bottom w:val="single" w:sz="6" w:space="0" w:color="BFBFBF"/>
                  </w:tcBorders>
                  <w:shd w:val="clear" w:color="auto" w:fill="auto"/>
                </w:tcPr>
                <w:p w:rsidR="00FD796B" w:rsidRDefault="00FD796B" w:rsidP="00FD796B">
                  <w:pPr>
                    <w:pStyle w:val="TableBodyText"/>
                    <w:jc w:val="left"/>
                    <w:rPr>
                      <w:sz w:val="19"/>
                      <w:szCs w:val="19"/>
                    </w:rPr>
                  </w:pPr>
                  <w:r>
                    <w:rPr>
                      <w:sz w:val="19"/>
                      <w:szCs w:val="19"/>
                    </w:rPr>
                    <w:t>Wool</w:t>
                  </w:r>
                </w:p>
              </w:tc>
              <w:tc>
                <w:tcPr>
                  <w:tcW w:w="3744" w:type="pct"/>
                  <w:tcBorders>
                    <w:bottom w:val="single" w:sz="6" w:space="0" w:color="BFBFBF"/>
                  </w:tcBorders>
                  <w:shd w:val="clear" w:color="auto" w:fill="auto"/>
                </w:tcPr>
                <w:p w:rsidR="00FD796B" w:rsidRDefault="00FD796B" w:rsidP="00FD796B">
                  <w:pPr>
                    <w:pStyle w:val="TableBodyText"/>
                    <w:ind w:right="28"/>
                    <w:jc w:val="left"/>
                    <w:rPr>
                      <w:sz w:val="19"/>
                      <w:szCs w:val="19"/>
                    </w:rPr>
                  </w:pPr>
                  <w:r>
                    <w:rPr>
                      <w:sz w:val="19"/>
                      <w:szCs w:val="19"/>
                    </w:rPr>
                    <w:t>Reserve Price Scheme ceased in 1991</w:t>
                  </w:r>
                </w:p>
              </w:tc>
            </w:tr>
          </w:tbl>
          <w:p w:rsidR="00FD796B" w:rsidRDefault="00FD796B" w:rsidP="008A0DFD">
            <w:pPr>
              <w:pStyle w:val="Box"/>
            </w:pPr>
          </w:p>
        </w:tc>
      </w:tr>
      <w:tr w:rsidR="00FD796B" w:rsidTr="008A0DFD">
        <w:trPr>
          <w:cantSplit/>
        </w:trPr>
        <w:tc>
          <w:tcPr>
            <w:tcW w:w="8771" w:type="dxa"/>
            <w:tcBorders>
              <w:top w:val="nil"/>
              <w:left w:val="nil"/>
              <w:bottom w:val="nil"/>
              <w:right w:val="nil"/>
            </w:tcBorders>
            <w:shd w:val="clear" w:color="auto" w:fill="auto"/>
          </w:tcPr>
          <w:p w:rsidR="00FD796B" w:rsidRDefault="00FD796B" w:rsidP="00FD796B">
            <w:pPr>
              <w:pStyle w:val="Continued"/>
            </w:pPr>
            <w:r>
              <w:t>(Continued next page)</w:t>
            </w:r>
          </w:p>
        </w:tc>
      </w:tr>
      <w:tr w:rsidR="00FD796B" w:rsidTr="008A0DFD">
        <w:trPr>
          <w:cantSplit/>
        </w:trPr>
        <w:tc>
          <w:tcPr>
            <w:tcW w:w="8771" w:type="dxa"/>
            <w:tcBorders>
              <w:top w:val="nil"/>
              <w:left w:val="nil"/>
              <w:bottom w:val="single" w:sz="6" w:space="0" w:color="78A22F"/>
              <w:right w:val="nil"/>
            </w:tcBorders>
            <w:shd w:val="clear" w:color="auto" w:fill="auto"/>
          </w:tcPr>
          <w:p w:rsidR="00FD796B" w:rsidRDefault="00FD796B" w:rsidP="008A0DFD">
            <w:pPr>
              <w:pStyle w:val="Box"/>
              <w:spacing w:before="0" w:line="120" w:lineRule="exact"/>
            </w:pPr>
          </w:p>
        </w:tc>
      </w:tr>
      <w:tr w:rsidR="00FD796B" w:rsidRPr="000863A5" w:rsidTr="008A0DFD">
        <w:tc>
          <w:tcPr>
            <w:tcW w:w="8771" w:type="dxa"/>
            <w:tcBorders>
              <w:top w:val="single" w:sz="6" w:space="0" w:color="78A22F"/>
              <w:left w:val="nil"/>
              <w:bottom w:val="nil"/>
              <w:right w:val="nil"/>
            </w:tcBorders>
          </w:tcPr>
          <w:p w:rsidR="00FD796B" w:rsidRPr="000D513B" w:rsidRDefault="00FD796B" w:rsidP="008A0DFD">
            <w:pPr>
              <w:pStyle w:val="BoxSpaceBelow"/>
            </w:pPr>
          </w:p>
        </w:tc>
      </w:tr>
    </w:tbl>
    <w:p w:rsidR="001B04EC" w:rsidRDefault="001B04EC" w:rsidP="00B52237">
      <w:pPr>
        <w:pStyle w:val="BodyText"/>
      </w:pPr>
    </w:p>
    <w:p w:rsidR="00FD796B" w:rsidRPr="000D513B" w:rsidRDefault="00FD796B" w:rsidP="008A0DFD">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FD796B" w:rsidTr="008A0DFD">
        <w:tc>
          <w:tcPr>
            <w:tcW w:w="8771" w:type="dxa"/>
            <w:tcBorders>
              <w:top w:val="single" w:sz="6" w:space="0" w:color="78A22F"/>
              <w:left w:val="nil"/>
              <w:bottom w:val="nil"/>
              <w:right w:val="nil"/>
            </w:tcBorders>
            <w:shd w:val="clear" w:color="auto" w:fill="auto"/>
          </w:tcPr>
          <w:p w:rsidR="00FD796B" w:rsidRPr="00784A05" w:rsidRDefault="00FD796B" w:rsidP="00D018DD">
            <w:pPr>
              <w:pStyle w:val="TableTitle"/>
            </w:pPr>
            <w:r>
              <w:rPr>
                <w:b w:val="0"/>
              </w:rPr>
              <w:t xml:space="preserve">Table </w:t>
            </w:r>
            <w:proofErr w:type="spellStart"/>
            <w:r>
              <w:rPr>
                <w:b w:val="0"/>
              </w:rPr>
              <w:t>B.3</w:t>
            </w:r>
            <w:proofErr w:type="spellEnd"/>
            <w:r>
              <w:tab/>
            </w:r>
            <w:r w:rsidRPr="00FD796B">
              <w:rPr>
                <w:b w:val="0"/>
                <w:sz w:val="20"/>
              </w:rPr>
              <w:t>(</w:t>
            </w:r>
            <w:r w:rsidR="00D018DD">
              <w:rPr>
                <w:b w:val="0"/>
                <w:sz w:val="20"/>
              </w:rPr>
              <w:t>c</w:t>
            </w:r>
            <w:r w:rsidRPr="00FD796B">
              <w:rPr>
                <w:b w:val="0"/>
                <w:sz w:val="20"/>
              </w:rPr>
              <w:t>ontinued)</w:t>
            </w:r>
          </w:p>
        </w:tc>
      </w:tr>
      <w:tr w:rsidR="00FD796B" w:rsidTr="008A0DFD">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998"/>
              <w:gridCol w:w="1248"/>
              <w:gridCol w:w="6241"/>
            </w:tblGrid>
            <w:tr w:rsidR="00FD796B" w:rsidTr="00D018DD">
              <w:tc>
                <w:tcPr>
                  <w:tcW w:w="588" w:type="pct"/>
                  <w:tcBorders>
                    <w:top w:val="single" w:sz="6" w:space="0" w:color="BFBFBF"/>
                    <w:bottom w:val="single" w:sz="6" w:space="0" w:color="BFBFBF"/>
                  </w:tcBorders>
                  <w:shd w:val="clear" w:color="auto" w:fill="auto"/>
                  <w:tcMar>
                    <w:top w:w="28" w:type="dxa"/>
                  </w:tcMar>
                  <w:vAlign w:val="center"/>
                </w:tcPr>
                <w:p w:rsidR="00FD796B" w:rsidRDefault="00FD796B" w:rsidP="00FD796B">
                  <w:pPr>
                    <w:pStyle w:val="TableColumnHeading"/>
                    <w:jc w:val="left"/>
                  </w:pPr>
                  <w:r>
                    <w:rPr>
                      <w:sz w:val="19"/>
                      <w:szCs w:val="19"/>
                    </w:rPr>
                    <w:t>D</w:t>
                  </w:r>
                  <w:r w:rsidRPr="00903ABD">
                    <w:rPr>
                      <w:sz w:val="19"/>
                      <w:szCs w:val="19"/>
                    </w:rPr>
                    <w:t>ecade</w:t>
                  </w:r>
                </w:p>
              </w:tc>
              <w:tc>
                <w:tcPr>
                  <w:tcW w:w="735" w:type="pct"/>
                  <w:tcBorders>
                    <w:top w:val="single" w:sz="6" w:space="0" w:color="BFBFBF"/>
                    <w:bottom w:val="single" w:sz="6" w:space="0" w:color="BFBFBF"/>
                  </w:tcBorders>
                  <w:shd w:val="clear" w:color="auto" w:fill="auto"/>
                  <w:tcMar>
                    <w:top w:w="28" w:type="dxa"/>
                  </w:tcMar>
                  <w:vAlign w:val="center"/>
                </w:tcPr>
                <w:p w:rsidR="00FD796B" w:rsidRDefault="00FD796B" w:rsidP="00FD796B">
                  <w:pPr>
                    <w:pStyle w:val="TableColumnHeading"/>
                    <w:jc w:val="left"/>
                  </w:pPr>
                  <w:r w:rsidRPr="00903ABD">
                    <w:rPr>
                      <w:sz w:val="19"/>
                      <w:szCs w:val="19"/>
                    </w:rPr>
                    <w:t>Commodity</w:t>
                  </w:r>
                </w:p>
              </w:tc>
              <w:tc>
                <w:tcPr>
                  <w:tcW w:w="3677" w:type="pct"/>
                  <w:tcBorders>
                    <w:top w:val="single" w:sz="6" w:space="0" w:color="BFBFBF"/>
                    <w:bottom w:val="single" w:sz="6" w:space="0" w:color="BFBFBF"/>
                  </w:tcBorders>
                  <w:shd w:val="clear" w:color="auto" w:fill="auto"/>
                  <w:tcMar>
                    <w:top w:w="28" w:type="dxa"/>
                  </w:tcMar>
                  <w:vAlign w:val="center"/>
                </w:tcPr>
                <w:p w:rsidR="00FD796B" w:rsidRDefault="00CB04CD" w:rsidP="00CB04CD">
                  <w:pPr>
                    <w:pStyle w:val="TableColumnHeading"/>
                    <w:ind w:right="28"/>
                    <w:jc w:val="left"/>
                  </w:pPr>
                  <w:r>
                    <w:rPr>
                      <w:sz w:val="19"/>
                      <w:szCs w:val="19"/>
                    </w:rPr>
                    <w:t>Policy c</w:t>
                  </w:r>
                  <w:r w:rsidR="00FD796B" w:rsidRPr="00903ABD">
                    <w:rPr>
                      <w:sz w:val="19"/>
                      <w:szCs w:val="19"/>
                    </w:rPr>
                    <w:t>hange</w:t>
                  </w:r>
                </w:p>
              </w:tc>
            </w:tr>
            <w:tr w:rsidR="00FD796B" w:rsidTr="00D018DD">
              <w:tc>
                <w:tcPr>
                  <w:tcW w:w="588" w:type="pct"/>
                  <w:tcBorders>
                    <w:top w:val="single" w:sz="6" w:space="0" w:color="BFBFBF"/>
                  </w:tcBorders>
                </w:tcPr>
                <w:p w:rsidR="00FD796B" w:rsidRDefault="00FD796B" w:rsidP="006F64A2">
                  <w:pPr>
                    <w:pStyle w:val="TableUnitsRow"/>
                    <w:jc w:val="left"/>
                  </w:pPr>
                  <w:proofErr w:type="spellStart"/>
                  <w:r>
                    <w:rPr>
                      <w:sz w:val="19"/>
                      <w:szCs w:val="19"/>
                    </w:rPr>
                    <w:t>2000s</w:t>
                  </w:r>
                  <w:proofErr w:type="spellEnd"/>
                </w:p>
              </w:tc>
              <w:tc>
                <w:tcPr>
                  <w:tcW w:w="735" w:type="pct"/>
                  <w:tcBorders>
                    <w:top w:val="single" w:sz="6" w:space="0" w:color="BFBFBF"/>
                  </w:tcBorders>
                </w:tcPr>
                <w:p w:rsidR="00FD796B" w:rsidRDefault="00FD796B" w:rsidP="006F64A2">
                  <w:pPr>
                    <w:pStyle w:val="TableUnitsRow"/>
                    <w:jc w:val="left"/>
                  </w:pPr>
                  <w:r>
                    <w:rPr>
                      <w:sz w:val="19"/>
                      <w:szCs w:val="19"/>
                    </w:rPr>
                    <w:t>Dairy</w:t>
                  </w:r>
                </w:p>
              </w:tc>
              <w:tc>
                <w:tcPr>
                  <w:tcW w:w="3677" w:type="pct"/>
                  <w:tcBorders>
                    <w:top w:val="single" w:sz="6" w:space="0" w:color="BFBFBF"/>
                  </w:tcBorders>
                  <w:vAlign w:val="center"/>
                </w:tcPr>
                <w:p w:rsidR="00FD796B" w:rsidRPr="00D018DD" w:rsidRDefault="00FD796B" w:rsidP="00FD796B">
                  <w:pPr>
                    <w:pStyle w:val="TableUnitsRow"/>
                    <w:ind w:right="28"/>
                    <w:jc w:val="left"/>
                    <w:rPr>
                      <w:spacing w:val="-2"/>
                    </w:rPr>
                  </w:pPr>
                  <w:r w:rsidRPr="00D018DD">
                    <w:rPr>
                      <w:spacing w:val="-2"/>
                      <w:sz w:val="19"/>
                      <w:szCs w:val="19"/>
                    </w:rPr>
                    <w:t>State</w:t>
                  </w:r>
                  <w:r w:rsidR="000D513B" w:rsidRPr="00D018DD">
                    <w:rPr>
                      <w:spacing w:val="-2"/>
                      <w:sz w:val="19"/>
                      <w:szCs w:val="19"/>
                    </w:rPr>
                    <w:noBreakHyphen/>
                  </w:r>
                  <w:r w:rsidRPr="00D018DD">
                    <w:rPr>
                      <w:spacing w:val="-2"/>
                      <w:sz w:val="19"/>
                      <w:szCs w:val="19"/>
                    </w:rPr>
                    <w:t>based controls over sourcing and pricing of market milk ceased in 2000; 9</w:t>
                  </w:r>
                  <w:r w:rsidR="000D513B" w:rsidRPr="00D018DD">
                    <w:rPr>
                      <w:spacing w:val="-2"/>
                      <w:sz w:val="19"/>
                      <w:szCs w:val="19"/>
                    </w:rPr>
                    <w:noBreakHyphen/>
                  </w:r>
                  <w:r w:rsidRPr="00D018DD">
                    <w:rPr>
                      <w:spacing w:val="-2"/>
                      <w:sz w:val="19"/>
                      <w:szCs w:val="19"/>
                    </w:rPr>
                    <w:t>year Dairy Industry Adjustment Package (</w:t>
                  </w:r>
                  <w:proofErr w:type="spellStart"/>
                  <w:r w:rsidRPr="00D018DD">
                    <w:rPr>
                      <w:spacing w:val="-2"/>
                      <w:sz w:val="19"/>
                      <w:szCs w:val="19"/>
                    </w:rPr>
                    <w:t>DIAP</w:t>
                  </w:r>
                  <w:proofErr w:type="spellEnd"/>
                  <w:r w:rsidRPr="00D018DD">
                    <w:rPr>
                      <w:spacing w:val="-2"/>
                      <w:sz w:val="19"/>
                      <w:szCs w:val="19"/>
                    </w:rPr>
                    <w:t>) concluded in 2009</w:t>
                  </w:r>
                </w:p>
              </w:tc>
            </w:tr>
            <w:tr w:rsidR="00FD796B" w:rsidTr="00D018DD">
              <w:tc>
                <w:tcPr>
                  <w:tcW w:w="588" w:type="pct"/>
                </w:tcPr>
                <w:p w:rsidR="00FD796B" w:rsidRDefault="00FD796B" w:rsidP="006F64A2">
                  <w:pPr>
                    <w:pStyle w:val="TableUnitsRow"/>
                    <w:jc w:val="left"/>
                  </w:pPr>
                </w:p>
              </w:tc>
              <w:tc>
                <w:tcPr>
                  <w:tcW w:w="735" w:type="pct"/>
                </w:tcPr>
                <w:p w:rsidR="00FD796B" w:rsidRDefault="00FD796B" w:rsidP="006F64A2">
                  <w:pPr>
                    <w:pStyle w:val="TableUnitsRow"/>
                    <w:jc w:val="left"/>
                  </w:pPr>
                  <w:r>
                    <w:rPr>
                      <w:sz w:val="19"/>
                      <w:szCs w:val="19"/>
                    </w:rPr>
                    <w:t>Barley</w:t>
                  </w:r>
                </w:p>
              </w:tc>
              <w:tc>
                <w:tcPr>
                  <w:tcW w:w="3677" w:type="pct"/>
                  <w:vAlign w:val="center"/>
                </w:tcPr>
                <w:p w:rsidR="00FD796B" w:rsidRDefault="00FD796B" w:rsidP="00FD796B">
                  <w:pPr>
                    <w:pStyle w:val="TableUnitsRow"/>
                    <w:ind w:right="28"/>
                    <w:jc w:val="left"/>
                  </w:pPr>
                  <w:r>
                    <w:rPr>
                      <w:sz w:val="19"/>
                      <w:szCs w:val="19"/>
                    </w:rPr>
                    <w:t>South Australian single</w:t>
                  </w:r>
                  <w:r w:rsidR="000D513B">
                    <w:rPr>
                      <w:sz w:val="19"/>
                      <w:szCs w:val="19"/>
                    </w:rPr>
                    <w:noBreakHyphen/>
                  </w:r>
                  <w:r>
                    <w:rPr>
                      <w:sz w:val="19"/>
                      <w:szCs w:val="19"/>
                    </w:rPr>
                    <w:t>desk arrangements terminated in 2007; Western Australian market deregulated in 2009 (allowing any number of licensed entities to export barley)</w:t>
                  </w:r>
                </w:p>
              </w:tc>
            </w:tr>
            <w:tr w:rsidR="00FD796B" w:rsidTr="00D018DD">
              <w:tc>
                <w:tcPr>
                  <w:tcW w:w="588" w:type="pct"/>
                </w:tcPr>
                <w:p w:rsidR="00FD796B" w:rsidRDefault="00FD796B" w:rsidP="006F64A2">
                  <w:pPr>
                    <w:pStyle w:val="TableUnitsRow"/>
                    <w:jc w:val="left"/>
                  </w:pPr>
                </w:p>
              </w:tc>
              <w:tc>
                <w:tcPr>
                  <w:tcW w:w="735" w:type="pct"/>
                </w:tcPr>
                <w:p w:rsidR="00FD796B" w:rsidRDefault="00FD796B" w:rsidP="006F64A2">
                  <w:pPr>
                    <w:pStyle w:val="TableUnitsRow"/>
                    <w:jc w:val="left"/>
                  </w:pPr>
                  <w:r>
                    <w:rPr>
                      <w:sz w:val="19"/>
                      <w:szCs w:val="19"/>
                    </w:rPr>
                    <w:t>Canola</w:t>
                  </w:r>
                </w:p>
              </w:tc>
              <w:tc>
                <w:tcPr>
                  <w:tcW w:w="3677" w:type="pct"/>
                  <w:vAlign w:val="center"/>
                </w:tcPr>
                <w:p w:rsidR="00FD796B" w:rsidRDefault="00FD796B" w:rsidP="00FD796B">
                  <w:pPr>
                    <w:pStyle w:val="TableUnitsRow"/>
                    <w:ind w:right="28"/>
                    <w:jc w:val="left"/>
                  </w:pPr>
                  <w:r>
                    <w:rPr>
                      <w:sz w:val="19"/>
                      <w:szCs w:val="19"/>
                    </w:rPr>
                    <w:t>Exports of canola and lupins deregulated in Western Australia in 2009 (traders no longer required to apply for licenses to export)</w:t>
                  </w:r>
                </w:p>
              </w:tc>
            </w:tr>
            <w:tr w:rsidR="00FD796B" w:rsidTr="00D018DD">
              <w:tc>
                <w:tcPr>
                  <w:tcW w:w="588" w:type="pct"/>
                </w:tcPr>
                <w:p w:rsidR="00FD796B" w:rsidRDefault="00FD796B" w:rsidP="006F64A2">
                  <w:pPr>
                    <w:pStyle w:val="TableUnitsRow"/>
                    <w:jc w:val="left"/>
                  </w:pPr>
                </w:p>
              </w:tc>
              <w:tc>
                <w:tcPr>
                  <w:tcW w:w="735" w:type="pct"/>
                </w:tcPr>
                <w:p w:rsidR="00FD796B" w:rsidRDefault="00FD796B" w:rsidP="006F64A2">
                  <w:pPr>
                    <w:pStyle w:val="TableUnitsRow"/>
                    <w:jc w:val="left"/>
                  </w:pPr>
                  <w:r>
                    <w:rPr>
                      <w:sz w:val="19"/>
                      <w:szCs w:val="19"/>
                    </w:rPr>
                    <w:t>Sugar</w:t>
                  </w:r>
                </w:p>
              </w:tc>
              <w:tc>
                <w:tcPr>
                  <w:tcW w:w="3677" w:type="pct"/>
                  <w:vAlign w:val="center"/>
                </w:tcPr>
                <w:p w:rsidR="00FD796B" w:rsidRDefault="00FD796B" w:rsidP="00FD796B">
                  <w:pPr>
                    <w:pStyle w:val="TableUnitsRow"/>
                    <w:ind w:right="28"/>
                    <w:jc w:val="left"/>
                  </w:pPr>
                  <w:r>
                    <w:rPr>
                      <w:sz w:val="19"/>
                      <w:szCs w:val="19"/>
                    </w:rPr>
                    <w:t>Queensland Sugar Limited lost its compulsory acquisition powers in 2006 and lost exemption from the Trade Practices Act in 2009</w:t>
                  </w:r>
                </w:p>
              </w:tc>
            </w:tr>
            <w:tr w:rsidR="00FD796B" w:rsidTr="00D018DD">
              <w:tc>
                <w:tcPr>
                  <w:tcW w:w="588" w:type="pct"/>
                </w:tcPr>
                <w:p w:rsidR="00FD796B" w:rsidRDefault="00FD796B" w:rsidP="006F64A2">
                  <w:pPr>
                    <w:pStyle w:val="TableUnitsRow"/>
                    <w:jc w:val="left"/>
                  </w:pPr>
                </w:p>
              </w:tc>
              <w:tc>
                <w:tcPr>
                  <w:tcW w:w="735" w:type="pct"/>
                </w:tcPr>
                <w:p w:rsidR="00FD796B" w:rsidRDefault="00FD796B" w:rsidP="006F64A2">
                  <w:pPr>
                    <w:pStyle w:val="TableUnitsRow"/>
                    <w:jc w:val="left"/>
                  </w:pPr>
                  <w:r>
                    <w:rPr>
                      <w:sz w:val="19"/>
                      <w:szCs w:val="19"/>
                    </w:rPr>
                    <w:t>Wheat</w:t>
                  </w:r>
                </w:p>
              </w:tc>
              <w:tc>
                <w:tcPr>
                  <w:tcW w:w="3677" w:type="pct"/>
                  <w:vAlign w:val="center"/>
                </w:tcPr>
                <w:p w:rsidR="00FD796B" w:rsidRDefault="00FD796B" w:rsidP="00FD796B">
                  <w:pPr>
                    <w:pStyle w:val="TableUnitsRow"/>
                    <w:ind w:right="28"/>
                    <w:jc w:val="left"/>
                  </w:pPr>
                  <w:r>
                    <w:rPr>
                      <w:sz w:val="19"/>
                      <w:szCs w:val="19"/>
                    </w:rPr>
                    <w:t>Bulk exports deregulated in 2008, meaning proposals to export bulk wheat no longer needed approval from the single</w:t>
                  </w:r>
                  <w:r w:rsidR="000D513B">
                    <w:rPr>
                      <w:sz w:val="19"/>
                      <w:szCs w:val="19"/>
                    </w:rPr>
                    <w:noBreakHyphen/>
                  </w:r>
                  <w:r>
                    <w:rPr>
                      <w:sz w:val="19"/>
                      <w:szCs w:val="19"/>
                    </w:rPr>
                    <w:t>desk seller (Australian Wheat Board)</w:t>
                  </w:r>
                </w:p>
              </w:tc>
            </w:tr>
            <w:tr w:rsidR="00FD796B" w:rsidTr="00D018DD">
              <w:tc>
                <w:tcPr>
                  <w:tcW w:w="588" w:type="pct"/>
                </w:tcPr>
                <w:p w:rsidR="00FD796B" w:rsidRDefault="00FD796B" w:rsidP="006F64A2">
                  <w:pPr>
                    <w:pStyle w:val="TableUnitsRow"/>
                    <w:jc w:val="left"/>
                  </w:pPr>
                  <w:proofErr w:type="spellStart"/>
                  <w:r>
                    <w:rPr>
                      <w:sz w:val="19"/>
                      <w:szCs w:val="19"/>
                    </w:rPr>
                    <w:t>2010s</w:t>
                  </w:r>
                  <w:proofErr w:type="spellEnd"/>
                </w:p>
              </w:tc>
              <w:tc>
                <w:tcPr>
                  <w:tcW w:w="735" w:type="pct"/>
                </w:tcPr>
                <w:p w:rsidR="00FD796B" w:rsidRDefault="00FD796B" w:rsidP="006F64A2">
                  <w:pPr>
                    <w:pStyle w:val="TableUnitsRow"/>
                    <w:jc w:val="left"/>
                  </w:pPr>
                  <w:r>
                    <w:rPr>
                      <w:sz w:val="19"/>
                      <w:szCs w:val="19"/>
                    </w:rPr>
                    <w:t>Rice</w:t>
                  </w:r>
                </w:p>
              </w:tc>
              <w:tc>
                <w:tcPr>
                  <w:tcW w:w="3677" w:type="pct"/>
                  <w:vAlign w:val="center"/>
                </w:tcPr>
                <w:p w:rsidR="00FD796B" w:rsidRDefault="00FD796B" w:rsidP="00CB04CD">
                  <w:pPr>
                    <w:pStyle w:val="TableUnitsRow"/>
                    <w:ind w:right="28"/>
                    <w:jc w:val="left"/>
                  </w:pPr>
                  <w:r>
                    <w:rPr>
                      <w:sz w:val="19"/>
                      <w:szCs w:val="19"/>
                    </w:rPr>
                    <w:t>NSW Rice Marketing Board retains powers to vest, process and market all rice produced in NSW (a</w:t>
                  </w:r>
                  <w:r w:rsidR="00CB04CD">
                    <w:rPr>
                      <w:sz w:val="19"/>
                      <w:szCs w:val="19"/>
                    </w:rPr>
                    <w:t>bout</w:t>
                  </w:r>
                  <w:r>
                    <w:rPr>
                      <w:sz w:val="19"/>
                      <w:szCs w:val="19"/>
                    </w:rPr>
                    <w:t xml:space="preserve"> 99 per cent of Australian rice is produced in NSW)</w:t>
                  </w:r>
                </w:p>
              </w:tc>
            </w:tr>
            <w:tr w:rsidR="00FD796B" w:rsidTr="00D018DD">
              <w:tc>
                <w:tcPr>
                  <w:tcW w:w="588" w:type="pct"/>
                </w:tcPr>
                <w:p w:rsidR="00FD796B" w:rsidRDefault="00FD796B" w:rsidP="006F64A2">
                  <w:pPr>
                    <w:pStyle w:val="TableUnitsRow"/>
                    <w:jc w:val="left"/>
                  </w:pPr>
                </w:p>
              </w:tc>
              <w:tc>
                <w:tcPr>
                  <w:tcW w:w="735" w:type="pct"/>
                </w:tcPr>
                <w:p w:rsidR="00FD796B" w:rsidRDefault="00FD796B" w:rsidP="006F64A2">
                  <w:pPr>
                    <w:pStyle w:val="TableUnitsRow"/>
                    <w:jc w:val="left"/>
                  </w:pPr>
                  <w:r>
                    <w:rPr>
                      <w:sz w:val="19"/>
                      <w:szCs w:val="19"/>
                    </w:rPr>
                    <w:t>Potatoes</w:t>
                  </w:r>
                </w:p>
              </w:tc>
              <w:tc>
                <w:tcPr>
                  <w:tcW w:w="3677" w:type="pct"/>
                  <w:vAlign w:val="center"/>
                </w:tcPr>
                <w:p w:rsidR="00FD796B" w:rsidRDefault="00FD796B" w:rsidP="00CB04CD">
                  <w:pPr>
                    <w:pStyle w:val="TableUnitsRow"/>
                    <w:ind w:right="28"/>
                    <w:jc w:val="left"/>
                  </w:pPr>
                  <w:r>
                    <w:rPr>
                      <w:sz w:val="19"/>
                      <w:szCs w:val="19"/>
                    </w:rPr>
                    <w:t>Western Australian Potato Marketing Corporation controls the supply of fresh table potatoes in that state</w:t>
                  </w:r>
                </w:p>
              </w:tc>
            </w:tr>
            <w:tr w:rsidR="00FD796B" w:rsidTr="00D018DD">
              <w:tc>
                <w:tcPr>
                  <w:tcW w:w="588" w:type="pct"/>
                </w:tcPr>
                <w:p w:rsidR="00FD796B" w:rsidRDefault="00FD796B" w:rsidP="006F64A2">
                  <w:pPr>
                    <w:pStyle w:val="TableUnitsRow"/>
                    <w:jc w:val="left"/>
                  </w:pPr>
                </w:p>
              </w:tc>
              <w:tc>
                <w:tcPr>
                  <w:tcW w:w="735" w:type="pct"/>
                </w:tcPr>
                <w:p w:rsidR="00FD796B" w:rsidRDefault="00FD796B" w:rsidP="006F64A2">
                  <w:pPr>
                    <w:pStyle w:val="TableUnitsRow"/>
                    <w:jc w:val="left"/>
                  </w:pPr>
                  <w:r>
                    <w:rPr>
                      <w:sz w:val="19"/>
                      <w:szCs w:val="19"/>
                    </w:rPr>
                    <w:t>Wheat</w:t>
                  </w:r>
                </w:p>
              </w:tc>
              <w:tc>
                <w:tcPr>
                  <w:tcW w:w="3677" w:type="pct"/>
                  <w:vAlign w:val="center"/>
                </w:tcPr>
                <w:p w:rsidR="00FD796B" w:rsidRDefault="00FD796B" w:rsidP="00CB04CD">
                  <w:pPr>
                    <w:pStyle w:val="TableUnitsRow"/>
                    <w:ind w:right="28"/>
                    <w:jc w:val="left"/>
                  </w:pPr>
                  <w:r>
                    <w:rPr>
                      <w:sz w:val="19"/>
                      <w:szCs w:val="19"/>
                    </w:rPr>
                    <w:t>F</w:t>
                  </w:r>
                  <w:r w:rsidRPr="00756AB3">
                    <w:rPr>
                      <w:sz w:val="19"/>
                      <w:szCs w:val="19"/>
                    </w:rPr>
                    <w:t>rom 1</w:t>
                  </w:r>
                  <w:r w:rsidR="000D513B">
                    <w:rPr>
                      <w:sz w:val="19"/>
                      <w:szCs w:val="19"/>
                    </w:rPr>
                    <w:t> </w:t>
                  </w:r>
                  <w:r w:rsidRPr="00756AB3">
                    <w:rPr>
                      <w:sz w:val="19"/>
                      <w:szCs w:val="19"/>
                    </w:rPr>
                    <w:t>October 2014</w:t>
                  </w:r>
                  <w:r w:rsidR="00CB04CD">
                    <w:rPr>
                      <w:sz w:val="19"/>
                      <w:szCs w:val="19"/>
                    </w:rPr>
                    <w:t>,</w:t>
                  </w:r>
                  <w:r w:rsidRPr="00756AB3">
                    <w:rPr>
                      <w:sz w:val="19"/>
                      <w:szCs w:val="19"/>
                    </w:rPr>
                    <w:t xml:space="preserve"> port access </w:t>
                  </w:r>
                  <w:r>
                    <w:rPr>
                      <w:sz w:val="19"/>
                      <w:szCs w:val="19"/>
                    </w:rPr>
                    <w:t>for</w:t>
                  </w:r>
                  <w:r w:rsidRPr="00756AB3">
                    <w:rPr>
                      <w:sz w:val="19"/>
                      <w:szCs w:val="19"/>
                    </w:rPr>
                    <w:t xml:space="preserve"> the bulk wheat export industry </w:t>
                  </w:r>
                  <w:r>
                    <w:rPr>
                      <w:sz w:val="19"/>
                      <w:szCs w:val="19"/>
                    </w:rPr>
                    <w:t>was</w:t>
                  </w:r>
                  <w:r w:rsidRPr="00756AB3">
                    <w:rPr>
                      <w:sz w:val="19"/>
                      <w:szCs w:val="19"/>
                    </w:rPr>
                    <w:t xml:space="preserve"> regulated by a mandatory code of conduct </w:t>
                  </w:r>
                  <w:r>
                    <w:rPr>
                      <w:sz w:val="19"/>
                      <w:szCs w:val="19"/>
                    </w:rPr>
                    <w:t>administered by the Australian Competition and Consumer Commission</w:t>
                  </w:r>
                </w:p>
              </w:tc>
            </w:tr>
            <w:tr w:rsidR="006F64A2" w:rsidTr="00D018DD">
              <w:tc>
                <w:tcPr>
                  <w:tcW w:w="588" w:type="pct"/>
                  <w:tcBorders>
                    <w:bottom w:val="single" w:sz="6" w:space="0" w:color="BFBFBF"/>
                  </w:tcBorders>
                  <w:shd w:val="clear" w:color="auto" w:fill="auto"/>
                </w:tcPr>
                <w:p w:rsidR="006F64A2" w:rsidRDefault="006F64A2" w:rsidP="006F64A2">
                  <w:pPr>
                    <w:pStyle w:val="TableBodyText"/>
                    <w:jc w:val="left"/>
                  </w:pPr>
                </w:p>
              </w:tc>
              <w:tc>
                <w:tcPr>
                  <w:tcW w:w="735" w:type="pct"/>
                  <w:tcBorders>
                    <w:bottom w:val="single" w:sz="6" w:space="0" w:color="BFBFBF"/>
                  </w:tcBorders>
                  <w:shd w:val="clear" w:color="auto" w:fill="auto"/>
                </w:tcPr>
                <w:p w:rsidR="006F64A2" w:rsidRDefault="006F64A2" w:rsidP="006F64A2">
                  <w:pPr>
                    <w:pStyle w:val="TableBodyText"/>
                    <w:jc w:val="left"/>
                  </w:pPr>
                  <w:r>
                    <w:rPr>
                      <w:sz w:val="19"/>
                      <w:szCs w:val="19"/>
                    </w:rPr>
                    <w:t>Sugar</w:t>
                  </w:r>
                </w:p>
              </w:tc>
              <w:tc>
                <w:tcPr>
                  <w:tcW w:w="3677" w:type="pct"/>
                  <w:tcBorders>
                    <w:bottom w:val="single" w:sz="6" w:space="0" w:color="BFBFBF"/>
                  </w:tcBorders>
                  <w:shd w:val="clear" w:color="auto" w:fill="auto"/>
                  <w:vAlign w:val="center"/>
                </w:tcPr>
                <w:p w:rsidR="006F64A2" w:rsidRDefault="006F64A2" w:rsidP="00CB04CD">
                  <w:pPr>
                    <w:pStyle w:val="TableBodyText"/>
                    <w:ind w:right="28"/>
                    <w:jc w:val="left"/>
                  </w:pPr>
                  <w:r w:rsidRPr="004E7285">
                    <w:rPr>
                      <w:sz w:val="19"/>
                      <w:szCs w:val="19"/>
                    </w:rPr>
                    <w:t xml:space="preserve">Queensland Parliament </w:t>
                  </w:r>
                  <w:r>
                    <w:rPr>
                      <w:sz w:val="19"/>
                      <w:szCs w:val="19"/>
                    </w:rPr>
                    <w:t>passes t</w:t>
                  </w:r>
                  <w:r w:rsidRPr="004E7285">
                    <w:rPr>
                      <w:sz w:val="19"/>
                      <w:szCs w:val="19"/>
                    </w:rPr>
                    <w:t xml:space="preserve">he </w:t>
                  </w:r>
                  <w:r w:rsidRPr="004E7285">
                    <w:rPr>
                      <w:i/>
                      <w:sz w:val="19"/>
                      <w:szCs w:val="19"/>
                    </w:rPr>
                    <w:t>Sugar Industry (Real Choice in Marketing) Amendment Bill 2015</w:t>
                  </w:r>
                  <w:r>
                    <w:rPr>
                      <w:sz w:val="19"/>
                      <w:szCs w:val="19"/>
                    </w:rPr>
                    <w:t xml:space="preserve"> which has potential to regulate </w:t>
                  </w:r>
                  <w:r w:rsidRPr="0032602A">
                    <w:rPr>
                      <w:sz w:val="19"/>
                      <w:szCs w:val="19"/>
                    </w:rPr>
                    <w:t>the options that sugar millers have for marketing sugar internationally</w:t>
                  </w:r>
                </w:p>
              </w:tc>
            </w:tr>
          </w:tbl>
          <w:p w:rsidR="00FD796B" w:rsidRDefault="00FD796B" w:rsidP="008A0DFD">
            <w:pPr>
              <w:pStyle w:val="Box"/>
            </w:pPr>
          </w:p>
        </w:tc>
      </w:tr>
      <w:tr w:rsidR="00FD796B" w:rsidTr="008A0DFD">
        <w:trPr>
          <w:cantSplit/>
        </w:trPr>
        <w:tc>
          <w:tcPr>
            <w:tcW w:w="8771" w:type="dxa"/>
            <w:tcBorders>
              <w:top w:val="nil"/>
              <w:left w:val="nil"/>
              <w:bottom w:val="nil"/>
              <w:right w:val="nil"/>
            </w:tcBorders>
            <w:shd w:val="clear" w:color="auto" w:fill="auto"/>
          </w:tcPr>
          <w:p w:rsidR="00FD796B" w:rsidRDefault="004D286B" w:rsidP="008A0DFD">
            <w:pPr>
              <w:pStyle w:val="Source"/>
            </w:pPr>
            <w:r>
              <w:rPr>
                <w:i/>
              </w:rPr>
              <w:t>Source</w:t>
            </w:r>
            <w:r w:rsidRPr="00167F06">
              <w:t xml:space="preserve">: </w:t>
            </w:r>
            <w:r>
              <w:t xml:space="preserve">Updated from </w:t>
            </w:r>
            <w:proofErr w:type="spellStart"/>
            <w:r>
              <w:t>Gray</w:t>
            </w:r>
            <w:proofErr w:type="spellEnd"/>
            <w:r>
              <w:t xml:space="preserve"> et al. </w:t>
            </w:r>
            <w:r w:rsidRPr="00807CA1">
              <w:rPr>
                <w:rFonts w:cs="Arial"/>
              </w:rPr>
              <w:t>(2014)</w:t>
            </w:r>
            <w:r>
              <w:t>.</w:t>
            </w:r>
          </w:p>
        </w:tc>
      </w:tr>
      <w:tr w:rsidR="00FD796B" w:rsidTr="008A0DFD">
        <w:trPr>
          <w:cantSplit/>
        </w:trPr>
        <w:tc>
          <w:tcPr>
            <w:tcW w:w="8771" w:type="dxa"/>
            <w:tcBorders>
              <w:top w:val="nil"/>
              <w:left w:val="nil"/>
              <w:bottom w:val="single" w:sz="6" w:space="0" w:color="78A22F"/>
              <w:right w:val="nil"/>
            </w:tcBorders>
            <w:shd w:val="clear" w:color="auto" w:fill="auto"/>
          </w:tcPr>
          <w:p w:rsidR="00FD796B" w:rsidRDefault="00FD796B" w:rsidP="008A0DFD">
            <w:pPr>
              <w:pStyle w:val="Box"/>
              <w:spacing w:before="0" w:line="120" w:lineRule="exact"/>
            </w:pPr>
          </w:p>
        </w:tc>
      </w:tr>
      <w:tr w:rsidR="00FD796B" w:rsidRPr="000863A5" w:rsidTr="008A0DFD">
        <w:tc>
          <w:tcPr>
            <w:tcW w:w="8771" w:type="dxa"/>
            <w:tcBorders>
              <w:top w:val="single" w:sz="6" w:space="0" w:color="78A22F"/>
              <w:left w:val="nil"/>
              <w:bottom w:val="nil"/>
              <w:right w:val="nil"/>
            </w:tcBorders>
          </w:tcPr>
          <w:p w:rsidR="00FD796B" w:rsidRPr="000D513B" w:rsidRDefault="00FD796B" w:rsidP="008A0DFD">
            <w:pPr>
              <w:pStyle w:val="BoxSpaceBelow"/>
            </w:pPr>
          </w:p>
        </w:tc>
      </w:tr>
    </w:tbl>
    <w:p w:rsidR="00FD796B" w:rsidRDefault="00FD796B" w:rsidP="004D45F1">
      <w:pPr>
        <w:pStyle w:val="BodyText"/>
      </w:pPr>
    </w:p>
    <w:sectPr w:rsidR="00FD796B" w:rsidSect="00BB454B">
      <w:headerReference w:type="even" r:id="rId15"/>
      <w:headerReference w:type="default" r:id="rId16"/>
      <w:footerReference w:type="even" r:id="rId17"/>
      <w:footerReference w:type="default" r:id="rId18"/>
      <w:pgSz w:w="11907" w:h="16840" w:code="9"/>
      <w:pgMar w:top="1985" w:right="1304" w:bottom="1247" w:left="1814" w:header="1701" w:footer="397" w:gutter="0"/>
      <w:pgNumType w:start="1" w:chapStyle="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30F" w:rsidRDefault="00BC230F">
      <w:r>
        <w:separator/>
      </w:r>
    </w:p>
  </w:endnote>
  <w:endnote w:type="continuationSeparator" w:id="0">
    <w:p w:rsidR="00BC230F" w:rsidRDefault="00BC230F">
      <w:r>
        <w:continuationSeparator/>
      </w:r>
    </w:p>
  </w:endnote>
  <w:endnote w:type="continuationNotice" w:id="1">
    <w:p w:rsidR="00BC230F" w:rsidRDefault="00BC2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DE7E5C" w:rsidTr="005F48ED">
      <w:trPr>
        <w:trHeight w:hRule="exact" w:val="567"/>
      </w:trPr>
      <w:tc>
        <w:tcPr>
          <w:tcW w:w="510" w:type="dxa"/>
        </w:tcPr>
        <w:p w:rsidR="00DE7E5C" w:rsidRPr="00A24443" w:rsidRDefault="00DE7E5C"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06575F">
            <w:rPr>
              <w:rStyle w:val="PageNumber"/>
              <w:caps w:val="0"/>
              <w:noProof/>
            </w:rPr>
            <w:t>2</w:t>
          </w:r>
          <w:r w:rsidRPr="00A24443">
            <w:rPr>
              <w:rStyle w:val="PageNumber"/>
              <w:caps w:val="0"/>
            </w:rPr>
            <w:fldChar w:fldCharType="end"/>
          </w:r>
        </w:p>
      </w:tc>
      <w:tc>
        <w:tcPr>
          <w:tcW w:w="7767" w:type="dxa"/>
        </w:tcPr>
        <w:p w:rsidR="00DE7E5C" w:rsidRDefault="00DE7E5C" w:rsidP="0013739A">
          <w:pPr>
            <w:pStyle w:val="Footer"/>
            <w:rPr>
              <w:rFonts w:cs="Arial"/>
            </w:rPr>
          </w:pPr>
          <w:r>
            <w:rPr>
              <w:rFonts w:cs="Arial"/>
            </w:rPr>
            <w:t>Regulation of Australian Agriculture</w:t>
          </w:r>
          <w:bookmarkStart w:id="5" w:name="DraftReportEven"/>
          <w:bookmarkEnd w:id="5"/>
        </w:p>
        <w:p w:rsidR="00DE7E5C" w:rsidRPr="0013739A" w:rsidRDefault="00DE7E5C" w:rsidP="0013739A">
          <w:pPr>
            <w:pStyle w:val="Footer"/>
            <w:rPr>
              <w:rFonts w:cs="Arial"/>
            </w:rPr>
          </w:pPr>
          <w:r w:rsidRPr="00914308">
            <w:rPr>
              <w:color w:val="808080"/>
            </w:rPr>
            <w:t>DRAft REport</w:t>
          </w:r>
        </w:p>
      </w:tc>
      <w:tc>
        <w:tcPr>
          <w:tcW w:w="510" w:type="dxa"/>
        </w:tcPr>
        <w:p w:rsidR="00DE7E5C" w:rsidRDefault="00DE7E5C" w:rsidP="0019293B">
          <w:pPr>
            <w:pStyle w:val="Footer"/>
          </w:pPr>
        </w:p>
      </w:tc>
    </w:tr>
  </w:tbl>
  <w:p w:rsidR="00DE7E5C" w:rsidRDefault="00DE7E5C"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DE7E5C" w:rsidTr="005F48ED">
      <w:trPr>
        <w:trHeight w:hRule="exact" w:val="567"/>
      </w:trPr>
      <w:tc>
        <w:tcPr>
          <w:tcW w:w="510" w:type="dxa"/>
        </w:tcPr>
        <w:p w:rsidR="00DE7E5C" w:rsidRDefault="00DE7E5C">
          <w:pPr>
            <w:pStyle w:val="Footer"/>
            <w:ind w:right="360" w:firstLine="360"/>
          </w:pPr>
        </w:p>
      </w:tc>
      <w:tc>
        <w:tcPr>
          <w:tcW w:w="7767" w:type="dxa"/>
        </w:tcPr>
        <w:p w:rsidR="00DE7E5C" w:rsidRDefault="00DE7E5C" w:rsidP="00653778">
          <w:pPr>
            <w:pStyle w:val="Footer"/>
            <w:jc w:val="right"/>
            <w:rPr>
              <w:rFonts w:cs="Arial"/>
            </w:rPr>
          </w:pPr>
          <w:r>
            <w:rPr>
              <w:rFonts w:cs="Arial"/>
            </w:rPr>
            <w:t>Statutory marketing</w:t>
          </w:r>
          <w:bookmarkStart w:id="6" w:name="DraftReportOdd"/>
          <w:bookmarkEnd w:id="6"/>
        </w:p>
        <w:p w:rsidR="00DE7E5C" w:rsidRPr="00BA5B14" w:rsidRDefault="00DE7E5C" w:rsidP="00653778">
          <w:pPr>
            <w:pStyle w:val="Footer"/>
            <w:jc w:val="right"/>
            <w:rPr>
              <w:rFonts w:cs="Arial"/>
            </w:rPr>
          </w:pPr>
          <w:r w:rsidRPr="00914308">
            <w:rPr>
              <w:color w:val="808080"/>
            </w:rPr>
            <w:t>DRAft REport</w:t>
          </w:r>
        </w:p>
      </w:tc>
      <w:tc>
        <w:tcPr>
          <w:tcW w:w="510" w:type="dxa"/>
        </w:tcPr>
        <w:p w:rsidR="00DE7E5C" w:rsidRPr="00A24443" w:rsidRDefault="00DE7E5C">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06575F">
            <w:rPr>
              <w:rStyle w:val="PageNumber"/>
              <w:caps w:val="0"/>
              <w:noProof/>
            </w:rPr>
            <w:t>1</w:t>
          </w:r>
          <w:r w:rsidRPr="00A24443">
            <w:rPr>
              <w:rStyle w:val="PageNumber"/>
              <w:caps w:val="0"/>
            </w:rPr>
            <w:fldChar w:fldCharType="end"/>
          </w:r>
        </w:p>
      </w:tc>
    </w:tr>
  </w:tbl>
  <w:p w:rsidR="00DE7E5C" w:rsidRDefault="00DE7E5C">
    <w:pPr>
      <w:pStyle w:val="FooterEnd"/>
    </w:pPr>
  </w:p>
  <w:p w:rsidR="00DE7E5C" w:rsidRDefault="00DE7E5C">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30F" w:rsidRDefault="00BC230F">
      <w:r>
        <w:separator/>
      </w:r>
    </w:p>
  </w:footnote>
  <w:footnote w:type="continuationSeparator" w:id="0">
    <w:p w:rsidR="00BC230F" w:rsidRDefault="00BC230F">
      <w:r>
        <w:continuationSeparator/>
      </w:r>
    </w:p>
  </w:footnote>
  <w:footnote w:type="continuationNotice" w:id="1">
    <w:p w:rsidR="00BC230F" w:rsidRDefault="00BC23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DE7E5C">
      <w:tc>
        <w:tcPr>
          <w:tcW w:w="2155" w:type="dxa"/>
          <w:tcBorders>
            <w:top w:val="single" w:sz="24" w:space="0" w:color="auto"/>
          </w:tcBorders>
        </w:tcPr>
        <w:p w:rsidR="00DE7E5C" w:rsidRDefault="00DE7E5C" w:rsidP="0019293B">
          <w:pPr>
            <w:pStyle w:val="HeaderEven"/>
          </w:pPr>
        </w:p>
      </w:tc>
      <w:tc>
        <w:tcPr>
          <w:tcW w:w="6634" w:type="dxa"/>
          <w:tcBorders>
            <w:top w:val="single" w:sz="6" w:space="0" w:color="auto"/>
          </w:tcBorders>
        </w:tcPr>
        <w:p w:rsidR="00DE7E5C" w:rsidRDefault="00DE7E5C" w:rsidP="0019293B">
          <w:pPr>
            <w:pStyle w:val="HeaderEven"/>
          </w:pPr>
        </w:p>
      </w:tc>
    </w:tr>
  </w:tbl>
  <w:p w:rsidR="00DE7E5C" w:rsidRDefault="00DE7E5C"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DE7E5C">
      <w:tc>
        <w:tcPr>
          <w:tcW w:w="6634" w:type="dxa"/>
          <w:tcBorders>
            <w:top w:val="single" w:sz="6" w:space="0" w:color="auto"/>
          </w:tcBorders>
        </w:tcPr>
        <w:p w:rsidR="00DE7E5C" w:rsidRDefault="00DE7E5C" w:rsidP="00E669E2">
          <w:pPr>
            <w:pStyle w:val="HeaderOdd"/>
          </w:pPr>
        </w:p>
      </w:tc>
      <w:tc>
        <w:tcPr>
          <w:tcW w:w="2155" w:type="dxa"/>
          <w:tcBorders>
            <w:top w:val="single" w:sz="24" w:space="0" w:color="auto"/>
          </w:tcBorders>
        </w:tcPr>
        <w:p w:rsidR="00DE7E5C" w:rsidRDefault="00DE7E5C" w:rsidP="00E669E2">
          <w:pPr>
            <w:pStyle w:val="HeaderOdd"/>
          </w:pPr>
        </w:p>
      </w:tc>
    </w:tr>
  </w:tbl>
  <w:p w:rsidR="00DE7E5C" w:rsidRDefault="00DE7E5C"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 w:numId="22">
    <w:abstractNumId w:val="3"/>
  </w:num>
  <w:num w:numId="23">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B"/>
    <w:docVar w:name="FindingOptions" w:val="1"/>
    <w:docVar w:name="RecOptions" w:val="111"/>
    <w:docVar w:name="ShortChapterTitle" w:val="Statutory marketing"/>
    <w:docVar w:name="ShortReportTitle" w:val="Regulation of Australian Agriculture"/>
  </w:docVars>
  <w:rsids>
    <w:rsidRoot w:val="00BB454B"/>
    <w:rsid w:val="000227D5"/>
    <w:rsid w:val="00023ACA"/>
    <w:rsid w:val="000245AA"/>
    <w:rsid w:val="00032DD3"/>
    <w:rsid w:val="00034AB1"/>
    <w:rsid w:val="0003664B"/>
    <w:rsid w:val="0004111F"/>
    <w:rsid w:val="00042F1C"/>
    <w:rsid w:val="00044129"/>
    <w:rsid w:val="00050FD3"/>
    <w:rsid w:val="000518A4"/>
    <w:rsid w:val="00055077"/>
    <w:rsid w:val="000565B3"/>
    <w:rsid w:val="0006575F"/>
    <w:rsid w:val="0007150B"/>
    <w:rsid w:val="00073563"/>
    <w:rsid w:val="00081EA7"/>
    <w:rsid w:val="000938F5"/>
    <w:rsid w:val="00095663"/>
    <w:rsid w:val="00096E55"/>
    <w:rsid w:val="0009783E"/>
    <w:rsid w:val="000A692E"/>
    <w:rsid w:val="000A7151"/>
    <w:rsid w:val="000B1022"/>
    <w:rsid w:val="000B601B"/>
    <w:rsid w:val="000B71FD"/>
    <w:rsid w:val="000C207E"/>
    <w:rsid w:val="000D41E9"/>
    <w:rsid w:val="000D513B"/>
    <w:rsid w:val="000F0035"/>
    <w:rsid w:val="000F04E7"/>
    <w:rsid w:val="000F060A"/>
    <w:rsid w:val="000F420B"/>
    <w:rsid w:val="000F474A"/>
    <w:rsid w:val="001009B7"/>
    <w:rsid w:val="00110116"/>
    <w:rsid w:val="001118F2"/>
    <w:rsid w:val="0011595E"/>
    <w:rsid w:val="00120072"/>
    <w:rsid w:val="00125014"/>
    <w:rsid w:val="00126EB8"/>
    <w:rsid w:val="001274D4"/>
    <w:rsid w:val="0012775D"/>
    <w:rsid w:val="001363AA"/>
    <w:rsid w:val="0013739A"/>
    <w:rsid w:val="00142165"/>
    <w:rsid w:val="001505AA"/>
    <w:rsid w:val="0015564E"/>
    <w:rsid w:val="00161B2F"/>
    <w:rsid w:val="00162434"/>
    <w:rsid w:val="00167A81"/>
    <w:rsid w:val="00173CC7"/>
    <w:rsid w:val="00183E82"/>
    <w:rsid w:val="001844FE"/>
    <w:rsid w:val="001878BB"/>
    <w:rsid w:val="00191AE0"/>
    <w:rsid w:val="0019293B"/>
    <w:rsid w:val="0019426B"/>
    <w:rsid w:val="001A6A4B"/>
    <w:rsid w:val="001B04EC"/>
    <w:rsid w:val="001C0865"/>
    <w:rsid w:val="001C0AED"/>
    <w:rsid w:val="001C3ABA"/>
    <w:rsid w:val="001C5111"/>
    <w:rsid w:val="001E5217"/>
    <w:rsid w:val="001E7BE8"/>
    <w:rsid w:val="001F0248"/>
    <w:rsid w:val="001F1F91"/>
    <w:rsid w:val="001F3EB3"/>
    <w:rsid w:val="001F4F86"/>
    <w:rsid w:val="0020004C"/>
    <w:rsid w:val="00202C2C"/>
    <w:rsid w:val="00203050"/>
    <w:rsid w:val="002135AB"/>
    <w:rsid w:val="002144BE"/>
    <w:rsid w:val="00224768"/>
    <w:rsid w:val="002311CE"/>
    <w:rsid w:val="00242279"/>
    <w:rsid w:val="002430C7"/>
    <w:rsid w:val="00243997"/>
    <w:rsid w:val="0024516C"/>
    <w:rsid w:val="00245C82"/>
    <w:rsid w:val="00255C0A"/>
    <w:rsid w:val="002724BA"/>
    <w:rsid w:val="002823EA"/>
    <w:rsid w:val="002843BC"/>
    <w:rsid w:val="0028765C"/>
    <w:rsid w:val="00291B40"/>
    <w:rsid w:val="002A2BA6"/>
    <w:rsid w:val="002A56A4"/>
    <w:rsid w:val="002A5E8D"/>
    <w:rsid w:val="002B24DA"/>
    <w:rsid w:val="002B4008"/>
    <w:rsid w:val="002C1ABB"/>
    <w:rsid w:val="002C439F"/>
    <w:rsid w:val="002D0004"/>
    <w:rsid w:val="002D0C42"/>
    <w:rsid w:val="002D0E8E"/>
    <w:rsid w:val="002E1439"/>
    <w:rsid w:val="002F4EE5"/>
    <w:rsid w:val="002F734E"/>
    <w:rsid w:val="00301189"/>
    <w:rsid w:val="00301E4A"/>
    <w:rsid w:val="003044D0"/>
    <w:rsid w:val="003160DB"/>
    <w:rsid w:val="003168B8"/>
    <w:rsid w:val="00322D64"/>
    <w:rsid w:val="0032301C"/>
    <w:rsid w:val="00323E09"/>
    <w:rsid w:val="003275B6"/>
    <w:rsid w:val="0033075A"/>
    <w:rsid w:val="00333932"/>
    <w:rsid w:val="003352DC"/>
    <w:rsid w:val="00340F2C"/>
    <w:rsid w:val="003518AA"/>
    <w:rsid w:val="00352165"/>
    <w:rsid w:val="00353182"/>
    <w:rsid w:val="003565D9"/>
    <w:rsid w:val="00357ECE"/>
    <w:rsid w:val="003602E1"/>
    <w:rsid w:val="003646A2"/>
    <w:rsid w:val="0037026F"/>
    <w:rsid w:val="00371240"/>
    <w:rsid w:val="00374731"/>
    <w:rsid w:val="00376E59"/>
    <w:rsid w:val="00377EC1"/>
    <w:rsid w:val="00380340"/>
    <w:rsid w:val="00382F36"/>
    <w:rsid w:val="00387D51"/>
    <w:rsid w:val="003919F9"/>
    <w:rsid w:val="003920CF"/>
    <w:rsid w:val="0039713E"/>
    <w:rsid w:val="003B23C2"/>
    <w:rsid w:val="003C36DA"/>
    <w:rsid w:val="003C38B5"/>
    <w:rsid w:val="003C546E"/>
    <w:rsid w:val="003C5D39"/>
    <w:rsid w:val="003C5D99"/>
    <w:rsid w:val="003D1087"/>
    <w:rsid w:val="003E0119"/>
    <w:rsid w:val="003E2F59"/>
    <w:rsid w:val="003E5F78"/>
    <w:rsid w:val="003E746B"/>
    <w:rsid w:val="003F0789"/>
    <w:rsid w:val="00401882"/>
    <w:rsid w:val="00405D69"/>
    <w:rsid w:val="004100C8"/>
    <w:rsid w:val="00411DBD"/>
    <w:rsid w:val="00412ACE"/>
    <w:rsid w:val="004145D2"/>
    <w:rsid w:val="00423F94"/>
    <w:rsid w:val="00426CB4"/>
    <w:rsid w:val="004279F4"/>
    <w:rsid w:val="00427E85"/>
    <w:rsid w:val="00431249"/>
    <w:rsid w:val="00434C19"/>
    <w:rsid w:val="0043791B"/>
    <w:rsid w:val="00450810"/>
    <w:rsid w:val="00450CBC"/>
    <w:rsid w:val="00451BBB"/>
    <w:rsid w:val="00462C59"/>
    <w:rsid w:val="00470737"/>
    <w:rsid w:val="00477144"/>
    <w:rsid w:val="00491380"/>
    <w:rsid w:val="0049459F"/>
    <w:rsid w:val="004956AE"/>
    <w:rsid w:val="004A01C0"/>
    <w:rsid w:val="004A38DD"/>
    <w:rsid w:val="004A4771"/>
    <w:rsid w:val="004B3154"/>
    <w:rsid w:val="004B43AE"/>
    <w:rsid w:val="004C30ED"/>
    <w:rsid w:val="004D286B"/>
    <w:rsid w:val="004D45F1"/>
    <w:rsid w:val="004D45F5"/>
    <w:rsid w:val="004D5675"/>
    <w:rsid w:val="004D61FA"/>
    <w:rsid w:val="004F45D5"/>
    <w:rsid w:val="004F465F"/>
    <w:rsid w:val="004F71F0"/>
    <w:rsid w:val="0051327F"/>
    <w:rsid w:val="00516137"/>
    <w:rsid w:val="00517795"/>
    <w:rsid w:val="00523639"/>
    <w:rsid w:val="00530334"/>
    <w:rsid w:val="00531FE5"/>
    <w:rsid w:val="005402FA"/>
    <w:rsid w:val="00540E02"/>
    <w:rsid w:val="00563E59"/>
    <w:rsid w:val="00565C19"/>
    <w:rsid w:val="005729BD"/>
    <w:rsid w:val="00572E15"/>
    <w:rsid w:val="00580154"/>
    <w:rsid w:val="00583A9B"/>
    <w:rsid w:val="00583C39"/>
    <w:rsid w:val="00586A90"/>
    <w:rsid w:val="00587F28"/>
    <w:rsid w:val="005909CF"/>
    <w:rsid w:val="00591E71"/>
    <w:rsid w:val="00592191"/>
    <w:rsid w:val="005A0D41"/>
    <w:rsid w:val="005A27E8"/>
    <w:rsid w:val="005C0537"/>
    <w:rsid w:val="005D329F"/>
    <w:rsid w:val="005E65BC"/>
    <w:rsid w:val="005F48ED"/>
    <w:rsid w:val="005F738E"/>
    <w:rsid w:val="00606E78"/>
    <w:rsid w:val="00607BF1"/>
    <w:rsid w:val="006210D6"/>
    <w:rsid w:val="006228BC"/>
    <w:rsid w:val="00625875"/>
    <w:rsid w:val="00630D4D"/>
    <w:rsid w:val="00632A74"/>
    <w:rsid w:val="00653778"/>
    <w:rsid w:val="00654D42"/>
    <w:rsid w:val="0065613F"/>
    <w:rsid w:val="00666E02"/>
    <w:rsid w:val="006702D9"/>
    <w:rsid w:val="00670D09"/>
    <w:rsid w:val="00670D3D"/>
    <w:rsid w:val="006849A8"/>
    <w:rsid w:val="00693346"/>
    <w:rsid w:val="006A4655"/>
    <w:rsid w:val="006B09EE"/>
    <w:rsid w:val="006B2B3C"/>
    <w:rsid w:val="006B65E4"/>
    <w:rsid w:val="006C1D81"/>
    <w:rsid w:val="006C55FF"/>
    <w:rsid w:val="006C7038"/>
    <w:rsid w:val="006E3860"/>
    <w:rsid w:val="006E73EF"/>
    <w:rsid w:val="006F57B5"/>
    <w:rsid w:val="006F64A2"/>
    <w:rsid w:val="007079C9"/>
    <w:rsid w:val="00714D4D"/>
    <w:rsid w:val="0071584B"/>
    <w:rsid w:val="007266D3"/>
    <w:rsid w:val="00732029"/>
    <w:rsid w:val="007602E8"/>
    <w:rsid w:val="007604BB"/>
    <w:rsid w:val="00772909"/>
    <w:rsid w:val="00785232"/>
    <w:rsid w:val="00795E68"/>
    <w:rsid w:val="0079701E"/>
    <w:rsid w:val="007A0540"/>
    <w:rsid w:val="007A21EB"/>
    <w:rsid w:val="007A23A5"/>
    <w:rsid w:val="007B1A93"/>
    <w:rsid w:val="007B2410"/>
    <w:rsid w:val="007B735B"/>
    <w:rsid w:val="007C36C9"/>
    <w:rsid w:val="007C5F6F"/>
    <w:rsid w:val="007D375F"/>
    <w:rsid w:val="007D6401"/>
    <w:rsid w:val="007E01E4"/>
    <w:rsid w:val="007E5FD8"/>
    <w:rsid w:val="007E7A12"/>
    <w:rsid w:val="007F7107"/>
    <w:rsid w:val="00800D4C"/>
    <w:rsid w:val="0081030F"/>
    <w:rsid w:val="00812F4A"/>
    <w:rsid w:val="0082087D"/>
    <w:rsid w:val="00826C01"/>
    <w:rsid w:val="00831FEC"/>
    <w:rsid w:val="00835771"/>
    <w:rsid w:val="00835B8B"/>
    <w:rsid w:val="00842933"/>
    <w:rsid w:val="00850661"/>
    <w:rsid w:val="0086082C"/>
    <w:rsid w:val="00864424"/>
    <w:rsid w:val="00864ADC"/>
    <w:rsid w:val="00880153"/>
    <w:rsid w:val="00880F97"/>
    <w:rsid w:val="0088133A"/>
    <w:rsid w:val="008817B5"/>
    <w:rsid w:val="00886AFA"/>
    <w:rsid w:val="0089285E"/>
    <w:rsid w:val="0089354C"/>
    <w:rsid w:val="0089436C"/>
    <w:rsid w:val="008A0DFD"/>
    <w:rsid w:val="008B73DE"/>
    <w:rsid w:val="008D365C"/>
    <w:rsid w:val="008D7622"/>
    <w:rsid w:val="008D7A40"/>
    <w:rsid w:val="008E67E2"/>
    <w:rsid w:val="008F385B"/>
    <w:rsid w:val="009021A6"/>
    <w:rsid w:val="009030BF"/>
    <w:rsid w:val="00903B52"/>
    <w:rsid w:val="0091032F"/>
    <w:rsid w:val="0091038E"/>
    <w:rsid w:val="00912706"/>
    <w:rsid w:val="00914368"/>
    <w:rsid w:val="00920B1C"/>
    <w:rsid w:val="00924F7A"/>
    <w:rsid w:val="009272C3"/>
    <w:rsid w:val="00931076"/>
    <w:rsid w:val="009345D9"/>
    <w:rsid w:val="00934B15"/>
    <w:rsid w:val="00940C87"/>
    <w:rsid w:val="00942B62"/>
    <w:rsid w:val="009530CB"/>
    <w:rsid w:val="0095323B"/>
    <w:rsid w:val="00956A0C"/>
    <w:rsid w:val="00956BD9"/>
    <w:rsid w:val="00962489"/>
    <w:rsid w:val="00964AA8"/>
    <w:rsid w:val="00967CD3"/>
    <w:rsid w:val="009716C6"/>
    <w:rsid w:val="00990C2C"/>
    <w:rsid w:val="00990FC0"/>
    <w:rsid w:val="009A5171"/>
    <w:rsid w:val="009B115B"/>
    <w:rsid w:val="009B26CA"/>
    <w:rsid w:val="009E1844"/>
    <w:rsid w:val="009E4F75"/>
    <w:rsid w:val="009F0D1B"/>
    <w:rsid w:val="009F5BBD"/>
    <w:rsid w:val="009F696D"/>
    <w:rsid w:val="009F6BC6"/>
    <w:rsid w:val="009F74EF"/>
    <w:rsid w:val="00A02826"/>
    <w:rsid w:val="00A047E1"/>
    <w:rsid w:val="00A15D5A"/>
    <w:rsid w:val="00A17328"/>
    <w:rsid w:val="00A21833"/>
    <w:rsid w:val="00A23A20"/>
    <w:rsid w:val="00A24443"/>
    <w:rsid w:val="00A268B9"/>
    <w:rsid w:val="00A2703A"/>
    <w:rsid w:val="00A33DFF"/>
    <w:rsid w:val="00A35115"/>
    <w:rsid w:val="00A36D9A"/>
    <w:rsid w:val="00A43BEE"/>
    <w:rsid w:val="00A444F0"/>
    <w:rsid w:val="00A44F9A"/>
    <w:rsid w:val="00A451DC"/>
    <w:rsid w:val="00A54595"/>
    <w:rsid w:val="00A554AB"/>
    <w:rsid w:val="00A57062"/>
    <w:rsid w:val="00A67781"/>
    <w:rsid w:val="00A75FEC"/>
    <w:rsid w:val="00A761F9"/>
    <w:rsid w:val="00A87FF4"/>
    <w:rsid w:val="00A929BA"/>
    <w:rsid w:val="00A92B53"/>
    <w:rsid w:val="00A94FA6"/>
    <w:rsid w:val="00AA49A0"/>
    <w:rsid w:val="00AA4D1A"/>
    <w:rsid w:val="00AA6710"/>
    <w:rsid w:val="00AB0681"/>
    <w:rsid w:val="00AC3A15"/>
    <w:rsid w:val="00AD25B0"/>
    <w:rsid w:val="00AD520B"/>
    <w:rsid w:val="00AE3BCC"/>
    <w:rsid w:val="00AF1466"/>
    <w:rsid w:val="00AF5DD6"/>
    <w:rsid w:val="00B0092D"/>
    <w:rsid w:val="00B01A16"/>
    <w:rsid w:val="00B425C3"/>
    <w:rsid w:val="00B440AD"/>
    <w:rsid w:val="00B479BB"/>
    <w:rsid w:val="00B52237"/>
    <w:rsid w:val="00B53E7E"/>
    <w:rsid w:val="00B54AAD"/>
    <w:rsid w:val="00B56888"/>
    <w:rsid w:val="00B61B78"/>
    <w:rsid w:val="00B6342E"/>
    <w:rsid w:val="00B6528D"/>
    <w:rsid w:val="00B6632E"/>
    <w:rsid w:val="00B66512"/>
    <w:rsid w:val="00B7113F"/>
    <w:rsid w:val="00B744E0"/>
    <w:rsid w:val="00B91AC0"/>
    <w:rsid w:val="00B94268"/>
    <w:rsid w:val="00B9441E"/>
    <w:rsid w:val="00BA2BCF"/>
    <w:rsid w:val="00BA5B14"/>
    <w:rsid w:val="00BA73B6"/>
    <w:rsid w:val="00BA7430"/>
    <w:rsid w:val="00BA7E27"/>
    <w:rsid w:val="00BB1890"/>
    <w:rsid w:val="00BB2603"/>
    <w:rsid w:val="00BB454B"/>
    <w:rsid w:val="00BB4FCD"/>
    <w:rsid w:val="00BC04E9"/>
    <w:rsid w:val="00BC230F"/>
    <w:rsid w:val="00BD13EA"/>
    <w:rsid w:val="00BE3808"/>
    <w:rsid w:val="00BE5DB8"/>
    <w:rsid w:val="00BF3F8C"/>
    <w:rsid w:val="00C03B88"/>
    <w:rsid w:val="00C062E9"/>
    <w:rsid w:val="00C07B64"/>
    <w:rsid w:val="00C13721"/>
    <w:rsid w:val="00C14FE4"/>
    <w:rsid w:val="00C240C4"/>
    <w:rsid w:val="00C3066D"/>
    <w:rsid w:val="00C30A88"/>
    <w:rsid w:val="00C361D6"/>
    <w:rsid w:val="00C41543"/>
    <w:rsid w:val="00C52416"/>
    <w:rsid w:val="00C543F4"/>
    <w:rsid w:val="00C56190"/>
    <w:rsid w:val="00C57088"/>
    <w:rsid w:val="00C6291C"/>
    <w:rsid w:val="00C633CB"/>
    <w:rsid w:val="00C664CD"/>
    <w:rsid w:val="00C736B7"/>
    <w:rsid w:val="00C81D4A"/>
    <w:rsid w:val="00C848BF"/>
    <w:rsid w:val="00C8762C"/>
    <w:rsid w:val="00CA00F9"/>
    <w:rsid w:val="00CA2961"/>
    <w:rsid w:val="00CB04CD"/>
    <w:rsid w:val="00CB50D7"/>
    <w:rsid w:val="00CB7177"/>
    <w:rsid w:val="00CB7CED"/>
    <w:rsid w:val="00CC070F"/>
    <w:rsid w:val="00CC0972"/>
    <w:rsid w:val="00CC1998"/>
    <w:rsid w:val="00CC4946"/>
    <w:rsid w:val="00CC64A1"/>
    <w:rsid w:val="00CD224B"/>
    <w:rsid w:val="00CE5E95"/>
    <w:rsid w:val="00CF3B11"/>
    <w:rsid w:val="00CF7300"/>
    <w:rsid w:val="00D0167E"/>
    <w:rsid w:val="00D018DD"/>
    <w:rsid w:val="00D07364"/>
    <w:rsid w:val="00D129B4"/>
    <w:rsid w:val="00D270A4"/>
    <w:rsid w:val="00D31FE9"/>
    <w:rsid w:val="00D33792"/>
    <w:rsid w:val="00D34E1B"/>
    <w:rsid w:val="00D376BA"/>
    <w:rsid w:val="00D42E9A"/>
    <w:rsid w:val="00D434A0"/>
    <w:rsid w:val="00D43CAC"/>
    <w:rsid w:val="00D45634"/>
    <w:rsid w:val="00D5568A"/>
    <w:rsid w:val="00D63D73"/>
    <w:rsid w:val="00D64452"/>
    <w:rsid w:val="00D66E1E"/>
    <w:rsid w:val="00D70696"/>
    <w:rsid w:val="00D73E35"/>
    <w:rsid w:val="00D75722"/>
    <w:rsid w:val="00D77F7C"/>
    <w:rsid w:val="00D80CF5"/>
    <w:rsid w:val="00D813E4"/>
    <w:rsid w:val="00DA2C17"/>
    <w:rsid w:val="00DA5BBA"/>
    <w:rsid w:val="00DB0257"/>
    <w:rsid w:val="00DB26D2"/>
    <w:rsid w:val="00DB67C9"/>
    <w:rsid w:val="00DC0C95"/>
    <w:rsid w:val="00DC19E3"/>
    <w:rsid w:val="00DC4F0B"/>
    <w:rsid w:val="00DD6580"/>
    <w:rsid w:val="00DE10D7"/>
    <w:rsid w:val="00DE77E1"/>
    <w:rsid w:val="00DE7E5C"/>
    <w:rsid w:val="00DF3210"/>
    <w:rsid w:val="00E01D7F"/>
    <w:rsid w:val="00E02ABC"/>
    <w:rsid w:val="00E05C03"/>
    <w:rsid w:val="00E17C72"/>
    <w:rsid w:val="00E21FC6"/>
    <w:rsid w:val="00E227CD"/>
    <w:rsid w:val="00E30411"/>
    <w:rsid w:val="00E30C08"/>
    <w:rsid w:val="00E350D4"/>
    <w:rsid w:val="00E431A9"/>
    <w:rsid w:val="00E440A4"/>
    <w:rsid w:val="00E62C87"/>
    <w:rsid w:val="00E669E2"/>
    <w:rsid w:val="00E76135"/>
    <w:rsid w:val="00E76598"/>
    <w:rsid w:val="00E76FCD"/>
    <w:rsid w:val="00E77F47"/>
    <w:rsid w:val="00E82F4F"/>
    <w:rsid w:val="00E8304F"/>
    <w:rsid w:val="00E832E7"/>
    <w:rsid w:val="00E864DF"/>
    <w:rsid w:val="00E95604"/>
    <w:rsid w:val="00EB2CC3"/>
    <w:rsid w:val="00EB6DED"/>
    <w:rsid w:val="00EC2844"/>
    <w:rsid w:val="00EC5500"/>
    <w:rsid w:val="00EC7A19"/>
    <w:rsid w:val="00ED18F8"/>
    <w:rsid w:val="00EE6EDA"/>
    <w:rsid w:val="00EE778E"/>
    <w:rsid w:val="00EF6719"/>
    <w:rsid w:val="00EF6C6C"/>
    <w:rsid w:val="00F056FC"/>
    <w:rsid w:val="00F0632F"/>
    <w:rsid w:val="00F069AE"/>
    <w:rsid w:val="00F10476"/>
    <w:rsid w:val="00F11CC4"/>
    <w:rsid w:val="00F135D8"/>
    <w:rsid w:val="00F13834"/>
    <w:rsid w:val="00F237E5"/>
    <w:rsid w:val="00F31299"/>
    <w:rsid w:val="00F3534A"/>
    <w:rsid w:val="00F35BFB"/>
    <w:rsid w:val="00F36ACC"/>
    <w:rsid w:val="00F51609"/>
    <w:rsid w:val="00F55C25"/>
    <w:rsid w:val="00F6458F"/>
    <w:rsid w:val="00F73727"/>
    <w:rsid w:val="00F766A7"/>
    <w:rsid w:val="00F81006"/>
    <w:rsid w:val="00F85325"/>
    <w:rsid w:val="00F869AC"/>
    <w:rsid w:val="00FB5FF1"/>
    <w:rsid w:val="00FD22B1"/>
    <w:rsid w:val="00FD33F1"/>
    <w:rsid w:val="00FD3566"/>
    <w:rsid w:val="00FD796B"/>
    <w:rsid w:val="00FE5397"/>
    <w:rsid w:val="00FF01C7"/>
    <w:rsid w:val="00FF14A1"/>
    <w:rsid w:val="00FF4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505AA"/>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paragraph" w:styleId="Bibliography">
    <w:name w:val="Bibliography"/>
    <w:basedOn w:val="Normal"/>
    <w:next w:val="Normal"/>
    <w:uiPriority w:val="37"/>
    <w:unhideWhenUsed/>
    <w:rsid w:val="00AF5DD6"/>
    <w:pPr>
      <w:spacing w:after="240"/>
      <w:ind w:left="720" w:hanging="720"/>
    </w:pPr>
  </w:style>
  <w:style w:type="paragraph" w:styleId="CommentSubject">
    <w:name w:val="annotation subject"/>
    <w:basedOn w:val="CommentText"/>
    <w:next w:val="CommentText"/>
    <w:link w:val="CommentSubjectChar"/>
    <w:rsid w:val="00E227CD"/>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E227CD"/>
    <w:rPr>
      <w:szCs w:val="24"/>
    </w:rPr>
  </w:style>
  <w:style w:type="character" w:customStyle="1" w:styleId="CommentSubjectChar">
    <w:name w:val="Comment Subject Char"/>
    <w:basedOn w:val="CommentTextChar"/>
    <w:link w:val="CommentSubject"/>
    <w:rsid w:val="00E227CD"/>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505AA"/>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paragraph" w:styleId="Bibliography">
    <w:name w:val="Bibliography"/>
    <w:basedOn w:val="Normal"/>
    <w:next w:val="Normal"/>
    <w:uiPriority w:val="37"/>
    <w:unhideWhenUsed/>
    <w:rsid w:val="00AF5DD6"/>
    <w:pPr>
      <w:spacing w:after="240"/>
      <w:ind w:left="720" w:hanging="720"/>
    </w:pPr>
  </w:style>
  <w:style w:type="paragraph" w:styleId="CommentSubject">
    <w:name w:val="annotation subject"/>
    <w:basedOn w:val="CommentText"/>
    <w:next w:val="CommentText"/>
    <w:link w:val="CommentSubjectChar"/>
    <w:rsid w:val="00E227CD"/>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E227CD"/>
    <w:rPr>
      <w:szCs w:val="24"/>
    </w:rPr>
  </w:style>
  <w:style w:type="character" w:customStyle="1" w:styleId="CommentSubjectChar">
    <w:name w:val="Comment Subject Char"/>
    <w:basedOn w:val="CommentTextChar"/>
    <w:link w:val="CommentSubject"/>
    <w:rsid w:val="00E227CD"/>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Dev\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4" PreviousValue="false"/>
</file>

<file path=customXml/item3.xml><?xml version="1.0" encoding="utf-8"?>
<p:properties xmlns:p="http://schemas.microsoft.com/office/2006/metadata/properties" xmlns:xsi="http://www.w3.org/2001/XMLSchema-instance" xmlns:pc="http://schemas.microsoft.com/office/infopath/2007/PartnerControls">
  <documentManagement>
    <Draft_x0020_Report_x0020_Status xmlns="3f4bcce7-ac1a-4c9d-aa3e-7e77695652db">
      <Value>In initial draft state</Value>
    </Draft_x0020_Report_x0020_Status>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Draft Report</TermName>
          <TermId>84e4af37-8871-4c42-ad2f-98d46afe06b0</TermId>
        </TermInfo>
      </Terms>
    </p7a0baa8c88445a78b6f55906390ba17>
    <TaxCatchAll xmlns="3f4bcce7-ac1a-4c9d-aa3e-7e77695652db">
      <Value>2811</Value>
      <Value>24</Value>
      <Value>3304</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eports" ma:contentTypeID="0x0101007916246811615643A710C6FEAFF56A87110400744569953EEE1B499705EE570A857A44" ma:contentTypeVersion="0" ma:contentTypeDescription="" ma:contentTypeScope="" ma:versionID="ca0bba35cbb497dde4c3d0621ba743c7">
  <xsd:schema xmlns:xsd="http://www.w3.org/2001/XMLSchema" xmlns:xs="http://www.w3.org/2001/XMLSchema" xmlns:p="http://schemas.microsoft.com/office/2006/metadata/properties" xmlns:ns2="3f4bcce7-ac1a-4c9d-aa3e-7e77695652db" targetNamespace="http://schemas.microsoft.com/office/2006/metadata/properties" ma:root="true" ma:fieldsID="ced59f8c17a04fd942c98263fb3b9582"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2:Draft_x0020_Repor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raft_x0020_Report_x0020_Status" ma:index="17" nillable="true" ma:displayName="Draft Report Status" ma:default="In initial draft state" ma:internalName="Draft_x0020_Report_x0020_Status" ma:requiredMultiChoice="true">
      <xsd:complexType>
        <xsd:complexContent>
          <xsd:extension base="dms:MultiChoice">
            <xsd:sequence>
              <xsd:element name="Value" maxOccurs="unbounded" minOccurs="0" nillable="true">
                <xsd:simpleType>
                  <xsd:restriction base="dms:Choice">
                    <xsd:enumeration value="In initial draft state"/>
                    <xsd:enumeration value="1st Circ to A/Comm"/>
                    <xsd:enumeration value="1st Circ to Comms"/>
                    <xsd:enumeration value="1st Circ comments back"/>
                    <xsd:enumeration value="2nd Circ to A/Comm"/>
                    <xsd:enumeration value="2nd Circ to Comms"/>
                    <xsd:enumeration value="2nd Circ comments back"/>
                    <xsd:enumeration value="3rd Circ to A/Comm"/>
                    <xsd:enumeration value="3rd Circ to Comms"/>
                    <xsd:enumeration value="3rd Circ comments back"/>
                    <xsd:enumeration value="Ready for final proof"/>
                    <xsd:enumeration value="Out to proof"/>
                    <xsd:enumeration value="1st proof complete"/>
                    <xsd:enumeration value="2nd proof complete"/>
                    <xsd:enumeration value="3rd proof complete"/>
                    <xsd:enumeration value="Style checker run"/>
                    <xsd:enumeration value="Global style OK"/>
                    <xsd:enumeration value="Cross refs OK"/>
                    <xsd:enumeration value="Recs etc OK"/>
                    <xsd:enumeration value="Chart format OK"/>
                    <xsd:enumeration value="Charts tagged"/>
                    <xsd:enumeration value="Direct quotes OK"/>
                    <xsd:enumeration value="Sub nums OK"/>
                    <xsd:enumeration value="Alt text done"/>
                    <xsd:enumeration value="Ready to compile"/>
                    <xsd:enumeration value="Compiled"/>
                    <xsd:enumeration value="Post compile edits in"/>
                    <xsd:enumeration value="As publishe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A9F74-FD0A-4038-BC76-8546DD393480}">
  <ds:schemaRefs>
    <ds:schemaRef ds:uri="http://schemas.microsoft.com/office/2006/metadata/customXsn"/>
  </ds:schemaRefs>
</ds:datastoreItem>
</file>

<file path=customXml/itemProps2.xml><?xml version="1.0" encoding="utf-8"?>
<ds:datastoreItem xmlns:ds="http://schemas.openxmlformats.org/officeDocument/2006/customXml" ds:itemID="{AF3BBB54-BD53-45D1-8D5F-0E859C1C9106}">
  <ds:schemaRefs>
    <ds:schemaRef ds:uri="Microsoft.SharePoint.Taxonomy.ContentTypeSync"/>
  </ds:schemaRefs>
</ds:datastoreItem>
</file>

<file path=customXml/itemProps3.xml><?xml version="1.0" encoding="utf-8"?>
<ds:datastoreItem xmlns:ds="http://schemas.openxmlformats.org/officeDocument/2006/customXml" ds:itemID="{874963E9-3183-47FE-A3F6-1FF2744A0B7B}">
  <ds:schemaRefs>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www.w3.org/XML/1998/namespace"/>
    <ds:schemaRef ds:uri="http://schemas.openxmlformats.org/package/2006/metadata/core-properties"/>
    <ds:schemaRef ds:uri="http://schemas.microsoft.com/office/infopath/2007/PartnerControls"/>
    <ds:schemaRef ds:uri="3f4bcce7-ac1a-4c9d-aa3e-7e77695652db"/>
  </ds:schemaRefs>
</ds:datastoreItem>
</file>

<file path=customXml/itemProps4.xml><?xml version="1.0" encoding="utf-8"?>
<ds:datastoreItem xmlns:ds="http://schemas.openxmlformats.org/officeDocument/2006/customXml" ds:itemID="{42AB230C-A630-4506-B7DD-59955F99CB3F}">
  <ds:schemaRefs>
    <ds:schemaRef ds:uri="http://schemas.microsoft.com/sharepoint/v3/contenttype/forms"/>
  </ds:schemaRefs>
</ds:datastoreItem>
</file>

<file path=customXml/itemProps5.xml><?xml version="1.0" encoding="utf-8"?>
<ds:datastoreItem xmlns:ds="http://schemas.openxmlformats.org/officeDocument/2006/customXml" ds:itemID="{21D677BB-4975-4BBD-909C-169545DF33EF}">
  <ds:schemaRefs>
    <ds:schemaRef ds:uri="http://schemas.microsoft.com/sharepoint/events"/>
  </ds:schemaRefs>
</ds:datastoreItem>
</file>

<file path=customXml/itemProps6.xml><?xml version="1.0" encoding="utf-8"?>
<ds:datastoreItem xmlns:ds="http://schemas.openxmlformats.org/officeDocument/2006/customXml" ds:itemID="{1B867308-0143-4923-A05B-4ABBBBC11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8FE35F7-802B-4948-BCF8-8C01B8680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4</TotalTime>
  <Pages>9</Pages>
  <Words>3041</Words>
  <Characters>18412</Characters>
  <Application>Microsoft Office Word</Application>
  <DocSecurity>0</DocSecurity>
  <Lines>657</Lines>
  <Paragraphs>225</Paragraphs>
  <ScaleCrop>false</ScaleCrop>
  <HeadingPairs>
    <vt:vector size="2" baseType="variant">
      <vt:variant>
        <vt:lpstr>Title</vt:lpstr>
      </vt:variant>
      <vt:variant>
        <vt:i4>1</vt:i4>
      </vt:variant>
    </vt:vector>
  </HeadingPairs>
  <TitlesOfParts>
    <vt:vector size="1" baseType="lpstr">
      <vt:lpstr>Statutory marketing</vt:lpstr>
    </vt:vector>
  </TitlesOfParts>
  <Company>Productivity Commission</Company>
  <LinksUpToDate>false</LinksUpToDate>
  <CharactersWithSpaces>21228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 Statutory marketing - Regulation of Australian Agriculture - Draft Report</dc:title>
  <dc:subject>Regulation of Australian Agriculture</dc:subject>
  <dc:creator>Productivity Commission</dc:creator>
  <cp:keywords/>
  <dc:description>B.</dc:description>
  <cp:lastModifiedBy>Michelle Cross</cp:lastModifiedBy>
  <cp:revision>6</cp:revision>
  <cp:lastPrinted>2016-07-18T23:21:00Z</cp:lastPrinted>
  <dcterms:created xsi:type="dcterms:W3CDTF">2016-07-19T04:53:00Z</dcterms:created>
  <dcterms:modified xsi:type="dcterms:W3CDTF">2016-07-19T04:58:00Z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0x0101007916246811615643A710C6FEAFF56A87110400744569953EEE1B499705EE570A857A44</vt:lpwstr>
  </property>
  <property fmtid="{D5CDD505-2E9C-101B-9397-08002B2CF9AE}" pid="3" name="TaxKeyword">
    <vt:lpwstr>3304;#Statutory marketing|bc77c15f-6bf9-43fb-b5bd-328c77d6f3c0;#2811;#Rohan Nelson|a83c5c4e-fccf-4f3d-8128-9e5289613185</vt:lpwstr>
  </property>
  <property fmtid="{D5CDD505-2E9C-101B-9397-08002B2CF9AE}" pid="4" name="Record_x0020_Tag">
    <vt:lpwstr>24;#Draft Report|84e4af37-8871-4c42-ad2f-98d46afe06b0</vt:lpwstr>
  </property>
  <property fmtid="{D5CDD505-2E9C-101B-9397-08002B2CF9AE}" pid="5" name="Record Tag">
    <vt:lpwstr>24;#Draft Report|84e4af37-8871-4c42-ad2f-98d46afe06b0</vt:lpwstr>
  </property>
  <property fmtid="{D5CDD505-2E9C-101B-9397-08002B2CF9AE}" pid="6" name="ZOTERO_PREF_1">
    <vt:lpwstr>&lt;data data-version="3" zotero-version="4.0.20"&gt;&lt;session id="jbUnhjOH"/&gt;&lt;style id="http://www.zotero.org/styles/unisa-harvard" hasBibliography="1" bibliographyStyleHasBeenSet="1"/&gt;&lt;prefs&gt;&lt;pref name="fieldType" value="Field"/&gt;&lt;pref name="storeReferences" va</vt:lpwstr>
  </property>
  <property fmtid="{D5CDD505-2E9C-101B-9397-08002B2CF9AE}" pid="7" name="ZOTERO_PREF_2">
    <vt:lpwstr>lue="true"/&gt;&lt;pref name="automaticJournalAbbreviations" value="true"/&gt;&lt;pref name="noteType" value="0"/&gt;&lt;/prefs&gt;&lt;/data&gt;</vt:lpwstr>
  </property>
</Properties>
</file>