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Pr="007B14E9" w:rsidRDefault="004723AC" w:rsidP="001F076E">
      <w:pPr>
        <w:pStyle w:val="Heading1"/>
      </w:pPr>
      <w:bookmarkStart w:id="0" w:name="_AppendixNotByChapter"/>
      <w:bookmarkStart w:id="1" w:name="ChapterNumber"/>
      <w:bookmarkEnd w:id="0"/>
      <w:r>
        <w:t>C</w:t>
      </w:r>
      <w:bookmarkEnd w:id="1"/>
      <w:r>
        <w:tab/>
      </w:r>
      <w:bookmarkStart w:id="2" w:name="ChapterTitle"/>
      <w:r>
        <w:t>Case studies: the burden of regulation on farm businesses</w:t>
      </w:r>
      <w:bookmarkEnd w:id="2"/>
    </w:p>
    <w:p w:rsidR="00E57EDB" w:rsidRPr="007B14E9" w:rsidRDefault="00E57EDB" w:rsidP="001F076E">
      <w:pPr>
        <w:pStyle w:val="Heading2"/>
      </w:pPr>
      <w:bookmarkStart w:id="3" w:name="begin"/>
      <w:bookmarkStart w:id="4" w:name="_Toc451520848"/>
      <w:bookmarkEnd w:id="3"/>
      <w:r>
        <w:t>Purpose</w:t>
      </w:r>
      <w:r w:rsidR="008844D7">
        <w:t xml:space="preserve"> of the case studies</w:t>
      </w:r>
    </w:p>
    <w:p w:rsidR="00E57EDB" w:rsidRDefault="00E57EDB" w:rsidP="00E57EDB">
      <w:pPr>
        <w:pStyle w:val="BodyText"/>
      </w:pPr>
      <w:r>
        <w:t>Defining and quantifying the cumulative burden of regulation on farm business</w:t>
      </w:r>
      <w:r w:rsidR="0012252A">
        <w:t>es</w:t>
      </w:r>
      <w:r w:rsidRPr="007B14E9">
        <w:t xml:space="preserve"> is </w:t>
      </w:r>
      <w:r w:rsidR="004C2C49">
        <w:t>not easy</w:t>
      </w:r>
      <w:r w:rsidRPr="007B14E9">
        <w:t>.</w:t>
      </w:r>
      <w:r w:rsidR="00144974">
        <w:t xml:space="preserve"> </w:t>
      </w:r>
      <w:r>
        <w:t xml:space="preserve">To </w:t>
      </w:r>
      <w:r w:rsidR="008844D7">
        <w:t xml:space="preserve">better understand the </w:t>
      </w:r>
      <w:r>
        <w:t>cu</w:t>
      </w:r>
      <w:bookmarkStart w:id="5" w:name="_GoBack"/>
      <w:bookmarkEnd w:id="5"/>
      <w:r>
        <w:t xml:space="preserve">mulative burden </w:t>
      </w:r>
      <w:r w:rsidR="008844D7">
        <w:t>of regulation on farm</w:t>
      </w:r>
      <w:r w:rsidR="006E5ABF">
        <w:t xml:space="preserve"> businesses</w:t>
      </w:r>
      <w:r>
        <w:t>, t</w:t>
      </w:r>
      <w:r w:rsidRPr="007B14E9">
        <w:t>he Commission conducted semi</w:t>
      </w:r>
      <w:r w:rsidR="009B5A61">
        <w:noBreakHyphen/>
      </w:r>
      <w:r w:rsidRPr="007B14E9">
        <w:t xml:space="preserve">structured interviews with three agricultural businesses </w:t>
      </w:r>
      <w:r w:rsidR="0012252A">
        <w:t xml:space="preserve">located </w:t>
      </w:r>
      <w:r w:rsidRPr="007B14E9">
        <w:t>in northern New South Wales and southern Queensland</w:t>
      </w:r>
      <w:r>
        <w:t xml:space="preserve"> (box </w:t>
      </w:r>
      <w:proofErr w:type="spellStart"/>
      <w:r w:rsidR="005B277E">
        <w:t>C</w:t>
      </w:r>
      <w:r>
        <w:t>.1</w:t>
      </w:r>
      <w:proofErr w:type="spellEnd"/>
      <w:r>
        <w:t>)</w:t>
      </w:r>
      <w:r w:rsidRPr="007B14E9">
        <w:t xml:space="preserve">. The purpose of the interviews was to document and report </w:t>
      </w:r>
      <w:r w:rsidR="004A7F13">
        <w:t xml:space="preserve">on </w:t>
      </w:r>
      <w:r>
        <w:t>the day</w:t>
      </w:r>
      <w:r w:rsidR="009B5A61">
        <w:noBreakHyphen/>
      </w:r>
      <w:r>
        <w:t>to</w:t>
      </w:r>
      <w:r w:rsidR="009B5A61">
        <w:noBreakHyphen/>
      </w:r>
      <w:r>
        <w:t>day experience</w:t>
      </w:r>
      <w:r w:rsidR="004A7F13">
        <w:t>s</w:t>
      </w:r>
      <w:r>
        <w:t xml:space="preserve"> of farm businesses complying with regulation.</w:t>
      </w:r>
    </w:p>
    <w:p w:rsidR="00E57EDB" w:rsidRDefault="008844D7" w:rsidP="00834DCF">
      <w:pPr>
        <w:pStyle w:val="Heading2"/>
      </w:pPr>
      <w:r>
        <w:t>Case study r</w:t>
      </w:r>
      <w:r w:rsidR="00E57EDB">
        <w:t>esults</w:t>
      </w:r>
    </w:p>
    <w:p w:rsidR="00E57EDB" w:rsidRDefault="00E57EDB" w:rsidP="00E57EDB">
      <w:pPr>
        <w:pStyle w:val="BodyText"/>
      </w:pPr>
      <w:r>
        <w:t xml:space="preserve">The case studies revealed that the burden of regulation </w:t>
      </w:r>
      <w:r w:rsidR="004723AC">
        <w:t xml:space="preserve">is </w:t>
      </w:r>
      <w:r>
        <w:t>derive</w:t>
      </w:r>
      <w:r w:rsidR="004723AC">
        <w:t>d</w:t>
      </w:r>
      <w:r>
        <w:t xml:space="preserve"> from three </w:t>
      </w:r>
      <w:r w:rsidR="004A7F13">
        <w:t xml:space="preserve">main </w:t>
      </w:r>
      <w:r>
        <w:t>sources</w:t>
      </w:r>
      <w:r w:rsidR="004723AC">
        <w:t>.</w:t>
      </w:r>
      <w:r w:rsidR="004A7F13">
        <w:t xml:space="preserve"> </w:t>
      </w:r>
    </w:p>
    <w:p w:rsidR="00E57EDB" w:rsidRDefault="004723AC" w:rsidP="00E57EDB">
      <w:pPr>
        <w:pStyle w:val="ListBullet"/>
      </w:pPr>
      <w:r>
        <w:t>T</w:t>
      </w:r>
      <w:r w:rsidR="00E57EDB">
        <w:t xml:space="preserve">he diversity of farming operations </w:t>
      </w:r>
      <w:r w:rsidR="00495077">
        <w:t xml:space="preserve">— </w:t>
      </w:r>
      <w:r w:rsidR="004A7F13">
        <w:t xml:space="preserve">businesses </w:t>
      </w:r>
      <w:r w:rsidR="00E57EDB">
        <w:t xml:space="preserve">are affected by a diverse array of regulation </w:t>
      </w:r>
      <w:r w:rsidR="00144974">
        <w:t>that</w:t>
      </w:r>
      <w:r w:rsidR="004A7F13">
        <w:t xml:space="preserve"> </w:t>
      </w:r>
      <w:r w:rsidR="00784F33">
        <w:t xml:space="preserve">can be </w:t>
      </w:r>
      <w:r w:rsidR="00E57EDB">
        <w:t xml:space="preserve">time consuming </w:t>
      </w:r>
      <w:r w:rsidR="00144974">
        <w:t xml:space="preserve">to </w:t>
      </w:r>
      <w:r w:rsidR="00E57EDB">
        <w:t>keep</w:t>
      </w:r>
      <w:r w:rsidR="004A7F13">
        <w:t xml:space="preserve"> </w:t>
      </w:r>
      <w:r w:rsidR="00E57EDB">
        <w:t>track of and comply with</w:t>
      </w:r>
      <w:r>
        <w:t>.</w:t>
      </w:r>
    </w:p>
    <w:p w:rsidR="00E57EDB" w:rsidRDefault="004723AC" w:rsidP="00E57EDB">
      <w:pPr>
        <w:pStyle w:val="ListBullet"/>
      </w:pPr>
      <w:r>
        <w:t>T</w:t>
      </w:r>
      <w:r w:rsidR="00E57EDB">
        <w:t>he timing of farming operations is critically dependent on weather events, and regulation that coincides inflexib</w:t>
      </w:r>
      <w:r w:rsidR="008844D7">
        <w:t>l</w:t>
      </w:r>
      <w:r w:rsidR="00E57EDB">
        <w:t>y with major farming operations can be difficult to comply with</w:t>
      </w:r>
      <w:r>
        <w:t>.</w:t>
      </w:r>
    </w:p>
    <w:p w:rsidR="002015A0" w:rsidRDefault="004723AC" w:rsidP="007955BC">
      <w:pPr>
        <w:pStyle w:val="ListBullet"/>
      </w:pPr>
      <w:r>
        <w:t>R</w:t>
      </w:r>
      <w:r w:rsidR="004A7F13">
        <w:t>egulations are often designed with the operation of other industries (like manufacturing</w:t>
      </w:r>
      <w:r w:rsidR="00155CE2">
        <w:t xml:space="preserve">) and operating environments (such as urban areas) </w:t>
      </w:r>
      <w:r w:rsidR="004A7F13">
        <w:t>in mind</w:t>
      </w:r>
      <w:r w:rsidR="00784F33">
        <w:t xml:space="preserve">, and this can make regulations incompatible with the </w:t>
      </w:r>
      <w:r w:rsidR="00155CE2">
        <w:t xml:space="preserve">rural </w:t>
      </w:r>
      <w:r w:rsidR="00784F33">
        <w:t xml:space="preserve">operating conditions of farm businesses. </w:t>
      </w:r>
    </w:p>
    <w:p w:rsidR="007955BC" w:rsidRDefault="007955BC" w:rsidP="007955B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7401A" w:rsidTr="00A466C1">
        <w:tc>
          <w:tcPr>
            <w:tcW w:w="8771" w:type="dxa"/>
            <w:tcBorders>
              <w:top w:val="single" w:sz="6" w:space="0" w:color="78A22F"/>
              <w:left w:val="nil"/>
              <w:bottom w:val="nil"/>
              <w:right w:val="nil"/>
            </w:tcBorders>
            <w:shd w:val="clear" w:color="auto" w:fill="F2F2F2"/>
          </w:tcPr>
          <w:p w:rsidR="0057401A" w:rsidRDefault="0057401A" w:rsidP="00A466C1">
            <w:pPr>
              <w:pStyle w:val="BoxTitle"/>
            </w:pPr>
            <w:r>
              <w:rPr>
                <w:b w:val="0"/>
              </w:rPr>
              <w:t xml:space="preserve">Box </w:t>
            </w:r>
            <w:proofErr w:type="spellStart"/>
            <w:r w:rsidR="004723AC">
              <w:rPr>
                <w:b w:val="0"/>
              </w:rPr>
              <w:t>C.</w:t>
            </w:r>
            <w:r w:rsidR="004723AC">
              <w:rPr>
                <w:b w:val="0"/>
                <w:noProof/>
              </w:rPr>
              <w:t>1</w:t>
            </w:r>
            <w:proofErr w:type="spellEnd"/>
            <w:r>
              <w:tab/>
              <w:t>Case study method</w:t>
            </w:r>
          </w:p>
        </w:tc>
      </w:tr>
      <w:tr w:rsidR="0057401A" w:rsidTr="00A466C1">
        <w:trPr>
          <w:cantSplit/>
        </w:trPr>
        <w:tc>
          <w:tcPr>
            <w:tcW w:w="8771" w:type="dxa"/>
            <w:tcBorders>
              <w:top w:val="nil"/>
              <w:left w:val="nil"/>
              <w:bottom w:val="nil"/>
              <w:right w:val="nil"/>
            </w:tcBorders>
            <w:shd w:val="clear" w:color="auto" w:fill="F2F2F2"/>
          </w:tcPr>
          <w:p w:rsidR="0057401A" w:rsidRDefault="0057401A" w:rsidP="0004200F">
            <w:pPr>
              <w:pStyle w:val="BoxHeading1"/>
            </w:pPr>
            <w:r>
              <w:t>Respondents</w:t>
            </w:r>
          </w:p>
          <w:p w:rsidR="0057401A" w:rsidRDefault="0057401A" w:rsidP="00A466C1">
            <w:pPr>
              <w:pStyle w:val="Box"/>
            </w:pPr>
            <w:r>
              <w:t xml:space="preserve">The sampling frame for the interviews was opportunistic, and was developed in collaboration with Cotton Australia, </w:t>
            </w:r>
            <w:proofErr w:type="spellStart"/>
            <w:r>
              <w:t>GrowCom</w:t>
            </w:r>
            <w:proofErr w:type="spellEnd"/>
            <w:r>
              <w:t xml:space="preserve"> and the Queensland Farmers</w:t>
            </w:r>
            <w:r w:rsidR="00C46836">
              <w:t>’</w:t>
            </w:r>
            <w:r>
              <w:t xml:space="preserve"> Federation. Participating farm businesses included two large cotton farming businesses near Moree in N</w:t>
            </w:r>
            <w:r w:rsidR="00542089">
              <w:t xml:space="preserve">ew </w:t>
            </w:r>
            <w:r>
              <w:t>S</w:t>
            </w:r>
            <w:r w:rsidR="00542089">
              <w:t xml:space="preserve">outh </w:t>
            </w:r>
            <w:r>
              <w:t>W</w:t>
            </w:r>
            <w:r w:rsidR="00542089">
              <w:t>ales</w:t>
            </w:r>
            <w:r>
              <w:t xml:space="preserve"> and Goondiwindi in Queensland, and a large horticultural business in south east Queensland. </w:t>
            </w:r>
          </w:p>
          <w:p w:rsidR="0057401A" w:rsidRDefault="0057401A" w:rsidP="00A466C1">
            <w:pPr>
              <w:pStyle w:val="Box"/>
            </w:pPr>
            <w:r>
              <w:t xml:space="preserve">Two similar cotton farms in New South Wales and Queensland were selected to compare differences in regulation between states. A horticultural business was chosen to provide an industry contrast. </w:t>
            </w:r>
          </w:p>
          <w:p w:rsidR="0057401A" w:rsidRDefault="0057401A" w:rsidP="0004200F">
            <w:pPr>
              <w:pStyle w:val="BoxHeading1"/>
            </w:pPr>
            <w:r>
              <w:t>Format</w:t>
            </w:r>
          </w:p>
          <w:p w:rsidR="0057401A" w:rsidRDefault="0057401A" w:rsidP="00A466C1">
            <w:pPr>
              <w:pStyle w:val="Box"/>
            </w:pPr>
            <w:r>
              <w:t>The case studies were derived from semi</w:t>
            </w:r>
            <w:r w:rsidR="009B5A61">
              <w:noBreakHyphen/>
            </w:r>
            <w:r>
              <w:t>structured, key informant interviews</w:t>
            </w:r>
            <w:r w:rsidR="0004200F">
              <w:t xml:space="preserve"> </w:t>
            </w:r>
            <w:r w:rsidR="0004200F" w:rsidRPr="0004200F">
              <w:rPr>
                <w:rFonts w:cs="Arial"/>
                <w:szCs w:val="24"/>
              </w:rPr>
              <w:t>(Bernard 2011)</w:t>
            </w:r>
            <w:r>
              <w:t xml:space="preserve">. </w:t>
            </w:r>
            <w:r w:rsidR="00542089">
              <w:t>I</w:t>
            </w:r>
            <w:r>
              <w:t>nterview</w:t>
            </w:r>
            <w:r w:rsidR="00482B9B">
              <w:t>s</w:t>
            </w:r>
            <w:r>
              <w:t xml:space="preserve"> </w:t>
            </w:r>
            <w:r w:rsidR="00542089">
              <w:t>were</w:t>
            </w:r>
            <w:r>
              <w:t xml:space="preserve"> conducted face</w:t>
            </w:r>
            <w:r w:rsidR="009B5A61">
              <w:noBreakHyphen/>
            </w:r>
            <w:r>
              <w:t>to</w:t>
            </w:r>
            <w:r w:rsidR="009B5A61">
              <w:noBreakHyphen/>
            </w:r>
            <w:r>
              <w:t xml:space="preserve">face during visits </w:t>
            </w:r>
            <w:r w:rsidR="00784F33">
              <w:t xml:space="preserve">with </w:t>
            </w:r>
            <w:r>
              <w:t>each business, and followed up with phone calls and emails to ensure that the narrative used to represent each example was acceptable to the respondents. The main respondents at each farm were the owner/operators, although other staff were called on to provide additional information.</w:t>
            </w:r>
          </w:p>
          <w:p w:rsidR="0057401A" w:rsidRDefault="0057401A" w:rsidP="0004200F">
            <w:pPr>
              <w:pStyle w:val="BoxHeading1"/>
              <w:rPr>
                <w:szCs w:val="24"/>
              </w:rPr>
            </w:pPr>
            <w:r>
              <w:t>Questions</w:t>
            </w:r>
          </w:p>
          <w:p w:rsidR="0057401A" w:rsidRDefault="003A5C13" w:rsidP="00A466C1">
            <w:pPr>
              <w:pStyle w:val="Box"/>
            </w:pPr>
            <w:r>
              <w:t>G</w:t>
            </w:r>
            <w:r w:rsidR="0057401A">
              <w:t>eneral information about each farm business was collected to provide context and allow the reader to understand the perspective on regulatory compliance provided by each example. The interviews were conducted as conversations structured around the following questions:</w:t>
            </w:r>
          </w:p>
          <w:p w:rsidR="0057401A" w:rsidRDefault="0057401A" w:rsidP="00A466C1">
            <w:pPr>
              <w:pStyle w:val="BoxListBullet"/>
            </w:pPr>
            <w:r>
              <w:t>What major activities occur in each month throughout the year?</w:t>
            </w:r>
          </w:p>
          <w:p w:rsidR="0057401A" w:rsidRDefault="0057401A" w:rsidP="00A466C1">
            <w:pPr>
              <w:pStyle w:val="BoxListBullet"/>
            </w:pPr>
            <w:r>
              <w:t>What types of regulation are associated with these activities?</w:t>
            </w:r>
          </w:p>
          <w:p w:rsidR="0057401A" w:rsidRDefault="0057401A" w:rsidP="00A466C1">
            <w:pPr>
              <w:pStyle w:val="BoxListBullet"/>
            </w:pPr>
            <w:r>
              <w:t>What effort</w:t>
            </w:r>
            <w:r w:rsidR="00630670">
              <w:t xml:space="preserve"> (in terms of time and cost)</w:t>
            </w:r>
            <w:r>
              <w:t xml:space="preserve"> is involved in complying with regulations?</w:t>
            </w:r>
          </w:p>
          <w:p w:rsidR="0057401A" w:rsidRDefault="0057401A" w:rsidP="00A466C1">
            <w:pPr>
              <w:pStyle w:val="BoxListBullet"/>
            </w:pPr>
            <w:r>
              <w:t>What would staff and resources be allocated to if not complying with regulation</w:t>
            </w:r>
            <w:r w:rsidR="00542089">
              <w:t>s</w:t>
            </w:r>
            <w:r>
              <w:t>?</w:t>
            </w:r>
          </w:p>
          <w:p w:rsidR="0057401A" w:rsidRDefault="0057401A" w:rsidP="0004200F">
            <w:pPr>
              <w:pStyle w:val="BoxHeading1"/>
              <w:rPr>
                <w:szCs w:val="24"/>
              </w:rPr>
            </w:pPr>
            <w:r>
              <w:t>Prompts</w:t>
            </w:r>
          </w:p>
          <w:p w:rsidR="0057401A" w:rsidRDefault="003A5C13" w:rsidP="00A466C1">
            <w:pPr>
              <w:pStyle w:val="Box"/>
            </w:pPr>
            <w:r>
              <w:t>Prompts were given to help define direct costs such as staff time, travel costs and equipment, as well as tasks including form filling, emails</w:t>
            </w:r>
            <w:r w:rsidR="00542089">
              <w:t>,</w:t>
            </w:r>
            <w:r>
              <w:t xml:space="preserve"> phone calls and meetings. </w:t>
            </w:r>
            <w:r w:rsidR="0057401A">
              <w:t>Prompts were not initially given regarding the types of regulation affecting farm businesses in order to identify the issues of most concern to the respondents. Relevant areas of regulation that may have been overlooked by the respondents were introduced later in the interview as required.</w:t>
            </w:r>
          </w:p>
          <w:p w:rsidR="0057401A" w:rsidRDefault="0057401A" w:rsidP="0004200F">
            <w:pPr>
              <w:pStyle w:val="BoxHeading1"/>
              <w:rPr>
                <w:szCs w:val="24"/>
              </w:rPr>
            </w:pPr>
            <w:r>
              <w:t>Case studies</w:t>
            </w:r>
          </w:p>
          <w:p w:rsidR="004B2E9C" w:rsidRDefault="0057401A" w:rsidP="00DA376E">
            <w:pPr>
              <w:pStyle w:val="Box"/>
            </w:pPr>
            <w:r>
              <w:t>Narratives were constructed from detailed notes taken during the interviews, including direct quotes, supplemented by recall. Each case study was validated, and in two cases edited, by the respondents to ensure that the text accurately represented their narrative.</w:t>
            </w:r>
          </w:p>
          <w:p w:rsidR="0057401A" w:rsidRDefault="004B2E9C" w:rsidP="00784F33">
            <w:pPr>
              <w:pStyle w:val="Box"/>
            </w:pPr>
            <w:r>
              <w:t xml:space="preserve">The topics covered by the case study narratives are summarised in </w:t>
            </w:r>
            <w:r w:rsidR="00784F33">
              <w:t>t</w:t>
            </w:r>
            <w:r>
              <w:t xml:space="preserve">able </w:t>
            </w:r>
            <w:proofErr w:type="spellStart"/>
            <w:r>
              <w:t>C.1</w:t>
            </w:r>
            <w:proofErr w:type="spellEnd"/>
            <w:r>
              <w:t>, while e</w:t>
            </w:r>
            <w:r w:rsidR="009A7B82">
              <w:t>lements of the</w:t>
            </w:r>
            <w:r>
              <w:t>se</w:t>
            </w:r>
            <w:r w:rsidR="009A7B82">
              <w:t xml:space="preserve"> case studies </w:t>
            </w:r>
            <w:r>
              <w:t>have been</w:t>
            </w:r>
            <w:r w:rsidR="009A7B82">
              <w:t xml:space="preserve"> used throughout the report.</w:t>
            </w:r>
          </w:p>
        </w:tc>
      </w:tr>
      <w:tr w:rsidR="0057401A" w:rsidTr="00A466C1">
        <w:trPr>
          <w:cantSplit/>
        </w:trPr>
        <w:tc>
          <w:tcPr>
            <w:tcW w:w="8771" w:type="dxa"/>
            <w:tcBorders>
              <w:top w:val="nil"/>
              <w:left w:val="nil"/>
              <w:bottom w:val="single" w:sz="6" w:space="0" w:color="78A22F"/>
              <w:right w:val="nil"/>
            </w:tcBorders>
            <w:shd w:val="clear" w:color="auto" w:fill="F2F2F2"/>
          </w:tcPr>
          <w:p w:rsidR="0057401A" w:rsidRDefault="0057401A" w:rsidP="00A466C1">
            <w:pPr>
              <w:pStyle w:val="Box"/>
              <w:spacing w:before="0" w:line="120" w:lineRule="exact"/>
            </w:pPr>
          </w:p>
        </w:tc>
      </w:tr>
      <w:tr w:rsidR="0057401A" w:rsidRPr="000863A5" w:rsidTr="00A466C1">
        <w:tc>
          <w:tcPr>
            <w:tcW w:w="8771" w:type="dxa"/>
            <w:tcBorders>
              <w:top w:val="single" w:sz="6" w:space="0" w:color="78A22F"/>
              <w:left w:val="nil"/>
              <w:bottom w:val="nil"/>
              <w:right w:val="nil"/>
            </w:tcBorders>
          </w:tcPr>
          <w:p w:rsidR="0057401A" w:rsidRPr="00626D32" w:rsidRDefault="0057401A" w:rsidP="00A466C1">
            <w:pPr>
              <w:pStyle w:val="BoxSpaceBelow"/>
            </w:pPr>
          </w:p>
        </w:tc>
      </w:tr>
    </w:tbl>
    <w:p w:rsidR="00E57EDB" w:rsidRDefault="00E57EDB" w:rsidP="00E57ED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E57EDB" w:rsidTr="00A466C1">
        <w:tc>
          <w:tcPr>
            <w:tcW w:w="8771" w:type="dxa"/>
            <w:tcBorders>
              <w:top w:val="single" w:sz="6" w:space="0" w:color="78A22F"/>
              <w:left w:val="nil"/>
              <w:bottom w:val="nil"/>
              <w:right w:val="nil"/>
            </w:tcBorders>
            <w:shd w:val="clear" w:color="auto" w:fill="auto"/>
          </w:tcPr>
          <w:p w:rsidR="00E57EDB" w:rsidRPr="00784A05" w:rsidRDefault="00E57EDB" w:rsidP="00A466C1">
            <w:pPr>
              <w:pStyle w:val="TableTitle"/>
            </w:pPr>
            <w:r>
              <w:rPr>
                <w:b w:val="0"/>
              </w:rPr>
              <w:t xml:space="preserve">Table </w:t>
            </w:r>
            <w:proofErr w:type="spellStart"/>
            <w:r w:rsidR="004723AC">
              <w:rPr>
                <w:b w:val="0"/>
              </w:rPr>
              <w:t>C.</w:t>
            </w:r>
            <w:r w:rsidR="004723AC">
              <w:rPr>
                <w:b w:val="0"/>
                <w:noProof/>
              </w:rPr>
              <w:t>1</w:t>
            </w:r>
            <w:proofErr w:type="spellEnd"/>
            <w:r>
              <w:tab/>
              <w:t>Summary of case studies</w:t>
            </w:r>
          </w:p>
        </w:tc>
      </w:tr>
      <w:tr w:rsidR="00E57EDB" w:rsidTr="00A466C1">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29"/>
              <w:gridCol w:w="2830"/>
              <w:gridCol w:w="2828"/>
            </w:tblGrid>
            <w:tr w:rsidR="00E57EDB" w:rsidTr="00C55DB4">
              <w:tc>
                <w:tcPr>
                  <w:tcW w:w="1667" w:type="pct"/>
                  <w:shd w:val="clear" w:color="auto" w:fill="auto"/>
                  <w:tcMar>
                    <w:top w:w="28" w:type="dxa"/>
                  </w:tcMar>
                </w:tcPr>
                <w:p w:rsidR="00E57EDB" w:rsidRPr="00171DE8" w:rsidRDefault="00E57EDB" w:rsidP="00495077">
                  <w:pPr>
                    <w:pStyle w:val="TableColumnHeading"/>
                    <w:jc w:val="left"/>
                    <w:rPr>
                      <w:b/>
                      <w:i w:val="0"/>
                      <w:sz w:val="20"/>
                    </w:rPr>
                  </w:pPr>
                  <w:r w:rsidRPr="00171DE8">
                    <w:rPr>
                      <w:b/>
                      <w:i w:val="0"/>
                      <w:sz w:val="20"/>
                    </w:rPr>
                    <w:t xml:space="preserve">Cotton farm </w:t>
                  </w:r>
                  <w:r w:rsidR="00495077" w:rsidRPr="00171DE8">
                    <w:rPr>
                      <w:b/>
                      <w:i w:val="0"/>
                      <w:sz w:val="20"/>
                    </w:rPr>
                    <w:t>—</w:t>
                  </w:r>
                  <w:r w:rsidRPr="00171DE8">
                    <w:rPr>
                      <w:b/>
                      <w:i w:val="0"/>
                      <w:sz w:val="20"/>
                    </w:rPr>
                    <w:t xml:space="preserve"> Moree</w:t>
                  </w:r>
                </w:p>
              </w:tc>
              <w:tc>
                <w:tcPr>
                  <w:tcW w:w="1667" w:type="pct"/>
                  <w:shd w:val="clear" w:color="auto" w:fill="auto"/>
                  <w:tcMar>
                    <w:top w:w="28" w:type="dxa"/>
                  </w:tcMar>
                </w:tcPr>
                <w:p w:rsidR="00E57EDB" w:rsidRDefault="00E57EDB" w:rsidP="00A466C1">
                  <w:pPr>
                    <w:pStyle w:val="TableColumnHeading"/>
                  </w:pPr>
                </w:p>
              </w:tc>
              <w:tc>
                <w:tcPr>
                  <w:tcW w:w="1666" w:type="pct"/>
                  <w:shd w:val="clear" w:color="auto" w:fill="auto"/>
                  <w:tcMar>
                    <w:top w:w="28" w:type="dxa"/>
                  </w:tcMar>
                </w:tcPr>
                <w:p w:rsidR="00E57EDB" w:rsidRDefault="00E57EDB" w:rsidP="00A466C1">
                  <w:pPr>
                    <w:pStyle w:val="TableColumnHeading"/>
                    <w:ind w:right="28"/>
                  </w:pPr>
                </w:p>
              </w:tc>
            </w:tr>
            <w:tr w:rsidR="00E57EDB" w:rsidTr="00C55DB4">
              <w:tc>
                <w:tcPr>
                  <w:tcW w:w="1667" w:type="pct"/>
                  <w:shd w:val="clear" w:color="auto" w:fill="auto"/>
                  <w:tcMar>
                    <w:top w:w="28" w:type="dxa"/>
                  </w:tcMar>
                </w:tcPr>
                <w:p w:rsidR="00E57EDB" w:rsidRDefault="005471F7" w:rsidP="005471F7">
                  <w:pPr>
                    <w:pStyle w:val="TableColumnHeading"/>
                    <w:jc w:val="left"/>
                  </w:pPr>
                  <w:r>
                    <w:t>A</w:t>
                  </w:r>
                  <w:r w:rsidR="00E57EDB">
                    <w:t>ctivity</w:t>
                  </w:r>
                </w:p>
              </w:tc>
              <w:tc>
                <w:tcPr>
                  <w:tcW w:w="1667" w:type="pct"/>
                  <w:shd w:val="clear" w:color="auto" w:fill="auto"/>
                  <w:tcMar>
                    <w:top w:w="28" w:type="dxa"/>
                  </w:tcMar>
                </w:tcPr>
                <w:p w:rsidR="00E57EDB" w:rsidRDefault="00E57EDB" w:rsidP="00556267">
                  <w:pPr>
                    <w:pStyle w:val="TableColumnHeading"/>
                    <w:jc w:val="left"/>
                  </w:pPr>
                  <w:r>
                    <w:t>Regulation/issue</w:t>
                  </w:r>
                </w:p>
              </w:tc>
              <w:tc>
                <w:tcPr>
                  <w:tcW w:w="1666" w:type="pct"/>
                  <w:shd w:val="clear" w:color="auto" w:fill="auto"/>
                  <w:tcMar>
                    <w:top w:w="28" w:type="dxa"/>
                  </w:tcMar>
                </w:tcPr>
                <w:p w:rsidR="00E57EDB" w:rsidRDefault="00E57EDB" w:rsidP="00C55DB4">
                  <w:pPr>
                    <w:pStyle w:val="TableColumnHeading"/>
                    <w:ind w:right="28"/>
                    <w:jc w:val="left"/>
                  </w:pPr>
                  <w:r>
                    <w:t xml:space="preserve">Impact </w:t>
                  </w:r>
                </w:p>
              </w:tc>
            </w:tr>
            <w:tr w:rsidR="00E57EDB" w:rsidTr="00C55DB4">
              <w:tc>
                <w:tcPr>
                  <w:tcW w:w="1667" w:type="pct"/>
                </w:tcPr>
                <w:p w:rsidR="00E57EDB" w:rsidRDefault="00E57EDB" w:rsidP="00A466C1">
                  <w:pPr>
                    <w:pStyle w:val="TableUnitsRow"/>
                    <w:jc w:val="left"/>
                  </w:pPr>
                  <w:r>
                    <w:t>Peak periods of farming operation</w:t>
                  </w:r>
                </w:p>
              </w:tc>
              <w:tc>
                <w:tcPr>
                  <w:tcW w:w="1667" w:type="pct"/>
                </w:tcPr>
                <w:p w:rsidR="00E57EDB" w:rsidRDefault="00E57EDB" w:rsidP="00171DE8">
                  <w:pPr>
                    <w:pStyle w:val="TableUnitsRow"/>
                    <w:jc w:val="left"/>
                  </w:pPr>
                  <w:r>
                    <w:t>Water licen</w:t>
                  </w:r>
                  <w:r w:rsidR="00171DE8">
                    <w:t>c</w:t>
                  </w:r>
                  <w:r>
                    <w:t>es</w:t>
                  </w:r>
                </w:p>
              </w:tc>
              <w:tc>
                <w:tcPr>
                  <w:tcW w:w="1666" w:type="pct"/>
                </w:tcPr>
                <w:p w:rsidR="00E57EDB" w:rsidRDefault="00E57EDB" w:rsidP="00A466C1">
                  <w:pPr>
                    <w:pStyle w:val="TableUnitsRow"/>
                    <w:ind w:right="28"/>
                    <w:jc w:val="left"/>
                  </w:pPr>
                  <w:r>
                    <w:t>Stressful in peak periods</w:t>
                  </w:r>
                </w:p>
              </w:tc>
            </w:tr>
            <w:tr w:rsidR="00E57EDB" w:rsidTr="00C55DB4">
              <w:tc>
                <w:tcPr>
                  <w:tcW w:w="1667" w:type="pct"/>
                </w:tcPr>
                <w:p w:rsidR="00E57EDB" w:rsidRDefault="00E57EDB" w:rsidP="00A466C1">
                  <w:pPr>
                    <w:pStyle w:val="TableUnitsRow"/>
                    <w:jc w:val="left"/>
                  </w:pPr>
                  <w:r>
                    <w:t>Submitting forms</w:t>
                  </w:r>
                </w:p>
              </w:tc>
              <w:tc>
                <w:tcPr>
                  <w:tcW w:w="1667" w:type="pct"/>
                </w:tcPr>
                <w:p w:rsidR="00E57EDB" w:rsidRDefault="00E57EDB" w:rsidP="00A466C1">
                  <w:pPr>
                    <w:pStyle w:val="TableUnitsRow"/>
                    <w:jc w:val="left"/>
                  </w:pPr>
                  <w:r>
                    <w:t xml:space="preserve">Unreliable </w:t>
                  </w:r>
                  <w:proofErr w:type="spellStart"/>
                  <w:r>
                    <w:t>internet</w:t>
                  </w:r>
                  <w:proofErr w:type="spellEnd"/>
                </w:p>
              </w:tc>
              <w:tc>
                <w:tcPr>
                  <w:tcW w:w="1666" w:type="pct"/>
                </w:tcPr>
                <w:p w:rsidR="00E57EDB" w:rsidRDefault="00E57EDB" w:rsidP="00A466C1">
                  <w:pPr>
                    <w:pStyle w:val="TableUnitsRow"/>
                    <w:ind w:right="28"/>
                    <w:jc w:val="left"/>
                  </w:pPr>
                  <w:r>
                    <w:t>Lost email, repeat form filling</w:t>
                  </w:r>
                </w:p>
              </w:tc>
            </w:tr>
            <w:tr w:rsidR="00E57EDB" w:rsidTr="00C55DB4">
              <w:tc>
                <w:tcPr>
                  <w:tcW w:w="1667" w:type="pct"/>
                </w:tcPr>
                <w:p w:rsidR="00E57EDB" w:rsidRDefault="00E57EDB" w:rsidP="00A466C1">
                  <w:pPr>
                    <w:pStyle w:val="TableUnitsRow"/>
                    <w:jc w:val="left"/>
                  </w:pPr>
                  <w:r>
                    <w:t>Monitoring GM crops</w:t>
                  </w:r>
                </w:p>
              </w:tc>
              <w:tc>
                <w:tcPr>
                  <w:tcW w:w="1667" w:type="pct"/>
                </w:tcPr>
                <w:p w:rsidR="00E57EDB" w:rsidRDefault="00E57EDB" w:rsidP="00A466C1">
                  <w:pPr>
                    <w:pStyle w:val="TableUnitsRow"/>
                    <w:jc w:val="left"/>
                  </w:pPr>
                  <w:r>
                    <w:t>GM licensing</w:t>
                  </w:r>
                </w:p>
              </w:tc>
              <w:tc>
                <w:tcPr>
                  <w:tcW w:w="1666" w:type="pct"/>
                </w:tcPr>
                <w:p w:rsidR="00E57EDB" w:rsidRDefault="00E57EDB" w:rsidP="00A466C1">
                  <w:pPr>
                    <w:pStyle w:val="TableUnitsRow"/>
                    <w:jc w:val="left"/>
                  </w:pPr>
                  <w:r>
                    <w:t>Time consuming, aids agronomy</w:t>
                  </w:r>
                </w:p>
              </w:tc>
            </w:tr>
            <w:tr w:rsidR="00E57EDB" w:rsidTr="00C55DB4">
              <w:tc>
                <w:tcPr>
                  <w:tcW w:w="1667" w:type="pct"/>
                </w:tcPr>
                <w:p w:rsidR="00E57EDB" w:rsidRDefault="00E57EDB" w:rsidP="00A466C1">
                  <w:pPr>
                    <w:pStyle w:val="TableUnitsRow"/>
                    <w:jc w:val="left"/>
                  </w:pPr>
                  <w:r>
                    <w:t>Trialling new crop varieties</w:t>
                  </w:r>
                </w:p>
              </w:tc>
              <w:tc>
                <w:tcPr>
                  <w:tcW w:w="1667" w:type="pct"/>
                </w:tcPr>
                <w:p w:rsidR="00E57EDB" w:rsidRDefault="00E57EDB" w:rsidP="00A466C1">
                  <w:pPr>
                    <w:pStyle w:val="TableUnitsRow"/>
                    <w:jc w:val="left"/>
                  </w:pPr>
                  <w:r>
                    <w:t>Heavy</w:t>
                  </w:r>
                  <w:r w:rsidR="009B5A61">
                    <w:noBreakHyphen/>
                  </w:r>
                  <w:r>
                    <w:t>handed implementation</w:t>
                  </w:r>
                </w:p>
              </w:tc>
              <w:tc>
                <w:tcPr>
                  <w:tcW w:w="1666" w:type="pct"/>
                </w:tcPr>
                <w:p w:rsidR="00E57EDB" w:rsidRDefault="00E57EDB" w:rsidP="00A466C1">
                  <w:pPr>
                    <w:pStyle w:val="TableUnitsRow"/>
                    <w:jc w:val="left"/>
                  </w:pPr>
                  <w:r>
                    <w:t>‘Terrible waste’ – crop burnt</w:t>
                  </w:r>
                </w:p>
              </w:tc>
            </w:tr>
            <w:tr w:rsidR="00E57EDB" w:rsidTr="00C55DB4">
              <w:tc>
                <w:tcPr>
                  <w:tcW w:w="1667" w:type="pct"/>
                </w:tcPr>
                <w:p w:rsidR="00E57EDB" w:rsidRDefault="00E57EDB" w:rsidP="00A466C1">
                  <w:pPr>
                    <w:pStyle w:val="TableUnitsRow"/>
                    <w:jc w:val="left"/>
                  </w:pPr>
                  <w:r>
                    <w:t>Moving farm machinery</w:t>
                  </w:r>
                </w:p>
              </w:tc>
              <w:tc>
                <w:tcPr>
                  <w:tcW w:w="1667" w:type="pct"/>
                </w:tcPr>
                <w:p w:rsidR="00E57EDB" w:rsidRDefault="00E57EDB" w:rsidP="00A466C1">
                  <w:pPr>
                    <w:pStyle w:val="TableUnitsRow"/>
                    <w:jc w:val="left"/>
                  </w:pPr>
                  <w:r>
                    <w:t>Heavy vehicle registration</w:t>
                  </w:r>
                </w:p>
              </w:tc>
              <w:tc>
                <w:tcPr>
                  <w:tcW w:w="1666" w:type="pct"/>
                </w:tcPr>
                <w:p w:rsidR="00E57EDB" w:rsidRDefault="00E57EDB" w:rsidP="00ED5039">
                  <w:pPr>
                    <w:pStyle w:val="TableUnitsRow"/>
                    <w:jc w:val="left"/>
                  </w:pPr>
                  <w:r>
                    <w:t>Forgone contracting work</w:t>
                  </w:r>
                </w:p>
              </w:tc>
            </w:tr>
            <w:tr w:rsidR="00E57EDB" w:rsidTr="00C55DB4">
              <w:tc>
                <w:tcPr>
                  <w:tcW w:w="1667" w:type="pct"/>
                </w:tcPr>
                <w:p w:rsidR="00E57EDB" w:rsidRDefault="00E57EDB" w:rsidP="00A466C1">
                  <w:pPr>
                    <w:pStyle w:val="TableUnitsRow"/>
                    <w:jc w:val="left"/>
                  </w:pPr>
                  <w:r>
                    <w:t>Floodplain harvesting</w:t>
                  </w:r>
                </w:p>
              </w:tc>
              <w:tc>
                <w:tcPr>
                  <w:tcW w:w="1667" w:type="pct"/>
                </w:tcPr>
                <w:p w:rsidR="00E57EDB" w:rsidRDefault="00E57EDB" w:rsidP="00A466C1">
                  <w:pPr>
                    <w:pStyle w:val="TableUnitsRow"/>
                    <w:jc w:val="left"/>
                  </w:pPr>
                  <w:r>
                    <w:t>Establishing water rights</w:t>
                  </w:r>
                </w:p>
              </w:tc>
              <w:tc>
                <w:tcPr>
                  <w:tcW w:w="1666" w:type="pct"/>
                </w:tcPr>
                <w:p w:rsidR="00E57EDB" w:rsidRDefault="00E57EDB" w:rsidP="00ED5039">
                  <w:pPr>
                    <w:pStyle w:val="TableUnitsRow"/>
                    <w:jc w:val="left"/>
                  </w:pPr>
                  <w:r>
                    <w:t>Forgone investment</w:t>
                  </w:r>
                </w:p>
              </w:tc>
            </w:tr>
            <w:tr w:rsidR="00D24F21" w:rsidTr="00FA266A">
              <w:tc>
                <w:tcPr>
                  <w:tcW w:w="1" w:type="pct"/>
                  <w:gridSpan w:val="3"/>
                </w:tcPr>
                <w:p w:rsidR="00D24F21" w:rsidRDefault="00D24F21" w:rsidP="00D24F21">
                  <w:pPr>
                    <w:pStyle w:val="TableUnitsRow"/>
                    <w:spacing w:before="240"/>
                    <w:ind w:right="28"/>
                    <w:jc w:val="left"/>
                  </w:pPr>
                  <w:r w:rsidRPr="00171DE8">
                    <w:rPr>
                      <w:b/>
                      <w:sz w:val="20"/>
                    </w:rPr>
                    <w:t>Cotton farm — Goondiwindi</w:t>
                  </w:r>
                </w:p>
              </w:tc>
            </w:tr>
            <w:tr w:rsidR="00E57EDB" w:rsidTr="00C55DB4">
              <w:tc>
                <w:tcPr>
                  <w:tcW w:w="1667" w:type="pct"/>
                </w:tcPr>
                <w:p w:rsidR="00E57EDB" w:rsidRPr="00C80536" w:rsidRDefault="005471F7" w:rsidP="00C55DB4">
                  <w:pPr>
                    <w:pStyle w:val="TableColumnHeading"/>
                    <w:jc w:val="left"/>
                  </w:pPr>
                  <w:r>
                    <w:t>A</w:t>
                  </w:r>
                  <w:r w:rsidR="00E57EDB" w:rsidRPr="00C80536">
                    <w:t>ctivity</w:t>
                  </w:r>
                </w:p>
              </w:tc>
              <w:tc>
                <w:tcPr>
                  <w:tcW w:w="1667" w:type="pct"/>
                </w:tcPr>
                <w:p w:rsidR="00E57EDB" w:rsidRPr="00D31908" w:rsidRDefault="00E57EDB" w:rsidP="00C55DB4">
                  <w:pPr>
                    <w:pStyle w:val="TableColumnHeading"/>
                    <w:jc w:val="left"/>
                  </w:pPr>
                  <w:r w:rsidRPr="00D31908">
                    <w:t>Regulation/issue</w:t>
                  </w:r>
                </w:p>
              </w:tc>
              <w:tc>
                <w:tcPr>
                  <w:tcW w:w="1666" w:type="pct"/>
                </w:tcPr>
                <w:p w:rsidR="00E57EDB" w:rsidRPr="00C80536" w:rsidRDefault="00E57EDB" w:rsidP="00C55DB4">
                  <w:pPr>
                    <w:pStyle w:val="TableColumnHeading"/>
                    <w:jc w:val="left"/>
                  </w:pPr>
                  <w:r w:rsidRPr="00C80536">
                    <w:t xml:space="preserve">Impact </w:t>
                  </w:r>
                </w:p>
              </w:tc>
            </w:tr>
            <w:tr w:rsidR="00E57EDB" w:rsidTr="00C55DB4">
              <w:tc>
                <w:tcPr>
                  <w:tcW w:w="1667" w:type="pct"/>
                </w:tcPr>
                <w:p w:rsidR="00E57EDB" w:rsidRDefault="00E57EDB" w:rsidP="00A466C1">
                  <w:pPr>
                    <w:pStyle w:val="TableUnitsRow"/>
                    <w:jc w:val="left"/>
                  </w:pPr>
                  <w:r>
                    <w:t>Trading water</w:t>
                  </w:r>
                </w:p>
              </w:tc>
              <w:tc>
                <w:tcPr>
                  <w:tcW w:w="1667" w:type="pct"/>
                </w:tcPr>
                <w:p w:rsidR="00E57EDB" w:rsidRDefault="00E57EDB" w:rsidP="00A466C1">
                  <w:pPr>
                    <w:pStyle w:val="TableUnitsRow"/>
                    <w:jc w:val="left"/>
                  </w:pPr>
                  <w:r>
                    <w:t>Slow regulatory approval</w:t>
                  </w:r>
                </w:p>
              </w:tc>
              <w:tc>
                <w:tcPr>
                  <w:tcW w:w="1666" w:type="pct"/>
                </w:tcPr>
                <w:p w:rsidR="00E57EDB" w:rsidRDefault="00E57EDB" w:rsidP="00A466C1">
                  <w:pPr>
                    <w:pStyle w:val="TableUnitsRow"/>
                    <w:ind w:right="28"/>
                    <w:jc w:val="left"/>
                  </w:pPr>
                  <w:r>
                    <w:t>Lower crop yields, profit</w:t>
                  </w:r>
                </w:p>
              </w:tc>
            </w:tr>
            <w:tr w:rsidR="00E57EDB" w:rsidTr="00C55DB4">
              <w:trPr>
                <w:trHeight w:val="252"/>
              </w:trPr>
              <w:tc>
                <w:tcPr>
                  <w:tcW w:w="1667" w:type="pct"/>
                </w:tcPr>
                <w:p w:rsidR="00E57EDB" w:rsidRDefault="00E57EDB" w:rsidP="00A466C1">
                  <w:pPr>
                    <w:pStyle w:val="TableUnitsRow"/>
                    <w:jc w:val="left"/>
                  </w:pPr>
                  <w:r>
                    <w:t>Building a bridge</w:t>
                  </w:r>
                </w:p>
              </w:tc>
              <w:tc>
                <w:tcPr>
                  <w:tcW w:w="1667" w:type="pct"/>
                </w:tcPr>
                <w:p w:rsidR="00E57EDB" w:rsidRDefault="00E57EDB" w:rsidP="00C55DB4">
                  <w:pPr>
                    <w:pStyle w:val="TableUnitsRow"/>
                    <w:jc w:val="left"/>
                  </w:pPr>
                  <w:r>
                    <w:t>Duplicat</w:t>
                  </w:r>
                  <w:r w:rsidR="00C55DB4">
                    <w:t xml:space="preserve">e </w:t>
                  </w:r>
                  <w:r>
                    <w:t>state regulation</w:t>
                  </w:r>
                </w:p>
              </w:tc>
              <w:tc>
                <w:tcPr>
                  <w:tcW w:w="1666" w:type="pct"/>
                </w:tcPr>
                <w:p w:rsidR="00E57EDB" w:rsidRDefault="00E57EDB" w:rsidP="00A466C1">
                  <w:pPr>
                    <w:pStyle w:val="TableUnitsRow"/>
                    <w:ind w:right="28"/>
                    <w:jc w:val="left"/>
                  </w:pPr>
                  <w:r>
                    <w:t>Stress, unnecessary bureaucracy</w:t>
                  </w:r>
                </w:p>
              </w:tc>
            </w:tr>
            <w:tr w:rsidR="00E57EDB" w:rsidTr="00C55DB4">
              <w:tc>
                <w:tcPr>
                  <w:tcW w:w="1667" w:type="pct"/>
                </w:tcPr>
                <w:p w:rsidR="00E57EDB" w:rsidRDefault="00E57EDB" w:rsidP="00A466C1">
                  <w:pPr>
                    <w:pStyle w:val="TableUnitsRow"/>
                    <w:jc w:val="left"/>
                  </w:pPr>
                  <w:r>
                    <w:t>Trucking cotton to gin</w:t>
                  </w:r>
                </w:p>
              </w:tc>
              <w:tc>
                <w:tcPr>
                  <w:tcW w:w="1667" w:type="pct"/>
                </w:tcPr>
                <w:p w:rsidR="00E57EDB" w:rsidRDefault="00E57EDB" w:rsidP="00A466C1">
                  <w:pPr>
                    <w:pStyle w:val="TableUnitsRow"/>
                    <w:jc w:val="left"/>
                  </w:pPr>
                  <w:r>
                    <w:t>Larger loads permitted</w:t>
                  </w:r>
                </w:p>
              </w:tc>
              <w:tc>
                <w:tcPr>
                  <w:tcW w:w="1666" w:type="pct"/>
                </w:tcPr>
                <w:p w:rsidR="00E57EDB" w:rsidRDefault="00E57EDB" w:rsidP="00A466C1">
                  <w:pPr>
                    <w:pStyle w:val="TableUnitsRow"/>
                    <w:ind w:right="28"/>
                    <w:jc w:val="left"/>
                  </w:pPr>
                  <w:r>
                    <w:t>Fewer trips, less trucks on road</w:t>
                  </w:r>
                </w:p>
              </w:tc>
            </w:tr>
            <w:tr w:rsidR="00E57EDB" w:rsidTr="00C55DB4">
              <w:tc>
                <w:tcPr>
                  <w:tcW w:w="1667" w:type="pct"/>
                </w:tcPr>
                <w:p w:rsidR="00E57EDB" w:rsidRDefault="00E57EDB" w:rsidP="00A466C1">
                  <w:pPr>
                    <w:pStyle w:val="TableUnitsRow"/>
                    <w:jc w:val="left"/>
                  </w:pPr>
                  <w:r>
                    <w:t>Employing foreign workers</w:t>
                  </w:r>
                </w:p>
              </w:tc>
              <w:tc>
                <w:tcPr>
                  <w:tcW w:w="1667" w:type="pct"/>
                </w:tcPr>
                <w:p w:rsidR="00E57EDB" w:rsidRDefault="00E57EDB" w:rsidP="00A466C1">
                  <w:pPr>
                    <w:pStyle w:val="TableUnitsRow"/>
                    <w:jc w:val="left"/>
                  </w:pPr>
                  <w:r>
                    <w:t>Opaque visa application process</w:t>
                  </w:r>
                </w:p>
              </w:tc>
              <w:tc>
                <w:tcPr>
                  <w:tcW w:w="1666" w:type="pct"/>
                </w:tcPr>
                <w:p w:rsidR="00E57EDB" w:rsidRDefault="00E57EDB" w:rsidP="00A466C1">
                  <w:pPr>
                    <w:pStyle w:val="TableUnitsRow"/>
                    <w:ind w:right="28"/>
                    <w:jc w:val="left"/>
                  </w:pPr>
                  <w:r>
                    <w:t>Time wasted, delays</w:t>
                  </w:r>
                </w:p>
              </w:tc>
            </w:tr>
            <w:tr w:rsidR="00E57EDB" w:rsidTr="00C55DB4">
              <w:tc>
                <w:tcPr>
                  <w:tcW w:w="1667" w:type="pct"/>
                </w:tcPr>
                <w:p w:rsidR="00E57EDB" w:rsidRDefault="00E57EDB" w:rsidP="00A466C1">
                  <w:pPr>
                    <w:pStyle w:val="TableUnitsRow"/>
                    <w:jc w:val="left"/>
                  </w:pPr>
                  <w:r>
                    <w:t>Adding to environmental flows</w:t>
                  </w:r>
                </w:p>
              </w:tc>
              <w:tc>
                <w:tcPr>
                  <w:tcW w:w="1667" w:type="pct"/>
                </w:tcPr>
                <w:p w:rsidR="00E57EDB" w:rsidRDefault="00E57EDB" w:rsidP="00A466C1">
                  <w:pPr>
                    <w:pStyle w:val="TableUnitsRow"/>
                    <w:jc w:val="left"/>
                  </w:pPr>
                  <w:r>
                    <w:t>Narrow focus of regulators</w:t>
                  </w:r>
                </w:p>
              </w:tc>
              <w:tc>
                <w:tcPr>
                  <w:tcW w:w="1666" w:type="pct"/>
                </w:tcPr>
                <w:p w:rsidR="00E57EDB" w:rsidRDefault="00E57EDB" w:rsidP="00A466C1">
                  <w:pPr>
                    <w:pStyle w:val="TableUnitsRow"/>
                    <w:ind w:right="28"/>
                    <w:jc w:val="left"/>
                  </w:pPr>
                  <w:r>
                    <w:t>Delay</w:t>
                  </w:r>
                  <w:r w:rsidR="00C55DB4">
                    <w:t>s</w:t>
                  </w:r>
                  <w:r>
                    <w:t>, lost ecological opportunity</w:t>
                  </w:r>
                </w:p>
              </w:tc>
            </w:tr>
            <w:tr w:rsidR="00E57EDB" w:rsidTr="00C55DB4">
              <w:tc>
                <w:tcPr>
                  <w:tcW w:w="1667" w:type="pct"/>
                </w:tcPr>
                <w:p w:rsidR="00E57EDB" w:rsidRDefault="00E57EDB" w:rsidP="00A466C1">
                  <w:pPr>
                    <w:pStyle w:val="TableUnitsRow"/>
                    <w:jc w:val="left"/>
                  </w:pPr>
                  <w:r>
                    <w:t>Responding to market prices</w:t>
                  </w:r>
                </w:p>
              </w:tc>
              <w:tc>
                <w:tcPr>
                  <w:tcW w:w="1667" w:type="pct"/>
                </w:tcPr>
                <w:p w:rsidR="00E57EDB" w:rsidRDefault="00E57EDB" w:rsidP="00A466C1">
                  <w:pPr>
                    <w:pStyle w:val="TableUnitsRow"/>
                    <w:jc w:val="left"/>
                  </w:pPr>
                  <w:r>
                    <w:t>Costly chemical registration</w:t>
                  </w:r>
                </w:p>
              </w:tc>
              <w:tc>
                <w:tcPr>
                  <w:tcW w:w="1666" w:type="pct"/>
                </w:tcPr>
                <w:p w:rsidR="00E57EDB" w:rsidRDefault="00E57EDB" w:rsidP="00A466C1">
                  <w:pPr>
                    <w:pStyle w:val="TableUnitsRow"/>
                    <w:ind w:right="28"/>
                    <w:jc w:val="left"/>
                  </w:pPr>
                  <w:r>
                    <w:t xml:space="preserve">Missed market opportunities </w:t>
                  </w:r>
                </w:p>
              </w:tc>
            </w:tr>
            <w:tr w:rsidR="00E57EDB" w:rsidTr="00C55DB4">
              <w:tc>
                <w:tcPr>
                  <w:tcW w:w="1667" w:type="pct"/>
                </w:tcPr>
                <w:p w:rsidR="00E57EDB" w:rsidRDefault="00E57EDB" w:rsidP="00A466C1">
                  <w:pPr>
                    <w:pStyle w:val="TableUnitsRow"/>
                    <w:jc w:val="left"/>
                  </w:pPr>
                  <w:r>
                    <w:t>Conserving soil moisture</w:t>
                  </w:r>
                </w:p>
              </w:tc>
              <w:tc>
                <w:tcPr>
                  <w:tcW w:w="1667" w:type="pct"/>
                </w:tcPr>
                <w:p w:rsidR="00E57EDB" w:rsidRDefault="00E57EDB" w:rsidP="00A466C1">
                  <w:pPr>
                    <w:pStyle w:val="TableUnitsRow"/>
                    <w:jc w:val="left"/>
                  </w:pPr>
                  <w:r>
                    <w:t>Overly prescriptive regulation</w:t>
                  </w:r>
                </w:p>
              </w:tc>
              <w:tc>
                <w:tcPr>
                  <w:tcW w:w="1666" w:type="pct"/>
                </w:tcPr>
                <w:p w:rsidR="00E57EDB" w:rsidRDefault="00E57EDB" w:rsidP="00A466C1">
                  <w:pPr>
                    <w:pStyle w:val="TableUnitsRow"/>
                    <w:ind w:right="28"/>
                    <w:jc w:val="left"/>
                  </w:pPr>
                  <w:r>
                    <w:t>Lost crop opportunities, low yields</w:t>
                  </w:r>
                </w:p>
              </w:tc>
            </w:tr>
            <w:tr w:rsidR="00E57EDB" w:rsidTr="00C55DB4">
              <w:tc>
                <w:tcPr>
                  <w:tcW w:w="1667" w:type="pct"/>
                </w:tcPr>
                <w:p w:rsidR="00E57EDB" w:rsidRDefault="00E57EDB" w:rsidP="00A466C1">
                  <w:pPr>
                    <w:pStyle w:val="TableUnitsRow"/>
                    <w:jc w:val="left"/>
                  </w:pPr>
                  <w:r>
                    <w:t>Keeping staff safe at work</w:t>
                  </w:r>
                </w:p>
              </w:tc>
              <w:tc>
                <w:tcPr>
                  <w:tcW w:w="1667" w:type="pct"/>
                </w:tcPr>
                <w:p w:rsidR="00E57EDB" w:rsidRDefault="00E57EDB" w:rsidP="00A466C1">
                  <w:pPr>
                    <w:pStyle w:val="TableUnitsRow"/>
                    <w:jc w:val="left"/>
                  </w:pPr>
                  <w:r>
                    <w:t>Risk shifted to employers</w:t>
                  </w:r>
                </w:p>
              </w:tc>
              <w:tc>
                <w:tcPr>
                  <w:tcW w:w="1666" w:type="pct"/>
                </w:tcPr>
                <w:p w:rsidR="00E57EDB" w:rsidRDefault="00E57EDB" w:rsidP="00A466C1">
                  <w:pPr>
                    <w:pStyle w:val="TableUnitsRow"/>
                    <w:ind w:right="28"/>
                    <w:jc w:val="left"/>
                  </w:pPr>
                  <w:r>
                    <w:t>Reduce</w:t>
                  </w:r>
                  <w:r w:rsidR="00DF5972">
                    <w:t>d</w:t>
                  </w:r>
                  <w:r>
                    <w:t xml:space="preserve"> workforce, inefficient use of machinery</w:t>
                  </w:r>
                </w:p>
              </w:tc>
            </w:tr>
            <w:tr w:rsidR="00E57EDB" w:rsidTr="00C55DB4">
              <w:tc>
                <w:tcPr>
                  <w:tcW w:w="1667" w:type="pct"/>
                </w:tcPr>
                <w:p w:rsidR="00E57EDB" w:rsidRDefault="00E57EDB" w:rsidP="00A466C1">
                  <w:pPr>
                    <w:pStyle w:val="TableUnitsRow"/>
                    <w:jc w:val="left"/>
                  </w:pPr>
                  <w:r>
                    <w:t>Developing a new property</w:t>
                  </w:r>
                </w:p>
              </w:tc>
              <w:tc>
                <w:tcPr>
                  <w:tcW w:w="1667" w:type="pct"/>
                </w:tcPr>
                <w:p w:rsidR="00E57EDB" w:rsidRDefault="00E57EDB" w:rsidP="00084679">
                  <w:pPr>
                    <w:pStyle w:val="TableUnitsRow"/>
                    <w:jc w:val="left"/>
                  </w:pPr>
                  <w:r>
                    <w:t xml:space="preserve">Native vegetation regulation </w:t>
                  </w:r>
                </w:p>
              </w:tc>
              <w:tc>
                <w:tcPr>
                  <w:tcW w:w="1666" w:type="pct"/>
                </w:tcPr>
                <w:p w:rsidR="00E57EDB" w:rsidRDefault="00E57EDB" w:rsidP="00A466C1">
                  <w:pPr>
                    <w:pStyle w:val="TableUnitsRow"/>
                    <w:ind w:right="28"/>
                    <w:jc w:val="left"/>
                  </w:pPr>
                  <w:r>
                    <w:t>Lost investment opportunity</w:t>
                  </w:r>
                </w:p>
              </w:tc>
            </w:tr>
            <w:tr w:rsidR="00E57EDB" w:rsidTr="00C55DB4">
              <w:tc>
                <w:tcPr>
                  <w:tcW w:w="3334" w:type="pct"/>
                  <w:gridSpan w:val="2"/>
                </w:tcPr>
                <w:p w:rsidR="00E57EDB" w:rsidRDefault="004C142E" w:rsidP="00D24F21">
                  <w:pPr>
                    <w:pStyle w:val="TableColumnHeading"/>
                    <w:spacing w:before="240"/>
                    <w:jc w:val="left"/>
                  </w:pPr>
                  <w:r w:rsidRPr="00171DE8">
                    <w:rPr>
                      <w:b/>
                      <w:i w:val="0"/>
                      <w:sz w:val="20"/>
                    </w:rPr>
                    <w:t xml:space="preserve">Vegetables — </w:t>
                  </w:r>
                  <w:r w:rsidR="00171DE8">
                    <w:rPr>
                      <w:b/>
                      <w:i w:val="0"/>
                      <w:sz w:val="20"/>
                    </w:rPr>
                    <w:t>s</w:t>
                  </w:r>
                  <w:r w:rsidRPr="00E219E2">
                    <w:rPr>
                      <w:b/>
                      <w:i w:val="0"/>
                      <w:sz w:val="20"/>
                    </w:rPr>
                    <w:t xml:space="preserve">outh </w:t>
                  </w:r>
                  <w:r w:rsidR="00171DE8">
                    <w:rPr>
                      <w:b/>
                      <w:i w:val="0"/>
                      <w:sz w:val="20"/>
                    </w:rPr>
                    <w:t>e</w:t>
                  </w:r>
                  <w:r w:rsidRPr="00E219E2">
                    <w:rPr>
                      <w:b/>
                      <w:i w:val="0"/>
                      <w:sz w:val="20"/>
                    </w:rPr>
                    <w:t>ast</w:t>
                  </w:r>
                  <w:r w:rsidRPr="00171DE8">
                    <w:rPr>
                      <w:b/>
                      <w:i w:val="0"/>
                      <w:sz w:val="20"/>
                    </w:rPr>
                    <w:t xml:space="preserve"> Queensland</w:t>
                  </w:r>
                  <w:r>
                    <w:rPr>
                      <w:b/>
                    </w:rPr>
                    <w:t xml:space="preserve"> </w:t>
                  </w:r>
                </w:p>
              </w:tc>
              <w:tc>
                <w:tcPr>
                  <w:tcW w:w="1666" w:type="pct"/>
                </w:tcPr>
                <w:p w:rsidR="00E57EDB" w:rsidRDefault="00E57EDB" w:rsidP="00A466C1">
                  <w:pPr>
                    <w:pStyle w:val="TableUnitsRow"/>
                    <w:ind w:right="28"/>
                  </w:pPr>
                </w:p>
              </w:tc>
            </w:tr>
            <w:tr w:rsidR="00E57EDB" w:rsidTr="00A466C1">
              <w:tc>
                <w:tcPr>
                  <w:tcW w:w="1667" w:type="pct"/>
                </w:tcPr>
                <w:p w:rsidR="00E57EDB" w:rsidRPr="00C80536" w:rsidRDefault="00E57EDB" w:rsidP="00C55DB4">
                  <w:pPr>
                    <w:pStyle w:val="TableColumnHeading"/>
                    <w:jc w:val="left"/>
                  </w:pPr>
                  <w:r w:rsidRPr="00C80536">
                    <w:t>Activity</w:t>
                  </w:r>
                </w:p>
              </w:tc>
              <w:tc>
                <w:tcPr>
                  <w:tcW w:w="1667" w:type="pct"/>
                </w:tcPr>
                <w:p w:rsidR="00E57EDB" w:rsidRPr="00D31908" w:rsidRDefault="00E57EDB" w:rsidP="00C55DB4">
                  <w:pPr>
                    <w:pStyle w:val="TableColumnHeading"/>
                    <w:jc w:val="left"/>
                  </w:pPr>
                  <w:r w:rsidRPr="00D31908">
                    <w:t>Regulation/issue</w:t>
                  </w:r>
                </w:p>
              </w:tc>
              <w:tc>
                <w:tcPr>
                  <w:tcW w:w="1666" w:type="pct"/>
                </w:tcPr>
                <w:p w:rsidR="00E57EDB" w:rsidRPr="00C80536" w:rsidRDefault="00E57EDB" w:rsidP="00C55DB4">
                  <w:pPr>
                    <w:pStyle w:val="TableColumnHeading"/>
                    <w:jc w:val="left"/>
                  </w:pPr>
                  <w:r w:rsidRPr="00C80536">
                    <w:t xml:space="preserve">Impact </w:t>
                  </w:r>
                </w:p>
              </w:tc>
            </w:tr>
            <w:tr w:rsidR="00E57EDB" w:rsidTr="00C55DB4">
              <w:tc>
                <w:tcPr>
                  <w:tcW w:w="1667" w:type="pct"/>
                  <w:shd w:val="clear" w:color="auto" w:fill="auto"/>
                </w:tcPr>
                <w:p w:rsidR="00E57EDB" w:rsidRDefault="00E57EDB" w:rsidP="00A466C1">
                  <w:pPr>
                    <w:pStyle w:val="TableBodyText"/>
                    <w:jc w:val="left"/>
                  </w:pPr>
                  <w:r>
                    <w:t>Moving farm machinery</w:t>
                  </w:r>
                </w:p>
              </w:tc>
              <w:tc>
                <w:tcPr>
                  <w:tcW w:w="1667" w:type="pct"/>
                  <w:shd w:val="clear" w:color="auto" w:fill="auto"/>
                </w:tcPr>
                <w:p w:rsidR="00E57EDB" w:rsidRDefault="00C55DB4" w:rsidP="00A466C1">
                  <w:pPr>
                    <w:pStyle w:val="TableBodyText"/>
                    <w:jc w:val="left"/>
                  </w:pPr>
                  <w:r>
                    <w:t>L</w:t>
                  </w:r>
                  <w:r w:rsidR="00E57EDB">
                    <w:t>ocal knowledge</w:t>
                  </w:r>
                  <w:r>
                    <w:t xml:space="preserve"> is ignored</w:t>
                  </w:r>
                </w:p>
              </w:tc>
              <w:tc>
                <w:tcPr>
                  <w:tcW w:w="1666" w:type="pct"/>
                  <w:shd w:val="clear" w:color="auto" w:fill="auto"/>
                </w:tcPr>
                <w:p w:rsidR="00E57EDB" w:rsidRDefault="00E57EDB" w:rsidP="00A466C1">
                  <w:pPr>
                    <w:pStyle w:val="TableBodyText"/>
                    <w:ind w:right="28"/>
                    <w:jc w:val="left"/>
                  </w:pPr>
                  <w:r>
                    <w:t>Increase</w:t>
                  </w:r>
                  <w:r w:rsidR="00C55DB4">
                    <w:t>d</w:t>
                  </w:r>
                  <w:r>
                    <w:t xml:space="preserve"> farm cost</w:t>
                  </w:r>
                  <w:r w:rsidR="00090405">
                    <w:t>s</w:t>
                  </w:r>
                  <w:r>
                    <w:t>, reduce</w:t>
                  </w:r>
                  <w:r w:rsidR="00C55DB4">
                    <w:t>d</w:t>
                  </w:r>
                  <w:r>
                    <w:t xml:space="preserve"> road safety</w:t>
                  </w:r>
                </w:p>
              </w:tc>
            </w:tr>
            <w:tr w:rsidR="00E57EDB" w:rsidTr="00C55DB4">
              <w:tc>
                <w:tcPr>
                  <w:tcW w:w="1667" w:type="pct"/>
                  <w:shd w:val="clear" w:color="auto" w:fill="auto"/>
                </w:tcPr>
                <w:p w:rsidR="00E57EDB" w:rsidRDefault="00A466C1" w:rsidP="00A466C1">
                  <w:pPr>
                    <w:pStyle w:val="TableBodyText"/>
                    <w:jc w:val="left"/>
                  </w:pPr>
                  <w:r>
                    <w:t>Labour hire companies</w:t>
                  </w:r>
                </w:p>
              </w:tc>
              <w:tc>
                <w:tcPr>
                  <w:tcW w:w="1667" w:type="pct"/>
                  <w:shd w:val="clear" w:color="auto" w:fill="auto"/>
                </w:tcPr>
                <w:p w:rsidR="00E57EDB" w:rsidRDefault="00A466C1" w:rsidP="00A466C1">
                  <w:pPr>
                    <w:pStyle w:val="TableBodyText"/>
                    <w:jc w:val="left"/>
                  </w:pPr>
                  <w:r>
                    <w:t>Illegitimate employment contracts</w:t>
                  </w:r>
                </w:p>
              </w:tc>
              <w:tc>
                <w:tcPr>
                  <w:tcW w:w="1666" w:type="pct"/>
                  <w:shd w:val="clear" w:color="auto" w:fill="auto"/>
                </w:tcPr>
                <w:p w:rsidR="00E57EDB" w:rsidRDefault="00A466C1" w:rsidP="00A466C1">
                  <w:pPr>
                    <w:pStyle w:val="TableBodyText"/>
                    <w:ind w:right="28"/>
                    <w:jc w:val="left"/>
                  </w:pPr>
                  <w:r>
                    <w:t>Undercut legitimate employers</w:t>
                  </w:r>
                </w:p>
              </w:tc>
            </w:tr>
            <w:tr w:rsidR="00E57EDB" w:rsidTr="00C55DB4">
              <w:tc>
                <w:tcPr>
                  <w:tcW w:w="1667" w:type="pct"/>
                  <w:shd w:val="clear" w:color="auto" w:fill="auto"/>
                </w:tcPr>
                <w:p w:rsidR="00E57EDB" w:rsidRDefault="00E57EDB" w:rsidP="00A466C1">
                  <w:pPr>
                    <w:pStyle w:val="TableBodyText"/>
                    <w:jc w:val="left"/>
                  </w:pPr>
                  <w:r>
                    <w:t>Keeping staff safe at work</w:t>
                  </w:r>
                </w:p>
              </w:tc>
              <w:tc>
                <w:tcPr>
                  <w:tcW w:w="1667" w:type="pct"/>
                  <w:shd w:val="clear" w:color="auto" w:fill="auto"/>
                </w:tcPr>
                <w:p w:rsidR="00E57EDB" w:rsidRDefault="00E57EDB" w:rsidP="00A466C1">
                  <w:pPr>
                    <w:pStyle w:val="TableBodyText"/>
                    <w:jc w:val="left"/>
                  </w:pPr>
                  <w:r>
                    <w:t>Risk shifted to employers</w:t>
                  </w:r>
                </w:p>
              </w:tc>
              <w:tc>
                <w:tcPr>
                  <w:tcW w:w="1666" w:type="pct"/>
                  <w:shd w:val="clear" w:color="auto" w:fill="auto"/>
                </w:tcPr>
                <w:p w:rsidR="00E57EDB" w:rsidRDefault="00E57EDB" w:rsidP="00C55DB4">
                  <w:pPr>
                    <w:pStyle w:val="TableBodyText"/>
                    <w:ind w:right="28"/>
                    <w:jc w:val="left"/>
                  </w:pPr>
                  <w:r>
                    <w:t>Reduce</w:t>
                  </w:r>
                  <w:r w:rsidR="00DF5972">
                    <w:t>d</w:t>
                  </w:r>
                  <w:r>
                    <w:t xml:space="preserve"> workforce, inefficient use of machinery</w:t>
                  </w:r>
                </w:p>
              </w:tc>
            </w:tr>
            <w:tr w:rsidR="00E57EDB" w:rsidTr="00C55DB4">
              <w:tc>
                <w:tcPr>
                  <w:tcW w:w="1667" w:type="pct"/>
                  <w:shd w:val="clear" w:color="auto" w:fill="auto"/>
                </w:tcPr>
                <w:p w:rsidR="00E57EDB" w:rsidRDefault="00E57EDB" w:rsidP="00A466C1">
                  <w:pPr>
                    <w:pStyle w:val="TableBodyText"/>
                    <w:jc w:val="left"/>
                  </w:pPr>
                  <w:r>
                    <w:t>Purchasing water</w:t>
                  </w:r>
                </w:p>
              </w:tc>
              <w:tc>
                <w:tcPr>
                  <w:tcW w:w="1667" w:type="pct"/>
                  <w:shd w:val="clear" w:color="auto" w:fill="auto"/>
                </w:tcPr>
                <w:p w:rsidR="00E57EDB" w:rsidRDefault="00E57EDB" w:rsidP="00A466C1">
                  <w:pPr>
                    <w:pStyle w:val="TableBodyText"/>
                    <w:jc w:val="left"/>
                  </w:pPr>
                  <w:r>
                    <w:t>Cost padding by utilities</w:t>
                  </w:r>
                </w:p>
              </w:tc>
              <w:tc>
                <w:tcPr>
                  <w:tcW w:w="1666" w:type="pct"/>
                  <w:shd w:val="clear" w:color="auto" w:fill="auto"/>
                </w:tcPr>
                <w:p w:rsidR="00E57EDB" w:rsidRDefault="00E57EDB" w:rsidP="00A466C1">
                  <w:pPr>
                    <w:pStyle w:val="TableBodyText"/>
                    <w:ind w:right="28"/>
                    <w:jc w:val="left"/>
                  </w:pPr>
                  <w:r>
                    <w:t>Increase</w:t>
                  </w:r>
                  <w:r w:rsidR="00C55DB4">
                    <w:t>d</w:t>
                  </w:r>
                  <w:r>
                    <w:t xml:space="preserve"> costs, reduced profit</w:t>
                  </w:r>
                </w:p>
              </w:tc>
            </w:tr>
            <w:tr w:rsidR="00E57EDB" w:rsidTr="00C55DB4">
              <w:tc>
                <w:tcPr>
                  <w:tcW w:w="1667" w:type="pct"/>
                  <w:shd w:val="clear" w:color="auto" w:fill="auto"/>
                </w:tcPr>
                <w:p w:rsidR="00E57EDB" w:rsidRDefault="00E57EDB" w:rsidP="00A466C1">
                  <w:pPr>
                    <w:pStyle w:val="TableBodyText"/>
                    <w:jc w:val="left"/>
                  </w:pPr>
                  <w:r>
                    <w:t>Using more selective chemicals</w:t>
                  </w:r>
                </w:p>
              </w:tc>
              <w:tc>
                <w:tcPr>
                  <w:tcW w:w="1667" w:type="pct"/>
                  <w:shd w:val="clear" w:color="auto" w:fill="auto"/>
                </w:tcPr>
                <w:p w:rsidR="00E57EDB" w:rsidRDefault="00E57EDB" w:rsidP="00A466C1">
                  <w:pPr>
                    <w:pStyle w:val="TableBodyText"/>
                    <w:jc w:val="left"/>
                  </w:pPr>
                  <w:r>
                    <w:t>Foreign testing not accepted</w:t>
                  </w:r>
                </w:p>
                <w:p w:rsidR="00E57EDB" w:rsidRDefault="00E57EDB" w:rsidP="00ED5039">
                  <w:pPr>
                    <w:pStyle w:val="TableBodyText"/>
                    <w:jc w:val="left"/>
                  </w:pPr>
                  <w:r>
                    <w:t>Industry collaboration forgone</w:t>
                  </w:r>
                </w:p>
              </w:tc>
              <w:tc>
                <w:tcPr>
                  <w:tcW w:w="1666" w:type="pct"/>
                  <w:shd w:val="clear" w:color="auto" w:fill="auto"/>
                </w:tcPr>
                <w:p w:rsidR="00E57EDB" w:rsidRDefault="00E57EDB" w:rsidP="00A466C1">
                  <w:pPr>
                    <w:pStyle w:val="TableBodyText"/>
                    <w:ind w:right="28"/>
                    <w:jc w:val="left"/>
                  </w:pPr>
                  <w:r>
                    <w:t>Reduced productivity and international competitiveness</w:t>
                  </w:r>
                </w:p>
              </w:tc>
            </w:tr>
            <w:tr w:rsidR="00E57EDB" w:rsidTr="00647FD9">
              <w:tc>
                <w:tcPr>
                  <w:tcW w:w="1667" w:type="pct"/>
                  <w:shd w:val="clear" w:color="auto" w:fill="auto"/>
                </w:tcPr>
                <w:p w:rsidR="00E57EDB" w:rsidRDefault="00BA48CE" w:rsidP="00A466C1">
                  <w:pPr>
                    <w:pStyle w:val="TableBodyText"/>
                    <w:jc w:val="left"/>
                  </w:pPr>
                  <w:r>
                    <w:t>Exporting to new markets</w:t>
                  </w:r>
                </w:p>
              </w:tc>
              <w:tc>
                <w:tcPr>
                  <w:tcW w:w="1667" w:type="pct"/>
                  <w:shd w:val="clear" w:color="auto" w:fill="auto"/>
                </w:tcPr>
                <w:p w:rsidR="00E57EDB" w:rsidRDefault="00BA48CE" w:rsidP="00BA48CE">
                  <w:pPr>
                    <w:pStyle w:val="TableBodyText"/>
                    <w:jc w:val="left"/>
                  </w:pPr>
                  <w:r>
                    <w:t>Costly export certification</w:t>
                  </w:r>
                </w:p>
              </w:tc>
              <w:tc>
                <w:tcPr>
                  <w:tcW w:w="1666" w:type="pct"/>
                  <w:shd w:val="clear" w:color="auto" w:fill="auto"/>
                </w:tcPr>
                <w:p w:rsidR="00E57EDB" w:rsidRDefault="00BA48CE" w:rsidP="00BA48CE">
                  <w:pPr>
                    <w:pStyle w:val="TableBodyText"/>
                    <w:ind w:right="28"/>
                    <w:jc w:val="left"/>
                  </w:pPr>
                  <w:r>
                    <w:t xml:space="preserve">Lost market opportunities </w:t>
                  </w:r>
                </w:p>
              </w:tc>
            </w:tr>
          </w:tbl>
          <w:p w:rsidR="00E57EDB" w:rsidRDefault="00E57EDB" w:rsidP="00A466C1">
            <w:pPr>
              <w:pStyle w:val="Box"/>
            </w:pPr>
          </w:p>
        </w:tc>
      </w:tr>
      <w:tr w:rsidR="00E57EDB" w:rsidTr="00A466C1">
        <w:trPr>
          <w:cantSplit/>
        </w:trPr>
        <w:tc>
          <w:tcPr>
            <w:tcW w:w="8771" w:type="dxa"/>
            <w:tcBorders>
              <w:top w:val="nil"/>
              <w:left w:val="nil"/>
              <w:bottom w:val="single" w:sz="6" w:space="0" w:color="78A22F"/>
              <w:right w:val="nil"/>
            </w:tcBorders>
            <w:shd w:val="clear" w:color="auto" w:fill="auto"/>
          </w:tcPr>
          <w:p w:rsidR="00E57EDB" w:rsidRDefault="00E57EDB" w:rsidP="00A466C1">
            <w:pPr>
              <w:pStyle w:val="Box"/>
              <w:spacing w:before="0" w:line="120" w:lineRule="exact"/>
            </w:pPr>
          </w:p>
        </w:tc>
      </w:tr>
      <w:tr w:rsidR="00E57EDB" w:rsidRPr="000863A5" w:rsidTr="00A466C1">
        <w:tc>
          <w:tcPr>
            <w:tcW w:w="8771" w:type="dxa"/>
            <w:tcBorders>
              <w:top w:val="single" w:sz="6" w:space="0" w:color="78A22F"/>
              <w:left w:val="nil"/>
              <w:bottom w:val="nil"/>
              <w:right w:val="nil"/>
            </w:tcBorders>
          </w:tcPr>
          <w:p w:rsidR="00E57EDB" w:rsidRPr="00626D32" w:rsidRDefault="00E57EDB" w:rsidP="00231603">
            <w:pPr>
              <w:pStyle w:val="BoxSpaceBelow"/>
            </w:pPr>
          </w:p>
        </w:tc>
      </w:tr>
    </w:tbl>
    <w:p w:rsidR="001F6FF4" w:rsidRPr="00D24F21" w:rsidRDefault="001F6FF4" w:rsidP="00834DCF">
      <w:pPr>
        <w:pStyle w:val="Heading3"/>
        <w:rPr>
          <w:b w:val="0"/>
        </w:rPr>
      </w:pPr>
      <w:r w:rsidRPr="00D24F21">
        <w:rPr>
          <w:b w:val="0"/>
        </w:rPr>
        <w:lastRenderedPageBreak/>
        <w:t>The diversity of regulation</w:t>
      </w:r>
      <w:r w:rsidR="00834DCF" w:rsidRPr="00D24F21">
        <w:rPr>
          <w:b w:val="0"/>
        </w:rPr>
        <w:t>s that apply to farm businesses</w:t>
      </w:r>
    </w:p>
    <w:p w:rsidR="001F6FF4" w:rsidRDefault="00C55DB4" w:rsidP="00061A33">
      <w:pPr>
        <w:pStyle w:val="BodyText"/>
        <w:keepNext/>
      </w:pPr>
      <w:r>
        <w:t>T</w:t>
      </w:r>
      <w:r w:rsidR="001F6FF4">
        <w:t>he m</w:t>
      </w:r>
      <w:r w:rsidR="00784F33">
        <w:t xml:space="preserve">ain reasons for </w:t>
      </w:r>
      <w:r w:rsidR="001F6FF4">
        <w:t xml:space="preserve">the regulatory burden experienced by farm businesses </w:t>
      </w:r>
      <w:r w:rsidR="00784F33">
        <w:t xml:space="preserve">are the quantity, diversity and complexity of regulations that apply to them. </w:t>
      </w:r>
      <w:r w:rsidR="001F6FF4">
        <w:t xml:space="preserve">This diversity was reflected in the types of regulation raised during the case study interviews, including </w:t>
      </w:r>
      <w:r>
        <w:t xml:space="preserve">those </w:t>
      </w:r>
      <w:r w:rsidR="001F6FF4">
        <w:t xml:space="preserve">relating to the environment, water resources, </w:t>
      </w:r>
      <w:r w:rsidR="004C18F4">
        <w:t>biotechnology, transport and</w:t>
      </w:r>
      <w:r w:rsidR="009B5A61">
        <w:t xml:space="preserve"> </w:t>
      </w:r>
      <w:r w:rsidR="00784F33">
        <w:t xml:space="preserve">work </w:t>
      </w:r>
      <w:r w:rsidR="004C18F4">
        <w:t xml:space="preserve">health </w:t>
      </w:r>
      <w:r w:rsidR="001F6FF4">
        <w:t xml:space="preserve">and safety (table </w:t>
      </w:r>
      <w:proofErr w:type="spellStart"/>
      <w:r w:rsidR="001F6FF4">
        <w:t>C.1</w:t>
      </w:r>
      <w:proofErr w:type="spellEnd"/>
      <w:r w:rsidR="001F6FF4">
        <w:t>).</w:t>
      </w:r>
    </w:p>
    <w:p w:rsidR="00630670" w:rsidRDefault="00630670" w:rsidP="00630670">
      <w:pPr>
        <w:pStyle w:val="BodyText"/>
      </w:pPr>
      <w:r>
        <w:t xml:space="preserve">The case study interviews confirmed that the </w:t>
      </w:r>
      <w:r w:rsidR="00784F33">
        <w:t xml:space="preserve">quantity and </w:t>
      </w:r>
      <w:r>
        <w:t xml:space="preserve">diversity of regulation that farmers have to deal </w:t>
      </w:r>
      <w:r w:rsidR="002D364D">
        <w:t xml:space="preserve">with </w:t>
      </w:r>
      <w:r w:rsidR="004C2C49">
        <w:t xml:space="preserve">results in a lot of time spent </w:t>
      </w:r>
      <w:r>
        <w:t>keep</w:t>
      </w:r>
      <w:r w:rsidR="004C2C49">
        <w:t>ing</w:t>
      </w:r>
      <w:r>
        <w:t xml:space="preserve"> track of regulation and comply</w:t>
      </w:r>
      <w:r w:rsidR="00144974">
        <w:t>ing</w:t>
      </w:r>
      <w:r>
        <w:t xml:space="preserve"> with it. The time and effort required to keep track of regulation is further compounded when activities or issues are regulated by multiple agencies in </w:t>
      </w:r>
      <w:r w:rsidR="004C2C49">
        <w:t xml:space="preserve">many </w:t>
      </w:r>
      <w:r>
        <w:t>jurisdictions, and when these regulations are subject to constant change</w:t>
      </w:r>
      <w:r w:rsidR="0027754F">
        <w:t xml:space="preserve"> (box</w:t>
      </w:r>
      <w:r w:rsidR="009B5A61">
        <w:t> </w:t>
      </w:r>
      <w:r w:rsidR="0027754F">
        <w:t>4.4)</w:t>
      </w:r>
      <w:r>
        <w:t>.</w:t>
      </w:r>
    </w:p>
    <w:p w:rsidR="00630670" w:rsidRDefault="004C2C49" w:rsidP="00630670">
      <w:pPr>
        <w:pStyle w:val="BodyText"/>
      </w:pPr>
      <w:r>
        <w:t xml:space="preserve">The farm </w:t>
      </w:r>
      <w:r w:rsidR="00630670">
        <w:t xml:space="preserve">businesses </w:t>
      </w:r>
      <w:r w:rsidR="00C77576">
        <w:t>th</w:t>
      </w:r>
      <w:r>
        <w:t xml:space="preserve">at the </w:t>
      </w:r>
      <w:r w:rsidR="00C77576">
        <w:t>Commission</w:t>
      </w:r>
      <w:r w:rsidR="00630670">
        <w:t xml:space="preserve"> interviewed</w:t>
      </w:r>
      <w:r>
        <w:t xml:space="preserve"> had </w:t>
      </w:r>
      <w:r w:rsidR="00630670">
        <w:t xml:space="preserve">dedicated farm managers </w:t>
      </w:r>
      <w:r>
        <w:t xml:space="preserve">to </w:t>
      </w:r>
      <w:r w:rsidR="00630670">
        <w:t>manag</w:t>
      </w:r>
      <w:r>
        <w:t xml:space="preserve">e </w:t>
      </w:r>
      <w:r w:rsidR="00630670">
        <w:t>the day</w:t>
      </w:r>
      <w:r w:rsidR="009B5A61">
        <w:noBreakHyphen/>
      </w:r>
      <w:r w:rsidR="00630670">
        <w:t>to</w:t>
      </w:r>
      <w:r w:rsidR="009B5A61">
        <w:noBreakHyphen/>
      </w:r>
      <w:r w:rsidR="00630670">
        <w:t xml:space="preserve">day farming operations when the owner/operator was </w:t>
      </w:r>
      <w:r>
        <w:t xml:space="preserve">dealing with </w:t>
      </w:r>
      <w:r w:rsidR="00630670">
        <w:t xml:space="preserve">regulatory compliance. </w:t>
      </w:r>
      <w:r w:rsidR="00144974">
        <w:t>In s</w:t>
      </w:r>
      <w:r w:rsidR="00630670">
        <w:t>maller farm businesses</w:t>
      </w:r>
      <w:r w:rsidR="00144974">
        <w:t>, an individual farmer</w:t>
      </w:r>
      <w:r w:rsidR="00630670">
        <w:t xml:space="preserve"> </w:t>
      </w:r>
      <w:r w:rsidR="00144974">
        <w:t xml:space="preserve">may </w:t>
      </w:r>
      <w:r w:rsidR="00630670">
        <w:t>need to manage farming activities and comply with regulation at the same time.</w:t>
      </w:r>
    </w:p>
    <w:p w:rsidR="00630670" w:rsidRPr="00D24F21" w:rsidRDefault="00630670" w:rsidP="00D24F21">
      <w:pPr>
        <w:pStyle w:val="Heading3"/>
        <w:ind w:right="-283"/>
        <w:rPr>
          <w:b w:val="0"/>
          <w:spacing w:val="-4"/>
        </w:rPr>
      </w:pPr>
      <w:r w:rsidRPr="00D24F21">
        <w:rPr>
          <w:b w:val="0"/>
          <w:spacing w:val="-4"/>
        </w:rPr>
        <w:t>The timing of farming operations is often incompatible with regulatory timeframes</w:t>
      </w:r>
    </w:p>
    <w:p w:rsidR="00630670" w:rsidRDefault="00630670" w:rsidP="00630670">
      <w:pPr>
        <w:pStyle w:val="BodyText"/>
      </w:pPr>
      <w:r>
        <w:t>The case studies revealed that regulatory burden is not just a function of the time and effort required to keep track of regulation and comply with it, it is also a function of when th</w:t>
      </w:r>
      <w:r w:rsidR="004C2C49">
        <w:t xml:space="preserve">e </w:t>
      </w:r>
      <w:r>
        <w:t>time and effort is required. All three case studies revealed that the timing of agricultural operations can be critical to productivity, and that there are tight windows of opportunity set by markets and weather conditions during which farming operations have to be completed for productivity and profitability goals to be met</w:t>
      </w:r>
      <w:r w:rsidR="002A72D0">
        <w:t xml:space="preserve"> (box</w:t>
      </w:r>
      <w:r w:rsidR="009B5A61">
        <w:t> </w:t>
      </w:r>
      <w:r w:rsidR="002A72D0">
        <w:t>4.3)</w:t>
      </w:r>
      <w:r>
        <w:t>.</w:t>
      </w:r>
    </w:p>
    <w:p w:rsidR="00E57EDB" w:rsidRDefault="00E57EDB" w:rsidP="00630670">
      <w:pPr>
        <w:pStyle w:val="BodyText"/>
      </w:pPr>
      <w:r>
        <w:t xml:space="preserve">The flexibility needed to rapidly adapt farming operations to changes in market and seasonal conditions </w:t>
      </w:r>
      <w:r w:rsidR="001E08A4">
        <w:t xml:space="preserve">can be </w:t>
      </w:r>
      <w:r>
        <w:t xml:space="preserve">incompatible with the fixed deadlines that apply to regulatory compliance. For example, the timing of sowing operations can determine the profitability of a crop and have a significant influence on the farm’s income. </w:t>
      </w:r>
      <w:r w:rsidR="001E08A4">
        <w:t xml:space="preserve">All </w:t>
      </w:r>
      <w:r>
        <w:t>three farm</w:t>
      </w:r>
      <w:r w:rsidR="001E08A4">
        <w:t xml:space="preserve"> businesses that </w:t>
      </w:r>
      <w:r w:rsidR="00BB3BDE">
        <w:t>the Commission</w:t>
      </w:r>
      <w:r>
        <w:t xml:space="preserve"> spoke to said that this routinely places farmers in the difficult position of choosing between regulatory compliance and </w:t>
      </w:r>
      <w:r w:rsidR="00BB3BDE">
        <w:t xml:space="preserve">higher </w:t>
      </w:r>
      <w:r>
        <w:t>profitability. Several of the examples in the case studies show why otherwise apparently minor regulatory compliance activities</w:t>
      </w:r>
      <w:r w:rsidR="00C55DB4">
        <w:t>,</w:t>
      </w:r>
      <w:r>
        <w:t xml:space="preserve"> such as reporting water use</w:t>
      </w:r>
      <w:r w:rsidR="00BB3BDE">
        <w:t xml:space="preserve"> </w:t>
      </w:r>
      <w:r w:rsidR="001E08A4">
        <w:t>or getting a permit to move agricultur</w:t>
      </w:r>
      <w:r w:rsidR="006A2C58">
        <w:t>al</w:t>
      </w:r>
      <w:r w:rsidR="001E08A4">
        <w:t xml:space="preserve"> machinery</w:t>
      </w:r>
      <w:r w:rsidR="00C55DB4">
        <w:t>,</w:t>
      </w:r>
      <w:r w:rsidR="001E08A4">
        <w:t xml:space="preserve"> </w:t>
      </w:r>
      <w:r>
        <w:t>can cause significant stress during peak periods of farming activity.</w:t>
      </w:r>
    </w:p>
    <w:p w:rsidR="00E57EDB" w:rsidRPr="00D24F21" w:rsidRDefault="00BB3BDE" w:rsidP="00D24F21">
      <w:pPr>
        <w:pStyle w:val="Heading3"/>
        <w:rPr>
          <w:b w:val="0"/>
        </w:rPr>
      </w:pPr>
      <w:r w:rsidRPr="00D24F21">
        <w:rPr>
          <w:b w:val="0"/>
        </w:rPr>
        <w:t xml:space="preserve">Conflicts between the goals of </w:t>
      </w:r>
      <w:r w:rsidR="00773CB1" w:rsidRPr="00D24F21">
        <w:rPr>
          <w:b w:val="0"/>
        </w:rPr>
        <w:t>regulators</w:t>
      </w:r>
      <w:r w:rsidRPr="00D24F21">
        <w:rPr>
          <w:b w:val="0"/>
        </w:rPr>
        <w:t xml:space="preserve"> and </w:t>
      </w:r>
      <w:r w:rsidR="008C37FD" w:rsidRPr="00D24F21">
        <w:rPr>
          <w:b w:val="0"/>
        </w:rPr>
        <w:t xml:space="preserve">the goals of </w:t>
      </w:r>
      <w:r w:rsidRPr="00D24F21">
        <w:rPr>
          <w:b w:val="0"/>
        </w:rPr>
        <w:t>farm operators</w:t>
      </w:r>
    </w:p>
    <w:p w:rsidR="00E57EDB" w:rsidRDefault="001E08A4" w:rsidP="00E57EDB">
      <w:pPr>
        <w:pStyle w:val="BodyText"/>
      </w:pPr>
      <w:r>
        <w:t>All three farm businesses mentioned that regulatory agencies can have responsibility for a specific type of regulation</w:t>
      </w:r>
      <w:r w:rsidR="002D7E92">
        <w:t>,</w:t>
      </w:r>
      <w:r>
        <w:t xml:space="preserve"> and the</w:t>
      </w:r>
      <w:r w:rsidR="00AC68F4">
        <w:t xml:space="preserve"> goals or objectives of regulators </w:t>
      </w:r>
      <w:r>
        <w:t xml:space="preserve">can be largely unrelated to </w:t>
      </w:r>
      <w:r w:rsidR="00AC68F4">
        <w:t xml:space="preserve">the </w:t>
      </w:r>
      <w:r>
        <w:t xml:space="preserve">goals of </w:t>
      </w:r>
      <w:r w:rsidR="00AC68F4">
        <w:t xml:space="preserve">farmers relating to </w:t>
      </w:r>
      <w:r>
        <w:t>productivity, profitability or sustaina</w:t>
      </w:r>
      <w:r w:rsidR="00231603">
        <w:t>bility (boxes 2.10</w:t>
      </w:r>
      <w:r w:rsidR="003C40E6">
        <w:t> and</w:t>
      </w:r>
      <w:r w:rsidR="00231603">
        <w:t> </w:t>
      </w:r>
      <w:r w:rsidR="00061A33">
        <w:t>3.5</w:t>
      </w:r>
      <w:r w:rsidR="00231603">
        <w:t>).</w:t>
      </w:r>
      <w:r w:rsidR="00AC68F4" w:rsidDel="00AC68F4">
        <w:t xml:space="preserve"> </w:t>
      </w:r>
    </w:p>
    <w:p w:rsidR="00E57EDB" w:rsidRDefault="00AC68F4" w:rsidP="00E57EDB">
      <w:pPr>
        <w:pStyle w:val="BodyText"/>
      </w:pPr>
      <w:r>
        <w:lastRenderedPageBreak/>
        <w:t xml:space="preserve">The farm businesses argued </w:t>
      </w:r>
      <w:r w:rsidR="00C55DB4">
        <w:t xml:space="preserve">that there was a need </w:t>
      </w:r>
      <w:r w:rsidR="00E57EDB">
        <w:t xml:space="preserve">for </w:t>
      </w:r>
      <w:r w:rsidR="008C37FD">
        <w:t xml:space="preserve">more </w:t>
      </w:r>
      <w:r w:rsidR="00E57EDB">
        <w:t>participatory approaches</w:t>
      </w:r>
      <w:r w:rsidR="008C37FD">
        <w:t xml:space="preserve"> </w:t>
      </w:r>
      <w:r>
        <w:t xml:space="preserve">to allow </w:t>
      </w:r>
      <w:r w:rsidR="00E57EDB">
        <w:t xml:space="preserve">regulators to tailor </w:t>
      </w:r>
      <w:r w:rsidR="00C8520C">
        <w:t xml:space="preserve">compliance with </w:t>
      </w:r>
      <w:r w:rsidR="00E57EDB">
        <w:t xml:space="preserve">regulation to local operating contexts. </w:t>
      </w:r>
    </w:p>
    <w:p w:rsidR="00E57EDB" w:rsidRPr="00D24F21" w:rsidRDefault="007E31DF" w:rsidP="00D24F21">
      <w:pPr>
        <w:pStyle w:val="Heading3"/>
        <w:rPr>
          <w:b w:val="0"/>
        </w:rPr>
      </w:pPr>
      <w:r w:rsidRPr="00D24F21">
        <w:rPr>
          <w:b w:val="0"/>
        </w:rPr>
        <w:t>Farming w</w:t>
      </w:r>
      <w:r w:rsidR="00E57EDB" w:rsidRPr="00D24F21">
        <w:rPr>
          <w:b w:val="0"/>
        </w:rPr>
        <w:t>ork styles</w:t>
      </w:r>
      <w:r w:rsidRPr="00D24F21">
        <w:rPr>
          <w:b w:val="0"/>
        </w:rPr>
        <w:t xml:space="preserve"> may not match those needed to comply with regulation</w:t>
      </w:r>
    </w:p>
    <w:p w:rsidR="00E57EDB" w:rsidRDefault="00AC68F4" w:rsidP="00E57EDB">
      <w:pPr>
        <w:pStyle w:val="BodyText"/>
      </w:pPr>
      <w:r>
        <w:t xml:space="preserve">The </w:t>
      </w:r>
      <w:r w:rsidR="00E57EDB">
        <w:t>farm businesses</w:t>
      </w:r>
      <w:r w:rsidR="007C3226">
        <w:t xml:space="preserve"> </w:t>
      </w:r>
      <w:r>
        <w:t xml:space="preserve">also said one of the reasons why they </w:t>
      </w:r>
      <w:r w:rsidR="00E57EDB">
        <w:t>feel burdened by regulation is that the administrative nature of complying with regulation is very different to the nature of nearly all other aspects of farm</w:t>
      </w:r>
      <w:r w:rsidR="009B5A61">
        <w:noBreakHyphen/>
      </w:r>
      <w:r w:rsidR="00E57EDB">
        <w:t>based work</w:t>
      </w:r>
      <w:r>
        <w:t xml:space="preserve"> (including </w:t>
      </w:r>
      <w:r w:rsidR="00E57EDB">
        <w:t xml:space="preserve">working outdoors doing physically demanding tasks </w:t>
      </w:r>
      <w:r>
        <w:t xml:space="preserve">and </w:t>
      </w:r>
      <w:r w:rsidR="00E57EDB">
        <w:t>operati</w:t>
      </w:r>
      <w:r>
        <w:t xml:space="preserve">ng </w:t>
      </w:r>
      <w:r w:rsidR="00E57EDB">
        <w:t>heavy machinery</w:t>
      </w:r>
      <w:r>
        <w:t>)</w:t>
      </w:r>
      <w:r w:rsidR="00E57EDB">
        <w:t xml:space="preserve">. </w:t>
      </w:r>
    </w:p>
    <w:p w:rsidR="00E57EDB" w:rsidRDefault="00E57EDB" w:rsidP="00E57EDB">
      <w:pPr>
        <w:pStyle w:val="BodyText"/>
      </w:pPr>
      <w:r>
        <w:t xml:space="preserve">Two of the farm businesses the Commission spoke to employed full time Chief Financial Officers, both of whom were qualified accountants and played </w:t>
      </w:r>
      <w:r w:rsidR="00AC68F4">
        <w:t xml:space="preserve">key </w:t>
      </w:r>
      <w:r>
        <w:t xml:space="preserve">roles in </w:t>
      </w:r>
      <w:r w:rsidR="00AC68F4">
        <w:t xml:space="preserve">terms of ensuring </w:t>
      </w:r>
      <w:r>
        <w:t>compl</w:t>
      </w:r>
      <w:r w:rsidR="00AC68F4">
        <w:t xml:space="preserve">iance </w:t>
      </w:r>
      <w:r>
        <w:t xml:space="preserve">with regulation. All </w:t>
      </w:r>
      <w:r w:rsidR="007C3226">
        <w:t xml:space="preserve">three </w:t>
      </w:r>
      <w:r>
        <w:t>farm</w:t>
      </w:r>
      <w:r w:rsidR="00AC68F4">
        <w:t xml:space="preserve"> businesses </w:t>
      </w:r>
      <w:r>
        <w:t>employed office managers who also played a</w:t>
      </w:r>
      <w:r w:rsidR="00E322BD">
        <w:t xml:space="preserve">n important </w:t>
      </w:r>
      <w:r>
        <w:t xml:space="preserve">role complying with regulation. </w:t>
      </w:r>
      <w:r w:rsidR="00AC68F4">
        <w:t xml:space="preserve">While larger farm businesses may be able to </w:t>
      </w:r>
      <w:r>
        <w:t xml:space="preserve">employ </w:t>
      </w:r>
      <w:r w:rsidR="00AC68F4">
        <w:t xml:space="preserve">staff to </w:t>
      </w:r>
      <w:r w:rsidR="00C45061">
        <w:t xml:space="preserve">deal with regulation, smaller farm businesses are more likely to have to leave farm work to deal with regulatory issues. </w:t>
      </w:r>
    </w:p>
    <w:p w:rsidR="00E57EDB" w:rsidRPr="00D24F21" w:rsidRDefault="00FE37D2" w:rsidP="00834DCF">
      <w:pPr>
        <w:pStyle w:val="Heading3"/>
        <w:rPr>
          <w:b w:val="0"/>
        </w:rPr>
      </w:pPr>
      <w:r w:rsidRPr="00D24F21">
        <w:rPr>
          <w:b w:val="0"/>
        </w:rPr>
        <w:t>Cultural d</w:t>
      </w:r>
      <w:r w:rsidR="00627F51" w:rsidRPr="00D24F21">
        <w:rPr>
          <w:b w:val="0"/>
        </w:rPr>
        <w:t xml:space="preserve">ifferences </w:t>
      </w:r>
      <w:r w:rsidRPr="00D24F21">
        <w:rPr>
          <w:b w:val="0"/>
        </w:rPr>
        <w:t>between farm businesses</w:t>
      </w:r>
      <w:r w:rsidR="00627F51" w:rsidRPr="00D24F21">
        <w:rPr>
          <w:b w:val="0"/>
        </w:rPr>
        <w:t xml:space="preserve"> and </w:t>
      </w:r>
      <w:r w:rsidRPr="00D24F21">
        <w:rPr>
          <w:b w:val="0"/>
        </w:rPr>
        <w:t>regulatory agencies</w:t>
      </w:r>
    </w:p>
    <w:p w:rsidR="00E57EDB" w:rsidRDefault="00E57EDB" w:rsidP="00E57EDB">
      <w:pPr>
        <w:pStyle w:val="BodyText"/>
      </w:pPr>
      <w:r>
        <w:t>Farm</w:t>
      </w:r>
      <w:r w:rsidR="009B5A61">
        <w:noBreakHyphen/>
      </w:r>
      <w:r>
        <w:t xml:space="preserve">based work is also highly interpersonal, and often involves working closely with immediate family members. The owner/operators of </w:t>
      </w:r>
      <w:r w:rsidR="00627F51">
        <w:t xml:space="preserve">the three </w:t>
      </w:r>
      <w:r>
        <w:t>farm business</w:t>
      </w:r>
      <w:r w:rsidR="00627F51">
        <w:t xml:space="preserve">es </w:t>
      </w:r>
      <w:r w:rsidR="00B965AD">
        <w:t xml:space="preserve">that </w:t>
      </w:r>
      <w:r w:rsidR="00627F51">
        <w:t>the Commission met with</w:t>
      </w:r>
      <w:r>
        <w:t xml:space="preserve"> lead diverse teams, and rely on trust</w:t>
      </w:r>
      <w:r w:rsidR="009B5A61">
        <w:noBreakHyphen/>
      </w:r>
      <w:r>
        <w:t xml:space="preserve">based relationships with input suppliers and marketing agents. </w:t>
      </w:r>
      <w:r w:rsidR="00C45061">
        <w:t>M</w:t>
      </w:r>
      <w:r>
        <w:t xml:space="preserve">any farming transactions are </w:t>
      </w:r>
      <w:r w:rsidR="00C45061">
        <w:t xml:space="preserve">also </w:t>
      </w:r>
      <w:r>
        <w:t>based on long standing interpersonal relationships and take place face</w:t>
      </w:r>
      <w:r w:rsidR="009B5A61">
        <w:noBreakHyphen/>
      </w:r>
      <w:r>
        <w:t>to</w:t>
      </w:r>
      <w:r w:rsidR="009B5A61">
        <w:noBreakHyphen/>
      </w:r>
      <w:r>
        <w:t xml:space="preserve">face or over the phone. In contrast, </w:t>
      </w:r>
      <w:r w:rsidR="00C45061">
        <w:t xml:space="preserve">the </w:t>
      </w:r>
      <w:r>
        <w:t>farmer</w:t>
      </w:r>
      <w:r w:rsidR="00C45061">
        <w:t xml:space="preserve"> owner/operator</w:t>
      </w:r>
      <w:r>
        <w:t>s described regulation as usually taking place through impersonal paper or web</w:t>
      </w:r>
      <w:r w:rsidR="009B5A61">
        <w:noBreakHyphen/>
      </w:r>
      <w:r>
        <w:t xml:space="preserve">based transactions with institutions represented by individuals who frequently change role. </w:t>
      </w:r>
      <w:r w:rsidR="00E322BD">
        <w:t xml:space="preserve">The owner/operators considered </w:t>
      </w:r>
      <w:r w:rsidR="00627F51">
        <w:t>that t</w:t>
      </w:r>
      <w:r>
        <w:t>his cultural disconnect add</w:t>
      </w:r>
      <w:r w:rsidR="00E322BD">
        <w:t>ed</w:t>
      </w:r>
      <w:r>
        <w:t xml:space="preserve"> to the effort involved in complying with regulation, and work</w:t>
      </w:r>
      <w:r w:rsidR="00E322BD">
        <w:t>ed</w:t>
      </w:r>
      <w:r>
        <w:t xml:space="preserve"> against building the trust</w:t>
      </w:r>
      <w:r w:rsidR="00BF60DE">
        <w:t>, reciprocity and volunteerism</w:t>
      </w:r>
      <w:r>
        <w:t xml:space="preserve"> that would make regulation more effective.</w:t>
      </w:r>
    </w:p>
    <w:p w:rsidR="00E57EDB" w:rsidRDefault="00E57EDB" w:rsidP="00E57EDB">
      <w:pPr>
        <w:pStyle w:val="BodyText"/>
      </w:pPr>
      <w:r>
        <w:t>All three farm</w:t>
      </w:r>
      <w:r w:rsidR="00E322BD">
        <w:t xml:space="preserve"> businesses provided </w:t>
      </w:r>
      <w:r>
        <w:t xml:space="preserve">the Commission </w:t>
      </w:r>
      <w:r w:rsidR="00E322BD">
        <w:t xml:space="preserve">with </w:t>
      </w:r>
      <w:r>
        <w:t xml:space="preserve">examples </w:t>
      </w:r>
      <w:r w:rsidR="00E322BD">
        <w:t xml:space="preserve">of where they considered that better consultation </w:t>
      </w:r>
      <w:r>
        <w:t xml:space="preserve">could have resulted </w:t>
      </w:r>
      <w:r w:rsidR="00795D9A">
        <w:t xml:space="preserve">in </w:t>
      </w:r>
      <w:r>
        <w:t xml:space="preserve">improved outcomes for farmers, the community and the regulator. </w:t>
      </w:r>
      <w:r w:rsidR="00E322BD">
        <w:t>The e</w:t>
      </w:r>
      <w:r>
        <w:t>xamples included the burning of a GM cotton crop</w:t>
      </w:r>
      <w:r w:rsidR="00E322BD">
        <w:t xml:space="preserve">, </w:t>
      </w:r>
      <w:r w:rsidR="002A2EC3">
        <w:t xml:space="preserve">opposition to </w:t>
      </w:r>
      <w:r>
        <w:t>the construction of a bridge</w:t>
      </w:r>
      <w:r w:rsidR="002A2EC3">
        <w:t>,</w:t>
      </w:r>
      <w:r>
        <w:t xml:space="preserve"> and registration of new chemicals in the cotton and horticulture industries. </w:t>
      </w:r>
    </w:p>
    <w:p w:rsidR="00E57EDB" w:rsidRPr="00D24F21" w:rsidRDefault="00B965AD" w:rsidP="00834DCF">
      <w:pPr>
        <w:pStyle w:val="Heading3"/>
        <w:rPr>
          <w:b w:val="0"/>
        </w:rPr>
      </w:pPr>
      <w:r w:rsidRPr="00D24F21">
        <w:rPr>
          <w:b w:val="0"/>
        </w:rPr>
        <w:t>Incompatible</w:t>
      </w:r>
      <w:r w:rsidR="00E57EDB" w:rsidRPr="00D24F21">
        <w:rPr>
          <w:b w:val="0"/>
        </w:rPr>
        <w:t xml:space="preserve"> technologies</w:t>
      </w:r>
      <w:r w:rsidR="003226D2" w:rsidRPr="00D24F21">
        <w:rPr>
          <w:b w:val="0"/>
        </w:rPr>
        <w:t xml:space="preserve"> increase the costs of complying with regulations</w:t>
      </w:r>
    </w:p>
    <w:p w:rsidR="00E57EDB" w:rsidRPr="00ED52C3" w:rsidRDefault="00E57EDB" w:rsidP="00E57EDB">
      <w:pPr>
        <w:pStyle w:val="BodyText"/>
      </w:pPr>
      <w:r>
        <w:t xml:space="preserve">All three farm businesses </w:t>
      </w:r>
      <w:r w:rsidR="00C45061">
        <w:t xml:space="preserve">said </w:t>
      </w:r>
      <w:r w:rsidR="00E322BD">
        <w:t>that the costs of corresponding with g</w:t>
      </w:r>
      <w:r>
        <w:t xml:space="preserve">overnment </w:t>
      </w:r>
      <w:r w:rsidR="000103EA">
        <w:t>(</w:t>
      </w:r>
      <w:r>
        <w:t>and commercial institutions</w:t>
      </w:r>
      <w:r w:rsidR="000103EA">
        <w:t>)</w:t>
      </w:r>
      <w:r w:rsidR="00E322BD">
        <w:t xml:space="preserve"> w</w:t>
      </w:r>
      <w:r w:rsidR="00650F3F">
        <w:t xml:space="preserve">ere </w:t>
      </w:r>
      <w:r w:rsidR="00E322BD">
        <w:t>high</w:t>
      </w:r>
      <w:r>
        <w:t xml:space="preserve">. </w:t>
      </w:r>
      <w:r w:rsidR="00650F3F">
        <w:t>M</w:t>
      </w:r>
      <w:r>
        <w:t xml:space="preserve">any institutions </w:t>
      </w:r>
      <w:r w:rsidR="00E322BD">
        <w:t xml:space="preserve">have </w:t>
      </w:r>
      <w:r>
        <w:t>switch</w:t>
      </w:r>
      <w:r w:rsidR="00E322BD">
        <w:t>ed</w:t>
      </w:r>
      <w:r>
        <w:t xml:space="preserve"> from surface mail to email for correspondence</w:t>
      </w:r>
      <w:r w:rsidR="00303EA4">
        <w:t xml:space="preserve"> based on the high speed </w:t>
      </w:r>
      <w:proofErr w:type="spellStart"/>
      <w:r w:rsidR="00303EA4">
        <w:t>internet</w:t>
      </w:r>
      <w:proofErr w:type="spellEnd"/>
      <w:r w:rsidR="00303EA4">
        <w:t xml:space="preserve"> services available in most urban areas</w:t>
      </w:r>
      <w:r w:rsidR="002A2EC3">
        <w:t>. H</w:t>
      </w:r>
      <w:r w:rsidR="00E322BD">
        <w:t>owever, u</w:t>
      </w:r>
      <w:r>
        <w:t xml:space="preserve">nreliable </w:t>
      </w:r>
      <w:proofErr w:type="spellStart"/>
      <w:r>
        <w:t>internet</w:t>
      </w:r>
      <w:proofErr w:type="spellEnd"/>
      <w:r>
        <w:t xml:space="preserve"> services in rural areas </w:t>
      </w:r>
      <w:r w:rsidR="002A2EC3">
        <w:t xml:space="preserve">have </w:t>
      </w:r>
      <w:r w:rsidR="00650F3F">
        <w:t xml:space="preserve">resulted </w:t>
      </w:r>
      <w:r>
        <w:t xml:space="preserve">in lost </w:t>
      </w:r>
      <w:r>
        <w:lastRenderedPageBreak/>
        <w:t xml:space="preserve">correspondence and staff </w:t>
      </w:r>
      <w:r w:rsidR="00650F3F">
        <w:t xml:space="preserve">spending large amounts of </w:t>
      </w:r>
      <w:r>
        <w:t>time re</w:t>
      </w:r>
      <w:r w:rsidR="009B5A61">
        <w:noBreakHyphen/>
      </w:r>
      <w:r>
        <w:t>enter</w:t>
      </w:r>
      <w:r w:rsidR="00650F3F">
        <w:t>ing</w:t>
      </w:r>
      <w:r w:rsidR="00A84A86">
        <w:t xml:space="preserve"> data lost when web</w:t>
      </w:r>
      <w:r w:rsidR="00A84A86">
        <w:noBreakHyphen/>
      </w:r>
      <w:r>
        <w:t>based forms fail</w:t>
      </w:r>
      <w:r w:rsidR="00650F3F">
        <w:t>ed</w:t>
      </w:r>
      <w:r>
        <w:t>.</w:t>
      </w:r>
    </w:p>
    <w:p w:rsidR="00E57EDB" w:rsidRPr="00D24F21" w:rsidRDefault="00B97300" w:rsidP="00834DCF">
      <w:pPr>
        <w:pStyle w:val="Heading3"/>
        <w:rPr>
          <w:b w:val="0"/>
          <w:spacing w:val="-4"/>
        </w:rPr>
      </w:pPr>
      <w:r w:rsidRPr="00D24F21">
        <w:rPr>
          <w:b w:val="0"/>
          <w:spacing w:val="-4"/>
        </w:rPr>
        <w:t xml:space="preserve">Regulations that are not compatible with the </w:t>
      </w:r>
      <w:r w:rsidR="00E57EDB" w:rsidRPr="00D24F21">
        <w:rPr>
          <w:b w:val="0"/>
          <w:spacing w:val="-4"/>
        </w:rPr>
        <w:t>operating environments</w:t>
      </w:r>
      <w:r w:rsidRPr="00D24F21">
        <w:rPr>
          <w:b w:val="0"/>
          <w:spacing w:val="-4"/>
        </w:rPr>
        <w:t xml:space="preserve"> of farms</w:t>
      </w:r>
    </w:p>
    <w:p w:rsidR="00E57EDB" w:rsidRDefault="00650F3F" w:rsidP="00E57EDB">
      <w:pPr>
        <w:pStyle w:val="BodyText"/>
      </w:pPr>
      <w:r>
        <w:t>Re</w:t>
      </w:r>
      <w:r w:rsidR="00E57EDB">
        <w:t>gulation</w:t>
      </w:r>
      <w:r>
        <w:t xml:space="preserve">s that apply to farm businesses </w:t>
      </w:r>
      <w:r w:rsidR="00303EA4">
        <w:t>may</w:t>
      </w:r>
      <w:r>
        <w:t xml:space="preserve"> c</w:t>
      </w:r>
      <w:r w:rsidR="0089381B">
        <w:t>over</w:t>
      </w:r>
      <w:r w:rsidR="00303EA4">
        <w:t>, or have been designed for,</w:t>
      </w:r>
      <w:r w:rsidR="0089381B">
        <w:t xml:space="preserve"> </w:t>
      </w:r>
      <w:r w:rsidR="00E57EDB">
        <w:t xml:space="preserve">other industries. Examples include regulations affecting employment conditions, work health and safety, roads and transport </w:t>
      </w:r>
      <w:r w:rsidR="00C45061">
        <w:t xml:space="preserve">and </w:t>
      </w:r>
      <w:r w:rsidR="00E57EDB">
        <w:t>planning and zoning</w:t>
      </w:r>
      <w:r w:rsidR="006C2BA3">
        <w:t xml:space="preserve"> (</w:t>
      </w:r>
      <w:r w:rsidR="00BF60DE">
        <w:t xml:space="preserve">box 2.10, </w:t>
      </w:r>
      <w:r w:rsidR="00E219E2">
        <w:t>box </w:t>
      </w:r>
      <w:r w:rsidR="006C2BA3">
        <w:t>10.</w:t>
      </w:r>
      <w:r w:rsidR="00E219E2">
        <w:t>7</w:t>
      </w:r>
      <w:r w:rsidR="006C2BA3">
        <w:t>)</w:t>
      </w:r>
      <w:r w:rsidR="00E57EDB">
        <w:t>.</w:t>
      </w:r>
    </w:p>
    <w:p w:rsidR="00CC5CEF" w:rsidRDefault="00CC5CEF" w:rsidP="00CC5CEF">
      <w:pPr>
        <w:pStyle w:val="BodyText"/>
      </w:pPr>
      <w:r>
        <w:t>The farm businesses told the C</w:t>
      </w:r>
      <w:r w:rsidR="00C45061">
        <w:t xml:space="preserve">ommission that </w:t>
      </w:r>
      <w:r w:rsidR="00E57EDB">
        <w:t>attempts to standardise regulation can add to the regulatory burden in agriculture if differences in operating conditions are not recognised. For example</w:t>
      </w:r>
      <w:r>
        <w:t xml:space="preserve">, </w:t>
      </w:r>
      <w:r w:rsidR="00E57EDB">
        <w:t>the horticultural business suggested that rules for operating machinery such as forklifts were often designed for operating conditions in warehouses</w:t>
      </w:r>
      <w:r w:rsidR="002A2EC3">
        <w:t xml:space="preserve">. </w:t>
      </w:r>
      <w:r w:rsidR="00F64C67">
        <w:t>One of the businesses illustrated this point by outlining how the application of</w:t>
      </w:r>
      <w:r w:rsidR="00E57EDB">
        <w:t xml:space="preserve"> the</w:t>
      </w:r>
      <w:r w:rsidR="00650F3F">
        <w:t xml:space="preserve">se </w:t>
      </w:r>
      <w:r w:rsidR="00E57EDB">
        <w:t>rules to the use of forklifts for vegetable harvesting reduce</w:t>
      </w:r>
      <w:r w:rsidR="00553121">
        <w:t>d</w:t>
      </w:r>
      <w:r w:rsidR="00E57EDB">
        <w:t xml:space="preserve"> productivity for </w:t>
      </w:r>
      <w:r w:rsidR="00553121">
        <w:t xml:space="preserve">seemingly </w:t>
      </w:r>
      <w:r w:rsidR="00E57EDB">
        <w:t>little or no safety benefit</w:t>
      </w:r>
      <w:r>
        <w:t>.</w:t>
      </w:r>
      <w:r w:rsidR="00B42A4D">
        <w:t xml:space="preserve"> </w:t>
      </w:r>
    </w:p>
    <w:p w:rsidR="00B42A4D" w:rsidRDefault="00CC5CEF" w:rsidP="00E57EDB">
      <w:pPr>
        <w:pStyle w:val="BodyText"/>
      </w:pPr>
      <w:r>
        <w:t xml:space="preserve">Another theme was that </w:t>
      </w:r>
      <w:r w:rsidR="00E57EDB">
        <w:t>regulation limiting the movement of large machinery does not adequately recognise the low risk</w:t>
      </w:r>
      <w:r>
        <w:t xml:space="preserve">s </w:t>
      </w:r>
      <w:r w:rsidR="00E57EDB">
        <w:t>involved in moving machinery between nearby farms.</w:t>
      </w:r>
      <w:r>
        <w:t xml:space="preserve"> </w:t>
      </w:r>
    </w:p>
    <w:p w:rsidR="00E57EDB" w:rsidRDefault="0040455E" w:rsidP="00E57EDB">
      <w:pPr>
        <w:pStyle w:val="BodyText"/>
      </w:pPr>
      <w:r>
        <w:t xml:space="preserve">All </w:t>
      </w:r>
      <w:r w:rsidR="00B42A4D">
        <w:t xml:space="preserve">three farm businesses, commenting on </w:t>
      </w:r>
      <w:r>
        <w:t xml:space="preserve">changes to </w:t>
      </w:r>
      <w:r w:rsidR="00B42A4D">
        <w:t>work health and safety standards, said the standards were now almost impossible to meet</w:t>
      </w:r>
      <w:r>
        <w:t>.</w:t>
      </w:r>
      <w:r w:rsidR="00B42A4D">
        <w:t xml:space="preserve"> </w:t>
      </w:r>
      <w:r w:rsidR="00E57EDB">
        <w:t xml:space="preserve">One </w:t>
      </w:r>
      <w:r w:rsidR="00791D54">
        <w:t xml:space="preserve">owner/operator said </w:t>
      </w:r>
      <w:r w:rsidR="00E57EDB">
        <w:t xml:space="preserve">this was </w:t>
      </w:r>
      <w:r w:rsidR="00CC5CEF">
        <w:t xml:space="preserve">in part due </w:t>
      </w:r>
      <w:r w:rsidR="00E57EDB">
        <w:t xml:space="preserve">to the ‘ramping up at any cost’ of </w:t>
      </w:r>
      <w:r w:rsidR="00650F3F">
        <w:t xml:space="preserve">work health and safety </w:t>
      </w:r>
      <w:r w:rsidR="00E57EDB">
        <w:t xml:space="preserve">regulation during the mining boom. </w:t>
      </w:r>
      <w:r w:rsidR="00B42A4D">
        <w:t>All three farm businesses also considered potential work health and safety claims to be a constant threat to the viability of their businesses.</w:t>
      </w:r>
    </w:p>
    <w:p w:rsidR="00E57EDB" w:rsidRDefault="00462F8A" w:rsidP="00E57EDB">
      <w:pPr>
        <w:pStyle w:val="BodyText"/>
      </w:pPr>
      <w:r>
        <w:t>The owner</w:t>
      </w:r>
      <w:r w:rsidR="00982E43">
        <w:t>/operators</w:t>
      </w:r>
      <w:r>
        <w:t xml:space="preserve"> also highlighted </w:t>
      </w:r>
      <w:r w:rsidR="00E57EDB">
        <w:t>regulation</w:t>
      </w:r>
      <w:r>
        <w:t>s</w:t>
      </w:r>
      <w:r w:rsidR="00E57EDB">
        <w:t xml:space="preserve"> </w:t>
      </w:r>
      <w:r>
        <w:t xml:space="preserve">that </w:t>
      </w:r>
      <w:r w:rsidR="00CC5CEF">
        <w:t xml:space="preserve">they acknowledged met </w:t>
      </w:r>
      <w:r w:rsidR="00E57EDB">
        <w:t>important societal goals but work</w:t>
      </w:r>
      <w:r w:rsidR="00CC5CEF">
        <w:t xml:space="preserve">ed </w:t>
      </w:r>
      <w:r w:rsidR="00E57EDB">
        <w:t>against international competitiveness</w:t>
      </w:r>
      <w:r w:rsidR="00CC5CEF">
        <w:t xml:space="preserve"> — e</w:t>
      </w:r>
      <w:r>
        <w:t xml:space="preserve">xamples </w:t>
      </w:r>
      <w:r w:rsidR="00E57EDB">
        <w:t>include</w:t>
      </w:r>
      <w:r>
        <w:t>d</w:t>
      </w:r>
      <w:r w:rsidR="00E57EDB">
        <w:t xml:space="preserve"> minimum wages rates and superannuation, and visa conditions placed on foreign workers.</w:t>
      </w:r>
      <w:bookmarkEnd w:id="4"/>
    </w:p>
    <w:sectPr w:rsidR="00E57EDB" w:rsidSect="006B4C42">
      <w:headerReference w:type="even" r:id="rId16"/>
      <w:headerReference w:type="default" r:id="rId17"/>
      <w:footerReference w:type="even" r:id="rId18"/>
      <w:footerReference w:type="default" r:id="rId19"/>
      <w:pgSz w:w="11907" w:h="16840" w:code="9"/>
      <w:pgMar w:top="1985" w:right="1304" w:bottom="1247" w:left="1814" w:header="1701" w:footer="397"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AEC" w:rsidRDefault="00682AEC">
      <w:r>
        <w:separator/>
      </w:r>
    </w:p>
  </w:endnote>
  <w:endnote w:type="continuationSeparator" w:id="0">
    <w:p w:rsidR="00682AEC" w:rsidRDefault="00682AEC">
      <w:r>
        <w:continuationSeparator/>
      </w:r>
    </w:p>
  </w:endnote>
  <w:endnote w:type="continuationNotice" w:id="1">
    <w:p w:rsidR="00682AEC" w:rsidRDefault="00682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219E2" w:rsidTr="005F48ED">
      <w:trPr>
        <w:trHeight w:hRule="exact" w:val="567"/>
      </w:trPr>
      <w:tc>
        <w:tcPr>
          <w:tcW w:w="510" w:type="dxa"/>
        </w:tcPr>
        <w:p w:rsidR="00E219E2" w:rsidRPr="00A24443" w:rsidRDefault="00E219E2"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24F21">
            <w:rPr>
              <w:rStyle w:val="PageNumber"/>
              <w:caps w:val="0"/>
              <w:noProof/>
            </w:rPr>
            <w:t>2</w:t>
          </w:r>
          <w:r w:rsidRPr="00A24443">
            <w:rPr>
              <w:rStyle w:val="PageNumber"/>
              <w:caps w:val="0"/>
            </w:rPr>
            <w:fldChar w:fldCharType="end"/>
          </w:r>
        </w:p>
      </w:tc>
      <w:tc>
        <w:tcPr>
          <w:tcW w:w="7767" w:type="dxa"/>
        </w:tcPr>
        <w:p w:rsidR="00E219E2" w:rsidRDefault="00E219E2" w:rsidP="0013739A">
          <w:pPr>
            <w:pStyle w:val="Footer"/>
            <w:rPr>
              <w:rFonts w:cs="Arial"/>
            </w:rPr>
          </w:pPr>
          <w:r>
            <w:rPr>
              <w:rFonts w:cs="Arial"/>
            </w:rPr>
            <w:t xml:space="preserve">Regulation </w:t>
          </w:r>
          <w:r w:rsidR="00B36615">
            <w:rPr>
              <w:rFonts w:cs="Arial"/>
            </w:rPr>
            <w:t>of</w:t>
          </w:r>
          <w:r>
            <w:rPr>
              <w:rFonts w:cs="Arial"/>
            </w:rPr>
            <w:t xml:space="preserve"> Australian Agriculture</w:t>
          </w:r>
          <w:bookmarkStart w:id="6" w:name="DraftReportEven"/>
          <w:bookmarkEnd w:id="6"/>
        </w:p>
        <w:p w:rsidR="00AE78DA" w:rsidRPr="0013739A" w:rsidRDefault="00AE78DA" w:rsidP="0013739A">
          <w:pPr>
            <w:pStyle w:val="Footer"/>
            <w:rPr>
              <w:rFonts w:cs="Arial"/>
            </w:rPr>
          </w:pPr>
          <w:r w:rsidRPr="00914308">
            <w:rPr>
              <w:color w:val="808080"/>
            </w:rPr>
            <w:t>Draft report</w:t>
          </w:r>
        </w:p>
      </w:tc>
      <w:tc>
        <w:tcPr>
          <w:tcW w:w="510" w:type="dxa"/>
        </w:tcPr>
        <w:p w:rsidR="00E219E2" w:rsidRDefault="00E219E2" w:rsidP="0019293B">
          <w:pPr>
            <w:pStyle w:val="Footer"/>
          </w:pPr>
        </w:p>
      </w:tc>
    </w:tr>
  </w:tbl>
  <w:p w:rsidR="00E219E2" w:rsidRDefault="00E219E2"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219E2" w:rsidTr="005F48ED">
      <w:trPr>
        <w:trHeight w:hRule="exact" w:val="567"/>
      </w:trPr>
      <w:tc>
        <w:tcPr>
          <w:tcW w:w="510" w:type="dxa"/>
        </w:tcPr>
        <w:p w:rsidR="00E219E2" w:rsidRDefault="00E219E2">
          <w:pPr>
            <w:pStyle w:val="Footer"/>
            <w:ind w:right="360" w:firstLine="360"/>
          </w:pPr>
        </w:p>
      </w:tc>
      <w:tc>
        <w:tcPr>
          <w:tcW w:w="7767" w:type="dxa"/>
        </w:tcPr>
        <w:p w:rsidR="00E219E2" w:rsidRDefault="00E219E2" w:rsidP="0013739A">
          <w:pPr>
            <w:pStyle w:val="Footer"/>
            <w:jc w:val="right"/>
            <w:rPr>
              <w:rFonts w:cs="Arial"/>
            </w:rPr>
          </w:pPr>
          <w:r>
            <w:rPr>
              <w:rFonts w:cs="Arial"/>
            </w:rPr>
            <w:t>Case Studies</w:t>
          </w:r>
          <w:bookmarkStart w:id="7" w:name="DraftReportOdd"/>
          <w:bookmarkEnd w:id="7"/>
        </w:p>
        <w:p w:rsidR="00AE78DA" w:rsidRPr="00BA5B14" w:rsidRDefault="00AE78DA" w:rsidP="0013739A">
          <w:pPr>
            <w:pStyle w:val="Footer"/>
            <w:jc w:val="right"/>
            <w:rPr>
              <w:rFonts w:cs="Arial"/>
            </w:rPr>
          </w:pPr>
          <w:r w:rsidRPr="00914308">
            <w:rPr>
              <w:color w:val="808080"/>
            </w:rPr>
            <w:t>DRAft REport</w:t>
          </w:r>
        </w:p>
      </w:tc>
      <w:tc>
        <w:tcPr>
          <w:tcW w:w="510" w:type="dxa"/>
        </w:tcPr>
        <w:p w:rsidR="00E219E2" w:rsidRPr="00A24443" w:rsidRDefault="00E219E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24F21">
            <w:rPr>
              <w:rStyle w:val="PageNumber"/>
              <w:caps w:val="0"/>
              <w:noProof/>
            </w:rPr>
            <w:t>1</w:t>
          </w:r>
          <w:r w:rsidRPr="00A24443">
            <w:rPr>
              <w:rStyle w:val="PageNumber"/>
              <w:caps w:val="0"/>
            </w:rPr>
            <w:fldChar w:fldCharType="end"/>
          </w:r>
        </w:p>
      </w:tc>
    </w:tr>
  </w:tbl>
  <w:p w:rsidR="00E219E2" w:rsidRDefault="00E219E2">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AEC" w:rsidRDefault="00682AEC">
      <w:r>
        <w:separator/>
      </w:r>
    </w:p>
  </w:footnote>
  <w:footnote w:type="continuationSeparator" w:id="0">
    <w:p w:rsidR="00682AEC" w:rsidRDefault="00682AEC">
      <w:r>
        <w:continuationSeparator/>
      </w:r>
    </w:p>
  </w:footnote>
  <w:footnote w:type="continuationNotice" w:id="1">
    <w:p w:rsidR="00682AEC" w:rsidRDefault="00682A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E219E2">
      <w:tc>
        <w:tcPr>
          <w:tcW w:w="2155" w:type="dxa"/>
          <w:tcBorders>
            <w:top w:val="single" w:sz="24" w:space="0" w:color="auto"/>
          </w:tcBorders>
        </w:tcPr>
        <w:p w:rsidR="00E219E2" w:rsidRDefault="00E219E2" w:rsidP="0019293B">
          <w:pPr>
            <w:pStyle w:val="HeaderEven"/>
          </w:pPr>
        </w:p>
      </w:tc>
      <w:tc>
        <w:tcPr>
          <w:tcW w:w="6634" w:type="dxa"/>
          <w:tcBorders>
            <w:top w:val="single" w:sz="6" w:space="0" w:color="auto"/>
          </w:tcBorders>
        </w:tcPr>
        <w:p w:rsidR="00E219E2" w:rsidRDefault="00E219E2" w:rsidP="0019293B">
          <w:pPr>
            <w:pStyle w:val="HeaderEven"/>
          </w:pPr>
        </w:p>
      </w:tc>
    </w:tr>
  </w:tbl>
  <w:p w:rsidR="00E219E2" w:rsidRDefault="00E219E2"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219E2">
      <w:tc>
        <w:tcPr>
          <w:tcW w:w="6634" w:type="dxa"/>
          <w:tcBorders>
            <w:top w:val="single" w:sz="6" w:space="0" w:color="auto"/>
          </w:tcBorders>
        </w:tcPr>
        <w:p w:rsidR="00E219E2" w:rsidRDefault="00E219E2" w:rsidP="00E669E2">
          <w:pPr>
            <w:pStyle w:val="HeaderOdd"/>
          </w:pPr>
        </w:p>
      </w:tc>
      <w:tc>
        <w:tcPr>
          <w:tcW w:w="2155" w:type="dxa"/>
          <w:tcBorders>
            <w:top w:val="single" w:sz="24" w:space="0" w:color="auto"/>
          </w:tcBorders>
        </w:tcPr>
        <w:p w:rsidR="00E219E2" w:rsidRDefault="00E219E2" w:rsidP="00E669E2">
          <w:pPr>
            <w:pStyle w:val="HeaderOdd"/>
          </w:pPr>
        </w:p>
      </w:tc>
    </w:tr>
  </w:tbl>
  <w:p w:rsidR="00E219E2" w:rsidRDefault="00E219E2"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33EB7822"/>
    <w:multiLevelType w:val="hybridMultilevel"/>
    <w:tmpl w:val="07C6AA1E"/>
    <w:lvl w:ilvl="0" w:tplc="B8EA6154">
      <w:start w:val="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2B10EDC"/>
    <w:multiLevelType w:val="hybridMultilevel"/>
    <w:tmpl w:val="6E006098"/>
    <w:lvl w:ilvl="0" w:tplc="B8EA6154">
      <w:start w:val="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1B6E29"/>
    <w:multiLevelType w:val="hybridMultilevel"/>
    <w:tmpl w:val="C738662C"/>
    <w:lvl w:ilvl="0" w:tplc="B8EA6154">
      <w:start w:val="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nsid w:val="6AA63F8D"/>
    <w:multiLevelType w:val="hybridMultilevel"/>
    <w:tmpl w:val="B02651EE"/>
    <w:lvl w:ilvl="0" w:tplc="B8EA6154">
      <w:start w:val="1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6"/>
  </w:num>
  <w:num w:numId="4">
    <w:abstractNumId w:val="3"/>
  </w:num>
  <w:num w:numId="5">
    <w:abstractNumId w:val="21"/>
  </w:num>
  <w:num w:numId="6">
    <w:abstractNumId w:val="18"/>
  </w:num>
  <w:num w:numId="7">
    <w:abstractNumId w:val="7"/>
  </w:num>
  <w:num w:numId="8">
    <w:abstractNumId w:val="17"/>
  </w:num>
  <w:num w:numId="9">
    <w:abstractNumId w:val="6"/>
  </w:num>
  <w:num w:numId="10">
    <w:abstractNumId w:val="5"/>
  </w:num>
  <w:num w:numId="11">
    <w:abstractNumId w:val="9"/>
  </w:num>
  <w:num w:numId="12">
    <w:abstractNumId w:val="10"/>
  </w:num>
  <w:num w:numId="13">
    <w:abstractNumId w:val="4"/>
  </w:num>
  <w:num w:numId="14">
    <w:abstractNumId w:val="19"/>
  </w:num>
  <w:num w:numId="15">
    <w:abstractNumId w:val="23"/>
  </w:num>
  <w:num w:numId="16">
    <w:abstractNumId w:val="13"/>
  </w:num>
  <w:num w:numId="17">
    <w:abstractNumId w:val="24"/>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0"/>
  </w:num>
  <w:num w:numId="21">
    <w:abstractNumId w:val="8"/>
  </w:num>
  <w:num w:numId="22">
    <w:abstractNumId w:val="12"/>
  </w:num>
  <w:num w:numId="23">
    <w:abstractNumId w:val="22"/>
  </w:num>
  <w:num w:numId="24">
    <w:abstractNumId w:val="15"/>
  </w:num>
  <w:num w:numId="2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C"/>
    <w:docVar w:name="FindingOptions" w:val="1"/>
    <w:docVar w:name="RecOptions" w:val="111"/>
    <w:docVar w:name="ShortChapterTitle" w:val="Case Studies"/>
    <w:docVar w:name="ShortReportTitle" w:val="Regulation in Australian Agriculture"/>
  </w:docVars>
  <w:rsids>
    <w:rsidRoot w:val="006B4C42"/>
    <w:rsid w:val="00000DCA"/>
    <w:rsid w:val="00000FAE"/>
    <w:rsid w:val="00002CB4"/>
    <w:rsid w:val="00002F62"/>
    <w:rsid w:val="0000371C"/>
    <w:rsid w:val="00006FB7"/>
    <w:rsid w:val="000103EA"/>
    <w:rsid w:val="00012080"/>
    <w:rsid w:val="00017EED"/>
    <w:rsid w:val="00020FBC"/>
    <w:rsid w:val="000227D5"/>
    <w:rsid w:val="000245AA"/>
    <w:rsid w:val="00024D64"/>
    <w:rsid w:val="000302E4"/>
    <w:rsid w:val="00031FCE"/>
    <w:rsid w:val="0003664B"/>
    <w:rsid w:val="0004111F"/>
    <w:rsid w:val="00041759"/>
    <w:rsid w:val="0004200F"/>
    <w:rsid w:val="000442BF"/>
    <w:rsid w:val="0004757D"/>
    <w:rsid w:val="00050174"/>
    <w:rsid w:val="00050AC6"/>
    <w:rsid w:val="00051951"/>
    <w:rsid w:val="00052112"/>
    <w:rsid w:val="000541D2"/>
    <w:rsid w:val="00055077"/>
    <w:rsid w:val="0005523B"/>
    <w:rsid w:val="000565B3"/>
    <w:rsid w:val="00056614"/>
    <w:rsid w:val="00061A33"/>
    <w:rsid w:val="00062855"/>
    <w:rsid w:val="00063781"/>
    <w:rsid w:val="00067377"/>
    <w:rsid w:val="000704C5"/>
    <w:rsid w:val="0007150B"/>
    <w:rsid w:val="000724F9"/>
    <w:rsid w:val="00074619"/>
    <w:rsid w:val="00076147"/>
    <w:rsid w:val="000764D7"/>
    <w:rsid w:val="00084679"/>
    <w:rsid w:val="00087EC1"/>
    <w:rsid w:val="00090405"/>
    <w:rsid w:val="00091C46"/>
    <w:rsid w:val="00093320"/>
    <w:rsid w:val="000936AD"/>
    <w:rsid w:val="000938F5"/>
    <w:rsid w:val="00095663"/>
    <w:rsid w:val="00096E55"/>
    <w:rsid w:val="0009783E"/>
    <w:rsid w:val="000A0A87"/>
    <w:rsid w:val="000A1A36"/>
    <w:rsid w:val="000B0B27"/>
    <w:rsid w:val="000B1022"/>
    <w:rsid w:val="000B2100"/>
    <w:rsid w:val="000B467D"/>
    <w:rsid w:val="000B601B"/>
    <w:rsid w:val="000C207E"/>
    <w:rsid w:val="000D1702"/>
    <w:rsid w:val="000D41E9"/>
    <w:rsid w:val="000D45F2"/>
    <w:rsid w:val="000D5854"/>
    <w:rsid w:val="000E1E46"/>
    <w:rsid w:val="000E2AFF"/>
    <w:rsid w:val="000E3725"/>
    <w:rsid w:val="000E3B44"/>
    <w:rsid w:val="000E54E1"/>
    <w:rsid w:val="000F0035"/>
    <w:rsid w:val="000F03ED"/>
    <w:rsid w:val="000F04E7"/>
    <w:rsid w:val="000F060A"/>
    <w:rsid w:val="000F420B"/>
    <w:rsid w:val="000F44DB"/>
    <w:rsid w:val="0010465B"/>
    <w:rsid w:val="00105770"/>
    <w:rsid w:val="00106E92"/>
    <w:rsid w:val="00110116"/>
    <w:rsid w:val="001106DA"/>
    <w:rsid w:val="0011083A"/>
    <w:rsid w:val="001120AF"/>
    <w:rsid w:val="0011451C"/>
    <w:rsid w:val="00116767"/>
    <w:rsid w:val="00120072"/>
    <w:rsid w:val="0012252A"/>
    <w:rsid w:val="00125BCB"/>
    <w:rsid w:val="00126EB8"/>
    <w:rsid w:val="00126F6C"/>
    <w:rsid w:val="001274D4"/>
    <w:rsid w:val="001324AB"/>
    <w:rsid w:val="00133BEE"/>
    <w:rsid w:val="00133CA8"/>
    <w:rsid w:val="001363AA"/>
    <w:rsid w:val="00136BEE"/>
    <w:rsid w:val="0013739A"/>
    <w:rsid w:val="00140A77"/>
    <w:rsid w:val="00141DA7"/>
    <w:rsid w:val="00142165"/>
    <w:rsid w:val="00144966"/>
    <w:rsid w:val="00144974"/>
    <w:rsid w:val="0015058C"/>
    <w:rsid w:val="001542E1"/>
    <w:rsid w:val="00155CE2"/>
    <w:rsid w:val="00156C92"/>
    <w:rsid w:val="001612C6"/>
    <w:rsid w:val="00161CED"/>
    <w:rsid w:val="00162434"/>
    <w:rsid w:val="00163EA3"/>
    <w:rsid w:val="00167DC2"/>
    <w:rsid w:val="001706F4"/>
    <w:rsid w:val="00171889"/>
    <w:rsid w:val="00171DE8"/>
    <w:rsid w:val="00173D9D"/>
    <w:rsid w:val="0017502C"/>
    <w:rsid w:val="0017776B"/>
    <w:rsid w:val="001778AD"/>
    <w:rsid w:val="00182256"/>
    <w:rsid w:val="00182BF6"/>
    <w:rsid w:val="00183E82"/>
    <w:rsid w:val="00185BB4"/>
    <w:rsid w:val="001878BB"/>
    <w:rsid w:val="00187A19"/>
    <w:rsid w:val="00190955"/>
    <w:rsid w:val="00191AA6"/>
    <w:rsid w:val="00191AE0"/>
    <w:rsid w:val="0019293B"/>
    <w:rsid w:val="0019426B"/>
    <w:rsid w:val="001952CD"/>
    <w:rsid w:val="00195A0D"/>
    <w:rsid w:val="00196121"/>
    <w:rsid w:val="001961E9"/>
    <w:rsid w:val="001973AF"/>
    <w:rsid w:val="001A5F1C"/>
    <w:rsid w:val="001A617E"/>
    <w:rsid w:val="001A6A4B"/>
    <w:rsid w:val="001C0865"/>
    <w:rsid w:val="001C0AED"/>
    <w:rsid w:val="001C0F0C"/>
    <w:rsid w:val="001C1ED1"/>
    <w:rsid w:val="001C241B"/>
    <w:rsid w:val="001C3ABA"/>
    <w:rsid w:val="001C5111"/>
    <w:rsid w:val="001C5A01"/>
    <w:rsid w:val="001C60C9"/>
    <w:rsid w:val="001D400A"/>
    <w:rsid w:val="001E08A4"/>
    <w:rsid w:val="001E1A5B"/>
    <w:rsid w:val="001E2439"/>
    <w:rsid w:val="001E2EB8"/>
    <w:rsid w:val="001E3624"/>
    <w:rsid w:val="001E6045"/>
    <w:rsid w:val="001E7BE8"/>
    <w:rsid w:val="001E7FD7"/>
    <w:rsid w:val="001F0248"/>
    <w:rsid w:val="001F076E"/>
    <w:rsid w:val="001F3EB3"/>
    <w:rsid w:val="001F47B7"/>
    <w:rsid w:val="001F4F86"/>
    <w:rsid w:val="001F65CE"/>
    <w:rsid w:val="001F6D78"/>
    <w:rsid w:val="001F6FF4"/>
    <w:rsid w:val="002015A0"/>
    <w:rsid w:val="00202270"/>
    <w:rsid w:val="00202C2C"/>
    <w:rsid w:val="00202DCF"/>
    <w:rsid w:val="00203050"/>
    <w:rsid w:val="00204CCD"/>
    <w:rsid w:val="002050B5"/>
    <w:rsid w:val="002059AC"/>
    <w:rsid w:val="0021248D"/>
    <w:rsid w:val="002135AB"/>
    <w:rsid w:val="002144BE"/>
    <w:rsid w:val="002146FB"/>
    <w:rsid w:val="002164AE"/>
    <w:rsid w:val="0021711F"/>
    <w:rsid w:val="00220251"/>
    <w:rsid w:val="0022355A"/>
    <w:rsid w:val="0022563A"/>
    <w:rsid w:val="00231603"/>
    <w:rsid w:val="002413B3"/>
    <w:rsid w:val="0024151E"/>
    <w:rsid w:val="00242279"/>
    <w:rsid w:val="00243997"/>
    <w:rsid w:val="0024516C"/>
    <w:rsid w:val="00245C82"/>
    <w:rsid w:val="00250227"/>
    <w:rsid w:val="002520FB"/>
    <w:rsid w:val="00252CA2"/>
    <w:rsid w:val="002539C2"/>
    <w:rsid w:val="00256D90"/>
    <w:rsid w:val="0026072B"/>
    <w:rsid w:val="00264725"/>
    <w:rsid w:val="002673E1"/>
    <w:rsid w:val="00267E3B"/>
    <w:rsid w:val="002700B9"/>
    <w:rsid w:val="002724BA"/>
    <w:rsid w:val="0027754F"/>
    <w:rsid w:val="00277BB9"/>
    <w:rsid w:val="00283FB4"/>
    <w:rsid w:val="00291B40"/>
    <w:rsid w:val="00293307"/>
    <w:rsid w:val="002939A9"/>
    <w:rsid w:val="002979E9"/>
    <w:rsid w:val="002A1806"/>
    <w:rsid w:val="002A1B7B"/>
    <w:rsid w:val="002A26CD"/>
    <w:rsid w:val="002A2EC3"/>
    <w:rsid w:val="002A4EDD"/>
    <w:rsid w:val="002A58B9"/>
    <w:rsid w:val="002A72D0"/>
    <w:rsid w:val="002B101E"/>
    <w:rsid w:val="002B4008"/>
    <w:rsid w:val="002B6039"/>
    <w:rsid w:val="002B6FB8"/>
    <w:rsid w:val="002C1D88"/>
    <w:rsid w:val="002C439F"/>
    <w:rsid w:val="002C646A"/>
    <w:rsid w:val="002D0C42"/>
    <w:rsid w:val="002D0E8E"/>
    <w:rsid w:val="002D2594"/>
    <w:rsid w:val="002D3020"/>
    <w:rsid w:val="002D364D"/>
    <w:rsid w:val="002D3E0C"/>
    <w:rsid w:val="002D4631"/>
    <w:rsid w:val="002D6DAC"/>
    <w:rsid w:val="002D7E92"/>
    <w:rsid w:val="002E0B9F"/>
    <w:rsid w:val="002F08B3"/>
    <w:rsid w:val="002F2B56"/>
    <w:rsid w:val="002F4A3F"/>
    <w:rsid w:val="00300889"/>
    <w:rsid w:val="00301189"/>
    <w:rsid w:val="003016C8"/>
    <w:rsid w:val="00301E4A"/>
    <w:rsid w:val="00303EA4"/>
    <w:rsid w:val="0030747B"/>
    <w:rsid w:val="00307FEA"/>
    <w:rsid w:val="0031289D"/>
    <w:rsid w:val="00312FFA"/>
    <w:rsid w:val="003168B8"/>
    <w:rsid w:val="00316D2F"/>
    <w:rsid w:val="003175ED"/>
    <w:rsid w:val="003179CF"/>
    <w:rsid w:val="003226D2"/>
    <w:rsid w:val="00322D64"/>
    <w:rsid w:val="003233DB"/>
    <w:rsid w:val="003238C5"/>
    <w:rsid w:val="00323E09"/>
    <w:rsid w:val="00326896"/>
    <w:rsid w:val="00333932"/>
    <w:rsid w:val="00335AF0"/>
    <w:rsid w:val="00335DBF"/>
    <w:rsid w:val="00342643"/>
    <w:rsid w:val="00342A10"/>
    <w:rsid w:val="003518AA"/>
    <w:rsid w:val="00352165"/>
    <w:rsid w:val="00353182"/>
    <w:rsid w:val="00354722"/>
    <w:rsid w:val="003565D9"/>
    <w:rsid w:val="003566AD"/>
    <w:rsid w:val="00357033"/>
    <w:rsid w:val="003602E1"/>
    <w:rsid w:val="003625F0"/>
    <w:rsid w:val="00364B6D"/>
    <w:rsid w:val="00367D7B"/>
    <w:rsid w:val="0037026F"/>
    <w:rsid w:val="00371240"/>
    <w:rsid w:val="003722D9"/>
    <w:rsid w:val="0037380B"/>
    <w:rsid w:val="00374399"/>
    <w:rsid w:val="00374731"/>
    <w:rsid w:val="00376E59"/>
    <w:rsid w:val="00376F7B"/>
    <w:rsid w:val="00377EC1"/>
    <w:rsid w:val="00380340"/>
    <w:rsid w:val="0038433F"/>
    <w:rsid w:val="0038545C"/>
    <w:rsid w:val="0038619A"/>
    <w:rsid w:val="003904A1"/>
    <w:rsid w:val="003919F9"/>
    <w:rsid w:val="00391F16"/>
    <w:rsid w:val="00391F24"/>
    <w:rsid w:val="003920CF"/>
    <w:rsid w:val="003942D3"/>
    <w:rsid w:val="003968D9"/>
    <w:rsid w:val="00397D01"/>
    <w:rsid w:val="003A5C13"/>
    <w:rsid w:val="003B23C2"/>
    <w:rsid w:val="003B60CE"/>
    <w:rsid w:val="003B648E"/>
    <w:rsid w:val="003B7029"/>
    <w:rsid w:val="003B7056"/>
    <w:rsid w:val="003C38B5"/>
    <w:rsid w:val="003C40E6"/>
    <w:rsid w:val="003C4EBF"/>
    <w:rsid w:val="003C5D99"/>
    <w:rsid w:val="003C7752"/>
    <w:rsid w:val="003D1087"/>
    <w:rsid w:val="003D3BF5"/>
    <w:rsid w:val="003E2F59"/>
    <w:rsid w:val="003E35A6"/>
    <w:rsid w:val="003E6690"/>
    <w:rsid w:val="003E684A"/>
    <w:rsid w:val="003E746B"/>
    <w:rsid w:val="003F0789"/>
    <w:rsid w:val="003F45B0"/>
    <w:rsid w:val="003F5EA9"/>
    <w:rsid w:val="00401882"/>
    <w:rsid w:val="00403474"/>
    <w:rsid w:val="0040455E"/>
    <w:rsid w:val="004057DB"/>
    <w:rsid w:val="004100C8"/>
    <w:rsid w:val="00411DBD"/>
    <w:rsid w:val="00412ACE"/>
    <w:rsid w:val="004133D5"/>
    <w:rsid w:val="004145D2"/>
    <w:rsid w:val="00414DA1"/>
    <w:rsid w:val="00416B3F"/>
    <w:rsid w:val="00423187"/>
    <w:rsid w:val="00424379"/>
    <w:rsid w:val="00425981"/>
    <w:rsid w:val="00425E6C"/>
    <w:rsid w:val="00426CB4"/>
    <w:rsid w:val="00431249"/>
    <w:rsid w:val="00433617"/>
    <w:rsid w:val="00434C19"/>
    <w:rsid w:val="0043585A"/>
    <w:rsid w:val="00436C0B"/>
    <w:rsid w:val="00444EE9"/>
    <w:rsid w:val="004458B6"/>
    <w:rsid w:val="00446C9A"/>
    <w:rsid w:val="00447292"/>
    <w:rsid w:val="00450810"/>
    <w:rsid w:val="00452981"/>
    <w:rsid w:val="00453554"/>
    <w:rsid w:val="00457B57"/>
    <w:rsid w:val="00460B7C"/>
    <w:rsid w:val="004621C2"/>
    <w:rsid w:val="00462C59"/>
    <w:rsid w:val="00462F8A"/>
    <w:rsid w:val="0046468E"/>
    <w:rsid w:val="00466804"/>
    <w:rsid w:val="00470273"/>
    <w:rsid w:val="00470737"/>
    <w:rsid w:val="004723AC"/>
    <w:rsid w:val="004757EB"/>
    <w:rsid w:val="00477144"/>
    <w:rsid w:val="00482B9B"/>
    <w:rsid w:val="00486ACD"/>
    <w:rsid w:val="00491380"/>
    <w:rsid w:val="004927AB"/>
    <w:rsid w:val="0049459F"/>
    <w:rsid w:val="00495077"/>
    <w:rsid w:val="0049521D"/>
    <w:rsid w:val="00495AC6"/>
    <w:rsid w:val="004A3336"/>
    <w:rsid w:val="004A38DD"/>
    <w:rsid w:val="004A77F3"/>
    <w:rsid w:val="004A7903"/>
    <w:rsid w:val="004A7F13"/>
    <w:rsid w:val="004B2999"/>
    <w:rsid w:val="004B2E9C"/>
    <w:rsid w:val="004B43AE"/>
    <w:rsid w:val="004B4959"/>
    <w:rsid w:val="004B4DC7"/>
    <w:rsid w:val="004B609F"/>
    <w:rsid w:val="004C05BF"/>
    <w:rsid w:val="004C142E"/>
    <w:rsid w:val="004C18F4"/>
    <w:rsid w:val="004C2C49"/>
    <w:rsid w:val="004C30ED"/>
    <w:rsid w:val="004C6E20"/>
    <w:rsid w:val="004D3BFB"/>
    <w:rsid w:val="004D3D7C"/>
    <w:rsid w:val="004D5675"/>
    <w:rsid w:val="004D796F"/>
    <w:rsid w:val="004E0484"/>
    <w:rsid w:val="004E0D55"/>
    <w:rsid w:val="004E644B"/>
    <w:rsid w:val="004E726C"/>
    <w:rsid w:val="004F006E"/>
    <w:rsid w:val="004F1AC4"/>
    <w:rsid w:val="004F6C78"/>
    <w:rsid w:val="00500B0A"/>
    <w:rsid w:val="00501169"/>
    <w:rsid w:val="0050393A"/>
    <w:rsid w:val="0051034B"/>
    <w:rsid w:val="00510409"/>
    <w:rsid w:val="00517795"/>
    <w:rsid w:val="005207A7"/>
    <w:rsid w:val="005226EE"/>
    <w:rsid w:val="00523639"/>
    <w:rsid w:val="00525457"/>
    <w:rsid w:val="00526BCB"/>
    <w:rsid w:val="00527372"/>
    <w:rsid w:val="00530BAF"/>
    <w:rsid w:val="00531FE5"/>
    <w:rsid w:val="00536504"/>
    <w:rsid w:val="00536D32"/>
    <w:rsid w:val="005402FA"/>
    <w:rsid w:val="00542089"/>
    <w:rsid w:val="00542273"/>
    <w:rsid w:val="0054288E"/>
    <w:rsid w:val="005441CC"/>
    <w:rsid w:val="0054489C"/>
    <w:rsid w:val="00545518"/>
    <w:rsid w:val="005463A4"/>
    <w:rsid w:val="005471F7"/>
    <w:rsid w:val="00547FC3"/>
    <w:rsid w:val="00553121"/>
    <w:rsid w:val="00554899"/>
    <w:rsid w:val="0055505E"/>
    <w:rsid w:val="00556267"/>
    <w:rsid w:val="0056116D"/>
    <w:rsid w:val="00562B17"/>
    <w:rsid w:val="00563505"/>
    <w:rsid w:val="00564286"/>
    <w:rsid w:val="005729BD"/>
    <w:rsid w:val="00573DC9"/>
    <w:rsid w:val="0057401A"/>
    <w:rsid w:val="0057533B"/>
    <w:rsid w:val="00576E85"/>
    <w:rsid w:val="0058010D"/>
    <w:rsid w:val="00580154"/>
    <w:rsid w:val="005839DD"/>
    <w:rsid w:val="00583C39"/>
    <w:rsid w:val="00586A90"/>
    <w:rsid w:val="00587F28"/>
    <w:rsid w:val="0059020D"/>
    <w:rsid w:val="005909CF"/>
    <w:rsid w:val="0059183D"/>
    <w:rsid w:val="00591C49"/>
    <w:rsid w:val="00591E71"/>
    <w:rsid w:val="00596A8E"/>
    <w:rsid w:val="005970E4"/>
    <w:rsid w:val="0059745B"/>
    <w:rsid w:val="00597DC8"/>
    <w:rsid w:val="005A0D41"/>
    <w:rsid w:val="005A1A2D"/>
    <w:rsid w:val="005A3A98"/>
    <w:rsid w:val="005A3C64"/>
    <w:rsid w:val="005B277E"/>
    <w:rsid w:val="005B2FD3"/>
    <w:rsid w:val="005B4D2E"/>
    <w:rsid w:val="005B7D39"/>
    <w:rsid w:val="005D12DA"/>
    <w:rsid w:val="005D1B06"/>
    <w:rsid w:val="005D2EF4"/>
    <w:rsid w:val="005D329F"/>
    <w:rsid w:val="005D771B"/>
    <w:rsid w:val="005E14D4"/>
    <w:rsid w:val="005E2663"/>
    <w:rsid w:val="005E56A3"/>
    <w:rsid w:val="005F0D9F"/>
    <w:rsid w:val="005F0F9E"/>
    <w:rsid w:val="005F3041"/>
    <w:rsid w:val="005F48ED"/>
    <w:rsid w:val="005F5AA2"/>
    <w:rsid w:val="00600D36"/>
    <w:rsid w:val="006016FD"/>
    <w:rsid w:val="00601A87"/>
    <w:rsid w:val="00606E78"/>
    <w:rsid w:val="00607BF1"/>
    <w:rsid w:val="00612968"/>
    <w:rsid w:val="0062208B"/>
    <w:rsid w:val="006272F0"/>
    <w:rsid w:val="0062744C"/>
    <w:rsid w:val="00627F51"/>
    <w:rsid w:val="0063047B"/>
    <w:rsid w:val="00630670"/>
    <w:rsid w:val="00630D4D"/>
    <w:rsid w:val="00632A74"/>
    <w:rsid w:val="00634873"/>
    <w:rsid w:val="00642EBA"/>
    <w:rsid w:val="00644710"/>
    <w:rsid w:val="00644E07"/>
    <w:rsid w:val="00647FD9"/>
    <w:rsid w:val="00650F3F"/>
    <w:rsid w:val="00652792"/>
    <w:rsid w:val="00652983"/>
    <w:rsid w:val="00654D42"/>
    <w:rsid w:val="00656969"/>
    <w:rsid w:val="00666113"/>
    <w:rsid w:val="00666E02"/>
    <w:rsid w:val="006702E6"/>
    <w:rsid w:val="0067579F"/>
    <w:rsid w:val="00675ECC"/>
    <w:rsid w:val="00676ADB"/>
    <w:rsid w:val="00677311"/>
    <w:rsid w:val="00677C01"/>
    <w:rsid w:val="006800A8"/>
    <w:rsid w:val="006816F2"/>
    <w:rsid w:val="00682AEC"/>
    <w:rsid w:val="00687A41"/>
    <w:rsid w:val="00692107"/>
    <w:rsid w:val="006937D4"/>
    <w:rsid w:val="006943A7"/>
    <w:rsid w:val="006A1EE7"/>
    <w:rsid w:val="006A2C58"/>
    <w:rsid w:val="006A32FB"/>
    <w:rsid w:val="006A37EA"/>
    <w:rsid w:val="006A4655"/>
    <w:rsid w:val="006A5B00"/>
    <w:rsid w:val="006A738A"/>
    <w:rsid w:val="006B2B3C"/>
    <w:rsid w:val="006B4C42"/>
    <w:rsid w:val="006B6E53"/>
    <w:rsid w:val="006C1D81"/>
    <w:rsid w:val="006C2518"/>
    <w:rsid w:val="006C2BA3"/>
    <w:rsid w:val="006C492F"/>
    <w:rsid w:val="006C6B5F"/>
    <w:rsid w:val="006C7038"/>
    <w:rsid w:val="006D14FF"/>
    <w:rsid w:val="006D7248"/>
    <w:rsid w:val="006E41B8"/>
    <w:rsid w:val="006E48F2"/>
    <w:rsid w:val="006E4F16"/>
    <w:rsid w:val="006E5ABF"/>
    <w:rsid w:val="006E73EF"/>
    <w:rsid w:val="006F22BB"/>
    <w:rsid w:val="006F3BE7"/>
    <w:rsid w:val="00703629"/>
    <w:rsid w:val="007079C9"/>
    <w:rsid w:val="007106A7"/>
    <w:rsid w:val="007117BF"/>
    <w:rsid w:val="00711C5D"/>
    <w:rsid w:val="00713441"/>
    <w:rsid w:val="00714058"/>
    <w:rsid w:val="00714D4D"/>
    <w:rsid w:val="007155CF"/>
    <w:rsid w:val="00715763"/>
    <w:rsid w:val="00715A7B"/>
    <w:rsid w:val="00722208"/>
    <w:rsid w:val="00722681"/>
    <w:rsid w:val="007266D3"/>
    <w:rsid w:val="00726CE5"/>
    <w:rsid w:val="00726E2B"/>
    <w:rsid w:val="00730105"/>
    <w:rsid w:val="00732029"/>
    <w:rsid w:val="00733709"/>
    <w:rsid w:val="00733E1B"/>
    <w:rsid w:val="007413B1"/>
    <w:rsid w:val="00743F4E"/>
    <w:rsid w:val="00744C14"/>
    <w:rsid w:val="007473C4"/>
    <w:rsid w:val="00756757"/>
    <w:rsid w:val="007604BB"/>
    <w:rsid w:val="00761071"/>
    <w:rsid w:val="00762515"/>
    <w:rsid w:val="00765069"/>
    <w:rsid w:val="007707FA"/>
    <w:rsid w:val="00772909"/>
    <w:rsid w:val="00773CB1"/>
    <w:rsid w:val="00781009"/>
    <w:rsid w:val="00784F33"/>
    <w:rsid w:val="00785232"/>
    <w:rsid w:val="00785B0F"/>
    <w:rsid w:val="007869F2"/>
    <w:rsid w:val="00786FD4"/>
    <w:rsid w:val="00791C54"/>
    <w:rsid w:val="00791D54"/>
    <w:rsid w:val="007955BC"/>
    <w:rsid w:val="00795D9A"/>
    <w:rsid w:val="0079701E"/>
    <w:rsid w:val="007A21EB"/>
    <w:rsid w:val="007A24E9"/>
    <w:rsid w:val="007A71A8"/>
    <w:rsid w:val="007A799D"/>
    <w:rsid w:val="007B14E9"/>
    <w:rsid w:val="007B1A93"/>
    <w:rsid w:val="007B370F"/>
    <w:rsid w:val="007B3C3F"/>
    <w:rsid w:val="007B4546"/>
    <w:rsid w:val="007B580B"/>
    <w:rsid w:val="007B6B1C"/>
    <w:rsid w:val="007B77B2"/>
    <w:rsid w:val="007C200B"/>
    <w:rsid w:val="007C22A5"/>
    <w:rsid w:val="007C3226"/>
    <w:rsid w:val="007C36C9"/>
    <w:rsid w:val="007C46D2"/>
    <w:rsid w:val="007D0943"/>
    <w:rsid w:val="007D4A1B"/>
    <w:rsid w:val="007D6159"/>
    <w:rsid w:val="007D6401"/>
    <w:rsid w:val="007D746B"/>
    <w:rsid w:val="007E01E4"/>
    <w:rsid w:val="007E2BBD"/>
    <w:rsid w:val="007E31DF"/>
    <w:rsid w:val="007E6E38"/>
    <w:rsid w:val="007E7227"/>
    <w:rsid w:val="007E79CD"/>
    <w:rsid w:val="007E7A12"/>
    <w:rsid w:val="007F505B"/>
    <w:rsid w:val="007F5788"/>
    <w:rsid w:val="007F641E"/>
    <w:rsid w:val="007F7107"/>
    <w:rsid w:val="00800D4C"/>
    <w:rsid w:val="008037B9"/>
    <w:rsid w:val="00807215"/>
    <w:rsid w:val="0081030F"/>
    <w:rsid w:val="00811B03"/>
    <w:rsid w:val="00812F4A"/>
    <w:rsid w:val="00815572"/>
    <w:rsid w:val="0082087D"/>
    <w:rsid w:val="008212B8"/>
    <w:rsid w:val="00821F08"/>
    <w:rsid w:val="00822687"/>
    <w:rsid w:val="00832371"/>
    <w:rsid w:val="008347FE"/>
    <w:rsid w:val="00834DCF"/>
    <w:rsid w:val="00835771"/>
    <w:rsid w:val="00842559"/>
    <w:rsid w:val="00842933"/>
    <w:rsid w:val="00842FF6"/>
    <w:rsid w:val="00843FE6"/>
    <w:rsid w:val="00850F50"/>
    <w:rsid w:val="00854CCA"/>
    <w:rsid w:val="00857B93"/>
    <w:rsid w:val="0086082C"/>
    <w:rsid w:val="0086178D"/>
    <w:rsid w:val="00864ADC"/>
    <w:rsid w:val="008751AF"/>
    <w:rsid w:val="00877890"/>
    <w:rsid w:val="00880153"/>
    <w:rsid w:val="00880F97"/>
    <w:rsid w:val="0088133A"/>
    <w:rsid w:val="00883A73"/>
    <w:rsid w:val="00883E34"/>
    <w:rsid w:val="008844D7"/>
    <w:rsid w:val="0089285E"/>
    <w:rsid w:val="0089381B"/>
    <w:rsid w:val="0089436C"/>
    <w:rsid w:val="008953E3"/>
    <w:rsid w:val="00895A26"/>
    <w:rsid w:val="00895EF1"/>
    <w:rsid w:val="00896A56"/>
    <w:rsid w:val="00897286"/>
    <w:rsid w:val="008979A4"/>
    <w:rsid w:val="008A0F07"/>
    <w:rsid w:val="008A1B2A"/>
    <w:rsid w:val="008A43EA"/>
    <w:rsid w:val="008A457B"/>
    <w:rsid w:val="008A55DF"/>
    <w:rsid w:val="008A5930"/>
    <w:rsid w:val="008B11B1"/>
    <w:rsid w:val="008B4706"/>
    <w:rsid w:val="008B7CB6"/>
    <w:rsid w:val="008C37FD"/>
    <w:rsid w:val="008C3CA8"/>
    <w:rsid w:val="008C5B9A"/>
    <w:rsid w:val="008C7CB1"/>
    <w:rsid w:val="008D0238"/>
    <w:rsid w:val="008D09BB"/>
    <w:rsid w:val="008D365C"/>
    <w:rsid w:val="008D427A"/>
    <w:rsid w:val="008D7622"/>
    <w:rsid w:val="008E0109"/>
    <w:rsid w:val="008E0467"/>
    <w:rsid w:val="008E0A30"/>
    <w:rsid w:val="008E3248"/>
    <w:rsid w:val="008E58B8"/>
    <w:rsid w:val="008F5C63"/>
    <w:rsid w:val="008F78FB"/>
    <w:rsid w:val="009008EF"/>
    <w:rsid w:val="009021A6"/>
    <w:rsid w:val="009030BF"/>
    <w:rsid w:val="00903B52"/>
    <w:rsid w:val="009051DF"/>
    <w:rsid w:val="009066BA"/>
    <w:rsid w:val="0090798B"/>
    <w:rsid w:val="0091032F"/>
    <w:rsid w:val="00912344"/>
    <w:rsid w:val="00914368"/>
    <w:rsid w:val="009243D3"/>
    <w:rsid w:val="00931076"/>
    <w:rsid w:val="009318A7"/>
    <w:rsid w:val="00934428"/>
    <w:rsid w:val="009345D9"/>
    <w:rsid w:val="0093468E"/>
    <w:rsid w:val="00934B15"/>
    <w:rsid w:val="00935EA0"/>
    <w:rsid w:val="009408A4"/>
    <w:rsid w:val="00940C87"/>
    <w:rsid w:val="009411DD"/>
    <w:rsid w:val="00941753"/>
    <w:rsid w:val="00942B62"/>
    <w:rsid w:val="00944837"/>
    <w:rsid w:val="00947D8A"/>
    <w:rsid w:val="00951109"/>
    <w:rsid w:val="00952E2D"/>
    <w:rsid w:val="0095323B"/>
    <w:rsid w:val="00956A01"/>
    <w:rsid w:val="00956A0C"/>
    <w:rsid w:val="00956A50"/>
    <w:rsid w:val="00956BD9"/>
    <w:rsid w:val="00960238"/>
    <w:rsid w:val="00961B1C"/>
    <w:rsid w:val="00962489"/>
    <w:rsid w:val="00967CD3"/>
    <w:rsid w:val="009728BB"/>
    <w:rsid w:val="00973912"/>
    <w:rsid w:val="00981FF1"/>
    <w:rsid w:val="00982E43"/>
    <w:rsid w:val="00990C2C"/>
    <w:rsid w:val="00995E97"/>
    <w:rsid w:val="00996339"/>
    <w:rsid w:val="009975C5"/>
    <w:rsid w:val="00997F5B"/>
    <w:rsid w:val="009A00D3"/>
    <w:rsid w:val="009A4BAC"/>
    <w:rsid w:val="009A5171"/>
    <w:rsid w:val="009A7B82"/>
    <w:rsid w:val="009B48B2"/>
    <w:rsid w:val="009B4E9F"/>
    <w:rsid w:val="009B5A61"/>
    <w:rsid w:val="009B61D8"/>
    <w:rsid w:val="009B65E0"/>
    <w:rsid w:val="009B735A"/>
    <w:rsid w:val="009C0A28"/>
    <w:rsid w:val="009C7914"/>
    <w:rsid w:val="009D003F"/>
    <w:rsid w:val="009D299B"/>
    <w:rsid w:val="009D580D"/>
    <w:rsid w:val="009E1844"/>
    <w:rsid w:val="009E5AF6"/>
    <w:rsid w:val="009E74D7"/>
    <w:rsid w:val="009F0D1B"/>
    <w:rsid w:val="009F0F4E"/>
    <w:rsid w:val="009F1A3A"/>
    <w:rsid w:val="009F20E1"/>
    <w:rsid w:val="009F263F"/>
    <w:rsid w:val="009F3ACE"/>
    <w:rsid w:val="009F5BBD"/>
    <w:rsid w:val="009F696D"/>
    <w:rsid w:val="009F6BC6"/>
    <w:rsid w:val="009F74EF"/>
    <w:rsid w:val="00A00DA4"/>
    <w:rsid w:val="00A0159E"/>
    <w:rsid w:val="00A02826"/>
    <w:rsid w:val="00A061B0"/>
    <w:rsid w:val="00A066D7"/>
    <w:rsid w:val="00A068C3"/>
    <w:rsid w:val="00A10011"/>
    <w:rsid w:val="00A1053E"/>
    <w:rsid w:val="00A15D5A"/>
    <w:rsid w:val="00A17328"/>
    <w:rsid w:val="00A23579"/>
    <w:rsid w:val="00A23A20"/>
    <w:rsid w:val="00A24443"/>
    <w:rsid w:val="00A268B9"/>
    <w:rsid w:val="00A2703A"/>
    <w:rsid w:val="00A30910"/>
    <w:rsid w:val="00A33DFF"/>
    <w:rsid w:val="00A35115"/>
    <w:rsid w:val="00A36D9A"/>
    <w:rsid w:val="00A36F25"/>
    <w:rsid w:val="00A37856"/>
    <w:rsid w:val="00A42B99"/>
    <w:rsid w:val="00A43395"/>
    <w:rsid w:val="00A438A9"/>
    <w:rsid w:val="00A439AC"/>
    <w:rsid w:val="00A451DC"/>
    <w:rsid w:val="00A466C1"/>
    <w:rsid w:val="00A505B2"/>
    <w:rsid w:val="00A515FC"/>
    <w:rsid w:val="00A532B1"/>
    <w:rsid w:val="00A554AB"/>
    <w:rsid w:val="00A55D8F"/>
    <w:rsid w:val="00A57062"/>
    <w:rsid w:val="00A570FD"/>
    <w:rsid w:val="00A6404A"/>
    <w:rsid w:val="00A67203"/>
    <w:rsid w:val="00A67781"/>
    <w:rsid w:val="00A706C5"/>
    <w:rsid w:val="00A710CA"/>
    <w:rsid w:val="00A71966"/>
    <w:rsid w:val="00A73254"/>
    <w:rsid w:val="00A761F9"/>
    <w:rsid w:val="00A8308D"/>
    <w:rsid w:val="00A838B7"/>
    <w:rsid w:val="00A8449B"/>
    <w:rsid w:val="00A84A86"/>
    <w:rsid w:val="00A910C9"/>
    <w:rsid w:val="00A9259F"/>
    <w:rsid w:val="00A92B53"/>
    <w:rsid w:val="00A94FA6"/>
    <w:rsid w:val="00A97706"/>
    <w:rsid w:val="00A97933"/>
    <w:rsid w:val="00AA49A0"/>
    <w:rsid w:val="00AA6710"/>
    <w:rsid w:val="00AB0681"/>
    <w:rsid w:val="00AB3CC1"/>
    <w:rsid w:val="00AB4F7B"/>
    <w:rsid w:val="00AB5DBE"/>
    <w:rsid w:val="00AB6888"/>
    <w:rsid w:val="00AC1B89"/>
    <w:rsid w:val="00AC2CD3"/>
    <w:rsid w:val="00AC3A15"/>
    <w:rsid w:val="00AC68F4"/>
    <w:rsid w:val="00AD3694"/>
    <w:rsid w:val="00AD435A"/>
    <w:rsid w:val="00AD520B"/>
    <w:rsid w:val="00AD6539"/>
    <w:rsid w:val="00AD7D97"/>
    <w:rsid w:val="00AE0569"/>
    <w:rsid w:val="00AE3BCC"/>
    <w:rsid w:val="00AE3E15"/>
    <w:rsid w:val="00AE4F00"/>
    <w:rsid w:val="00AE5A71"/>
    <w:rsid w:val="00AE75FF"/>
    <w:rsid w:val="00AE78DA"/>
    <w:rsid w:val="00AE79CC"/>
    <w:rsid w:val="00AF2859"/>
    <w:rsid w:val="00B04251"/>
    <w:rsid w:val="00B10FC0"/>
    <w:rsid w:val="00B14743"/>
    <w:rsid w:val="00B20468"/>
    <w:rsid w:val="00B22E13"/>
    <w:rsid w:val="00B31B70"/>
    <w:rsid w:val="00B322FB"/>
    <w:rsid w:val="00B350C0"/>
    <w:rsid w:val="00B36336"/>
    <w:rsid w:val="00B36615"/>
    <w:rsid w:val="00B425C3"/>
    <w:rsid w:val="00B42A4D"/>
    <w:rsid w:val="00B440AD"/>
    <w:rsid w:val="00B479BB"/>
    <w:rsid w:val="00B538B7"/>
    <w:rsid w:val="00B53E7E"/>
    <w:rsid w:val="00B546F5"/>
    <w:rsid w:val="00B56A05"/>
    <w:rsid w:val="00B60700"/>
    <w:rsid w:val="00B60FDD"/>
    <w:rsid w:val="00B6135D"/>
    <w:rsid w:val="00B6342E"/>
    <w:rsid w:val="00B637C6"/>
    <w:rsid w:val="00B64CCA"/>
    <w:rsid w:val="00B64D5A"/>
    <w:rsid w:val="00B7113F"/>
    <w:rsid w:val="00B76289"/>
    <w:rsid w:val="00B843AD"/>
    <w:rsid w:val="00B849B7"/>
    <w:rsid w:val="00B87ED2"/>
    <w:rsid w:val="00B900F2"/>
    <w:rsid w:val="00B90111"/>
    <w:rsid w:val="00B90794"/>
    <w:rsid w:val="00B90FDD"/>
    <w:rsid w:val="00B93B55"/>
    <w:rsid w:val="00B95FD0"/>
    <w:rsid w:val="00B96199"/>
    <w:rsid w:val="00B965AD"/>
    <w:rsid w:val="00B97300"/>
    <w:rsid w:val="00BA08C5"/>
    <w:rsid w:val="00BA2BCF"/>
    <w:rsid w:val="00BA42B9"/>
    <w:rsid w:val="00BA48CE"/>
    <w:rsid w:val="00BA5337"/>
    <w:rsid w:val="00BA5B14"/>
    <w:rsid w:val="00BA5C0E"/>
    <w:rsid w:val="00BA73B6"/>
    <w:rsid w:val="00BA7E27"/>
    <w:rsid w:val="00BB22AB"/>
    <w:rsid w:val="00BB2603"/>
    <w:rsid w:val="00BB3BDE"/>
    <w:rsid w:val="00BB4FCD"/>
    <w:rsid w:val="00BB64B0"/>
    <w:rsid w:val="00BB771D"/>
    <w:rsid w:val="00BC04E9"/>
    <w:rsid w:val="00BC3DDC"/>
    <w:rsid w:val="00BD07ED"/>
    <w:rsid w:val="00BD0B72"/>
    <w:rsid w:val="00BD13EA"/>
    <w:rsid w:val="00BD1A6D"/>
    <w:rsid w:val="00BD1B7D"/>
    <w:rsid w:val="00BD299D"/>
    <w:rsid w:val="00BD3607"/>
    <w:rsid w:val="00BD6188"/>
    <w:rsid w:val="00BE3808"/>
    <w:rsid w:val="00BE3C8F"/>
    <w:rsid w:val="00BF2904"/>
    <w:rsid w:val="00BF60DE"/>
    <w:rsid w:val="00BF62D7"/>
    <w:rsid w:val="00BF62F2"/>
    <w:rsid w:val="00C03B88"/>
    <w:rsid w:val="00C062E9"/>
    <w:rsid w:val="00C06D10"/>
    <w:rsid w:val="00C07B64"/>
    <w:rsid w:val="00C12904"/>
    <w:rsid w:val="00C13721"/>
    <w:rsid w:val="00C140D9"/>
    <w:rsid w:val="00C14FE4"/>
    <w:rsid w:val="00C1508B"/>
    <w:rsid w:val="00C16797"/>
    <w:rsid w:val="00C200D9"/>
    <w:rsid w:val="00C27371"/>
    <w:rsid w:val="00C27438"/>
    <w:rsid w:val="00C3066D"/>
    <w:rsid w:val="00C32B5D"/>
    <w:rsid w:val="00C33D62"/>
    <w:rsid w:val="00C34224"/>
    <w:rsid w:val="00C36972"/>
    <w:rsid w:val="00C36F24"/>
    <w:rsid w:val="00C408FD"/>
    <w:rsid w:val="00C419AF"/>
    <w:rsid w:val="00C440C8"/>
    <w:rsid w:val="00C45061"/>
    <w:rsid w:val="00C453FF"/>
    <w:rsid w:val="00C4550C"/>
    <w:rsid w:val="00C46046"/>
    <w:rsid w:val="00C46836"/>
    <w:rsid w:val="00C517C5"/>
    <w:rsid w:val="00C52416"/>
    <w:rsid w:val="00C543F4"/>
    <w:rsid w:val="00C55DB4"/>
    <w:rsid w:val="00C56DD2"/>
    <w:rsid w:val="00C60869"/>
    <w:rsid w:val="00C6291C"/>
    <w:rsid w:val="00C633CB"/>
    <w:rsid w:val="00C63DDF"/>
    <w:rsid w:val="00C65473"/>
    <w:rsid w:val="00C664CD"/>
    <w:rsid w:val="00C66D82"/>
    <w:rsid w:val="00C6724A"/>
    <w:rsid w:val="00C736B7"/>
    <w:rsid w:val="00C764AD"/>
    <w:rsid w:val="00C77576"/>
    <w:rsid w:val="00C81D4A"/>
    <w:rsid w:val="00C82E21"/>
    <w:rsid w:val="00C84FD0"/>
    <w:rsid w:val="00C85040"/>
    <w:rsid w:val="00C8520C"/>
    <w:rsid w:val="00C8762C"/>
    <w:rsid w:val="00C951A7"/>
    <w:rsid w:val="00C96831"/>
    <w:rsid w:val="00C97D23"/>
    <w:rsid w:val="00CA00F9"/>
    <w:rsid w:val="00CA250D"/>
    <w:rsid w:val="00CA2961"/>
    <w:rsid w:val="00CA30B3"/>
    <w:rsid w:val="00CA332D"/>
    <w:rsid w:val="00CA4734"/>
    <w:rsid w:val="00CA7268"/>
    <w:rsid w:val="00CB092B"/>
    <w:rsid w:val="00CB3877"/>
    <w:rsid w:val="00CB50D7"/>
    <w:rsid w:val="00CB6BA2"/>
    <w:rsid w:val="00CB6F83"/>
    <w:rsid w:val="00CB7177"/>
    <w:rsid w:val="00CB7CED"/>
    <w:rsid w:val="00CB7CFD"/>
    <w:rsid w:val="00CC070F"/>
    <w:rsid w:val="00CC1998"/>
    <w:rsid w:val="00CC4946"/>
    <w:rsid w:val="00CC4FD0"/>
    <w:rsid w:val="00CC53FA"/>
    <w:rsid w:val="00CC5CEF"/>
    <w:rsid w:val="00CC64A1"/>
    <w:rsid w:val="00CC78B5"/>
    <w:rsid w:val="00CD0CFA"/>
    <w:rsid w:val="00CD10E0"/>
    <w:rsid w:val="00CD7BBA"/>
    <w:rsid w:val="00CD7FD1"/>
    <w:rsid w:val="00CE07FA"/>
    <w:rsid w:val="00CE0F5B"/>
    <w:rsid w:val="00CF2826"/>
    <w:rsid w:val="00CF2D0F"/>
    <w:rsid w:val="00CF3401"/>
    <w:rsid w:val="00CF3B11"/>
    <w:rsid w:val="00D055B7"/>
    <w:rsid w:val="00D05CEA"/>
    <w:rsid w:val="00D07ECC"/>
    <w:rsid w:val="00D10189"/>
    <w:rsid w:val="00D145B2"/>
    <w:rsid w:val="00D15B2F"/>
    <w:rsid w:val="00D21572"/>
    <w:rsid w:val="00D2336D"/>
    <w:rsid w:val="00D24F21"/>
    <w:rsid w:val="00D26C44"/>
    <w:rsid w:val="00D270A4"/>
    <w:rsid w:val="00D301CC"/>
    <w:rsid w:val="00D30BEC"/>
    <w:rsid w:val="00D31E22"/>
    <w:rsid w:val="00D31FE9"/>
    <w:rsid w:val="00D34E1B"/>
    <w:rsid w:val="00D376BA"/>
    <w:rsid w:val="00D406A1"/>
    <w:rsid w:val="00D434A0"/>
    <w:rsid w:val="00D45634"/>
    <w:rsid w:val="00D4583B"/>
    <w:rsid w:val="00D464DD"/>
    <w:rsid w:val="00D46764"/>
    <w:rsid w:val="00D5568A"/>
    <w:rsid w:val="00D61F1B"/>
    <w:rsid w:val="00D63D73"/>
    <w:rsid w:val="00D64452"/>
    <w:rsid w:val="00D644CC"/>
    <w:rsid w:val="00D64821"/>
    <w:rsid w:val="00D66E1E"/>
    <w:rsid w:val="00D70696"/>
    <w:rsid w:val="00D71B0F"/>
    <w:rsid w:val="00D74A6A"/>
    <w:rsid w:val="00D75722"/>
    <w:rsid w:val="00D80CF5"/>
    <w:rsid w:val="00D8193F"/>
    <w:rsid w:val="00D85FD9"/>
    <w:rsid w:val="00D91AD5"/>
    <w:rsid w:val="00D934BC"/>
    <w:rsid w:val="00D94DE5"/>
    <w:rsid w:val="00D957A0"/>
    <w:rsid w:val="00D96058"/>
    <w:rsid w:val="00D96E3D"/>
    <w:rsid w:val="00DA376E"/>
    <w:rsid w:val="00DA5BBA"/>
    <w:rsid w:val="00DB2053"/>
    <w:rsid w:val="00DB26D2"/>
    <w:rsid w:val="00DB4735"/>
    <w:rsid w:val="00DB5EF1"/>
    <w:rsid w:val="00DB67C9"/>
    <w:rsid w:val="00DB6A44"/>
    <w:rsid w:val="00DB7350"/>
    <w:rsid w:val="00DC0C95"/>
    <w:rsid w:val="00DC133E"/>
    <w:rsid w:val="00DC407A"/>
    <w:rsid w:val="00DC4F0B"/>
    <w:rsid w:val="00DC575C"/>
    <w:rsid w:val="00DD166D"/>
    <w:rsid w:val="00DD6580"/>
    <w:rsid w:val="00DD7B87"/>
    <w:rsid w:val="00DE3AB8"/>
    <w:rsid w:val="00DE58AC"/>
    <w:rsid w:val="00DE7F4A"/>
    <w:rsid w:val="00DF1B87"/>
    <w:rsid w:val="00DF1E33"/>
    <w:rsid w:val="00DF4295"/>
    <w:rsid w:val="00DF5972"/>
    <w:rsid w:val="00E01D7F"/>
    <w:rsid w:val="00E03BEA"/>
    <w:rsid w:val="00E04FBA"/>
    <w:rsid w:val="00E05C03"/>
    <w:rsid w:val="00E064FF"/>
    <w:rsid w:val="00E067C2"/>
    <w:rsid w:val="00E06BE1"/>
    <w:rsid w:val="00E06C1D"/>
    <w:rsid w:val="00E1062B"/>
    <w:rsid w:val="00E11B49"/>
    <w:rsid w:val="00E15603"/>
    <w:rsid w:val="00E17C72"/>
    <w:rsid w:val="00E202F5"/>
    <w:rsid w:val="00E219E2"/>
    <w:rsid w:val="00E21FC6"/>
    <w:rsid w:val="00E322BD"/>
    <w:rsid w:val="00E32CC1"/>
    <w:rsid w:val="00E33447"/>
    <w:rsid w:val="00E431A9"/>
    <w:rsid w:val="00E43828"/>
    <w:rsid w:val="00E4385D"/>
    <w:rsid w:val="00E47746"/>
    <w:rsid w:val="00E547EB"/>
    <w:rsid w:val="00E56AAD"/>
    <w:rsid w:val="00E57EDB"/>
    <w:rsid w:val="00E60102"/>
    <w:rsid w:val="00E663E8"/>
    <w:rsid w:val="00E669E2"/>
    <w:rsid w:val="00E711D2"/>
    <w:rsid w:val="00E76135"/>
    <w:rsid w:val="00E77044"/>
    <w:rsid w:val="00E77B6C"/>
    <w:rsid w:val="00E80DD5"/>
    <w:rsid w:val="00E82F4F"/>
    <w:rsid w:val="00E83286"/>
    <w:rsid w:val="00E83512"/>
    <w:rsid w:val="00E849F3"/>
    <w:rsid w:val="00E864DF"/>
    <w:rsid w:val="00E9387F"/>
    <w:rsid w:val="00E94E61"/>
    <w:rsid w:val="00E963AB"/>
    <w:rsid w:val="00E96789"/>
    <w:rsid w:val="00E97EA5"/>
    <w:rsid w:val="00EA13E5"/>
    <w:rsid w:val="00EA3828"/>
    <w:rsid w:val="00EA57FB"/>
    <w:rsid w:val="00EB09A6"/>
    <w:rsid w:val="00EB2140"/>
    <w:rsid w:val="00EB2CC3"/>
    <w:rsid w:val="00EB67B2"/>
    <w:rsid w:val="00EB7345"/>
    <w:rsid w:val="00EC2844"/>
    <w:rsid w:val="00EC5500"/>
    <w:rsid w:val="00EC7436"/>
    <w:rsid w:val="00ED141D"/>
    <w:rsid w:val="00ED18F8"/>
    <w:rsid w:val="00ED1CD8"/>
    <w:rsid w:val="00ED3668"/>
    <w:rsid w:val="00ED5039"/>
    <w:rsid w:val="00ED52C3"/>
    <w:rsid w:val="00EE6EDA"/>
    <w:rsid w:val="00EE778E"/>
    <w:rsid w:val="00EF2D1B"/>
    <w:rsid w:val="00EF5475"/>
    <w:rsid w:val="00EF6719"/>
    <w:rsid w:val="00EF6C6C"/>
    <w:rsid w:val="00F056FC"/>
    <w:rsid w:val="00F0632F"/>
    <w:rsid w:val="00F069AE"/>
    <w:rsid w:val="00F102A6"/>
    <w:rsid w:val="00F10476"/>
    <w:rsid w:val="00F109C1"/>
    <w:rsid w:val="00F135D8"/>
    <w:rsid w:val="00F25A69"/>
    <w:rsid w:val="00F27AC6"/>
    <w:rsid w:val="00F3048A"/>
    <w:rsid w:val="00F31299"/>
    <w:rsid w:val="00F32661"/>
    <w:rsid w:val="00F333D7"/>
    <w:rsid w:val="00F33B9F"/>
    <w:rsid w:val="00F3534A"/>
    <w:rsid w:val="00F35BFB"/>
    <w:rsid w:val="00F36456"/>
    <w:rsid w:val="00F36ACC"/>
    <w:rsid w:val="00F406F3"/>
    <w:rsid w:val="00F4384C"/>
    <w:rsid w:val="00F4500A"/>
    <w:rsid w:val="00F4559A"/>
    <w:rsid w:val="00F51609"/>
    <w:rsid w:val="00F519F1"/>
    <w:rsid w:val="00F55C25"/>
    <w:rsid w:val="00F64C67"/>
    <w:rsid w:val="00F67BBB"/>
    <w:rsid w:val="00F70785"/>
    <w:rsid w:val="00F73727"/>
    <w:rsid w:val="00F74E1F"/>
    <w:rsid w:val="00F766A7"/>
    <w:rsid w:val="00F81006"/>
    <w:rsid w:val="00F823B1"/>
    <w:rsid w:val="00F83EDC"/>
    <w:rsid w:val="00F85325"/>
    <w:rsid w:val="00F86F90"/>
    <w:rsid w:val="00F8752C"/>
    <w:rsid w:val="00F90FCB"/>
    <w:rsid w:val="00F9389B"/>
    <w:rsid w:val="00F93A04"/>
    <w:rsid w:val="00F96228"/>
    <w:rsid w:val="00F9762C"/>
    <w:rsid w:val="00F97C6A"/>
    <w:rsid w:val="00FA5E8A"/>
    <w:rsid w:val="00FB0B5A"/>
    <w:rsid w:val="00FB116C"/>
    <w:rsid w:val="00FB3901"/>
    <w:rsid w:val="00FB5974"/>
    <w:rsid w:val="00FB5B53"/>
    <w:rsid w:val="00FB65C5"/>
    <w:rsid w:val="00FB7965"/>
    <w:rsid w:val="00FC6715"/>
    <w:rsid w:val="00FC7127"/>
    <w:rsid w:val="00FC7551"/>
    <w:rsid w:val="00FD22B1"/>
    <w:rsid w:val="00FD33F1"/>
    <w:rsid w:val="00FD3566"/>
    <w:rsid w:val="00FD3971"/>
    <w:rsid w:val="00FD54A3"/>
    <w:rsid w:val="00FE37D2"/>
    <w:rsid w:val="00FE4CDD"/>
    <w:rsid w:val="00FE5164"/>
    <w:rsid w:val="00FE5397"/>
    <w:rsid w:val="00FE60C0"/>
    <w:rsid w:val="00FE7605"/>
    <w:rsid w:val="00FE7AD1"/>
    <w:rsid w:val="00FF33CE"/>
    <w:rsid w:val="00FF441E"/>
    <w:rsid w:val="00FF7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E57EDB"/>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CommentSubject">
    <w:name w:val="annotation subject"/>
    <w:basedOn w:val="CommentText"/>
    <w:next w:val="CommentText"/>
    <w:link w:val="CommentSubjectChar"/>
    <w:rsid w:val="00CD0CFA"/>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CD0CFA"/>
    <w:rPr>
      <w:szCs w:val="24"/>
    </w:rPr>
  </w:style>
  <w:style w:type="character" w:customStyle="1" w:styleId="CommentSubjectChar">
    <w:name w:val="Comment Subject Char"/>
    <w:basedOn w:val="CommentTextChar"/>
    <w:link w:val="CommentSubject"/>
    <w:rsid w:val="00CD0CFA"/>
    <w:rPr>
      <w:b/>
      <w:bCs/>
      <w:szCs w:val="24"/>
    </w:rPr>
  </w:style>
  <w:style w:type="paragraph" w:styleId="Revision">
    <w:name w:val="Revision"/>
    <w:hidden/>
    <w:uiPriority w:val="99"/>
    <w:semiHidden/>
    <w:rsid w:val="0062744C"/>
    <w:rPr>
      <w:sz w:val="24"/>
      <w:szCs w:val="24"/>
    </w:rPr>
  </w:style>
  <w:style w:type="paragraph" w:styleId="TOCHeading">
    <w:name w:val="TOC Heading"/>
    <w:basedOn w:val="Heading1"/>
    <w:next w:val="Normal"/>
    <w:uiPriority w:val="39"/>
    <w:semiHidden/>
    <w:unhideWhenUsed/>
    <w:qFormat/>
    <w:rsid w:val="00FB0B5A"/>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 w:type="character" w:styleId="Hyperlink">
    <w:name w:val="Hyperlink"/>
    <w:basedOn w:val="DefaultParagraphFont"/>
    <w:uiPriority w:val="99"/>
    <w:unhideWhenUsed/>
    <w:rsid w:val="00FB0B5A"/>
    <w:rPr>
      <w:color w:val="78A22F" w:themeColor="hyperlink"/>
      <w:u w:val="single"/>
    </w:rPr>
  </w:style>
  <w:style w:type="paragraph" w:styleId="NormalWeb">
    <w:name w:val="Normal (Web)"/>
    <w:basedOn w:val="Normal"/>
    <w:uiPriority w:val="99"/>
    <w:unhideWhenUsed/>
    <w:rsid w:val="00FB0B5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E57EDB"/>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CommentSubject">
    <w:name w:val="annotation subject"/>
    <w:basedOn w:val="CommentText"/>
    <w:next w:val="CommentText"/>
    <w:link w:val="CommentSubjectChar"/>
    <w:rsid w:val="00CD0CFA"/>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CD0CFA"/>
    <w:rPr>
      <w:szCs w:val="24"/>
    </w:rPr>
  </w:style>
  <w:style w:type="character" w:customStyle="1" w:styleId="CommentSubjectChar">
    <w:name w:val="Comment Subject Char"/>
    <w:basedOn w:val="CommentTextChar"/>
    <w:link w:val="CommentSubject"/>
    <w:rsid w:val="00CD0CFA"/>
    <w:rPr>
      <w:b/>
      <w:bCs/>
      <w:szCs w:val="24"/>
    </w:rPr>
  </w:style>
  <w:style w:type="paragraph" w:styleId="Revision">
    <w:name w:val="Revision"/>
    <w:hidden/>
    <w:uiPriority w:val="99"/>
    <w:semiHidden/>
    <w:rsid w:val="0062744C"/>
    <w:rPr>
      <w:sz w:val="24"/>
      <w:szCs w:val="24"/>
    </w:rPr>
  </w:style>
  <w:style w:type="paragraph" w:styleId="TOCHeading">
    <w:name w:val="TOC Heading"/>
    <w:basedOn w:val="Heading1"/>
    <w:next w:val="Normal"/>
    <w:uiPriority w:val="39"/>
    <w:semiHidden/>
    <w:unhideWhenUsed/>
    <w:qFormat/>
    <w:rsid w:val="00FB0B5A"/>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 w:type="character" w:styleId="Hyperlink">
    <w:name w:val="Hyperlink"/>
    <w:basedOn w:val="DefaultParagraphFont"/>
    <w:uiPriority w:val="99"/>
    <w:unhideWhenUsed/>
    <w:rsid w:val="00FB0B5A"/>
    <w:rPr>
      <w:color w:val="78A22F" w:themeColor="hyperlink"/>
      <w:u w:val="single"/>
    </w:rPr>
  </w:style>
  <w:style w:type="paragraph" w:styleId="NormalWeb">
    <w:name w:val="Normal (Web)"/>
    <w:basedOn w:val="Normal"/>
    <w:uiPriority w:val="99"/>
    <w:unhideWhenUsed/>
    <w:rsid w:val="00FB0B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0676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Dev\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In initial draft state</Value>
    </Draft_x0020_Report_x0020_Status>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Draft Report</TermName>
          <TermId xmlns="http://schemas.microsoft.com/office/infopath/2007/PartnerControls">84e4af37-8871-4c42-ad2f-98d46afe06b0</TermId>
        </TermInfo>
      </Terms>
    </p7a0baa8c88445a78b6f55906390ba17>
    <TaxCatchAll xmlns="3f4bcce7-ac1a-4c9d-aa3e-7e77695652db">
      <Value>1741</Value>
      <Value>2811</Value>
      <Value>24</Value>
      <Value>709</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4" PreviousValue="false"/>
</file>

<file path=customXml/item3.xml><?xml version="1.0" encoding="utf-8"?>
<ct:contentTypeSchema xmlns:ct="http://schemas.microsoft.com/office/2006/metadata/contentType" xmlns:ma="http://schemas.microsoft.com/office/2006/metadata/properties/metaAttributes" ct:_="" ma:_="" ma:contentTypeName="Reports" ma:contentTypeID="0x0101007916246811615643A710C6FEAFF56A87110400744569953EEE1B499705EE570A857A44" ma:contentTypeVersion="0" ma:contentTypeDescription="" ma:contentTypeScope="" ma:versionID="ca0bba35cbb497dde4c3d0621ba743c7">
  <xsd:schema xmlns:xsd="http://www.w3.org/2001/XMLSchema" xmlns:xs="http://www.w3.org/2001/XMLSchema" xmlns:p="http://schemas.microsoft.com/office/2006/metadata/properties" xmlns:ns2="3f4bcce7-ac1a-4c9d-aa3e-7e77695652db" targetNamespace="http://schemas.microsoft.com/office/2006/metadata/properties" ma:root="true" ma:fieldsID="ced59f8c17a04fd942c98263fb3b9582"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quiredMultiChoice="tru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F5756-D7FD-4008-87E2-88CF977134AB}">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3f4bcce7-ac1a-4c9d-aa3e-7e77695652db"/>
    <ds:schemaRef ds:uri="http://www.w3.org/XML/1998/namespace"/>
  </ds:schemaRefs>
</ds:datastoreItem>
</file>

<file path=customXml/itemProps2.xml><?xml version="1.0" encoding="utf-8"?>
<ds:datastoreItem xmlns:ds="http://schemas.openxmlformats.org/officeDocument/2006/customXml" ds:itemID="{B09DF4D0-974D-4795-BE93-11E309D80DBB}">
  <ds:schemaRefs>
    <ds:schemaRef ds:uri="Microsoft.SharePoint.Taxonomy.ContentTypeSync"/>
  </ds:schemaRefs>
</ds:datastoreItem>
</file>

<file path=customXml/itemProps3.xml><?xml version="1.0" encoding="utf-8"?>
<ds:datastoreItem xmlns:ds="http://schemas.openxmlformats.org/officeDocument/2006/customXml" ds:itemID="{6F629DFD-37EC-423D-B090-215061A30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FAAFB-82CF-455E-AB1B-4638D5CF887F}">
  <ds:schemaRefs>
    <ds:schemaRef ds:uri="http://schemas.microsoft.com/sharepoint/v3/contenttype/forms"/>
  </ds:schemaRefs>
</ds:datastoreItem>
</file>

<file path=customXml/itemProps5.xml><?xml version="1.0" encoding="utf-8"?>
<ds:datastoreItem xmlns:ds="http://schemas.openxmlformats.org/officeDocument/2006/customXml" ds:itemID="{230B1DD2-E372-456E-B778-5793EA5FAE32}">
  <ds:schemaRefs>
    <ds:schemaRef ds:uri="http://schemas.microsoft.com/sharepoint/events"/>
  </ds:schemaRefs>
</ds:datastoreItem>
</file>

<file path=customXml/itemProps6.xml><?xml version="1.0" encoding="utf-8"?>
<ds:datastoreItem xmlns:ds="http://schemas.openxmlformats.org/officeDocument/2006/customXml" ds:itemID="{851199AC-62FC-4794-A7F8-048D8AB0B767}">
  <ds:schemaRefs>
    <ds:schemaRef ds:uri="http://schemas.microsoft.com/office/2006/metadata/customXsn"/>
  </ds:schemaRefs>
</ds:datastoreItem>
</file>

<file path=customXml/itemProps7.xml><?xml version="1.0" encoding="utf-8"?>
<ds:datastoreItem xmlns:ds="http://schemas.openxmlformats.org/officeDocument/2006/customXml" ds:itemID="{A095B962-985A-4ED8-B2E7-625BEDF5D407}">
  <ds:schemaRefs>
    <ds:schemaRef ds:uri="http://schemas.openxmlformats.org/officeDocument/2006/bibliography"/>
  </ds:schemaRefs>
</ds:datastoreItem>
</file>

<file path=customXml/itemProps8.xml><?xml version="1.0" encoding="utf-8"?>
<ds:datastoreItem xmlns:ds="http://schemas.openxmlformats.org/officeDocument/2006/customXml" ds:itemID="{BBCDD607-2969-45FC-8A3E-AEDD39FB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7</TotalTime>
  <Pages>6</Pages>
  <Words>1934</Words>
  <Characters>11426</Characters>
  <Application>Microsoft Office Word</Application>
  <DocSecurity>0</DocSecurity>
  <Lines>408</Lines>
  <Paragraphs>140</Paragraphs>
  <ScaleCrop>false</ScaleCrop>
  <HeadingPairs>
    <vt:vector size="2" baseType="variant">
      <vt:variant>
        <vt:lpstr>Title</vt:lpstr>
      </vt:variant>
      <vt:variant>
        <vt:i4>1</vt:i4>
      </vt:variant>
    </vt:vector>
  </HeadingPairs>
  <TitlesOfParts>
    <vt:vector size="1" baseType="lpstr">
      <vt:lpstr>Case Studies</vt:lpstr>
    </vt:vector>
  </TitlesOfParts>
  <Company>Productivity Commission</Company>
  <LinksUpToDate>false</LinksUpToDate>
  <CharactersWithSpaces>13220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Studies</dc:title>
  <dc:subject>Regulation in Australian Agriculture</dc:subject>
  <dc:creator>Productivity Commission</dc:creator>
  <cp:keywords/>
  <dc:description>C.</dc:description>
  <cp:lastModifiedBy>Michelle Cross</cp:lastModifiedBy>
  <cp:revision>5</cp:revision>
  <cp:lastPrinted>2016-07-18T05:59:00Z</cp:lastPrinted>
  <dcterms:created xsi:type="dcterms:W3CDTF">2016-07-19T05:02:00Z</dcterms:created>
  <dcterms:modified xsi:type="dcterms:W3CDTF">2016-07-19T05:08:00Z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0x0101007916246811615643A710C6FEAFF56A87110400744569953EEE1B499705EE570A857A44</vt:lpwstr>
  </property>
  <property fmtid="{D5CDD505-2E9C-101B-9397-08002B2CF9AE}" pid="3" name="Record Tag">
    <vt:lpwstr>24;#Draft Report|84e4af37-8871-4c42-ad2f-98d46afe06b0</vt:lpwstr>
  </property>
  <property fmtid="{D5CDD505-2E9C-101B-9397-08002B2CF9AE}" pid="4" name="TaxKeyword">
    <vt:lpwstr>1741;#Costs of regulation|525d6ade-5e76-4241-aafb-6190dff03ffe;#2811;#Rohan Nelson|a83c5c4e-fccf-4f3d-8128-9e5289613185;#709;#Case Studies|a0f19baf-f822-40d6-8253-bda65abb5712</vt:lpwstr>
  </property>
  <property fmtid="{D5CDD505-2E9C-101B-9397-08002B2CF9AE}" pid="5" name="ZOTERO_PREF_1">
    <vt:lpwstr>&lt;data data-version="3" zotero-version="4.0.20"&gt;&lt;session id="37Z8uIGN"/&gt;&lt;style id="http://www.zotero.org/styles/unisa-harvard" hasBibliography="1" bibliographyStyleHasBeenSet="0"/&gt;&lt;prefs&gt;&lt;pref name="fieldType" value="Field"/&gt;&lt;pref name="storeReferences" va</vt:lpwstr>
  </property>
  <property fmtid="{D5CDD505-2E9C-101B-9397-08002B2CF9AE}" pid="6" name="ZOTERO_PREF_2">
    <vt:lpwstr>lue="true"/&gt;&lt;pref name="automaticJournalAbbreviations" value="true"/&gt;&lt;pref name="noteType" value="0"/&gt;&lt;/prefs&gt;&lt;/data&gt;</vt:lpwstr>
  </property>
</Properties>
</file>