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D2" w:rsidRDefault="000059ED" w:rsidP="0084465B">
      <w:pPr>
        <w:pStyle w:val="Heading1"/>
      </w:pPr>
      <w:bookmarkStart w:id="0" w:name="_AppendixNotByChapter"/>
      <w:bookmarkStart w:id="1" w:name="ChapterNumber"/>
      <w:bookmarkStart w:id="2" w:name="_GoBack"/>
      <w:bookmarkEnd w:id="0"/>
      <w:bookmarkEnd w:id="2"/>
      <w:r>
        <w:t>E</w:t>
      </w:r>
      <w:bookmarkEnd w:id="1"/>
      <w:r>
        <w:tab/>
      </w:r>
      <w:bookmarkStart w:id="3" w:name="ChapterTitle"/>
      <w:r>
        <w:t>Effective marginal tax rates</w:t>
      </w:r>
      <w:bookmarkEnd w:id="3"/>
    </w:p>
    <w:p w:rsidR="007E14D2" w:rsidRDefault="00E768CA">
      <w:pPr>
        <w:pStyle w:val="BodyText"/>
      </w:pPr>
      <w:r>
        <w:t xml:space="preserve">A recurring concern regarding the design of any government program is the possible </w:t>
      </w:r>
      <w:r w:rsidR="00406B3C">
        <w:t xml:space="preserve">creation of </w:t>
      </w:r>
      <w:r>
        <w:t xml:space="preserve">disincentives to </w:t>
      </w:r>
      <w:r w:rsidR="00406B3C">
        <w:t xml:space="preserve">undertake paid </w:t>
      </w:r>
      <w:r>
        <w:t xml:space="preserve">work </w:t>
      </w:r>
      <w:r w:rsidR="00406B3C">
        <w:t>(or to work additional hours)</w:t>
      </w:r>
      <w:r>
        <w:t xml:space="preserve">. These disincentives </w:t>
      </w:r>
      <w:r w:rsidR="00B94952">
        <w:t xml:space="preserve">do not arise </w:t>
      </w:r>
      <w:r w:rsidR="00406B3C">
        <w:t>solely from</w:t>
      </w:r>
      <w:r w:rsidR="00131A9D">
        <w:t xml:space="preserve"> </w:t>
      </w:r>
      <w:r w:rsidR="00406B3C">
        <w:t>the early childhood education and care (</w:t>
      </w:r>
      <w:r w:rsidR="00685388">
        <w:t>ECEC</w:t>
      </w:r>
      <w:r w:rsidR="00406B3C">
        <w:t>)</w:t>
      </w:r>
      <w:r w:rsidR="00685388">
        <w:t xml:space="preserve"> </w:t>
      </w:r>
      <w:r>
        <w:t xml:space="preserve">program being examined, </w:t>
      </w:r>
      <w:r w:rsidR="00406B3C">
        <w:t xml:space="preserve">they also stem from </w:t>
      </w:r>
      <w:r w:rsidR="00B94952">
        <w:t>the</w:t>
      </w:r>
      <w:r>
        <w:t xml:space="preserve"> interaction</w:t>
      </w:r>
      <w:r w:rsidR="00B94952">
        <w:t>s</w:t>
      </w:r>
      <w:r>
        <w:t xml:space="preserve"> with all relevant tax and government transfers. </w:t>
      </w:r>
    </w:p>
    <w:p w:rsidR="007E14D2" w:rsidRDefault="00E768CA">
      <w:pPr>
        <w:pStyle w:val="BodyText"/>
      </w:pPr>
      <w:r>
        <w:t xml:space="preserve">The most common approach to </w:t>
      </w:r>
      <w:r w:rsidR="00406B3C">
        <w:t xml:space="preserve">determining </w:t>
      </w:r>
      <w:r>
        <w:t>the cumulative disincentives associated with a program is to compare effective marginal tax rates (EMTRs). At its most basic, a</w:t>
      </w:r>
      <w:r w:rsidR="00060694">
        <w:t>n EMTR</w:t>
      </w:r>
      <w:r>
        <w:t xml:space="preserve"> tells us that if a person earned an extra dollar, how much of </w:t>
      </w:r>
      <w:r w:rsidR="00406B3C">
        <w:t>it</w:t>
      </w:r>
      <w:r w:rsidR="00763EB6">
        <w:t xml:space="preserve"> would lose and how much they </w:t>
      </w:r>
      <w:r>
        <w:t>would keep</w:t>
      </w:r>
      <w:r w:rsidR="00406B3C">
        <w:t>.</w:t>
      </w:r>
      <w:r w:rsidR="00060694">
        <w:t xml:space="preserve"> </w:t>
      </w:r>
      <w:r w:rsidR="00406B3C">
        <w:t>A</w:t>
      </w:r>
      <w:r w:rsidR="00060694">
        <w:t xml:space="preserve">s discussed in </w:t>
      </w:r>
      <w:r w:rsidR="009605D5">
        <w:t>b</w:t>
      </w:r>
      <w:r w:rsidR="00060694">
        <w:t>ox </w:t>
      </w:r>
      <w:r w:rsidR="00A7553B">
        <w:t>E.</w:t>
      </w:r>
      <w:r w:rsidR="00060694">
        <w:t xml:space="preserve">1, EMTRs are often </w:t>
      </w:r>
      <w:r w:rsidR="00DE7411">
        <w:t>referred to as a measure of ‘cents in the dollar’</w:t>
      </w:r>
      <w:r>
        <w:t>.</w:t>
      </w:r>
    </w:p>
    <w:p w:rsidR="00CA5A80" w:rsidRDefault="00CA5A8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5A80" w:rsidTr="0061312B">
        <w:tc>
          <w:tcPr>
            <w:tcW w:w="8771" w:type="dxa"/>
            <w:tcBorders>
              <w:top w:val="single" w:sz="6" w:space="0" w:color="78A22F"/>
              <w:left w:val="nil"/>
              <w:bottom w:val="nil"/>
              <w:right w:val="nil"/>
            </w:tcBorders>
            <w:shd w:val="clear" w:color="auto" w:fill="F2F2F2" w:themeFill="background1" w:themeFillShade="F2"/>
          </w:tcPr>
          <w:p w:rsidR="00CA5A80" w:rsidRDefault="00CA5A80" w:rsidP="00CA5A80">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1</w:t>
            </w:r>
            <w:r>
              <w:rPr>
                <w:b w:val="0"/>
              </w:rPr>
              <w:fldChar w:fldCharType="end"/>
            </w:r>
            <w:r>
              <w:tab/>
              <w:t>What does ‘cents in the dollar’ mean?</w:t>
            </w:r>
          </w:p>
        </w:tc>
      </w:tr>
      <w:tr w:rsidR="00CA5A80" w:rsidTr="0061312B">
        <w:trPr>
          <w:cantSplit/>
        </w:trPr>
        <w:tc>
          <w:tcPr>
            <w:tcW w:w="8771" w:type="dxa"/>
            <w:tcBorders>
              <w:top w:val="nil"/>
              <w:left w:val="nil"/>
              <w:bottom w:val="nil"/>
              <w:right w:val="nil"/>
            </w:tcBorders>
            <w:shd w:val="clear" w:color="auto" w:fill="F2F2F2" w:themeFill="background1" w:themeFillShade="F2"/>
          </w:tcPr>
          <w:p w:rsidR="00CA5A80" w:rsidRDefault="00406B3C" w:rsidP="00CA5A80">
            <w:pPr>
              <w:pStyle w:val="Box"/>
            </w:pPr>
            <w:r>
              <w:t xml:space="preserve">Most people </w:t>
            </w:r>
            <w:r w:rsidR="00CA5A80">
              <w:t xml:space="preserve">do not get to keep every cent that they earn — for every dollar that they earn, </w:t>
            </w:r>
            <w:r>
              <w:t>they</w:t>
            </w:r>
            <w:r w:rsidR="00CA5A80">
              <w:t xml:space="preserve"> pay tax (for high income earners, this is as high as 45 cents). Some people lose part </w:t>
            </w:r>
            <w:r w:rsidR="00685388">
              <w:t xml:space="preserve">or all </w:t>
            </w:r>
            <w:r w:rsidR="00CA5A80">
              <w:t>of their benefits paid by governments, and, of relevance to this inquiry, some people pay childcare fees. The sum of these losses can be referred to as ‘cents in the dollar’.</w:t>
            </w:r>
          </w:p>
          <w:p w:rsidR="00CA5A80" w:rsidRDefault="00CA5A80" w:rsidP="00CA5A80">
            <w:pPr>
              <w:pStyle w:val="Box"/>
            </w:pPr>
            <w:r>
              <w:t xml:space="preserve">To illustrate, if a person earns one extra dollar, but pays 30 cents of this dollar in tax, loses 17 cents of transfer payments (such as Family Tax Benefit) and pays 22 cents towards child care costs in order to earn that dollar, their </w:t>
            </w:r>
            <w:r w:rsidR="00406B3C">
              <w:t>effective marginal tax rate (</w:t>
            </w:r>
            <w:r>
              <w:t>EMTR</w:t>
            </w:r>
            <w:r w:rsidR="00406B3C">
              <w:t>)</w:t>
            </w:r>
            <w:r>
              <w:t xml:space="preserve"> can be considered to be ‘69 cents in the dollar’. </w:t>
            </w:r>
          </w:p>
          <w:p w:rsidR="00CA5A80" w:rsidRDefault="00CA5A80" w:rsidP="00406B3C">
            <w:pPr>
              <w:pStyle w:val="Box"/>
            </w:pPr>
            <w:r>
              <w:t xml:space="preserve">EMTRs of over 100 cents in the dollar imply that the person has no financial gain from working more </w:t>
            </w:r>
            <w:r w:rsidR="00406B3C">
              <w:t xml:space="preserve">hours </w:t>
            </w:r>
            <w:r>
              <w:t xml:space="preserve">(in fact, they would incur a financial loss). That said, some people may tolerate very high EMTRs in the short term if they think </w:t>
            </w:r>
            <w:r w:rsidR="00406B3C">
              <w:t>participating in paid work now</w:t>
            </w:r>
            <w:r>
              <w:t xml:space="preserve"> </w:t>
            </w:r>
            <w:r w:rsidR="00B94952">
              <w:t xml:space="preserve">would bring </w:t>
            </w:r>
            <w:r>
              <w:t>financial gains in the longer term (for example, through career progress</w:t>
            </w:r>
            <w:r w:rsidR="00406B3C">
              <w:t>ion</w:t>
            </w:r>
            <w:r>
              <w:t xml:space="preserve">) or they enjoy </w:t>
            </w:r>
            <w:r w:rsidR="00406B3C">
              <w:t xml:space="preserve">being in paid </w:t>
            </w:r>
            <w:r>
              <w:t>work.</w:t>
            </w:r>
          </w:p>
        </w:tc>
      </w:tr>
      <w:tr w:rsidR="00CA5A80" w:rsidTr="0061312B">
        <w:trPr>
          <w:cantSplit/>
        </w:trPr>
        <w:tc>
          <w:tcPr>
            <w:tcW w:w="8771" w:type="dxa"/>
            <w:tcBorders>
              <w:top w:val="nil"/>
              <w:left w:val="nil"/>
              <w:bottom w:val="single" w:sz="6" w:space="0" w:color="78A22F"/>
              <w:right w:val="nil"/>
            </w:tcBorders>
            <w:shd w:val="clear" w:color="auto" w:fill="F2F2F2" w:themeFill="background1" w:themeFillShade="F2"/>
          </w:tcPr>
          <w:p w:rsidR="00CA5A80" w:rsidRDefault="00CA5A80">
            <w:pPr>
              <w:pStyle w:val="Box"/>
              <w:spacing w:before="0" w:line="120" w:lineRule="exact"/>
            </w:pPr>
          </w:p>
        </w:tc>
      </w:tr>
      <w:tr w:rsidR="00CA5A80" w:rsidRPr="000863A5" w:rsidTr="0061312B">
        <w:tc>
          <w:tcPr>
            <w:tcW w:w="8771" w:type="dxa"/>
            <w:tcBorders>
              <w:top w:val="single" w:sz="6" w:space="0" w:color="78A22F"/>
              <w:left w:val="nil"/>
              <w:bottom w:val="nil"/>
              <w:right w:val="nil"/>
            </w:tcBorders>
          </w:tcPr>
          <w:p w:rsidR="00CA5A80" w:rsidRPr="00626D32" w:rsidRDefault="00CA5A80" w:rsidP="0061312B">
            <w:pPr>
              <w:pStyle w:val="BoxSpaceBelow"/>
            </w:pPr>
          </w:p>
        </w:tc>
      </w:tr>
    </w:tbl>
    <w:p w:rsidR="007E14D2" w:rsidRPr="0084465B" w:rsidRDefault="00E768CA" w:rsidP="0084465B">
      <w:pPr>
        <w:pStyle w:val="Heading2"/>
      </w:pPr>
      <w:r w:rsidRPr="0084465B">
        <w:t>Why are effective marginal tax rates important?</w:t>
      </w:r>
    </w:p>
    <w:p w:rsidR="007E14D2" w:rsidRDefault="00E768CA">
      <w:pPr>
        <w:pStyle w:val="BodyText"/>
      </w:pPr>
      <w:r>
        <w:t xml:space="preserve">EMTRs are important because they can discourage people from working (or encourage them to work less). While some people derive satisfaction or enjoyment from their jobs, it is generally accepted that the main reason people work is to earn an income. </w:t>
      </w:r>
    </w:p>
    <w:p w:rsidR="00404569" w:rsidRDefault="00404569">
      <w:pPr>
        <w:rPr>
          <w:szCs w:val="20"/>
        </w:rPr>
      </w:pPr>
      <w:r>
        <w:br w:type="page"/>
      </w:r>
    </w:p>
    <w:p w:rsidR="007E14D2" w:rsidRDefault="00E768CA">
      <w:pPr>
        <w:pStyle w:val="BodyText"/>
      </w:pPr>
      <w:r>
        <w:lastRenderedPageBreak/>
        <w:t>As an individual’s EMTR increases, they get to keep less of the</w:t>
      </w:r>
      <w:r w:rsidR="006F25BA">
        <w:t>ir</w:t>
      </w:r>
      <w:r>
        <w:t xml:space="preserve"> last dollar earned. In response, some will continue to increase their hours of work, but others will decide that the financial return from working more is insufficient to forego their additional leisure time</w:t>
      </w:r>
      <w:r w:rsidR="00982070">
        <w:t xml:space="preserve"> or time spent caring for children</w:t>
      </w:r>
      <w:r>
        <w:t>.</w:t>
      </w:r>
    </w:p>
    <w:p w:rsidR="007E14D2" w:rsidRDefault="00E768CA">
      <w:pPr>
        <w:pStyle w:val="BodyText"/>
      </w:pPr>
      <w:r>
        <w:t xml:space="preserve">As each person will have unique considerations when contemplating their work/lifestyle trade off, EMTRs are not a good tool for determining how any individual will respond to a policy or a policy change. Instead, they are best used to indicate how a group of people are likely to respond. </w:t>
      </w:r>
    </w:p>
    <w:p w:rsidR="007E14D2" w:rsidRDefault="00E768CA">
      <w:pPr>
        <w:pStyle w:val="BodyText"/>
      </w:pPr>
      <w:r>
        <w:t xml:space="preserve">As such, EMTRs are a </w:t>
      </w:r>
      <w:r w:rsidR="001837BC">
        <w:t xml:space="preserve">useful </w:t>
      </w:r>
      <w:r w:rsidR="00C70BCA">
        <w:t xml:space="preserve">indicator </w:t>
      </w:r>
      <w:r>
        <w:t xml:space="preserve">for </w:t>
      </w:r>
      <w:r w:rsidR="006D66D1">
        <w:t>assessing</w:t>
      </w:r>
      <w:r>
        <w:t xml:space="preserve"> the </w:t>
      </w:r>
      <w:r w:rsidR="00C70BCA">
        <w:t xml:space="preserve">impact of </w:t>
      </w:r>
      <w:r>
        <w:t>a policy change — such as the Commission’s recommendations for changing ECEC assistance</w:t>
      </w:r>
      <w:r w:rsidR="00C70BCA">
        <w:t xml:space="preserve"> </w:t>
      </w:r>
      <w:r w:rsidR="006F25BA">
        <w:t xml:space="preserve">— </w:t>
      </w:r>
      <w:r w:rsidR="00C70BCA">
        <w:t>on workforce participation</w:t>
      </w:r>
      <w:r>
        <w:t>. In order to determine the likely EMTRs for families receiving childcare assistance, it is necessary to know what taxes those families face and which transfer payments they receive.</w:t>
      </w:r>
    </w:p>
    <w:p w:rsidR="007E14D2" w:rsidRDefault="00E768CA" w:rsidP="0084465B">
      <w:pPr>
        <w:pStyle w:val="Heading2nosectionno"/>
      </w:pPr>
      <w:r>
        <w:t>Taxes and transfers for families receiving childcare assistance</w:t>
      </w:r>
    </w:p>
    <w:p w:rsidR="007E14D2" w:rsidRDefault="00E768CA">
      <w:pPr>
        <w:pStyle w:val="BodyText"/>
      </w:pPr>
      <w:r>
        <w:t xml:space="preserve">There are a range of tax and transfer policies that can interact with childcare assistance measures. </w:t>
      </w:r>
    </w:p>
    <w:p w:rsidR="007E14D2" w:rsidRDefault="00E768CA">
      <w:pPr>
        <w:pStyle w:val="BodyText"/>
      </w:pPr>
      <w:r>
        <w:t xml:space="preserve">Most families will need to pay income tax and the Medicare levy. Families are also likely to pay </w:t>
      </w:r>
      <w:r w:rsidR="006F25BA">
        <w:t>goods and services tax (</w:t>
      </w:r>
      <w:r>
        <w:t>GST</w:t>
      </w:r>
      <w:r w:rsidR="006F25BA">
        <w:t>)</w:t>
      </w:r>
      <w:r>
        <w:t xml:space="preserve"> and may be subject to a range of other taxes (including fringe benefits tax</w:t>
      </w:r>
      <w:r w:rsidR="005C581C">
        <w:t xml:space="preserve"> and</w:t>
      </w:r>
      <w:r>
        <w:t xml:space="preserve"> capital gains tax). The taxes included in the Commission’s calculation of marginal effective tax rates are income tax rates and the Medicare levy. This decision reflects the information publicly available to the Commission in these areas. For the remaining taxes, insufficient information is available to determine what taxes might be paid. In addition, payments for most of these </w:t>
      </w:r>
      <w:r w:rsidR="00C70BCA" w:rsidRPr="00C70BCA">
        <w:t xml:space="preserve">remaining </w:t>
      </w:r>
      <w:r>
        <w:t>taxes will not vary based on work participation and childcare decisions and consequently, those taxes are unlikely to influence the decision whether to work or not (or the number of hours to work).</w:t>
      </w:r>
    </w:p>
    <w:p w:rsidR="007E14D2" w:rsidRDefault="00E768CA">
      <w:pPr>
        <w:pStyle w:val="BodyText"/>
      </w:pPr>
      <w:r>
        <w:t xml:space="preserve">There </w:t>
      </w:r>
      <w:r w:rsidR="00774992">
        <w:t xml:space="preserve">are </w:t>
      </w:r>
      <w:r>
        <w:t xml:space="preserve">a </w:t>
      </w:r>
      <w:r w:rsidR="00C70BCA">
        <w:t xml:space="preserve">range </w:t>
      </w:r>
      <w:r>
        <w:t xml:space="preserve">of government transfer payments to assist families and individuals facing differing circumstances. </w:t>
      </w:r>
      <w:r w:rsidR="001C20A6">
        <w:t>Over 660 000</w:t>
      </w:r>
      <w:r>
        <w:t xml:space="preserve"> famil</w:t>
      </w:r>
      <w:r w:rsidR="005C2D0A">
        <w:t>ies receive</w:t>
      </w:r>
      <w:r w:rsidR="001C20A6">
        <w:t>d</w:t>
      </w:r>
      <w:r w:rsidR="005C2D0A">
        <w:t xml:space="preserve"> ECEC assistance </w:t>
      </w:r>
      <w:r w:rsidR="001C20A6">
        <w:t>and</w:t>
      </w:r>
      <w:r w:rsidR="005C2D0A">
        <w:t xml:space="preserve"> at least one other</w:t>
      </w:r>
      <w:r w:rsidR="00C70BCA">
        <w:t xml:space="preserve"> family</w:t>
      </w:r>
      <w:r>
        <w:t xml:space="preserve"> transfer payment</w:t>
      </w:r>
      <w:r w:rsidR="001C20A6">
        <w:t xml:space="preserve"> in 2012</w:t>
      </w:r>
      <w:r w:rsidR="009605D5">
        <w:noBreakHyphen/>
      </w:r>
      <w:r w:rsidR="001C20A6">
        <w:t>13 (Department of Humans Services Administrative Data, 2014)</w:t>
      </w:r>
      <w:r>
        <w:t>.</w:t>
      </w:r>
      <w:r w:rsidR="00763EB6">
        <w:t xml:space="preserve"> </w:t>
      </w:r>
      <w:r>
        <w:t>The most common form of transfer payments received by families who also receive childcare as</w:t>
      </w:r>
      <w:r w:rsidR="00733FFA">
        <w:t>sistance are Family Tax Benefit</w:t>
      </w:r>
      <w:r>
        <w:t xml:space="preserve"> </w:t>
      </w:r>
      <w:r w:rsidR="006F25BA">
        <w:t>(FTB</w:t>
      </w:r>
      <w:r w:rsidR="00733FFA">
        <w:t>)</w:t>
      </w:r>
      <w:r w:rsidR="006F25BA">
        <w:t xml:space="preserve"> P</w:t>
      </w:r>
      <w:r>
        <w:t>art</w:t>
      </w:r>
      <w:r w:rsidR="006F25BA">
        <w:t>s</w:t>
      </w:r>
      <w:r>
        <w:t xml:space="preserve"> A and B (figure </w:t>
      </w:r>
      <w:r w:rsidR="006F25BA">
        <w:t>E</w:t>
      </w:r>
      <w:r w:rsidR="000D7037">
        <w:t>.</w:t>
      </w:r>
      <w:r>
        <w:t>1). There are a range of other income support payments received by families</w:t>
      </w:r>
      <w:r w:rsidR="005C581C">
        <w:t xml:space="preserve"> who also receive</w:t>
      </w:r>
      <w:r>
        <w:t xml:space="preserve"> childcare assistance (including </w:t>
      </w:r>
      <w:r w:rsidR="00C74E17">
        <w:t>Parenting Payment</w:t>
      </w:r>
      <w:r>
        <w:t xml:space="preserve">, </w:t>
      </w:r>
      <w:r w:rsidR="00733FFA">
        <w:t xml:space="preserve">Paid </w:t>
      </w:r>
      <w:r w:rsidR="00C74E17">
        <w:t>Parental Leave</w:t>
      </w:r>
      <w:r>
        <w:t xml:space="preserve">, </w:t>
      </w:r>
      <w:r w:rsidR="00C74E17">
        <w:t>Newstart</w:t>
      </w:r>
      <w:r w:rsidR="006F25BA">
        <w:t xml:space="preserve"> Allowance</w:t>
      </w:r>
      <w:r>
        <w:t xml:space="preserve">, </w:t>
      </w:r>
      <w:r w:rsidR="00C74E17">
        <w:t xml:space="preserve">Carer Payment </w:t>
      </w:r>
      <w:r>
        <w:t xml:space="preserve">and the </w:t>
      </w:r>
      <w:r w:rsidR="00C74E17">
        <w:t>Disability Support Pension</w:t>
      </w:r>
      <w:r>
        <w:t xml:space="preserve">). However, the number of families who receive at least one of these other income support payments and childcare assistance is less than families who receive childcare assistance and no </w:t>
      </w:r>
      <w:r w:rsidR="001C20A6">
        <w:t>other transfer payment</w:t>
      </w:r>
      <w:r>
        <w:t>.</w:t>
      </w:r>
    </w:p>
    <w:p w:rsidR="00CA5A80" w:rsidRDefault="00CA5A80" w:rsidP="0061312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5A80" w:rsidTr="0061312B">
        <w:tc>
          <w:tcPr>
            <w:tcW w:w="8771" w:type="dxa"/>
            <w:tcBorders>
              <w:top w:val="single" w:sz="6" w:space="0" w:color="78A22F"/>
              <w:left w:val="nil"/>
              <w:bottom w:val="nil"/>
              <w:right w:val="nil"/>
            </w:tcBorders>
            <w:shd w:val="clear" w:color="auto" w:fill="auto"/>
          </w:tcPr>
          <w:p w:rsidR="00CA5A80" w:rsidRPr="00176D3F" w:rsidRDefault="00CA5A80" w:rsidP="00CA5A8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1</w:t>
            </w:r>
            <w:r w:rsidRPr="00784A05">
              <w:rPr>
                <w:b w:val="0"/>
              </w:rPr>
              <w:fldChar w:fldCharType="end"/>
            </w:r>
            <w:r>
              <w:tab/>
              <w:t xml:space="preserve">Most common </w:t>
            </w:r>
            <w:r w:rsidR="001144FF">
              <w:t xml:space="preserve">other </w:t>
            </w:r>
            <w:r>
              <w:t>government transfer</w:t>
            </w:r>
            <w:r w:rsidR="006F25BA">
              <w:t>s</w:t>
            </w:r>
            <w:r>
              <w:t xml:space="preserve"> received by families also receiving childcare assistance</w:t>
            </w:r>
          </w:p>
        </w:tc>
      </w:tr>
      <w:tr w:rsidR="00CA5A80" w:rsidTr="0061312B">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CA5A80" w:rsidTr="0061312B">
              <w:tc>
                <w:tcPr>
                  <w:tcW w:w="5000" w:type="pct"/>
                  <w:tcBorders>
                    <w:top w:val="nil"/>
                    <w:bottom w:val="nil"/>
                  </w:tcBorders>
                </w:tcPr>
                <w:p w:rsidR="00CA5A80" w:rsidRDefault="000226D4" w:rsidP="0061312B">
                  <w:pPr>
                    <w:pStyle w:val="Figure"/>
                    <w:spacing w:before="60" w:after="60"/>
                  </w:pPr>
                  <w:r>
                    <w:rPr>
                      <w:noProof/>
                    </w:rPr>
                    <w:t xml:space="preserve"> </w:t>
                  </w:r>
                  <w:r w:rsidR="00CA5A80">
                    <w:rPr>
                      <w:noProof/>
                    </w:rPr>
                    <w:drawing>
                      <wp:inline distT="0" distB="0" distL="0" distR="0" wp14:anchorId="3FEFCC20" wp14:editId="6D76CB6D">
                        <wp:extent cx="5390515" cy="2870835"/>
                        <wp:effectExtent l="0" t="0" r="635" b="5715"/>
                        <wp:docPr id="4" name="Picture 4" descr="Indicates the most common Australian Government transfer payments received by families receiving subsidised early childhood and care services. The most common payment are Family Tax benefits Part A and B and Parenting Payment (Single and Couple). Around 30 per cent of families receive payments other than subsidised early childhood and 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15" cy="2870835"/>
                                </a:xfrm>
                                <a:prstGeom prst="rect">
                                  <a:avLst/>
                                </a:prstGeom>
                                <a:noFill/>
                                <a:ln>
                                  <a:noFill/>
                                </a:ln>
                              </pic:spPr>
                            </pic:pic>
                          </a:graphicData>
                        </a:graphic>
                      </wp:inline>
                    </w:drawing>
                  </w:r>
                </w:p>
              </w:tc>
            </w:tr>
          </w:tbl>
          <w:p w:rsidR="00CA5A80" w:rsidRDefault="00CA5A80" w:rsidP="0061312B">
            <w:pPr>
              <w:pStyle w:val="Figure"/>
            </w:pPr>
          </w:p>
        </w:tc>
      </w:tr>
      <w:tr w:rsidR="00CA5A80" w:rsidRPr="00176D3F" w:rsidTr="0061312B">
        <w:tc>
          <w:tcPr>
            <w:tcW w:w="8771" w:type="dxa"/>
            <w:tcBorders>
              <w:top w:val="nil"/>
              <w:left w:val="nil"/>
              <w:bottom w:val="nil"/>
              <w:right w:val="nil"/>
            </w:tcBorders>
            <w:shd w:val="clear" w:color="auto" w:fill="auto"/>
          </w:tcPr>
          <w:p w:rsidR="00CA5A80" w:rsidRPr="00176D3F" w:rsidRDefault="0093063A" w:rsidP="0061312B">
            <w:pPr>
              <w:pStyle w:val="Source"/>
            </w:pPr>
            <w:r>
              <w:rPr>
                <w:i/>
              </w:rPr>
              <w:t>Source</w:t>
            </w:r>
            <w:r w:rsidR="00CA5A80" w:rsidRPr="00176D3F">
              <w:t xml:space="preserve">: </w:t>
            </w:r>
            <w:r w:rsidR="00CA5A80">
              <w:t>Data supplied by the Department of Human Services.</w:t>
            </w:r>
          </w:p>
        </w:tc>
      </w:tr>
      <w:tr w:rsidR="00CA5A80" w:rsidTr="0061312B">
        <w:tc>
          <w:tcPr>
            <w:tcW w:w="8771" w:type="dxa"/>
            <w:tcBorders>
              <w:top w:val="nil"/>
              <w:left w:val="nil"/>
              <w:bottom w:val="single" w:sz="6" w:space="0" w:color="78A22F"/>
              <w:right w:val="nil"/>
            </w:tcBorders>
            <w:shd w:val="clear" w:color="auto" w:fill="auto"/>
          </w:tcPr>
          <w:p w:rsidR="00CA5A80" w:rsidRDefault="00CA5A80" w:rsidP="0061312B">
            <w:pPr>
              <w:pStyle w:val="Figurespace"/>
            </w:pPr>
          </w:p>
        </w:tc>
      </w:tr>
      <w:tr w:rsidR="00CA5A80" w:rsidRPr="000863A5" w:rsidTr="0061312B">
        <w:tc>
          <w:tcPr>
            <w:tcW w:w="8771" w:type="dxa"/>
            <w:tcBorders>
              <w:top w:val="single" w:sz="6" w:space="0" w:color="78A22F"/>
              <w:left w:val="nil"/>
              <w:bottom w:val="nil"/>
              <w:right w:val="nil"/>
            </w:tcBorders>
          </w:tcPr>
          <w:p w:rsidR="00CA5A80" w:rsidRPr="00626D32" w:rsidRDefault="00CA5A80" w:rsidP="0061312B">
            <w:pPr>
              <w:pStyle w:val="BoxSpaceBelow"/>
            </w:pPr>
          </w:p>
        </w:tc>
      </w:tr>
    </w:tbl>
    <w:p w:rsidR="007E14D2" w:rsidRDefault="00F54CF8">
      <w:pPr>
        <w:pStyle w:val="Heading2"/>
      </w:pPr>
      <w:fldSimple w:instr=" COMMENTS  \* MERGEFORMAT ">
        <w:r w:rsidR="000059ED">
          <w:t>E.</w:t>
        </w:r>
      </w:fldSimple>
      <w:r w:rsidR="002011A6">
        <w:fldChar w:fldCharType="begin"/>
      </w:r>
      <w:r w:rsidR="002011A6">
        <w:instrText xml:space="preserve"> SEQ Heading2 </w:instrText>
      </w:r>
      <w:r w:rsidR="002011A6">
        <w:fldChar w:fldCharType="separate"/>
      </w:r>
      <w:r w:rsidR="00464157">
        <w:rPr>
          <w:noProof/>
        </w:rPr>
        <w:t>1</w:t>
      </w:r>
      <w:r w:rsidR="002011A6">
        <w:rPr>
          <w:noProof/>
        </w:rPr>
        <w:fldChar w:fldCharType="end"/>
      </w:r>
      <w:r w:rsidR="00E768CA">
        <w:tab/>
        <w:t xml:space="preserve">A basic example – income tax and </w:t>
      </w:r>
      <w:r w:rsidR="000928DE">
        <w:t>Medicare</w:t>
      </w:r>
      <w:r w:rsidR="00E768CA">
        <w:t xml:space="preserve"> levy</w:t>
      </w:r>
    </w:p>
    <w:p w:rsidR="007E14D2" w:rsidRDefault="00E768CA">
      <w:pPr>
        <w:pStyle w:val="BodyText"/>
      </w:pPr>
      <w:r>
        <w:t xml:space="preserve">The usual starting point for examining EMTRs is income tax. Australia has a progressive income tax system, where people are charged higher tax rates when they earn more money. For the </w:t>
      </w:r>
      <w:r w:rsidR="005969E5">
        <w:t>2014</w:t>
      </w:r>
      <w:r w:rsidR="009605D5">
        <w:noBreakHyphen/>
      </w:r>
      <w:r w:rsidR="005969E5">
        <w:t xml:space="preserve">15 </w:t>
      </w:r>
      <w:r>
        <w:t>financial year, the marginal tax rates for Australia are given in table </w:t>
      </w:r>
      <w:r w:rsidR="00A7553B">
        <w:t>E.</w:t>
      </w:r>
      <w:r>
        <w:t>1.</w:t>
      </w:r>
    </w:p>
    <w:p w:rsidR="00CA5A80" w:rsidRDefault="00CA5A80" w:rsidP="006131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A5A80" w:rsidTr="0061312B">
        <w:tc>
          <w:tcPr>
            <w:tcW w:w="8771" w:type="dxa"/>
            <w:tcBorders>
              <w:top w:val="single" w:sz="6" w:space="0" w:color="78A22F" w:themeColor="accent1"/>
              <w:left w:val="nil"/>
              <w:bottom w:val="nil"/>
              <w:right w:val="nil"/>
            </w:tcBorders>
            <w:shd w:val="clear" w:color="auto" w:fill="auto"/>
          </w:tcPr>
          <w:p w:rsidR="00CA5A80" w:rsidRDefault="00CA5A80" w:rsidP="0061312B">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1</w:t>
            </w:r>
            <w:r>
              <w:rPr>
                <w:b w:val="0"/>
              </w:rPr>
              <w:fldChar w:fldCharType="end"/>
            </w:r>
            <w:r>
              <w:tab/>
              <w:t>Income tax rates</w:t>
            </w:r>
          </w:p>
          <w:p w:rsidR="00CA5A80" w:rsidRPr="00217711" w:rsidRDefault="005969E5" w:rsidP="00217711">
            <w:pPr>
              <w:pStyle w:val="Subtitle"/>
            </w:pPr>
            <w:r w:rsidRPr="00217711">
              <w:t>2014</w:t>
            </w:r>
            <w:r w:rsidR="00CA5A80" w:rsidRPr="00217711">
              <w:noBreakHyphen/>
            </w:r>
            <w:r w:rsidRPr="00217711">
              <w:t>15</w:t>
            </w:r>
          </w:p>
        </w:tc>
      </w:tr>
      <w:tr w:rsidR="00CA5A80" w:rsidTr="0061312B">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4A0" w:firstRow="1" w:lastRow="0" w:firstColumn="1" w:lastColumn="0" w:noHBand="0" w:noVBand="1"/>
            </w:tblPr>
            <w:tblGrid>
              <w:gridCol w:w="4243"/>
              <w:gridCol w:w="4244"/>
            </w:tblGrid>
            <w:tr w:rsidR="00CA5A80" w:rsidTr="0061312B">
              <w:tc>
                <w:tcPr>
                  <w:tcW w:w="2500" w:type="pct"/>
                  <w:tcBorders>
                    <w:top w:val="single" w:sz="6" w:space="0" w:color="BFBFBF"/>
                    <w:bottom w:val="single" w:sz="6" w:space="0" w:color="BFBFBF"/>
                  </w:tcBorders>
                  <w:shd w:val="clear" w:color="auto" w:fill="auto"/>
                </w:tcPr>
                <w:p w:rsidR="00CA5A80" w:rsidRDefault="006F25BA" w:rsidP="0061312B">
                  <w:pPr>
                    <w:pStyle w:val="TableColumnHeading"/>
                    <w:jc w:val="left"/>
                  </w:pPr>
                  <w:r>
                    <w:t xml:space="preserve">Annual taxable </w:t>
                  </w:r>
                  <w:r w:rsidR="00CA5A80">
                    <w:t>income</w:t>
                  </w:r>
                </w:p>
              </w:tc>
              <w:tc>
                <w:tcPr>
                  <w:tcW w:w="2500" w:type="pct"/>
                  <w:tcBorders>
                    <w:top w:val="single" w:sz="6" w:space="0" w:color="BFBFBF"/>
                    <w:bottom w:val="single" w:sz="6" w:space="0" w:color="BFBFBF"/>
                  </w:tcBorders>
                  <w:shd w:val="clear" w:color="auto" w:fill="auto"/>
                </w:tcPr>
                <w:p w:rsidR="00CA5A80" w:rsidRDefault="00CA5A80" w:rsidP="0061312B">
                  <w:pPr>
                    <w:pStyle w:val="TableColumnHeading"/>
                    <w:ind w:right="28"/>
                  </w:pPr>
                  <w:r>
                    <w:t>Tax on this income</w:t>
                  </w:r>
                </w:p>
              </w:tc>
            </w:tr>
            <w:tr w:rsidR="00CA5A80" w:rsidTr="0061312B">
              <w:tc>
                <w:tcPr>
                  <w:tcW w:w="2500" w:type="pct"/>
                  <w:tcBorders>
                    <w:top w:val="single" w:sz="6" w:space="0" w:color="BFBFBF"/>
                  </w:tcBorders>
                </w:tcPr>
                <w:p w:rsidR="00CA5A80" w:rsidRDefault="00CA5A80" w:rsidP="00F54CF8">
                  <w:pPr>
                    <w:pStyle w:val="TableBodyText"/>
                    <w:spacing w:before="120"/>
                    <w:jc w:val="left"/>
                  </w:pPr>
                  <w:r>
                    <w:t>0 – $18</w:t>
                  </w:r>
                  <w:r w:rsidR="00F54CF8">
                    <w:t> </w:t>
                  </w:r>
                  <w:r>
                    <w:t>200</w:t>
                  </w:r>
                </w:p>
              </w:tc>
              <w:tc>
                <w:tcPr>
                  <w:tcW w:w="2500" w:type="pct"/>
                  <w:tcBorders>
                    <w:top w:val="single" w:sz="6" w:space="0" w:color="BFBFBF"/>
                  </w:tcBorders>
                </w:tcPr>
                <w:p w:rsidR="00CA5A80" w:rsidRDefault="00CA5A80" w:rsidP="000059ED">
                  <w:pPr>
                    <w:pStyle w:val="TableBodyText"/>
                    <w:spacing w:before="120"/>
                    <w:ind w:right="28"/>
                  </w:pPr>
                  <w:r>
                    <w:t>Nil</w:t>
                  </w:r>
                </w:p>
              </w:tc>
            </w:tr>
            <w:tr w:rsidR="00CA5A80" w:rsidTr="0061312B">
              <w:tc>
                <w:tcPr>
                  <w:tcW w:w="2500" w:type="pct"/>
                </w:tcPr>
                <w:p w:rsidR="00CA5A80" w:rsidRDefault="00CA5A80" w:rsidP="00F54CF8">
                  <w:pPr>
                    <w:pStyle w:val="TableBodyText"/>
                    <w:spacing w:before="40"/>
                    <w:jc w:val="left"/>
                  </w:pPr>
                  <w:r>
                    <w:t>$18</w:t>
                  </w:r>
                  <w:r w:rsidR="00F54CF8">
                    <w:t> </w:t>
                  </w:r>
                  <w:r>
                    <w:t>201 – $37</w:t>
                  </w:r>
                  <w:r w:rsidR="00F54CF8">
                    <w:t> </w:t>
                  </w:r>
                  <w:r>
                    <w:t>000</w:t>
                  </w:r>
                </w:p>
              </w:tc>
              <w:tc>
                <w:tcPr>
                  <w:tcW w:w="2500" w:type="pct"/>
                </w:tcPr>
                <w:p w:rsidR="00CA5A80" w:rsidRDefault="00CA5A80" w:rsidP="000C6143">
                  <w:pPr>
                    <w:pStyle w:val="TableBodyText"/>
                    <w:spacing w:before="40"/>
                    <w:ind w:right="28"/>
                  </w:pPr>
                  <w:r>
                    <w:t>19 cents for each dollar over $18</w:t>
                  </w:r>
                  <w:r w:rsidR="00F54CF8">
                    <w:t> </w:t>
                  </w:r>
                  <w:r>
                    <w:t>200</w:t>
                  </w:r>
                </w:p>
              </w:tc>
            </w:tr>
            <w:tr w:rsidR="00CA5A80" w:rsidTr="0061312B">
              <w:tc>
                <w:tcPr>
                  <w:tcW w:w="2500" w:type="pct"/>
                  <w:shd w:val="clear" w:color="auto" w:fill="auto"/>
                </w:tcPr>
                <w:p w:rsidR="00CA5A80" w:rsidRDefault="00CA5A80" w:rsidP="00F54CF8">
                  <w:pPr>
                    <w:pStyle w:val="TableBodyText"/>
                    <w:spacing w:before="40"/>
                    <w:jc w:val="left"/>
                  </w:pPr>
                  <w:r>
                    <w:t>$37</w:t>
                  </w:r>
                  <w:r w:rsidR="00F54CF8">
                    <w:t> </w:t>
                  </w:r>
                  <w:r>
                    <w:t>001 – $80</w:t>
                  </w:r>
                  <w:r w:rsidR="00F54CF8">
                    <w:t> </w:t>
                  </w:r>
                  <w:r>
                    <w:t>000</w:t>
                  </w:r>
                </w:p>
              </w:tc>
              <w:tc>
                <w:tcPr>
                  <w:tcW w:w="2500" w:type="pct"/>
                  <w:shd w:val="clear" w:color="auto" w:fill="auto"/>
                </w:tcPr>
                <w:p w:rsidR="00CA5A80" w:rsidRDefault="00CA5A80" w:rsidP="00F54CF8">
                  <w:pPr>
                    <w:pStyle w:val="TableBodyText"/>
                    <w:spacing w:before="40"/>
                    <w:ind w:right="28"/>
                  </w:pPr>
                  <w:r>
                    <w:t>$3</w:t>
                  </w:r>
                  <w:r w:rsidR="00F54CF8">
                    <w:t> </w:t>
                  </w:r>
                  <w:r>
                    <w:t>572 plus 32.5c for each $1 over $37</w:t>
                  </w:r>
                  <w:r w:rsidR="00F54CF8">
                    <w:t> </w:t>
                  </w:r>
                  <w:r>
                    <w:t>000</w:t>
                  </w:r>
                </w:p>
              </w:tc>
            </w:tr>
            <w:tr w:rsidR="00CA5A80" w:rsidTr="000059ED">
              <w:tc>
                <w:tcPr>
                  <w:tcW w:w="2500" w:type="pct"/>
                  <w:shd w:val="clear" w:color="auto" w:fill="auto"/>
                </w:tcPr>
                <w:p w:rsidR="00CA5A80" w:rsidRDefault="00CA5A80" w:rsidP="00F54CF8">
                  <w:pPr>
                    <w:pStyle w:val="TableBodyText"/>
                    <w:spacing w:before="40"/>
                    <w:jc w:val="left"/>
                  </w:pPr>
                  <w:r>
                    <w:t>$80</w:t>
                  </w:r>
                  <w:r w:rsidR="00F54CF8">
                    <w:t> </w:t>
                  </w:r>
                  <w:r>
                    <w:t>001 – $180</w:t>
                  </w:r>
                  <w:r w:rsidR="00F54CF8">
                    <w:t> </w:t>
                  </w:r>
                  <w:r>
                    <w:t>000</w:t>
                  </w:r>
                </w:p>
              </w:tc>
              <w:tc>
                <w:tcPr>
                  <w:tcW w:w="2500" w:type="pct"/>
                  <w:shd w:val="clear" w:color="auto" w:fill="auto"/>
                </w:tcPr>
                <w:p w:rsidR="00CA5A80" w:rsidRDefault="00CA5A80" w:rsidP="00F54CF8">
                  <w:pPr>
                    <w:pStyle w:val="TableBodyText"/>
                    <w:spacing w:before="40"/>
                    <w:ind w:right="28"/>
                  </w:pPr>
                  <w:r>
                    <w:t>$17</w:t>
                  </w:r>
                  <w:r w:rsidR="00F54CF8">
                    <w:t> </w:t>
                  </w:r>
                  <w:r>
                    <w:t>547 plus 37c for each $1 over $80</w:t>
                  </w:r>
                  <w:r w:rsidR="00F54CF8">
                    <w:t> </w:t>
                  </w:r>
                  <w:r>
                    <w:t>000</w:t>
                  </w:r>
                </w:p>
              </w:tc>
            </w:tr>
            <w:tr w:rsidR="00CA5A80" w:rsidTr="000059ED">
              <w:tc>
                <w:tcPr>
                  <w:tcW w:w="2500" w:type="pct"/>
                  <w:shd w:val="clear" w:color="auto" w:fill="auto"/>
                </w:tcPr>
                <w:p w:rsidR="00CA5A80" w:rsidRDefault="00CA5A80" w:rsidP="00F54CF8">
                  <w:pPr>
                    <w:pStyle w:val="TableBodyText"/>
                    <w:spacing w:before="40"/>
                    <w:jc w:val="left"/>
                  </w:pPr>
                  <w:r>
                    <w:t>$180</w:t>
                  </w:r>
                  <w:r w:rsidR="00F54CF8">
                    <w:t> </w:t>
                  </w:r>
                  <w:r>
                    <w:t xml:space="preserve">001 and over </w:t>
                  </w:r>
                </w:p>
              </w:tc>
              <w:tc>
                <w:tcPr>
                  <w:tcW w:w="2500" w:type="pct"/>
                  <w:shd w:val="clear" w:color="auto" w:fill="auto"/>
                </w:tcPr>
                <w:p w:rsidR="00CA5A80" w:rsidRDefault="00CA5A80" w:rsidP="00F54CF8">
                  <w:pPr>
                    <w:pStyle w:val="TableBodyText"/>
                    <w:spacing w:before="40"/>
                    <w:ind w:right="28"/>
                  </w:pPr>
                  <w:r>
                    <w:t>$54</w:t>
                  </w:r>
                  <w:r w:rsidR="00F54CF8">
                    <w:t> </w:t>
                  </w:r>
                  <w:r>
                    <w:t>547 plus 45c for each $1 over $180</w:t>
                  </w:r>
                  <w:r w:rsidR="00F54CF8">
                    <w:t> </w:t>
                  </w:r>
                  <w:r>
                    <w:t>000</w:t>
                  </w:r>
                </w:p>
              </w:tc>
            </w:tr>
          </w:tbl>
          <w:p w:rsidR="00CA5A80" w:rsidRDefault="00CA5A80" w:rsidP="0061312B">
            <w:pPr>
              <w:pStyle w:val="Box"/>
            </w:pPr>
          </w:p>
        </w:tc>
      </w:tr>
      <w:tr w:rsidR="00CA5A80" w:rsidTr="0061312B">
        <w:trPr>
          <w:cantSplit/>
        </w:trPr>
        <w:tc>
          <w:tcPr>
            <w:tcW w:w="8771" w:type="dxa"/>
            <w:tcBorders>
              <w:top w:val="nil"/>
              <w:left w:val="nil"/>
              <w:bottom w:val="single" w:sz="6" w:space="0" w:color="78A22F" w:themeColor="accent1"/>
              <w:right w:val="nil"/>
            </w:tcBorders>
            <w:shd w:val="clear" w:color="auto" w:fill="auto"/>
          </w:tcPr>
          <w:p w:rsidR="00CA5A80" w:rsidRDefault="00CA5A80" w:rsidP="0061312B">
            <w:pPr>
              <w:pStyle w:val="Box"/>
              <w:spacing w:before="0" w:line="120" w:lineRule="exact"/>
            </w:pPr>
          </w:p>
        </w:tc>
      </w:tr>
      <w:tr w:rsidR="00CA5A80" w:rsidRPr="000863A5" w:rsidTr="0061312B">
        <w:tc>
          <w:tcPr>
            <w:tcW w:w="8771" w:type="dxa"/>
            <w:tcBorders>
              <w:top w:val="single" w:sz="6" w:space="0" w:color="78A22F" w:themeColor="accent1"/>
              <w:left w:val="nil"/>
              <w:bottom w:val="nil"/>
              <w:right w:val="nil"/>
            </w:tcBorders>
          </w:tcPr>
          <w:p w:rsidR="00CA5A80" w:rsidRPr="00626D32" w:rsidRDefault="00CA5A80" w:rsidP="0061312B">
            <w:pPr>
              <w:pStyle w:val="BoxSpaceBelow"/>
            </w:pPr>
          </w:p>
        </w:tc>
      </w:tr>
    </w:tbl>
    <w:p w:rsidR="0093063A" w:rsidRDefault="0093063A" w:rsidP="0093063A">
      <w:pPr>
        <w:pStyle w:val="BodyText"/>
      </w:pPr>
      <w:r>
        <w:br w:type="page"/>
      </w:r>
    </w:p>
    <w:p w:rsidR="007E14D2" w:rsidRDefault="00E768CA">
      <w:pPr>
        <w:pStyle w:val="BodyText"/>
      </w:pPr>
      <w:r>
        <w:lastRenderedPageBreak/>
        <w:t xml:space="preserve">In addition to income tax, Australians also pay a </w:t>
      </w:r>
      <w:r w:rsidR="000928DE">
        <w:t>Medicare</w:t>
      </w:r>
      <w:r>
        <w:t xml:space="preserve"> levy. For most, the rate of the </w:t>
      </w:r>
      <w:r w:rsidR="000928DE">
        <w:t>Medicare</w:t>
      </w:r>
      <w:r>
        <w:t xml:space="preserve"> levy is 1.5 per cent of their income. For Australians who are only subject to income tax and the </w:t>
      </w:r>
      <w:r w:rsidR="000928DE">
        <w:t>Medicare</w:t>
      </w:r>
      <w:r>
        <w:t xml:space="preserve"> levy, the EMTR can be obtained by adding their marginal income tax rate with the </w:t>
      </w:r>
      <w:r w:rsidR="000928DE">
        <w:t>Medicare</w:t>
      </w:r>
      <w:r>
        <w:t xml:space="preserve"> levy rate. For a</w:t>
      </w:r>
      <w:r w:rsidR="005C581C">
        <w:t xml:space="preserve"> person</w:t>
      </w:r>
      <w:r>
        <w:t xml:space="preserve"> </w:t>
      </w:r>
      <w:r w:rsidR="006D66D1">
        <w:t>without children (who is not eligible for ECEC assistance or most</w:t>
      </w:r>
      <w:r w:rsidR="00185371">
        <w:t xml:space="preserve"> transfer payments)</w:t>
      </w:r>
      <w:r w:rsidR="006D66D1">
        <w:t xml:space="preserve"> </w:t>
      </w:r>
      <w:r>
        <w:t>who earns between $</w:t>
      </w:r>
      <w:r w:rsidR="005C581C">
        <w:t>80 </w:t>
      </w:r>
      <w:r>
        <w:t>001 and $</w:t>
      </w:r>
      <w:r w:rsidR="005C581C">
        <w:t>180 </w:t>
      </w:r>
      <w:r>
        <w:t>000, their EMTR would be 38.5 cents in the dollar — indicating that they get to keep 61.5 cents of the last dollar that they earned.</w:t>
      </w:r>
    </w:p>
    <w:p w:rsidR="005969E5" w:rsidRPr="005969E5" w:rsidRDefault="00075782">
      <w:pPr>
        <w:pStyle w:val="BodyText"/>
      </w:pPr>
      <w:r>
        <w:t>In 2014–15, p</w:t>
      </w:r>
      <w:r w:rsidR="005969E5">
        <w:t xml:space="preserve">eople with taxable incomes over $180 000 will also be subject to the </w:t>
      </w:r>
      <w:r w:rsidR="005969E5">
        <w:rPr>
          <w:i/>
        </w:rPr>
        <w:t>Temporary Budget Repair Levy</w:t>
      </w:r>
      <w:r w:rsidR="005969E5">
        <w:t>, at a rate of 2 cents in the dollar for income earned over $180 000</w:t>
      </w:r>
      <w:r>
        <w:t xml:space="preserve"> — a measure that will remain in effect until June 2017 </w:t>
      </w:r>
      <w:r w:rsidR="005969E5">
        <w:t>.</w:t>
      </w:r>
    </w:p>
    <w:p w:rsidR="007E14D2" w:rsidRDefault="00E768CA">
      <w:pPr>
        <w:pStyle w:val="Heading3"/>
      </w:pPr>
      <w:r>
        <w:t>Calculating EMTRs for childcare assistance</w:t>
      </w:r>
    </w:p>
    <w:p w:rsidR="007E14D2" w:rsidRDefault="00E768CA">
      <w:pPr>
        <w:pStyle w:val="BodyText"/>
      </w:pPr>
      <w:r>
        <w:t xml:space="preserve">EMTR analysis is often used to examine the workforce implications of government taxes or policies that vary with income. Because of the rigidities in most typical work arrangements, EMTR comparisons are often </w:t>
      </w:r>
      <w:r w:rsidR="005C581C">
        <w:t>based on</w:t>
      </w:r>
      <w:r>
        <w:t xml:space="preserve"> predominant working arrangements — for example, a comparison between working full time and working less than 5 days a week and/or working less than a standard full time work day.</w:t>
      </w:r>
    </w:p>
    <w:p w:rsidR="007E14D2" w:rsidRDefault="00E768CA">
      <w:pPr>
        <w:pStyle w:val="BodyText"/>
      </w:pPr>
      <w:r>
        <w:t>When examining EMTRs for childcare assistance, the rigidities inherent in using some forms of childcare also need to be considered.</w:t>
      </w:r>
      <w:r w:rsidR="006F25BA">
        <w:t xml:space="preserve"> For example, long day care is usually charged on a per day basis</w:t>
      </w:r>
      <w:r w:rsidR="00B94952">
        <w:t>.</w:t>
      </w:r>
      <w:r>
        <w:t xml:space="preserve"> In addition, some assistance arrangements have eligibility criteria that require assumptions to be made about how parents might react</w:t>
      </w:r>
      <w:r w:rsidR="006F25BA">
        <w:t xml:space="preserve"> to policy changes</w:t>
      </w:r>
      <w:r>
        <w:t xml:space="preserve">. </w:t>
      </w:r>
    </w:p>
    <w:p w:rsidR="007E14D2" w:rsidRDefault="00E768CA">
      <w:pPr>
        <w:pStyle w:val="Heading4"/>
      </w:pPr>
      <w:r>
        <w:t>Potential for an EMTR exceeding 100 per cent</w:t>
      </w:r>
    </w:p>
    <w:p w:rsidR="007E14D2" w:rsidRDefault="00E768CA">
      <w:pPr>
        <w:pStyle w:val="BodyText"/>
      </w:pPr>
      <w:r>
        <w:t xml:space="preserve">An EMTR in excess of 100 per cent indicates that a person would be in a financially superior position if they did not earn their last dollar of income. There are a few rare examples of a single policy measure that can impose an EMTR that exceeds 100 per cent — </w:t>
      </w:r>
      <w:r w:rsidR="006F25BA">
        <w:t xml:space="preserve">FTB </w:t>
      </w:r>
      <w:r w:rsidR="00672CCF">
        <w:t xml:space="preserve">Part </w:t>
      </w:r>
      <w:r w:rsidR="006F25BA">
        <w:t>B</w:t>
      </w:r>
      <w:r>
        <w:t xml:space="preserve"> is one. The key feature of such measures that enables EMTRs over 100 per cent is</w:t>
      </w:r>
      <w:r w:rsidRPr="00471F1B">
        <w:t xml:space="preserve"> that one of the eligibility criteria for a payment is an income threshold. </w:t>
      </w:r>
      <w:r w:rsidR="001837BC">
        <w:t>More typically EMTRs in excess of 100 per cent occur when multiple government payments are being withdrawn at similar income levels (box </w:t>
      </w:r>
      <w:r w:rsidR="00A7553B">
        <w:t>E.</w:t>
      </w:r>
      <w:r w:rsidR="006A3808">
        <w:t>2</w:t>
      </w:r>
      <w:r w:rsidR="001837BC">
        <w:t xml:space="preserve">). </w:t>
      </w:r>
      <w:r w:rsidRPr="00397FA0">
        <w:t xml:space="preserve">While they may appear similar, </w:t>
      </w:r>
      <w:r w:rsidR="00397FA0" w:rsidRPr="00397FA0">
        <w:t xml:space="preserve">a </w:t>
      </w:r>
      <w:r w:rsidRPr="00397FA0">
        <w:t xml:space="preserve">threshold for eligibility criteria </w:t>
      </w:r>
      <w:r w:rsidR="00397FA0" w:rsidRPr="00397FA0">
        <w:t xml:space="preserve">is very </w:t>
      </w:r>
      <w:r w:rsidRPr="00397FA0">
        <w:t xml:space="preserve">different </w:t>
      </w:r>
      <w:r w:rsidR="00397FA0" w:rsidRPr="00397FA0">
        <w:t xml:space="preserve">from </w:t>
      </w:r>
      <w:r w:rsidRPr="00397FA0">
        <w:t xml:space="preserve">thresholds for differing payment rates. For example, with </w:t>
      </w:r>
      <w:r w:rsidR="006F25BA">
        <w:t>FTB</w:t>
      </w:r>
      <w:r w:rsidRPr="00397FA0">
        <w:t xml:space="preserve"> </w:t>
      </w:r>
      <w:r w:rsidR="00672CCF">
        <w:t xml:space="preserve">Part </w:t>
      </w:r>
      <w:r w:rsidRPr="00397FA0">
        <w:t>B, a family with one income earner would be entitled to the maximum rate of payment so long as their income does not exceed $150 000 a year. Once that threshold is reached, the family is ineligible for the payment and receives nothing.</w:t>
      </w:r>
    </w:p>
    <w:p w:rsidR="00CA5A80" w:rsidRDefault="00CA5A8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5A80" w:rsidTr="0061312B">
        <w:tc>
          <w:tcPr>
            <w:tcW w:w="8771" w:type="dxa"/>
            <w:tcBorders>
              <w:top w:val="single" w:sz="6" w:space="0" w:color="78A22F"/>
              <w:left w:val="nil"/>
              <w:bottom w:val="nil"/>
              <w:right w:val="nil"/>
            </w:tcBorders>
            <w:shd w:val="clear" w:color="auto" w:fill="F2F2F2" w:themeFill="background1" w:themeFillShade="F2"/>
          </w:tcPr>
          <w:p w:rsidR="00CA5A80" w:rsidRDefault="00CA5A80">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2</w:t>
            </w:r>
            <w:r>
              <w:rPr>
                <w:b w:val="0"/>
              </w:rPr>
              <w:fldChar w:fldCharType="end"/>
            </w:r>
            <w:r>
              <w:tab/>
              <w:t>Should the same income thresholds apply for all transfer payments?</w:t>
            </w:r>
          </w:p>
        </w:tc>
      </w:tr>
      <w:tr w:rsidR="00CA5A80" w:rsidTr="0061312B">
        <w:trPr>
          <w:cantSplit/>
        </w:trPr>
        <w:tc>
          <w:tcPr>
            <w:tcW w:w="8771" w:type="dxa"/>
            <w:tcBorders>
              <w:top w:val="nil"/>
              <w:left w:val="nil"/>
              <w:bottom w:val="nil"/>
              <w:right w:val="nil"/>
            </w:tcBorders>
            <w:shd w:val="clear" w:color="auto" w:fill="F2F2F2" w:themeFill="background1" w:themeFillShade="F2"/>
          </w:tcPr>
          <w:p w:rsidR="00CA5A80" w:rsidRDefault="00CA5A80" w:rsidP="00404569">
            <w:pPr>
              <w:pStyle w:val="Box"/>
            </w:pPr>
            <w:r>
              <w:t xml:space="preserve">In an editorial on 4 July, it was suggested that ‘As a rule, means testing of government benefits should be uniform’ </w:t>
            </w:r>
            <w:r>
              <w:fldChar w:fldCharType="begin"/>
            </w:r>
            <w:r w:rsidR="00B47018">
              <w:instrText xml:space="preserve"> ADDIN ZOTERO_ITEM CSL_CITATION {"citationID":"oft5cp2jo","properties":{"formattedCitation":"{\\rtf (The Australian\\uc0\\u160{}2014)}","plainCitation":"(The Australian 2014)"},"citationItems":[{"id":840,"uris":["http://zotero.org/groups/201350/items/UDNM8JVW"],"uri":["http://zotero.org/groups/201350/items/UDNM8JVW"],"itemData":{"id":840,"type":"webpage","title":"Childcare fees growing like tots","URL":"http://www.theaustralian.com.au/opinion/editorials/childcare-fees-growing-like-tots/story-e6frg71x-1226977009406","author":[{"family":"The Australian","given":""}],"issued":{"date-parts":[["2014",7,4]]},"accessed":{"date-parts":[["2014",7,4]]}}}],"schema":"https://github.com/citation-style-language/schema/raw/master/csl-citation.json"} </w:instrText>
            </w:r>
            <w:r>
              <w:fldChar w:fldCharType="separate"/>
            </w:r>
            <w:r w:rsidRPr="00277353">
              <w:rPr>
                <w:rFonts w:cs="Arial"/>
                <w:szCs w:val="24"/>
              </w:rPr>
              <w:t>(The Australian 2014)</w:t>
            </w:r>
            <w:r>
              <w:fldChar w:fldCharType="end"/>
            </w:r>
            <w:r>
              <w:t>. This is not the first time that it has been suggested that consistent definitions of income and thresholds for means testing arrangements be adopted. The Commission shares the desire for the system of taxes and transfers to be as simple, transparent and consistent as possible. However, simplicity and consistency can come at a cost to achieving policy objectives. Unfortunately, adopting consistency in means testing arrangements can have serious (</w:t>
            </w:r>
            <w:r w:rsidR="00177AEB">
              <w:t xml:space="preserve">and </w:t>
            </w:r>
            <w:r>
              <w:t>unintended) consequences.</w:t>
            </w:r>
          </w:p>
          <w:p w:rsidR="00CA5A80" w:rsidRDefault="00CA5A80" w:rsidP="00404569">
            <w:pPr>
              <w:pStyle w:val="Box"/>
            </w:pPr>
            <w:r>
              <w:t xml:space="preserve">A key consideration for most transfer payments in Australia (including Disability Support </w:t>
            </w:r>
            <w:r w:rsidR="00177AEB">
              <w:t>Pension</w:t>
            </w:r>
            <w:r>
              <w:t xml:space="preserve">, Youth Allowance, Parenting Payments, Newstart Allowance, Family Tax Benefit, Child Care Benefit and Child Care Rebates) is that the payments should either encourage workforce participation, or at least not discourage people from working (or from working longer hours). </w:t>
            </w:r>
          </w:p>
          <w:p w:rsidR="00CA5A80" w:rsidRDefault="00CA5A80" w:rsidP="00404569">
            <w:pPr>
              <w:pStyle w:val="Box"/>
            </w:pPr>
            <w:r>
              <w:t>A large number of Australians are eligible for multiple government payments. In 2012</w:t>
            </w:r>
            <w:r>
              <w:noBreakHyphen/>
              <w:t>13, over 70 per cent of families who used approved ECEC services also received at least one other government payment. On average, families received more than four types of payments — including childcare subsidies (Administrative data supplied by the Department of Human Services 2014).</w:t>
            </w:r>
          </w:p>
          <w:p w:rsidR="00CA5A80" w:rsidRDefault="00CA5A80" w:rsidP="00404569">
            <w:pPr>
              <w:pStyle w:val="Box"/>
            </w:pPr>
            <w:r>
              <w:t>Aligning means tests for families receiving four or more means tested government payments results in small changes in income leading to big reductions in the transfer payments they receive. For illustrative purposes, consider a family receiving four payments (A to D). If the taper rates for each government payment were aligned at 20 cents in the dollar, then families would lose 80 cents of every additional dollar they earn just from the means tests if their income is within the taper range. Given that the lowest marginal tax rate is 19 cents in the dollar (and they would need to pay the Medicare levy), families would be worse off earning any income while subject to the combined taper (figure A). This implies that most mothers would be financially discouraged from working at least until their children start school, and potentially until their children complete school.</w:t>
            </w:r>
          </w:p>
          <w:p w:rsidR="00404569" w:rsidRDefault="00404569" w:rsidP="00404569">
            <w:pPr>
              <w:pStyle w:val="Box"/>
            </w:pPr>
            <w:r>
              <w:t>There are a number of steps that can be taken to reduce families being affected by multiple tapers</w:t>
            </w:r>
            <w:r w:rsidRPr="0009676A">
              <w:t xml:space="preserve"> — thus reducing the disincentives to undertake paid work. </w:t>
            </w:r>
            <w:r>
              <w:t>One</w:t>
            </w:r>
            <w:r w:rsidRPr="0009676A">
              <w:t xml:space="preserve"> is to reduce the number of payments</w:t>
            </w:r>
            <w:r>
              <w:t>, as recommended by the current welfare review</w:t>
            </w:r>
            <w:r w:rsidRPr="0009676A">
              <w:t xml:space="preserve"> </w:t>
            </w:r>
            <w:r w:rsidRPr="0009676A">
              <w:fldChar w:fldCharType="begin"/>
            </w:r>
            <w:r w:rsidR="00B47018">
              <w:instrText xml:space="preserve"> ADDIN ZOTERO_ITEM CSL_CITATION {"citationID":"k7NUr88t","properties":{"formattedCitation":"{\\rtf (RGWR\\uc0\\u160{}2014)}","plainCitation":"(RGWR 2014)"},"citationItems":[{"id":845,"uris":["http://zotero.org/groups/201350/items/XD4RPRMM"],"uri":["http://zotero.org/groups/201350/items/XD4RPRMM"],"itemData":{"id":845,"type":"report","title":"A New System for Better Employment and Social Outcomes - Interim Report to the Minister for Social Services","author":[{"family":"Reference Group on Welfare Reform","given":""}],"translator":[{"family":"RGWR","given":""}],"issued":{"date-parts":[["2014"]]}}}],"schema":"https://github.com/citation-style-language/schema/raw/master/csl-citation.json"} </w:instrText>
            </w:r>
            <w:r w:rsidRPr="0009676A">
              <w:fldChar w:fldCharType="separate"/>
            </w:r>
            <w:r w:rsidRPr="0009676A">
              <w:t>(RGWR 2014)</w:t>
            </w:r>
            <w:r w:rsidRPr="0009676A">
              <w:fldChar w:fldCharType="end"/>
            </w:r>
            <w:r>
              <w:t xml:space="preserve">. </w:t>
            </w:r>
            <w:r w:rsidRPr="0009676A">
              <w:t xml:space="preserve">The second </w:t>
            </w:r>
            <w:r>
              <w:t>is</w:t>
            </w:r>
            <w:r w:rsidRPr="0009676A">
              <w:t xml:space="preserve"> to stag</w:t>
            </w:r>
            <w:r>
              <w:t>g</w:t>
            </w:r>
            <w:r w:rsidRPr="0009676A">
              <w:t xml:space="preserve">er </w:t>
            </w:r>
            <w:r>
              <w:t>the income thresholds for each</w:t>
            </w:r>
            <w:r w:rsidRPr="0009676A">
              <w:t xml:space="preserve"> means test, reducing the risk that families will face excessive EMTRs</w:t>
            </w:r>
            <w:r>
              <w:t xml:space="preserve"> at particular income thresholds</w:t>
            </w:r>
            <w:r w:rsidRPr="0009676A">
              <w:t xml:space="preserve">. While </w:t>
            </w:r>
            <w:r>
              <w:t>staggering the means test may result in the tapering of some payments coinciding with higher incomes and higher income tax rates, it would reduce the compounding effect at lower incomes and hence the disincentives to work would be lower (figure B). The third is to apply a very low taper rate, but this would increase the fiscal cost of the program.</w:t>
            </w:r>
          </w:p>
          <w:p w:rsidR="00CA5A80" w:rsidRDefault="00404569" w:rsidP="00404569">
            <w:pPr>
              <w:pStyle w:val="Continued"/>
            </w:pPr>
            <w:r>
              <w:t>(c</w:t>
            </w:r>
            <w:r w:rsidR="00CA5A80">
              <w:t>ontinued next page)</w:t>
            </w:r>
          </w:p>
        </w:tc>
      </w:tr>
      <w:tr w:rsidR="00CA5A80" w:rsidTr="0061312B">
        <w:trPr>
          <w:cantSplit/>
        </w:trPr>
        <w:tc>
          <w:tcPr>
            <w:tcW w:w="8771" w:type="dxa"/>
            <w:tcBorders>
              <w:top w:val="nil"/>
              <w:left w:val="nil"/>
              <w:bottom w:val="single" w:sz="6" w:space="0" w:color="78A22F"/>
              <w:right w:val="nil"/>
            </w:tcBorders>
            <w:shd w:val="clear" w:color="auto" w:fill="F2F2F2" w:themeFill="background1" w:themeFillShade="F2"/>
          </w:tcPr>
          <w:p w:rsidR="00CA5A80" w:rsidRDefault="00CA5A80">
            <w:pPr>
              <w:pStyle w:val="Box"/>
              <w:spacing w:before="0" w:line="120" w:lineRule="exact"/>
            </w:pPr>
          </w:p>
        </w:tc>
      </w:tr>
      <w:tr w:rsidR="00CA5A80" w:rsidRPr="000863A5" w:rsidTr="0061312B">
        <w:tc>
          <w:tcPr>
            <w:tcW w:w="8771" w:type="dxa"/>
            <w:tcBorders>
              <w:top w:val="single" w:sz="6" w:space="0" w:color="78A22F"/>
              <w:left w:val="nil"/>
              <w:bottom w:val="nil"/>
              <w:right w:val="nil"/>
            </w:tcBorders>
          </w:tcPr>
          <w:p w:rsidR="00CA5A80" w:rsidRPr="00626D32" w:rsidRDefault="00CA5A80" w:rsidP="0061312B">
            <w:pPr>
              <w:pStyle w:val="BoxSpaceBelow"/>
            </w:pPr>
          </w:p>
        </w:tc>
      </w:tr>
    </w:tbl>
    <w:p w:rsidR="00CA5A80" w:rsidRDefault="00CA5A8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5A80" w:rsidTr="0061312B">
        <w:tc>
          <w:tcPr>
            <w:tcW w:w="8771" w:type="dxa"/>
            <w:tcBorders>
              <w:top w:val="single" w:sz="6" w:space="0" w:color="78A22F"/>
              <w:left w:val="nil"/>
              <w:bottom w:val="nil"/>
              <w:right w:val="nil"/>
            </w:tcBorders>
            <w:shd w:val="clear" w:color="auto" w:fill="F2F2F2" w:themeFill="background1" w:themeFillShade="F2"/>
          </w:tcPr>
          <w:p w:rsidR="00CA5A80" w:rsidRDefault="00CA5A80" w:rsidP="00CA5A80">
            <w:pPr>
              <w:pStyle w:val="BoxTitle"/>
            </w:pPr>
            <w:r>
              <w:rPr>
                <w:b w:val="0"/>
              </w:rPr>
              <w:t xml:space="preserve">Box </w:t>
            </w:r>
            <w:r w:rsidR="00A7553B">
              <w:rPr>
                <w:b w:val="0"/>
              </w:rPr>
              <w:t>E.</w:t>
            </w:r>
            <w:r>
              <w:rPr>
                <w:b w:val="0"/>
              </w:rPr>
              <w:t>2</w:t>
            </w:r>
            <w:r>
              <w:tab/>
            </w:r>
            <w:r w:rsidRPr="000C6143">
              <w:rPr>
                <w:sz w:val="20"/>
                <w:szCs w:val="20"/>
              </w:rPr>
              <w:t>(continued)</w:t>
            </w:r>
          </w:p>
        </w:tc>
      </w:tr>
      <w:tr w:rsidR="00CA5A80" w:rsidTr="0061312B">
        <w:trPr>
          <w:cantSplit/>
        </w:trPr>
        <w:tc>
          <w:tcPr>
            <w:tcW w:w="8771" w:type="dxa"/>
            <w:tcBorders>
              <w:top w:val="nil"/>
              <w:left w:val="nil"/>
              <w:bottom w:val="nil"/>
              <w:right w:val="nil"/>
            </w:tcBorders>
            <w:shd w:val="clear" w:color="auto" w:fill="F2F2F2" w:themeFill="background1" w:themeFillShade="F2"/>
          </w:tcPr>
          <w:p w:rsidR="00CA5A80" w:rsidRDefault="00CA5A80" w:rsidP="0061312B">
            <w:pPr>
              <w:pStyle w:val="BoxHeading1"/>
            </w:pPr>
            <w:r>
              <w:t>A: Example EMTRs for multiple transfer payment tapers that coincide</w:t>
            </w:r>
          </w:p>
          <w:p w:rsidR="00CA5A80" w:rsidRDefault="000226D4" w:rsidP="0061312B">
            <w:pPr>
              <w:pStyle w:val="Box"/>
              <w:spacing w:before="0" w:line="240" w:lineRule="atLeast"/>
              <w:jc w:val="center"/>
            </w:pPr>
            <w:r>
              <w:rPr>
                <w:noProof/>
              </w:rPr>
              <w:drawing>
                <wp:inline distT="0" distB="0" distL="0" distR="0" wp14:anchorId="016712B5" wp14:editId="6A4551D7">
                  <wp:extent cx="5296535" cy="2889885"/>
                  <wp:effectExtent l="0" t="0" r="0" b="0"/>
                  <wp:docPr id="1" name="Picture 1" descr="Illustrates that aligning means tests for multiple transfer payments would result in very high effective marginal tax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6535" cy="2889885"/>
                          </a:xfrm>
                          <a:prstGeom prst="rect">
                            <a:avLst/>
                          </a:prstGeom>
                          <a:noFill/>
                          <a:ln>
                            <a:noFill/>
                          </a:ln>
                        </pic:spPr>
                      </pic:pic>
                    </a:graphicData>
                  </a:graphic>
                </wp:inline>
              </w:drawing>
            </w:r>
          </w:p>
        </w:tc>
      </w:tr>
      <w:tr w:rsidR="00CA5A80" w:rsidTr="0061312B">
        <w:trPr>
          <w:cantSplit/>
        </w:trPr>
        <w:tc>
          <w:tcPr>
            <w:tcW w:w="8771" w:type="dxa"/>
            <w:tcBorders>
              <w:top w:val="nil"/>
              <w:left w:val="nil"/>
              <w:bottom w:val="single" w:sz="6" w:space="0" w:color="78A22F"/>
              <w:right w:val="nil"/>
            </w:tcBorders>
            <w:shd w:val="clear" w:color="auto" w:fill="F2F2F2" w:themeFill="background1" w:themeFillShade="F2"/>
          </w:tcPr>
          <w:p w:rsidR="00CA5A80" w:rsidRPr="00D46EBE" w:rsidRDefault="00CA5A80" w:rsidP="00404569">
            <w:pPr>
              <w:pStyle w:val="BoxHeading1"/>
              <w:spacing w:before="240"/>
            </w:pPr>
            <w:r>
              <w:t>B: Example EMTRs for staggered transfer payment tapers</w:t>
            </w:r>
          </w:p>
          <w:p w:rsidR="00CA5A80" w:rsidRDefault="000226D4" w:rsidP="00404569">
            <w:pPr>
              <w:pStyle w:val="Box"/>
              <w:spacing w:before="240" w:line="240" w:lineRule="atLeast"/>
              <w:jc w:val="center"/>
            </w:pPr>
            <w:r>
              <w:rPr>
                <w:noProof/>
              </w:rPr>
              <w:drawing>
                <wp:inline distT="0" distB="0" distL="0" distR="0" wp14:anchorId="006185C5" wp14:editId="38557B48">
                  <wp:extent cx="5296535" cy="2889885"/>
                  <wp:effectExtent l="0" t="0" r="0" b="0"/>
                  <wp:docPr id="3" name="Picture 3" descr="Illustrates that staggering means tests for multiple transfer payments would reduce the likelihood of high effective marginal tax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6535" cy="2889885"/>
                          </a:xfrm>
                          <a:prstGeom prst="rect">
                            <a:avLst/>
                          </a:prstGeom>
                          <a:noFill/>
                          <a:ln>
                            <a:noFill/>
                          </a:ln>
                        </pic:spPr>
                      </pic:pic>
                    </a:graphicData>
                  </a:graphic>
                </wp:inline>
              </w:drawing>
            </w:r>
          </w:p>
        </w:tc>
      </w:tr>
      <w:tr w:rsidR="00CA5A80" w:rsidRPr="000863A5" w:rsidTr="0061312B">
        <w:tc>
          <w:tcPr>
            <w:tcW w:w="8771" w:type="dxa"/>
            <w:tcBorders>
              <w:top w:val="single" w:sz="6" w:space="0" w:color="78A22F"/>
              <w:left w:val="nil"/>
              <w:bottom w:val="nil"/>
              <w:right w:val="nil"/>
            </w:tcBorders>
          </w:tcPr>
          <w:p w:rsidR="00CA5A80" w:rsidRPr="00626D32" w:rsidRDefault="00CA5A80" w:rsidP="0061312B">
            <w:pPr>
              <w:pStyle w:val="BoxSpaceBelow"/>
            </w:pPr>
          </w:p>
        </w:tc>
      </w:tr>
    </w:tbl>
    <w:p w:rsidR="007E14D2" w:rsidRDefault="00E768CA">
      <w:pPr>
        <w:pStyle w:val="BodyText"/>
      </w:pPr>
      <w:r>
        <w:t>Such eligibility threshold</w:t>
      </w:r>
      <w:r w:rsidR="00C70BCA">
        <w:t>s</w:t>
      </w:r>
      <w:r>
        <w:t xml:space="preserve"> could result in a person working for a number of days or</w:t>
      </w:r>
      <w:r w:rsidR="0046538B">
        <w:t>,</w:t>
      </w:r>
      <w:r>
        <w:t xml:space="preserve"> in extreme cases</w:t>
      </w:r>
      <w:r w:rsidR="00CF1FC9">
        <w:t>,</w:t>
      </w:r>
      <w:r w:rsidR="00354E32">
        <w:t xml:space="preserve"> weeks</w:t>
      </w:r>
      <w:r>
        <w:t xml:space="preserve">, yet still being worse off financially than if their income remained below the eligibility threshold. While few households tend to have incomes close to the eligibility thresholds for such payments, those families near the threshold can have a strong incentive to work substantially fewer hours than they would if their income remained just </w:t>
      </w:r>
      <w:r w:rsidR="00185371">
        <w:t>above</w:t>
      </w:r>
      <w:r>
        <w:t xml:space="preserve"> the threshold. </w:t>
      </w:r>
    </w:p>
    <w:p w:rsidR="005B2CCB" w:rsidRDefault="00E768CA">
      <w:pPr>
        <w:pStyle w:val="BodyText"/>
      </w:pPr>
      <w:r>
        <w:lastRenderedPageBreak/>
        <w:t xml:space="preserve">More typically, very high EMTRs result when a number of policies interact — as is the case with </w:t>
      </w:r>
      <w:r w:rsidR="00B30F1B">
        <w:t>FTB</w:t>
      </w:r>
      <w:r w:rsidR="00177AEB">
        <w:t xml:space="preserve"> Parts A and B, </w:t>
      </w:r>
      <w:r>
        <w:t>income tax rates and ECEC assistance.</w:t>
      </w:r>
      <w:r w:rsidR="003C2746">
        <w:t xml:space="preserve"> As discussed in box </w:t>
      </w:r>
      <w:r w:rsidR="00177AEB">
        <w:t>E</w:t>
      </w:r>
      <w:r w:rsidR="000D7037">
        <w:t>.</w:t>
      </w:r>
      <w:r w:rsidR="00484416">
        <w:t>2</w:t>
      </w:r>
      <w:r w:rsidR="003C2746">
        <w:t>, one remedy to overcome very high EMTR</w:t>
      </w:r>
      <w:r w:rsidR="00B60B25">
        <w:t>s</w:t>
      </w:r>
      <w:r w:rsidR="003C2746">
        <w:t xml:space="preserve"> is to stagger the means testing of different payments.</w:t>
      </w:r>
      <w:r w:rsidR="0083614E">
        <w:t xml:space="preserve"> To some extent, this already occurs. For example, </w:t>
      </w:r>
      <w:r w:rsidR="000928DE">
        <w:t>Parenting Payment</w:t>
      </w:r>
      <w:r w:rsidR="0083614E">
        <w:t xml:space="preserve">, FTB Part A </w:t>
      </w:r>
      <w:r w:rsidR="00725589">
        <w:t xml:space="preserve">(where payments are partially tapered across two income ranges) </w:t>
      </w:r>
      <w:r w:rsidR="0083614E">
        <w:t>and rent assistance (which is paid with FTB Part A) are largely staggered for a family with one child</w:t>
      </w:r>
      <w:r w:rsidR="005B2CCB">
        <w:t xml:space="preserve"> (figure </w:t>
      </w:r>
      <w:r w:rsidR="00177AEB">
        <w:t>E</w:t>
      </w:r>
      <w:r w:rsidR="000D7037">
        <w:t>.</w:t>
      </w:r>
      <w:r w:rsidR="005B2CCB">
        <w:t>2)</w:t>
      </w:r>
      <w:r w:rsidR="00725589">
        <w:t xml:space="preserve">. The means test for </w:t>
      </w:r>
      <w:r w:rsidR="00EF5F83">
        <w:t>FTB</w:t>
      </w:r>
      <w:r w:rsidR="00725589">
        <w:t xml:space="preserve"> </w:t>
      </w:r>
      <w:r w:rsidR="00727780">
        <w:t>P</w:t>
      </w:r>
      <w:r w:rsidR="00725589">
        <w:t xml:space="preserve">art B is not </w:t>
      </w:r>
      <w:r w:rsidR="00185371">
        <w:t>based</w:t>
      </w:r>
      <w:r w:rsidR="00725589">
        <w:t xml:space="preserve"> on the combined family income — and cannot be accurately represented in figure </w:t>
      </w:r>
      <w:r w:rsidR="00177AEB">
        <w:t>E</w:t>
      </w:r>
      <w:r w:rsidR="000D7037">
        <w:t>.</w:t>
      </w:r>
      <w:r w:rsidR="00725589">
        <w:t>2.</w:t>
      </w:r>
    </w:p>
    <w:p w:rsidR="00CA5A80" w:rsidRDefault="00CA5A80" w:rsidP="0061312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5A80" w:rsidTr="0061312B">
        <w:tc>
          <w:tcPr>
            <w:tcW w:w="8771" w:type="dxa"/>
            <w:tcBorders>
              <w:top w:val="single" w:sz="6" w:space="0" w:color="78A22F"/>
              <w:left w:val="nil"/>
              <w:bottom w:val="nil"/>
              <w:right w:val="nil"/>
            </w:tcBorders>
            <w:shd w:val="clear" w:color="auto" w:fill="auto"/>
          </w:tcPr>
          <w:p w:rsidR="00CA5A80" w:rsidRDefault="00CA5A80" w:rsidP="00CA5A8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2</w:t>
            </w:r>
            <w:r w:rsidRPr="00784A05">
              <w:rPr>
                <w:b w:val="0"/>
              </w:rPr>
              <w:fldChar w:fldCharType="end"/>
            </w:r>
            <w:r>
              <w:tab/>
              <w:t>Staggering of means tests under current arrangements</w:t>
            </w:r>
          </w:p>
          <w:p w:rsidR="00CA5A80" w:rsidRPr="00176D3F" w:rsidRDefault="00CA5A80" w:rsidP="0061312B">
            <w:pPr>
              <w:pStyle w:val="Subtitle"/>
            </w:pPr>
            <w:r w:rsidRPr="00217711">
              <w:t>Income ranges where government assistance is withdrawn</w:t>
            </w:r>
            <w:r w:rsidRPr="00464157">
              <w:rPr>
                <w:rStyle w:val="NoteLabel"/>
                <w:b w:val="0"/>
              </w:rPr>
              <w:t>a</w:t>
            </w:r>
          </w:p>
        </w:tc>
      </w:tr>
      <w:tr w:rsidR="00CA5A80" w:rsidTr="0061312B">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CA5A80" w:rsidTr="0061312B">
              <w:tc>
                <w:tcPr>
                  <w:tcW w:w="5000" w:type="pct"/>
                  <w:tcBorders>
                    <w:top w:val="nil"/>
                    <w:bottom w:val="nil"/>
                  </w:tcBorders>
                </w:tcPr>
                <w:p w:rsidR="00CA5A80" w:rsidRDefault="00CA5A80" w:rsidP="0061312B">
                  <w:pPr>
                    <w:pStyle w:val="Figure"/>
                    <w:spacing w:before="60" w:after="60"/>
                  </w:pPr>
                  <w:r>
                    <w:rPr>
                      <w:noProof/>
                    </w:rPr>
                    <w:drawing>
                      <wp:inline distT="0" distB="0" distL="0" distR="0" wp14:anchorId="42675326" wp14:editId="10EDA070">
                        <wp:extent cx="5391150" cy="2876550"/>
                        <wp:effectExtent l="0" t="0" r="0" b="0"/>
                        <wp:docPr id="22" name="Picture 22" descr="Illustrates that a number of transfer payments have means tests that are currently staggered (namely Parenting payment, Family Tax Benefit Part A and Rent Assistance). It also illustrates that there is insufficient gaps between the thresholds for those means tests for ECEC subsidies to be staggered bet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CA5A80" w:rsidRDefault="00CA5A80" w:rsidP="0061312B">
            <w:pPr>
              <w:pStyle w:val="Figure"/>
            </w:pPr>
          </w:p>
        </w:tc>
      </w:tr>
      <w:tr w:rsidR="00CA5A80" w:rsidRPr="00176D3F" w:rsidTr="0061312B">
        <w:tc>
          <w:tcPr>
            <w:tcW w:w="8771" w:type="dxa"/>
            <w:tcBorders>
              <w:top w:val="nil"/>
              <w:left w:val="nil"/>
              <w:bottom w:val="nil"/>
              <w:right w:val="nil"/>
            </w:tcBorders>
            <w:shd w:val="clear" w:color="auto" w:fill="auto"/>
          </w:tcPr>
          <w:p w:rsidR="00CA5A80" w:rsidRPr="00176D3F" w:rsidRDefault="00CA5A80" w:rsidP="00F54CF8">
            <w:pPr>
              <w:pStyle w:val="Note"/>
            </w:pPr>
            <w:r>
              <w:rPr>
                <w:rStyle w:val="NoteLabel"/>
              </w:rPr>
              <w:t>a</w:t>
            </w:r>
            <w:r>
              <w:t xml:space="preserve"> As at June 2014 for a </w:t>
            </w:r>
            <w:r w:rsidR="00F54CF8">
              <w:t>single</w:t>
            </w:r>
            <w:r>
              <w:t xml:space="preserve"> parent family with one child. </w:t>
            </w:r>
            <w:r w:rsidR="00177AEB">
              <w:t xml:space="preserve">FTB </w:t>
            </w:r>
            <w:r w:rsidR="00672CCF">
              <w:t xml:space="preserve">Part </w:t>
            </w:r>
            <w:r w:rsidR="00177AEB">
              <w:t>A</w:t>
            </w:r>
            <w:r>
              <w:t xml:space="preserve"> is subjected to two tapers. Any </w:t>
            </w:r>
            <w:r w:rsidR="00177AEB">
              <w:t>R</w:t>
            </w:r>
            <w:r>
              <w:t xml:space="preserve">ent </w:t>
            </w:r>
            <w:r w:rsidR="00177AEB">
              <w:t>A</w:t>
            </w:r>
            <w:r>
              <w:t xml:space="preserve">ssistance a family receiving </w:t>
            </w:r>
            <w:r w:rsidR="00177AEB">
              <w:t>FTB</w:t>
            </w:r>
            <w:r w:rsidR="00672CCF">
              <w:t xml:space="preserve"> Part </w:t>
            </w:r>
            <w:r w:rsidR="00177AEB">
              <w:t>A</w:t>
            </w:r>
            <w:r>
              <w:t xml:space="preserve"> receives begins to be reduced after the first taper for </w:t>
            </w:r>
            <w:r w:rsidR="00177AEB">
              <w:t>FTB</w:t>
            </w:r>
            <w:r w:rsidR="00672CCF">
              <w:t xml:space="preserve"> Part</w:t>
            </w:r>
            <w:r w:rsidR="00177AEB">
              <w:t xml:space="preserve"> A</w:t>
            </w:r>
            <w:r>
              <w:t>.</w:t>
            </w:r>
          </w:p>
        </w:tc>
      </w:tr>
      <w:tr w:rsidR="00CA5A80" w:rsidRPr="00176D3F" w:rsidTr="0061312B">
        <w:tc>
          <w:tcPr>
            <w:tcW w:w="8771" w:type="dxa"/>
            <w:tcBorders>
              <w:top w:val="nil"/>
              <w:left w:val="nil"/>
              <w:bottom w:val="nil"/>
              <w:right w:val="nil"/>
            </w:tcBorders>
            <w:shd w:val="clear" w:color="auto" w:fill="auto"/>
          </w:tcPr>
          <w:p w:rsidR="00CA5A80" w:rsidRPr="00176D3F" w:rsidRDefault="0093063A" w:rsidP="0061312B">
            <w:pPr>
              <w:pStyle w:val="Source"/>
            </w:pPr>
            <w:r>
              <w:rPr>
                <w:i/>
              </w:rPr>
              <w:t>Source</w:t>
            </w:r>
            <w:r w:rsidR="00CA5A80" w:rsidRPr="00176D3F">
              <w:t xml:space="preserve">: </w:t>
            </w:r>
            <w:r>
              <w:t xml:space="preserve">Productivity </w:t>
            </w:r>
            <w:r w:rsidR="00CA5A80">
              <w:t>Commission calculations, Department of Human Services</w:t>
            </w:r>
            <w:r w:rsidR="00CA5A80" w:rsidRPr="00167F06">
              <w:t xml:space="preserve"> </w:t>
            </w:r>
            <w:r w:rsidR="00CA5A80">
              <w:fldChar w:fldCharType="begin"/>
            </w:r>
            <w:r w:rsidR="00B47018">
              <w:instrText xml:space="preserve"> ADDIN ZOTERO_ITEM CSL_CITATION {"citationID":"yfgLbLXu","properties":{"formattedCitation":"(2014)","plainCitation":"(2014)"},"citationItems":[{"id":848,"uris":["http://zotero.org/groups/201350/items/R9CBKZF5"],"uri":["http://zotero.org/groups/201350/items/R9CBKZF5"],"itemData":{"id":848,"type":"report","title":"A Guide to Australian Government Payments: 20 March - 30 June 2014","publisher-place":"Canberra","event-place":"Canberra","author":[{"family":"Department of Human Services","given":""}],"translator":[{"family":"DHS","given":""}],"issued":{"date-parts":[["2014"]]}},"suppress-author":true}],"schema":"https://github.com/citation-style-language/schema/raw/master/csl-citation.json"} </w:instrText>
            </w:r>
            <w:r w:rsidR="00CA5A80">
              <w:fldChar w:fldCharType="separate"/>
            </w:r>
            <w:r w:rsidR="00CA5A80" w:rsidRPr="00F065F1">
              <w:rPr>
                <w:rFonts w:cs="Arial"/>
              </w:rPr>
              <w:t>(2014)</w:t>
            </w:r>
            <w:r w:rsidR="00CA5A80">
              <w:fldChar w:fldCharType="end"/>
            </w:r>
            <w:r w:rsidR="00D452E4">
              <w:t>.</w:t>
            </w:r>
          </w:p>
        </w:tc>
      </w:tr>
      <w:tr w:rsidR="00CA5A80" w:rsidTr="0061312B">
        <w:tc>
          <w:tcPr>
            <w:tcW w:w="8771" w:type="dxa"/>
            <w:tcBorders>
              <w:top w:val="nil"/>
              <w:left w:val="nil"/>
              <w:bottom w:val="single" w:sz="6" w:space="0" w:color="78A22F"/>
              <w:right w:val="nil"/>
            </w:tcBorders>
            <w:shd w:val="clear" w:color="auto" w:fill="auto"/>
          </w:tcPr>
          <w:p w:rsidR="00CA5A80" w:rsidRDefault="00CA5A80" w:rsidP="0061312B">
            <w:pPr>
              <w:pStyle w:val="Figurespace"/>
            </w:pPr>
          </w:p>
        </w:tc>
      </w:tr>
      <w:tr w:rsidR="00CA5A80" w:rsidRPr="000863A5" w:rsidTr="0061312B">
        <w:tc>
          <w:tcPr>
            <w:tcW w:w="8771" w:type="dxa"/>
            <w:tcBorders>
              <w:top w:val="single" w:sz="6" w:space="0" w:color="78A22F"/>
              <w:left w:val="nil"/>
              <w:bottom w:val="nil"/>
              <w:right w:val="nil"/>
            </w:tcBorders>
          </w:tcPr>
          <w:p w:rsidR="00CA5A80" w:rsidRPr="00626D32" w:rsidRDefault="00CA5A80" w:rsidP="0061312B">
            <w:pPr>
              <w:pStyle w:val="BoxSpaceBelow"/>
            </w:pPr>
          </w:p>
        </w:tc>
      </w:tr>
    </w:tbl>
    <w:p w:rsidR="00193A38" w:rsidRDefault="00E565E6" w:rsidP="00193A38">
      <w:pPr>
        <w:pStyle w:val="BodyText"/>
      </w:pPr>
      <w:r>
        <w:t>Something that is apparent from figure</w:t>
      </w:r>
      <w:r w:rsidR="00454471">
        <w:t> </w:t>
      </w:r>
      <w:r w:rsidR="00177AEB">
        <w:t>E</w:t>
      </w:r>
      <w:r w:rsidR="000D7037">
        <w:t>.</w:t>
      </w:r>
      <w:r>
        <w:t>2 is that the taper</w:t>
      </w:r>
      <w:r w:rsidR="00580211">
        <w:t xml:space="preserve"> rate</w:t>
      </w:r>
      <w:r>
        <w:t xml:space="preserve">s for different payments cover very different ranges of incomes. Two key factors affect the </w:t>
      </w:r>
      <w:r w:rsidR="00580211">
        <w:t xml:space="preserve">income </w:t>
      </w:r>
      <w:r>
        <w:t>range</w:t>
      </w:r>
      <w:r w:rsidR="00580211">
        <w:t>s</w:t>
      </w:r>
      <w:r>
        <w:t xml:space="preserve"> that different tapers are applied across — the maximum value of payments </w:t>
      </w:r>
      <w:r w:rsidR="00982070">
        <w:t>to which</w:t>
      </w:r>
      <w:r>
        <w:t xml:space="preserve"> families may be entitled and the taper rate that is applied. In this regard, one of the particular challenges for ECEC subsidies is that some families can be eligible for substantial levels of assistance </w:t>
      </w:r>
      <w:r w:rsidR="00454471">
        <w:t xml:space="preserve">from a combination of payments </w:t>
      </w:r>
      <w:r>
        <w:t>(table </w:t>
      </w:r>
      <w:r w:rsidR="00A7553B">
        <w:t>E.</w:t>
      </w:r>
      <w:r>
        <w:t xml:space="preserve">2). As such, it </w:t>
      </w:r>
      <w:r w:rsidR="00580211">
        <w:t xml:space="preserve">would </w:t>
      </w:r>
      <w:r>
        <w:t>be difficult to stag</w:t>
      </w:r>
      <w:r w:rsidR="00982070">
        <w:t>g</w:t>
      </w:r>
      <w:r>
        <w:t>er any means test for ECEC assistance between the tapers for other existing payments.</w:t>
      </w:r>
    </w:p>
    <w:p w:rsidR="0009224F" w:rsidRDefault="0009224F" w:rsidP="006131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9224F" w:rsidTr="0061312B">
        <w:tc>
          <w:tcPr>
            <w:tcW w:w="8771" w:type="dxa"/>
            <w:tcBorders>
              <w:top w:val="single" w:sz="6" w:space="0" w:color="78A22F" w:themeColor="accent1"/>
              <w:left w:val="nil"/>
              <w:bottom w:val="nil"/>
              <w:right w:val="nil"/>
            </w:tcBorders>
            <w:shd w:val="clear" w:color="auto" w:fill="auto"/>
          </w:tcPr>
          <w:p w:rsidR="0009224F" w:rsidRDefault="0009224F" w:rsidP="0061312B">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2</w:t>
            </w:r>
            <w:r>
              <w:rPr>
                <w:b w:val="0"/>
              </w:rPr>
              <w:fldChar w:fldCharType="end"/>
            </w:r>
            <w:r>
              <w:tab/>
              <w:t>Maximum weekly assistance that families using ECEC may receive</w:t>
            </w:r>
          </w:p>
          <w:p w:rsidR="0009224F" w:rsidRPr="00784A05" w:rsidRDefault="00B60B25" w:rsidP="0061312B">
            <w:pPr>
              <w:pStyle w:val="Subtitle"/>
            </w:pPr>
            <w:r>
              <w:t>F</w:t>
            </w:r>
            <w:r w:rsidR="0009224F">
              <w:t>or a single parent family with one child</w:t>
            </w:r>
            <w:r w:rsidR="00F54CF8">
              <w:t>,</w:t>
            </w:r>
            <w:r w:rsidR="0009224F">
              <w:t xml:space="preserve"> as at June 2014</w:t>
            </w:r>
          </w:p>
        </w:tc>
      </w:tr>
      <w:tr w:rsidR="0009224F" w:rsidTr="0061312B">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622"/>
              <w:gridCol w:w="5865"/>
            </w:tblGrid>
            <w:tr w:rsidR="0009224F" w:rsidTr="0061312B">
              <w:tc>
                <w:tcPr>
                  <w:tcW w:w="1545" w:type="pct"/>
                  <w:tcBorders>
                    <w:top w:val="single" w:sz="6" w:space="0" w:color="BFBFBF"/>
                    <w:bottom w:val="single" w:sz="6" w:space="0" w:color="BFBFBF"/>
                  </w:tcBorders>
                  <w:shd w:val="clear" w:color="auto" w:fill="auto"/>
                </w:tcPr>
                <w:p w:rsidR="0009224F" w:rsidRDefault="0009224F" w:rsidP="0061312B">
                  <w:pPr>
                    <w:pStyle w:val="TableColumnHeading"/>
                    <w:jc w:val="left"/>
                  </w:pPr>
                  <w:r>
                    <w:t>Transfer payment</w:t>
                  </w:r>
                </w:p>
              </w:tc>
              <w:tc>
                <w:tcPr>
                  <w:tcW w:w="3455" w:type="pct"/>
                  <w:tcBorders>
                    <w:top w:val="single" w:sz="6" w:space="0" w:color="BFBFBF"/>
                    <w:bottom w:val="single" w:sz="6" w:space="0" w:color="BFBFBF"/>
                  </w:tcBorders>
                  <w:shd w:val="clear" w:color="auto" w:fill="auto"/>
                </w:tcPr>
                <w:p w:rsidR="0009224F" w:rsidRDefault="00F54CF8" w:rsidP="0061312B">
                  <w:pPr>
                    <w:pStyle w:val="TableColumnHeading"/>
                  </w:pPr>
                  <w:r>
                    <w:t>M</w:t>
                  </w:r>
                  <w:r w:rsidR="0009224F">
                    <w:t>aximum weekly amount</w:t>
                  </w:r>
                </w:p>
              </w:tc>
            </w:tr>
            <w:tr w:rsidR="0009224F" w:rsidTr="0061312B">
              <w:tc>
                <w:tcPr>
                  <w:tcW w:w="1545" w:type="pct"/>
                  <w:tcBorders>
                    <w:top w:val="single" w:sz="6" w:space="0" w:color="BFBFBF"/>
                  </w:tcBorders>
                </w:tcPr>
                <w:p w:rsidR="0009224F" w:rsidRDefault="0009224F" w:rsidP="0061312B">
                  <w:pPr>
                    <w:pStyle w:val="TableBodyText"/>
                    <w:spacing w:before="40"/>
                    <w:jc w:val="left"/>
                  </w:pPr>
                  <w:r>
                    <w:t>Family Tax Benefit Part A</w:t>
                  </w:r>
                </w:p>
              </w:tc>
              <w:tc>
                <w:tcPr>
                  <w:tcW w:w="3455" w:type="pct"/>
                  <w:tcBorders>
                    <w:top w:val="single" w:sz="6" w:space="0" w:color="BFBFBF"/>
                  </w:tcBorders>
                </w:tcPr>
                <w:p w:rsidR="0009224F" w:rsidRDefault="0009224F" w:rsidP="0061312B">
                  <w:pPr>
                    <w:pStyle w:val="TableBodyText"/>
                    <w:spacing w:before="40"/>
                  </w:pPr>
                  <w:r>
                    <w:t>$86.10</w:t>
                  </w:r>
                </w:p>
              </w:tc>
            </w:tr>
            <w:tr w:rsidR="0009224F" w:rsidTr="0061312B">
              <w:tc>
                <w:tcPr>
                  <w:tcW w:w="1545" w:type="pct"/>
                  <w:shd w:val="clear" w:color="auto" w:fill="auto"/>
                </w:tcPr>
                <w:p w:rsidR="0009224F" w:rsidRDefault="0009224F" w:rsidP="0061312B">
                  <w:pPr>
                    <w:pStyle w:val="TableBodyText"/>
                    <w:jc w:val="left"/>
                  </w:pPr>
                  <w:r>
                    <w:t>Family Tax Benefit Part B</w:t>
                  </w:r>
                </w:p>
              </w:tc>
              <w:tc>
                <w:tcPr>
                  <w:tcW w:w="3455" w:type="pct"/>
                  <w:shd w:val="clear" w:color="auto" w:fill="auto"/>
                </w:tcPr>
                <w:p w:rsidR="0009224F" w:rsidRDefault="0009224F" w:rsidP="0061312B">
                  <w:pPr>
                    <w:pStyle w:val="TableBodyText"/>
                  </w:pPr>
                  <w:r>
                    <w:t>$73.22</w:t>
                  </w:r>
                </w:p>
              </w:tc>
            </w:tr>
            <w:tr w:rsidR="0009224F" w:rsidTr="0061312B">
              <w:tc>
                <w:tcPr>
                  <w:tcW w:w="1545" w:type="pct"/>
                  <w:shd w:val="clear" w:color="auto" w:fill="auto"/>
                </w:tcPr>
                <w:p w:rsidR="0009224F" w:rsidRDefault="0009224F" w:rsidP="006203B4">
                  <w:pPr>
                    <w:pStyle w:val="TableBodyText"/>
                    <w:jc w:val="left"/>
                  </w:pPr>
                  <w:r>
                    <w:t>Child</w:t>
                  </w:r>
                  <w:r w:rsidR="006203B4">
                    <w:t xml:space="preserve"> C</w:t>
                  </w:r>
                  <w:r>
                    <w:t>are Benefit (CCB)</w:t>
                  </w:r>
                  <w:r w:rsidRPr="00A02DE5">
                    <w:rPr>
                      <w:rStyle w:val="NoteLabel"/>
                    </w:rPr>
                    <w:t>a</w:t>
                  </w:r>
                </w:p>
              </w:tc>
              <w:tc>
                <w:tcPr>
                  <w:tcW w:w="3455" w:type="pct"/>
                  <w:shd w:val="clear" w:color="auto" w:fill="auto"/>
                </w:tcPr>
                <w:p w:rsidR="0009224F" w:rsidRDefault="0009224F" w:rsidP="0061312B">
                  <w:pPr>
                    <w:pStyle w:val="TableBodyText"/>
                  </w:pPr>
                  <w:r>
                    <w:t>$199.50</w:t>
                  </w:r>
                </w:p>
              </w:tc>
            </w:tr>
            <w:tr w:rsidR="0009224F" w:rsidTr="0061312B">
              <w:tc>
                <w:tcPr>
                  <w:tcW w:w="1545" w:type="pct"/>
                  <w:shd w:val="clear" w:color="auto" w:fill="auto"/>
                </w:tcPr>
                <w:p w:rsidR="0009224F" w:rsidRDefault="0009224F" w:rsidP="006203B4">
                  <w:pPr>
                    <w:pStyle w:val="TableBodyText"/>
                    <w:jc w:val="left"/>
                  </w:pPr>
                  <w:r>
                    <w:t>Child</w:t>
                  </w:r>
                  <w:r w:rsidR="006203B4">
                    <w:t xml:space="preserve"> C</w:t>
                  </w:r>
                  <w:r>
                    <w:t>are Rebate (CCR)</w:t>
                  </w:r>
                  <w:r w:rsidRPr="00A02DE5">
                    <w:rPr>
                      <w:rStyle w:val="NoteLabel"/>
                    </w:rPr>
                    <w:t>a</w:t>
                  </w:r>
                </w:p>
              </w:tc>
              <w:tc>
                <w:tcPr>
                  <w:tcW w:w="3455" w:type="pct"/>
                  <w:shd w:val="clear" w:color="auto" w:fill="auto"/>
                </w:tcPr>
                <w:p w:rsidR="0009224F" w:rsidRDefault="0009224F" w:rsidP="0061312B">
                  <w:pPr>
                    <w:pStyle w:val="TableBodyText"/>
                  </w:pPr>
                  <w:r>
                    <w:t>$87.50</w:t>
                  </w:r>
                </w:p>
              </w:tc>
            </w:tr>
            <w:tr w:rsidR="0009224F" w:rsidTr="0061312B">
              <w:tc>
                <w:tcPr>
                  <w:tcW w:w="1545" w:type="pct"/>
                  <w:shd w:val="clear" w:color="auto" w:fill="auto"/>
                </w:tcPr>
                <w:p w:rsidR="0009224F" w:rsidRDefault="0009224F" w:rsidP="0061312B">
                  <w:pPr>
                    <w:pStyle w:val="TableBodyText"/>
                    <w:jc w:val="left"/>
                  </w:pPr>
                  <w:r>
                    <w:t>Parenting Payment</w:t>
                  </w:r>
                </w:p>
              </w:tc>
              <w:tc>
                <w:tcPr>
                  <w:tcW w:w="3455" w:type="pct"/>
                  <w:shd w:val="clear" w:color="auto" w:fill="auto"/>
                </w:tcPr>
                <w:p w:rsidR="0009224F" w:rsidRDefault="0009224F" w:rsidP="0061312B">
                  <w:pPr>
                    <w:pStyle w:val="TableBodyText"/>
                  </w:pPr>
                  <w:r>
                    <w:t>$356.60</w:t>
                  </w:r>
                </w:p>
              </w:tc>
            </w:tr>
            <w:tr w:rsidR="0009224F" w:rsidTr="0061312B">
              <w:tc>
                <w:tcPr>
                  <w:tcW w:w="1545" w:type="pct"/>
                  <w:shd w:val="clear" w:color="auto" w:fill="auto"/>
                </w:tcPr>
                <w:p w:rsidR="0009224F" w:rsidRDefault="0009224F" w:rsidP="0061312B">
                  <w:pPr>
                    <w:pStyle w:val="TableBodyText"/>
                    <w:jc w:val="left"/>
                  </w:pPr>
                  <w:r>
                    <w:t>Rent Assistance</w:t>
                  </w:r>
                </w:p>
              </w:tc>
              <w:tc>
                <w:tcPr>
                  <w:tcW w:w="3455" w:type="pct"/>
                  <w:shd w:val="clear" w:color="auto" w:fill="auto"/>
                </w:tcPr>
                <w:p w:rsidR="0009224F" w:rsidRDefault="0009224F" w:rsidP="0061312B">
                  <w:pPr>
                    <w:pStyle w:val="TableBodyText"/>
                  </w:pPr>
                  <w:r>
                    <w:t>$73.99</w:t>
                  </w:r>
                </w:p>
              </w:tc>
            </w:tr>
            <w:tr w:rsidR="0009224F" w:rsidTr="0061312B">
              <w:tc>
                <w:tcPr>
                  <w:tcW w:w="1545" w:type="pct"/>
                  <w:tcBorders>
                    <w:bottom w:val="single" w:sz="6" w:space="0" w:color="BFBFBF"/>
                  </w:tcBorders>
                  <w:shd w:val="clear" w:color="auto" w:fill="auto"/>
                </w:tcPr>
                <w:p w:rsidR="0009224F" w:rsidRPr="00DA37F1" w:rsidRDefault="0009224F" w:rsidP="0061312B">
                  <w:pPr>
                    <w:pStyle w:val="TableBodyText"/>
                    <w:spacing w:before="40"/>
                    <w:jc w:val="left"/>
                    <w:rPr>
                      <w:b/>
                    </w:rPr>
                  </w:pPr>
                  <w:r>
                    <w:rPr>
                      <w:b/>
                    </w:rPr>
                    <w:t>Total</w:t>
                  </w:r>
                </w:p>
              </w:tc>
              <w:tc>
                <w:tcPr>
                  <w:tcW w:w="3455" w:type="pct"/>
                  <w:tcBorders>
                    <w:bottom w:val="single" w:sz="6" w:space="0" w:color="BFBFBF"/>
                  </w:tcBorders>
                  <w:shd w:val="clear" w:color="auto" w:fill="auto"/>
                </w:tcPr>
                <w:p w:rsidR="0009224F" w:rsidRDefault="0009224F" w:rsidP="0061312B">
                  <w:pPr>
                    <w:pStyle w:val="TableBodyText"/>
                    <w:spacing w:before="40"/>
                  </w:pPr>
                  <w:r>
                    <w:t>$876.91</w:t>
                  </w:r>
                </w:p>
              </w:tc>
            </w:tr>
          </w:tbl>
          <w:p w:rsidR="0009224F" w:rsidRDefault="0009224F" w:rsidP="0061312B">
            <w:pPr>
              <w:pStyle w:val="Box"/>
            </w:pPr>
          </w:p>
        </w:tc>
      </w:tr>
      <w:tr w:rsidR="0009224F" w:rsidTr="0061312B">
        <w:trPr>
          <w:cantSplit/>
        </w:trPr>
        <w:tc>
          <w:tcPr>
            <w:tcW w:w="8771" w:type="dxa"/>
            <w:tcBorders>
              <w:top w:val="nil"/>
              <w:left w:val="nil"/>
              <w:bottom w:val="nil"/>
              <w:right w:val="nil"/>
            </w:tcBorders>
            <w:shd w:val="clear" w:color="auto" w:fill="auto"/>
          </w:tcPr>
          <w:p w:rsidR="0009224F" w:rsidRDefault="0009224F" w:rsidP="0061312B">
            <w:pPr>
              <w:pStyle w:val="Note"/>
              <w:rPr>
                <w:i/>
              </w:rPr>
            </w:pPr>
            <w:r w:rsidRPr="008E77FE">
              <w:rPr>
                <w:rStyle w:val="NoteLabel"/>
              </w:rPr>
              <w:t>a</w:t>
            </w:r>
            <w:r>
              <w:t xml:space="preserve"> CCB is based on a child attending approved ECEC services for 50 hours in the week at a fee of $7.46</w:t>
            </w:r>
            <w:r w:rsidR="00580211">
              <w:t xml:space="preserve"> per hour</w:t>
            </w:r>
            <w:r>
              <w:t xml:space="preserve">. CCR is </w:t>
            </w:r>
            <w:r w:rsidR="003B686D">
              <w:t>calculated as half of the out</w:t>
            </w:r>
            <w:r w:rsidR="003B686D">
              <w:noBreakHyphen/>
              <w:t>of</w:t>
            </w:r>
            <w:r w:rsidR="003B686D">
              <w:noBreakHyphen/>
            </w:r>
            <w:r>
              <w:t>pocket costs after the maximum amount of CCB is deducted from the fees paid.</w:t>
            </w:r>
          </w:p>
        </w:tc>
      </w:tr>
      <w:tr w:rsidR="0009224F" w:rsidTr="0061312B">
        <w:trPr>
          <w:cantSplit/>
        </w:trPr>
        <w:tc>
          <w:tcPr>
            <w:tcW w:w="8771" w:type="dxa"/>
            <w:tcBorders>
              <w:top w:val="nil"/>
              <w:left w:val="nil"/>
              <w:bottom w:val="nil"/>
              <w:right w:val="nil"/>
            </w:tcBorders>
            <w:shd w:val="clear" w:color="auto" w:fill="auto"/>
          </w:tcPr>
          <w:p w:rsidR="0009224F" w:rsidRDefault="0009224F" w:rsidP="0009224F">
            <w:pPr>
              <w:pStyle w:val="Source"/>
            </w:pPr>
            <w:r>
              <w:rPr>
                <w:i/>
              </w:rPr>
              <w:t>Source</w:t>
            </w:r>
            <w:r w:rsidRPr="00167F06">
              <w:t xml:space="preserve">: </w:t>
            </w:r>
            <w:r w:rsidR="0093063A">
              <w:t xml:space="preserve">Productivity </w:t>
            </w:r>
            <w:r>
              <w:t>Commission calculations.</w:t>
            </w:r>
          </w:p>
        </w:tc>
      </w:tr>
      <w:tr w:rsidR="0009224F" w:rsidTr="0061312B">
        <w:trPr>
          <w:cantSplit/>
        </w:trPr>
        <w:tc>
          <w:tcPr>
            <w:tcW w:w="8771" w:type="dxa"/>
            <w:tcBorders>
              <w:top w:val="nil"/>
              <w:left w:val="nil"/>
              <w:bottom w:val="single" w:sz="6" w:space="0" w:color="78A22F" w:themeColor="accent1"/>
              <w:right w:val="nil"/>
            </w:tcBorders>
            <w:shd w:val="clear" w:color="auto" w:fill="auto"/>
          </w:tcPr>
          <w:p w:rsidR="0009224F" w:rsidRDefault="0009224F" w:rsidP="0061312B">
            <w:pPr>
              <w:pStyle w:val="Box"/>
              <w:spacing w:before="0" w:line="120" w:lineRule="exact"/>
            </w:pPr>
          </w:p>
        </w:tc>
      </w:tr>
      <w:tr w:rsidR="0009224F" w:rsidRPr="000863A5" w:rsidTr="0061312B">
        <w:tc>
          <w:tcPr>
            <w:tcW w:w="8771" w:type="dxa"/>
            <w:tcBorders>
              <w:top w:val="single" w:sz="6" w:space="0" w:color="78A22F" w:themeColor="accent1"/>
              <w:left w:val="nil"/>
              <w:bottom w:val="nil"/>
              <w:right w:val="nil"/>
            </w:tcBorders>
          </w:tcPr>
          <w:p w:rsidR="0009224F" w:rsidRPr="00626D32" w:rsidRDefault="0009224F" w:rsidP="0061312B">
            <w:pPr>
              <w:pStyle w:val="BoxSpaceBelow"/>
            </w:pPr>
          </w:p>
        </w:tc>
      </w:tr>
    </w:tbl>
    <w:p w:rsidR="00E565E6" w:rsidRDefault="008E719C" w:rsidP="00193A38">
      <w:pPr>
        <w:pStyle w:val="BodyText"/>
      </w:pPr>
      <w:r>
        <w:t>In the absence of system</w:t>
      </w:r>
      <w:r w:rsidR="00286B06">
        <w:noBreakHyphen/>
      </w:r>
      <w:r>
        <w:t>wide reforms it would be difficult for the Commission to effectively include ECEC assistance within a wider suite of staggered means tests. As such, there are two possible approaches the Commission can use to try to reduce the extent that compounding means tests will adversely impact on incentives to work.</w:t>
      </w:r>
    </w:p>
    <w:p w:rsidR="00F25571" w:rsidRDefault="00F25571" w:rsidP="008E719C">
      <w:pPr>
        <w:pStyle w:val="ListBullet"/>
      </w:pPr>
      <w:r>
        <w:t>One approach is to vary the means test for family circumstances in an attempt to avoid the overlap wi</w:t>
      </w:r>
      <w:r w:rsidR="00174FBA">
        <w:t>th some other specific payments</w:t>
      </w:r>
    </w:p>
    <w:p w:rsidR="00174FBA" w:rsidRDefault="00174FBA" w:rsidP="00174FBA">
      <w:pPr>
        <w:pStyle w:val="ListBullet2"/>
      </w:pPr>
      <w:r>
        <w:t xml:space="preserve">given that the income ranges for means tests for other payments can vary based on the number and age of children, that would require </w:t>
      </w:r>
      <w:r w:rsidR="00352AB4">
        <w:t xml:space="preserve">the development of </w:t>
      </w:r>
      <w:r>
        <w:t>a fragmented and complex means test for ECEC.</w:t>
      </w:r>
    </w:p>
    <w:p w:rsidR="00F25571" w:rsidRDefault="00F25571" w:rsidP="008E719C">
      <w:pPr>
        <w:pStyle w:val="ListBullet"/>
      </w:pPr>
      <w:r>
        <w:t xml:space="preserve">A second </w:t>
      </w:r>
      <w:r w:rsidR="008E719C">
        <w:t>approach</w:t>
      </w:r>
      <w:r>
        <w:t xml:space="preserve"> is to have a very low taper rate </w:t>
      </w:r>
      <w:r w:rsidR="00F424A6">
        <w:t xml:space="preserve">— under that approach, overlaps </w:t>
      </w:r>
      <w:r w:rsidR="00174FBA">
        <w:t xml:space="preserve">between </w:t>
      </w:r>
      <w:r w:rsidR="00F424A6">
        <w:t xml:space="preserve">tapers </w:t>
      </w:r>
      <w:r w:rsidR="00174FBA">
        <w:t xml:space="preserve">for ECEC support and other payments </w:t>
      </w:r>
      <w:r w:rsidR="00F424A6">
        <w:t>will occur, however the additional disincentive to work should be minimal</w:t>
      </w:r>
      <w:r w:rsidR="00B60B25">
        <w:t xml:space="preserve"> and the fiscal cost of the support would be greater</w:t>
      </w:r>
      <w:r w:rsidR="00F424A6">
        <w:t xml:space="preserve">. </w:t>
      </w:r>
    </w:p>
    <w:p w:rsidR="001C20A6" w:rsidRDefault="001C20A6" w:rsidP="006D66D1">
      <w:pPr>
        <w:pStyle w:val="ListBullet2"/>
      </w:pPr>
      <w:r>
        <w:t>The current taper</w:t>
      </w:r>
      <w:r w:rsidR="00580211">
        <w:t xml:space="preserve"> rate</w:t>
      </w:r>
      <w:r>
        <w:t xml:space="preserve">s applied to </w:t>
      </w:r>
      <w:r w:rsidR="00E016E8">
        <w:t xml:space="preserve">the </w:t>
      </w:r>
      <w:r>
        <w:t xml:space="preserve">CCB are an example of </w:t>
      </w:r>
      <w:r w:rsidR="00B94952">
        <w:t xml:space="preserve">a </w:t>
      </w:r>
      <w:r>
        <w:t xml:space="preserve">low to very low taper </w:t>
      </w:r>
      <w:r w:rsidR="005E522C">
        <w:t xml:space="preserve">(section </w:t>
      </w:r>
      <w:r w:rsidR="00A7553B">
        <w:t>E.</w:t>
      </w:r>
      <w:r w:rsidR="005E522C">
        <w:t>2</w:t>
      </w:r>
      <w:r>
        <w:t>).</w:t>
      </w:r>
    </w:p>
    <w:p w:rsidR="007E14D2" w:rsidRDefault="00E768CA">
      <w:pPr>
        <w:pStyle w:val="Heading4"/>
      </w:pPr>
      <w:r>
        <w:t>Choice of work hours tends to be lumpy</w:t>
      </w:r>
    </w:p>
    <w:p w:rsidR="007E14D2" w:rsidRDefault="00E768CA">
      <w:pPr>
        <w:pStyle w:val="BodyText"/>
      </w:pPr>
      <w:r>
        <w:t xml:space="preserve">EMTRs for an individual are most </w:t>
      </w:r>
      <w:r w:rsidR="00352AB4">
        <w:t xml:space="preserve">informative </w:t>
      </w:r>
      <w:r>
        <w:t xml:space="preserve">when they compare changes in work hours or annual wages that can be negotiated. For most workers, the smallest change in annual earnings that they could negotiate would be to forgo working an hour of overtime. Other </w:t>
      </w:r>
      <w:r w:rsidR="00352AB4">
        <w:t xml:space="preserve">ways </w:t>
      </w:r>
      <w:r>
        <w:t>of slightly reducing their annual income could include arranging to take a week of unpaid leave, working part time rather than full time (or reducing their hours per week or days per week worked if they are already part time). Because of these rigidities, working hours are often referred to as being ‘lumpy’ or ‘sticky’.</w:t>
      </w:r>
    </w:p>
    <w:p w:rsidR="007E14D2" w:rsidRDefault="00E768CA" w:rsidP="00404569">
      <w:pPr>
        <w:pStyle w:val="Heading4"/>
        <w:spacing w:before="600"/>
      </w:pPr>
      <w:r>
        <w:lastRenderedPageBreak/>
        <w:t>Lumpiness in consumption of ECEC services</w:t>
      </w:r>
    </w:p>
    <w:p w:rsidR="007E14D2" w:rsidRDefault="00E768CA">
      <w:pPr>
        <w:pStyle w:val="BodyText"/>
      </w:pPr>
      <w:r>
        <w:t xml:space="preserve">When examining the EMTRs </w:t>
      </w:r>
      <w:r w:rsidR="00354E32">
        <w:t>that factor in</w:t>
      </w:r>
      <w:r>
        <w:t xml:space="preserve"> ECEC payments, we not only need to consider the lumpiness of working hours</w:t>
      </w:r>
      <w:r w:rsidR="00D40E11">
        <w:t>,</w:t>
      </w:r>
      <w:r>
        <w:t xml:space="preserve"> but also the lumpiness of care provision. For example, the most common type of ECEC — long day care (LDC) — is typically purchased by day of the week. </w:t>
      </w:r>
      <w:r w:rsidR="00352AB4">
        <w:t>I</w:t>
      </w:r>
      <w:r>
        <w:t xml:space="preserve">f a family agrees to pay for Mondays, they will pay for every Monday in the year (including public holidays and other days they do not attend). That payment entitles their child to attend from the time the centre opens until it closes. Families are </w:t>
      </w:r>
      <w:r w:rsidR="00185371">
        <w:t xml:space="preserve">typically </w:t>
      </w:r>
      <w:r>
        <w:t>required to pay for a full day of care even if their child is in care for part of the day.</w:t>
      </w:r>
    </w:p>
    <w:p w:rsidR="007E14D2" w:rsidRDefault="00E768CA">
      <w:pPr>
        <w:pStyle w:val="BodyText"/>
      </w:pPr>
      <w:r>
        <w:t xml:space="preserve">The session lengths for other services vary. </w:t>
      </w:r>
      <w:r w:rsidR="00D40E11">
        <w:t>F</w:t>
      </w:r>
      <w:r>
        <w:t>or services such as family day care, occasional care or nannies, it is more likely that families will be able to vary their hours of ECEC use as well as the days and time of care.</w:t>
      </w:r>
    </w:p>
    <w:p w:rsidR="007E14D2" w:rsidRDefault="00E768CA">
      <w:pPr>
        <w:pStyle w:val="Heading4"/>
      </w:pPr>
      <w:r>
        <w:t>Lumpiness of work hours and ECEC arrangements will affect some families more</w:t>
      </w:r>
    </w:p>
    <w:p w:rsidR="007E14D2" w:rsidRDefault="00E768CA">
      <w:pPr>
        <w:pStyle w:val="BodyText"/>
      </w:pPr>
      <w:r>
        <w:t xml:space="preserve">Families </w:t>
      </w:r>
      <w:r w:rsidR="00352AB4">
        <w:t>that</w:t>
      </w:r>
      <w:r>
        <w:t xml:space="preserve"> </w:t>
      </w:r>
      <w:r w:rsidR="00352AB4">
        <w:t xml:space="preserve">receive </w:t>
      </w:r>
      <w:r>
        <w:t>ECEC assistance are likely to respond to the lumpiness of work hours and ECEC services in different ways. For example:</w:t>
      </w:r>
    </w:p>
    <w:p w:rsidR="007E14D2" w:rsidRDefault="00E768CA">
      <w:pPr>
        <w:pStyle w:val="ListBullet"/>
      </w:pPr>
      <w:r>
        <w:t>some families may have ready access to informal care arrangements (such as family and friends) which allow them to either reduce their ECEC needs or to overcome mismatches in work or care hours</w:t>
      </w:r>
    </w:p>
    <w:p w:rsidR="007E14D2" w:rsidRDefault="00352AB4">
      <w:pPr>
        <w:pStyle w:val="ListBullet"/>
      </w:pPr>
      <w:r>
        <w:t>couple</w:t>
      </w:r>
      <w:r w:rsidR="00E768CA">
        <w:t xml:space="preserve"> families may be able to stagger working hours, allowing one parent to drop off children and the other to pick them up from ECEC services</w:t>
      </w:r>
    </w:p>
    <w:p w:rsidR="007E14D2" w:rsidRDefault="00E768CA">
      <w:pPr>
        <w:pStyle w:val="ListBullet"/>
      </w:pPr>
      <w:r>
        <w:t>some parents have more flexible work arrangements (including part time work, varying days worked each week or hour</w:t>
      </w:r>
      <w:r w:rsidR="00354E32">
        <w:t>s</w:t>
      </w:r>
      <w:r>
        <w:t xml:space="preserve"> per day</w:t>
      </w:r>
      <w:r w:rsidR="00352AB4">
        <w:t xml:space="preserve"> and </w:t>
      </w:r>
      <w:r>
        <w:t xml:space="preserve">working from home) which can overcome mismatches in work and ECEC hours or reduce or negate the need </w:t>
      </w:r>
      <w:r w:rsidR="00354E32">
        <w:t xml:space="preserve">for </w:t>
      </w:r>
      <w:r>
        <w:t>ECEC</w:t>
      </w:r>
      <w:r w:rsidR="00352AB4">
        <w:t xml:space="preserve"> services</w:t>
      </w:r>
    </w:p>
    <w:p w:rsidR="007E14D2" w:rsidRDefault="00E768CA">
      <w:pPr>
        <w:pStyle w:val="ListBullet"/>
      </w:pPr>
      <w:r>
        <w:t>some parents have standard work hours that are consistent with the hours of operation of ECEC services</w:t>
      </w:r>
    </w:p>
    <w:p w:rsidR="007E14D2" w:rsidRDefault="00D107B7">
      <w:pPr>
        <w:pStyle w:val="ListBullet"/>
      </w:pPr>
      <w:r>
        <w:t xml:space="preserve">some </w:t>
      </w:r>
      <w:r w:rsidR="00E768CA">
        <w:t>parents’ work options are limited by the operational hours of ECEC services.</w:t>
      </w:r>
    </w:p>
    <w:p w:rsidR="007E14D2" w:rsidRDefault="00E768CA">
      <w:pPr>
        <w:pStyle w:val="BodyText"/>
      </w:pPr>
      <w:r>
        <w:t xml:space="preserve">Any such response is also based on the premise that ECEC services are readily available to families — which is not always the case (chapters 3 and </w:t>
      </w:r>
      <w:r w:rsidR="00D47747">
        <w:t>10</w:t>
      </w:r>
      <w:r>
        <w:t>).</w:t>
      </w:r>
    </w:p>
    <w:p w:rsidR="007E14D2" w:rsidRDefault="00E768CA">
      <w:pPr>
        <w:pStyle w:val="BodyText"/>
      </w:pPr>
      <w:r>
        <w:t xml:space="preserve">In order to calculate EMTRs for parents using ECEC services, it is necessary to make assumptions about the relationship between work hours and use of ECEC services. </w:t>
      </w:r>
    </w:p>
    <w:p w:rsidR="00404569" w:rsidRDefault="00404569">
      <w:pPr>
        <w:rPr>
          <w:rFonts w:ascii="Arial" w:hAnsi="Arial"/>
          <w:szCs w:val="20"/>
        </w:rPr>
      </w:pPr>
      <w:r>
        <w:br w:type="page"/>
      </w:r>
    </w:p>
    <w:p w:rsidR="007E14D2" w:rsidRDefault="00352AB4">
      <w:pPr>
        <w:pStyle w:val="Heading4"/>
      </w:pPr>
      <w:r>
        <w:lastRenderedPageBreak/>
        <w:t>Out-of-</w:t>
      </w:r>
      <w:r w:rsidR="00E768CA">
        <w:t>pocket childcare costs</w:t>
      </w:r>
    </w:p>
    <w:p w:rsidR="007E14D2" w:rsidRDefault="00E768CA">
      <w:pPr>
        <w:pStyle w:val="BodyText"/>
      </w:pPr>
      <w:r>
        <w:t>EMTR calculations typically only cover government taxes</w:t>
      </w:r>
      <w:r w:rsidR="00185371">
        <w:t>, benefits</w:t>
      </w:r>
      <w:r>
        <w:t xml:space="preserve"> and transfer payments. However, some studies extend the coverage to include items that can be considered private consumption — such as rent or mortgage costs or transport costs. The advantage of including private consumption items is that it provides a better indication of the impact of work on net household income. Difficulties arise however because such consumption decisions will themselves depend upon the level of income earned.</w:t>
      </w:r>
    </w:p>
    <w:p w:rsidR="007E14D2" w:rsidRDefault="00E768CA">
      <w:pPr>
        <w:pStyle w:val="BodyText"/>
      </w:pPr>
      <w:r>
        <w:t xml:space="preserve">While </w:t>
      </w:r>
      <w:r w:rsidR="00352AB4">
        <w:t>out-of-</w:t>
      </w:r>
      <w:r>
        <w:t>pocket childcare costs (fees paid by families less government subsidies) can be considered private consumption, the overwhelming majority of parents predominantly use ECEC services for work purposes (chapter </w:t>
      </w:r>
      <w:r w:rsidR="001C20A6">
        <w:t>3</w:t>
      </w:r>
      <w:r>
        <w:t xml:space="preserve">). This work link is enhanced because the hours of care used is typically strongly related to working hours of mothers. As such, previous researchers have included the hourly </w:t>
      </w:r>
      <w:r w:rsidR="00352AB4">
        <w:t>out-of-</w:t>
      </w:r>
      <w:r>
        <w:t xml:space="preserve">pocket childcare costs as a component of their EMTR analysis </w:t>
      </w:r>
      <w:r>
        <w:fldChar w:fldCharType="begin"/>
      </w:r>
      <w:r w:rsidR="00B47018">
        <w:instrText xml:space="preserve"> ADDIN ZOTERO_ITEM CSL_CITATION {"citationID":"BEFfMjpe","properties":{"formattedCitation":"{\\rtf (Daley\\uc0\\u160{}2012; Gong and Breunig\\uc0\\u160{}2012)}","plainCitation":"(Daley 2012; Gong and Breunig 2012)"},"citationItems":[{"id":657,"uris":["http://zotero.org/groups/201350/items/DCE8RNZG"],"uri":["http://zotero.org/groups/201350/items/DCE8RNZG"],"itemData":{"id":657,"type":"report","title":"Estimating Net Child Care Price Elasticities of Partnered Women with Pre-school Children Using a Discrete Structural Labour Supply-Child Care Model","publisher":"Australian Treasury","publisher-place":"Canberra","event-place":"Canberra","number":"Working Paper","author":[{"family":"Gong","given":"X"},{"family":"Breunig","given":"R"}],"issued":{"date-parts":[["2012",11]]}}},{"id":368,"uris":["http://zotero.org/groups/201350/items/DI4MI9DP"],"uri":["http://zotero.org/groups/201350/items/DI4MI9DP"],"itemData":{"id":368,"type":"report","title":"Game-Changers: Economic Reform Priorities for Australia","publisher":"Grattan Institute","publisher-place":"Melbourne","event-place":"Melbourne","author":[{"family":"Daley","given":"John"}],"issued":{"date-parts":[["2012"]]}}}],"schema":"https://github.com/citation-style-language/schema/raw/master/csl-citation.json"} </w:instrText>
      </w:r>
      <w:r>
        <w:fldChar w:fldCharType="separate"/>
      </w:r>
      <w:r w:rsidR="00E26924" w:rsidRPr="00E26924">
        <w:rPr>
          <w:szCs w:val="24"/>
        </w:rPr>
        <w:t>(Daley 2012; Gong and Breunig 2012)</w:t>
      </w:r>
      <w:r>
        <w:fldChar w:fldCharType="end"/>
      </w:r>
      <w:r>
        <w:t>. The Commission will also follow this approach.</w:t>
      </w:r>
    </w:p>
    <w:p w:rsidR="00D26D17" w:rsidRDefault="00F54CF8" w:rsidP="00D26D17">
      <w:pPr>
        <w:pStyle w:val="Heading2"/>
      </w:pPr>
      <w:fldSimple w:instr=" COMMENTS  \* MERGEFORMAT ">
        <w:r w:rsidR="000059ED">
          <w:t>E.</w:t>
        </w:r>
      </w:fldSimple>
      <w:r w:rsidR="002011A6">
        <w:fldChar w:fldCharType="begin"/>
      </w:r>
      <w:r w:rsidR="002011A6">
        <w:instrText xml:space="preserve"> SEQ Heading2 </w:instrText>
      </w:r>
      <w:r w:rsidR="002011A6">
        <w:fldChar w:fldCharType="separate"/>
      </w:r>
      <w:r w:rsidR="00464157">
        <w:rPr>
          <w:noProof/>
        </w:rPr>
        <w:t>2</w:t>
      </w:r>
      <w:r w:rsidR="002011A6">
        <w:rPr>
          <w:noProof/>
        </w:rPr>
        <w:fldChar w:fldCharType="end"/>
      </w:r>
      <w:r w:rsidR="00E768CA">
        <w:tab/>
      </w:r>
      <w:r w:rsidR="00D44209">
        <w:t>The operation of</w:t>
      </w:r>
      <w:r w:rsidR="00D26D17">
        <w:t xml:space="preserve"> payments </w:t>
      </w:r>
      <w:r w:rsidR="00D44209">
        <w:t>related to childcare assistance</w:t>
      </w:r>
    </w:p>
    <w:p w:rsidR="00D26D17" w:rsidRDefault="00D26D17" w:rsidP="00D26D17">
      <w:pPr>
        <w:pStyle w:val="BodyText"/>
      </w:pPr>
      <w:r>
        <w:t xml:space="preserve">This section examines the taper rates for the three most common ECEC subsidies and the two most common transfer payments in more detail. Those payments are </w:t>
      </w:r>
      <w:r w:rsidR="004D2654">
        <w:t xml:space="preserve">FTB </w:t>
      </w:r>
      <w:r w:rsidR="00672CCF">
        <w:t xml:space="preserve">Parts </w:t>
      </w:r>
      <w:r w:rsidR="004D2654">
        <w:t>A and B</w:t>
      </w:r>
      <w:r>
        <w:t xml:space="preserve">, CCR, CCB and the Jobs, Education and Training Childcare Financial Assistance (JETCCFA) payments. </w:t>
      </w:r>
    </w:p>
    <w:p w:rsidR="00D26D17" w:rsidRDefault="00D26D17" w:rsidP="00D26D17">
      <w:pPr>
        <w:pStyle w:val="Heading3"/>
      </w:pPr>
      <w:r>
        <w:t>Family Tax Benefit (</w:t>
      </w:r>
      <w:r w:rsidR="004D2654">
        <w:t xml:space="preserve">Part </w:t>
      </w:r>
      <w:r>
        <w:t>A)</w:t>
      </w:r>
    </w:p>
    <w:p w:rsidR="00D26D17" w:rsidRDefault="004D2654" w:rsidP="0014741C">
      <w:pPr>
        <w:pStyle w:val="BodyText"/>
        <w:spacing w:before="200"/>
      </w:pPr>
      <w:r>
        <w:t>FTB</w:t>
      </w:r>
      <w:r w:rsidR="00D26D17">
        <w:t xml:space="preserve"> (</w:t>
      </w:r>
      <w:r>
        <w:t>Part</w:t>
      </w:r>
      <w:r w:rsidR="00672CCF">
        <w:t>s</w:t>
      </w:r>
      <w:r>
        <w:t xml:space="preserve"> </w:t>
      </w:r>
      <w:r w:rsidR="00D26D17">
        <w:t xml:space="preserve">A and B) are social welfare transfers to families that are subject to eligibility criteria and a family income based means test. </w:t>
      </w:r>
    </w:p>
    <w:p w:rsidR="00D26D17" w:rsidRDefault="00D26D17" w:rsidP="0014741C">
      <w:pPr>
        <w:pStyle w:val="BodyText"/>
        <w:spacing w:before="200"/>
      </w:pPr>
      <w:r>
        <w:t>As described in appendix </w:t>
      </w:r>
      <w:r w:rsidR="00130E63">
        <w:t>B</w:t>
      </w:r>
      <w:r>
        <w:t xml:space="preserve">, there are two income tests that are applied. The first test applies a taper of 20 cents in the dollar and the second test applies a taper of 30 cents in the dollar. </w:t>
      </w:r>
    </w:p>
    <w:p w:rsidR="00D26D17" w:rsidRDefault="004D2654" w:rsidP="0014741C">
      <w:pPr>
        <w:pStyle w:val="BodyText"/>
        <w:spacing w:before="200"/>
      </w:pPr>
      <w:r>
        <w:t>FTB</w:t>
      </w:r>
      <w:r w:rsidR="00D26D17">
        <w:t xml:space="preserve"> </w:t>
      </w:r>
      <w:r w:rsidR="00672CCF">
        <w:t xml:space="preserve">Part </w:t>
      </w:r>
      <w:r w:rsidR="00D26D17">
        <w:t>A can provide families with substantial financial assistance. The maximum rate that a family can receive if they have a child aged under 13 is $172.20 a fortnight (as of June 2014). The gradual withdrawal of this payment may also have a substantial impact on family’s finances.</w:t>
      </w:r>
    </w:p>
    <w:p w:rsidR="00404569" w:rsidRDefault="00404569">
      <w:pPr>
        <w:rPr>
          <w:szCs w:val="20"/>
        </w:rPr>
      </w:pPr>
      <w:r>
        <w:br w:type="page"/>
      </w:r>
    </w:p>
    <w:p w:rsidR="00D26D17" w:rsidRDefault="00D26D17" w:rsidP="0014741C">
      <w:pPr>
        <w:pStyle w:val="BodyText"/>
        <w:spacing w:before="200"/>
      </w:pPr>
      <w:r>
        <w:lastRenderedPageBreak/>
        <w:t xml:space="preserve">As the income tests are based on combined family incomes, there are numerous combinations of partner incomes, wage rates for secondary earners and hours of work that result in families being subjected to FTB </w:t>
      </w:r>
      <w:r w:rsidR="00672CCF">
        <w:t xml:space="preserve">Part </w:t>
      </w:r>
      <w:r>
        <w:t xml:space="preserve">A tapers. For example, a single parent earning $25 an hour would be subject to the 20 cents in the dollar taper if they worked full time (figure </w:t>
      </w:r>
      <w:r w:rsidR="00A7553B">
        <w:t>E.</w:t>
      </w:r>
      <w:r>
        <w:t xml:space="preserve">3). Such a person would also face a marginal income tax rate of 32.5 cents in the dollar and would also have to pay the Medicare </w:t>
      </w:r>
      <w:r w:rsidR="006F25BA">
        <w:t>Levy</w:t>
      </w:r>
      <w:r>
        <w:t xml:space="preserve"> (at a marginal rate of 10 cent</w:t>
      </w:r>
      <w:r w:rsidR="00130E63">
        <w:t>s</w:t>
      </w:r>
      <w:r>
        <w:t xml:space="preserve"> in the dollar as they are subject to the low income family reduction for Medicare). For families with two income earners, the first taper can be reached with combinations of low partner income and low hours of work and wage rates for the other parent. </w:t>
      </w:r>
    </w:p>
    <w:p w:rsidR="0009224F" w:rsidRDefault="0009224F" w:rsidP="0061312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9224F" w:rsidTr="0061312B">
        <w:tc>
          <w:tcPr>
            <w:tcW w:w="8771" w:type="dxa"/>
            <w:tcBorders>
              <w:top w:val="single" w:sz="6" w:space="0" w:color="78A22F"/>
              <w:left w:val="nil"/>
              <w:bottom w:val="nil"/>
              <w:right w:val="nil"/>
            </w:tcBorders>
            <w:shd w:val="clear" w:color="auto" w:fill="auto"/>
          </w:tcPr>
          <w:p w:rsidR="0009224F" w:rsidRDefault="0009224F" w:rsidP="0061312B">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3</w:t>
            </w:r>
            <w:r w:rsidRPr="00784A05">
              <w:rPr>
                <w:b w:val="0"/>
              </w:rPr>
              <w:fldChar w:fldCharType="end"/>
            </w:r>
            <w:r>
              <w:tab/>
              <w:t xml:space="preserve">Hourly income required to reach FTB </w:t>
            </w:r>
            <w:r w:rsidR="00672CCF">
              <w:t xml:space="preserve">Part </w:t>
            </w:r>
            <w:r>
              <w:t>A first taper</w:t>
            </w:r>
          </w:p>
          <w:p w:rsidR="0009224F" w:rsidRPr="00176D3F" w:rsidRDefault="0009224F" w:rsidP="0061312B">
            <w:pPr>
              <w:pStyle w:val="Subtitle"/>
            </w:pPr>
            <w:r>
              <w:t xml:space="preserve">By partner’s </w:t>
            </w:r>
            <w:r w:rsidR="004D2654">
              <w:t xml:space="preserve">annual </w:t>
            </w:r>
            <w:r>
              <w:t>income levels</w:t>
            </w:r>
          </w:p>
        </w:tc>
      </w:tr>
      <w:tr w:rsidR="0009224F" w:rsidTr="0061312B">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09224F" w:rsidTr="0061312B">
              <w:tc>
                <w:tcPr>
                  <w:tcW w:w="5000" w:type="pct"/>
                  <w:tcBorders>
                    <w:top w:val="nil"/>
                    <w:bottom w:val="nil"/>
                  </w:tcBorders>
                </w:tcPr>
                <w:p w:rsidR="0009224F" w:rsidRDefault="0009224F" w:rsidP="0061312B">
                  <w:pPr>
                    <w:pStyle w:val="Figure"/>
                    <w:spacing w:before="60" w:after="60"/>
                  </w:pPr>
                  <w:r>
                    <w:rPr>
                      <w:noProof/>
                    </w:rPr>
                    <w:drawing>
                      <wp:inline distT="0" distB="0" distL="0" distR="0" wp14:anchorId="0730B50B" wp14:editId="729E1DFE">
                        <wp:extent cx="5381625" cy="2876550"/>
                        <wp:effectExtent l="0" t="0" r="9525" b="0"/>
                        <wp:docPr id="23" name="Picture 23" descr="Indicates the combinations of incomes and wage rates of parents that would result in the family being subjected to the first income test for Family Tax Benefit Part A. This and the next figure highlight that many families receiving CCB will be subjected to simultaneous withdrawal of FTB A and CCB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2876550"/>
                                </a:xfrm>
                                <a:prstGeom prst="rect">
                                  <a:avLst/>
                                </a:prstGeom>
                                <a:noFill/>
                                <a:ln>
                                  <a:noFill/>
                                </a:ln>
                              </pic:spPr>
                            </pic:pic>
                          </a:graphicData>
                        </a:graphic>
                      </wp:inline>
                    </w:drawing>
                  </w:r>
                </w:p>
              </w:tc>
            </w:tr>
          </w:tbl>
          <w:p w:rsidR="0009224F" w:rsidRDefault="0009224F" w:rsidP="0061312B">
            <w:pPr>
              <w:pStyle w:val="Figure"/>
            </w:pPr>
          </w:p>
        </w:tc>
      </w:tr>
      <w:tr w:rsidR="0009224F" w:rsidTr="0061312B">
        <w:tc>
          <w:tcPr>
            <w:tcW w:w="8771" w:type="dxa"/>
            <w:tcBorders>
              <w:top w:val="nil"/>
              <w:left w:val="nil"/>
              <w:bottom w:val="single" w:sz="6" w:space="0" w:color="78A22F"/>
              <w:right w:val="nil"/>
            </w:tcBorders>
            <w:shd w:val="clear" w:color="auto" w:fill="auto"/>
          </w:tcPr>
          <w:p w:rsidR="0009224F" w:rsidRDefault="0009224F" w:rsidP="0061312B">
            <w:pPr>
              <w:pStyle w:val="Figurespace"/>
            </w:pPr>
          </w:p>
        </w:tc>
      </w:tr>
      <w:tr w:rsidR="0009224F" w:rsidRPr="000863A5" w:rsidTr="0061312B">
        <w:tc>
          <w:tcPr>
            <w:tcW w:w="8771" w:type="dxa"/>
            <w:tcBorders>
              <w:top w:val="single" w:sz="6" w:space="0" w:color="78A22F"/>
              <w:left w:val="nil"/>
              <w:bottom w:val="nil"/>
              <w:right w:val="nil"/>
            </w:tcBorders>
          </w:tcPr>
          <w:p w:rsidR="0009224F" w:rsidRPr="00626D32" w:rsidRDefault="0009224F" w:rsidP="0061312B">
            <w:pPr>
              <w:pStyle w:val="BoxSpaceBelow"/>
            </w:pPr>
          </w:p>
        </w:tc>
      </w:tr>
    </w:tbl>
    <w:p w:rsidR="000C6143" w:rsidRDefault="000C6143" w:rsidP="000C6143">
      <w:pPr>
        <w:pStyle w:val="BodyText"/>
        <w:spacing w:before="200"/>
      </w:pPr>
      <w:r>
        <w:t xml:space="preserve">Families can reach the second income test if they have a parent with below average incomes and a second earner with a wage rate of $30 an hour who works three days a week (figure E.4). Families continue to have payments withdrawn for incomes over $100 000 for a single child (table E.3). This threshold increases with the number of children in a family — for example, if a family had one child aged 13 and two children aged 12 or under, they would still be subjected to the second income test until their family income exceeds $136 839. A significant number of couple families using approved ECEC services are likely to be subjected to the second income test for FTB </w:t>
      </w:r>
      <w:r w:rsidR="00672CCF">
        <w:t xml:space="preserve">Part </w:t>
      </w:r>
      <w:r>
        <w:t>A.</w:t>
      </w:r>
    </w:p>
    <w:p w:rsidR="0009224F" w:rsidRDefault="0009224F" w:rsidP="0061312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9224F" w:rsidTr="0061312B">
        <w:tc>
          <w:tcPr>
            <w:tcW w:w="8771" w:type="dxa"/>
            <w:tcBorders>
              <w:top w:val="single" w:sz="6" w:space="0" w:color="78A22F"/>
              <w:left w:val="nil"/>
              <w:bottom w:val="nil"/>
              <w:right w:val="nil"/>
            </w:tcBorders>
            <w:shd w:val="clear" w:color="auto" w:fill="auto"/>
          </w:tcPr>
          <w:p w:rsidR="0009224F" w:rsidRDefault="0009224F" w:rsidP="0061312B">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4</w:t>
            </w:r>
            <w:r w:rsidRPr="00784A05">
              <w:rPr>
                <w:b w:val="0"/>
              </w:rPr>
              <w:fldChar w:fldCharType="end"/>
            </w:r>
            <w:r>
              <w:tab/>
              <w:t xml:space="preserve">Hourly income required to reach FTB </w:t>
            </w:r>
            <w:r w:rsidR="00672CCF">
              <w:t xml:space="preserve">Part </w:t>
            </w:r>
            <w:r>
              <w:t>A second taper</w:t>
            </w:r>
          </w:p>
          <w:p w:rsidR="0009224F" w:rsidRPr="00176D3F" w:rsidRDefault="0009224F" w:rsidP="0061312B">
            <w:pPr>
              <w:pStyle w:val="Subtitle"/>
            </w:pPr>
            <w:r>
              <w:t xml:space="preserve">By partner’s </w:t>
            </w:r>
            <w:r w:rsidR="004D2654">
              <w:t xml:space="preserve">annual </w:t>
            </w:r>
            <w:r>
              <w:t>income levels</w:t>
            </w:r>
          </w:p>
        </w:tc>
      </w:tr>
      <w:tr w:rsidR="0009224F" w:rsidTr="0061312B">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09224F" w:rsidTr="0061312B">
              <w:tc>
                <w:tcPr>
                  <w:tcW w:w="5000" w:type="pct"/>
                  <w:tcBorders>
                    <w:top w:val="nil"/>
                    <w:bottom w:val="nil"/>
                  </w:tcBorders>
                </w:tcPr>
                <w:p w:rsidR="0009224F" w:rsidRDefault="0009224F" w:rsidP="0061312B">
                  <w:pPr>
                    <w:pStyle w:val="Figure"/>
                    <w:spacing w:before="60" w:after="60"/>
                  </w:pPr>
                  <w:r>
                    <w:rPr>
                      <w:noProof/>
                    </w:rPr>
                    <w:drawing>
                      <wp:inline distT="0" distB="0" distL="0" distR="0" wp14:anchorId="36F17F8D" wp14:editId="69B71BD0">
                        <wp:extent cx="5391150" cy="2867025"/>
                        <wp:effectExtent l="0" t="0" r="0" b="9525"/>
                        <wp:docPr id="41" name="Picture 41" descr="Indicates the combinations of incomes and wage rates of parents that would result in the family being subjected to the second income test for Family Tax Benefit Part A. This and the proceeding figure highlight that many families receiving CCB will be subjected to simultaneous withdrawal of FTB A and CCB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09224F" w:rsidRDefault="0009224F" w:rsidP="0061312B">
            <w:pPr>
              <w:pStyle w:val="Figure"/>
            </w:pPr>
          </w:p>
        </w:tc>
      </w:tr>
      <w:tr w:rsidR="0009224F" w:rsidTr="0061312B">
        <w:tc>
          <w:tcPr>
            <w:tcW w:w="8771" w:type="dxa"/>
            <w:tcBorders>
              <w:top w:val="nil"/>
              <w:left w:val="nil"/>
              <w:bottom w:val="single" w:sz="6" w:space="0" w:color="78A22F"/>
              <w:right w:val="nil"/>
            </w:tcBorders>
            <w:shd w:val="clear" w:color="auto" w:fill="auto"/>
          </w:tcPr>
          <w:p w:rsidR="0009224F" w:rsidRDefault="0009224F" w:rsidP="0061312B">
            <w:pPr>
              <w:pStyle w:val="Figurespace"/>
            </w:pPr>
          </w:p>
        </w:tc>
      </w:tr>
      <w:tr w:rsidR="0009224F" w:rsidRPr="000863A5" w:rsidTr="0061312B">
        <w:tc>
          <w:tcPr>
            <w:tcW w:w="8771" w:type="dxa"/>
            <w:tcBorders>
              <w:top w:val="single" w:sz="6" w:space="0" w:color="78A22F"/>
              <w:left w:val="nil"/>
              <w:bottom w:val="nil"/>
              <w:right w:val="nil"/>
            </w:tcBorders>
          </w:tcPr>
          <w:p w:rsidR="0009224F" w:rsidRPr="00626D32" w:rsidRDefault="0009224F" w:rsidP="0061312B">
            <w:pPr>
              <w:pStyle w:val="BoxSpaceBelow"/>
            </w:pPr>
          </w:p>
        </w:tc>
      </w:tr>
    </w:tbl>
    <w:p w:rsidR="0061312B" w:rsidRDefault="0061312B" w:rsidP="006131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1312B" w:rsidTr="0061312B">
        <w:tc>
          <w:tcPr>
            <w:tcW w:w="8771" w:type="dxa"/>
            <w:tcBorders>
              <w:top w:val="single" w:sz="6" w:space="0" w:color="78A22F" w:themeColor="accent1"/>
              <w:left w:val="nil"/>
              <w:bottom w:val="nil"/>
              <w:right w:val="nil"/>
            </w:tcBorders>
            <w:shd w:val="clear" w:color="auto" w:fill="auto"/>
          </w:tcPr>
          <w:p w:rsidR="0061312B" w:rsidRPr="00784A05" w:rsidRDefault="0061312B" w:rsidP="004D2654">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3</w:t>
            </w:r>
            <w:r>
              <w:rPr>
                <w:b w:val="0"/>
              </w:rPr>
              <w:fldChar w:fldCharType="end"/>
            </w:r>
            <w:r>
              <w:tab/>
              <w:t>Income at which Family Tax Benefit (</w:t>
            </w:r>
            <w:r w:rsidR="004D2654">
              <w:t xml:space="preserve">Part </w:t>
            </w:r>
            <w:r>
              <w:t>A) is not paid</w:t>
            </w:r>
          </w:p>
        </w:tc>
      </w:tr>
      <w:tr w:rsidR="0061312B" w:rsidTr="0061312B">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4A0" w:firstRow="1" w:lastRow="0" w:firstColumn="1" w:lastColumn="0" w:noHBand="0" w:noVBand="1"/>
            </w:tblPr>
            <w:tblGrid>
              <w:gridCol w:w="1417"/>
              <w:gridCol w:w="1183"/>
              <w:gridCol w:w="1648"/>
              <w:gridCol w:w="1414"/>
              <w:gridCol w:w="1414"/>
              <w:gridCol w:w="1411"/>
            </w:tblGrid>
            <w:tr w:rsidR="0061312B" w:rsidTr="0061312B">
              <w:tc>
                <w:tcPr>
                  <w:tcW w:w="835" w:type="pct"/>
                  <w:tcBorders>
                    <w:top w:val="single" w:sz="6" w:space="0" w:color="BFBFBF"/>
                    <w:bottom w:val="single" w:sz="6" w:space="0" w:color="BFBFBF"/>
                  </w:tcBorders>
                </w:tcPr>
                <w:p w:rsidR="0061312B" w:rsidRDefault="0061312B" w:rsidP="0061312B">
                  <w:pPr>
                    <w:pStyle w:val="TableColumnHeading"/>
                    <w:jc w:val="left"/>
                  </w:pPr>
                </w:p>
              </w:tc>
              <w:tc>
                <w:tcPr>
                  <w:tcW w:w="697" w:type="pct"/>
                  <w:tcBorders>
                    <w:top w:val="single" w:sz="6" w:space="0" w:color="BFBFBF"/>
                    <w:bottom w:val="single" w:sz="6" w:space="0" w:color="BFBFBF"/>
                  </w:tcBorders>
                  <w:shd w:val="clear" w:color="auto" w:fill="auto"/>
                </w:tcPr>
                <w:p w:rsidR="0061312B" w:rsidRDefault="0061312B" w:rsidP="0061312B">
                  <w:pPr>
                    <w:pStyle w:val="TableColumnHeading"/>
                    <w:jc w:val="left"/>
                  </w:pPr>
                </w:p>
              </w:tc>
              <w:tc>
                <w:tcPr>
                  <w:tcW w:w="3467" w:type="pct"/>
                  <w:gridSpan w:val="4"/>
                  <w:tcBorders>
                    <w:top w:val="single" w:sz="6" w:space="0" w:color="BFBFBF"/>
                    <w:bottom w:val="single" w:sz="6" w:space="0" w:color="BFBFBF"/>
                  </w:tcBorders>
                </w:tcPr>
                <w:p w:rsidR="0061312B" w:rsidRDefault="0061312B" w:rsidP="0061312B">
                  <w:pPr>
                    <w:pStyle w:val="TableColumnHeading"/>
                    <w:ind w:right="28"/>
                  </w:pPr>
                  <w:r>
                    <w:t>Number of children 13–15 years or secondary students 16–19 years</w:t>
                  </w:r>
                </w:p>
              </w:tc>
            </w:tr>
            <w:tr w:rsidR="0061312B" w:rsidTr="0061312B">
              <w:tc>
                <w:tcPr>
                  <w:tcW w:w="835" w:type="pct"/>
                  <w:tcBorders>
                    <w:top w:val="single" w:sz="6" w:space="0" w:color="BFBFBF"/>
                  </w:tcBorders>
                </w:tcPr>
                <w:p w:rsidR="0061312B" w:rsidRDefault="0061312B" w:rsidP="0061312B">
                  <w:pPr>
                    <w:pStyle w:val="TableUnitsRow"/>
                  </w:pPr>
                </w:p>
              </w:tc>
              <w:tc>
                <w:tcPr>
                  <w:tcW w:w="697" w:type="pct"/>
                  <w:tcBorders>
                    <w:top w:val="single" w:sz="6" w:space="0" w:color="BFBFBF"/>
                  </w:tcBorders>
                  <w:shd w:val="clear" w:color="auto" w:fill="auto"/>
                </w:tcPr>
                <w:p w:rsidR="0061312B" w:rsidRDefault="0061312B" w:rsidP="0061312B">
                  <w:pPr>
                    <w:pStyle w:val="TableUnitsRow"/>
                  </w:pPr>
                </w:p>
              </w:tc>
              <w:tc>
                <w:tcPr>
                  <w:tcW w:w="971" w:type="pct"/>
                  <w:tcBorders>
                    <w:top w:val="single" w:sz="6" w:space="0" w:color="BFBFBF"/>
                  </w:tcBorders>
                </w:tcPr>
                <w:p w:rsidR="0061312B" w:rsidRDefault="0061312B" w:rsidP="0061312B">
                  <w:pPr>
                    <w:pStyle w:val="TableUnitsRow"/>
                  </w:pPr>
                  <w:r>
                    <w:t>Nil</w:t>
                  </w:r>
                </w:p>
              </w:tc>
              <w:tc>
                <w:tcPr>
                  <w:tcW w:w="833" w:type="pct"/>
                  <w:tcBorders>
                    <w:top w:val="single" w:sz="6" w:space="0" w:color="BFBFBF"/>
                  </w:tcBorders>
                </w:tcPr>
                <w:p w:rsidR="0061312B" w:rsidRDefault="0061312B" w:rsidP="0061312B">
                  <w:pPr>
                    <w:pStyle w:val="TableUnitsRow"/>
                  </w:pPr>
                  <w:r>
                    <w:t>One</w:t>
                  </w:r>
                </w:p>
              </w:tc>
              <w:tc>
                <w:tcPr>
                  <w:tcW w:w="833" w:type="pct"/>
                  <w:tcBorders>
                    <w:top w:val="single" w:sz="6" w:space="0" w:color="BFBFBF"/>
                  </w:tcBorders>
                  <w:shd w:val="clear" w:color="auto" w:fill="auto"/>
                </w:tcPr>
                <w:p w:rsidR="0061312B" w:rsidRDefault="0061312B" w:rsidP="0061312B">
                  <w:pPr>
                    <w:pStyle w:val="TableUnitsRow"/>
                  </w:pPr>
                  <w:r>
                    <w:t>Two</w:t>
                  </w:r>
                </w:p>
              </w:tc>
              <w:tc>
                <w:tcPr>
                  <w:tcW w:w="831" w:type="pct"/>
                  <w:tcBorders>
                    <w:top w:val="single" w:sz="6" w:space="0" w:color="BFBFBF"/>
                  </w:tcBorders>
                  <w:shd w:val="clear" w:color="auto" w:fill="auto"/>
                </w:tcPr>
                <w:p w:rsidR="0061312B" w:rsidRDefault="0061312B" w:rsidP="0061312B">
                  <w:pPr>
                    <w:pStyle w:val="TableUnitsRow"/>
                  </w:pPr>
                  <w:r>
                    <w:t>Three</w:t>
                  </w:r>
                </w:p>
              </w:tc>
            </w:tr>
            <w:tr w:rsidR="0061312B" w:rsidTr="0061312B">
              <w:tc>
                <w:tcPr>
                  <w:tcW w:w="835" w:type="pct"/>
                  <w:vMerge w:val="restart"/>
                </w:tcPr>
                <w:p w:rsidR="0061312B" w:rsidRDefault="0061312B" w:rsidP="0061312B">
                  <w:pPr>
                    <w:pStyle w:val="TableBodyText"/>
                    <w:jc w:val="left"/>
                  </w:pPr>
                  <w:r>
                    <w:t>Number of children aged 0–12 years</w:t>
                  </w:r>
                </w:p>
              </w:tc>
              <w:tc>
                <w:tcPr>
                  <w:tcW w:w="697" w:type="pct"/>
                </w:tcPr>
                <w:p w:rsidR="0061312B" w:rsidRDefault="0061312B" w:rsidP="0061312B">
                  <w:pPr>
                    <w:pStyle w:val="TableBodyText"/>
                    <w:jc w:val="left"/>
                  </w:pPr>
                  <w:r>
                    <w:t>Nil</w:t>
                  </w:r>
                </w:p>
              </w:tc>
              <w:tc>
                <w:tcPr>
                  <w:tcW w:w="971" w:type="pct"/>
                </w:tcPr>
                <w:p w:rsidR="0061312B" w:rsidRDefault="0061312B" w:rsidP="0061312B">
                  <w:pPr>
                    <w:pStyle w:val="TableBodyText"/>
                  </w:pPr>
                </w:p>
              </w:tc>
              <w:tc>
                <w:tcPr>
                  <w:tcW w:w="833" w:type="pct"/>
                </w:tcPr>
                <w:p w:rsidR="0061312B" w:rsidRDefault="0061312B" w:rsidP="0061312B">
                  <w:pPr>
                    <w:pStyle w:val="TableBodyText"/>
                  </w:pPr>
                  <w:r>
                    <w:t>$101 653</w:t>
                  </w:r>
                </w:p>
              </w:tc>
              <w:tc>
                <w:tcPr>
                  <w:tcW w:w="833" w:type="pct"/>
                </w:tcPr>
                <w:p w:rsidR="0061312B" w:rsidRDefault="0061312B" w:rsidP="0061312B">
                  <w:pPr>
                    <w:pStyle w:val="TableBodyText"/>
                  </w:pPr>
                  <w:r>
                    <w:t>$115 632</w:t>
                  </w:r>
                </w:p>
              </w:tc>
              <w:tc>
                <w:tcPr>
                  <w:tcW w:w="831" w:type="pct"/>
                </w:tcPr>
                <w:p w:rsidR="0061312B" w:rsidRDefault="0061312B" w:rsidP="0061312B">
                  <w:pPr>
                    <w:pStyle w:val="TableBodyText"/>
                    <w:ind w:right="28"/>
                  </w:pPr>
                  <w:r>
                    <w:t>$150 599</w:t>
                  </w:r>
                </w:p>
              </w:tc>
            </w:tr>
            <w:tr w:rsidR="0061312B" w:rsidTr="0061312B">
              <w:tc>
                <w:tcPr>
                  <w:tcW w:w="835" w:type="pct"/>
                  <w:vMerge/>
                </w:tcPr>
                <w:p w:rsidR="0061312B" w:rsidRDefault="0061312B" w:rsidP="0061312B">
                  <w:pPr>
                    <w:pStyle w:val="TableBodyText"/>
                    <w:jc w:val="left"/>
                  </w:pPr>
                </w:p>
              </w:tc>
              <w:tc>
                <w:tcPr>
                  <w:tcW w:w="697" w:type="pct"/>
                  <w:shd w:val="clear" w:color="auto" w:fill="auto"/>
                </w:tcPr>
                <w:p w:rsidR="0061312B" w:rsidRDefault="0061312B" w:rsidP="0061312B">
                  <w:pPr>
                    <w:pStyle w:val="TableBodyText"/>
                    <w:jc w:val="left"/>
                  </w:pPr>
                  <w:r>
                    <w:t>One</w:t>
                  </w:r>
                </w:p>
              </w:tc>
              <w:tc>
                <w:tcPr>
                  <w:tcW w:w="971" w:type="pct"/>
                </w:tcPr>
                <w:p w:rsidR="0061312B" w:rsidRDefault="0061312B" w:rsidP="0061312B">
                  <w:pPr>
                    <w:pStyle w:val="TableBodyText"/>
                  </w:pPr>
                  <w:r>
                    <w:t>$101 653</w:t>
                  </w:r>
                </w:p>
              </w:tc>
              <w:tc>
                <w:tcPr>
                  <w:tcW w:w="833" w:type="pct"/>
                </w:tcPr>
                <w:p w:rsidR="0061312B" w:rsidRDefault="0061312B" w:rsidP="0061312B">
                  <w:pPr>
                    <w:pStyle w:val="TableBodyText"/>
                  </w:pPr>
                  <w:r>
                    <w:t>$112 785</w:t>
                  </w:r>
                </w:p>
              </w:tc>
              <w:tc>
                <w:tcPr>
                  <w:tcW w:w="833" w:type="pct"/>
                  <w:shd w:val="clear" w:color="auto" w:fill="auto"/>
                </w:tcPr>
                <w:p w:rsidR="0061312B" w:rsidRDefault="0061312B" w:rsidP="0061312B">
                  <w:pPr>
                    <w:pStyle w:val="TableBodyText"/>
                  </w:pPr>
                  <w:r>
                    <w:t>$143 719</w:t>
                  </w:r>
                </w:p>
              </w:tc>
              <w:tc>
                <w:tcPr>
                  <w:tcW w:w="831" w:type="pct"/>
                  <w:shd w:val="clear" w:color="auto" w:fill="auto"/>
                </w:tcPr>
                <w:p w:rsidR="0061312B" w:rsidRDefault="0061312B" w:rsidP="0061312B">
                  <w:pPr>
                    <w:pStyle w:val="TableBodyText"/>
                    <w:ind w:right="28"/>
                  </w:pPr>
                  <w:r>
                    <w:t>$178 686</w:t>
                  </w:r>
                </w:p>
              </w:tc>
            </w:tr>
            <w:tr w:rsidR="0061312B" w:rsidTr="0061312B">
              <w:tc>
                <w:tcPr>
                  <w:tcW w:w="835" w:type="pct"/>
                  <w:vMerge/>
                </w:tcPr>
                <w:p w:rsidR="0061312B" w:rsidRDefault="0061312B" w:rsidP="0061312B">
                  <w:pPr>
                    <w:pStyle w:val="TableBodyText"/>
                    <w:jc w:val="left"/>
                  </w:pPr>
                </w:p>
              </w:tc>
              <w:tc>
                <w:tcPr>
                  <w:tcW w:w="697" w:type="pct"/>
                  <w:shd w:val="clear" w:color="auto" w:fill="auto"/>
                </w:tcPr>
                <w:p w:rsidR="0061312B" w:rsidRDefault="0061312B" w:rsidP="0061312B">
                  <w:pPr>
                    <w:pStyle w:val="TableBodyText"/>
                    <w:jc w:val="left"/>
                  </w:pPr>
                  <w:r>
                    <w:t>Two</w:t>
                  </w:r>
                </w:p>
              </w:tc>
              <w:tc>
                <w:tcPr>
                  <w:tcW w:w="971" w:type="pct"/>
                </w:tcPr>
                <w:p w:rsidR="0061312B" w:rsidRDefault="0061312B" w:rsidP="0061312B">
                  <w:pPr>
                    <w:pStyle w:val="TableBodyText"/>
                  </w:pPr>
                  <w:r>
                    <w:t>$112 785</w:t>
                  </w:r>
                </w:p>
              </w:tc>
              <w:tc>
                <w:tcPr>
                  <w:tcW w:w="833" w:type="pct"/>
                </w:tcPr>
                <w:p w:rsidR="0061312B" w:rsidRDefault="0061312B" w:rsidP="0061312B">
                  <w:pPr>
                    <w:pStyle w:val="TableBodyText"/>
                  </w:pPr>
                  <w:r>
                    <w:t>$136 839</w:t>
                  </w:r>
                </w:p>
              </w:tc>
              <w:tc>
                <w:tcPr>
                  <w:tcW w:w="833" w:type="pct"/>
                  <w:shd w:val="clear" w:color="auto" w:fill="auto"/>
                </w:tcPr>
                <w:p w:rsidR="0061312B" w:rsidRDefault="0061312B" w:rsidP="0061312B">
                  <w:pPr>
                    <w:pStyle w:val="TableBodyText"/>
                  </w:pPr>
                  <w:r>
                    <w:t>$171 806</w:t>
                  </w:r>
                </w:p>
              </w:tc>
              <w:tc>
                <w:tcPr>
                  <w:tcW w:w="831" w:type="pct"/>
                  <w:shd w:val="clear" w:color="auto" w:fill="auto"/>
                </w:tcPr>
                <w:p w:rsidR="0061312B" w:rsidRDefault="0061312B" w:rsidP="0061312B">
                  <w:pPr>
                    <w:pStyle w:val="TableBodyText"/>
                    <w:ind w:right="28"/>
                  </w:pPr>
                  <w:r>
                    <w:t>$206 773</w:t>
                  </w:r>
                </w:p>
              </w:tc>
            </w:tr>
            <w:tr w:rsidR="0061312B" w:rsidTr="0061312B">
              <w:tc>
                <w:tcPr>
                  <w:tcW w:w="835" w:type="pct"/>
                  <w:vMerge/>
                  <w:tcBorders>
                    <w:bottom w:val="single" w:sz="6" w:space="0" w:color="BFBFBF"/>
                  </w:tcBorders>
                </w:tcPr>
                <w:p w:rsidR="0061312B" w:rsidRDefault="0061312B" w:rsidP="0061312B">
                  <w:pPr>
                    <w:pStyle w:val="TableBodyText"/>
                    <w:jc w:val="left"/>
                  </w:pPr>
                </w:p>
              </w:tc>
              <w:tc>
                <w:tcPr>
                  <w:tcW w:w="697" w:type="pct"/>
                  <w:tcBorders>
                    <w:bottom w:val="single" w:sz="6" w:space="0" w:color="BFBFBF"/>
                  </w:tcBorders>
                  <w:shd w:val="clear" w:color="auto" w:fill="auto"/>
                </w:tcPr>
                <w:p w:rsidR="0061312B" w:rsidRDefault="0061312B" w:rsidP="0061312B">
                  <w:pPr>
                    <w:pStyle w:val="TableBodyText"/>
                    <w:jc w:val="left"/>
                  </w:pPr>
                  <w:r>
                    <w:t>Three</w:t>
                  </w:r>
                </w:p>
              </w:tc>
              <w:tc>
                <w:tcPr>
                  <w:tcW w:w="971" w:type="pct"/>
                  <w:tcBorders>
                    <w:bottom w:val="single" w:sz="6" w:space="0" w:color="BFBFBF"/>
                  </w:tcBorders>
                </w:tcPr>
                <w:p w:rsidR="0061312B" w:rsidRDefault="0061312B" w:rsidP="0061312B">
                  <w:pPr>
                    <w:pStyle w:val="TableBodyText"/>
                  </w:pPr>
                  <w:r>
                    <w:t>$129 959</w:t>
                  </w:r>
                </w:p>
              </w:tc>
              <w:tc>
                <w:tcPr>
                  <w:tcW w:w="833" w:type="pct"/>
                  <w:tcBorders>
                    <w:bottom w:val="single" w:sz="6" w:space="0" w:color="BFBFBF"/>
                  </w:tcBorders>
                </w:tcPr>
                <w:p w:rsidR="0061312B" w:rsidRDefault="0061312B" w:rsidP="0061312B">
                  <w:pPr>
                    <w:pStyle w:val="TableBodyText"/>
                  </w:pPr>
                  <w:r>
                    <w:t>$164 926</w:t>
                  </w:r>
                </w:p>
              </w:tc>
              <w:tc>
                <w:tcPr>
                  <w:tcW w:w="833" w:type="pct"/>
                  <w:tcBorders>
                    <w:bottom w:val="single" w:sz="6" w:space="0" w:color="BFBFBF"/>
                  </w:tcBorders>
                  <w:shd w:val="clear" w:color="auto" w:fill="auto"/>
                </w:tcPr>
                <w:p w:rsidR="0061312B" w:rsidRDefault="0061312B" w:rsidP="0061312B">
                  <w:pPr>
                    <w:pStyle w:val="TableBodyText"/>
                  </w:pPr>
                  <w:r>
                    <w:t>$199 893</w:t>
                  </w:r>
                </w:p>
              </w:tc>
              <w:tc>
                <w:tcPr>
                  <w:tcW w:w="831" w:type="pct"/>
                  <w:tcBorders>
                    <w:bottom w:val="single" w:sz="6" w:space="0" w:color="BFBFBF"/>
                  </w:tcBorders>
                  <w:shd w:val="clear" w:color="auto" w:fill="auto"/>
                </w:tcPr>
                <w:p w:rsidR="0061312B" w:rsidRDefault="0061312B" w:rsidP="0061312B">
                  <w:pPr>
                    <w:pStyle w:val="TableBodyText"/>
                    <w:ind w:right="28"/>
                  </w:pPr>
                  <w:r>
                    <w:t>$234 860</w:t>
                  </w:r>
                </w:p>
              </w:tc>
            </w:tr>
          </w:tbl>
          <w:p w:rsidR="0061312B" w:rsidRDefault="0061312B" w:rsidP="0061312B">
            <w:pPr>
              <w:pStyle w:val="Box"/>
            </w:pPr>
          </w:p>
        </w:tc>
      </w:tr>
      <w:tr w:rsidR="0061312B" w:rsidTr="0061312B">
        <w:trPr>
          <w:cantSplit/>
        </w:trPr>
        <w:tc>
          <w:tcPr>
            <w:tcW w:w="8771" w:type="dxa"/>
            <w:tcBorders>
              <w:top w:val="nil"/>
              <w:left w:val="nil"/>
              <w:bottom w:val="nil"/>
              <w:right w:val="nil"/>
            </w:tcBorders>
            <w:shd w:val="clear" w:color="auto" w:fill="auto"/>
          </w:tcPr>
          <w:p w:rsidR="0061312B" w:rsidRDefault="0061312B" w:rsidP="0061312B">
            <w:pPr>
              <w:pStyle w:val="Source"/>
            </w:pPr>
            <w:r>
              <w:rPr>
                <w:i/>
              </w:rPr>
              <w:t>Source</w:t>
            </w:r>
            <w:r>
              <w:t xml:space="preserve">: Department of Human Services </w:t>
            </w:r>
            <w:r>
              <w:rPr>
                <w:i/>
              </w:rPr>
              <w:t>Guide to Australian Government Payments</w:t>
            </w:r>
            <w:r>
              <w:t>, 20 September to 31 December 2013.</w:t>
            </w:r>
          </w:p>
        </w:tc>
      </w:tr>
      <w:tr w:rsidR="0061312B" w:rsidTr="0061312B">
        <w:trPr>
          <w:cantSplit/>
        </w:trPr>
        <w:tc>
          <w:tcPr>
            <w:tcW w:w="8771" w:type="dxa"/>
            <w:tcBorders>
              <w:top w:val="nil"/>
              <w:left w:val="nil"/>
              <w:bottom w:val="single" w:sz="6" w:space="0" w:color="78A22F" w:themeColor="accent1"/>
              <w:right w:val="nil"/>
            </w:tcBorders>
            <w:shd w:val="clear" w:color="auto" w:fill="auto"/>
          </w:tcPr>
          <w:p w:rsidR="0061312B" w:rsidRDefault="0061312B" w:rsidP="0061312B">
            <w:pPr>
              <w:pStyle w:val="Box"/>
              <w:spacing w:before="0" w:line="120" w:lineRule="exact"/>
            </w:pPr>
          </w:p>
        </w:tc>
      </w:tr>
      <w:tr w:rsidR="0061312B" w:rsidRPr="000863A5" w:rsidTr="0061312B">
        <w:tc>
          <w:tcPr>
            <w:tcW w:w="8771" w:type="dxa"/>
            <w:tcBorders>
              <w:top w:val="single" w:sz="6" w:space="0" w:color="78A22F" w:themeColor="accent1"/>
              <w:left w:val="nil"/>
              <w:bottom w:val="nil"/>
              <w:right w:val="nil"/>
            </w:tcBorders>
          </w:tcPr>
          <w:p w:rsidR="0061312B" w:rsidRPr="00626D32" w:rsidRDefault="0061312B" w:rsidP="0061312B">
            <w:pPr>
              <w:pStyle w:val="BoxSpaceBelow"/>
            </w:pPr>
          </w:p>
        </w:tc>
      </w:tr>
    </w:tbl>
    <w:p w:rsidR="00D26D17" w:rsidRDefault="00D26D17" w:rsidP="00D26D17">
      <w:pPr>
        <w:pStyle w:val="Heading3"/>
      </w:pPr>
      <w:r>
        <w:t xml:space="preserve">Family Tax Benefit </w:t>
      </w:r>
      <w:r w:rsidR="004D2654">
        <w:t xml:space="preserve">Part </w:t>
      </w:r>
      <w:r>
        <w:t>B</w:t>
      </w:r>
    </w:p>
    <w:p w:rsidR="00D26D17" w:rsidRDefault="00D26D17" w:rsidP="00D26D17">
      <w:pPr>
        <w:pStyle w:val="BodyText"/>
      </w:pPr>
      <w:r>
        <w:t xml:space="preserve">FTB </w:t>
      </w:r>
      <w:r w:rsidR="00672CCF">
        <w:t xml:space="preserve">Part </w:t>
      </w:r>
      <w:r>
        <w:t>B is paid to families with at least one eligible child. The payment rates depend on the age of the youngest eligible child and two income tests. Payments are not higher for multiple children.</w:t>
      </w:r>
    </w:p>
    <w:p w:rsidR="00D26D17" w:rsidRDefault="00D26D17" w:rsidP="00D26D17">
      <w:pPr>
        <w:pStyle w:val="BodyText"/>
      </w:pPr>
      <w:r>
        <w:t>Payment is subject to separate income tests for the higher and lower earning parents.</w:t>
      </w:r>
    </w:p>
    <w:p w:rsidR="00D26D17" w:rsidRDefault="00D26D17" w:rsidP="00D26D17">
      <w:pPr>
        <w:pStyle w:val="BodyText"/>
      </w:pPr>
      <w:r>
        <w:t xml:space="preserve">To be eligible for FTB </w:t>
      </w:r>
      <w:r w:rsidR="00672CCF">
        <w:t xml:space="preserve">Part </w:t>
      </w:r>
      <w:r>
        <w:t xml:space="preserve">B, the higher income earner needs to earn less than $150 000. If there is only one parent, they are eligible for the maximum FTB </w:t>
      </w:r>
      <w:r w:rsidR="00672CCF">
        <w:t xml:space="preserve">Part </w:t>
      </w:r>
      <w:r>
        <w:t>B so long as their income is below $150 000.</w:t>
      </w:r>
    </w:p>
    <w:p w:rsidR="00D26D17" w:rsidRDefault="00D26D17" w:rsidP="00D26D17">
      <w:pPr>
        <w:pStyle w:val="BodyText"/>
      </w:pPr>
      <w:r>
        <w:lastRenderedPageBreak/>
        <w:t xml:space="preserve">A family is entitled to the maximum amount of FTB </w:t>
      </w:r>
      <w:r w:rsidR="00672CCF">
        <w:t xml:space="preserve">Part </w:t>
      </w:r>
      <w:r>
        <w:t>B so long as the lower income earner earns no more than $5183. The payment then reduces by 20 cents in the dollar for each dollar of income the lower earns over this amount.</w:t>
      </w:r>
    </w:p>
    <w:p w:rsidR="00D26D17" w:rsidRDefault="00D26D17" w:rsidP="00D26D17">
      <w:pPr>
        <w:pStyle w:val="BodyText"/>
      </w:pPr>
      <w:r>
        <w:t xml:space="preserve">The maximum amount of FTB </w:t>
      </w:r>
      <w:r w:rsidR="00672CCF">
        <w:t xml:space="preserve">Part </w:t>
      </w:r>
      <w:r>
        <w:t>B depends on the age of the youngest eligible child (</w:t>
      </w:r>
      <w:r w:rsidR="00D47747">
        <w:t>table </w:t>
      </w:r>
      <w:r w:rsidR="00A7553B">
        <w:t>E.</w:t>
      </w:r>
      <w:r>
        <w:t>4).</w:t>
      </w:r>
    </w:p>
    <w:p w:rsidR="0061312B" w:rsidRDefault="0061312B" w:rsidP="006131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1312B" w:rsidTr="0061312B">
        <w:tc>
          <w:tcPr>
            <w:tcW w:w="8771" w:type="dxa"/>
            <w:tcBorders>
              <w:top w:val="single" w:sz="6" w:space="0" w:color="78A22F" w:themeColor="accent1"/>
              <w:left w:val="nil"/>
              <w:bottom w:val="nil"/>
              <w:right w:val="nil"/>
            </w:tcBorders>
            <w:shd w:val="clear" w:color="auto" w:fill="auto"/>
          </w:tcPr>
          <w:p w:rsidR="0061312B" w:rsidRPr="00784A05" w:rsidRDefault="0061312B" w:rsidP="004D2654">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4</w:t>
            </w:r>
            <w:r>
              <w:rPr>
                <w:b w:val="0"/>
              </w:rPr>
              <w:fldChar w:fldCharType="end"/>
            </w:r>
            <w:r>
              <w:tab/>
              <w:t xml:space="preserve">Maximum rate of Family Tax Benefit </w:t>
            </w:r>
            <w:r w:rsidR="004D2654">
              <w:t xml:space="preserve">Part </w:t>
            </w:r>
            <w:r>
              <w:t>B</w:t>
            </w:r>
          </w:p>
        </w:tc>
      </w:tr>
      <w:tr w:rsidR="0061312B" w:rsidTr="0061312B">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4A0" w:firstRow="1" w:lastRow="0" w:firstColumn="1" w:lastColumn="0" w:noHBand="0" w:noVBand="1"/>
            </w:tblPr>
            <w:tblGrid>
              <w:gridCol w:w="2829"/>
              <w:gridCol w:w="2830"/>
              <w:gridCol w:w="2828"/>
            </w:tblGrid>
            <w:tr w:rsidR="0061312B" w:rsidTr="0061312B">
              <w:tc>
                <w:tcPr>
                  <w:tcW w:w="1667" w:type="pct"/>
                  <w:tcBorders>
                    <w:top w:val="single" w:sz="6" w:space="0" w:color="BFBFBF"/>
                    <w:bottom w:val="single" w:sz="6" w:space="0" w:color="BFBFBF"/>
                  </w:tcBorders>
                  <w:shd w:val="clear" w:color="auto" w:fill="auto"/>
                </w:tcPr>
                <w:p w:rsidR="0061312B" w:rsidRDefault="0061312B" w:rsidP="0061312B">
                  <w:pPr>
                    <w:pStyle w:val="TableColumnHeading"/>
                    <w:jc w:val="left"/>
                  </w:pPr>
                  <w:r>
                    <w:t>Age of youngest child</w:t>
                  </w:r>
                </w:p>
              </w:tc>
              <w:tc>
                <w:tcPr>
                  <w:tcW w:w="1667" w:type="pct"/>
                  <w:tcBorders>
                    <w:top w:val="single" w:sz="6" w:space="0" w:color="BFBFBF"/>
                    <w:bottom w:val="single" w:sz="6" w:space="0" w:color="BFBFBF"/>
                  </w:tcBorders>
                  <w:shd w:val="clear" w:color="auto" w:fill="auto"/>
                </w:tcPr>
                <w:p w:rsidR="0061312B" w:rsidRDefault="0061312B" w:rsidP="0061312B">
                  <w:pPr>
                    <w:pStyle w:val="TableColumnHeading"/>
                  </w:pPr>
                  <w:r>
                    <w:t>per fortnight</w:t>
                  </w:r>
                </w:p>
              </w:tc>
              <w:tc>
                <w:tcPr>
                  <w:tcW w:w="1666" w:type="pct"/>
                  <w:tcBorders>
                    <w:top w:val="single" w:sz="6" w:space="0" w:color="BFBFBF"/>
                    <w:bottom w:val="single" w:sz="6" w:space="0" w:color="BFBFBF"/>
                  </w:tcBorders>
                  <w:shd w:val="clear" w:color="auto" w:fill="auto"/>
                </w:tcPr>
                <w:p w:rsidR="0061312B" w:rsidRDefault="0061312B" w:rsidP="0061312B">
                  <w:pPr>
                    <w:pStyle w:val="TableColumnHeading"/>
                    <w:ind w:right="28"/>
                  </w:pPr>
                  <w:r>
                    <w:t>per year</w:t>
                  </w:r>
                </w:p>
              </w:tc>
            </w:tr>
            <w:tr w:rsidR="0061312B" w:rsidTr="0061312B">
              <w:tc>
                <w:tcPr>
                  <w:tcW w:w="1667" w:type="pct"/>
                  <w:tcBorders>
                    <w:top w:val="single" w:sz="6" w:space="0" w:color="BFBFBF"/>
                  </w:tcBorders>
                </w:tcPr>
                <w:p w:rsidR="0061312B" w:rsidRDefault="0061312B" w:rsidP="0061312B">
                  <w:pPr>
                    <w:pStyle w:val="TableBodyText"/>
                    <w:spacing w:before="40"/>
                    <w:jc w:val="left"/>
                  </w:pPr>
                  <w:r>
                    <w:t>Under 5</w:t>
                  </w:r>
                </w:p>
              </w:tc>
              <w:tc>
                <w:tcPr>
                  <w:tcW w:w="1667" w:type="pct"/>
                  <w:tcBorders>
                    <w:top w:val="single" w:sz="6" w:space="0" w:color="BFBFBF"/>
                  </w:tcBorders>
                </w:tcPr>
                <w:p w:rsidR="0061312B" w:rsidRDefault="0061312B" w:rsidP="0061312B">
                  <w:pPr>
                    <w:pStyle w:val="TableBodyText"/>
                    <w:spacing w:before="40"/>
                  </w:pPr>
                  <w:r>
                    <w:t>$146.44</w:t>
                  </w:r>
                </w:p>
              </w:tc>
              <w:tc>
                <w:tcPr>
                  <w:tcW w:w="1666" w:type="pct"/>
                  <w:tcBorders>
                    <w:top w:val="single" w:sz="6" w:space="0" w:color="BFBFBF"/>
                  </w:tcBorders>
                </w:tcPr>
                <w:p w:rsidR="0061312B" w:rsidRDefault="0061312B" w:rsidP="0061312B">
                  <w:pPr>
                    <w:pStyle w:val="TableBodyText"/>
                    <w:spacing w:before="40"/>
                    <w:ind w:right="28"/>
                  </w:pPr>
                  <w:r>
                    <w:t>$4171.95</w:t>
                  </w:r>
                </w:p>
              </w:tc>
            </w:tr>
            <w:tr w:rsidR="0061312B" w:rsidTr="0061312B">
              <w:tc>
                <w:tcPr>
                  <w:tcW w:w="1667" w:type="pct"/>
                  <w:tcBorders>
                    <w:bottom w:val="single" w:sz="6" w:space="0" w:color="BFBFBF"/>
                  </w:tcBorders>
                  <w:shd w:val="clear" w:color="auto" w:fill="auto"/>
                </w:tcPr>
                <w:p w:rsidR="0061312B" w:rsidRDefault="0061312B" w:rsidP="0061312B">
                  <w:pPr>
                    <w:pStyle w:val="TableBodyText"/>
                    <w:jc w:val="left"/>
                    <w:rPr>
                      <w:vertAlign w:val="superscript"/>
                    </w:rPr>
                  </w:pPr>
                  <w:r>
                    <w:t>5–15 years</w:t>
                  </w:r>
                  <w:r w:rsidRPr="003957D4">
                    <w:rPr>
                      <w:rStyle w:val="NoteLabel"/>
                    </w:rPr>
                    <w:t>a</w:t>
                  </w:r>
                </w:p>
              </w:tc>
              <w:tc>
                <w:tcPr>
                  <w:tcW w:w="1667" w:type="pct"/>
                  <w:tcBorders>
                    <w:bottom w:val="single" w:sz="6" w:space="0" w:color="BFBFBF"/>
                  </w:tcBorders>
                  <w:shd w:val="clear" w:color="auto" w:fill="auto"/>
                </w:tcPr>
                <w:p w:rsidR="0061312B" w:rsidRDefault="0061312B" w:rsidP="0061312B">
                  <w:pPr>
                    <w:pStyle w:val="TableBodyText"/>
                  </w:pPr>
                  <w:r>
                    <w:t>$102.20</w:t>
                  </w:r>
                </w:p>
              </w:tc>
              <w:tc>
                <w:tcPr>
                  <w:tcW w:w="1666" w:type="pct"/>
                  <w:tcBorders>
                    <w:bottom w:val="single" w:sz="6" w:space="0" w:color="BFBFBF"/>
                  </w:tcBorders>
                  <w:shd w:val="clear" w:color="auto" w:fill="auto"/>
                </w:tcPr>
                <w:p w:rsidR="0061312B" w:rsidRDefault="0061312B" w:rsidP="0061312B">
                  <w:pPr>
                    <w:pStyle w:val="TableBodyText"/>
                    <w:ind w:right="28"/>
                  </w:pPr>
                  <w:r>
                    <w:t>$3018.55</w:t>
                  </w:r>
                </w:p>
              </w:tc>
            </w:tr>
          </w:tbl>
          <w:p w:rsidR="0061312B" w:rsidRDefault="0061312B" w:rsidP="0061312B">
            <w:pPr>
              <w:pStyle w:val="Box"/>
            </w:pPr>
          </w:p>
        </w:tc>
      </w:tr>
      <w:tr w:rsidR="0061312B" w:rsidTr="0061312B">
        <w:trPr>
          <w:cantSplit/>
        </w:trPr>
        <w:tc>
          <w:tcPr>
            <w:tcW w:w="8771" w:type="dxa"/>
            <w:tcBorders>
              <w:top w:val="nil"/>
              <w:left w:val="nil"/>
              <w:bottom w:val="nil"/>
              <w:right w:val="nil"/>
            </w:tcBorders>
            <w:shd w:val="clear" w:color="auto" w:fill="auto"/>
          </w:tcPr>
          <w:p w:rsidR="0061312B" w:rsidRDefault="0061312B" w:rsidP="0061312B">
            <w:pPr>
              <w:pStyle w:val="Note"/>
              <w:rPr>
                <w:i/>
              </w:rPr>
            </w:pPr>
            <w:r w:rsidRPr="008E77FE">
              <w:rPr>
                <w:rStyle w:val="NoteLabel"/>
              </w:rPr>
              <w:t>a</w:t>
            </w:r>
            <w:r>
              <w:t xml:space="preserve"> Or until the end of the calendar year that the child turns 18 years if they are a full time secondary student.</w:t>
            </w:r>
          </w:p>
        </w:tc>
      </w:tr>
      <w:tr w:rsidR="0061312B" w:rsidTr="0061312B">
        <w:trPr>
          <w:cantSplit/>
        </w:trPr>
        <w:tc>
          <w:tcPr>
            <w:tcW w:w="8771" w:type="dxa"/>
            <w:tcBorders>
              <w:top w:val="nil"/>
              <w:left w:val="nil"/>
              <w:bottom w:val="nil"/>
              <w:right w:val="nil"/>
            </w:tcBorders>
            <w:shd w:val="clear" w:color="auto" w:fill="auto"/>
          </w:tcPr>
          <w:p w:rsidR="0061312B" w:rsidRDefault="0061312B" w:rsidP="0061312B">
            <w:pPr>
              <w:pStyle w:val="Source"/>
            </w:pPr>
            <w:r>
              <w:rPr>
                <w:i/>
              </w:rPr>
              <w:t>Source</w:t>
            </w:r>
            <w:r>
              <w:t xml:space="preserve">: Department of Human Services </w:t>
            </w:r>
            <w:r>
              <w:rPr>
                <w:i/>
              </w:rPr>
              <w:t>Guide to Australian Government Payments</w:t>
            </w:r>
            <w:r>
              <w:t>, 20 September to 31 December 2013.</w:t>
            </w:r>
          </w:p>
        </w:tc>
      </w:tr>
      <w:tr w:rsidR="0061312B" w:rsidTr="0061312B">
        <w:trPr>
          <w:cantSplit/>
        </w:trPr>
        <w:tc>
          <w:tcPr>
            <w:tcW w:w="8771" w:type="dxa"/>
            <w:tcBorders>
              <w:top w:val="nil"/>
              <w:left w:val="nil"/>
              <w:bottom w:val="single" w:sz="6" w:space="0" w:color="78A22F" w:themeColor="accent1"/>
              <w:right w:val="nil"/>
            </w:tcBorders>
            <w:shd w:val="clear" w:color="auto" w:fill="auto"/>
          </w:tcPr>
          <w:p w:rsidR="0061312B" w:rsidRDefault="0061312B" w:rsidP="0061312B">
            <w:pPr>
              <w:pStyle w:val="Box"/>
              <w:spacing w:before="0" w:line="120" w:lineRule="exact"/>
            </w:pPr>
          </w:p>
        </w:tc>
      </w:tr>
      <w:tr w:rsidR="0061312B" w:rsidRPr="000863A5" w:rsidTr="0061312B">
        <w:tc>
          <w:tcPr>
            <w:tcW w:w="8771" w:type="dxa"/>
            <w:tcBorders>
              <w:top w:val="single" w:sz="6" w:space="0" w:color="78A22F" w:themeColor="accent1"/>
              <w:left w:val="nil"/>
              <w:bottom w:val="nil"/>
              <w:right w:val="nil"/>
            </w:tcBorders>
          </w:tcPr>
          <w:p w:rsidR="0061312B" w:rsidRPr="00626D32" w:rsidRDefault="0061312B" w:rsidP="0061312B">
            <w:pPr>
              <w:pStyle w:val="BoxSpaceBelow"/>
            </w:pPr>
          </w:p>
        </w:tc>
      </w:tr>
    </w:tbl>
    <w:p w:rsidR="00D26D17" w:rsidRDefault="00D26D17" w:rsidP="00D26D17">
      <w:pPr>
        <w:pStyle w:val="Heading3"/>
      </w:pPr>
      <w:r>
        <w:t>Child Care Rebate</w:t>
      </w:r>
    </w:p>
    <w:p w:rsidR="00D26D17" w:rsidRDefault="00D26D17" w:rsidP="00D26D17">
      <w:pPr>
        <w:pStyle w:val="BodyText"/>
      </w:pPr>
      <w:r>
        <w:t>Those families which are eligible to receive the Child Care Rebate (CCR) — see appendix </w:t>
      </w:r>
      <w:r w:rsidR="004D2654">
        <w:t xml:space="preserve">B </w:t>
      </w:r>
      <w:r>
        <w:t xml:space="preserve">for eligibility criteria — are entitled to a subsidy equal to half </w:t>
      </w:r>
      <w:r w:rsidR="003B686D">
        <w:t>of their out</w:t>
      </w:r>
      <w:r w:rsidR="003B686D">
        <w:noBreakHyphen/>
        <w:t>of</w:t>
      </w:r>
      <w:r w:rsidR="003B686D">
        <w:noBreakHyphen/>
      </w:r>
      <w:r>
        <w:t>pocket childcare fees, up to a maximum cap of $7500 per year for each child in care. As the CCR is not means tested, there is no explicit link between income and the level of subsidy. However, two indirect links occur.</w:t>
      </w:r>
    </w:p>
    <w:p w:rsidR="00D26D17" w:rsidRDefault="00D26D17" w:rsidP="00D26D17">
      <w:pPr>
        <w:pStyle w:val="ListNumber"/>
      </w:pPr>
      <w:r>
        <w:t>The hours of work (and hence the income) of the primary care giver of a family is strongly linked to the hours of approved care used.</w:t>
      </w:r>
    </w:p>
    <w:p w:rsidR="00D26D17" w:rsidRDefault="00D26D17" w:rsidP="00D26D17">
      <w:pPr>
        <w:pStyle w:val="ListNumber"/>
      </w:pPr>
      <w:r>
        <w:t>As out-of-pocket costs are defined as the approved ECEC fees less any other subsidy received, and the main other subsidy (the Child Care Benefit — CCB) is means tested, CCR will increase as some family incomes rise. This will be explored in the section on CCB.</w:t>
      </w:r>
    </w:p>
    <w:p w:rsidR="00D26D17" w:rsidRPr="000D5ED9" w:rsidRDefault="00D26D17" w:rsidP="00D26D17">
      <w:pPr>
        <w:pStyle w:val="BodyText"/>
      </w:pPr>
      <w:r>
        <w:t>Typically, the impact of net childcare costs after CCB on EMTRs will be higher for low income families than high income families. This can be demonstrated using a simple example. If we assume that hours of work of the primary care giver is the same as the hours of care and the out-of-pocket childcare costs are $10 an hour, then the family will lose $5 an hour because of net childcare costs. If a primary care giver earns $25 an hour before tax, this would add 20</w:t>
      </w:r>
      <w:r w:rsidR="00B764EB">
        <w:t xml:space="preserve"> </w:t>
      </w:r>
      <w:r w:rsidR="004D2654">
        <w:t>cents in the dollar</w:t>
      </w:r>
      <w:r>
        <w:t xml:space="preserve"> onto the EMTR. If however, the primary care givers pre-tax wage rate was $50 an hour, the EMTR would only increase by </w:t>
      </w:r>
      <w:r w:rsidR="004D2654">
        <w:t>10 cents in the dollar</w:t>
      </w:r>
      <w:r>
        <w:t xml:space="preserve"> because of net childcare costs.</w:t>
      </w:r>
    </w:p>
    <w:p w:rsidR="00404569" w:rsidRDefault="00404569">
      <w:pPr>
        <w:rPr>
          <w:szCs w:val="20"/>
        </w:rPr>
      </w:pPr>
      <w:r>
        <w:br w:type="page"/>
      </w:r>
    </w:p>
    <w:p w:rsidR="00D26D17" w:rsidRDefault="00D26D17" w:rsidP="00D26D17">
      <w:pPr>
        <w:pStyle w:val="BodyText"/>
      </w:pPr>
      <w:r>
        <w:lastRenderedPageBreak/>
        <w:t xml:space="preserve">If a child reaches the CCR cap, they are no longer eligible for the </w:t>
      </w:r>
      <w:r w:rsidR="003B686D">
        <w:t>CCR. In that case, the full out</w:t>
      </w:r>
      <w:r w:rsidR="003B686D">
        <w:noBreakHyphen/>
        <w:t>of</w:t>
      </w:r>
      <w:r w:rsidR="003B686D">
        <w:noBreakHyphen/>
      </w:r>
      <w:r>
        <w:t>pocket cost will be added to the EMTR for the remainder of the year. Using the two example families from the previous paragraph, EMTRs would be 40</w:t>
      </w:r>
      <w:r w:rsidR="004D2654">
        <w:t xml:space="preserve"> cents in the dollar </w:t>
      </w:r>
      <w:r>
        <w:t>higher for the primary carer earning $25 an hour before tax and 20 percentage points higher for the primary carer with a $50 pre-tax wage rate.</w:t>
      </w:r>
    </w:p>
    <w:p w:rsidR="00D26D17" w:rsidRDefault="00D26D17" w:rsidP="00D26D17">
      <w:pPr>
        <w:pStyle w:val="Heading3"/>
      </w:pPr>
      <w:r>
        <w:t>Child Care Benefit</w:t>
      </w:r>
    </w:p>
    <w:p w:rsidR="00D26D17" w:rsidRPr="000309AA" w:rsidRDefault="00D26D17" w:rsidP="000309AA">
      <w:pPr>
        <w:pStyle w:val="BodyText"/>
      </w:pPr>
      <w:r w:rsidRPr="000309AA">
        <w:t xml:space="preserve">Access to the Child Care Benefit (CCB) is subject to a means test based on family income. For those families who are eligible to receive CCB, the amount of subsidy they receive can be explained in </w:t>
      </w:r>
      <w:r w:rsidRPr="005E3639">
        <w:rPr>
          <w:shd w:val="clear" w:color="auto" w:fill="FFFFFF" w:themeFill="background1"/>
        </w:rPr>
        <w:t>four steps</w:t>
      </w:r>
      <w:r w:rsidR="004D2654">
        <w:t>.</w:t>
      </w:r>
      <w:r w:rsidRPr="004D2654">
        <w:rPr>
          <w:rStyle w:val="FootnoteReference"/>
        </w:rPr>
        <w:footnoteReference w:id="1"/>
      </w:r>
    </w:p>
    <w:p w:rsidR="00D26D17" w:rsidRPr="000309AA" w:rsidRDefault="00F54CF8" w:rsidP="00B764EB">
      <w:pPr>
        <w:pStyle w:val="ListNumber"/>
        <w:numPr>
          <w:ilvl w:val="0"/>
          <w:numId w:val="41"/>
        </w:numPr>
      </w:pPr>
      <w:r>
        <w:t>A</w:t>
      </w:r>
      <w:r w:rsidR="00D26D17" w:rsidRPr="000309AA">
        <w:t xml:space="preserve"> maximum hourly subsidy rate is determined for each type of care used</w:t>
      </w:r>
      <w:r>
        <w:t>.</w:t>
      </w:r>
    </w:p>
    <w:p w:rsidR="00D26D17" w:rsidRPr="000309AA" w:rsidRDefault="00F54CF8" w:rsidP="00B764EB">
      <w:pPr>
        <w:pStyle w:val="ListNumber"/>
        <w:numPr>
          <w:ilvl w:val="0"/>
          <w:numId w:val="41"/>
        </w:numPr>
      </w:pPr>
      <w:r>
        <w:t>T</w:t>
      </w:r>
      <w:r w:rsidR="00D26D17" w:rsidRPr="000309AA">
        <w:t>he maximum hourly rate is multiplied by the hours of care used by the family for the week for each care type, to give a weekly maximum subsidy by care type</w:t>
      </w:r>
      <w:r>
        <w:t>.</w:t>
      </w:r>
    </w:p>
    <w:p w:rsidR="00D26D17" w:rsidRPr="000309AA" w:rsidRDefault="00F54CF8" w:rsidP="00B764EB">
      <w:pPr>
        <w:pStyle w:val="ListNumber"/>
        <w:numPr>
          <w:ilvl w:val="0"/>
          <w:numId w:val="41"/>
        </w:numPr>
      </w:pPr>
      <w:r>
        <w:t>T</w:t>
      </w:r>
      <w:r w:rsidR="00D26D17" w:rsidRPr="000309AA">
        <w:t>he weekly maximum subsidy for each care type is added together to give a weekly maximum amount of CCB</w:t>
      </w:r>
      <w:r>
        <w:t>.</w:t>
      </w:r>
    </w:p>
    <w:p w:rsidR="00D26D17" w:rsidRPr="000309AA" w:rsidRDefault="00F54CF8" w:rsidP="00B764EB">
      <w:pPr>
        <w:pStyle w:val="ListNumber"/>
        <w:numPr>
          <w:ilvl w:val="0"/>
          <w:numId w:val="41"/>
        </w:numPr>
      </w:pPr>
      <w:r>
        <w:t>T</w:t>
      </w:r>
      <w:r w:rsidR="00D26D17" w:rsidRPr="000309AA">
        <w:t>his weekly maximum amount is subjected to an income test to determine the family’s weekly CCB amount.</w:t>
      </w:r>
    </w:p>
    <w:p w:rsidR="00D26D17" w:rsidRPr="009D7ABB" w:rsidRDefault="00D26D17" w:rsidP="00D26D17">
      <w:pPr>
        <w:pStyle w:val="Heading4"/>
        <w:rPr>
          <w:b/>
        </w:rPr>
      </w:pPr>
      <w:r w:rsidRPr="009D7ABB">
        <w:rPr>
          <w:b/>
        </w:rPr>
        <w:t>Maximum hourly rate of CCB</w:t>
      </w:r>
    </w:p>
    <w:p w:rsidR="00D26D17" w:rsidRPr="000309AA" w:rsidRDefault="00D26D17" w:rsidP="000309AA">
      <w:pPr>
        <w:pStyle w:val="BodyText"/>
      </w:pPr>
      <w:r w:rsidRPr="000309AA">
        <w:t>As outlined in appendix C, the ‘maximum’ rate for CCB for approved care in 2013</w:t>
      </w:r>
      <w:r w:rsidRPr="000309AA">
        <w:noBreakHyphen/>
        <w:t>14 is $3.99 per hour. However, the actual maximum hourly subsidy rate will change depending upon the type of care used, the number of children a family has in care and the length of time in care. In practice, the maximum CCB rate varies from $3.39 an hour if a family has one child in Outside School Hours Care (OSHC) to $5.78 an hour if a family has three or more children in Family Day Care (FDC) and each child is in care for less than 37.5 hours per week. Each possible maximum CCB payment rate is illustrated in figure </w:t>
      </w:r>
      <w:r w:rsidR="00A7553B">
        <w:t>E.</w:t>
      </w:r>
      <w:r w:rsidR="00862151" w:rsidRPr="000309AA">
        <w:t>5</w:t>
      </w:r>
      <w:r w:rsidRPr="000309AA">
        <w:t>.</w:t>
      </w:r>
    </w:p>
    <w:p w:rsidR="0061312B" w:rsidRDefault="0061312B" w:rsidP="0061312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1312B" w:rsidTr="0061312B">
        <w:tc>
          <w:tcPr>
            <w:tcW w:w="8771" w:type="dxa"/>
            <w:tcBorders>
              <w:top w:val="single" w:sz="6" w:space="0" w:color="78A22F"/>
              <w:left w:val="nil"/>
              <w:bottom w:val="nil"/>
              <w:right w:val="nil"/>
            </w:tcBorders>
            <w:shd w:val="clear" w:color="auto" w:fill="auto"/>
          </w:tcPr>
          <w:p w:rsidR="0061312B" w:rsidRDefault="0061312B" w:rsidP="0061312B">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5</w:t>
            </w:r>
            <w:r w:rsidRPr="00784A05">
              <w:rPr>
                <w:b w:val="0"/>
              </w:rPr>
              <w:fldChar w:fldCharType="end"/>
            </w:r>
            <w:r>
              <w:tab/>
              <w:t>Range of maximum hourly subsidy rates for CCB</w:t>
            </w:r>
          </w:p>
          <w:p w:rsidR="0061312B" w:rsidRPr="00176D3F" w:rsidRDefault="0061312B" w:rsidP="0061312B">
            <w:pPr>
              <w:pStyle w:val="Subtitle"/>
            </w:pPr>
            <w:r>
              <w:t>Payment rates as of 2013</w:t>
            </w:r>
            <w:r>
              <w:noBreakHyphen/>
              <w:t>14</w:t>
            </w:r>
          </w:p>
        </w:tc>
      </w:tr>
      <w:tr w:rsidR="0061312B" w:rsidTr="0061312B">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61312B" w:rsidTr="0061312B">
              <w:tc>
                <w:tcPr>
                  <w:tcW w:w="5000" w:type="pct"/>
                  <w:tcBorders>
                    <w:top w:val="nil"/>
                    <w:bottom w:val="nil"/>
                  </w:tcBorders>
                </w:tcPr>
                <w:p w:rsidR="0061312B" w:rsidRDefault="0061312B" w:rsidP="0061312B">
                  <w:pPr>
                    <w:pStyle w:val="Figure"/>
                    <w:spacing w:before="60" w:after="60"/>
                  </w:pPr>
                  <w:r>
                    <w:rPr>
                      <w:noProof/>
                    </w:rPr>
                    <w:drawing>
                      <wp:inline distT="0" distB="0" distL="0" distR="0" wp14:anchorId="30B2E15E" wp14:editId="597C8EB7">
                        <wp:extent cx="5391150" cy="2867025"/>
                        <wp:effectExtent l="0" t="0" r="0" b="9525"/>
                        <wp:docPr id="24" name="Picture 24" descr="This figure highlights the wide disparity in maximum hourly rates of CCB that families may receive. These maximum rates change by type of care, how many children from the same family are in care and for LDC and FDC, how many hours a week of care are attended. For 2013-14, these fees ranged from $3.40 to nearly $6 an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61312B" w:rsidRDefault="0061312B" w:rsidP="0061312B">
            <w:pPr>
              <w:pStyle w:val="Figure"/>
            </w:pPr>
          </w:p>
        </w:tc>
      </w:tr>
      <w:tr w:rsidR="0061312B" w:rsidRPr="00176D3F" w:rsidTr="0061312B">
        <w:tc>
          <w:tcPr>
            <w:tcW w:w="8771" w:type="dxa"/>
            <w:tcBorders>
              <w:top w:val="nil"/>
              <w:left w:val="nil"/>
              <w:bottom w:val="nil"/>
              <w:right w:val="nil"/>
            </w:tcBorders>
            <w:shd w:val="clear" w:color="auto" w:fill="auto"/>
          </w:tcPr>
          <w:p w:rsidR="0061312B" w:rsidRPr="00176D3F" w:rsidRDefault="0093063A" w:rsidP="0061312B">
            <w:pPr>
              <w:pStyle w:val="Source"/>
            </w:pPr>
            <w:r>
              <w:rPr>
                <w:i/>
              </w:rPr>
              <w:t>Source</w:t>
            </w:r>
            <w:r w:rsidR="0061312B" w:rsidRPr="00176D3F">
              <w:t xml:space="preserve">: </w:t>
            </w:r>
            <w:r w:rsidR="00F54CF8">
              <w:t xml:space="preserve">Productivity </w:t>
            </w:r>
            <w:r w:rsidR="0061312B">
              <w:t>Commission calculations.</w:t>
            </w:r>
          </w:p>
        </w:tc>
      </w:tr>
      <w:tr w:rsidR="0061312B" w:rsidTr="0061312B">
        <w:tc>
          <w:tcPr>
            <w:tcW w:w="8771" w:type="dxa"/>
            <w:tcBorders>
              <w:top w:val="nil"/>
              <w:left w:val="nil"/>
              <w:bottom w:val="single" w:sz="6" w:space="0" w:color="78A22F"/>
              <w:right w:val="nil"/>
            </w:tcBorders>
            <w:shd w:val="clear" w:color="auto" w:fill="auto"/>
          </w:tcPr>
          <w:p w:rsidR="0061312B" w:rsidRDefault="0061312B" w:rsidP="0061312B">
            <w:pPr>
              <w:pStyle w:val="Figurespace"/>
            </w:pPr>
          </w:p>
        </w:tc>
      </w:tr>
      <w:tr w:rsidR="0061312B" w:rsidRPr="000863A5" w:rsidTr="0061312B">
        <w:tc>
          <w:tcPr>
            <w:tcW w:w="8771" w:type="dxa"/>
            <w:tcBorders>
              <w:top w:val="single" w:sz="6" w:space="0" w:color="78A22F"/>
              <w:left w:val="nil"/>
              <w:bottom w:val="nil"/>
              <w:right w:val="nil"/>
            </w:tcBorders>
          </w:tcPr>
          <w:p w:rsidR="0061312B" w:rsidRPr="00626D32" w:rsidRDefault="0061312B" w:rsidP="0061312B">
            <w:pPr>
              <w:pStyle w:val="BoxSpaceBelow"/>
            </w:pPr>
          </w:p>
        </w:tc>
      </w:tr>
    </w:tbl>
    <w:p w:rsidR="00D26D17" w:rsidRPr="000309AA" w:rsidRDefault="00D26D17" w:rsidP="000309AA">
      <w:pPr>
        <w:pStyle w:val="BodyText"/>
      </w:pPr>
      <w:r w:rsidRPr="000309AA">
        <w:t xml:space="preserve">There are complex formulas involved in determining the maximum amount of CCB </w:t>
      </w:r>
      <w:r w:rsidR="00D44209" w:rsidRPr="000309AA">
        <w:t xml:space="preserve">to which </w:t>
      </w:r>
      <w:r w:rsidRPr="000309AA">
        <w:t>families are entitled; these calculations involve four stated adjustments and two adjustments incorporated into the calculation methodology. The two methodological adjustments interact with the stated adjustments. The stated adjustments are that:</w:t>
      </w:r>
    </w:p>
    <w:p w:rsidR="00D26D17" w:rsidRPr="000309AA" w:rsidRDefault="00D26D17" w:rsidP="000309AA">
      <w:pPr>
        <w:pStyle w:val="ListBullet"/>
      </w:pPr>
      <w:r w:rsidRPr="000309AA">
        <w:t xml:space="preserve">the standard hourly rate of CCB is reduced by 15 per cent for OSHC </w:t>
      </w:r>
    </w:p>
    <w:p w:rsidR="00D26D17" w:rsidRPr="000309AA" w:rsidRDefault="00D26D17" w:rsidP="000309AA">
      <w:pPr>
        <w:pStyle w:val="ListBullet"/>
      </w:pPr>
      <w:r w:rsidRPr="000309AA">
        <w:t>the hourly rate of CCB is increased by 13.3 per cent for OSHC in FDC</w:t>
      </w:r>
    </w:p>
    <w:p w:rsidR="00D26D17" w:rsidRPr="000309AA" w:rsidRDefault="00D26D17" w:rsidP="000309AA">
      <w:pPr>
        <w:pStyle w:val="ListBullet"/>
      </w:pPr>
      <w:r w:rsidRPr="000309AA">
        <w:t>the hourly rate for FDC is increased by 33.3 per cent if a child is in care for less than 37.5 hours per week with this loading then reducing to zero if 50 hours of care is used</w:t>
      </w:r>
    </w:p>
    <w:p w:rsidR="00D26D17" w:rsidRPr="000309AA" w:rsidRDefault="00D26D17" w:rsidP="000309AA">
      <w:pPr>
        <w:pStyle w:val="ListBullet"/>
      </w:pPr>
      <w:r w:rsidRPr="000309AA">
        <w:t>the hourly rate of LDC is increased if a child is in care for less than 38 hours per week</w:t>
      </w:r>
    </w:p>
    <w:p w:rsidR="00D26D17" w:rsidRPr="000309AA" w:rsidRDefault="00D26D17" w:rsidP="000309AA">
      <w:pPr>
        <w:pStyle w:val="ListBullet2"/>
      </w:pPr>
      <w:r w:rsidRPr="000309AA">
        <w:t xml:space="preserve">the hourly rate is increased by 2 per cent if children attend between 37 and 38 hours a week, with the hourly rate increasing by 2 per cent more for each hour of attendance below 37 hours </w:t>
      </w:r>
      <w:r w:rsidR="00217711">
        <w:t>—</w:t>
      </w:r>
      <w:r w:rsidRPr="000309AA">
        <w:t xml:space="preserve"> up to a maximum of a 10 per cent increase for care below 34 hours a week. </w:t>
      </w:r>
    </w:p>
    <w:p w:rsidR="00D26D17" w:rsidRPr="000309AA" w:rsidRDefault="00D26D17" w:rsidP="000309AA">
      <w:pPr>
        <w:pStyle w:val="BodyText"/>
      </w:pPr>
      <w:r w:rsidRPr="000309AA">
        <w:t>The methodological adjustments relate to the number of children from the same family who use care in a given week:</w:t>
      </w:r>
    </w:p>
    <w:p w:rsidR="00D26D17" w:rsidRPr="000309AA" w:rsidRDefault="00D26D17" w:rsidP="000309AA">
      <w:pPr>
        <w:pStyle w:val="ListBullet"/>
      </w:pPr>
      <w:r w:rsidRPr="000309AA">
        <w:t>if two children from the same family use the same kind of care in a week, the hourly CCB rate is increased by 4.5 per cent</w:t>
      </w:r>
    </w:p>
    <w:p w:rsidR="00D26D17" w:rsidRPr="000309AA" w:rsidRDefault="00D26D17" w:rsidP="000309AA">
      <w:pPr>
        <w:pStyle w:val="ListBullet"/>
      </w:pPr>
      <w:r w:rsidRPr="000309AA">
        <w:t>if three or more children from the same family use care in a week, the hourly CCB rate is increased by 8.7 per cent.</w:t>
      </w:r>
    </w:p>
    <w:p w:rsidR="00D26D17" w:rsidRPr="009D7ABB" w:rsidRDefault="00D26D17" w:rsidP="00D26D17">
      <w:pPr>
        <w:pStyle w:val="Heading4"/>
        <w:rPr>
          <w:b/>
        </w:rPr>
      </w:pPr>
      <w:r w:rsidRPr="009D7ABB">
        <w:rPr>
          <w:b/>
        </w:rPr>
        <w:lastRenderedPageBreak/>
        <w:t>The hours of care and calculating maximum weekly amount of CCB</w:t>
      </w:r>
    </w:p>
    <w:p w:rsidR="00D26D17" w:rsidRPr="007D316D" w:rsidRDefault="00D26D17" w:rsidP="00D26D17">
      <w:pPr>
        <w:pStyle w:val="BodyText"/>
      </w:pPr>
      <w:r w:rsidRPr="007D316D">
        <w:t xml:space="preserve">Before the means test for CCB can be applied, it is necessary to know which maximum weekly CCB subsidy amount would apply for each family. The maximum weekly subsidy for each care type can be calculated by: </w:t>
      </w:r>
    </w:p>
    <w:p w:rsidR="00D26D17" w:rsidRPr="007D316D" w:rsidRDefault="00D26D17" w:rsidP="00D26D17">
      <w:pPr>
        <w:pStyle w:val="ListBullet"/>
      </w:pPr>
      <w:r w:rsidRPr="007D316D">
        <w:t xml:space="preserve">taking the maximum hourly CCB subsidy that relates to the hours of care used for each care type </w:t>
      </w:r>
    </w:p>
    <w:p w:rsidR="00D26D17" w:rsidRPr="007D316D" w:rsidRDefault="00D26D17" w:rsidP="00D26D17">
      <w:pPr>
        <w:pStyle w:val="ListBullet"/>
      </w:pPr>
      <w:r w:rsidRPr="007D316D">
        <w:t xml:space="preserve">multiplying that rate by the weekly hours of that care type used. </w:t>
      </w:r>
    </w:p>
    <w:p w:rsidR="00D26D17" w:rsidRPr="007D316D" w:rsidRDefault="00D26D17" w:rsidP="00D26D17">
      <w:pPr>
        <w:pStyle w:val="BodyText"/>
      </w:pPr>
      <w:r w:rsidRPr="007D316D">
        <w:t>The maximum weekly CCB subsidy amount is obtained by adding the subsidy amount for each type of care for each child.</w:t>
      </w:r>
    </w:p>
    <w:p w:rsidR="00D26D17" w:rsidRPr="009D7ABB" w:rsidRDefault="00D26D17" w:rsidP="00D26D17">
      <w:pPr>
        <w:pStyle w:val="Heading4"/>
        <w:rPr>
          <w:b/>
        </w:rPr>
      </w:pPr>
      <w:r w:rsidRPr="009D7ABB">
        <w:rPr>
          <w:b/>
        </w:rPr>
        <w:t>Applying the CCB means test</w:t>
      </w:r>
    </w:p>
    <w:p w:rsidR="00D26D17" w:rsidRPr="000309AA" w:rsidRDefault="00D26D17" w:rsidP="000309AA">
      <w:pPr>
        <w:pStyle w:val="BodyText"/>
      </w:pPr>
      <w:r w:rsidRPr="000309AA">
        <w:t>For approved forms of child care, the amount of CCB a family can receive is subject to a means test. The means test for CCB payments reduces the weekly subsidy amount that families are entitled to if their combined family income exceeds a threshold level. For 2013</w:t>
      </w:r>
      <w:r w:rsidRPr="000309AA">
        <w:noBreakHyphen/>
        <w:t xml:space="preserve">14, this threshold was $41 902. </w:t>
      </w:r>
    </w:p>
    <w:p w:rsidR="00D26D17" w:rsidRPr="000309AA" w:rsidRDefault="00D26D17" w:rsidP="000309AA">
      <w:pPr>
        <w:pStyle w:val="BodyText"/>
      </w:pPr>
      <w:r w:rsidRPr="000309AA">
        <w:t>The reduction in CCB is determined by applying taper rates. These taper rates reduce the weekly amount of CCB a family is entitled to for every dollar that the families income exceeds the income tapers. The taper that applies for each family varies depending upon the number of children in care (table </w:t>
      </w:r>
      <w:r w:rsidR="00A7553B">
        <w:t>E.</w:t>
      </w:r>
      <w:r w:rsidR="00862151" w:rsidRPr="000309AA">
        <w:t>5</w:t>
      </w:r>
      <w:r w:rsidRPr="000309AA">
        <w:t>).</w:t>
      </w:r>
    </w:p>
    <w:p w:rsidR="0061312B" w:rsidRDefault="0061312B" w:rsidP="006131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1312B" w:rsidTr="0061312B">
        <w:tc>
          <w:tcPr>
            <w:tcW w:w="8771" w:type="dxa"/>
            <w:tcBorders>
              <w:top w:val="single" w:sz="6" w:space="0" w:color="78A22F" w:themeColor="accent1"/>
              <w:left w:val="nil"/>
              <w:bottom w:val="nil"/>
              <w:right w:val="nil"/>
            </w:tcBorders>
            <w:shd w:val="clear" w:color="auto" w:fill="auto"/>
          </w:tcPr>
          <w:p w:rsidR="0061312B" w:rsidRDefault="0061312B" w:rsidP="0061312B">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5</w:t>
            </w:r>
            <w:r>
              <w:rPr>
                <w:b w:val="0"/>
              </w:rPr>
              <w:fldChar w:fldCharType="end"/>
            </w:r>
            <w:r>
              <w:tab/>
              <w:t>Taper rates for CCB for approved childcare</w:t>
            </w:r>
          </w:p>
          <w:p w:rsidR="0061312B" w:rsidRPr="00784A05" w:rsidRDefault="0061312B" w:rsidP="0061312B">
            <w:pPr>
              <w:pStyle w:val="Subtitle"/>
            </w:pPr>
            <w:r>
              <w:t>For 2013</w:t>
            </w:r>
            <w:r>
              <w:noBreakHyphen/>
              <w:t>14</w:t>
            </w:r>
          </w:p>
        </w:tc>
      </w:tr>
      <w:tr w:rsidR="0061312B" w:rsidTr="0061312B">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123"/>
              <w:gridCol w:w="2122"/>
              <w:gridCol w:w="2122"/>
              <w:gridCol w:w="2120"/>
            </w:tblGrid>
            <w:tr w:rsidR="0061312B" w:rsidTr="0093063A">
              <w:tc>
                <w:tcPr>
                  <w:tcW w:w="1250" w:type="pct"/>
                  <w:tcBorders>
                    <w:top w:val="single" w:sz="6" w:space="0" w:color="BFBFBF"/>
                    <w:bottom w:val="single" w:sz="6" w:space="0" w:color="BFBFBF"/>
                  </w:tcBorders>
                  <w:vAlign w:val="bottom"/>
                </w:tcPr>
                <w:p w:rsidR="0061312B" w:rsidRDefault="0061312B" w:rsidP="0093063A">
                  <w:pPr>
                    <w:pStyle w:val="TableColumnHeading"/>
                  </w:pPr>
                </w:p>
              </w:tc>
              <w:tc>
                <w:tcPr>
                  <w:tcW w:w="1250" w:type="pct"/>
                  <w:tcBorders>
                    <w:top w:val="single" w:sz="6" w:space="0" w:color="BFBFBF"/>
                    <w:bottom w:val="single" w:sz="6" w:space="0" w:color="BFBFBF"/>
                  </w:tcBorders>
                  <w:shd w:val="clear" w:color="auto" w:fill="auto"/>
                  <w:vAlign w:val="bottom"/>
                </w:tcPr>
                <w:p w:rsidR="0061312B" w:rsidRDefault="0061312B" w:rsidP="0093063A">
                  <w:pPr>
                    <w:pStyle w:val="TableColumnHeading"/>
                  </w:pPr>
                  <w:r>
                    <w:t>Number of children</w:t>
                  </w:r>
                  <w:r w:rsidR="0093063A">
                    <w:br/>
                  </w:r>
                  <w:r>
                    <w:t xml:space="preserve"> in care from the </w:t>
                  </w:r>
                  <w:r w:rsidR="0093063A">
                    <w:br/>
                  </w:r>
                  <w:r>
                    <w:t>same family</w:t>
                  </w:r>
                </w:p>
              </w:tc>
              <w:tc>
                <w:tcPr>
                  <w:tcW w:w="1250" w:type="pct"/>
                  <w:tcBorders>
                    <w:top w:val="single" w:sz="6" w:space="0" w:color="BFBFBF"/>
                    <w:bottom w:val="single" w:sz="6" w:space="0" w:color="BFBFBF"/>
                  </w:tcBorders>
                  <w:shd w:val="clear" w:color="auto" w:fill="auto"/>
                  <w:vAlign w:val="bottom"/>
                </w:tcPr>
                <w:p w:rsidR="0061312B" w:rsidRDefault="0061312B" w:rsidP="0093063A">
                  <w:pPr>
                    <w:pStyle w:val="TableColumnHeading"/>
                  </w:pPr>
                  <w:r>
                    <w:t>Stated taper rate</w:t>
                  </w:r>
                  <w:r w:rsidR="0093063A">
                    <w:br/>
                  </w:r>
                  <w:r>
                    <w:t xml:space="preserve"> (cents in the $)</w:t>
                  </w:r>
                </w:p>
              </w:tc>
              <w:tc>
                <w:tcPr>
                  <w:tcW w:w="1249" w:type="pct"/>
                  <w:tcBorders>
                    <w:top w:val="single" w:sz="6" w:space="0" w:color="BFBFBF"/>
                    <w:bottom w:val="single" w:sz="6" w:space="0" w:color="BFBFBF"/>
                  </w:tcBorders>
                  <w:shd w:val="clear" w:color="auto" w:fill="auto"/>
                  <w:vAlign w:val="bottom"/>
                </w:tcPr>
                <w:p w:rsidR="0061312B" w:rsidRDefault="0061312B" w:rsidP="0093063A">
                  <w:pPr>
                    <w:pStyle w:val="TableColumnHeading"/>
                    <w:ind w:right="28"/>
                  </w:pPr>
                  <w:r>
                    <w:t>Annual family income threshold that taper applies above</w:t>
                  </w:r>
                </w:p>
              </w:tc>
            </w:tr>
            <w:tr w:rsidR="0061312B" w:rsidTr="0093063A">
              <w:tc>
                <w:tcPr>
                  <w:tcW w:w="1250" w:type="pct"/>
                  <w:vMerge w:val="restart"/>
                  <w:tcBorders>
                    <w:top w:val="single" w:sz="6" w:space="0" w:color="BFBFBF"/>
                  </w:tcBorders>
                </w:tcPr>
                <w:p w:rsidR="0061312B" w:rsidRDefault="0061312B" w:rsidP="000C6143">
                  <w:pPr>
                    <w:pStyle w:val="TableBodyText"/>
                    <w:spacing w:before="120"/>
                    <w:jc w:val="left"/>
                  </w:pPr>
                  <w:r>
                    <w:t>1</w:t>
                  </w:r>
                  <w:r w:rsidRPr="003574ED">
                    <w:rPr>
                      <w:vertAlign w:val="superscript"/>
                    </w:rPr>
                    <w:t>st</w:t>
                  </w:r>
                  <w:r>
                    <w:t xml:space="preserve"> taper</w:t>
                  </w:r>
                </w:p>
              </w:tc>
              <w:tc>
                <w:tcPr>
                  <w:tcW w:w="1250" w:type="pct"/>
                  <w:tcBorders>
                    <w:top w:val="single" w:sz="6" w:space="0" w:color="BFBFBF"/>
                  </w:tcBorders>
                  <w:vAlign w:val="center"/>
                </w:tcPr>
                <w:p w:rsidR="0061312B" w:rsidRDefault="0061312B" w:rsidP="000C6143">
                  <w:pPr>
                    <w:pStyle w:val="TableBodyText"/>
                    <w:tabs>
                      <w:tab w:val="left" w:pos="1966"/>
                    </w:tabs>
                    <w:spacing w:before="120"/>
                    <w:ind w:right="156"/>
                  </w:pPr>
                  <w:r>
                    <w:t>1</w:t>
                  </w:r>
                </w:p>
              </w:tc>
              <w:tc>
                <w:tcPr>
                  <w:tcW w:w="1250" w:type="pct"/>
                  <w:tcBorders>
                    <w:top w:val="single" w:sz="6" w:space="0" w:color="BFBFBF"/>
                  </w:tcBorders>
                  <w:vAlign w:val="center"/>
                </w:tcPr>
                <w:p w:rsidR="0061312B" w:rsidRDefault="0061312B" w:rsidP="000C6143">
                  <w:pPr>
                    <w:pStyle w:val="TableBodyText"/>
                    <w:spacing w:before="120"/>
                    <w:ind w:right="152"/>
                  </w:pPr>
                  <w:r>
                    <w:t>10c</w:t>
                  </w:r>
                </w:p>
              </w:tc>
              <w:tc>
                <w:tcPr>
                  <w:tcW w:w="1249" w:type="pct"/>
                  <w:tcBorders>
                    <w:top w:val="single" w:sz="6" w:space="0" w:color="BFBFBF"/>
                  </w:tcBorders>
                </w:tcPr>
                <w:p w:rsidR="0061312B" w:rsidRDefault="0061312B" w:rsidP="000C6143">
                  <w:pPr>
                    <w:pStyle w:val="TableBodyText"/>
                    <w:spacing w:before="120"/>
                    <w:ind w:right="28"/>
                  </w:pPr>
                  <w:r>
                    <w:t>$41 902</w:t>
                  </w:r>
                </w:p>
              </w:tc>
            </w:tr>
            <w:tr w:rsidR="0061312B" w:rsidTr="0093063A">
              <w:tc>
                <w:tcPr>
                  <w:tcW w:w="1250" w:type="pct"/>
                  <w:vMerge/>
                </w:tcPr>
                <w:p w:rsidR="0061312B" w:rsidRDefault="0061312B" w:rsidP="0061312B">
                  <w:pPr>
                    <w:pStyle w:val="TableBodyText"/>
                    <w:jc w:val="left"/>
                  </w:pPr>
                </w:p>
              </w:tc>
              <w:tc>
                <w:tcPr>
                  <w:tcW w:w="1250" w:type="pct"/>
                  <w:shd w:val="clear" w:color="auto" w:fill="auto"/>
                  <w:vAlign w:val="center"/>
                </w:tcPr>
                <w:p w:rsidR="0061312B" w:rsidRDefault="0061312B" w:rsidP="0093063A">
                  <w:pPr>
                    <w:pStyle w:val="TableBodyText"/>
                    <w:ind w:right="156"/>
                  </w:pPr>
                  <w:r>
                    <w:t>2 or more</w:t>
                  </w:r>
                </w:p>
              </w:tc>
              <w:tc>
                <w:tcPr>
                  <w:tcW w:w="1250" w:type="pct"/>
                  <w:shd w:val="clear" w:color="auto" w:fill="auto"/>
                  <w:vAlign w:val="center"/>
                </w:tcPr>
                <w:p w:rsidR="0061312B" w:rsidRDefault="0061312B" w:rsidP="0093063A">
                  <w:pPr>
                    <w:pStyle w:val="TableBodyText"/>
                    <w:ind w:right="152"/>
                  </w:pPr>
                  <w:r>
                    <w:t>15c</w:t>
                  </w:r>
                </w:p>
              </w:tc>
              <w:tc>
                <w:tcPr>
                  <w:tcW w:w="1249" w:type="pct"/>
                  <w:shd w:val="clear" w:color="auto" w:fill="auto"/>
                </w:tcPr>
                <w:p w:rsidR="0061312B" w:rsidRDefault="0061312B" w:rsidP="0061312B">
                  <w:pPr>
                    <w:pStyle w:val="TableBodyText"/>
                    <w:ind w:right="28"/>
                  </w:pPr>
                  <w:r>
                    <w:t>$41 902</w:t>
                  </w:r>
                </w:p>
              </w:tc>
            </w:tr>
            <w:tr w:rsidR="0061312B" w:rsidTr="0093063A">
              <w:tc>
                <w:tcPr>
                  <w:tcW w:w="1250" w:type="pct"/>
                  <w:vMerge w:val="restart"/>
                  <w:tcBorders>
                    <w:bottom w:val="single" w:sz="6" w:space="0" w:color="BFBFBF"/>
                  </w:tcBorders>
                </w:tcPr>
                <w:p w:rsidR="0061312B" w:rsidRDefault="0061312B" w:rsidP="0061312B">
                  <w:pPr>
                    <w:pStyle w:val="TableBodyText"/>
                    <w:spacing w:before="40"/>
                    <w:jc w:val="left"/>
                  </w:pPr>
                  <w:r>
                    <w:t>2</w:t>
                  </w:r>
                  <w:r w:rsidRPr="003574ED">
                    <w:rPr>
                      <w:vertAlign w:val="superscript"/>
                    </w:rPr>
                    <w:t>nd</w:t>
                  </w:r>
                  <w:r w:rsidRPr="00BB5A76">
                    <w:t xml:space="preserve"> taper</w:t>
                  </w:r>
                  <w:r w:rsidRPr="003574ED">
                    <w:rPr>
                      <w:rStyle w:val="NoteLabel"/>
                    </w:rPr>
                    <w:t>a</w:t>
                  </w:r>
                </w:p>
              </w:tc>
              <w:tc>
                <w:tcPr>
                  <w:tcW w:w="1250" w:type="pct"/>
                  <w:shd w:val="clear" w:color="auto" w:fill="auto"/>
                  <w:vAlign w:val="center"/>
                </w:tcPr>
                <w:p w:rsidR="0061312B" w:rsidRDefault="0061312B" w:rsidP="0093063A">
                  <w:pPr>
                    <w:pStyle w:val="TableBodyText"/>
                    <w:spacing w:before="40"/>
                    <w:ind w:right="156"/>
                  </w:pPr>
                  <w:r>
                    <w:t>2</w:t>
                  </w:r>
                </w:p>
              </w:tc>
              <w:tc>
                <w:tcPr>
                  <w:tcW w:w="1250" w:type="pct"/>
                  <w:shd w:val="clear" w:color="auto" w:fill="auto"/>
                  <w:vAlign w:val="center"/>
                </w:tcPr>
                <w:p w:rsidR="0061312B" w:rsidRDefault="0061312B" w:rsidP="0093063A">
                  <w:pPr>
                    <w:pStyle w:val="TableBodyText"/>
                    <w:spacing w:before="40"/>
                    <w:ind w:right="152"/>
                  </w:pPr>
                  <w:r>
                    <w:t>25c</w:t>
                  </w:r>
                </w:p>
              </w:tc>
              <w:tc>
                <w:tcPr>
                  <w:tcW w:w="1249" w:type="pct"/>
                  <w:shd w:val="clear" w:color="auto" w:fill="auto"/>
                </w:tcPr>
                <w:p w:rsidR="0061312B" w:rsidRDefault="0061312B" w:rsidP="0061312B">
                  <w:pPr>
                    <w:pStyle w:val="TableBodyText"/>
                    <w:spacing w:before="40"/>
                    <w:ind w:right="28"/>
                  </w:pPr>
                  <w:r>
                    <w:t>$97 632</w:t>
                  </w:r>
                </w:p>
              </w:tc>
            </w:tr>
            <w:tr w:rsidR="0061312B" w:rsidTr="0093063A">
              <w:tc>
                <w:tcPr>
                  <w:tcW w:w="1250" w:type="pct"/>
                  <w:vMerge/>
                  <w:tcBorders>
                    <w:bottom w:val="single" w:sz="6" w:space="0" w:color="BFBFBF"/>
                  </w:tcBorders>
                </w:tcPr>
                <w:p w:rsidR="0061312B" w:rsidRDefault="0061312B" w:rsidP="0061312B">
                  <w:pPr>
                    <w:pStyle w:val="TableBodyText"/>
                    <w:jc w:val="left"/>
                  </w:pPr>
                </w:p>
              </w:tc>
              <w:tc>
                <w:tcPr>
                  <w:tcW w:w="1250" w:type="pct"/>
                  <w:tcBorders>
                    <w:bottom w:val="single" w:sz="6" w:space="0" w:color="BFBFBF"/>
                  </w:tcBorders>
                  <w:shd w:val="clear" w:color="auto" w:fill="auto"/>
                  <w:vAlign w:val="center"/>
                </w:tcPr>
                <w:p w:rsidR="0061312B" w:rsidRDefault="0061312B" w:rsidP="0093063A">
                  <w:pPr>
                    <w:pStyle w:val="TableBodyText"/>
                    <w:ind w:right="156"/>
                  </w:pPr>
                  <w:r>
                    <w:t>3 or more</w:t>
                  </w:r>
                </w:p>
              </w:tc>
              <w:tc>
                <w:tcPr>
                  <w:tcW w:w="1250" w:type="pct"/>
                  <w:tcBorders>
                    <w:bottom w:val="single" w:sz="6" w:space="0" w:color="BFBFBF"/>
                  </w:tcBorders>
                  <w:shd w:val="clear" w:color="auto" w:fill="auto"/>
                  <w:vAlign w:val="center"/>
                </w:tcPr>
                <w:p w:rsidR="0061312B" w:rsidRDefault="0061312B" w:rsidP="0093063A">
                  <w:pPr>
                    <w:pStyle w:val="TableBodyText"/>
                    <w:ind w:right="152"/>
                  </w:pPr>
                  <w:r>
                    <w:t>35c</w:t>
                  </w:r>
                </w:p>
              </w:tc>
              <w:tc>
                <w:tcPr>
                  <w:tcW w:w="1249" w:type="pct"/>
                  <w:tcBorders>
                    <w:bottom w:val="single" w:sz="6" w:space="0" w:color="BFBFBF"/>
                  </w:tcBorders>
                  <w:shd w:val="clear" w:color="auto" w:fill="auto"/>
                </w:tcPr>
                <w:p w:rsidR="0061312B" w:rsidRDefault="0061312B" w:rsidP="0061312B">
                  <w:pPr>
                    <w:pStyle w:val="TableBodyText"/>
                    <w:ind w:right="28"/>
                  </w:pPr>
                  <w:r>
                    <w:t>$97 632</w:t>
                  </w:r>
                </w:p>
              </w:tc>
            </w:tr>
          </w:tbl>
          <w:p w:rsidR="0061312B" w:rsidRDefault="0061312B" w:rsidP="0061312B">
            <w:pPr>
              <w:pStyle w:val="Box"/>
            </w:pPr>
          </w:p>
        </w:tc>
      </w:tr>
      <w:tr w:rsidR="0061312B" w:rsidTr="0061312B">
        <w:trPr>
          <w:cantSplit/>
        </w:trPr>
        <w:tc>
          <w:tcPr>
            <w:tcW w:w="8771" w:type="dxa"/>
            <w:tcBorders>
              <w:top w:val="nil"/>
              <w:left w:val="nil"/>
              <w:bottom w:val="nil"/>
              <w:right w:val="nil"/>
            </w:tcBorders>
            <w:shd w:val="clear" w:color="auto" w:fill="auto"/>
          </w:tcPr>
          <w:p w:rsidR="0061312B" w:rsidRDefault="0061312B" w:rsidP="0061312B">
            <w:pPr>
              <w:pStyle w:val="Note"/>
              <w:rPr>
                <w:i/>
              </w:rPr>
            </w:pPr>
            <w:r w:rsidRPr="008E77FE">
              <w:rPr>
                <w:rStyle w:val="NoteLabel"/>
              </w:rPr>
              <w:t>a</w:t>
            </w:r>
            <w:r>
              <w:t xml:space="preserve"> If a family only has one child in care, only the first taper is applied.</w:t>
            </w:r>
          </w:p>
        </w:tc>
      </w:tr>
      <w:tr w:rsidR="0061312B" w:rsidTr="0061312B">
        <w:trPr>
          <w:cantSplit/>
        </w:trPr>
        <w:tc>
          <w:tcPr>
            <w:tcW w:w="8771" w:type="dxa"/>
            <w:tcBorders>
              <w:top w:val="nil"/>
              <w:left w:val="nil"/>
              <w:bottom w:val="single" w:sz="6" w:space="0" w:color="78A22F" w:themeColor="accent1"/>
              <w:right w:val="nil"/>
            </w:tcBorders>
            <w:shd w:val="clear" w:color="auto" w:fill="auto"/>
          </w:tcPr>
          <w:p w:rsidR="0061312B" w:rsidRDefault="0061312B" w:rsidP="0061312B">
            <w:pPr>
              <w:pStyle w:val="Box"/>
              <w:spacing w:before="0" w:line="120" w:lineRule="exact"/>
            </w:pPr>
          </w:p>
        </w:tc>
      </w:tr>
      <w:tr w:rsidR="0061312B" w:rsidRPr="000863A5" w:rsidTr="0061312B">
        <w:tc>
          <w:tcPr>
            <w:tcW w:w="8771" w:type="dxa"/>
            <w:tcBorders>
              <w:top w:val="single" w:sz="6" w:space="0" w:color="78A22F" w:themeColor="accent1"/>
              <w:left w:val="nil"/>
              <w:bottom w:val="nil"/>
              <w:right w:val="nil"/>
            </w:tcBorders>
          </w:tcPr>
          <w:p w:rsidR="0061312B" w:rsidRPr="00626D32" w:rsidRDefault="0061312B" w:rsidP="0061312B">
            <w:pPr>
              <w:pStyle w:val="BoxSpaceBelow"/>
            </w:pPr>
          </w:p>
        </w:tc>
      </w:tr>
    </w:tbl>
    <w:p w:rsidR="00D26D17" w:rsidRPr="000309AA" w:rsidRDefault="00D26D17" w:rsidP="000309AA">
      <w:pPr>
        <w:pStyle w:val="BodyText"/>
      </w:pPr>
      <w:r w:rsidRPr="000309AA">
        <w:t xml:space="preserve">Given the methodology for determining CCB payments, most families receiving CCB will not face the full effect of the stated taper. This is because the stated taper is only applied in full if a child is in care on a full-time basis (typically 50 hours per week for a child younger than school age). Otherwise, the taper that is applied is a fraction of the stated tape. </w:t>
      </w:r>
    </w:p>
    <w:p w:rsidR="00993596" w:rsidRDefault="00993596">
      <w:pPr>
        <w:rPr>
          <w:szCs w:val="20"/>
        </w:rPr>
      </w:pPr>
      <w:r>
        <w:br w:type="page"/>
      </w:r>
    </w:p>
    <w:p w:rsidR="00D26D17" w:rsidRPr="000309AA" w:rsidRDefault="00D26D17" w:rsidP="000309AA">
      <w:pPr>
        <w:pStyle w:val="BodyText"/>
      </w:pPr>
      <w:r w:rsidRPr="000309AA">
        <w:lastRenderedPageBreak/>
        <w:t>For the purposes of calculating CCB, the hours a child is in care are the hours of care that are charged for. For example, if an LDC service operates for 10 hours a day and children are allocated a place on a daily basis, then families are charged based on the full 10 hours per day even if they do not use care for the full 10 hours. The subsidies parents receive would also be based on the 10 hours of care that parents are charged for.</w:t>
      </w:r>
    </w:p>
    <w:p w:rsidR="00D26D17" w:rsidRPr="009D7ABB" w:rsidRDefault="00D26D17" w:rsidP="00D26D17">
      <w:pPr>
        <w:pStyle w:val="Heading4"/>
      </w:pPr>
      <w:r w:rsidRPr="009D7ABB">
        <w:t>How the taper rates vary based on hours of care per week</w:t>
      </w:r>
    </w:p>
    <w:p w:rsidR="00D26D17" w:rsidRPr="000309AA" w:rsidRDefault="00D26D17" w:rsidP="000309AA">
      <w:pPr>
        <w:pStyle w:val="BodyText"/>
      </w:pPr>
      <w:r w:rsidRPr="000309AA">
        <w:t>In order to demonstrate how the taper that is applied to a family’s weekly CCB subsidy varies, a family with one child in long day care will be used as an example. To demonstrate how the applied tapers differ from the stated tapers, all these examples examine the impact of a family’s weekly income rising by a single dollar. In practice, the effects of income changes this small on childcare subsidies would be subjected to rounding adjustments. Because the examples are intended to demonstrate how the tapers work across a wide range of incomes, the rounding rules that would apply in these examples have been ignored.</w:t>
      </w:r>
    </w:p>
    <w:p w:rsidR="00D26D17" w:rsidRPr="000309AA" w:rsidRDefault="00D26D17" w:rsidP="000309AA">
      <w:pPr>
        <w:pStyle w:val="BodyText"/>
      </w:pPr>
      <w:r w:rsidRPr="000309AA">
        <w:t>If a family has the child enrolled in LDC for 50 hours a week and they have a combined annual family income of $41 902, in 2013</w:t>
      </w:r>
      <w:r w:rsidRPr="000309AA">
        <w:noBreakHyphen/>
        <w:t>14 they would be entitled to a CCB subsidy of $199.50 per week. If their income increased by $1 a week (or $52 a year), the CCB they receive each week would fall by 10 cents — and if they are eligible for CCR, they would also receive 5 cents more a week in CCR. After combining the effects of changes in CCB and CCR, the family would lose 5 cents in childcare subsidies per week for each additional dollar of income they earned.</w:t>
      </w:r>
    </w:p>
    <w:p w:rsidR="00D26D17" w:rsidRDefault="00D26D17" w:rsidP="000309AA">
      <w:pPr>
        <w:pStyle w:val="BodyText"/>
      </w:pPr>
      <w:r w:rsidRPr="000309AA">
        <w:t>If the same family (with annual income of $41 902 in 2013</w:t>
      </w:r>
      <w:r w:rsidRPr="000309AA">
        <w:noBreakHyphen/>
        <w:t xml:space="preserve">14) used LDC for their child for 40 hours a week, they would be entitled to a CCB subsidy of $159.60 per week — which is four fifths of the CCB they would be entitled to if the child attended LDC for 50 hours a week. If their income increased by $1 a week (or $52 a year), the CCB they receive each week would fall by 8 cents — and the CCR they obtain would increase by 4 cents a week. The family would lose 4 cents in childcare subsidies per week for each additional dollar of income they earned. The relationship between hours of care and CCB taper rates is illustrated in table </w:t>
      </w:r>
      <w:r w:rsidR="00A7553B">
        <w:t>E.</w:t>
      </w:r>
      <w:r w:rsidR="00862151" w:rsidRPr="000309AA">
        <w:t>6</w:t>
      </w:r>
      <w:r w:rsidRPr="000309AA">
        <w:t xml:space="preserve"> and figure </w:t>
      </w:r>
      <w:r w:rsidR="00A7553B">
        <w:t>E.</w:t>
      </w:r>
      <w:r w:rsidR="00862151" w:rsidRPr="000309AA">
        <w:t>6</w:t>
      </w:r>
      <w:r w:rsidRPr="000309AA">
        <w:t>.</w:t>
      </w:r>
    </w:p>
    <w:p w:rsidR="00993596" w:rsidRPr="000309AA" w:rsidRDefault="00993596" w:rsidP="00993596">
      <w:pPr>
        <w:pStyle w:val="BodyText"/>
      </w:pPr>
      <w:r w:rsidRPr="000309AA">
        <w:t>The final variant for a one child family is the impact of receiving a part-time loading, which is available when children attend either an LDC or FDC service below a threshold number of hours (although the threshold hours and operation of the part time taper between the care types). If a family has the child enrolled in LDC for 25 hours a week and they have a combined annual family income of $41 902, in 2013</w:t>
      </w:r>
      <w:r w:rsidRPr="000309AA">
        <w:noBreakHyphen/>
        <w:t>14 they would be entitled to a CCB subsidy of $109.73 per week — 55 per cent of what they would be entitled to if the child was in care for 50 hours per week. This is more than half the subsidy for 50 hours of care because a 10 per cent loading is applied for LDC hours that are less than 34 hours per week. If the family were to earn $1 a week more, the weekly CCB would be reduced by 5.5 cents — and the CCR would increase by 2.25 cents. The family would lose 2.25 cents of childcare benefit for each additional dollar of weekly income they earn.</w:t>
      </w:r>
    </w:p>
    <w:p w:rsidR="0061312B" w:rsidRDefault="0061312B" w:rsidP="006131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1312B" w:rsidTr="0061312B">
        <w:tc>
          <w:tcPr>
            <w:tcW w:w="8771" w:type="dxa"/>
            <w:tcBorders>
              <w:top w:val="single" w:sz="6" w:space="0" w:color="78A22F" w:themeColor="accent1"/>
              <w:left w:val="nil"/>
              <w:bottom w:val="nil"/>
              <w:right w:val="nil"/>
            </w:tcBorders>
            <w:shd w:val="clear" w:color="auto" w:fill="auto"/>
          </w:tcPr>
          <w:p w:rsidR="0061312B" w:rsidRDefault="0061312B" w:rsidP="0061312B">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6</w:t>
            </w:r>
            <w:r>
              <w:rPr>
                <w:b w:val="0"/>
              </w:rPr>
              <w:fldChar w:fldCharType="end"/>
            </w:r>
            <w:r>
              <w:tab/>
              <w:t>Change in CCB and CCR due to additional earnings</w:t>
            </w:r>
          </w:p>
          <w:p w:rsidR="0061312B" w:rsidRPr="00784A05" w:rsidRDefault="0061312B" w:rsidP="0061312B">
            <w:pPr>
              <w:pStyle w:val="Subtitle"/>
            </w:pPr>
            <w:r>
              <w:t>For a family initially earning $41 902 per year which increases by $1 a week</w:t>
            </w:r>
            <w:r>
              <w:rPr>
                <w:rStyle w:val="NoteLabel"/>
              </w:rPr>
              <w:t>a</w:t>
            </w:r>
          </w:p>
        </w:tc>
      </w:tr>
      <w:tr w:rsidR="0061312B" w:rsidTr="0061312B">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956"/>
              <w:gridCol w:w="1417"/>
              <w:gridCol w:w="1984"/>
              <w:gridCol w:w="1134"/>
              <w:gridCol w:w="996"/>
            </w:tblGrid>
            <w:tr w:rsidR="0061312B" w:rsidTr="00F54CF8">
              <w:tc>
                <w:tcPr>
                  <w:tcW w:w="1741" w:type="pct"/>
                  <w:vMerge w:val="restart"/>
                  <w:tcBorders>
                    <w:top w:val="single" w:sz="6" w:space="0" w:color="BFBFBF"/>
                    <w:bottom w:val="single" w:sz="6" w:space="0" w:color="BFBFBF"/>
                  </w:tcBorders>
                  <w:shd w:val="clear" w:color="auto" w:fill="auto"/>
                </w:tcPr>
                <w:p w:rsidR="0061312B" w:rsidRDefault="0061312B" w:rsidP="0061312B">
                  <w:pPr>
                    <w:pStyle w:val="TableColumnHeading"/>
                    <w:jc w:val="left"/>
                  </w:pPr>
                </w:p>
              </w:tc>
              <w:tc>
                <w:tcPr>
                  <w:tcW w:w="835" w:type="pct"/>
                  <w:vMerge w:val="restart"/>
                  <w:tcBorders>
                    <w:top w:val="single" w:sz="6" w:space="0" w:color="BFBFBF"/>
                    <w:bottom w:val="single" w:sz="6" w:space="0" w:color="BFBFBF"/>
                  </w:tcBorders>
                  <w:vAlign w:val="bottom"/>
                </w:tcPr>
                <w:p w:rsidR="0061312B" w:rsidRDefault="00F54CF8" w:rsidP="00F54CF8">
                  <w:pPr>
                    <w:pStyle w:val="TableColumnHeading"/>
                  </w:pPr>
                  <w:r>
                    <w:t>U</w:t>
                  </w:r>
                  <w:r w:rsidR="0061312B">
                    <w:t>nits</w:t>
                  </w:r>
                </w:p>
              </w:tc>
              <w:tc>
                <w:tcPr>
                  <w:tcW w:w="2424" w:type="pct"/>
                  <w:gridSpan w:val="3"/>
                  <w:tcBorders>
                    <w:top w:val="single" w:sz="6" w:space="0" w:color="BFBFBF"/>
                    <w:bottom w:val="single" w:sz="6" w:space="0" w:color="BFBFBF"/>
                  </w:tcBorders>
                </w:tcPr>
                <w:p w:rsidR="0061312B" w:rsidRDefault="0061312B" w:rsidP="0061312B">
                  <w:pPr>
                    <w:pStyle w:val="TableColumnHeading"/>
                    <w:ind w:right="28"/>
                    <w:jc w:val="center"/>
                  </w:pPr>
                  <w:r>
                    <w:t>Hours of LDC use per week</w:t>
                  </w:r>
                </w:p>
              </w:tc>
            </w:tr>
            <w:tr w:rsidR="0061312B" w:rsidTr="00F54CF8">
              <w:tc>
                <w:tcPr>
                  <w:tcW w:w="1741" w:type="pct"/>
                  <w:vMerge/>
                  <w:tcBorders>
                    <w:bottom w:val="single" w:sz="6" w:space="0" w:color="BFBFBF"/>
                  </w:tcBorders>
                  <w:shd w:val="clear" w:color="auto" w:fill="auto"/>
                </w:tcPr>
                <w:p w:rsidR="0061312B" w:rsidRDefault="0061312B" w:rsidP="0061312B">
                  <w:pPr>
                    <w:pStyle w:val="TableColumnHeading"/>
                    <w:jc w:val="left"/>
                  </w:pPr>
                </w:p>
              </w:tc>
              <w:tc>
                <w:tcPr>
                  <w:tcW w:w="835" w:type="pct"/>
                  <w:vMerge/>
                  <w:tcBorders>
                    <w:bottom w:val="single" w:sz="6" w:space="0" w:color="BFBFBF"/>
                  </w:tcBorders>
                </w:tcPr>
                <w:p w:rsidR="0061312B" w:rsidRDefault="0061312B" w:rsidP="0061312B">
                  <w:pPr>
                    <w:pStyle w:val="TableColumnHeading"/>
                  </w:pPr>
                </w:p>
              </w:tc>
              <w:tc>
                <w:tcPr>
                  <w:tcW w:w="1169" w:type="pct"/>
                  <w:tcBorders>
                    <w:top w:val="single" w:sz="6" w:space="0" w:color="BFBFBF"/>
                    <w:bottom w:val="single" w:sz="6" w:space="0" w:color="BFBFBF"/>
                  </w:tcBorders>
                  <w:vAlign w:val="bottom"/>
                </w:tcPr>
                <w:p w:rsidR="0061312B" w:rsidRDefault="0061312B" w:rsidP="00F54CF8">
                  <w:pPr>
                    <w:pStyle w:val="TableColumnHeading"/>
                  </w:pPr>
                  <w:r>
                    <w:t>25 hours (part</w:t>
                  </w:r>
                  <w:r>
                    <w:noBreakHyphen/>
                    <w:t>time loading applies)</w:t>
                  </w:r>
                </w:p>
              </w:tc>
              <w:tc>
                <w:tcPr>
                  <w:tcW w:w="668" w:type="pct"/>
                  <w:tcBorders>
                    <w:top w:val="single" w:sz="6" w:space="0" w:color="BFBFBF"/>
                    <w:bottom w:val="single" w:sz="6" w:space="0" w:color="BFBFBF"/>
                  </w:tcBorders>
                  <w:shd w:val="clear" w:color="auto" w:fill="auto"/>
                  <w:vAlign w:val="bottom"/>
                </w:tcPr>
                <w:p w:rsidR="0061312B" w:rsidRDefault="0061312B" w:rsidP="00F54CF8">
                  <w:pPr>
                    <w:pStyle w:val="TableColumnHeading"/>
                  </w:pPr>
                  <w:r>
                    <w:t>40 hours</w:t>
                  </w:r>
                </w:p>
              </w:tc>
              <w:tc>
                <w:tcPr>
                  <w:tcW w:w="587" w:type="pct"/>
                  <w:tcBorders>
                    <w:top w:val="single" w:sz="6" w:space="0" w:color="BFBFBF"/>
                    <w:bottom w:val="single" w:sz="6" w:space="0" w:color="BFBFBF"/>
                  </w:tcBorders>
                  <w:shd w:val="clear" w:color="auto" w:fill="auto"/>
                  <w:vAlign w:val="bottom"/>
                </w:tcPr>
                <w:p w:rsidR="0061312B" w:rsidRDefault="0061312B" w:rsidP="00F54CF8">
                  <w:pPr>
                    <w:pStyle w:val="TableColumnHeading"/>
                    <w:ind w:right="28"/>
                  </w:pPr>
                  <w:r>
                    <w:t>50 hours</w:t>
                  </w:r>
                </w:p>
              </w:tc>
            </w:tr>
            <w:tr w:rsidR="00F54CF8" w:rsidTr="00F54CF8">
              <w:tc>
                <w:tcPr>
                  <w:tcW w:w="1741" w:type="pct"/>
                  <w:tcBorders>
                    <w:top w:val="single" w:sz="6" w:space="0" w:color="BFBFBF"/>
                  </w:tcBorders>
                  <w:shd w:val="clear" w:color="auto" w:fill="auto"/>
                </w:tcPr>
                <w:p w:rsidR="0061312B" w:rsidRDefault="0061312B" w:rsidP="000C6143">
                  <w:pPr>
                    <w:pStyle w:val="TableBodyText"/>
                    <w:spacing w:before="120"/>
                    <w:jc w:val="left"/>
                  </w:pPr>
                  <w:r>
                    <w:t>Max CCB subsidy</w:t>
                  </w:r>
                </w:p>
              </w:tc>
              <w:tc>
                <w:tcPr>
                  <w:tcW w:w="835" w:type="pct"/>
                  <w:tcBorders>
                    <w:top w:val="single" w:sz="6" w:space="0" w:color="BFBFBF"/>
                  </w:tcBorders>
                  <w:shd w:val="clear" w:color="auto" w:fill="auto"/>
                </w:tcPr>
                <w:p w:rsidR="0061312B" w:rsidRDefault="0061312B" w:rsidP="000C6143">
                  <w:pPr>
                    <w:pStyle w:val="TableBodyText"/>
                    <w:spacing w:before="120"/>
                  </w:pPr>
                  <w:r>
                    <w:t>$ per week</w:t>
                  </w:r>
                </w:p>
              </w:tc>
              <w:tc>
                <w:tcPr>
                  <w:tcW w:w="1169" w:type="pct"/>
                  <w:tcBorders>
                    <w:top w:val="single" w:sz="6" w:space="0" w:color="BFBFBF"/>
                  </w:tcBorders>
                  <w:shd w:val="clear" w:color="auto" w:fill="auto"/>
                </w:tcPr>
                <w:p w:rsidR="0061312B" w:rsidRDefault="0061312B" w:rsidP="000C6143">
                  <w:pPr>
                    <w:pStyle w:val="TableBodyText"/>
                    <w:spacing w:before="120"/>
                  </w:pPr>
                  <w:r>
                    <w:t>109.73</w:t>
                  </w:r>
                </w:p>
              </w:tc>
              <w:tc>
                <w:tcPr>
                  <w:tcW w:w="668" w:type="pct"/>
                  <w:tcBorders>
                    <w:top w:val="single" w:sz="6" w:space="0" w:color="BFBFBF"/>
                  </w:tcBorders>
                  <w:shd w:val="clear" w:color="auto" w:fill="auto"/>
                </w:tcPr>
                <w:p w:rsidR="0061312B" w:rsidRDefault="0061312B" w:rsidP="000C6143">
                  <w:pPr>
                    <w:pStyle w:val="TableBodyText"/>
                    <w:spacing w:before="120"/>
                  </w:pPr>
                  <w:r>
                    <w:t>159.60</w:t>
                  </w:r>
                </w:p>
              </w:tc>
              <w:tc>
                <w:tcPr>
                  <w:tcW w:w="587" w:type="pct"/>
                  <w:tcBorders>
                    <w:top w:val="single" w:sz="6" w:space="0" w:color="BFBFBF"/>
                  </w:tcBorders>
                  <w:shd w:val="clear" w:color="auto" w:fill="auto"/>
                </w:tcPr>
                <w:p w:rsidR="0061312B" w:rsidRDefault="0061312B" w:rsidP="000C6143">
                  <w:pPr>
                    <w:pStyle w:val="TableBodyText"/>
                    <w:spacing w:before="120"/>
                    <w:ind w:right="28"/>
                  </w:pPr>
                  <w:r>
                    <w:t>199.50</w:t>
                  </w:r>
                </w:p>
              </w:tc>
            </w:tr>
            <w:tr w:rsidR="00F54CF8" w:rsidTr="00F54CF8">
              <w:tc>
                <w:tcPr>
                  <w:tcW w:w="1741" w:type="pct"/>
                  <w:shd w:val="clear" w:color="auto" w:fill="auto"/>
                </w:tcPr>
                <w:p w:rsidR="0061312B" w:rsidRDefault="0061312B" w:rsidP="000C6143">
                  <w:pPr>
                    <w:pStyle w:val="TableBodyText"/>
                    <w:spacing w:before="60"/>
                    <w:jc w:val="left"/>
                  </w:pPr>
                  <w:r>
                    <w:t>Withdrawal of CCB due to $1 increase of weekly income</w:t>
                  </w:r>
                </w:p>
              </w:tc>
              <w:tc>
                <w:tcPr>
                  <w:tcW w:w="835" w:type="pct"/>
                  <w:shd w:val="clear" w:color="auto" w:fill="auto"/>
                  <w:vAlign w:val="center"/>
                </w:tcPr>
                <w:p w:rsidR="0061312B" w:rsidRDefault="0061312B" w:rsidP="000C6143">
                  <w:pPr>
                    <w:pStyle w:val="TableBodyText"/>
                    <w:spacing w:before="60"/>
                  </w:pPr>
                  <w:r>
                    <w:t>cents per week</w:t>
                  </w:r>
                </w:p>
              </w:tc>
              <w:tc>
                <w:tcPr>
                  <w:tcW w:w="1169" w:type="pct"/>
                  <w:shd w:val="clear" w:color="auto" w:fill="auto"/>
                  <w:vAlign w:val="center"/>
                </w:tcPr>
                <w:p w:rsidR="0061312B" w:rsidRDefault="0061312B" w:rsidP="000C6143">
                  <w:pPr>
                    <w:pStyle w:val="TableBodyText"/>
                    <w:spacing w:before="60"/>
                  </w:pPr>
                  <w:r>
                    <w:t>5.5</w:t>
                  </w:r>
                </w:p>
              </w:tc>
              <w:tc>
                <w:tcPr>
                  <w:tcW w:w="668" w:type="pct"/>
                  <w:shd w:val="clear" w:color="auto" w:fill="auto"/>
                  <w:vAlign w:val="center"/>
                </w:tcPr>
                <w:p w:rsidR="0061312B" w:rsidRDefault="0061312B" w:rsidP="000C6143">
                  <w:pPr>
                    <w:pStyle w:val="TableBodyText"/>
                    <w:spacing w:before="60"/>
                  </w:pPr>
                  <w:r>
                    <w:t>8</w:t>
                  </w:r>
                </w:p>
              </w:tc>
              <w:tc>
                <w:tcPr>
                  <w:tcW w:w="587" w:type="pct"/>
                  <w:shd w:val="clear" w:color="auto" w:fill="auto"/>
                  <w:vAlign w:val="center"/>
                </w:tcPr>
                <w:p w:rsidR="0061312B" w:rsidRDefault="0061312B" w:rsidP="000C6143">
                  <w:pPr>
                    <w:pStyle w:val="TableBodyText"/>
                    <w:spacing w:before="60"/>
                    <w:ind w:right="28"/>
                  </w:pPr>
                  <w:r>
                    <w:t>10</w:t>
                  </w:r>
                </w:p>
              </w:tc>
            </w:tr>
            <w:tr w:rsidR="00F54CF8" w:rsidTr="00F54CF8">
              <w:tc>
                <w:tcPr>
                  <w:tcW w:w="1741" w:type="pct"/>
                  <w:shd w:val="clear" w:color="auto" w:fill="auto"/>
                </w:tcPr>
                <w:p w:rsidR="0061312B" w:rsidRDefault="0061312B" w:rsidP="000C6143">
                  <w:pPr>
                    <w:pStyle w:val="TableBodyText"/>
                    <w:spacing w:before="60"/>
                    <w:jc w:val="left"/>
                  </w:pPr>
                  <w:r>
                    <w:t>Associated increase in CCR</w:t>
                  </w:r>
                </w:p>
              </w:tc>
              <w:tc>
                <w:tcPr>
                  <w:tcW w:w="835" w:type="pct"/>
                  <w:shd w:val="clear" w:color="auto" w:fill="auto"/>
                  <w:vAlign w:val="center"/>
                </w:tcPr>
                <w:p w:rsidR="0061312B" w:rsidRDefault="0061312B" w:rsidP="0061312B">
                  <w:pPr>
                    <w:pStyle w:val="TableBodyText"/>
                  </w:pPr>
                  <w:r>
                    <w:t>cents per week</w:t>
                  </w:r>
                </w:p>
              </w:tc>
              <w:tc>
                <w:tcPr>
                  <w:tcW w:w="1169" w:type="pct"/>
                  <w:shd w:val="clear" w:color="auto" w:fill="auto"/>
                  <w:vAlign w:val="center"/>
                </w:tcPr>
                <w:p w:rsidR="0061312B" w:rsidRDefault="0061312B" w:rsidP="0061312B">
                  <w:pPr>
                    <w:pStyle w:val="TableBodyText"/>
                  </w:pPr>
                  <w:r>
                    <w:t>2.25</w:t>
                  </w:r>
                </w:p>
              </w:tc>
              <w:tc>
                <w:tcPr>
                  <w:tcW w:w="668" w:type="pct"/>
                  <w:shd w:val="clear" w:color="auto" w:fill="auto"/>
                  <w:vAlign w:val="center"/>
                </w:tcPr>
                <w:p w:rsidR="0061312B" w:rsidRDefault="0061312B" w:rsidP="0061312B">
                  <w:pPr>
                    <w:pStyle w:val="TableBodyText"/>
                  </w:pPr>
                  <w:r>
                    <w:t>4</w:t>
                  </w:r>
                </w:p>
              </w:tc>
              <w:tc>
                <w:tcPr>
                  <w:tcW w:w="587" w:type="pct"/>
                  <w:shd w:val="clear" w:color="auto" w:fill="auto"/>
                  <w:vAlign w:val="center"/>
                </w:tcPr>
                <w:p w:rsidR="0061312B" w:rsidRDefault="0061312B" w:rsidP="0061312B">
                  <w:pPr>
                    <w:pStyle w:val="TableBodyText"/>
                    <w:ind w:right="28"/>
                  </w:pPr>
                  <w:r>
                    <w:t>5</w:t>
                  </w:r>
                </w:p>
              </w:tc>
            </w:tr>
            <w:tr w:rsidR="0061312B" w:rsidTr="00F54CF8">
              <w:tc>
                <w:tcPr>
                  <w:tcW w:w="1741" w:type="pct"/>
                  <w:tcBorders>
                    <w:bottom w:val="single" w:sz="6" w:space="0" w:color="BFBFBF"/>
                  </w:tcBorders>
                  <w:shd w:val="clear" w:color="auto" w:fill="auto"/>
                </w:tcPr>
                <w:p w:rsidR="0061312B" w:rsidRDefault="0061312B" w:rsidP="000C6143">
                  <w:pPr>
                    <w:pStyle w:val="TableBodyText"/>
                    <w:spacing w:before="60"/>
                    <w:jc w:val="left"/>
                  </w:pPr>
                  <w:r>
                    <w:t>Overall decrease in ECEC subsidies</w:t>
                  </w:r>
                </w:p>
              </w:tc>
              <w:tc>
                <w:tcPr>
                  <w:tcW w:w="835" w:type="pct"/>
                  <w:tcBorders>
                    <w:bottom w:val="single" w:sz="6" w:space="0" w:color="BFBFBF"/>
                  </w:tcBorders>
                  <w:vAlign w:val="center"/>
                </w:tcPr>
                <w:p w:rsidR="0061312B" w:rsidRDefault="0061312B" w:rsidP="0061312B">
                  <w:pPr>
                    <w:pStyle w:val="TableBodyText"/>
                  </w:pPr>
                  <w:r>
                    <w:t>cents per week</w:t>
                  </w:r>
                </w:p>
              </w:tc>
              <w:tc>
                <w:tcPr>
                  <w:tcW w:w="1169" w:type="pct"/>
                  <w:tcBorders>
                    <w:bottom w:val="single" w:sz="6" w:space="0" w:color="BFBFBF"/>
                  </w:tcBorders>
                  <w:vAlign w:val="center"/>
                </w:tcPr>
                <w:p w:rsidR="0061312B" w:rsidRDefault="0061312B" w:rsidP="0061312B">
                  <w:pPr>
                    <w:pStyle w:val="TableBodyText"/>
                  </w:pPr>
                  <w:r>
                    <w:t>2.25</w:t>
                  </w:r>
                </w:p>
              </w:tc>
              <w:tc>
                <w:tcPr>
                  <w:tcW w:w="668" w:type="pct"/>
                  <w:tcBorders>
                    <w:bottom w:val="single" w:sz="6" w:space="0" w:color="BFBFBF"/>
                  </w:tcBorders>
                  <w:shd w:val="clear" w:color="auto" w:fill="auto"/>
                  <w:vAlign w:val="center"/>
                </w:tcPr>
                <w:p w:rsidR="0061312B" w:rsidRDefault="0061312B" w:rsidP="0061312B">
                  <w:pPr>
                    <w:pStyle w:val="TableBodyText"/>
                  </w:pPr>
                  <w:r>
                    <w:t>4</w:t>
                  </w:r>
                </w:p>
              </w:tc>
              <w:tc>
                <w:tcPr>
                  <w:tcW w:w="587" w:type="pct"/>
                  <w:tcBorders>
                    <w:bottom w:val="single" w:sz="6" w:space="0" w:color="BFBFBF"/>
                  </w:tcBorders>
                  <w:shd w:val="clear" w:color="auto" w:fill="auto"/>
                  <w:vAlign w:val="center"/>
                </w:tcPr>
                <w:p w:rsidR="0061312B" w:rsidRDefault="0061312B" w:rsidP="0061312B">
                  <w:pPr>
                    <w:pStyle w:val="TableBodyText"/>
                    <w:ind w:right="28"/>
                  </w:pPr>
                  <w:r>
                    <w:t>5</w:t>
                  </w:r>
                </w:p>
              </w:tc>
            </w:tr>
          </w:tbl>
          <w:p w:rsidR="0061312B" w:rsidRDefault="0061312B" w:rsidP="0061312B">
            <w:pPr>
              <w:pStyle w:val="Box"/>
            </w:pPr>
          </w:p>
        </w:tc>
      </w:tr>
      <w:tr w:rsidR="0061312B" w:rsidTr="0061312B">
        <w:trPr>
          <w:cantSplit/>
        </w:trPr>
        <w:tc>
          <w:tcPr>
            <w:tcW w:w="8771" w:type="dxa"/>
            <w:tcBorders>
              <w:top w:val="nil"/>
              <w:left w:val="nil"/>
              <w:bottom w:val="nil"/>
              <w:right w:val="nil"/>
            </w:tcBorders>
            <w:shd w:val="clear" w:color="auto" w:fill="auto"/>
          </w:tcPr>
          <w:p w:rsidR="0061312B" w:rsidRDefault="0061312B" w:rsidP="0061312B">
            <w:pPr>
              <w:pStyle w:val="Note"/>
              <w:rPr>
                <w:i/>
              </w:rPr>
            </w:pPr>
            <w:r w:rsidRPr="008E77FE">
              <w:rPr>
                <w:rStyle w:val="NoteLabel"/>
              </w:rPr>
              <w:t>a</w:t>
            </w:r>
            <w:r>
              <w:t xml:space="preserve"> For a family with one child in ECEC.</w:t>
            </w:r>
          </w:p>
        </w:tc>
      </w:tr>
      <w:tr w:rsidR="0061312B" w:rsidTr="0061312B">
        <w:trPr>
          <w:cantSplit/>
        </w:trPr>
        <w:tc>
          <w:tcPr>
            <w:tcW w:w="8771" w:type="dxa"/>
            <w:tcBorders>
              <w:top w:val="nil"/>
              <w:left w:val="nil"/>
              <w:bottom w:val="nil"/>
              <w:right w:val="nil"/>
            </w:tcBorders>
            <w:shd w:val="clear" w:color="auto" w:fill="auto"/>
          </w:tcPr>
          <w:p w:rsidR="0061312B" w:rsidRDefault="0061312B" w:rsidP="0061312B">
            <w:pPr>
              <w:pStyle w:val="Source"/>
            </w:pPr>
            <w:r>
              <w:rPr>
                <w:i/>
              </w:rPr>
              <w:t>Source</w:t>
            </w:r>
            <w:r w:rsidRPr="00167F06">
              <w:t xml:space="preserve">: </w:t>
            </w:r>
            <w:r w:rsidR="0093063A">
              <w:t xml:space="preserve">Productivity </w:t>
            </w:r>
            <w:r>
              <w:t>Commission calculations.</w:t>
            </w:r>
          </w:p>
        </w:tc>
      </w:tr>
      <w:tr w:rsidR="0061312B" w:rsidTr="0061312B">
        <w:trPr>
          <w:cantSplit/>
        </w:trPr>
        <w:tc>
          <w:tcPr>
            <w:tcW w:w="8771" w:type="dxa"/>
            <w:tcBorders>
              <w:top w:val="nil"/>
              <w:left w:val="nil"/>
              <w:bottom w:val="single" w:sz="6" w:space="0" w:color="78A22F" w:themeColor="accent1"/>
              <w:right w:val="nil"/>
            </w:tcBorders>
            <w:shd w:val="clear" w:color="auto" w:fill="auto"/>
          </w:tcPr>
          <w:p w:rsidR="0061312B" w:rsidRDefault="0061312B" w:rsidP="0061312B">
            <w:pPr>
              <w:pStyle w:val="Box"/>
              <w:spacing w:before="0" w:line="120" w:lineRule="exact"/>
            </w:pPr>
          </w:p>
        </w:tc>
      </w:tr>
      <w:tr w:rsidR="0061312B" w:rsidRPr="000863A5" w:rsidTr="0061312B">
        <w:tc>
          <w:tcPr>
            <w:tcW w:w="8771" w:type="dxa"/>
            <w:tcBorders>
              <w:top w:val="single" w:sz="6" w:space="0" w:color="78A22F" w:themeColor="accent1"/>
              <w:left w:val="nil"/>
              <w:bottom w:val="nil"/>
              <w:right w:val="nil"/>
            </w:tcBorders>
          </w:tcPr>
          <w:p w:rsidR="0061312B" w:rsidRPr="00626D32" w:rsidRDefault="0061312B" w:rsidP="0061312B">
            <w:pPr>
              <w:pStyle w:val="BoxSpaceBelow"/>
            </w:pPr>
          </w:p>
        </w:tc>
      </w:tr>
    </w:tbl>
    <w:p w:rsidR="00B132EB" w:rsidRDefault="00B132EB" w:rsidP="00503A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132EB" w:rsidTr="00503AAD">
        <w:tc>
          <w:tcPr>
            <w:tcW w:w="8771" w:type="dxa"/>
            <w:tcBorders>
              <w:top w:val="single" w:sz="6" w:space="0" w:color="78A22F"/>
              <w:left w:val="nil"/>
              <w:bottom w:val="nil"/>
              <w:right w:val="nil"/>
            </w:tcBorders>
            <w:shd w:val="clear" w:color="auto" w:fill="auto"/>
          </w:tcPr>
          <w:p w:rsidR="00B132EB" w:rsidRDefault="00B132EB" w:rsidP="00503A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6</w:t>
            </w:r>
            <w:r w:rsidRPr="00784A05">
              <w:rPr>
                <w:b w:val="0"/>
              </w:rPr>
              <w:fldChar w:fldCharType="end"/>
            </w:r>
            <w:r>
              <w:tab/>
              <w:t>How applied CCB taper rates change based on weekly hours of care</w:t>
            </w:r>
          </w:p>
          <w:p w:rsidR="00B132EB" w:rsidRPr="00176D3F" w:rsidRDefault="00B132EB" w:rsidP="00503AAD">
            <w:pPr>
              <w:pStyle w:val="Subtitle"/>
            </w:pPr>
            <w:r>
              <w:t>For long day care and family day care for a family with 1 child in care</w:t>
            </w:r>
          </w:p>
        </w:tc>
      </w:tr>
      <w:tr w:rsidR="00B132EB" w:rsidTr="00503AAD">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132EB" w:rsidTr="00503AAD">
              <w:tc>
                <w:tcPr>
                  <w:tcW w:w="5000" w:type="pct"/>
                  <w:tcBorders>
                    <w:top w:val="nil"/>
                    <w:bottom w:val="nil"/>
                  </w:tcBorders>
                </w:tcPr>
                <w:p w:rsidR="00B132EB" w:rsidRDefault="00B132EB" w:rsidP="00503AAD">
                  <w:pPr>
                    <w:pStyle w:val="Figure"/>
                    <w:spacing w:before="60" w:after="60"/>
                  </w:pPr>
                  <w:r>
                    <w:rPr>
                      <w:noProof/>
                    </w:rPr>
                    <w:drawing>
                      <wp:inline distT="0" distB="0" distL="0" distR="0" wp14:anchorId="1A7BEBD5" wp14:editId="1F130CB1">
                        <wp:extent cx="5391150" cy="2876550"/>
                        <wp:effectExtent l="0" t="0" r="0" b="0"/>
                        <wp:docPr id="25" name="Picture 25" descr="This figure highlights illustrates that the actual taper rate for CCB payments is often well below the stated tapper rate. The operation of these factors is explor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B132EB" w:rsidRDefault="00B132EB" w:rsidP="00503AAD">
            <w:pPr>
              <w:pStyle w:val="Figure"/>
            </w:pPr>
          </w:p>
        </w:tc>
      </w:tr>
      <w:tr w:rsidR="00B132EB" w:rsidRPr="00176D3F" w:rsidTr="00503AAD">
        <w:tc>
          <w:tcPr>
            <w:tcW w:w="8771" w:type="dxa"/>
            <w:tcBorders>
              <w:top w:val="nil"/>
              <w:left w:val="nil"/>
              <w:bottom w:val="nil"/>
              <w:right w:val="nil"/>
            </w:tcBorders>
            <w:shd w:val="clear" w:color="auto" w:fill="auto"/>
          </w:tcPr>
          <w:p w:rsidR="00B132EB" w:rsidRPr="00176D3F" w:rsidRDefault="0093063A" w:rsidP="00503AAD">
            <w:pPr>
              <w:pStyle w:val="Source"/>
            </w:pPr>
            <w:r>
              <w:rPr>
                <w:i/>
              </w:rPr>
              <w:t>Source</w:t>
            </w:r>
            <w:r w:rsidR="00B132EB" w:rsidRPr="00176D3F">
              <w:t xml:space="preserve">: </w:t>
            </w:r>
            <w:r>
              <w:t xml:space="preserve">Productivity </w:t>
            </w:r>
            <w:r w:rsidR="00B132EB">
              <w:t>Commission calculations.</w:t>
            </w:r>
          </w:p>
        </w:tc>
      </w:tr>
      <w:tr w:rsidR="00B132EB" w:rsidTr="00503AAD">
        <w:tc>
          <w:tcPr>
            <w:tcW w:w="8771" w:type="dxa"/>
            <w:tcBorders>
              <w:top w:val="nil"/>
              <w:left w:val="nil"/>
              <w:bottom w:val="single" w:sz="6" w:space="0" w:color="78A22F"/>
              <w:right w:val="nil"/>
            </w:tcBorders>
            <w:shd w:val="clear" w:color="auto" w:fill="auto"/>
          </w:tcPr>
          <w:p w:rsidR="00B132EB" w:rsidRDefault="00B132EB" w:rsidP="00503AAD">
            <w:pPr>
              <w:pStyle w:val="Figurespace"/>
            </w:pPr>
          </w:p>
        </w:tc>
      </w:tr>
      <w:tr w:rsidR="00B132EB" w:rsidRPr="000863A5" w:rsidTr="00503AAD">
        <w:tc>
          <w:tcPr>
            <w:tcW w:w="8771" w:type="dxa"/>
            <w:tcBorders>
              <w:top w:val="single" w:sz="6" w:space="0" w:color="78A22F"/>
              <w:left w:val="nil"/>
              <w:bottom w:val="nil"/>
              <w:right w:val="nil"/>
            </w:tcBorders>
          </w:tcPr>
          <w:p w:rsidR="00B132EB" w:rsidRPr="00626D32" w:rsidRDefault="00B132EB" w:rsidP="00503AAD">
            <w:pPr>
              <w:pStyle w:val="BoxSpaceBelow"/>
            </w:pPr>
          </w:p>
        </w:tc>
      </w:tr>
    </w:tbl>
    <w:p w:rsidR="00D26D17" w:rsidRPr="000309AA" w:rsidRDefault="00D26D17" w:rsidP="000309AA">
      <w:pPr>
        <w:pStyle w:val="BodyText"/>
      </w:pPr>
      <w:r w:rsidRPr="000309AA">
        <w:t xml:space="preserve">The stated taper rates for CCB are the maximum that families will face. They only apply if children in the family are using ECEC services on a full-time basis. If they are using less care, then the taper that will apply will be lower than the stated taper. The reduced rate will be proportional to the ratio of the maximum rate of CCB, given the hours of ECEC used to determine the maximum CCB rate that would apply if ECEC was used on a full-time basis. For those families who are also eligible for CCR assistance — and who have not reached </w:t>
      </w:r>
      <w:r w:rsidRPr="000309AA">
        <w:lastRenderedPageBreak/>
        <w:t>the CCR threshold — the effective loss of childcare subsidies would only be half of the applied CCB taper rate due to the subsequent increase in CCR received.</w:t>
      </w:r>
    </w:p>
    <w:p w:rsidR="00D26D17" w:rsidRPr="00E205F3" w:rsidRDefault="00D26D17" w:rsidP="00D26D17">
      <w:pPr>
        <w:pStyle w:val="Heading4"/>
      </w:pPr>
      <w:r w:rsidRPr="00E205F3">
        <w:t xml:space="preserve">How the </w:t>
      </w:r>
      <w:r w:rsidR="004D2654">
        <w:t xml:space="preserve">CCB </w:t>
      </w:r>
      <w:r w:rsidRPr="00E205F3">
        <w:t>taper rates vary by number of children in care</w:t>
      </w:r>
      <w:r>
        <w:t xml:space="preserve"> and family income</w:t>
      </w:r>
    </w:p>
    <w:p w:rsidR="00D26D17" w:rsidRPr="000309AA" w:rsidRDefault="00D26D17" w:rsidP="000309AA">
      <w:pPr>
        <w:pStyle w:val="BodyText"/>
      </w:pPr>
      <w:r w:rsidRPr="000309AA">
        <w:t xml:space="preserve">Under the CCB arrangements, the stated taper differs based on the number of children. The taper rates for multiple children are higher than for families who only have one child in care. </w:t>
      </w:r>
    </w:p>
    <w:p w:rsidR="00D26D17" w:rsidRPr="000309AA" w:rsidRDefault="00D26D17" w:rsidP="000309AA">
      <w:pPr>
        <w:pStyle w:val="BodyText"/>
      </w:pPr>
      <w:r w:rsidRPr="000309AA">
        <w:t>The taper rate also varies by family income. Regardless of the number of children in care, assistance doesn’t begin to reduce until annual family income reaches $41 902 in 2013</w:t>
      </w:r>
      <w:r w:rsidRPr="000309AA">
        <w:noBreakHyphen/>
        <w:t xml:space="preserve">14. For incomes above that level, assistance tapers at a constant rate of 10 cents in the dollar for families who have one child, and the family is entitled to no CCB once income exceeds $145 642. </w:t>
      </w:r>
    </w:p>
    <w:p w:rsidR="00D26D17" w:rsidRPr="000309AA" w:rsidRDefault="00D26D17" w:rsidP="000309AA">
      <w:pPr>
        <w:pStyle w:val="BodyText"/>
      </w:pPr>
      <w:r w:rsidRPr="000309AA">
        <w:t>For families with more than one child, a two part taper is used. For families with two children, the first taper of 15 cents in the dollar for the family (or 7.5 cents in the dollar per child) applies to income ranges between $41 902 and $97 632, with a higher taper — 25 cents in the dollar per family or 12.5 cents in the dollar per child — applying between $97 632 and when assistance cuts out at $151 747 (table </w:t>
      </w:r>
      <w:r w:rsidR="00A7553B">
        <w:t>E.</w:t>
      </w:r>
      <w:r w:rsidR="00862151" w:rsidRPr="000309AA">
        <w:t>7</w:t>
      </w:r>
      <w:r w:rsidRPr="000309AA">
        <w:t xml:space="preserve">). </w:t>
      </w:r>
    </w:p>
    <w:p w:rsidR="00B132EB" w:rsidRDefault="00B132EB" w:rsidP="00503AA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132EB" w:rsidTr="00503AAD">
        <w:tc>
          <w:tcPr>
            <w:tcW w:w="8771" w:type="dxa"/>
            <w:tcBorders>
              <w:top w:val="single" w:sz="6" w:space="0" w:color="78A22F" w:themeColor="accent1"/>
              <w:left w:val="nil"/>
              <w:bottom w:val="nil"/>
              <w:right w:val="nil"/>
            </w:tcBorders>
            <w:shd w:val="clear" w:color="auto" w:fill="auto"/>
          </w:tcPr>
          <w:p w:rsidR="00B132EB" w:rsidRDefault="00B132EB" w:rsidP="00503AAD">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7</w:t>
            </w:r>
            <w:r>
              <w:rPr>
                <w:b w:val="0"/>
              </w:rPr>
              <w:fldChar w:fldCharType="end"/>
            </w:r>
            <w:r>
              <w:tab/>
              <w:t>Per child CCB taper rates — cents in the dollar</w:t>
            </w:r>
          </w:p>
          <w:p w:rsidR="00B132EB" w:rsidRPr="00784A05" w:rsidRDefault="00B132EB" w:rsidP="00503AAD">
            <w:pPr>
              <w:pStyle w:val="Subtitle"/>
            </w:pPr>
            <w:r>
              <w:t>All children using either FDC or LDC on a full time basis in 2013</w:t>
            </w:r>
            <w:r>
              <w:noBreakHyphen/>
              <w:t>14</w:t>
            </w:r>
          </w:p>
        </w:tc>
      </w:tr>
      <w:tr w:rsidR="00B132EB" w:rsidTr="00503AAD">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702"/>
              <w:gridCol w:w="1697"/>
              <w:gridCol w:w="1697"/>
              <w:gridCol w:w="1697"/>
              <w:gridCol w:w="1694"/>
            </w:tblGrid>
            <w:tr w:rsidR="00B132EB" w:rsidTr="000C6143">
              <w:tc>
                <w:tcPr>
                  <w:tcW w:w="1002" w:type="pct"/>
                  <w:tcBorders>
                    <w:top w:val="single" w:sz="6" w:space="0" w:color="BFBFBF"/>
                    <w:bottom w:val="single" w:sz="6" w:space="0" w:color="BFBFBF"/>
                  </w:tcBorders>
                  <w:shd w:val="clear" w:color="auto" w:fill="auto"/>
                  <w:vAlign w:val="bottom"/>
                </w:tcPr>
                <w:p w:rsidR="00B132EB" w:rsidRDefault="00B132EB" w:rsidP="00503AAD">
                  <w:pPr>
                    <w:pStyle w:val="TableColumnHeading"/>
                    <w:jc w:val="left"/>
                  </w:pPr>
                  <w:r>
                    <w:t>Stated taper</w:t>
                  </w:r>
                </w:p>
              </w:tc>
              <w:tc>
                <w:tcPr>
                  <w:tcW w:w="1000" w:type="pct"/>
                  <w:tcBorders>
                    <w:top w:val="single" w:sz="6" w:space="0" w:color="BFBFBF"/>
                    <w:bottom w:val="single" w:sz="6" w:space="0" w:color="BFBFBF"/>
                  </w:tcBorders>
                  <w:shd w:val="clear" w:color="auto" w:fill="auto"/>
                </w:tcPr>
                <w:p w:rsidR="00B132EB" w:rsidRDefault="00B132EB" w:rsidP="00503AAD">
                  <w:pPr>
                    <w:pStyle w:val="TableColumnHeading"/>
                  </w:pPr>
                </w:p>
              </w:tc>
              <w:tc>
                <w:tcPr>
                  <w:tcW w:w="1000" w:type="pct"/>
                  <w:tcBorders>
                    <w:top w:val="single" w:sz="6" w:space="0" w:color="BFBFBF"/>
                    <w:bottom w:val="single" w:sz="6" w:space="0" w:color="BFBFBF"/>
                  </w:tcBorders>
                </w:tcPr>
                <w:p w:rsidR="00B132EB" w:rsidRDefault="00B132EB" w:rsidP="00503AAD">
                  <w:pPr>
                    <w:pStyle w:val="TableColumnHeading"/>
                  </w:pPr>
                  <w:r>
                    <w:t>maximum taper — 1 child in care</w:t>
                  </w:r>
                </w:p>
              </w:tc>
              <w:tc>
                <w:tcPr>
                  <w:tcW w:w="1000" w:type="pct"/>
                  <w:tcBorders>
                    <w:top w:val="single" w:sz="6" w:space="0" w:color="BFBFBF"/>
                    <w:bottom w:val="single" w:sz="6" w:space="0" w:color="BFBFBF"/>
                  </w:tcBorders>
                  <w:shd w:val="clear" w:color="auto" w:fill="auto"/>
                </w:tcPr>
                <w:p w:rsidR="00B132EB" w:rsidRDefault="00B132EB" w:rsidP="00503AAD">
                  <w:pPr>
                    <w:pStyle w:val="TableColumnHeading"/>
                  </w:pPr>
                  <w:r>
                    <w:t>maximum taper — 2 children in care</w:t>
                  </w:r>
                </w:p>
              </w:tc>
              <w:tc>
                <w:tcPr>
                  <w:tcW w:w="998" w:type="pct"/>
                  <w:tcBorders>
                    <w:top w:val="single" w:sz="6" w:space="0" w:color="BFBFBF"/>
                    <w:bottom w:val="single" w:sz="6" w:space="0" w:color="BFBFBF"/>
                  </w:tcBorders>
                  <w:shd w:val="clear" w:color="auto" w:fill="auto"/>
                </w:tcPr>
                <w:p w:rsidR="00B132EB" w:rsidRDefault="00B132EB" w:rsidP="00503AAD">
                  <w:pPr>
                    <w:pStyle w:val="TableColumnHeading"/>
                    <w:ind w:right="28"/>
                  </w:pPr>
                  <w:r>
                    <w:t xml:space="preserve">maximum taper — </w:t>
                  </w:r>
                  <w:r w:rsidR="005E3639">
                    <w:br/>
                  </w:r>
                  <w:r>
                    <w:t>3 children in care</w:t>
                  </w:r>
                </w:p>
              </w:tc>
            </w:tr>
            <w:tr w:rsidR="00B132EB" w:rsidTr="00861527">
              <w:tc>
                <w:tcPr>
                  <w:tcW w:w="1002" w:type="pct"/>
                  <w:vMerge w:val="restart"/>
                  <w:tcBorders>
                    <w:top w:val="single" w:sz="6" w:space="0" w:color="BFBFBF"/>
                  </w:tcBorders>
                  <w:shd w:val="clear" w:color="auto" w:fill="auto"/>
                  <w:vAlign w:val="center"/>
                </w:tcPr>
                <w:p w:rsidR="00B132EB" w:rsidRDefault="00B132EB" w:rsidP="000C6143">
                  <w:pPr>
                    <w:pStyle w:val="TableBodyText"/>
                    <w:spacing w:before="60"/>
                    <w:jc w:val="left"/>
                  </w:pPr>
                  <w:r>
                    <w:t>Taper 1</w:t>
                  </w:r>
                </w:p>
              </w:tc>
              <w:tc>
                <w:tcPr>
                  <w:tcW w:w="1000" w:type="pct"/>
                  <w:tcBorders>
                    <w:top w:val="single" w:sz="6" w:space="0" w:color="BFBFBF"/>
                  </w:tcBorders>
                  <w:shd w:val="clear" w:color="auto" w:fill="auto"/>
                </w:tcPr>
                <w:p w:rsidR="00B132EB" w:rsidRDefault="00B132EB" w:rsidP="00503AAD">
                  <w:pPr>
                    <w:pStyle w:val="TableBodyText"/>
                    <w:spacing w:before="60"/>
                  </w:pPr>
                  <w:r>
                    <w:t>Stated taper</w:t>
                  </w:r>
                </w:p>
              </w:tc>
              <w:tc>
                <w:tcPr>
                  <w:tcW w:w="1000" w:type="pct"/>
                  <w:tcBorders>
                    <w:top w:val="single" w:sz="6" w:space="0" w:color="BFBFBF"/>
                  </w:tcBorders>
                  <w:shd w:val="clear" w:color="auto" w:fill="auto"/>
                </w:tcPr>
                <w:p w:rsidR="00B132EB" w:rsidRDefault="00B132EB" w:rsidP="00503AAD">
                  <w:pPr>
                    <w:pStyle w:val="TableBodyText"/>
                    <w:spacing w:before="60"/>
                  </w:pPr>
                  <w:r>
                    <w:t>10</w:t>
                  </w:r>
                </w:p>
              </w:tc>
              <w:tc>
                <w:tcPr>
                  <w:tcW w:w="1000" w:type="pct"/>
                  <w:tcBorders>
                    <w:top w:val="single" w:sz="6" w:space="0" w:color="BFBFBF"/>
                  </w:tcBorders>
                  <w:shd w:val="clear" w:color="auto" w:fill="auto"/>
                </w:tcPr>
                <w:p w:rsidR="00B132EB" w:rsidRDefault="00B132EB" w:rsidP="00503AAD">
                  <w:pPr>
                    <w:pStyle w:val="TableBodyText"/>
                    <w:spacing w:before="60"/>
                  </w:pPr>
                  <w:r>
                    <w:t>15</w:t>
                  </w:r>
                  <w:r w:rsidR="00861527">
                    <w:t>   </w:t>
                  </w:r>
                </w:p>
              </w:tc>
              <w:tc>
                <w:tcPr>
                  <w:tcW w:w="998" w:type="pct"/>
                  <w:tcBorders>
                    <w:top w:val="single" w:sz="6" w:space="0" w:color="BFBFBF"/>
                  </w:tcBorders>
                  <w:shd w:val="clear" w:color="auto" w:fill="auto"/>
                </w:tcPr>
                <w:p w:rsidR="00B132EB" w:rsidRDefault="00B132EB" w:rsidP="00503AAD">
                  <w:pPr>
                    <w:pStyle w:val="TableBodyText"/>
                    <w:spacing w:before="60"/>
                    <w:ind w:right="28"/>
                  </w:pPr>
                  <w:r>
                    <w:t>15</w:t>
                  </w:r>
                  <w:r w:rsidR="00861527">
                    <w:t>   </w:t>
                  </w:r>
                </w:p>
              </w:tc>
            </w:tr>
            <w:tr w:rsidR="00B132EB" w:rsidTr="00861527">
              <w:tc>
                <w:tcPr>
                  <w:tcW w:w="1002" w:type="pct"/>
                  <w:vMerge/>
                  <w:shd w:val="clear" w:color="auto" w:fill="auto"/>
                </w:tcPr>
                <w:p w:rsidR="00B132EB" w:rsidRDefault="00B132EB" w:rsidP="00503AAD">
                  <w:pPr>
                    <w:pStyle w:val="TableBodyText"/>
                    <w:jc w:val="left"/>
                  </w:pPr>
                </w:p>
              </w:tc>
              <w:tc>
                <w:tcPr>
                  <w:tcW w:w="1000" w:type="pct"/>
                  <w:shd w:val="clear" w:color="auto" w:fill="auto"/>
                </w:tcPr>
                <w:p w:rsidR="00B132EB" w:rsidRDefault="00B132EB" w:rsidP="00503AAD">
                  <w:pPr>
                    <w:pStyle w:val="TableBodyText"/>
                  </w:pPr>
                  <w:r>
                    <w:t>Per child taper</w:t>
                  </w:r>
                </w:p>
              </w:tc>
              <w:tc>
                <w:tcPr>
                  <w:tcW w:w="1000" w:type="pct"/>
                  <w:shd w:val="clear" w:color="auto" w:fill="auto"/>
                </w:tcPr>
                <w:p w:rsidR="00B132EB" w:rsidRDefault="00B132EB" w:rsidP="00503AAD">
                  <w:pPr>
                    <w:pStyle w:val="TableBodyText"/>
                  </w:pPr>
                  <w:r>
                    <w:t>10</w:t>
                  </w:r>
                </w:p>
              </w:tc>
              <w:tc>
                <w:tcPr>
                  <w:tcW w:w="1000" w:type="pct"/>
                  <w:shd w:val="clear" w:color="auto" w:fill="auto"/>
                </w:tcPr>
                <w:p w:rsidR="00B132EB" w:rsidRDefault="00B132EB" w:rsidP="00503AAD">
                  <w:pPr>
                    <w:pStyle w:val="TableBodyText"/>
                  </w:pPr>
                  <w:r>
                    <w:t>7.5</w:t>
                  </w:r>
                </w:p>
              </w:tc>
              <w:tc>
                <w:tcPr>
                  <w:tcW w:w="998" w:type="pct"/>
                  <w:shd w:val="clear" w:color="auto" w:fill="auto"/>
                </w:tcPr>
                <w:p w:rsidR="00B132EB" w:rsidRDefault="00B132EB" w:rsidP="00503AAD">
                  <w:pPr>
                    <w:pStyle w:val="TableBodyText"/>
                    <w:ind w:right="28"/>
                  </w:pPr>
                  <w:r>
                    <w:t>5.0</w:t>
                  </w:r>
                </w:p>
              </w:tc>
            </w:tr>
            <w:tr w:rsidR="00B132EB" w:rsidTr="000C6143">
              <w:tc>
                <w:tcPr>
                  <w:tcW w:w="1002" w:type="pct"/>
                  <w:vMerge w:val="restart"/>
                  <w:tcBorders>
                    <w:bottom w:val="single" w:sz="6" w:space="0" w:color="BFBFBF"/>
                  </w:tcBorders>
                  <w:vAlign w:val="center"/>
                </w:tcPr>
                <w:p w:rsidR="00B132EB" w:rsidRDefault="00B132EB" w:rsidP="000C6143">
                  <w:pPr>
                    <w:pStyle w:val="TableBodyText"/>
                    <w:spacing w:before="40"/>
                    <w:jc w:val="left"/>
                  </w:pPr>
                  <w:r>
                    <w:t>Taper 2</w:t>
                  </w:r>
                </w:p>
              </w:tc>
              <w:tc>
                <w:tcPr>
                  <w:tcW w:w="1000" w:type="pct"/>
                </w:tcPr>
                <w:p w:rsidR="00B132EB" w:rsidRDefault="00B132EB" w:rsidP="000C6143">
                  <w:pPr>
                    <w:pStyle w:val="TableBodyText"/>
                    <w:spacing w:before="40"/>
                  </w:pPr>
                  <w:r>
                    <w:t>Stated taper</w:t>
                  </w:r>
                </w:p>
              </w:tc>
              <w:tc>
                <w:tcPr>
                  <w:tcW w:w="1000" w:type="pct"/>
                </w:tcPr>
                <w:p w:rsidR="00B132EB" w:rsidRDefault="00B132EB" w:rsidP="000C6143">
                  <w:pPr>
                    <w:pStyle w:val="TableBodyText"/>
                    <w:spacing w:before="40"/>
                  </w:pPr>
                  <w:r>
                    <w:t>na</w:t>
                  </w:r>
                </w:p>
              </w:tc>
              <w:tc>
                <w:tcPr>
                  <w:tcW w:w="1000" w:type="pct"/>
                </w:tcPr>
                <w:p w:rsidR="00B132EB" w:rsidRDefault="00B132EB" w:rsidP="000C6143">
                  <w:pPr>
                    <w:pStyle w:val="TableBodyText"/>
                    <w:spacing w:before="40"/>
                  </w:pPr>
                  <w:r>
                    <w:t>25</w:t>
                  </w:r>
                  <w:r w:rsidR="00861527">
                    <w:t>   </w:t>
                  </w:r>
                </w:p>
              </w:tc>
              <w:tc>
                <w:tcPr>
                  <w:tcW w:w="998" w:type="pct"/>
                </w:tcPr>
                <w:p w:rsidR="00B132EB" w:rsidRDefault="00B132EB" w:rsidP="000C6143">
                  <w:pPr>
                    <w:pStyle w:val="TableBodyText"/>
                    <w:spacing w:before="40"/>
                  </w:pPr>
                  <w:r>
                    <w:t>35</w:t>
                  </w:r>
                  <w:r w:rsidR="00861527">
                    <w:t> </w:t>
                  </w:r>
                </w:p>
              </w:tc>
            </w:tr>
            <w:tr w:rsidR="00B132EB" w:rsidTr="00503AAD">
              <w:tc>
                <w:tcPr>
                  <w:tcW w:w="1002" w:type="pct"/>
                  <w:vMerge/>
                  <w:tcBorders>
                    <w:bottom w:val="single" w:sz="6" w:space="0" w:color="BFBFBF"/>
                  </w:tcBorders>
                  <w:shd w:val="clear" w:color="auto" w:fill="auto"/>
                </w:tcPr>
                <w:p w:rsidR="00B132EB" w:rsidRDefault="00B132EB" w:rsidP="00503AAD">
                  <w:pPr>
                    <w:pStyle w:val="TableBodyText"/>
                    <w:jc w:val="left"/>
                  </w:pPr>
                </w:p>
              </w:tc>
              <w:tc>
                <w:tcPr>
                  <w:tcW w:w="1000" w:type="pct"/>
                  <w:tcBorders>
                    <w:bottom w:val="single" w:sz="6" w:space="0" w:color="BFBFBF"/>
                  </w:tcBorders>
                </w:tcPr>
                <w:p w:rsidR="00B132EB" w:rsidRDefault="00B132EB" w:rsidP="00503AAD">
                  <w:pPr>
                    <w:pStyle w:val="TableBodyText"/>
                  </w:pPr>
                  <w:r>
                    <w:t>Per child taper</w:t>
                  </w:r>
                </w:p>
              </w:tc>
              <w:tc>
                <w:tcPr>
                  <w:tcW w:w="1000" w:type="pct"/>
                  <w:tcBorders>
                    <w:bottom w:val="single" w:sz="6" w:space="0" w:color="BFBFBF"/>
                  </w:tcBorders>
                </w:tcPr>
                <w:p w:rsidR="00B132EB" w:rsidRDefault="00B132EB" w:rsidP="00503AAD">
                  <w:pPr>
                    <w:pStyle w:val="TableBodyText"/>
                  </w:pPr>
                  <w:r>
                    <w:t>na</w:t>
                  </w:r>
                </w:p>
              </w:tc>
              <w:tc>
                <w:tcPr>
                  <w:tcW w:w="1000" w:type="pct"/>
                  <w:tcBorders>
                    <w:bottom w:val="single" w:sz="6" w:space="0" w:color="BFBFBF"/>
                  </w:tcBorders>
                  <w:shd w:val="clear" w:color="auto" w:fill="auto"/>
                </w:tcPr>
                <w:p w:rsidR="00B132EB" w:rsidRDefault="00B132EB" w:rsidP="00503AAD">
                  <w:pPr>
                    <w:pStyle w:val="TableBodyText"/>
                  </w:pPr>
                  <w:r>
                    <w:t>12.5</w:t>
                  </w:r>
                </w:p>
              </w:tc>
              <w:tc>
                <w:tcPr>
                  <w:tcW w:w="998" w:type="pct"/>
                  <w:tcBorders>
                    <w:bottom w:val="single" w:sz="6" w:space="0" w:color="BFBFBF"/>
                  </w:tcBorders>
                  <w:shd w:val="clear" w:color="auto" w:fill="auto"/>
                </w:tcPr>
                <w:p w:rsidR="00B132EB" w:rsidRDefault="00B132EB" w:rsidP="00503AAD">
                  <w:pPr>
                    <w:pStyle w:val="TableBodyText"/>
                    <w:ind w:right="28"/>
                  </w:pPr>
                  <w:r>
                    <w:t>11.7</w:t>
                  </w:r>
                </w:p>
              </w:tc>
            </w:tr>
          </w:tbl>
          <w:p w:rsidR="00B132EB" w:rsidRDefault="00B132EB" w:rsidP="00503AAD">
            <w:pPr>
              <w:pStyle w:val="Box"/>
            </w:pPr>
          </w:p>
        </w:tc>
      </w:tr>
      <w:tr w:rsidR="00B132EB" w:rsidTr="00503AAD">
        <w:trPr>
          <w:cantSplit/>
        </w:trPr>
        <w:tc>
          <w:tcPr>
            <w:tcW w:w="8771" w:type="dxa"/>
            <w:tcBorders>
              <w:top w:val="nil"/>
              <w:left w:val="nil"/>
              <w:bottom w:val="nil"/>
              <w:right w:val="nil"/>
            </w:tcBorders>
            <w:shd w:val="clear" w:color="auto" w:fill="auto"/>
          </w:tcPr>
          <w:p w:rsidR="00B132EB" w:rsidRDefault="00B132EB" w:rsidP="00503AAD">
            <w:pPr>
              <w:pStyle w:val="Source"/>
            </w:pPr>
            <w:r>
              <w:rPr>
                <w:i/>
              </w:rPr>
              <w:t>Source</w:t>
            </w:r>
            <w:r>
              <w:t xml:space="preserve">: </w:t>
            </w:r>
            <w:r w:rsidR="0093063A">
              <w:t xml:space="preserve">Productivity </w:t>
            </w:r>
            <w:r>
              <w:t>Commission calculations.</w:t>
            </w:r>
          </w:p>
        </w:tc>
      </w:tr>
      <w:tr w:rsidR="00B132EB" w:rsidTr="00503AAD">
        <w:trPr>
          <w:cantSplit/>
        </w:trPr>
        <w:tc>
          <w:tcPr>
            <w:tcW w:w="8771" w:type="dxa"/>
            <w:tcBorders>
              <w:top w:val="nil"/>
              <w:left w:val="nil"/>
              <w:bottom w:val="single" w:sz="6" w:space="0" w:color="78A22F" w:themeColor="accent1"/>
              <w:right w:val="nil"/>
            </w:tcBorders>
            <w:shd w:val="clear" w:color="auto" w:fill="auto"/>
          </w:tcPr>
          <w:p w:rsidR="00B132EB" w:rsidRDefault="00B132EB" w:rsidP="00503AAD">
            <w:pPr>
              <w:pStyle w:val="Box"/>
              <w:spacing w:before="0" w:line="120" w:lineRule="exact"/>
            </w:pPr>
          </w:p>
        </w:tc>
      </w:tr>
      <w:tr w:rsidR="00B132EB" w:rsidRPr="000863A5" w:rsidTr="00503AAD">
        <w:tc>
          <w:tcPr>
            <w:tcW w:w="8771" w:type="dxa"/>
            <w:tcBorders>
              <w:top w:val="single" w:sz="6" w:space="0" w:color="78A22F" w:themeColor="accent1"/>
              <w:left w:val="nil"/>
              <w:bottom w:val="nil"/>
              <w:right w:val="nil"/>
            </w:tcBorders>
          </w:tcPr>
          <w:p w:rsidR="00B132EB" w:rsidRPr="00626D32" w:rsidRDefault="00B132EB" w:rsidP="00503AAD">
            <w:pPr>
              <w:pStyle w:val="BoxSpaceBelow"/>
            </w:pPr>
          </w:p>
        </w:tc>
      </w:tr>
    </w:tbl>
    <w:p w:rsidR="00D26D17" w:rsidRPr="000309AA" w:rsidRDefault="00D26D17" w:rsidP="000309AA">
      <w:pPr>
        <w:pStyle w:val="BodyText"/>
      </w:pPr>
      <w:r w:rsidRPr="000309AA">
        <w:t>Families with three children in care are still entitled to receive some CCB assistance for family incomes up to $170 000 (figure </w:t>
      </w:r>
      <w:r w:rsidR="00A7553B">
        <w:t>E.</w:t>
      </w:r>
      <w:r w:rsidR="00862151" w:rsidRPr="000309AA">
        <w:t>7</w:t>
      </w:r>
      <w:r w:rsidRPr="000309AA">
        <w:t>). For those families, the per child taper is 5.0 cents in the dollar for family incomes between $41 902 and $97 632 and 11.7 cents in the dollar for incomes over that amount.</w:t>
      </w:r>
    </w:p>
    <w:p w:rsidR="00D26D17" w:rsidRPr="000309AA" w:rsidRDefault="00D26D17" w:rsidP="000309AA">
      <w:pPr>
        <w:pStyle w:val="BodyText"/>
      </w:pPr>
      <w:r w:rsidRPr="000309AA">
        <w:t>Despite having higher tapers, the subsidies that families with multiple children in care are entitled to are always higher than for a family with one child in care which has the same family income (figure </w:t>
      </w:r>
      <w:r w:rsidR="00A7553B">
        <w:t>E.</w:t>
      </w:r>
      <w:r w:rsidR="00862151" w:rsidRPr="000309AA">
        <w:t>7</w:t>
      </w:r>
      <w:r w:rsidRPr="000309AA">
        <w:t>).</w:t>
      </w:r>
    </w:p>
    <w:p w:rsidR="00B132EB" w:rsidRDefault="00B132EB" w:rsidP="00503A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132EB" w:rsidTr="00503AAD">
        <w:tc>
          <w:tcPr>
            <w:tcW w:w="8771" w:type="dxa"/>
            <w:tcBorders>
              <w:top w:val="single" w:sz="6" w:space="0" w:color="78A22F"/>
              <w:left w:val="nil"/>
              <w:bottom w:val="nil"/>
              <w:right w:val="nil"/>
            </w:tcBorders>
            <w:shd w:val="clear" w:color="auto" w:fill="auto"/>
          </w:tcPr>
          <w:p w:rsidR="00B132EB" w:rsidRDefault="00B132EB" w:rsidP="00503A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7</w:t>
            </w:r>
            <w:r w:rsidRPr="00784A05">
              <w:rPr>
                <w:b w:val="0"/>
              </w:rPr>
              <w:fldChar w:fldCharType="end"/>
            </w:r>
            <w:r>
              <w:tab/>
              <w:t>Per child weekly CCB amounts</w:t>
            </w:r>
          </w:p>
          <w:p w:rsidR="00B132EB" w:rsidRPr="00176D3F" w:rsidRDefault="00B132EB" w:rsidP="00503AAD">
            <w:pPr>
              <w:pStyle w:val="Subtitle"/>
            </w:pPr>
            <w:r>
              <w:t>All children using either FDC or LDC on a full time basis in 2013</w:t>
            </w:r>
            <w:r>
              <w:noBreakHyphen/>
              <w:t>14</w:t>
            </w:r>
          </w:p>
        </w:tc>
      </w:tr>
      <w:tr w:rsidR="00B132EB" w:rsidTr="00503AAD">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132EB" w:rsidTr="00503AAD">
              <w:tc>
                <w:tcPr>
                  <w:tcW w:w="5000" w:type="pct"/>
                  <w:tcBorders>
                    <w:top w:val="nil"/>
                    <w:bottom w:val="nil"/>
                  </w:tcBorders>
                </w:tcPr>
                <w:p w:rsidR="00B132EB" w:rsidRDefault="00B132EB" w:rsidP="000C6143">
                  <w:pPr>
                    <w:pStyle w:val="Figure"/>
                    <w:spacing w:before="0" w:after="0"/>
                  </w:pPr>
                  <w:r>
                    <w:rPr>
                      <w:noProof/>
                    </w:rPr>
                    <w:drawing>
                      <wp:inline distT="0" distB="0" distL="0" distR="0" wp14:anchorId="38DAB2A0" wp14:editId="3903732D">
                        <wp:extent cx="5391150" cy="2876550"/>
                        <wp:effectExtent l="0" t="0" r="0" b="0"/>
                        <wp:docPr id="26" name="Picture 26" descr="This figure indicates the amount of CCB a family would receive for children in FDC or LDC on a full time basis and how this varies by the number of children in care per family. The operation of these factors is explor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B132EB" w:rsidRDefault="00B132EB" w:rsidP="00503AAD">
            <w:pPr>
              <w:pStyle w:val="Figure"/>
            </w:pPr>
          </w:p>
        </w:tc>
      </w:tr>
      <w:tr w:rsidR="00B132EB" w:rsidRPr="00176D3F" w:rsidTr="00503AAD">
        <w:tc>
          <w:tcPr>
            <w:tcW w:w="8771" w:type="dxa"/>
            <w:tcBorders>
              <w:top w:val="nil"/>
              <w:left w:val="nil"/>
              <w:bottom w:val="nil"/>
              <w:right w:val="nil"/>
            </w:tcBorders>
            <w:shd w:val="clear" w:color="auto" w:fill="auto"/>
          </w:tcPr>
          <w:p w:rsidR="00B132EB" w:rsidRPr="00176D3F" w:rsidRDefault="0093063A" w:rsidP="00503AAD">
            <w:pPr>
              <w:pStyle w:val="Source"/>
            </w:pPr>
            <w:r>
              <w:rPr>
                <w:i/>
              </w:rPr>
              <w:t>Source</w:t>
            </w:r>
            <w:r w:rsidR="00B132EB" w:rsidRPr="00176D3F">
              <w:t xml:space="preserve">: </w:t>
            </w:r>
            <w:r>
              <w:t xml:space="preserve">Productivity </w:t>
            </w:r>
            <w:r w:rsidR="00B132EB">
              <w:t>Commission calculations.</w:t>
            </w:r>
          </w:p>
        </w:tc>
      </w:tr>
      <w:tr w:rsidR="00B132EB" w:rsidTr="00503AAD">
        <w:tc>
          <w:tcPr>
            <w:tcW w:w="8771" w:type="dxa"/>
            <w:tcBorders>
              <w:top w:val="nil"/>
              <w:left w:val="nil"/>
              <w:bottom w:val="single" w:sz="6" w:space="0" w:color="78A22F"/>
              <w:right w:val="nil"/>
            </w:tcBorders>
            <w:shd w:val="clear" w:color="auto" w:fill="auto"/>
          </w:tcPr>
          <w:p w:rsidR="00B132EB" w:rsidRDefault="00B132EB" w:rsidP="00503AAD">
            <w:pPr>
              <w:pStyle w:val="Figurespace"/>
            </w:pPr>
          </w:p>
        </w:tc>
      </w:tr>
      <w:tr w:rsidR="00B132EB" w:rsidRPr="000863A5" w:rsidTr="00503AAD">
        <w:tc>
          <w:tcPr>
            <w:tcW w:w="8771" w:type="dxa"/>
            <w:tcBorders>
              <w:top w:val="single" w:sz="6" w:space="0" w:color="78A22F"/>
              <w:left w:val="nil"/>
              <w:bottom w:val="nil"/>
              <w:right w:val="nil"/>
            </w:tcBorders>
          </w:tcPr>
          <w:p w:rsidR="00B132EB" w:rsidRPr="00626D32" w:rsidRDefault="00B132EB" w:rsidP="00503AAD">
            <w:pPr>
              <w:pStyle w:val="BoxSpaceBelow"/>
            </w:pPr>
          </w:p>
        </w:tc>
      </w:tr>
    </w:tbl>
    <w:p w:rsidR="00D26D17" w:rsidRDefault="00D26D17" w:rsidP="00D26D17">
      <w:pPr>
        <w:pStyle w:val="Heading4"/>
      </w:pPr>
      <w:r>
        <w:t>Interactions of CCB and other transfer payments that encourage part-time use of ECEC</w:t>
      </w:r>
    </w:p>
    <w:p w:rsidR="00D26D17" w:rsidRDefault="00D26D17" w:rsidP="00D26D17">
      <w:pPr>
        <w:pStyle w:val="BodyText"/>
      </w:pPr>
      <w:r>
        <w:t xml:space="preserve">Most families use ECEC services so they can work. Accordingly, the choice of parents’ work hours and use of ECEC are typically linked. If parents increase their work hours, it is increasingly likely that they will use ECEC services. In addition, the more hours that parents work, the hours of ECEC that they use is likely to be higher. </w:t>
      </w:r>
    </w:p>
    <w:p w:rsidR="00D26D17" w:rsidRDefault="00D26D17" w:rsidP="00D26D17">
      <w:pPr>
        <w:pStyle w:val="BodyText"/>
      </w:pPr>
      <w:r>
        <w:t xml:space="preserve">As illustrated in figure </w:t>
      </w:r>
      <w:r w:rsidR="00A7553B">
        <w:t>E.</w:t>
      </w:r>
      <w:r w:rsidR="00862151">
        <w:t>8</w:t>
      </w:r>
      <w:r>
        <w:t>, when families make the linked decision to use ECEC on a part</w:t>
      </w:r>
      <w:r>
        <w:noBreakHyphen/>
        <w:t>time basis and have one or more parents working part-time:</w:t>
      </w:r>
    </w:p>
    <w:p w:rsidR="00D26D17" w:rsidRDefault="00D26D17" w:rsidP="000C6143">
      <w:pPr>
        <w:pStyle w:val="ListBullet"/>
        <w:spacing w:before="100"/>
      </w:pPr>
      <w:r>
        <w:t>they will be subjected to a lower taper rate for any CCB assistance they rec</w:t>
      </w:r>
      <w:r w:rsidR="00483A18">
        <w:t xml:space="preserve">eive (effect ‘a’ from figure </w:t>
      </w:r>
      <w:r w:rsidR="00A7553B">
        <w:t>E.</w:t>
      </w:r>
      <w:r>
        <w:t>8)</w:t>
      </w:r>
    </w:p>
    <w:p w:rsidR="00D26D17" w:rsidRDefault="00D26D17" w:rsidP="000C6143">
      <w:pPr>
        <w:pStyle w:val="ListBullet"/>
        <w:spacing w:before="100"/>
      </w:pPr>
      <w:r>
        <w:t>they may be entitled to a higher hourly rate of CCB (effect ‘b’)</w:t>
      </w:r>
    </w:p>
    <w:p w:rsidR="00D26D17" w:rsidRDefault="00D26D17" w:rsidP="00D26D17">
      <w:pPr>
        <w:pStyle w:val="ListBullet"/>
      </w:pPr>
      <w:r>
        <w:t>if they are entitled to CCB, they will lose less of the CCB (effect ‘c’).</w:t>
      </w:r>
    </w:p>
    <w:p w:rsidR="000C6143" w:rsidRDefault="000C6143" w:rsidP="000C6143">
      <w:pPr>
        <w:pStyle w:val="BodyText"/>
      </w:pPr>
      <w:r>
        <w:t xml:space="preserve">These in-built incentives in the CCB arrangements that encourage part-time use of ECEC are complimented and strengthened by elements of the CCR and transfer arrangements. The annual per child CCR cap of $7500 provides an incentive for families currently using higher priced ECEC services to limit their use of ECEC so as not to exhaust their CCR subsidies (cameo no. 3). In addition, the partial overlap in the ranges of incomes in which CCB, FTB </w:t>
      </w:r>
      <w:r w:rsidR="00672CCF">
        <w:t xml:space="preserve">Part </w:t>
      </w:r>
      <w:r>
        <w:t>A and Parenting Payment are reduced actively discourages many secondary income earning parents from working on a full-time basis.</w:t>
      </w:r>
    </w:p>
    <w:p w:rsidR="00653AAF" w:rsidRDefault="00653AAF" w:rsidP="00503A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53AAF" w:rsidTr="00503AAD">
        <w:tc>
          <w:tcPr>
            <w:tcW w:w="8771" w:type="dxa"/>
            <w:tcBorders>
              <w:top w:val="single" w:sz="6" w:space="0" w:color="78A22F"/>
              <w:left w:val="nil"/>
              <w:bottom w:val="nil"/>
              <w:right w:val="nil"/>
            </w:tcBorders>
            <w:shd w:val="clear" w:color="auto" w:fill="auto"/>
          </w:tcPr>
          <w:p w:rsidR="00653AAF" w:rsidRPr="00176D3F" w:rsidRDefault="00653AAF" w:rsidP="001073CC">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8</w:t>
            </w:r>
            <w:r w:rsidRPr="00784A05">
              <w:rPr>
                <w:b w:val="0"/>
              </w:rPr>
              <w:fldChar w:fldCharType="end"/>
            </w:r>
            <w:r>
              <w:tab/>
              <w:t xml:space="preserve">The three ways CCB can encourage families to use </w:t>
            </w:r>
            <w:r w:rsidR="001073CC">
              <w:t xml:space="preserve">fewer </w:t>
            </w:r>
            <w:r>
              <w:t>hours of ECEC a week</w:t>
            </w:r>
          </w:p>
        </w:tc>
      </w:tr>
      <w:tr w:rsidR="00653AAF" w:rsidTr="00503AAD">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653AAF" w:rsidTr="00503AAD">
              <w:tc>
                <w:tcPr>
                  <w:tcW w:w="5000" w:type="pct"/>
                  <w:tcBorders>
                    <w:top w:val="nil"/>
                    <w:bottom w:val="nil"/>
                  </w:tcBorders>
                </w:tcPr>
                <w:p w:rsidR="00653AAF" w:rsidRDefault="00F54CF8" w:rsidP="000C6143">
                  <w:pPr>
                    <w:pStyle w:val="Figure"/>
                  </w:pPr>
                  <w:r>
                    <w:rPr>
                      <w:noProof/>
                    </w:rPr>
                    <w:drawing>
                      <wp:inline distT="0" distB="0" distL="0" distR="0" wp14:anchorId="54665106" wp14:editId="743F3E8D">
                        <wp:extent cx="2820670" cy="2812415"/>
                        <wp:effectExtent l="0" t="0" r="0" b="6985"/>
                        <wp:docPr id="33" name="Picture 33" descr="This figure illustrates the three factors in the CCB payment calculation that can encourage part time use of ECEC. These include the part time loading for FDC and LDC, that the taper rate reduces as care hours decline and that reduced use of ECEC is usually associated with lower work hours — and lower family income. These text explains each of these subsequent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Childcare\FINAL REPORT\CHARTS &amp; FIGURES\Appendix E (Troy)\E8-edi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0670" cy="2812415"/>
                                </a:xfrm>
                                <a:prstGeom prst="rect">
                                  <a:avLst/>
                                </a:prstGeom>
                                <a:noFill/>
                                <a:ln>
                                  <a:noFill/>
                                </a:ln>
                              </pic:spPr>
                            </pic:pic>
                          </a:graphicData>
                        </a:graphic>
                      </wp:inline>
                    </w:drawing>
                  </w:r>
                </w:p>
              </w:tc>
            </w:tr>
          </w:tbl>
          <w:p w:rsidR="00653AAF" w:rsidRDefault="00653AAF" w:rsidP="00503AAD">
            <w:pPr>
              <w:pStyle w:val="Figure"/>
            </w:pPr>
          </w:p>
        </w:tc>
      </w:tr>
      <w:tr w:rsidR="00653AAF" w:rsidTr="00503AAD">
        <w:tc>
          <w:tcPr>
            <w:tcW w:w="8771" w:type="dxa"/>
            <w:tcBorders>
              <w:top w:val="nil"/>
              <w:left w:val="nil"/>
              <w:bottom w:val="single" w:sz="6" w:space="0" w:color="78A22F"/>
              <w:right w:val="nil"/>
            </w:tcBorders>
            <w:shd w:val="clear" w:color="auto" w:fill="auto"/>
          </w:tcPr>
          <w:p w:rsidR="00653AAF" w:rsidRDefault="00653AAF" w:rsidP="00503AAD">
            <w:pPr>
              <w:pStyle w:val="Figurespace"/>
            </w:pPr>
          </w:p>
        </w:tc>
      </w:tr>
      <w:tr w:rsidR="00653AAF" w:rsidRPr="000863A5" w:rsidTr="00503AAD">
        <w:tc>
          <w:tcPr>
            <w:tcW w:w="8771" w:type="dxa"/>
            <w:tcBorders>
              <w:top w:val="single" w:sz="6" w:space="0" w:color="78A22F"/>
              <w:left w:val="nil"/>
              <w:bottom w:val="nil"/>
              <w:right w:val="nil"/>
            </w:tcBorders>
          </w:tcPr>
          <w:p w:rsidR="00653AAF" w:rsidRPr="00626D32" w:rsidRDefault="00653AAF" w:rsidP="00503AAD">
            <w:pPr>
              <w:pStyle w:val="BoxSpaceBelow"/>
            </w:pPr>
          </w:p>
        </w:tc>
      </w:tr>
    </w:tbl>
    <w:p w:rsidR="00993596" w:rsidRDefault="00993596" w:rsidP="00993596">
      <w:pPr>
        <w:pStyle w:val="BodyText"/>
      </w:pPr>
      <w:r>
        <w:t>These interactions are often complex and are difficult for families to unravel. It is likely that many families will struggle to identify what work and care arrangements are the best for them financially. However, if families are in a situation where they are facing a very high EMTR (especially if it exceeds 100 per cent), most will be able to tell that they are working for very little (or no) additional money. The most likely response for such families would either be for the secondary income earner to work less, or to stop work altogether.</w:t>
      </w:r>
    </w:p>
    <w:p w:rsidR="00D26D17" w:rsidRDefault="00D26D17" w:rsidP="00D26D17">
      <w:pPr>
        <w:pStyle w:val="Heading3"/>
      </w:pPr>
      <w:r>
        <w:t>Jobs, education and training childcare funding assistance</w:t>
      </w:r>
    </w:p>
    <w:p w:rsidR="00D26D17" w:rsidRPr="000309AA" w:rsidRDefault="00D26D17" w:rsidP="000309AA">
      <w:pPr>
        <w:pStyle w:val="BodyText"/>
      </w:pPr>
      <w:r w:rsidRPr="000309AA">
        <w:t>As outlined in appendix C, families eligible for the Jobs, Education and Training Childcare Funding Assistance (JETCCFA) can receive some ECEC services at an out-of-pocket cost of 50 cents an hour.</w:t>
      </w:r>
    </w:p>
    <w:p w:rsidR="00D26D17" w:rsidRPr="000309AA" w:rsidRDefault="00D26D17" w:rsidP="000309AA">
      <w:pPr>
        <w:pStyle w:val="BodyText"/>
      </w:pPr>
      <w:r w:rsidRPr="000309AA">
        <w:t>To be eligible for JETCCFA, a parent needs to be studying or training. As such, parents receiving JETCCFA will typically not be earning income while their children attend ECEC services. As EMTRs measure how much of a person’s additional income they get to keep after taxes and loss of transfer payments, it is not possible to calculate EMTRs for JETCCFA recipients.</w:t>
      </w:r>
    </w:p>
    <w:p w:rsidR="00D26D17" w:rsidRDefault="00D26D17" w:rsidP="000309AA">
      <w:pPr>
        <w:pStyle w:val="BodyText"/>
      </w:pPr>
      <w:r w:rsidRPr="000309AA">
        <w:t xml:space="preserve">Generally, the Commission’s recommendations are likely to reduce the hourly ECEC subsidies that current JETCCFA recipients receive — but such families are likely to receive the highest subsidy levels under the </w:t>
      </w:r>
      <w:r w:rsidR="00A34CDA" w:rsidRPr="000309AA">
        <w:t>recommended reforms</w:t>
      </w:r>
      <w:r w:rsidRPr="000309AA">
        <w:t xml:space="preserve">. </w:t>
      </w:r>
    </w:p>
    <w:p w:rsidR="00DE4972" w:rsidRDefault="00DE4972" w:rsidP="00DE4972">
      <w:pPr>
        <w:pStyle w:val="Heading3"/>
      </w:pPr>
      <w:r>
        <w:lastRenderedPageBreak/>
        <w:t>Parenting Payment</w:t>
      </w:r>
    </w:p>
    <w:p w:rsidR="00DE4972" w:rsidRDefault="00DE4972" w:rsidP="00DE4972">
      <w:pPr>
        <w:pStyle w:val="BodyText"/>
      </w:pPr>
      <w:r>
        <w:t>Parenting Payment is an income support payment to assist eligible parents with the costs of raising children. The payment is available to low income single parents who care for a child aged less than eight years and low income couples who care for a child aged less than six years.</w:t>
      </w:r>
    </w:p>
    <w:p w:rsidR="00DE4972" w:rsidRDefault="00DE4972" w:rsidP="00DE4972">
      <w:pPr>
        <w:pStyle w:val="BodyText"/>
      </w:pPr>
      <w:r>
        <w:t xml:space="preserve">For single parents, income must be less than $184.60 (plus $24.60 for each additional child) per fortnight, to be eligible for the maximum Parenting Payment of $720.30 per fortnight. Part Parenting Payment is available for single parents if income is less than $2015 (plus $24.60 for each additional child) per fortnight. </w:t>
      </w:r>
    </w:p>
    <w:p w:rsidR="00DE4972" w:rsidRDefault="00DE4972" w:rsidP="00DE4972">
      <w:pPr>
        <w:pStyle w:val="BodyText"/>
      </w:pPr>
      <w:r>
        <w:t>For partnered parents, different income limits apply if a partner receives a pension or allowance. If a partner does not receive a pension or allowance the primary carer’s income must be less than $100 a fortnight and the partners income less than $914 per fortnight to receive the maximum Parenting Payment.</w:t>
      </w:r>
      <w:r w:rsidRPr="00F534B2">
        <w:t xml:space="preserve"> </w:t>
      </w:r>
      <w:r>
        <w:t xml:space="preserve">The maximum Payment is $465.50 for a couple and $557.90 for a couple separated through illness, respite care or prison. If a </w:t>
      </w:r>
      <w:r>
        <w:rPr>
          <w:lang w:val="en"/>
        </w:rPr>
        <w:t>partner earns income above $914, the payment is reduced by 60 cents for every dollar of income over $914.</w:t>
      </w:r>
    </w:p>
    <w:p w:rsidR="00DE4972" w:rsidRDefault="00DE4972" w:rsidP="00DE4972">
      <w:pPr>
        <w:pStyle w:val="BodyText"/>
      </w:pPr>
      <w:r>
        <w:t>Under the Commission’s recommended new approach to funding families on Parenting Payment are eligible for 20 hours of subsidised ECEC a fortnight without meeting the activity test (chapter 15).</w:t>
      </w:r>
    </w:p>
    <w:p w:rsidR="007E14D2" w:rsidRPr="00D26D17" w:rsidRDefault="00F54CF8">
      <w:pPr>
        <w:pStyle w:val="Heading2"/>
        <w:rPr>
          <w:sz w:val="26"/>
        </w:rPr>
      </w:pPr>
      <w:fldSimple w:instr=" COMMENTS  \* MERGEFORMAT ">
        <w:r w:rsidR="000059ED">
          <w:t>E.</w:t>
        </w:r>
      </w:fldSimple>
      <w:r w:rsidR="002011A6">
        <w:fldChar w:fldCharType="begin"/>
      </w:r>
      <w:r w:rsidR="002011A6">
        <w:instrText xml:space="preserve"> SEQ Heading2 </w:instrText>
      </w:r>
      <w:r w:rsidR="002011A6">
        <w:fldChar w:fldCharType="separate"/>
      </w:r>
      <w:r w:rsidR="00464157">
        <w:rPr>
          <w:noProof/>
        </w:rPr>
        <w:t>3</w:t>
      </w:r>
      <w:r w:rsidR="002011A6">
        <w:rPr>
          <w:noProof/>
        </w:rPr>
        <w:fldChar w:fldCharType="end"/>
      </w:r>
      <w:r w:rsidR="00D26D17">
        <w:tab/>
      </w:r>
      <w:r w:rsidR="00982070" w:rsidRPr="00982070">
        <w:t>S</w:t>
      </w:r>
      <w:r w:rsidR="00E768CA">
        <w:t>pecific examples of effective marginal tax rates</w:t>
      </w:r>
    </w:p>
    <w:p w:rsidR="007E14D2" w:rsidRDefault="00E768CA">
      <w:pPr>
        <w:pStyle w:val="BodyText"/>
      </w:pPr>
      <w:r>
        <w:t>When calculating the EMTRs of families using ECEC services, it is necessary to analyse an array of tax and transfer arrangements. Many of the transfer payments are complex in their own right (with eligibility</w:t>
      </w:r>
      <w:r w:rsidR="00354E32">
        <w:t xml:space="preserve"> and</w:t>
      </w:r>
      <w:r>
        <w:t xml:space="preserve"> payment rates varying based on family characteristics,</w:t>
      </w:r>
      <w:r w:rsidR="00354E32">
        <w:t xml:space="preserve"> </w:t>
      </w:r>
      <w:r>
        <w:t>the type of ECEC services used</w:t>
      </w:r>
      <w:r w:rsidR="00872064">
        <w:t>,</w:t>
      </w:r>
      <w:r>
        <w:t xml:space="preserve"> the pattern of ECEC usage</w:t>
      </w:r>
      <w:r w:rsidR="00872064">
        <w:t xml:space="preserve"> and income thresholds — with the thresholds also varying based on family characteristics</w:t>
      </w:r>
      <w:r>
        <w:t xml:space="preserve">). </w:t>
      </w:r>
    </w:p>
    <w:p w:rsidR="00B63DFB" w:rsidRDefault="00E768CA" w:rsidP="00D555B9">
      <w:pPr>
        <w:pStyle w:val="BodyText"/>
      </w:pPr>
      <w:r>
        <w:t>The presence of systemic problems arising from</w:t>
      </w:r>
      <w:r w:rsidR="009F1451">
        <w:t xml:space="preserve"> the</w:t>
      </w:r>
      <w:r>
        <w:t xml:space="preserve"> interactions of an array of taxes and transfer payments can be identified by examining EMTRs for some family circumstances (</w:t>
      </w:r>
      <w:r w:rsidR="008D6323">
        <w:t xml:space="preserve">called </w:t>
      </w:r>
      <w:r>
        <w:t>cameos). The current or future prevalence of those circumstances can then be determined by examining the impacts of polic</w:t>
      </w:r>
      <w:r w:rsidR="009E4FDA">
        <w:t>ies</w:t>
      </w:r>
      <w:r>
        <w:t xml:space="preserve"> and policy changes on a representative sample of family circumstances. The following sections use selected cameos to highlight key strengths and weakness of the current ECEC funding arrangements. This approach also underlies the distribution</w:t>
      </w:r>
      <w:r w:rsidR="009E4FDA">
        <w:t>al</w:t>
      </w:r>
      <w:r>
        <w:t xml:space="preserve"> analysis of the </w:t>
      </w:r>
      <w:r w:rsidR="00A34CDA">
        <w:t xml:space="preserve">recommended </w:t>
      </w:r>
      <w:r>
        <w:t>reforms as outlined in chapters</w:t>
      </w:r>
      <w:r w:rsidR="009605D5">
        <w:t> </w:t>
      </w:r>
      <w:r w:rsidR="00DC1077">
        <w:t xml:space="preserve">13, 14 </w:t>
      </w:r>
      <w:r>
        <w:t xml:space="preserve">and </w:t>
      </w:r>
      <w:r w:rsidR="00DC1077">
        <w:t>15</w:t>
      </w:r>
      <w:r>
        <w:t>.</w:t>
      </w:r>
      <w:r w:rsidR="00B63DFB" w:rsidDel="00B63DFB">
        <w:t xml:space="preserve"> </w:t>
      </w:r>
      <w:r w:rsidR="00B63DFB">
        <w:t xml:space="preserve">Table </w:t>
      </w:r>
      <w:r w:rsidR="00A7553B">
        <w:t>E.</w:t>
      </w:r>
      <w:r w:rsidR="00483A18">
        <w:t>8</w:t>
      </w:r>
      <w:r w:rsidR="00B63DFB">
        <w:t xml:space="preserve"> outlines </w:t>
      </w:r>
      <w:r w:rsidR="00DC1077" w:rsidRPr="00B764EB">
        <w:t>ten</w:t>
      </w:r>
      <w:r w:rsidR="00DC1077">
        <w:t xml:space="preserve"> </w:t>
      </w:r>
      <w:r w:rsidR="00B63DFB">
        <w:t xml:space="preserve">cameos that the Commission </w:t>
      </w:r>
      <w:r w:rsidR="00185371">
        <w:t>h</w:t>
      </w:r>
      <w:r w:rsidR="00B63DFB">
        <w:t>as undertaken to assist with an examination of EMTRs</w:t>
      </w:r>
      <w:r w:rsidR="00B60B25">
        <w:t>.</w:t>
      </w:r>
    </w:p>
    <w:p w:rsidR="00173CBF" w:rsidRDefault="00173CBF" w:rsidP="00503AA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173CBF" w:rsidTr="00503AAD">
        <w:tc>
          <w:tcPr>
            <w:tcW w:w="8771" w:type="dxa"/>
            <w:tcBorders>
              <w:top w:val="single" w:sz="6" w:space="0" w:color="78A22F" w:themeColor="accent1"/>
              <w:left w:val="nil"/>
              <w:bottom w:val="nil"/>
              <w:right w:val="nil"/>
            </w:tcBorders>
            <w:shd w:val="clear" w:color="auto" w:fill="auto"/>
          </w:tcPr>
          <w:p w:rsidR="00173CBF" w:rsidRPr="00784A05" w:rsidRDefault="00173CBF" w:rsidP="00173CBF">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Table \* ARABIC </w:instrText>
            </w:r>
            <w:r>
              <w:rPr>
                <w:b w:val="0"/>
              </w:rPr>
              <w:fldChar w:fldCharType="separate"/>
            </w:r>
            <w:r w:rsidR="00464157">
              <w:rPr>
                <w:b w:val="0"/>
                <w:noProof/>
              </w:rPr>
              <w:t>8</w:t>
            </w:r>
            <w:r>
              <w:rPr>
                <w:b w:val="0"/>
              </w:rPr>
              <w:fldChar w:fldCharType="end"/>
            </w:r>
            <w:r>
              <w:tab/>
              <w:t>Commission Cameos</w:t>
            </w:r>
          </w:p>
        </w:tc>
      </w:tr>
      <w:tr w:rsidR="00173CBF" w:rsidTr="00503AAD">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062"/>
              <w:gridCol w:w="1063"/>
              <w:gridCol w:w="1063"/>
              <w:gridCol w:w="1061"/>
              <w:gridCol w:w="1061"/>
              <w:gridCol w:w="1061"/>
              <w:gridCol w:w="1059"/>
              <w:gridCol w:w="1057"/>
            </w:tblGrid>
            <w:tr w:rsidR="00173CBF" w:rsidTr="00503AAD">
              <w:tc>
                <w:tcPr>
                  <w:tcW w:w="626" w:type="pct"/>
                  <w:tcBorders>
                    <w:top w:val="single" w:sz="6" w:space="0" w:color="BFBFBF"/>
                    <w:bottom w:val="single" w:sz="6" w:space="0" w:color="BFBFBF"/>
                  </w:tcBorders>
                  <w:shd w:val="clear" w:color="auto" w:fill="auto"/>
                  <w:vAlign w:val="bottom"/>
                </w:tcPr>
                <w:p w:rsidR="00173CBF" w:rsidRDefault="00173CBF" w:rsidP="00503AAD">
                  <w:pPr>
                    <w:pStyle w:val="TableColumnHeading"/>
                  </w:pPr>
                </w:p>
              </w:tc>
              <w:tc>
                <w:tcPr>
                  <w:tcW w:w="626" w:type="pct"/>
                  <w:tcBorders>
                    <w:top w:val="single" w:sz="6" w:space="0" w:color="BFBFBF"/>
                    <w:bottom w:val="single" w:sz="6" w:space="0" w:color="BFBFBF"/>
                  </w:tcBorders>
                  <w:shd w:val="clear" w:color="auto" w:fill="auto"/>
                  <w:vAlign w:val="bottom"/>
                </w:tcPr>
                <w:p w:rsidR="00173CBF" w:rsidRDefault="00173CBF" w:rsidP="00503AAD">
                  <w:pPr>
                    <w:pStyle w:val="TableColumnHeading"/>
                  </w:pPr>
                  <w:r>
                    <w:t>Family structure</w:t>
                  </w:r>
                </w:p>
              </w:tc>
              <w:tc>
                <w:tcPr>
                  <w:tcW w:w="626" w:type="pct"/>
                  <w:tcBorders>
                    <w:top w:val="single" w:sz="6" w:space="0" w:color="BFBFBF"/>
                    <w:bottom w:val="single" w:sz="6" w:space="0" w:color="BFBFBF"/>
                  </w:tcBorders>
                  <w:shd w:val="clear" w:color="auto" w:fill="auto"/>
                  <w:vAlign w:val="bottom"/>
                </w:tcPr>
                <w:p w:rsidR="00173CBF" w:rsidRDefault="00173CBF" w:rsidP="00503AAD">
                  <w:pPr>
                    <w:pStyle w:val="TableColumnHeading"/>
                  </w:pPr>
                  <w:r>
                    <w:t>Number of children (ages)</w:t>
                  </w:r>
                </w:p>
              </w:tc>
              <w:tc>
                <w:tcPr>
                  <w:tcW w:w="625" w:type="pct"/>
                  <w:tcBorders>
                    <w:top w:val="single" w:sz="6" w:space="0" w:color="BFBFBF"/>
                    <w:bottom w:val="single" w:sz="6" w:space="0" w:color="BFBFBF"/>
                  </w:tcBorders>
                  <w:shd w:val="clear" w:color="auto" w:fill="auto"/>
                  <w:vAlign w:val="bottom"/>
                </w:tcPr>
                <w:p w:rsidR="00173CBF" w:rsidRDefault="00173CBF" w:rsidP="00503AAD">
                  <w:pPr>
                    <w:pStyle w:val="TableColumnHeading"/>
                  </w:pPr>
                  <w:r>
                    <w:t>Type of ECEC used</w:t>
                  </w:r>
                </w:p>
              </w:tc>
              <w:tc>
                <w:tcPr>
                  <w:tcW w:w="625" w:type="pct"/>
                  <w:tcBorders>
                    <w:top w:val="single" w:sz="6" w:space="0" w:color="BFBFBF"/>
                    <w:bottom w:val="single" w:sz="6" w:space="0" w:color="BFBFBF"/>
                  </w:tcBorders>
                  <w:shd w:val="clear" w:color="auto" w:fill="auto"/>
                  <w:vAlign w:val="bottom"/>
                </w:tcPr>
                <w:p w:rsidR="00173CBF" w:rsidRDefault="00173CBF" w:rsidP="00503AAD">
                  <w:pPr>
                    <w:pStyle w:val="TableColumnHeading"/>
                  </w:pPr>
                  <w:r>
                    <w:t>ECEC fees</w:t>
                  </w:r>
                </w:p>
              </w:tc>
              <w:tc>
                <w:tcPr>
                  <w:tcW w:w="625" w:type="pct"/>
                  <w:tcBorders>
                    <w:top w:val="single" w:sz="6" w:space="0" w:color="BFBFBF"/>
                    <w:bottom w:val="single" w:sz="6" w:space="0" w:color="BFBFBF"/>
                  </w:tcBorders>
                  <w:shd w:val="clear" w:color="auto" w:fill="auto"/>
                  <w:vAlign w:val="bottom"/>
                </w:tcPr>
                <w:p w:rsidR="00173CBF" w:rsidRDefault="00173CBF" w:rsidP="00503AAD">
                  <w:pPr>
                    <w:pStyle w:val="TableColumnHeading"/>
                  </w:pPr>
                  <w:r>
                    <w:t>Wage rate of mother</w:t>
                  </w:r>
                </w:p>
              </w:tc>
              <w:tc>
                <w:tcPr>
                  <w:tcW w:w="624" w:type="pct"/>
                  <w:tcBorders>
                    <w:top w:val="single" w:sz="6" w:space="0" w:color="BFBFBF"/>
                    <w:bottom w:val="single" w:sz="6" w:space="0" w:color="BFBFBF"/>
                  </w:tcBorders>
                  <w:shd w:val="clear" w:color="auto" w:fill="auto"/>
                  <w:vAlign w:val="bottom"/>
                </w:tcPr>
                <w:p w:rsidR="00173CBF" w:rsidRDefault="00173CBF" w:rsidP="00503AAD">
                  <w:pPr>
                    <w:pStyle w:val="TableColumnHeading"/>
                    <w:ind w:right="28"/>
                  </w:pPr>
                  <w:r>
                    <w:t>Partner’s income (per annum)</w:t>
                  </w:r>
                </w:p>
              </w:tc>
              <w:tc>
                <w:tcPr>
                  <w:tcW w:w="623" w:type="pct"/>
                  <w:tcBorders>
                    <w:top w:val="single" w:sz="6" w:space="0" w:color="BFBFBF"/>
                    <w:bottom w:val="single" w:sz="6" w:space="0" w:color="BFBFBF"/>
                  </w:tcBorders>
                  <w:vAlign w:val="bottom"/>
                </w:tcPr>
                <w:p w:rsidR="00173CBF" w:rsidRDefault="00173CBF" w:rsidP="00503AAD">
                  <w:pPr>
                    <w:pStyle w:val="TableColumnHeading"/>
                    <w:ind w:right="28"/>
                  </w:pPr>
                  <w:r>
                    <w:t>Other factors</w:t>
                  </w:r>
                </w:p>
              </w:tc>
            </w:tr>
            <w:tr w:rsidR="00173CBF" w:rsidTr="006075B4">
              <w:tc>
                <w:tcPr>
                  <w:tcW w:w="626" w:type="pct"/>
                  <w:tcBorders>
                    <w:top w:val="single" w:sz="6" w:space="0" w:color="BFBFBF"/>
                  </w:tcBorders>
                  <w:shd w:val="clear" w:color="auto" w:fill="auto"/>
                </w:tcPr>
                <w:p w:rsidR="00173CBF" w:rsidRDefault="00173CBF" w:rsidP="00503AAD">
                  <w:pPr>
                    <w:pStyle w:val="TableUnitsRow"/>
                  </w:pPr>
                </w:p>
              </w:tc>
              <w:tc>
                <w:tcPr>
                  <w:tcW w:w="626" w:type="pct"/>
                  <w:tcBorders>
                    <w:top w:val="single" w:sz="6" w:space="0" w:color="BFBFBF"/>
                  </w:tcBorders>
                  <w:shd w:val="clear" w:color="auto" w:fill="auto"/>
                </w:tcPr>
                <w:p w:rsidR="00173CBF" w:rsidRDefault="00173CBF" w:rsidP="00503AAD">
                  <w:pPr>
                    <w:pStyle w:val="TableUnitsRow"/>
                  </w:pPr>
                </w:p>
              </w:tc>
              <w:tc>
                <w:tcPr>
                  <w:tcW w:w="626" w:type="pct"/>
                  <w:tcBorders>
                    <w:top w:val="single" w:sz="6" w:space="0" w:color="BFBFBF"/>
                  </w:tcBorders>
                  <w:shd w:val="clear" w:color="auto" w:fill="auto"/>
                </w:tcPr>
                <w:p w:rsidR="00173CBF" w:rsidRDefault="00173CBF" w:rsidP="00503AAD">
                  <w:pPr>
                    <w:pStyle w:val="TableUnitsRow"/>
                  </w:pPr>
                </w:p>
              </w:tc>
              <w:tc>
                <w:tcPr>
                  <w:tcW w:w="625" w:type="pct"/>
                  <w:tcBorders>
                    <w:top w:val="single" w:sz="6" w:space="0" w:color="BFBFBF"/>
                  </w:tcBorders>
                  <w:shd w:val="clear" w:color="auto" w:fill="auto"/>
                </w:tcPr>
                <w:p w:rsidR="00173CBF" w:rsidRDefault="00173CBF" w:rsidP="00503AAD">
                  <w:pPr>
                    <w:pStyle w:val="TableUnitsRow"/>
                  </w:pPr>
                </w:p>
              </w:tc>
              <w:tc>
                <w:tcPr>
                  <w:tcW w:w="625" w:type="pct"/>
                  <w:tcBorders>
                    <w:top w:val="single" w:sz="6" w:space="0" w:color="BFBFBF"/>
                  </w:tcBorders>
                  <w:shd w:val="clear" w:color="auto" w:fill="auto"/>
                </w:tcPr>
                <w:p w:rsidR="00173CBF" w:rsidRDefault="00173CBF" w:rsidP="00503AAD">
                  <w:pPr>
                    <w:pStyle w:val="TableUnitsRow"/>
                  </w:pPr>
                  <w:r>
                    <w:t>$ per hour per child</w:t>
                  </w:r>
                </w:p>
              </w:tc>
              <w:tc>
                <w:tcPr>
                  <w:tcW w:w="625" w:type="pct"/>
                  <w:tcBorders>
                    <w:top w:val="single" w:sz="6" w:space="0" w:color="BFBFBF"/>
                  </w:tcBorders>
                  <w:shd w:val="clear" w:color="auto" w:fill="auto"/>
                </w:tcPr>
                <w:p w:rsidR="00173CBF" w:rsidRDefault="00173CBF" w:rsidP="00503AAD">
                  <w:pPr>
                    <w:pStyle w:val="TableUnitsRow"/>
                  </w:pPr>
                  <w:r>
                    <w:t>$ per hour</w:t>
                  </w:r>
                </w:p>
              </w:tc>
              <w:tc>
                <w:tcPr>
                  <w:tcW w:w="624" w:type="pct"/>
                  <w:tcBorders>
                    <w:top w:val="single" w:sz="6" w:space="0" w:color="BFBFBF"/>
                  </w:tcBorders>
                  <w:shd w:val="clear" w:color="auto" w:fill="auto"/>
                </w:tcPr>
                <w:p w:rsidR="00173CBF" w:rsidRDefault="00173CBF" w:rsidP="00503AAD">
                  <w:pPr>
                    <w:pStyle w:val="TableUnitsRow"/>
                  </w:pPr>
                  <w:r>
                    <w:t>$</w:t>
                  </w:r>
                </w:p>
              </w:tc>
              <w:tc>
                <w:tcPr>
                  <w:tcW w:w="623" w:type="pct"/>
                  <w:tcBorders>
                    <w:top w:val="single" w:sz="6" w:space="0" w:color="BFBFBF"/>
                  </w:tcBorders>
                </w:tcPr>
                <w:p w:rsidR="00173CBF" w:rsidRDefault="00173CBF" w:rsidP="00503AAD">
                  <w:pPr>
                    <w:pStyle w:val="TableUnitsRow"/>
                  </w:pPr>
                </w:p>
              </w:tc>
            </w:tr>
            <w:tr w:rsidR="00173CBF" w:rsidTr="00EF0EA9">
              <w:tc>
                <w:tcPr>
                  <w:tcW w:w="626" w:type="pct"/>
                  <w:shd w:val="clear" w:color="auto" w:fill="BFBFBF" w:themeFill="background1" w:themeFillShade="BF"/>
                  <w:vAlign w:val="center"/>
                </w:tcPr>
                <w:p w:rsidR="00173CBF" w:rsidRDefault="00173CBF" w:rsidP="00EF0EA9">
                  <w:pPr>
                    <w:pStyle w:val="TableUnitsRow"/>
                    <w:jc w:val="left"/>
                  </w:pPr>
                  <w:r>
                    <w:t>Cameo 1</w:t>
                  </w:r>
                </w:p>
              </w:tc>
              <w:tc>
                <w:tcPr>
                  <w:tcW w:w="626" w:type="pct"/>
                  <w:shd w:val="clear" w:color="auto" w:fill="BFBFBF" w:themeFill="background1" w:themeFillShade="BF"/>
                </w:tcPr>
                <w:p w:rsidR="00173CBF" w:rsidRDefault="00173CBF" w:rsidP="00503AAD">
                  <w:pPr>
                    <w:pStyle w:val="TableUnitsRow"/>
                  </w:pPr>
                  <w:r>
                    <w:t>Single</w:t>
                  </w:r>
                </w:p>
              </w:tc>
              <w:tc>
                <w:tcPr>
                  <w:tcW w:w="626" w:type="pct"/>
                  <w:shd w:val="clear" w:color="auto" w:fill="BFBFBF" w:themeFill="background1" w:themeFillShade="BF"/>
                </w:tcPr>
                <w:p w:rsidR="00173CBF" w:rsidRDefault="00173CBF" w:rsidP="00503AAD">
                  <w:pPr>
                    <w:pStyle w:val="TableUnitsRow"/>
                  </w:pPr>
                  <w:r>
                    <w:t xml:space="preserve">2 </w:t>
                  </w:r>
                </w:p>
                <w:p w:rsidR="00173CBF" w:rsidRDefault="00173CBF" w:rsidP="00503AAD">
                  <w:pPr>
                    <w:pStyle w:val="TableUnitsRow"/>
                  </w:pPr>
                  <w:r>
                    <w:t>(2 and 3)</w:t>
                  </w:r>
                </w:p>
              </w:tc>
              <w:tc>
                <w:tcPr>
                  <w:tcW w:w="625" w:type="pct"/>
                  <w:shd w:val="clear" w:color="auto" w:fill="BFBFBF" w:themeFill="background1" w:themeFillShade="BF"/>
                </w:tcPr>
                <w:p w:rsidR="00173CBF" w:rsidRDefault="00173CBF" w:rsidP="00503AAD">
                  <w:pPr>
                    <w:pStyle w:val="TableUnitsRow"/>
                  </w:pPr>
                  <w:r>
                    <w:t>LDC</w:t>
                  </w:r>
                </w:p>
              </w:tc>
              <w:tc>
                <w:tcPr>
                  <w:tcW w:w="625" w:type="pct"/>
                  <w:shd w:val="clear" w:color="auto" w:fill="BFBFBF" w:themeFill="background1" w:themeFillShade="BF"/>
                </w:tcPr>
                <w:p w:rsidR="00173CBF" w:rsidRDefault="00173CBF" w:rsidP="00F16B2C">
                  <w:pPr>
                    <w:pStyle w:val="TableUnitsRow"/>
                  </w:pPr>
                  <w:r>
                    <w:t>$</w:t>
                  </w:r>
                  <w:r w:rsidR="00130E63">
                    <w:t>7.2</w:t>
                  </w:r>
                  <w:r w:rsidR="00F16B2C">
                    <w:t>7</w:t>
                  </w:r>
                </w:p>
              </w:tc>
              <w:tc>
                <w:tcPr>
                  <w:tcW w:w="625" w:type="pct"/>
                  <w:shd w:val="clear" w:color="auto" w:fill="BFBFBF" w:themeFill="background1" w:themeFillShade="BF"/>
                </w:tcPr>
                <w:p w:rsidR="00173CBF" w:rsidRDefault="00173CBF" w:rsidP="00503AAD">
                  <w:pPr>
                    <w:pStyle w:val="TableUnitsRow"/>
                  </w:pPr>
                  <w:r>
                    <w:t xml:space="preserve">$31.54 </w:t>
                  </w:r>
                </w:p>
              </w:tc>
              <w:tc>
                <w:tcPr>
                  <w:tcW w:w="624" w:type="pct"/>
                  <w:shd w:val="clear" w:color="auto" w:fill="BFBFBF" w:themeFill="background1" w:themeFillShade="BF"/>
                </w:tcPr>
                <w:p w:rsidR="00173CBF" w:rsidRDefault="00173CBF" w:rsidP="00503AAD">
                  <w:pPr>
                    <w:pStyle w:val="TableUnitsRow"/>
                    <w:ind w:right="28"/>
                  </w:pPr>
                  <w:r>
                    <w:t>na</w:t>
                  </w:r>
                </w:p>
              </w:tc>
              <w:tc>
                <w:tcPr>
                  <w:tcW w:w="623" w:type="pct"/>
                  <w:shd w:val="clear" w:color="auto" w:fill="BFBFBF" w:themeFill="background1" w:themeFillShade="BF"/>
                </w:tcPr>
                <w:p w:rsidR="00173CBF" w:rsidRDefault="00173CBF" w:rsidP="00503AAD">
                  <w:pPr>
                    <w:pStyle w:val="TableUnitsRow"/>
                    <w:ind w:right="28"/>
                  </w:pPr>
                  <w:r>
                    <w:t>none</w:t>
                  </w:r>
                </w:p>
              </w:tc>
            </w:tr>
            <w:tr w:rsidR="000A0268" w:rsidTr="000A0268">
              <w:tc>
                <w:tcPr>
                  <w:tcW w:w="626" w:type="pct"/>
                  <w:shd w:val="clear" w:color="auto" w:fill="auto"/>
                  <w:vAlign w:val="center"/>
                </w:tcPr>
                <w:p w:rsidR="000A0268" w:rsidRDefault="000A0268" w:rsidP="00EF4D0D">
                  <w:pPr>
                    <w:pStyle w:val="TableBodyText"/>
                    <w:jc w:val="left"/>
                  </w:pPr>
                  <w:r>
                    <w:t>Cameo 2</w:t>
                  </w:r>
                </w:p>
              </w:tc>
              <w:tc>
                <w:tcPr>
                  <w:tcW w:w="626" w:type="pct"/>
                  <w:shd w:val="clear" w:color="auto" w:fill="auto"/>
                </w:tcPr>
                <w:p w:rsidR="000A0268" w:rsidRDefault="000A0268" w:rsidP="00EF4D0D">
                  <w:pPr>
                    <w:pStyle w:val="TableBodyText"/>
                  </w:pPr>
                  <w:r>
                    <w:t>Couple</w:t>
                  </w:r>
                </w:p>
              </w:tc>
              <w:tc>
                <w:tcPr>
                  <w:tcW w:w="626" w:type="pct"/>
                  <w:shd w:val="clear" w:color="auto" w:fill="auto"/>
                </w:tcPr>
                <w:p w:rsidR="000A0268" w:rsidRDefault="000A0268" w:rsidP="00EF4D0D">
                  <w:pPr>
                    <w:pStyle w:val="TableBodyText"/>
                  </w:pPr>
                  <w:r>
                    <w:t xml:space="preserve">2 </w:t>
                  </w:r>
                </w:p>
                <w:p w:rsidR="000A0268" w:rsidRDefault="000A0268" w:rsidP="00EF4D0D">
                  <w:pPr>
                    <w:pStyle w:val="TableBodyText"/>
                  </w:pPr>
                  <w:r>
                    <w:t>(2 and 3)</w:t>
                  </w:r>
                </w:p>
              </w:tc>
              <w:tc>
                <w:tcPr>
                  <w:tcW w:w="625" w:type="pct"/>
                  <w:shd w:val="clear" w:color="auto" w:fill="auto"/>
                </w:tcPr>
                <w:p w:rsidR="000A0268" w:rsidRDefault="000A0268" w:rsidP="00EF4D0D">
                  <w:pPr>
                    <w:pStyle w:val="TableBodyText"/>
                  </w:pPr>
                  <w:r>
                    <w:t>LDC</w:t>
                  </w:r>
                </w:p>
              </w:tc>
              <w:tc>
                <w:tcPr>
                  <w:tcW w:w="625" w:type="pct"/>
                  <w:shd w:val="clear" w:color="auto" w:fill="auto"/>
                </w:tcPr>
                <w:p w:rsidR="000A0268" w:rsidRDefault="000A0268" w:rsidP="00EF4D0D">
                  <w:pPr>
                    <w:pStyle w:val="TableBodyText"/>
                  </w:pPr>
                  <w:r>
                    <w:t>$8.50</w:t>
                  </w:r>
                </w:p>
              </w:tc>
              <w:tc>
                <w:tcPr>
                  <w:tcW w:w="625" w:type="pct"/>
                  <w:shd w:val="clear" w:color="auto" w:fill="auto"/>
                </w:tcPr>
                <w:p w:rsidR="000A0268" w:rsidRDefault="000A0268" w:rsidP="00EF4D0D">
                  <w:pPr>
                    <w:pStyle w:val="TableBodyText"/>
                  </w:pPr>
                  <w:r>
                    <w:t>$35</w:t>
                  </w:r>
                </w:p>
              </w:tc>
              <w:tc>
                <w:tcPr>
                  <w:tcW w:w="624" w:type="pct"/>
                  <w:shd w:val="clear" w:color="auto" w:fill="auto"/>
                </w:tcPr>
                <w:p w:rsidR="000A0268" w:rsidRDefault="000A0268" w:rsidP="00EF4D0D">
                  <w:pPr>
                    <w:pStyle w:val="TableBodyText"/>
                    <w:ind w:right="28"/>
                  </w:pPr>
                  <w:r>
                    <w:t>$140 000</w:t>
                  </w:r>
                </w:p>
              </w:tc>
              <w:tc>
                <w:tcPr>
                  <w:tcW w:w="623" w:type="pct"/>
                  <w:shd w:val="clear" w:color="auto" w:fill="auto"/>
                </w:tcPr>
                <w:p w:rsidR="000A0268" w:rsidRDefault="000A0268" w:rsidP="00EF4D0D">
                  <w:pPr>
                    <w:pStyle w:val="TableBodyText"/>
                    <w:ind w:right="28"/>
                  </w:pPr>
                </w:p>
              </w:tc>
            </w:tr>
            <w:tr w:rsidR="00173CBF" w:rsidTr="00EF0EA9">
              <w:tc>
                <w:tcPr>
                  <w:tcW w:w="626" w:type="pct"/>
                  <w:shd w:val="clear" w:color="auto" w:fill="BFBFBF" w:themeFill="background1" w:themeFillShade="BF"/>
                  <w:vAlign w:val="center"/>
                </w:tcPr>
                <w:p w:rsidR="00173CBF" w:rsidRDefault="00173CBF" w:rsidP="00EF0EA9">
                  <w:pPr>
                    <w:pStyle w:val="TableBodyText"/>
                    <w:jc w:val="left"/>
                  </w:pPr>
                  <w:r>
                    <w:t>Cameo 3</w:t>
                  </w:r>
                </w:p>
              </w:tc>
              <w:tc>
                <w:tcPr>
                  <w:tcW w:w="626" w:type="pct"/>
                  <w:shd w:val="clear" w:color="auto" w:fill="BFBFBF" w:themeFill="background1" w:themeFillShade="BF"/>
                </w:tcPr>
                <w:p w:rsidR="00173CBF" w:rsidRDefault="00173CBF" w:rsidP="00503AAD">
                  <w:pPr>
                    <w:pStyle w:val="TableBodyText"/>
                  </w:pPr>
                  <w:r>
                    <w:t>Couple</w:t>
                  </w:r>
                </w:p>
              </w:tc>
              <w:tc>
                <w:tcPr>
                  <w:tcW w:w="626" w:type="pct"/>
                  <w:shd w:val="clear" w:color="auto" w:fill="BFBFBF" w:themeFill="background1" w:themeFillShade="BF"/>
                </w:tcPr>
                <w:p w:rsidR="00173CBF" w:rsidRDefault="00173CBF" w:rsidP="00503AAD">
                  <w:pPr>
                    <w:pStyle w:val="TableBodyText"/>
                  </w:pPr>
                  <w:r>
                    <w:t xml:space="preserve">2 </w:t>
                  </w:r>
                </w:p>
                <w:p w:rsidR="00173CBF" w:rsidRDefault="00173CBF" w:rsidP="00503AAD">
                  <w:pPr>
                    <w:pStyle w:val="TableBodyText"/>
                  </w:pPr>
                  <w:r>
                    <w:t>(3 and 6)</w:t>
                  </w:r>
                </w:p>
              </w:tc>
              <w:tc>
                <w:tcPr>
                  <w:tcW w:w="625" w:type="pct"/>
                  <w:shd w:val="clear" w:color="auto" w:fill="BFBFBF" w:themeFill="background1" w:themeFillShade="BF"/>
                </w:tcPr>
                <w:p w:rsidR="00173CBF" w:rsidRDefault="00173CBF" w:rsidP="00503AAD">
                  <w:pPr>
                    <w:pStyle w:val="TableBodyText"/>
                  </w:pPr>
                  <w:r>
                    <w:t>LDC for younger child, OSHC for older child</w:t>
                  </w:r>
                </w:p>
              </w:tc>
              <w:tc>
                <w:tcPr>
                  <w:tcW w:w="625" w:type="pct"/>
                  <w:shd w:val="clear" w:color="auto" w:fill="BFBFBF" w:themeFill="background1" w:themeFillShade="BF"/>
                </w:tcPr>
                <w:p w:rsidR="00173CBF" w:rsidRDefault="00173CBF" w:rsidP="00503AAD">
                  <w:pPr>
                    <w:pStyle w:val="TableBodyText"/>
                  </w:pPr>
                  <w:r>
                    <w:t xml:space="preserve">$7.46 for LDC, $5 for OSHC </w:t>
                  </w:r>
                </w:p>
              </w:tc>
              <w:tc>
                <w:tcPr>
                  <w:tcW w:w="625" w:type="pct"/>
                  <w:shd w:val="clear" w:color="auto" w:fill="BFBFBF" w:themeFill="background1" w:themeFillShade="BF"/>
                </w:tcPr>
                <w:p w:rsidR="00173CBF" w:rsidRDefault="00173CBF" w:rsidP="00503AAD">
                  <w:pPr>
                    <w:pStyle w:val="TableBodyText"/>
                  </w:pPr>
                  <w:r>
                    <w:t>$21</w:t>
                  </w:r>
                </w:p>
              </w:tc>
              <w:tc>
                <w:tcPr>
                  <w:tcW w:w="624" w:type="pct"/>
                  <w:shd w:val="clear" w:color="auto" w:fill="BFBFBF" w:themeFill="background1" w:themeFillShade="BF"/>
                </w:tcPr>
                <w:p w:rsidR="00173CBF" w:rsidRDefault="00173CBF" w:rsidP="00503AAD">
                  <w:pPr>
                    <w:pStyle w:val="TableBodyText"/>
                    <w:ind w:right="28"/>
                  </w:pPr>
                  <w:r>
                    <w:t xml:space="preserve">$78 000 </w:t>
                  </w:r>
                </w:p>
              </w:tc>
              <w:tc>
                <w:tcPr>
                  <w:tcW w:w="623" w:type="pct"/>
                  <w:shd w:val="clear" w:color="auto" w:fill="BFBFBF" w:themeFill="background1" w:themeFillShade="BF"/>
                </w:tcPr>
                <w:p w:rsidR="00173CBF" w:rsidRDefault="00173CBF" w:rsidP="00503AAD">
                  <w:pPr>
                    <w:pStyle w:val="TableUnitsRow"/>
                    <w:ind w:right="28"/>
                  </w:pPr>
                  <w:r>
                    <w:t>none</w:t>
                  </w:r>
                </w:p>
              </w:tc>
            </w:tr>
            <w:tr w:rsidR="00173CBF" w:rsidTr="00EF0EA9">
              <w:tc>
                <w:tcPr>
                  <w:tcW w:w="626" w:type="pct"/>
                  <w:vAlign w:val="center"/>
                </w:tcPr>
                <w:p w:rsidR="00173CBF" w:rsidRDefault="00173CBF" w:rsidP="00EF0EA9">
                  <w:pPr>
                    <w:pStyle w:val="TableBodyText"/>
                    <w:jc w:val="left"/>
                  </w:pPr>
                  <w:r>
                    <w:t>Cameo 4</w:t>
                  </w:r>
                </w:p>
              </w:tc>
              <w:tc>
                <w:tcPr>
                  <w:tcW w:w="626" w:type="pct"/>
                </w:tcPr>
                <w:p w:rsidR="00173CBF" w:rsidRDefault="00173CBF" w:rsidP="00503AAD">
                  <w:pPr>
                    <w:pStyle w:val="TableBodyText"/>
                  </w:pPr>
                  <w:r>
                    <w:t>Couple</w:t>
                  </w:r>
                </w:p>
              </w:tc>
              <w:tc>
                <w:tcPr>
                  <w:tcW w:w="626" w:type="pct"/>
                </w:tcPr>
                <w:p w:rsidR="00173CBF" w:rsidRDefault="00173CBF" w:rsidP="00503AAD">
                  <w:pPr>
                    <w:pStyle w:val="TableBodyText"/>
                  </w:pPr>
                  <w:r>
                    <w:t xml:space="preserve">2 </w:t>
                  </w:r>
                </w:p>
                <w:p w:rsidR="00173CBF" w:rsidRDefault="00173CBF" w:rsidP="00503AAD">
                  <w:pPr>
                    <w:pStyle w:val="TableBodyText"/>
                  </w:pPr>
                  <w:r>
                    <w:t>(3 and 6)</w:t>
                  </w:r>
                </w:p>
              </w:tc>
              <w:tc>
                <w:tcPr>
                  <w:tcW w:w="625" w:type="pct"/>
                </w:tcPr>
                <w:p w:rsidR="00173CBF" w:rsidRDefault="00173CBF" w:rsidP="00503AAD">
                  <w:pPr>
                    <w:pStyle w:val="TableBodyText"/>
                  </w:pPr>
                  <w:r>
                    <w:t>LDC for younger child, OSHC for older child</w:t>
                  </w:r>
                </w:p>
              </w:tc>
              <w:tc>
                <w:tcPr>
                  <w:tcW w:w="625" w:type="pct"/>
                </w:tcPr>
                <w:p w:rsidR="00173CBF" w:rsidRDefault="00173CBF" w:rsidP="00503AAD">
                  <w:pPr>
                    <w:pStyle w:val="TableBodyText"/>
                  </w:pPr>
                  <w:r>
                    <w:t>$7.46 for LDC, $5 for OSHC</w:t>
                  </w:r>
                </w:p>
              </w:tc>
              <w:tc>
                <w:tcPr>
                  <w:tcW w:w="625" w:type="pct"/>
                </w:tcPr>
                <w:p w:rsidR="00173CBF" w:rsidRDefault="00173CBF" w:rsidP="00503AAD">
                  <w:pPr>
                    <w:pStyle w:val="TableBodyText"/>
                  </w:pPr>
                  <w:r>
                    <w:t>$50</w:t>
                  </w:r>
                </w:p>
              </w:tc>
              <w:tc>
                <w:tcPr>
                  <w:tcW w:w="624" w:type="pct"/>
                </w:tcPr>
                <w:p w:rsidR="00173CBF" w:rsidRDefault="00173CBF" w:rsidP="00503AAD">
                  <w:pPr>
                    <w:pStyle w:val="TableBodyText"/>
                    <w:ind w:right="28"/>
                  </w:pPr>
                  <w:r>
                    <w:t xml:space="preserve">$130 000 </w:t>
                  </w:r>
                </w:p>
              </w:tc>
              <w:tc>
                <w:tcPr>
                  <w:tcW w:w="623" w:type="pct"/>
                </w:tcPr>
                <w:p w:rsidR="00173CBF" w:rsidRDefault="00173CBF" w:rsidP="00503AAD">
                  <w:pPr>
                    <w:pStyle w:val="TableBodyText"/>
                    <w:ind w:right="28"/>
                  </w:pPr>
                  <w:r>
                    <w:t>none</w:t>
                  </w:r>
                </w:p>
              </w:tc>
            </w:tr>
            <w:tr w:rsidR="00173CBF" w:rsidTr="00EF0EA9">
              <w:tc>
                <w:tcPr>
                  <w:tcW w:w="626" w:type="pct"/>
                  <w:shd w:val="clear" w:color="auto" w:fill="BFBFBF" w:themeFill="background1" w:themeFillShade="BF"/>
                  <w:vAlign w:val="center"/>
                </w:tcPr>
                <w:p w:rsidR="00173CBF" w:rsidRDefault="00173CBF" w:rsidP="00EF0EA9">
                  <w:pPr>
                    <w:pStyle w:val="TableBodyText"/>
                    <w:jc w:val="left"/>
                  </w:pPr>
                  <w:r>
                    <w:t>Cameo 5</w:t>
                  </w:r>
                </w:p>
              </w:tc>
              <w:tc>
                <w:tcPr>
                  <w:tcW w:w="626" w:type="pct"/>
                  <w:shd w:val="clear" w:color="auto" w:fill="BFBFBF" w:themeFill="background1" w:themeFillShade="BF"/>
                </w:tcPr>
                <w:p w:rsidR="00173CBF" w:rsidRDefault="00173CBF" w:rsidP="00503AAD">
                  <w:pPr>
                    <w:pStyle w:val="TableBodyText"/>
                  </w:pPr>
                  <w:r>
                    <w:t>Single</w:t>
                  </w:r>
                </w:p>
              </w:tc>
              <w:tc>
                <w:tcPr>
                  <w:tcW w:w="626" w:type="pct"/>
                  <w:shd w:val="clear" w:color="auto" w:fill="BFBFBF" w:themeFill="background1" w:themeFillShade="BF"/>
                </w:tcPr>
                <w:p w:rsidR="00173CBF" w:rsidRDefault="00173CBF" w:rsidP="00503AAD">
                  <w:pPr>
                    <w:pStyle w:val="TableBodyText"/>
                  </w:pPr>
                  <w:r>
                    <w:t xml:space="preserve">2 </w:t>
                  </w:r>
                </w:p>
                <w:p w:rsidR="00173CBF" w:rsidRDefault="00173CBF" w:rsidP="00503AAD">
                  <w:pPr>
                    <w:pStyle w:val="TableBodyText"/>
                  </w:pPr>
                  <w:r>
                    <w:t>(2 and 4)</w:t>
                  </w:r>
                </w:p>
              </w:tc>
              <w:tc>
                <w:tcPr>
                  <w:tcW w:w="625" w:type="pct"/>
                  <w:shd w:val="clear" w:color="auto" w:fill="BFBFBF" w:themeFill="background1" w:themeFillShade="BF"/>
                </w:tcPr>
                <w:p w:rsidR="00173CBF" w:rsidRDefault="00173CBF" w:rsidP="00503AAD">
                  <w:pPr>
                    <w:pStyle w:val="TableBodyText"/>
                  </w:pPr>
                  <w:r>
                    <w:t>LDC</w:t>
                  </w:r>
                </w:p>
              </w:tc>
              <w:tc>
                <w:tcPr>
                  <w:tcW w:w="625" w:type="pct"/>
                  <w:shd w:val="clear" w:color="auto" w:fill="BFBFBF" w:themeFill="background1" w:themeFillShade="BF"/>
                </w:tcPr>
                <w:p w:rsidR="00173CBF" w:rsidRDefault="00173CBF" w:rsidP="00503AAD">
                  <w:pPr>
                    <w:pStyle w:val="TableBodyText"/>
                  </w:pPr>
                  <w:r>
                    <w:t>$7.46</w:t>
                  </w:r>
                </w:p>
              </w:tc>
              <w:tc>
                <w:tcPr>
                  <w:tcW w:w="625" w:type="pct"/>
                  <w:shd w:val="clear" w:color="auto" w:fill="BFBFBF" w:themeFill="background1" w:themeFillShade="BF"/>
                </w:tcPr>
                <w:p w:rsidR="00173CBF" w:rsidRDefault="00173CBF" w:rsidP="00503AAD">
                  <w:pPr>
                    <w:pStyle w:val="TableBodyText"/>
                  </w:pPr>
                  <w:r>
                    <w:t>$23</w:t>
                  </w:r>
                </w:p>
              </w:tc>
              <w:tc>
                <w:tcPr>
                  <w:tcW w:w="624" w:type="pct"/>
                  <w:shd w:val="clear" w:color="auto" w:fill="BFBFBF" w:themeFill="background1" w:themeFillShade="BF"/>
                </w:tcPr>
                <w:p w:rsidR="00173CBF" w:rsidRDefault="00173CBF" w:rsidP="00503AAD">
                  <w:pPr>
                    <w:pStyle w:val="TableBodyText"/>
                    <w:ind w:right="28"/>
                  </w:pPr>
                  <w:r>
                    <w:t>na</w:t>
                  </w:r>
                </w:p>
              </w:tc>
              <w:tc>
                <w:tcPr>
                  <w:tcW w:w="623" w:type="pct"/>
                  <w:shd w:val="clear" w:color="auto" w:fill="BFBFBF" w:themeFill="background1" w:themeFillShade="BF"/>
                </w:tcPr>
                <w:p w:rsidR="00173CBF" w:rsidRDefault="00173CBF" w:rsidP="00503AAD">
                  <w:pPr>
                    <w:pStyle w:val="TableUnitsRow"/>
                    <w:ind w:right="28"/>
                  </w:pPr>
                  <w:r>
                    <w:t>none</w:t>
                  </w:r>
                </w:p>
              </w:tc>
            </w:tr>
            <w:tr w:rsidR="00173CBF" w:rsidTr="00EF0EA9">
              <w:tc>
                <w:tcPr>
                  <w:tcW w:w="626" w:type="pct"/>
                  <w:vAlign w:val="center"/>
                </w:tcPr>
                <w:p w:rsidR="00173CBF" w:rsidRDefault="00173CBF" w:rsidP="00EF0EA9">
                  <w:pPr>
                    <w:pStyle w:val="TableBodyText"/>
                    <w:jc w:val="left"/>
                  </w:pPr>
                  <w:r>
                    <w:t>Cameo 6</w:t>
                  </w:r>
                </w:p>
              </w:tc>
              <w:tc>
                <w:tcPr>
                  <w:tcW w:w="626" w:type="pct"/>
                </w:tcPr>
                <w:p w:rsidR="00173CBF" w:rsidRDefault="00173CBF" w:rsidP="00503AAD">
                  <w:pPr>
                    <w:pStyle w:val="TableBodyText"/>
                  </w:pPr>
                  <w:r>
                    <w:t>Couple</w:t>
                  </w:r>
                </w:p>
              </w:tc>
              <w:tc>
                <w:tcPr>
                  <w:tcW w:w="626" w:type="pct"/>
                </w:tcPr>
                <w:p w:rsidR="00173CBF" w:rsidRDefault="00173CBF" w:rsidP="00503AAD">
                  <w:pPr>
                    <w:pStyle w:val="TableBodyText"/>
                  </w:pPr>
                  <w:r>
                    <w:t xml:space="preserve">1 </w:t>
                  </w:r>
                </w:p>
                <w:p w:rsidR="00173CBF" w:rsidRDefault="00173CBF" w:rsidP="00503AAD">
                  <w:pPr>
                    <w:pStyle w:val="TableBodyText"/>
                  </w:pPr>
                  <w:r>
                    <w:t>(3)</w:t>
                  </w:r>
                </w:p>
              </w:tc>
              <w:tc>
                <w:tcPr>
                  <w:tcW w:w="625" w:type="pct"/>
                </w:tcPr>
                <w:p w:rsidR="00173CBF" w:rsidRDefault="00173CBF" w:rsidP="00503AAD">
                  <w:pPr>
                    <w:pStyle w:val="TableBodyText"/>
                  </w:pPr>
                  <w:r>
                    <w:t>LDC</w:t>
                  </w:r>
                </w:p>
              </w:tc>
              <w:tc>
                <w:tcPr>
                  <w:tcW w:w="625" w:type="pct"/>
                </w:tcPr>
                <w:p w:rsidR="00173CBF" w:rsidRDefault="00173CBF" w:rsidP="00503AAD">
                  <w:pPr>
                    <w:pStyle w:val="TableBodyText"/>
                  </w:pPr>
                  <w:r>
                    <w:t>$7.46</w:t>
                  </w:r>
                </w:p>
              </w:tc>
              <w:tc>
                <w:tcPr>
                  <w:tcW w:w="625" w:type="pct"/>
                </w:tcPr>
                <w:p w:rsidR="00173CBF" w:rsidRDefault="00173CBF" w:rsidP="00503AAD">
                  <w:pPr>
                    <w:pStyle w:val="TableBodyText"/>
                  </w:pPr>
                  <w:r>
                    <w:t>$42</w:t>
                  </w:r>
                </w:p>
              </w:tc>
              <w:tc>
                <w:tcPr>
                  <w:tcW w:w="624" w:type="pct"/>
                </w:tcPr>
                <w:p w:rsidR="00173CBF" w:rsidRDefault="00173CBF" w:rsidP="00503AAD">
                  <w:pPr>
                    <w:pStyle w:val="TableBodyText"/>
                    <w:ind w:right="28"/>
                  </w:pPr>
                  <w:r>
                    <w:t xml:space="preserve">$70 000 </w:t>
                  </w:r>
                </w:p>
              </w:tc>
              <w:tc>
                <w:tcPr>
                  <w:tcW w:w="623" w:type="pct"/>
                </w:tcPr>
                <w:p w:rsidR="00173CBF" w:rsidRDefault="00173CBF" w:rsidP="00503AAD">
                  <w:pPr>
                    <w:pStyle w:val="TableBodyText"/>
                    <w:ind w:right="28"/>
                  </w:pPr>
                  <w:r>
                    <w:t>Mother has a HELP debt</w:t>
                  </w:r>
                </w:p>
              </w:tc>
            </w:tr>
            <w:tr w:rsidR="00173CBF" w:rsidTr="00EF0EA9">
              <w:tc>
                <w:tcPr>
                  <w:tcW w:w="626" w:type="pct"/>
                  <w:shd w:val="clear" w:color="auto" w:fill="BFBFBF" w:themeFill="background1" w:themeFillShade="BF"/>
                  <w:vAlign w:val="center"/>
                </w:tcPr>
                <w:p w:rsidR="00173CBF" w:rsidRDefault="00173CBF" w:rsidP="00EF0EA9">
                  <w:pPr>
                    <w:pStyle w:val="TableBodyText"/>
                    <w:jc w:val="left"/>
                  </w:pPr>
                  <w:r>
                    <w:t>Cameo 7</w:t>
                  </w:r>
                </w:p>
              </w:tc>
              <w:tc>
                <w:tcPr>
                  <w:tcW w:w="626" w:type="pct"/>
                  <w:shd w:val="clear" w:color="auto" w:fill="BFBFBF" w:themeFill="background1" w:themeFillShade="BF"/>
                </w:tcPr>
                <w:p w:rsidR="00173CBF" w:rsidRDefault="00173CBF" w:rsidP="00503AAD">
                  <w:pPr>
                    <w:pStyle w:val="TableBodyText"/>
                  </w:pPr>
                  <w:r>
                    <w:t>Couple</w:t>
                  </w:r>
                </w:p>
              </w:tc>
              <w:tc>
                <w:tcPr>
                  <w:tcW w:w="626" w:type="pct"/>
                  <w:shd w:val="clear" w:color="auto" w:fill="BFBFBF" w:themeFill="background1" w:themeFillShade="BF"/>
                </w:tcPr>
                <w:p w:rsidR="00173CBF" w:rsidRDefault="00173CBF" w:rsidP="00503AAD">
                  <w:pPr>
                    <w:pStyle w:val="TableBodyText"/>
                  </w:pPr>
                  <w:r>
                    <w:t xml:space="preserve">2 </w:t>
                  </w:r>
                </w:p>
                <w:p w:rsidR="00173CBF" w:rsidRDefault="00173CBF" w:rsidP="00503AAD">
                  <w:pPr>
                    <w:pStyle w:val="TableBodyText"/>
                  </w:pPr>
                  <w:r>
                    <w:t>(6 and 8)</w:t>
                  </w:r>
                </w:p>
              </w:tc>
              <w:tc>
                <w:tcPr>
                  <w:tcW w:w="625" w:type="pct"/>
                  <w:shd w:val="clear" w:color="auto" w:fill="BFBFBF" w:themeFill="background1" w:themeFillShade="BF"/>
                </w:tcPr>
                <w:p w:rsidR="00173CBF" w:rsidRDefault="00173CBF" w:rsidP="00503AAD">
                  <w:pPr>
                    <w:pStyle w:val="TableBodyText"/>
                  </w:pPr>
                  <w:r>
                    <w:t>OSHC</w:t>
                  </w:r>
                </w:p>
              </w:tc>
              <w:tc>
                <w:tcPr>
                  <w:tcW w:w="625" w:type="pct"/>
                  <w:shd w:val="clear" w:color="auto" w:fill="BFBFBF" w:themeFill="background1" w:themeFillShade="BF"/>
                </w:tcPr>
                <w:p w:rsidR="00173CBF" w:rsidRDefault="00173CBF" w:rsidP="00503AAD">
                  <w:pPr>
                    <w:pStyle w:val="TableBodyText"/>
                  </w:pPr>
                  <w:r>
                    <w:t>$5</w:t>
                  </w:r>
                </w:p>
              </w:tc>
              <w:tc>
                <w:tcPr>
                  <w:tcW w:w="625" w:type="pct"/>
                  <w:shd w:val="clear" w:color="auto" w:fill="BFBFBF" w:themeFill="background1" w:themeFillShade="BF"/>
                </w:tcPr>
                <w:p w:rsidR="00173CBF" w:rsidRDefault="00173CBF" w:rsidP="006075B4">
                  <w:pPr>
                    <w:pStyle w:val="TableBodyText"/>
                  </w:pPr>
                  <w:r>
                    <w:t>$</w:t>
                  </w:r>
                  <w:r w:rsidR="006075B4">
                    <w:t>42</w:t>
                  </w:r>
                </w:p>
              </w:tc>
              <w:tc>
                <w:tcPr>
                  <w:tcW w:w="624" w:type="pct"/>
                  <w:shd w:val="clear" w:color="auto" w:fill="BFBFBF" w:themeFill="background1" w:themeFillShade="BF"/>
                </w:tcPr>
                <w:p w:rsidR="00173CBF" w:rsidRDefault="00173CBF" w:rsidP="00503AAD">
                  <w:pPr>
                    <w:pStyle w:val="TableBodyText"/>
                    <w:ind w:right="28"/>
                  </w:pPr>
                  <w:r>
                    <w:t xml:space="preserve">$70 000 </w:t>
                  </w:r>
                </w:p>
              </w:tc>
              <w:tc>
                <w:tcPr>
                  <w:tcW w:w="623" w:type="pct"/>
                  <w:shd w:val="clear" w:color="auto" w:fill="BFBFBF" w:themeFill="background1" w:themeFillShade="BF"/>
                </w:tcPr>
                <w:p w:rsidR="00173CBF" w:rsidRDefault="00173CBF" w:rsidP="00503AAD">
                  <w:pPr>
                    <w:pStyle w:val="TableUnitsRow"/>
                    <w:ind w:right="28"/>
                  </w:pPr>
                  <w:r>
                    <w:t>none</w:t>
                  </w:r>
                </w:p>
              </w:tc>
            </w:tr>
            <w:tr w:rsidR="00173CBF" w:rsidTr="00EF0EA9">
              <w:tc>
                <w:tcPr>
                  <w:tcW w:w="626" w:type="pct"/>
                  <w:shd w:val="clear" w:color="auto" w:fill="auto"/>
                  <w:vAlign w:val="center"/>
                </w:tcPr>
                <w:p w:rsidR="00173CBF" w:rsidRDefault="00173CBF" w:rsidP="00EF0EA9">
                  <w:pPr>
                    <w:pStyle w:val="TableBodyText"/>
                    <w:jc w:val="left"/>
                  </w:pPr>
                  <w:r>
                    <w:t>Cameo 8</w:t>
                  </w:r>
                </w:p>
              </w:tc>
              <w:tc>
                <w:tcPr>
                  <w:tcW w:w="626" w:type="pct"/>
                  <w:shd w:val="clear" w:color="auto" w:fill="auto"/>
                </w:tcPr>
                <w:p w:rsidR="00173CBF" w:rsidRDefault="00173CBF" w:rsidP="00503AAD">
                  <w:pPr>
                    <w:pStyle w:val="TableBodyText"/>
                  </w:pPr>
                  <w:r>
                    <w:t>Couple</w:t>
                  </w:r>
                </w:p>
              </w:tc>
              <w:tc>
                <w:tcPr>
                  <w:tcW w:w="626" w:type="pct"/>
                  <w:shd w:val="clear" w:color="auto" w:fill="auto"/>
                </w:tcPr>
                <w:p w:rsidR="00173CBF" w:rsidRDefault="00173CBF" w:rsidP="00503AAD">
                  <w:pPr>
                    <w:pStyle w:val="TableBodyText"/>
                  </w:pPr>
                  <w:r>
                    <w:t xml:space="preserve">2 </w:t>
                  </w:r>
                </w:p>
                <w:p w:rsidR="00173CBF" w:rsidRDefault="00173CBF" w:rsidP="00503AAD">
                  <w:pPr>
                    <w:pStyle w:val="TableBodyText"/>
                  </w:pPr>
                  <w:r>
                    <w:t>(2 and 4)</w:t>
                  </w:r>
                </w:p>
              </w:tc>
              <w:tc>
                <w:tcPr>
                  <w:tcW w:w="625" w:type="pct"/>
                  <w:shd w:val="clear" w:color="auto" w:fill="auto"/>
                </w:tcPr>
                <w:p w:rsidR="00173CBF" w:rsidRDefault="00173CBF" w:rsidP="00503AAD">
                  <w:pPr>
                    <w:pStyle w:val="TableBodyText"/>
                  </w:pPr>
                  <w:r>
                    <w:t>Friends (2 days), remainder LDC</w:t>
                  </w:r>
                </w:p>
              </w:tc>
              <w:tc>
                <w:tcPr>
                  <w:tcW w:w="625" w:type="pct"/>
                  <w:shd w:val="clear" w:color="auto" w:fill="auto"/>
                </w:tcPr>
                <w:p w:rsidR="00173CBF" w:rsidRDefault="00173CBF" w:rsidP="00503AAD">
                  <w:pPr>
                    <w:pStyle w:val="TableBodyText"/>
                  </w:pPr>
                  <w:r>
                    <w:t>$7.46 for LDC</w:t>
                  </w:r>
                </w:p>
              </w:tc>
              <w:tc>
                <w:tcPr>
                  <w:tcW w:w="625" w:type="pct"/>
                  <w:shd w:val="clear" w:color="auto" w:fill="auto"/>
                </w:tcPr>
                <w:p w:rsidR="00173CBF" w:rsidRDefault="00173CBF" w:rsidP="00503AAD">
                  <w:pPr>
                    <w:pStyle w:val="TableBodyText"/>
                  </w:pPr>
                  <w:r>
                    <w:t>$26</w:t>
                  </w:r>
                </w:p>
              </w:tc>
              <w:tc>
                <w:tcPr>
                  <w:tcW w:w="624" w:type="pct"/>
                  <w:shd w:val="clear" w:color="auto" w:fill="auto"/>
                </w:tcPr>
                <w:p w:rsidR="00173CBF" w:rsidRDefault="00173CBF" w:rsidP="00503AAD">
                  <w:pPr>
                    <w:pStyle w:val="TableBodyText"/>
                    <w:ind w:right="28"/>
                  </w:pPr>
                  <w:r>
                    <w:t xml:space="preserve">$60 000 </w:t>
                  </w:r>
                </w:p>
              </w:tc>
              <w:tc>
                <w:tcPr>
                  <w:tcW w:w="623" w:type="pct"/>
                </w:tcPr>
                <w:p w:rsidR="00173CBF" w:rsidRDefault="00173CBF" w:rsidP="00503AAD">
                  <w:pPr>
                    <w:pStyle w:val="TableBodyText"/>
                    <w:ind w:right="28"/>
                  </w:pPr>
                  <w:r>
                    <w:t>Using some informal care</w:t>
                  </w:r>
                </w:p>
              </w:tc>
            </w:tr>
            <w:tr w:rsidR="000A0268" w:rsidTr="000A0268">
              <w:tc>
                <w:tcPr>
                  <w:tcW w:w="626" w:type="pct"/>
                  <w:shd w:val="clear" w:color="auto" w:fill="BFBFBF" w:themeFill="background1" w:themeFillShade="BF"/>
                  <w:vAlign w:val="center"/>
                </w:tcPr>
                <w:p w:rsidR="000A0268" w:rsidRDefault="000A0268" w:rsidP="00B806CD">
                  <w:pPr>
                    <w:pStyle w:val="TableBodyText"/>
                    <w:jc w:val="left"/>
                  </w:pPr>
                  <w:r>
                    <w:t>Cameo 9</w:t>
                  </w:r>
                </w:p>
              </w:tc>
              <w:tc>
                <w:tcPr>
                  <w:tcW w:w="626" w:type="pct"/>
                  <w:shd w:val="clear" w:color="auto" w:fill="BFBFBF" w:themeFill="background1" w:themeFillShade="BF"/>
                </w:tcPr>
                <w:p w:rsidR="000A0268" w:rsidRDefault="000A0268" w:rsidP="00B806CD">
                  <w:pPr>
                    <w:pStyle w:val="TableBodyText"/>
                  </w:pPr>
                  <w:r>
                    <w:t>Couple</w:t>
                  </w:r>
                </w:p>
              </w:tc>
              <w:tc>
                <w:tcPr>
                  <w:tcW w:w="626" w:type="pct"/>
                  <w:shd w:val="clear" w:color="auto" w:fill="BFBFBF" w:themeFill="background1" w:themeFillShade="BF"/>
                </w:tcPr>
                <w:p w:rsidR="000A0268" w:rsidRDefault="000A0268" w:rsidP="00B806CD">
                  <w:pPr>
                    <w:pStyle w:val="TableBodyText"/>
                  </w:pPr>
                  <w:r>
                    <w:t xml:space="preserve">3 </w:t>
                  </w:r>
                </w:p>
                <w:p w:rsidR="000A0268" w:rsidRDefault="000A0268" w:rsidP="00B806CD">
                  <w:pPr>
                    <w:pStyle w:val="TableBodyText"/>
                  </w:pPr>
                  <w:r>
                    <w:t>(1, 3 and 6)</w:t>
                  </w:r>
                </w:p>
              </w:tc>
              <w:tc>
                <w:tcPr>
                  <w:tcW w:w="625" w:type="pct"/>
                  <w:shd w:val="clear" w:color="auto" w:fill="BFBFBF" w:themeFill="background1" w:themeFillShade="BF"/>
                </w:tcPr>
                <w:p w:rsidR="000A0268" w:rsidRDefault="000A0268" w:rsidP="00B806CD">
                  <w:pPr>
                    <w:pStyle w:val="TableBodyText"/>
                  </w:pPr>
                  <w:r>
                    <w:t>LDC for younger children, OSHC for oldest child</w:t>
                  </w:r>
                </w:p>
              </w:tc>
              <w:tc>
                <w:tcPr>
                  <w:tcW w:w="625" w:type="pct"/>
                  <w:shd w:val="clear" w:color="auto" w:fill="BFBFBF" w:themeFill="background1" w:themeFillShade="BF"/>
                </w:tcPr>
                <w:p w:rsidR="000A0268" w:rsidRDefault="000A0268" w:rsidP="00B806CD">
                  <w:pPr>
                    <w:pStyle w:val="TableBodyText"/>
                  </w:pPr>
                  <w:r>
                    <w:t>$10 for LDC, $6 for OSHC</w:t>
                  </w:r>
                </w:p>
              </w:tc>
              <w:tc>
                <w:tcPr>
                  <w:tcW w:w="625" w:type="pct"/>
                  <w:shd w:val="clear" w:color="auto" w:fill="BFBFBF" w:themeFill="background1" w:themeFillShade="BF"/>
                </w:tcPr>
                <w:p w:rsidR="000A0268" w:rsidRDefault="000A0268" w:rsidP="00B806CD">
                  <w:pPr>
                    <w:pStyle w:val="TableBodyText"/>
                  </w:pPr>
                  <w:r>
                    <w:t>$85</w:t>
                  </w:r>
                </w:p>
              </w:tc>
              <w:tc>
                <w:tcPr>
                  <w:tcW w:w="624" w:type="pct"/>
                  <w:shd w:val="clear" w:color="auto" w:fill="BFBFBF" w:themeFill="background1" w:themeFillShade="BF"/>
                </w:tcPr>
                <w:p w:rsidR="000A0268" w:rsidRDefault="000A0268" w:rsidP="00B806CD">
                  <w:pPr>
                    <w:pStyle w:val="TableBodyText"/>
                    <w:ind w:right="28"/>
                  </w:pPr>
                  <w:r>
                    <w:t xml:space="preserve">$110 000 </w:t>
                  </w:r>
                </w:p>
              </w:tc>
              <w:tc>
                <w:tcPr>
                  <w:tcW w:w="623" w:type="pct"/>
                  <w:shd w:val="clear" w:color="auto" w:fill="BFBFBF" w:themeFill="background1" w:themeFillShade="BF"/>
                </w:tcPr>
                <w:p w:rsidR="000A0268" w:rsidRDefault="000A0268" w:rsidP="00B806CD">
                  <w:pPr>
                    <w:pStyle w:val="TableBodyText"/>
                    <w:ind w:right="28"/>
                  </w:pPr>
                  <w:r>
                    <w:t>none</w:t>
                  </w:r>
                </w:p>
              </w:tc>
            </w:tr>
            <w:tr w:rsidR="006075B4" w:rsidTr="00EF0EA9">
              <w:tc>
                <w:tcPr>
                  <w:tcW w:w="626" w:type="pct"/>
                  <w:tcBorders>
                    <w:bottom w:val="single" w:sz="6" w:space="0" w:color="BFBFBF"/>
                  </w:tcBorders>
                  <w:shd w:val="clear" w:color="auto" w:fill="auto"/>
                  <w:vAlign w:val="center"/>
                </w:tcPr>
                <w:p w:rsidR="006075B4" w:rsidRDefault="006075B4" w:rsidP="00EF0EA9">
                  <w:pPr>
                    <w:pStyle w:val="TableBodyText"/>
                    <w:jc w:val="left"/>
                  </w:pPr>
                  <w:r>
                    <w:t>Cameo 10</w:t>
                  </w:r>
                </w:p>
              </w:tc>
              <w:tc>
                <w:tcPr>
                  <w:tcW w:w="626" w:type="pct"/>
                  <w:tcBorders>
                    <w:bottom w:val="single" w:sz="6" w:space="0" w:color="BFBFBF"/>
                  </w:tcBorders>
                  <w:shd w:val="clear" w:color="auto" w:fill="auto"/>
                </w:tcPr>
                <w:p w:rsidR="006075B4" w:rsidRDefault="00884360" w:rsidP="00503AAD">
                  <w:pPr>
                    <w:pStyle w:val="TableBodyText"/>
                  </w:pPr>
                  <w:r>
                    <w:t>Couple</w:t>
                  </w:r>
                </w:p>
              </w:tc>
              <w:tc>
                <w:tcPr>
                  <w:tcW w:w="626" w:type="pct"/>
                  <w:tcBorders>
                    <w:bottom w:val="single" w:sz="6" w:space="0" w:color="BFBFBF"/>
                  </w:tcBorders>
                  <w:shd w:val="clear" w:color="auto" w:fill="auto"/>
                </w:tcPr>
                <w:p w:rsidR="006075B4" w:rsidRDefault="00884360" w:rsidP="00503AAD">
                  <w:pPr>
                    <w:pStyle w:val="TableBodyText"/>
                  </w:pPr>
                  <w:r>
                    <w:t xml:space="preserve">2 </w:t>
                  </w:r>
                </w:p>
                <w:p w:rsidR="00884360" w:rsidRDefault="00884360" w:rsidP="00503AAD">
                  <w:pPr>
                    <w:pStyle w:val="TableBodyText"/>
                  </w:pPr>
                  <w:r>
                    <w:t>(6 and 9)</w:t>
                  </w:r>
                </w:p>
              </w:tc>
              <w:tc>
                <w:tcPr>
                  <w:tcW w:w="625" w:type="pct"/>
                  <w:tcBorders>
                    <w:bottom w:val="single" w:sz="6" w:space="0" w:color="BFBFBF"/>
                  </w:tcBorders>
                  <w:shd w:val="clear" w:color="auto" w:fill="auto"/>
                </w:tcPr>
                <w:p w:rsidR="006075B4" w:rsidRDefault="00884360" w:rsidP="00503AAD">
                  <w:pPr>
                    <w:pStyle w:val="TableBodyText"/>
                  </w:pPr>
                  <w:r>
                    <w:t>OSHC</w:t>
                  </w:r>
                </w:p>
              </w:tc>
              <w:tc>
                <w:tcPr>
                  <w:tcW w:w="625" w:type="pct"/>
                  <w:tcBorders>
                    <w:bottom w:val="single" w:sz="6" w:space="0" w:color="BFBFBF"/>
                  </w:tcBorders>
                  <w:shd w:val="clear" w:color="auto" w:fill="auto"/>
                </w:tcPr>
                <w:p w:rsidR="006075B4" w:rsidRDefault="00884360" w:rsidP="00503AAD">
                  <w:pPr>
                    <w:pStyle w:val="TableBodyText"/>
                  </w:pPr>
                  <w:r>
                    <w:t>$5</w:t>
                  </w:r>
                </w:p>
              </w:tc>
              <w:tc>
                <w:tcPr>
                  <w:tcW w:w="625" w:type="pct"/>
                  <w:tcBorders>
                    <w:bottom w:val="single" w:sz="6" w:space="0" w:color="BFBFBF"/>
                  </w:tcBorders>
                  <w:shd w:val="clear" w:color="auto" w:fill="auto"/>
                </w:tcPr>
                <w:p w:rsidR="006075B4" w:rsidRDefault="00884360" w:rsidP="00503AAD">
                  <w:pPr>
                    <w:pStyle w:val="TableBodyText"/>
                  </w:pPr>
                  <w:r>
                    <w:t>$21</w:t>
                  </w:r>
                </w:p>
              </w:tc>
              <w:tc>
                <w:tcPr>
                  <w:tcW w:w="624" w:type="pct"/>
                  <w:tcBorders>
                    <w:bottom w:val="single" w:sz="6" w:space="0" w:color="BFBFBF"/>
                  </w:tcBorders>
                  <w:shd w:val="clear" w:color="auto" w:fill="auto"/>
                </w:tcPr>
                <w:p w:rsidR="006075B4" w:rsidRDefault="00884360" w:rsidP="00503AAD">
                  <w:pPr>
                    <w:pStyle w:val="TableBodyText"/>
                    <w:ind w:right="28"/>
                  </w:pPr>
                  <w:r>
                    <w:t>$70 000</w:t>
                  </w:r>
                </w:p>
              </w:tc>
              <w:tc>
                <w:tcPr>
                  <w:tcW w:w="623" w:type="pct"/>
                  <w:tcBorders>
                    <w:bottom w:val="single" w:sz="6" w:space="0" w:color="BFBFBF"/>
                  </w:tcBorders>
                </w:tcPr>
                <w:p w:rsidR="006075B4" w:rsidRDefault="006075B4" w:rsidP="00503AAD">
                  <w:pPr>
                    <w:pStyle w:val="TableBodyText"/>
                    <w:ind w:right="28"/>
                  </w:pPr>
                </w:p>
              </w:tc>
            </w:tr>
          </w:tbl>
          <w:p w:rsidR="00173CBF" w:rsidRDefault="00173CBF" w:rsidP="00503AAD">
            <w:pPr>
              <w:pStyle w:val="Box"/>
            </w:pPr>
          </w:p>
        </w:tc>
      </w:tr>
      <w:tr w:rsidR="00173CBF" w:rsidTr="00503AAD">
        <w:trPr>
          <w:cantSplit/>
        </w:trPr>
        <w:tc>
          <w:tcPr>
            <w:tcW w:w="8771" w:type="dxa"/>
            <w:tcBorders>
              <w:top w:val="nil"/>
              <w:left w:val="nil"/>
              <w:bottom w:val="nil"/>
              <w:right w:val="nil"/>
            </w:tcBorders>
            <w:shd w:val="clear" w:color="auto" w:fill="auto"/>
          </w:tcPr>
          <w:p w:rsidR="00173CBF" w:rsidRPr="00173CBF" w:rsidRDefault="00173CBF" w:rsidP="00503AAD">
            <w:pPr>
              <w:pStyle w:val="Note"/>
            </w:pPr>
            <w:r>
              <w:t xml:space="preserve">na. Not applicable. </w:t>
            </w:r>
          </w:p>
        </w:tc>
      </w:tr>
      <w:tr w:rsidR="00173CBF" w:rsidTr="00503AAD">
        <w:trPr>
          <w:cantSplit/>
        </w:trPr>
        <w:tc>
          <w:tcPr>
            <w:tcW w:w="8771" w:type="dxa"/>
            <w:tcBorders>
              <w:top w:val="nil"/>
              <w:left w:val="nil"/>
              <w:bottom w:val="single" w:sz="6" w:space="0" w:color="78A22F" w:themeColor="accent1"/>
              <w:right w:val="nil"/>
            </w:tcBorders>
            <w:shd w:val="clear" w:color="auto" w:fill="auto"/>
          </w:tcPr>
          <w:p w:rsidR="00173CBF" w:rsidRDefault="00173CBF" w:rsidP="00503AAD">
            <w:pPr>
              <w:pStyle w:val="Box"/>
              <w:spacing w:before="0" w:line="120" w:lineRule="exact"/>
            </w:pPr>
          </w:p>
        </w:tc>
      </w:tr>
      <w:tr w:rsidR="00173CBF" w:rsidRPr="000863A5" w:rsidTr="00503AAD">
        <w:tc>
          <w:tcPr>
            <w:tcW w:w="8771" w:type="dxa"/>
            <w:tcBorders>
              <w:top w:val="single" w:sz="6" w:space="0" w:color="78A22F" w:themeColor="accent1"/>
              <w:left w:val="nil"/>
              <w:bottom w:val="nil"/>
              <w:right w:val="nil"/>
            </w:tcBorders>
          </w:tcPr>
          <w:p w:rsidR="00173CBF" w:rsidRPr="00626D32" w:rsidRDefault="00173CBF" w:rsidP="00503AAD">
            <w:pPr>
              <w:pStyle w:val="BoxSpaceBelow"/>
            </w:pPr>
          </w:p>
        </w:tc>
      </w:tr>
    </w:tbl>
    <w:p w:rsidR="00F903A4" w:rsidRPr="00B764EB" w:rsidRDefault="00530478" w:rsidP="008D6323">
      <w:pPr>
        <w:pStyle w:val="BodyText"/>
        <w:widowControl w:val="0"/>
      </w:pPr>
      <w:r>
        <w:t>It would be impossible to reflect the circumstances of all Australian families who are using (or might consider to use) ECEC services through the use of 10 cameos. However, in choosing cameo families, the Commission has actively attempted to represent a range of family circumstances that more commonly occur as well as example</w:t>
      </w:r>
      <w:r w:rsidR="00B94952">
        <w:t>s</w:t>
      </w:r>
      <w:r>
        <w:t xml:space="preserve"> that can demonstrate the interaction between ECEC subsidies and other tax and transfer arrangements. Given that the effects of tax and transfer arrangements differ based on family or individual incomes, the example families used </w:t>
      </w:r>
      <w:r w:rsidR="00B94952">
        <w:t>span</w:t>
      </w:r>
      <w:r w:rsidR="005B0B9A">
        <w:t xml:space="preserve"> a reasonable spread of potential family incomes (figure </w:t>
      </w:r>
      <w:r w:rsidR="00A7553B">
        <w:t>E.</w:t>
      </w:r>
      <w:r w:rsidR="005B0B9A">
        <w:t>9).</w:t>
      </w:r>
    </w:p>
    <w:p w:rsidR="00F903A4" w:rsidRDefault="00F903A4" w:rsidP="00F903A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903A4" w:rsidTr="00F903A4">
        <w:tc>
          <w:tcPr>
            <w:tcW w:w="8771" w:type="dxa"/>
            <w:tcBorders>
              <w:top w:val="single" w:sz="6" w:space="0" w:color="78A22F"/>
              <w:left w:val="nil"/>
              <w:bottom w:val="nil"/>
              <w:right w:val="nil"/>
            </w:tcBorders>
            <w:shd w:val="clear" w:color="auto" w:fill="auto"/>
          </w:tcPr>
          <w:p w:rsidR="00F903A4" w:rsidRPr="00176D3F" w:rsidRDefault="00F903A4" w:rsidP="00F903A4">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9</w:t>
            </w:r>
            <w:r w:rsidRPr="00784A05">
              <w:rPr>
                <w:b w:val="0"/>
              </w:rPr>
              <w:fldChar w:fldCharType="end"/>
            </w:r>
            <w:r>
              <w:tab/>
              <w:t>Range of family incomes implied in the cameos</w:t>
            </w:r>
          </w:p>
        </w:tc>
      </w:tr>
      <w:tr w:rsidR="00F903A4" w:rsidTr="00F903A4">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487"/>
            </w:tblGrid>
            <w:tr w:rsidR="00F903A4" w:rsidTr="006E7B04">
              <w:tc>
                <w:tcPr>
                  <w:tcW w:w="8487" w:type="dxa"/>
                  <w:tcBorders>
                    <w:top w:val="nil"/>
                    <w:bottom w:val="nil"/>
                  </w:tcBorders>
                </w:tcPr>
                <w:p w:rsidR="00F903A4" w:rsidRDefault="0082609A" w:rsidP="00F903A4">
                  <w:pPr>
                    <w:pStyle w:val="Figure"/>
                    <w:spacing w:before="60" w:after="60"/>
                  </w:pPr>
                  <w:r>
                    <w:rPr>
                      <w:noProof/>
                    </w:rPr>
                    <w:drawing>
                      <wp:inline distT="0" distB="0" distL="0" distR="0" wp14:anchorId="394F8C3A" wp14:editId="3BC36137">
                        <wp:extent cx="5201920" cy="2837815"/>
                        <wp:effectExtent l="0" t="0" r="0" b="635"/>
                        <wp:docPr id="5" name="Picture 5" descr="For each of the Commission's 10 cameo's it shows the family income ranges relevant to each ca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1920" cy="2837815"/>
                                </a:xfrm>
                                <a:prstGeom prst="rect">
                                  <a:avLst/>
                                </a:prstGeom>
                                <a:noFill/>
                                <a:ln>
                                  <a:noFill/>
                                </a:ln>
                              </pic:spPr>
                            </pic:pic>
                          </a:graphicData>
                        </a:graphic>
                      </wp:inline>
                    </w:drawing>
                  </w:r>
                </w:p>
              </w:tc>
            </w:tr>
          </w:tbl>
          <w:p w:rsidR="00F903A4" w:rsidRDefault="00F903A4" w:rsidP="00F903A4">
            <w:pPr>
              <w:pStyle w:val="Figure"/>
            </w:pPr>
          </w:p>
        </w:tc>
      </w:tr>
      <w:tr w:rsidR="00F903A4" w:rsidTr="00F903A4">
        <w:tc>
          <w:tcPr>
            <w:tcW w:w="8771" w:type="dxa"/>
            <w:tcBorders>
              <w:top w:val="nil"/>
              <w:left w:val="nil"/>
              <w:bottom w:val="single" w:sz="6" w:space="0" w:color="78A22F"/>
              <w:right w:val="nil"/>
            </w:tcBorders>
            <w:shd w:val="clear" w:color="auto" w:fill="auto"/>
          </w:tcPr>
          <w:p w:rsidR="00F903A4" w:rsidRDefault="00F903A4" w:rsidP="00F903A4">
            <w:pPr>
              <w:pStyle w:val="Figurespace"/>
            </w:pPr>
          </w:p>
        </w:tc>
      </w:tr>
      <w:tr w:rsidR="00F903A4" w:rsidRPr="000863A5" w:rsidTr="00F903A4">
        <w:tc>
          <w:tcPr>
            <w:tcW w:w="8771" w:type="dxa"/>
            <w:tcBorders>
              <w:top w:val="single" w:sz="6" w:space="0" w:color="78A22F"/>
              <w:left w:val="nil"/>
              <w:bottom w:val="nil"/>
              <w:right w:val="nil"/>
            </w:tcBorders>
          </w:tcPr>
          <w:p w:rsidR="00F903A4" w:rsidRPr="00626D32" w:rsidRDefault="00F903A4" w:rsidP="00F903A4">
            <w:pPr>
              <w:pStyle w:val="BoxSpaceBelow"/>
            </w:pPr>
          </w:p>
        </w:tc>
      </w:tr>
    </w:tbl>
    <w:p w:rsidR="0063602F" w:rsidRDefault="008D6323" w:rsidP="008D6323">
      <w:pPr>
        <w:pStyle w:val="BodyText"/>
        <w:widowControl w:val="0"/>
      </w:pPr>
      <w:r>
        <w:t xml:space="preserve">Apart from </w:t>
      </w:r>
      <w:r w:rsidR="00BA748D">
        <w:t xml:space="preserve">cameo 8, these cameos assume that families do not have access to informal care. </w:t>
      </w:r>
      <w:r w:rsidR="0063602F">
        <w:t>As such, increasing the hours of work of the mother requires an increase in the amount of ECEC used. Chapter</w:t>
      </w:r>
      <w:r w:rsidR="009605D5">
        <w:t> </w:t>
      </w:r>
      <w:r w:rsidR="0063602F">
        <w:t xml:space="preserve">3 </w:t>
      </w:r>
      <w:r>
        <w:t xml:space="preserve">notes </w:t>
      </w:r>
      <w:r w:rsidR="0063602F">
        <w:t xml:space="preserve">that </w:t>
      </w:r>
      <w:r w:rsidR="00982070">
        <w:t>many</w:t>
      </w:r>
      <w:r w:rsidR="0063602F">
        <w:t xml:space="preserve"> families use at least some informal care arrangements. As informal care is typically cheaper than formal ECEC (or even free), families are financially better off using such arrangements where they are available and are considered suitable. </w:t>
      </w:r>
    </w:p>
    <w:p w:rsidR="00B63DFB" w:rsidRDefault="00B63DFB" w:rsidP="00D555B9">
      <w:pPr>
        <w:pStyle w:val="BodyText"/>
      </w:pPr>
      <w:r>
        <w:t xml:space="preserve">The effect of childcare costs on EMTRs depends on a number of factors. As well as care patterns of the family — such as how many children are in care, how many weeks </w:t>
      </w:r>
      <w:r w:rsidR="00185371">
        <w:t>the care is for</w:t>
      </w:r>
      <w:r>
        <w:t xml:space="preserve"> and the hourly cost of </w:t>
      </w:r>
      <w:r w:rsidR="00185371">
        <w:t>that</w:t>
      </w:r>
      <w:r>
        <w:t xml:space="preserve"> care — the rate of withdraw</w:t>
      </w:r>
      <w:r w:rsidR="00185371">
        <w:t>al</w:t>
      </w:r>
      <w:r>
        <w:t xml:space="preserve"> of childcare assistance</w:t>
      </w:r>
      <w:r w:rsidR="00671875">
        <w:t xml:space="preserve"> also affects EMTRs</w:t>
      </w:r>
      <w:r>
        <w:t>.</w:t>
      </w:r>
      <w:r w:rsidR="00671875">
        <w:t xml:space="preserve"> </w:t>
      </w:r>
    </w:p>
    <w:p w:rsidR="002538FF" w:rsidRPr="000309AA" w:rsidRDefault="002538FF" w:rsidP="00D555B9">
      <w:pPr>
        <w:pStyle w:val="BodyText"/>
      </w:pPr>
      <w:r>
        <w:t>The Commission’s modelled scenario assumes a subsidy rate of 85 per cent of the benchmark price of care for families whose annual income does not exceed $60 000. Once income exceeds this threshold, a linear taper is applied until family income reaches $250 000, at which point, tapering ceases and families are entitled to a subsidy of 20 per cent of the benchmark price per hour of care used</w:t>
      </w:r>
      <w:r w:rsidR="00530478">
        <w:t>.</w:t>
      </w:r>
    </w:p>
    <w:p w:rsidR="00671875" w:rsidRDefault="00671875" w:rsidP="006D66D1">
      <w:pPr>
        <w:pStyle w:val="BodyText"/>
      </w:pPr>
      <w:r>
        <w:t xml:space="preserve">Taper rates and income thresholds for other transfers — the </w:t>
      </w:r>
      <w:r w:rsidR="000928DE">
        <w:t>Parenting Payment</w:t>
      </w:r>
      <w:r>
        <w:t xml:space="preserve">, and Family Tax Benefit assistance — and taxation rates </w:t>
      </w:r>
      <w:r w:rsidR="002538FF">
        <w:t>are reflective of current policies</w:t>
      </w:r>
      <w:r>
        <w:t>. In a number of cameos, it is these payments that have the dominant effect on EMTRs and as such, EMTRs may remain very high in these cameos despite</w:t>
      </w:r>
      <w:r w:rsidR="00A735A6">
        <w:t xml:space="preserve"> the EMTRs for childcare costs becoming more favourable.</w:t>
      </w:r>
      <w:r w:rsidR="009605D5">
        <w:t xml:space="preserve"> </w:t>
      </w:r>
    </w:p>
    <w:p w:rsidR="00CB18E5" w:rsidRDefault="00CB18E5" w:rsidP="00CB18E5">
      <w:pPr>
        <w:pStyle w:val="Heading3"/>
      </w:pPr>
      <w:r>
        <w:lastRenderedPageBreak/>
        <w:t>Cameo 1</w:t>
      </w:r>
    </w:p>
    <w:p w:rsidR="00CB18E5" w:rsidRDefault="00CB18E5" w:rsidP="00CB18E5">
      <w:pPr>
        <w:pStyle w:val="BodyText"/>
      </w:pPr>
      <w:r>
        <w:t xml:space="preserve">Cameo 1 replicates the circumstances of the first cameo family in box 5 of the overview. The mother is entitled to the Parenting Payment, and it is the withdrawal of this benefit that has the biggest single impact on her EMTRs under current policies. From working two days to working three days, the mother loses $101 per week in her Parenting Payment, and this is the largest contributor to her EMTR </w:t>
      </w:r>
      <w:r w:rsidR="008119BE">
        <w:t xml:space="preserve">approaching </w:t>
      </w:r>
      <w:r>
        <w:t>100 cents in the dollar for working on day 4 (</w:t>
      </w:r>
      <w:r w:rsidR="0051538A">
        <w:t>box</w:t>
      </w:r>
      <w:r>
        <w:t> E.</w:t>
      </w:r>
      <w:r w:rsidR="0051538A">
        <w:t>3</w:t>
      </w:r>
      <w:r>
        <w:t xml:space="preserve">). This means that there is little immediate financial incentive for her to work beyond three days a week. </w:t>
      </w:r>
    </w:p>
    <w:p w:rsidR="00EF0EA9" w:rsidRDefault="00EF0EA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F0EA9" w:rsidTr="00E770A0">
        <w:tc>
          <w:tcPr>
            <w:tcW w:w="8771" w:type="dxa"/>
            <w:tcBorders>
              <w:top w:val="single" w:sz="6" w:space="0" w:color="78A22F"/>
              <w:left w:val="nil"/>
              <w:bottom w:val="nil"/>
              <w:right w:val="nil"/>
            </w:tcBorders>
            <w:shd w:val="clear" w:color="auto" w:fill="F2F2F2"/>
          </w:tcPr>
          <w:p w:rsidR="00EF0EA9" w:rsidRDefault="00EF0EA9">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3</w:t>
            </w:r>
            <w:r>
              <w:rPr>
                <w:b w:val="0"/>
              </w:rPr>
              <w:fldChar w:fldCharType="end"/>
            </w:r>
            <w:r>
              <w:tab/>
              <w:t>Cameo 1</w:t>
            </w:r>
          </w:p>
        </w:tc>
      </w:tr>
      <w:tr w:rsidR="00EF0EA9" w:rsidTr="00E770A0">
        <w:trPr>
          <w:cantSplit/>
        </w:trPr>
        <w:tc>
          <w:tcPr>
            <w:tcW w:w="8771" w:type="dxa"/>
            <w:tcBorders>
              <w:top w:val="nil"/>
              <w:left w:val="nil"/>
              <w:bottom w:val="nil"/>
              <w:right w:val="nil"/>
            </w:tcBorders>
            <w:shd w:val="clear" w:color="auto" w:fill="F2F2F2"/>
          </w:tcPr>
          <w:p w:rsidR="00EF0EA9" w:rsidRPr="00EF0EA9" w:rsidRDefault="00EF0EA9" w:rsidP="00E770A0">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594"/>
              <w:gridCol w:w="618"/>
              <w:gridCol w:w="1212"/>
              <w:gridCol w:w="1212"/>
              <w:gridCol w:w="1192"/>
              <w:gridCol w:w="20"/>
            </w:tblGrid>
            <w:tr w:rsidR="00EF0EA9" w:rsidTr="00264D75">
              <w:tc>
                <w:tcPr>
                  <w:tcW w:w="715" w:type="pct"/>
                  <w:tcBorders>
                    <w:top w:val="single" w:sz="6" w:space="0" w:color="C8C8C8"/>
                    <w:bottom w:val="single" w:sz="6" w:space="0" w:color="C8C8C8"/>
                  </w:tcBorders>
                  <w:shd w:val="clear" w:color="auto" w:fill="auto"/>
                  <w:tcMar>
                    <w:top w:w="28" w:type="dxa"/>
                  </w:tcMar>
                  <w:vAlign w:val="bottom"/>
                </w:tcPr>
                <w:p w:rsidR="00EF0EA9" w:rsidRDefault="00EF0EA9" w:rsidP="00E770A0">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EF0EA9" w:rsidRDefault="00EF0EA9" w:rsidP="00E770A0">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EF0EA9" w:rsidRDefault="00EF0EA9" w:rsidP="00E770A0">
                  <w:pPr>
                    <w:pStyle w:val="TableColumnHeading"/>
                    <w:ind w:right="28"/>
                  </w:pPr>
                  <w:r>
                    <w:t xml:space="preserve">Type of </w:t>
                  </w:r>
                  <w:r w:rsidR="001554B8">
                    <w:br/>
                  </w:r>
                  <w:r>
                    <w:t>ECEC used</w:t>
                  </w:r>
                </w:p>
              </w:tc>
              <w:tc>
                <w:tcPr>
                  <w:tcW w:w="714" w:type="pct"/>
                  <w:gridSpan w:val="2"/>
                  <w:tcBorders>
                    <w:top w:val="single" w:sz="6" w:space="0" w:color="C8C8C8"/>
                    <w:bottom w:val="single" w:sz="6" w:space="0" w:color="C8C8C8"/>
                  </w:tcBorders>
                  <w:vAlign w:val="bottom"/>
                </w:tcPr>
                <w:p w:rsidR="00EF0EA9" w:rsidRDefault="00EF0EA9" w:rsidP="00E770A0">
                  <w:pPr>
                    <w:pStyle w:val="TableColumnHeading"/>
                    <w:ind w:right="28"/>
                  </w:pPr>
                  <w:r>
                    <w:t>ECEC fees</w:t>
                  </w:r>
                </w:p>
              </w:tc>
              <w:tc>
                <w:tcPr>
                  <w:tcW w:w="714" w:type="pct"/>
                  <w:tcBorders>
                    <w:top w:val="single" w:sz="6" w:space="0" w:color="C8C8C8"/>
                    <w:bottom w:val="single" w:sz="6" w:space="0" w:color="C8C8C8"/>
                  </w:tcBorders>
                  <w:vAlign w:val="bottom"/>
                </w:tcPr>
                <w:p w:rsidR="00EF0EA9" w:rsidRDefault="00EF0EA9" w:rsidP="00E770A0">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EF0EA9" w:rsidRDefault="00EF0EA9" w:rsidP="00E770A0">
                  <w:pPr>
                    <w:pStyle w:val="TableColumnHeading"/>
                    <w:ind w:right="28"/>
                  </w:pPr>
                  <w:r>
                    <w:t xml:space="preserve">Partners income </w:t>
                  </w:r>
                  <w:r w:rsidR="006D7F0C">
                    <w:br/>
                  </w:r>
                  <w:r>
                    <w:t>(per annum)</w:t>
                  </w:r>
                </w:p>
              </w:tc>
              <w:tc>
                <w:tcPr>
                  <w:tcW w:w="714" w:type="pct"/>
                  <w:gridSpan w:val="2"/>
                  <w:tcBorders>
                    <w:top w:val="single" w:sz="6" w:space="0" w:color="C8C8C8"/>
                    <w:bottom w:val="single" w:sz="6" w:space="0" w:color="C8C8C8"/>
                  </w:tcBorders>
                  <w:vAlign w:val="bottom"/>
                </w:tcPr>
                <w:p w:rsidR="00EF0EA9" w:rsidRDefault="00EF0EA9" w:rsidP="00E770A0">
                  <w:pPr>
                    <w:pStyle w:val="TableColumnHeading"/>
                    <w:ind w:right="28"/>
                  </w:pPr>
                  <w:r>
                    <w:t>Other factors</w:t>
                  </w:r>
                </w:p>
              </w:tc>
            </w:tr>
            <w:tr w:rsidR="00EF0EA9" w:rsidTr="00264D75">
              <w:tc>
                <w:tcPr>
                  <w:tcW w:w="715" w:type="pct"/>
                  <w:tcBorders>
                    <w:bottom w:val="single" w:sz="6" w:space="0" w:color="C8C8C8"/>
                  </w:tcBorders>
                  <w:shd w:val="clear" w:color="auto" w:fill="auto"/>
                </w:tcPr>
                <w:p w:rsidR="00EF0EA9" w:rsidRDefault="00EF0EA9" w:rsidP="00E770A0">
                  <w:pPr>
                    <w:pStyle w:val="TableUnitsRow"/>
                    <w:jc w:val="left"/>
                  </w:pPr>
                </w:p>
              </w:tc>
              <w:tc>
                <w:tcPr>
                  <w:tcW w:w="715" w:type="pct"/>
                  <w:tcBorders>
                    <w:bottom w:val="single" w:sz="6" w:space="0" w:color="C8C8C8"/>
                  </w:tcBorders>
                  <w:shd w:val="clear" w:color="auto" w:fill="auto"/>
                </w:tcPr>
                <w:p w:rsidR="00EF0EA9" w:rsidRDefault="00EF0EA9" w:rsidP="00E770A0">
                  <w:pPr>
                    <w:pStyle w:val="TableUnitsRow"/>
                  </w:pPr>
                </w:p>
              </w:tc>
              <w:tc>
                <w:tcPr>
                  <w:tcW w:w="714" w:type="pct"/>
                  <w:tcBorders>
                    <w:bottom w:val="single" w:sz="6" w:space="0" w:color="C8C8C8"/>
                  </w:tcBorders>
                  <w:shd w:val="clear" w:color="auto" w:fill="auto"/>
                </w:tcPr>
                <w:p w:rsidR="00EF0EA9" w:rsidRDefault="00EF0EA9" w:rsidP="00E770A0">
                  <w:pPr>
                    <w:pStyle w:val="TableUnitsRow"/>
                    <w:ind w:right="28"/>
                  </w:pPr>
                </w:p>
              </w:tc>
              <w:tc>
                <w:tcPr>
                  <w:tcW w:w="714" w:type="pct"/>
                  <w:gridSpan w:val="2"/>
                  <w:tcBorders>
                    <w:bottom w:val="single" w:sz="6" w:space="0" w:color="C8C8C8"/>
                  </w:tcBorders>
                </w:tcPr>
                <w:p w:rsidR="00EF0EA9" w:rsidRDefault="00EF0EA9" w:rsidP="00E770A0">
                  <w:pPr>
                    <w:pStyle w:val="TableUnitsRow"/>
                    <w:ind w:right="28"/>
                  </w:pPr>
                  <w:r>
                    <w:t>$/hour/child</w:t>
                  </w:r>
                </w:p>
              </w:tc>
              <w:tc>
                <w:tcPr>
                  <w:tcW w:w="714" w:type="pct"/>
                  <w:tcBorders>
                    <w:bottom w:val="single" w:sz="6" w:space="0" w:color="C8C8C8"/>
                  </w:tcBorders>
                </w:tcPr>
                <w:p w:rsidR="00EF0EA9" w:rsidRDefault="00EF0EA9" w:rsidP="00E770A0">
                  <w:pPr>
                    <w:pStyle w:val="TableUnitsRow"/>
                    <w:ind w:right="28"/>
                  </w:pPr>
                  <w:r>
                    <w:t>$/hour</w:t>
                  </w:r>
                </w:p>
              </w:tc>
              <w:tc>
                <w:tcPr>
                  <w:tcW w:w="714" w:type="pct"/>
                  <w:tcBorders>
                    <w:bottom w:val="single" w:sz="6" w:space="0" w:color="C8C8C8"/>
                  </w:tcBorders>
                </w:tcPr>
                <w:p w:rsidR="00EF0EA9" w:rsidRDefault="00EF0EA9" w:rsidP="00E770A0">
                  <w:pPr>
                    <w:pStyle w:val="TableUnitsRow"/>
                    <w:ind w:right="28"/>
                  </w:pPr>
                  <w:r>
                    <w:t>$</w:t>
                  </w:r>
                </w:p>
              </w:tc>
              <w:tc>
                <w:tcPr>
                  <w:tcW w:w="714" w:type="pct"/>
                  <w:gridSpan w:val="2"/>
                  <w:tcBorders>
                    <w:bottom w:val="single" w:sz="6" w:space="0" w:color="C8C8C8"/>
                  </w:tcBorders>
                </w:tcPr>
                <w:p w:rsidR="00EF0EA9" w:rsidRDefault="00EF0EA9" w:rsidP="00E770A0">
                  <w:pPr>
                    <w:pStyle w:val="TableUnitsRow"/>
                    <w:ind w:right="28"/>
                  </w:pPr>
                </w:p>
              </w:tc>
            </w:tr>
            <w:tr w:rsidR="00EF0EA9" w:rsidTr="00264D75">
              <w:tc>
                <w:tcPr>
                  <w:tcW w:w="715" w:type="pct"/>
                  <w:tcBorders>
                    <w:top w:val="single" w:sz="6" w:space="0" w:color="C8C8C8"/>
                    <w:bottom w:val="single" w:sz="6" w:space="0" w:color="C8C8C8"/>
                  </w:tcBorders>
                  <w:shd w:val="clear" w:color="auto" w:fill="auto"/>
                </w:tcPr>
                <w:p w:rsidR="00EF0EA9" w:rsidRDefault="00EF0EA9" w:rsidP="00E770A0">
                  <w:pPr>
                    <w:pStyle w:val="TableBodyText"/>
                    <w:jc w:val="left"/>
                  </w:pPr>
                  <w:r>
                    <w:t>Single</w:t>
                  </w:r>
                </w:p>
              </w:tc>
              <w:tc>
                <w:tcPr>
                  <w:tcW w:w="715" w:type="pct"/>
                  <w:tcBorders>
                    <w:top w:val="single" w:sz="6" w:space="0" w:color="C8C8C8"/>
                    <w:bottom w:val="single" w:sz="6" w:space="0" w:color="C8C8C8"/>
                  </w:tcBorders>
                  <w:shd w:val="clear" w:color="auto" w:fill="auto"/>
                </w:tcPr>
                <w:p w:rsidR="00EF0EA9" w:rsidRDefault="00EF0EA9" w:rsidP="00E770A0">
                  <w:pPr>
                    <w:pStyle w:val="TableBodyText"/>
                  </w:pPr>
                  <w:r>
                    <w:t>2</w:t>
                  </w:r>
                </w:p>
                <w:p w:rsidR="00EF0EA9" w:rsidRDefault="00EF0EA9" w:rsidP="00E770A0">
                  <w:pPr>
                    <w:pStyle w:val="TableBodyText"/>
                  </w:pPr>
                  <w:r>
                    <w:t>(2 and 3)</w:t>
                  </w:r>
                </w:p>
              </w:tc>
              <w:tc>
                <w:tcPr>
                  <w:tcW w:w="714" w:type="pct"/>
                  <w:tcBorders>
                    <w:top w:val="single" w:sz="6" w:space="0" w:color="C8C8C8"/>
                    <w:bottom w:val="single" w:sz="6" w:space="0" w:color="C8C8C8"/>
                  </w:tcBorders>
                  <w:shd w:val="clear" w:color="auto" w:fill="auto"/>
                </w:tcPr>
                <w:p w:rsidR="00EF0EA9" w:rsidRDefault="00EF0EA9" w:rsidP="00E770A0">
                  <w:pPr>
                    <w:pStyle w:val="TableBodyText"/>
                    <w:ind w:right="28"/>
                  </w:pPr>
                  <w:r>
                    <w:t>LDC</w:t>
                  </w:r>
                </w:p>
              </w:tc>
              <w:tc>
                <w:tcPr>
                  <w:tcW w:w="714" w:type="pct"/>
                  <w:gridSpan w:val="2"/>
                  <w:tcBorders>
                    <w:top w:val="single" w:sz="6" w:space="0" w:color="C8C8C8"/>
                    <w:bottom w:val="single" w:sz="6" w:space="0" w:color="C8C8C8"/>
                  </w:tcBorders>
                  <w:shd w:val="clear" w:color="auto" w:fill="auto"/>
                </w:tcPr>
                <w:p w:rsidR="00EF0EA9" w:rsidRDefault="00EF0EA9" w:rsidP="00E770A0">
                  <w:pPr>
                    <w:pStyle w:val="TableBodyText"/>
                    <w:ind w:right="28"/>
                  </w:pPr>
                  <w:r>
                    <w:t>$7.27</w:t>
                  </w:r>
                </w:p>
              </w:tc>
              <w:tc>
                <w:tcPr>
                  <w:tcW w:w="714" w:type="pct"/>
                  <w:tcBorders>
                    <w:top w:val="single" w:sz="6" w:space="0" w:color="C8C8C8"/>
                    <w:bottom w:val="single" w:sz="6" w:space="0" w:color="C8C8C8"/>
                  </w:tcBorders>
                  <w:shd w:val="clear" w:color="auto" w:fill="auto"/>
                </w:tcPr>
                <w:p w:rsidR="00EF0EA9" w:rsidRDefault="00EF0EA9" w:rsidP="00E770A0">
                  <w:pPr>
                    <w:pStyle w:val="TableBodyText"/>
                    <w:ind w:right="28"/>
                  </w:pPr>
                  <w:r>
                    <w:t>$31.54</w:t>
                  </w:r>
                </w:p>
              </w:tc>
              <w:tc>
                <w:tcPr>
                  <w:tcW w:w="714" w:type="pct"/>
                  <w:tcBorders>
                    <w:top w:val="single" w:sz="6" w:space="0" w:color="C8C8C8"/>
                    <w:bottom w:val="single" w:sz="6" w:space="0" w:color="C8C8C8"/>
                  </w:tcBorders>
                  <w:shd w:val="clear" w:color="auto" w:fill="auto"/>
                </w:tcPr>
                <w:p w:rsidR="00EF0EA9" w:rsidRDefault="00EF0EA9" w:rsidP="00E770A0">
                  <w:pPr>
                    <w:pStyle w:val="TableBodyText"/>
                    <w:ind w:right="28"/>
                  </w:pPr>
                  <w:r>
                    <w:t>na</w:t>
                  </w:r>
                </w:p>
              </w:tc>
              <w:tc>
                <w:tcPr>
                  <w:tcW w:w="714" w:type="pct"/>
                  <w:gridSpan w:val="2"/>
                  <w:tcBorders>
                    <w:top w:val="single" w:sz="6" w:space="0" w:color="C8C8C8"/>
                    <w:bottom w:val="single" w:sz="6" w:space="0" w:color="C8C8C8"/>
                  </w:tcBorders>
                  <w:shd w:val="clear" w:color="auto" w:fill="auto"/>
                </w:tcPr>
                <w:p w:rsidR="00EF0EA9" w:rsidRDefault="00EF0EA9" w:rsidP="00E770A0">
                  <w:pPr>
                    <w:pStyle w:val="TableBodyText"/>
                    <w:ind w:right="28"/>
                  </w:pPr>
                  <w:r>
                    <w:t>none</w:t>
                  </w:r>
                </w:p>
              </w:tc>
            </w:tr>
            <w:tr w:rsidR="008709BF" w:rsidTr="00264D75">
              <w:tblPrEx>
                <w:tblBorders>
                  <w:top w:val="single" w:sz="6" w:space="0" w:color="F2F2F2" w:themeColor="accent4"/>
                  <w:bottom w:val="single" w:sz="6" w:space="0" w:color="F2F2F2" w:themeColor="accent4"/>
                </w:tblBorders>
                <w:tblCellMar>
                  <w:left w:w="108" w:type="dxa"/>
                  <w:right w:w="108" w:type="dxa"/>
                </w:tblCellMar>
              </w:tblPrEx>
              <w:trPr>
                <w:gridAfter w:val="1"/>
                <w:wAfter w:w="12" w:type="pct"/>
                <w:trHeight w:val="140"/>
              </w:trPr>
              <w:tc>
                <w:tcPr>
                  <w:tcW w:w="4988" w:type="pct"/>
                  <w:gridSpan w:val="8"/>
                  <w:tcBorders>
                    <w:top w:val="nil"/>
                    <w:bottom w:val="nil"/>
                  </w:tcBorders>
                </w:tcPr>
                <w:p w:rsidR="008709BF" w:rsidRPr="008709BF" w:rsidRDefault="008709BF" w:rsidP="00E770A0">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8709BF" w:rsidTr="00264D75">
              <w:tblPrEx>
                <w:tblBorders>
                  <w:top w:val="single" w:sz="6" w:space="0" w:color="F2F2F2" w:themeColor="accent4"/>
                  <w:bottom w:val="single" w:sz="6" w:space="0" w:color="F2F2F2" w:themeColor="accent4"/>
                </w:tblBorders>
                <w:tblCellMar>
                  <w:left w:w="108" w:type="dxa"/>
                  <w:right w:w="108" w:type="dxa"/>
                </w:tblCellMar>
              </w:tblPrEx>
              <w:trPr>
                <w:gridAfter w:val="1"/>
                <w:wAfter w:w="12" w:type="pct"/>
                <w:trHeight w:val="140"/>
              </w:trPr>
              <w:tc>
                <w:tcPr>
                  <w:tcW w:w="2494" w:type="pct"/>
                  <w:gridSpan w:val="4"/>
                  <w:tcBorders>
                    <w:top w:val="nil"/>
                    <w:bottom w:val="nil"/>
                  </w:tcBorders>
                </w:tcPr>
                <w:p w:rsidR="008709BF" w:rsidRDefault="008709BF" w:rsidP="00E770A0">
                  <w:pPr>
                    <w:pStyle w:val="Figure"/>
                    <w:spacing w:before="60" w:after="60"/>
                    <w:rPr>
                      <w:noProof/>
                    </w:rPr>
                  </w:pPr>
                  <w:r w:rsidRPr="00F35A42">
                    <w:rPr>
                      <w:rFonts w:ascii="Arial" w:hAnsi="Arial" w:cs="Arial"/>
                      <w:i/>
                      <w:sz w:val="20"/>
                    </w:rPr>
                    <w:t>Current</w:t>
                  </w:r>
                </w:p>
              </w:tc>
              <w:tc>
                <w:tcPr>
                  <w:tcW w:w="2494" w:type="pct"/>
                  <w:gridSpan w:val="4"/>
                  <w:tcBorders>
                    <w:top w:val="nil"/>
                    <w:bottom w:val="nil"/>
                  </w:tcBorders>
                </w:tcPr>
                <w:p w:rsidR="008709BF" w:rsidRDefault="008709BF" w:rsidP="00E770A0">
                  <w:pPr>
                    <w:pStyle w:val="Figure"/>
                    <w:spacing w:before="60" w:after="60"/>
                    <w:rPr>
                      <w:noProof/>
                    </w:rPr>
                  </w:pPr>
                  <w:r>
                    <w:rPr>
                      <w:rFonts w:ascii="Arial" w:hAnsi="Arial" w:cs="Arial"/>
                      <w:i/>
                      <w:sz w:val="20"/>
                    </w:rPr>
                    <w:t>Recommended reform</w:t>
                  </w:r>
                </w:p>
              </w:tc>
            </w:tr>
            <w:tr w:rsidR="008119BE" w:rsidTr="00264D75">
              <w:tblPrEx>
                <w:tblBorders>
                  <w:top w:val="single" w:sz="6" w:space="0" w:color="F2F2F2" w:themeColor="accent4"/>
                  <w:bottom w:val="single" w:sz="6" w:space="0" w:color="F2F2F2" w:themeColor="accent4"/>
                </w:tblBorders>
                <w:tblCellMar>
                  <w:left w:w="108" w:type="dxa"/>
                  <w:right w:w="108" w:type="dxa"/>
                </w:tblCellMar>
              </w:tblPrEx>
              <w:trPr>
                <w:gridAfter w:val="1"/>
                <w:wAfter w:w="12" w:type="pct"/>
                <w:trHeight w:val="140"/>
              </w:trPr>
              <w:tc>
                <w:tcPr>
                  <w:tcW w:w="2494" w:type="pct"/>
                  <w:gridSpan w:val="4"/>
                  <w:tcBorders>
                    <w:top w:val="nil"/>
                    <w:bottom w:val="nil"/>
                  </w:tcBorders>
                </w:tcPr>
                <w:p w:rsidR="008119BE" w:rsidRDefault="008119BE" w:rsidP="00E770A0">
                  <w:pPr>
                    <w:pStyle w:val="Figure"/>
                    <w:spacing w:before="60" w:after="60"/>
                    <w:rPr>
                      <w:noProof/>
                    </w:rPr>
                  </w:pPr>
                  <w:r>
                    <w:rPr>
                      <w:noProof/>
                    </w:rPr>
                    <w:drawing>
                      <wp:inline distT="0" distB="0" distL="0" distR="0" wp14:anchorId="51755425" wp14:editId="1D29EF21">
                        <wp:extent cx="2519680" cy="2041525"/>
                        <wp:effectExtent l="0" t="0" r="0" b="0"/>
                        <wp:docPr id="12" name="Picture 12" descr="Indicates the effective marginal tax rates that our first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9680" cy="2041525"/>
                                </a:xfrm>
                                <a:prstGeom prst="rect">
                                  <a:avLst/>
                                </a:prstGeom>
                                <a:noFill/>
                                <a:ln>
                                  <a:noFill/>
                                </a:ln>
                              </pic:spPr>
                            </pic:pic>
                          </a:graphicData>
                        </a:graphic>
                      </wp:inline>
                    </w:drawing>
                  </w:r>
                </w:p>
              </w:tc>
              <w:tc>
                <w:tcPr>
                  <w:tcW w:w="2494" w:type="pct"/>
                  <w:gridSpan w:val="4"/>
                  <w:tcBorders>
                    <w:top w:val="nil"/>
                    <w:bottom w:val="nil"/>
                  </w:tcBorders>
                </w:tcPr>
                <w:p w:rsidR="008119BE" w:rsidRDefault="008119BE" w:rsidP="00E770A0">
                  <w:pPr>
                    <w:pStyle w:val="Figure"/>
                    <w:spacing w:before="60" w:after="60"/>
                    <w:rPr>
                      <w:noProof/>
                    </w:rPr>
                  </w:pPr>
                  <w:r>
                    <w:rPr>
                      <w:noProof/>
                    </w:rPr>
                    <w:drawing>
                      <wp:inline distT="0" distB="0" distL="0" distR="0" wp14:anchorId="6CC776BD" wp14:editId="3B2321E1">
                        <wp:extent cx="2519680" cy="2009775"/>
                        <wp:effectExtent l="0" t="0" r="0" b="0"/>
                        <wp:docPr id="13" name="Picture 13" descr="Indicates the effective marginal tax rates that our first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9680" cy="2009775"/>
                                </a:xfrm>
                                <a:prstGeom prst="rect">
                                  <a:avLst/>
                                </a:prstGeom>
                                <a:noFill/>
                                <a:ln>
                                  <a:noFill/>
                                </a:ln>
                              </pic:spPr>
                            </pic:pic>
                          </a:graphicData>
                        </a:graphic>
                      </wp:inline>
                    </w:drawing>
                  </w:r>
                </w:p>
              </w:tc>
            </w:tr>
            <w:tr w:rsidR="008709BF" w:rsidTr="00264D75">
              <w:tblPrEx>
                <w:tblBorders>
                  <w:top w:val="single" w:sz="6" w:space="0" w:color="F2F2F2" w:themeColor="accent4"/>
                  <w:bottom w:val="single" w:sz="6" w:space="0" w:color="F2F2F2" w:themeColor="accent4"/>
                </w:tblBorders>
                <w:tblCellMar>
                  <w:left w:w="108" w:type="dxa"/>
                  <w:right w:w="108" w:type="dxa"/>
                </w:tblCellMar>
              </w:tblPrEx>
              <w:trPr>
                <w:gridAfter w:val="1"/>
                <w:wAfter w:w="12" w:type="pct"/>
                <w:trHeight w:val="140"/>
              </w:trPr>
              <w:tc>
                <w:tcPr>
                  <w:tcW w:w="4988" w:type="pct"/>
                  <w:gridSpan w:val="8"/>
                  <w:tcBorders>
                    <w:top w:val="nil"/>
                    <w:bottom w:val="nil"/>
                  </w:tcBorders>
                </w:tcPr>
                <w:p w:rsidR="008709BF" w:rsidRDefault="002011A6" w:rsidP="00E770A0">
                  <w:pPr>
                    <w:pStyle w:val="Figure"/>
                    <w:spacing w:before="60" w:after="60"/>
                  </w:pPr>
                  <w:bookmarkStart w:id="4" w:name="OLE_LINK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gend for graphs" style="width:398.25pt;height:38.25pt">
                        <v:imagedata r:id="rId22" o:title=""/>
                      </v:shape>
                    </w:pict>
                  </w:r>
                  <w:bookmarkEnd w:id="4"/>
                </w:p>
              </w:tc>
            </w:tr>
          </w:tbl>
          <w:p w:rsidR="00EF0EA9" w:rsidRDefault="00EF0EA9" w:rsidP="00E770A0">
            <w:pPr>
              <w:pStyle w:val="Box"/>
            </w:pPr>
          </w:p>
        </w:tc>
      </w:tr>
      <w:tr w:rsidR="00EF0EA9" w:rsidTr="00E770A0">
        <w:trPr>
          <w:cantSplit/>
        </w:trPr>
        <w:tc>
          <w:tcPr>
            <w:tcW w:w="8771" w:type="dxa"/>
            <w:tcBorders>
              <w:top w:val="nil"/>
              <w:left w:val="nil"/>
              <w:bottom w:val="nil"/>
              <w:right w:val="nil"/>
            </w:tcBorders>
            <w:shd w:val="clear" w:color="auto" w:fill="F2F2F2"/>
          </w:tcPr>
          <w:p w:rsidR="00EF0EA9" w:rsidRDefault="00EF0EA9" w:rsidP="00E770A0">
            <w:pPr>
              <w:pStyle w:val="BoxSource"/>
            </w:pPr>
            <w:r>
              <w:rPr>
                <w:i/>
              </w:rPr>
              <w:t>Source</w:t>
            </w:r>
            <w:r w:rsidRPr="00167F06">
              <w:t xml:space="preserve">: </w:t>
            </w:r>
            <w:r>
              <w:t>Productivity Commission calculations.</w:t>
            </w:r>
          </w:p>
        </w:tc>
      </w:tr>
      <w:tr w:rsidR="00EF0EA9" w:rsidTr="00E770A0">
        <w:trPr>
          <w:cantSplit/>
        </w:trPr>
        <w:tc>
          <w:tcPr>
            <w:tcW w:w="8771" w:type="dxa"/>
            <w:tcBorders>
              <w:top w:val="nil"/>
              <w:left w:val="nil"/>
              <w:bottom w:val="single" w:sz="6" w:space="0" w:color="78A22F"/>
              <w:right w:val="nil"/>
            </w:tcBorders>
            <w:shd w:val="clear" w:color="auto" w:fill="F2F2F2"/>
          </w:tcPr>
          <w:p w:rsidR="00EF0EA9" w:rsidRDefault="00EF0EA9">
            <w:pPr>
              <w:pStyle w:val="Box"/>
              <w:spacing w:before="0" w:line="120" w:lineRule="exact"/>
            </w:pPr>
          </w:p>
        </w:tc>
      </w:tr>
      <w:tr w:rsidR="00EF0EA9" w:rsidRPr="000863A5" w:rsidTr="00E770A0">
        <w:tc>
          <w:tcPr>
            <w:tcW w:w="8771" w:type="dxa"/>
            <w:tcBorders>
              <w:top w:val="single" w:sz="6" w:space="0" w:color="78A22F"/>
              <w:left w:val="nil"/>
              <w:bottom w:val="nil"/>
              <w:right w:val="nil"/>
            </w:tcBorders>
          </w:tcPr>
          <w:p w:rsidR="00EF0EA9" w:rsidRPr="00626D32" w:rsidRDefault="00EF0EA9" w:rsidP="00E770A0">
            <w:pPr>
              <w:pStyle w:val="BoxSpaceBelow"/>
            </w:pPr>
          </w:p>
        </w:tc>
      </w:tr>
    </w:tbl>
    <w:p w:rsidR="009B5D74" w:rsidRDefault="00D555B9" w:rsidP="00D555B9">
      <w:pPr>
        <w:pStyle w:val="BodyText"/>
      </w:pPr>
      <w:bookmarkStart w:id="5" w:name="begin"/>
      <w:bookmarkEnd w:id="5"/>
      <w:r>
        <w:t xml:space="preserve">Under the Commission’s </w:t>
      </w:r>
      <w:r w:rsidR="00F16B2C">
        <w:t>recommended reforms</w:t>
      </w:r>
      <w:r>
        <w:t xml:space="preserve">, </w:t>
      </w:r>
      <w:r w:rsidR="00A457BB">
        <w:t>t</w:t>
      </w:r>
      <w:r w:rsidR="006C6F5D">
        <w:t xml:space="preserve">he mother </w:t>
      </w:r>
      <w:r>
        <w:t>would still face</w:t>
      </w:r>
      <w:r w:rsidR="00CD08B7">
        <w:t xml:space="preserve"> high</w:t>
      </w:r>
      <w:r>
        <w:t xml:space="preserve"> EMTR</w:t>
      </w:r>
      <w:r w:rsidR="00CD08B7">
        <w:t xml:space="preserve">s, </w:t>
      </w:r>
      <w:r w:rsidR="00E8054A">
        <w:t>but the EMTRs no longer approach</w:t>
      </w:r>
      <w:r>
        <w:t xml:space="preserve"> 100</w:t>
      </w:r>
      <w:r w:rsidR="00810F98">
        <w:t xml:space="preserve"> cents in the dollar</w:t>
      </w:r>
      <w:r>
        <w:t xml:space="preserve"> for her </w:t>
      </w:r>
      <w:r w:rsidR="00CD08B7">
        <w:t xml:space="preserve">fourth </w:t>
      </w:r>
      <w:r>
        <w:t>day at work</w:t>
      </w:r>
      <w:r w:rsidR="00A735A6">
        <w:t xml:space="preserve"> </w:t>
      </w:r>
      <w:r>
        <w:t>because</w:t>
      </w:r>
      <w:r w:rsidR="00810F98">
        <w:t xml:space="preserve"> </w:t>
      </w:r>
      <w:r>
        <w:t>the effect of the withdraw</w:t>
      </w:r>
      <w:r w:rsidR="00810F98">
        <w:t>al</w:t>
      </w:r>
      <w:r>
        <w:t xml:space="preserve"> of childcare assistance on her EMTR is less</w:t>
      </w:r>
      <w:r w:rsidR="00B60B25">
        <w:t>e</w:t>
      </w:r>
      <w:r>
        <w:t>ned</w:t>
      </w:r>
      <w:r w:rsidR="00810F98">
        <w:t>.</w:t>
      </w:r>
      <w:r>
        <w:t xml:space="preserve"> </w:t>
      </w:r>
      <w:r w:rsidR="00810F98">
        <w:t xml:space="preserve">Her </w:t>
      </w:r>
      <w:r>
        <w:t xml:space="preserve">childcare assistance gets taken away more slowly — and consequently, her overall EMTRs are lower. </w:t>
      </w:r>
    </w:p>
    <w:p w:rsidR="0032058E" w:rsidRDefault="0032058E" w:rsidP="00D555B9">
      <w:pPr>
        <w:pStyle w:val="BodyText"/>
      </w:pPr>
      <w:r>
        <w:lastRenderedPageBreak/>
        <w:t xml:space="preserve">It is not possible to determine if the Commission’s </w:t>
      </w:r>
      <w:r w:rsidR="00A34CDA">
        <w:t>recommended</w:t>
      </w:r>
      <w:r>
        <w:t xml:space="preserve"> changes would entice </w:t>
      </w:r>
      <w:r w:rsidR="006C6F5D">
        <w:t>the mother</w:t>
      </w:r>
      <w:r>
        <w:t xml:space="preserve"> to work more hours. </w:t>
      </w:r>
      <w:r w:rsidR="00B60B25">
        <w:t>H</w:t>
      </w:r>
      <w:r>
        <w:t xml:space="preserve">owever, it is clear that the proposals would increase the likelihood of </w:t>
      </w:r>
      <w:r w:rsidR="00B94952">
        <w:t>her</w:t>
      </w:r>
      <w:r>
        <w:t xml:space="preserve"> working four or five days a week. Under current arrangements, her weekly disposable income </w:t>
      </w:r>
      <w:r w:rsidR="006C6F5D">
        <w:t xml:space="preserve">would increase </w:t>
      </w:r>
      <w:r w:rsidR="008A4114">
        <w:t>by less than $70</w:t>
      </w:r>
      <w:r>
        <w:t xml:space="preserve"> if she increased her work from three to five days a week (where disposable income is what remains after tax, changes in social security benefits and after deducting net childcare costs). Under the Commission’s proposals, she would be able to increase her disposable income by just </w:t>
      </w:r>
      <w:r w:rsidR="00CC0A2B">
        <w:t>under</w:t>
      </w:r>
      <w:r>
        <w:t xml:space="preserve"> $</w:t>
      </w:r>
      <w:r w:rsidR="008A4114">
        <w:t>110</w:t>
      </w:r>
      <w:r>
        <w:t xml:space="preserve"> by changing her work arrangements from three to five days a week</w:t>
      </w:r>
      <w:r w:rsidR="00000C98">
        <w:t xml:space="preserve"> (figure </w:t>
      </w:r>
      <w:r w:rsidR="00A7553B">
        <w:t>E.</w:t>
      </w:r>
      <w:r w:rsidR="00000C98">
        <w:t>1</w:t>
      </w:r>
      <w:r w:rsidR="00E27E99">
        <w:t>0</w:t>
      </w:r>
      <w:r w:rsidR="00000C98">
        <w:t>)</w:t>
      </w:r>
      <w:r>
        <w:t>.</w:t>
      </w:r>
    </w:p>
    <w:p w:rsidR="009B5D74" w:rsidRDefault="009B5D74" w:rsidP="00B60B2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B5D74" w:rsidTr="00B60B25">
        <w:tc>
          <w:tcPr>
            <w:tcW w:w="8771" w:type="dxa"/>
            <w:tcBorders>
              <w:top w:val="single" w:sz="6" w:space="0" w:color="78A22F"/>
              <w:left w:val="nil"/>
              <w:bottom w:val="nil"/>
              <w:right w:val="nil"/>
            </w:tcBorders>
            <w:shd w:val="clear" w:color="auto" w:fill="auto"/>
          </w:tcPr>
          <w:p w:rsidR="009B5D74" w:rsidRPr="00176D3F" w:rsidRDefault="009B5D74" w:rsidP="00897CE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0059ED">
              <w:rPr>
                <w:b w:val="0"/>
              </w:rPr>
              <w:t>E.</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64157">
              <w:rPr>
                <w:b w:val="0"/>
                <w:noProof/>
              </w:rPr>
              <w:t>10</w:t>
            </w:r>
            <w:r w:rsidRPr="00784A05">
              <w:rPr>
                <w:b w:val="0"/>
              </w:rPr>
              <w:fldChar w:fldCharType="end"/>
            </w:r>
            <w:r>
              <w:tab/>
              <w:t>Increase in disposable income</w:t>
            </w:r>
          </w:p>
        </w:tc>
      </w:tr>
      <w:tr w:rsidR="009B5D74" w:rsidTr="00B60B2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A4114" w:rsidTr="00701CA9">
              <w:trPr>
                <w:jc w:val="center"/>
              </w:trPr>
              <w:tc>
                <w:tcPr>
                  <w:tcW w:w="8504" w:type="dxa"/>
                  <w:tcBorders>
                    <w:top w:val="nil"/>
                    <w:bottom w:val="nil"/>
                  </w:tcBorders>
                </w:tcPr>
                <w:p w:rsidR="008A4114" w:rsidRDefault="008A4114" w:rsidP="00701CA9">
                  <w:pPr>
                    <w:pStyle w:val="Figure"/>
                    <w:spacing w:before="60" w:after="60"/>
                    <w:rPr>
                      <w:noProof/>
                    </w:rPr>
                  </w:pPr>
                  <w:r>
                    <w:rPr>
                      <w:noProof/>
                    </w:rPr>
                    <w:drawing>
                      <wp:inline distT="0" distB="0" distL="0" distR="0" wp14:anchorId="4DD779E6" wp14:editId="5E6C3921">
                        <wp:extent cx="5210175" cy="2867025"/>
                        <wp:effectExtent l="0" t="0" r="9525" b="9525"/>
                        <wp:docPr id="27" name="Picture 27" descr="Shows the increase in disposable income for cameo 1 for each day worked under the recommended and current ECEC support 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0175" cy="2867025"/>
                                </a:xfrm>
                                <a:prstGeom prst="rect">
                                  <a:avLst/>
                                </a:prstGeom>
                                <a:noFill/>
                                <a:ln>
                                  <a:noFill/>
                                </a:ln>
                              </pic:spPr>
                            </pic:pic>
                          </a:graphicData>
                        </a:graphic>
                      </wp:inline>
                    </w:drawing>
                  </w:r>
                </w:p>
              </w:tc>
            </w:tr>
          </w:tbl>
          <w:p w:rsidR="009B5D74" w:rsidRDefault="009B5D74" w:rsidP="00B60B25">
            <w:pPr>
              <w:pStyle w:val="Figure"/>
            </w:pPr>
          </w:p>
        </w:tc>
      </w:tr>
      <w:tr w:rsidR="009B5D74" w:rsidTr="00B60B25">
        <w:tc>
          <w:tcPr>
            <w:tcW w:w="8771" w:type="dxa"/>
            <w:tcBorders>
              <w:top w:val="nil"/>
              <w:left w:val="nil"/>
              <w:bottom w:val="single" w:sz="6" w:space="0" w:color="78A22F"/>
              <w:right w:val="nil"/>
            </w:tcBorders>
            <w:shd w:val="clear" w:color="auto" w:fill="auto"/>
          </w:tcPr>
          <w:p w:rsidR="009B5D74" w:rsidRDefault="009B5D74" w:rsidP="00B60B25">
            <w:pPr>
              <w:pStyle w:val="Figurespace"/>
            </w:pPr>
          </w:p>
        </w:tc>
      </w:tr>
      <w:tr w:rsidR="009B5D74" w:rsidRPr="000863A5" w:rsidTr="00B60B25">
        <w:tc>
          <w:tcPr>
            <w:tcW w:w="8771" w:type="dxa"/>
            <w:tcBorders>
              <w:top w:val="single" w:sz="6" w:space="0" w:color="78A22F"/>
              <w:left w:val="nil"/>
              <w:bottom w:val="nil"/>
              <w:right w:val="nil"/>
            </w:tcBorders>
          </w:tcPr>
          <w:p w:rsidR="009B5D74" w:rsidRPr="00626D32" w:rsidRDefault="009B5D74" w:rsidP="00B60B25">
            <w:pPr>
              <w:pStyle w:val="BoxSpaceBelow"/>
            </w:pPr>
          </w:p>
        </w:tc>
      </w:tr>
    </w:tbl>
    <w:p w:rsidR="00E27E99" w:rsidRDefault="00E27E99" w:rsidP="00E27E99">
      <w:pPr>
        <w:pStyle w:val="Heading3"/>
      </w:pPr>
      <w:r>
        <w:t>Cameo 2</w:t>
      </w:r>
    </w:p>
    <w:p w:rsidR="001F2393" w:rsidRDefault="001F2393" w:rsidP="001F2393">
      <w:pPr>
        <w:pStyle w:val="BodyText"/>
      </w:pPr>
      <w:r>
        <w:t xml:space="preserve">Cameo 2 replicates the second cameo family in box 5 of the overview. It represents a couple family with two children in LDC who pay above average fees and are reliant upon formal childcare to enable the father to work (who is the secondary income earner). Under current arrangements, the family faces a significant increase in EMTRs if the father chooses to work more than three days per week because they would exceed the cap on CCR subsidies. The profile of this father’s EMTRs can be seen in </w:t>
      </w:r>
      <w:r w:rsidR="00E27E99">
        <w:t>box</w:t>
      </w:r>
      <w:r>
        <w:t xml:space="preserve"> E.</w:t>
      </w:r>
      <w:r w:rsidR="00E27E99">
        <w:t>4</w:t>
      </w:r>
      <w:r>
        <w:t xml:space="preserve">. </w:t>
      </w:r>
    </w:p>
    <w:p w:rsidR="00993596" w:rsidRDefault="00993596" w:rsidP="00993596">
      <w:pPr>
        <w:pStyle w:val="BodyText"/>
      </w:pPr>
      <w:r>
        <w:t>Under the Commission’s proposal, the family would be eligible for a lower rate of subsidy because of their income level. As such, they would be worse off than they would be under current policies if the father chose to work three or less days per week. However, if the father chose to work four or five days per week, the family would receive higher subsidies under the Commission’s proposal than under current arrangements.</w:t>
      </w:r>
    </w:p>
    <w:p w:rsidR="00E27E99" w:rsidRDefault="00E27E9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27E99" w:rsidTr="005E3639">
        <w:tc>
          <w:tcPr>
            <w:tcW w:w="8771" w:type="dxa"/>
            <w:tcBorders>
              <w:top w:val="single" w:sz="6" w:space="0" w:color="78A22F"/>
              <w:left w:val="nil"/>
              <w:bottom w:val="nil"/>
              <w:right w:val="nil"/>
            </w:tcBorders>
            <w:shd w:val="clear" w:color="auto" w:fill="F2F2F2"/>
          </w:tcPr>
          <w:p w:rsidR="00E27E99" w:rsidRDefault="00E27E99" w:rsidP="00E27E99">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4</w:t>
            </w:r>
            <w:r>
              <w:rPr>
                <w:b w:val="0"/>
              </w:rPr>
              <w:fldChar w:fldCharType="end"/>
            </w:r>
            <w:r>
              <w:tab/>
              <w:t>Cameo 2</w:t>
            </w:r>
          </w:p>
        </w:tc>
      </w:tr>
      <w:tr w:rsidR="00E27E99" w:rsidTr="005E3639">
        <w:trPr>
          <w:cantSplit/>
        </w:trPr>
        <w:tc>
          <w:tcPr>
            <w:tcW w:w="8771" w:type="dxa"/>
            <w:tcBorders>
              <w:top w:val="nil"/>
              <w:left w:val="nil"/>
              <w:bottom w:val="nil"/>
              <w:right w:val="nil"/>
            </w:tcBorders>
            <w:shd w:val="clear" w:color="auto" w:fill="F2F2F2"/>
          </w:tcPr>
          <w:p w:rsidR="00E27E99" w:rsidRPr="00EF0EA9" w:rsidRDefault="00E27E99"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E27E99" w:rsidTr="00217711">
              <w:tc>
                <w:tcPr>
                  <w:tcW w:w="715" w:type="pct"/>
                  <w:tcBorders>
                    <w:top w:val="single" w:sz="6" w:space="0" w:color="C8C8C8"/>
                    <w:bottom w:val="single" w:sz="6" w:space="0" w:color="C8C8C8"/>
                  </w:tcBorders>
                  <w:shd w:val="clear" w:color="auto" w:fill="auto"/>
                  <w:tcMar>
                    <w:top w:w="28" w:type="dxa"/>
                  </w:tcMar>
                  <w:vAlign w:val="bottom"/>
                </w:tcPr>
                <w:p w:rsidR="00E27E99" w:rsidRDefault="00E27E99" w:rsidP="00EF0EA9">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E27E99" w:rsidRDefault="00E27E99" w:rsidP="00EF0EA9">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E27E99" w:rsidRDefault="00E27E99" w:rsidP="00EF0EA9">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E27E99" w:rsidRDefault="00E27E99" w:rsidP="00EF0EA9">
                  <w:pPr>
                    <w:pStyle w:val="TableColumnHeading"/>
                    <w:ind w:right="28"/>
                  </w:pPr>
                  <w:r>
                    <w:t>ECEC fees</w:t>
                  </w:r>
                </w:p>
              </w:tc>
              <w:tc>
                <w:tcPr>
                  <w:tcW w:w="714" w:type="pct"/>
                  <w:tcBorders>
                    <w:top w:val="single" w:sz="6" w:space="0" w:color="C8C8C8"/>
                    <w:bottom w:val="single" w:sz="6" w:space="0" w:color="C8C8C8"/>
                  </w:tcBorders>
                  <w:vAlign w:val="bottom"/>
                </w:tcPr>
                <w:p w:rsidR="00E27E99" w:rsidRDefault="00E27E99" w:rsidP="00EF0EA9">
                  <w:pPr>
                    <w:pStyle w:val="TableColumnHeading"/>
                    <w:ind w:right="28"/>
                  </w:pPr>
                  <w:r>
                    <w:t xml:space="preserve">Wage rate </w:t>
                  </w:r>
                  <w:r w:rsidR="001554B8">
                    <w:br/>
                  </w:r>
                  <w:r>
                    <w:t>of partner</w:t>
                  </w:r>
                </w:p>
              </w:tc>
              <w:tc>
                <w:tcPr>
                  <w:tcW w:w="714" w:type="pct"/>
                  <w:tcBorders>
                    <w:top w:val="single" w:sz="6" w:space="0" w:color="C8C8C8"/>
                    <w:bottom w:val="single" w:sz="6" w:space="0" w:color="C8C8C8"/>
                  </w:tcBorders>
                  <w:vAlign w:val="bottom"/>
                </w:tcPr>
                <w:p w:rsidR="00E27E99" w:rsidRDefault="00E27E99" w:rsidP="00EF0EA9">
                  <w:pPr>
                    <w:pStyle w:val="TableColumnHeading"/>
                    <w:ind w:right="28"/>
                  </w:pPr>
                  <w:r>
                    <w:t xml:space="preserve">Mother’s income </w:t>
                  </w:r>
                  <w:r w:rsidR="006D7F0C">
                    <w:br/>
                  </w:r>
                  <w:r>
                    <w:t>(per annum)</w:t>
                  </w:r>
                </w:p>
              </w:tc>
              <w:tc>
                <w:tcPr>
                  <w:tcW w:w="714" w:type="pct"/>
                  <w:tcBorders>
                    <w:top w:val="single" w:sz="6" w:space="0" w:color="C8C8C8"/>
                    <w:bottom w:val="single" w:sz="6" w:space="0" w:color="C8C8C8"/>
                  </w:tcBorders>
                  <w:vAlign w:val="bottom"/>
                </w:tcPr>
                <w:p w:rsidR="00E27E99" w:rsidRDefault="00E27E99" w:rsidP="00EF0EA9">
                  <w:pPr>
                    <w:pStyle w:val="TableColumnHeading"/>
                    <w:ind w:right="28"/>
                  </w:pPr>
                  <w:r>
                    <w:t>Other factors</w:t>
                  </w:r>
                </w:p>
              </w:tc>
            </w:tr>
            <w:tr w:rsidR="00E27E99" w:rsidTr="005E3639">
              <w:tc>
                <w:tcPr>
                  <w:tcW w:w="715" w:type="pct"/>
                  <w:tcBorders>
                    <w:bottom w:val="single" w:sz="6" w:space="0" w:color="C8C8C8"/>
                  </w:tcBorders>
                  <w:shd w:val="clear" w:color="auto" w:fill="auto"/>
                </w:tcPr>
                <w:p w:rsidR="00E27E99" w:rsidRDefault="00E27E99" w:rsidP="005E3639">
                  <w:pPr>
                    <w:pStyle w:val="TableUnitsRow"/>
                    <w:jc w:val="left"/>
                  </w:pPr>
                </w:p>
              </w:tc>
              <w:tc>
                <w:tcPr>
                  <w:tcW w:w="715" w:type="pct"/>
                  <w:tcBorders>
                    <w:bottom w:val="single" w:sz="6" w:space="0" w:color="C8C8C8"/>
                  </w:tcBorders>
                  <w:shd w:val="clear" w:color="auto" w:fill="auto"/>
                </w:tcPr>
                <w:p w:rsidR="00E27E99" w:rsidRDefault="00E27E99" w:rsidP="005E3639">
                  <w:pPr>
                    <w:pStyle w:val="TableUnitsRow"/>
                  </w:pPr>
                </w:p>
              </w:tc>
              <w:tc>
                <w:tcPr>
                  <w:tcW w:w="714" w:type="pct"/>
                  <w:tcBorders>
                    <w:bottom w:val="single" w:sz="6" w:space="0" w:color="C8C8C8"/>
                  </w:tcBorders>
                  <w:shd w:val="clear" w:color="auto" w:fill="auto"/>
                </w:tcPr>
                <w:p w:rsidR="00E27E99" w:rsidRDefault="00E27E99" w:rsidP="005E3639">
                  <w:pPr>
                    <w:pStyle w:val="TableUnitsRow"/>
                    <w:ind w:right="28"/>
                  </w:pPr>
                </w:p>
              </w:tc>
              <w:tc>
                <w:tcPr>
                  <w:tcW w:w="714" w:type="pct"/>
                  <w:tcBorders>
                    <w:bottom w:val="single" w:sz="6" w:space="0" w:color="C8C8C8"/>
                  </w:tcBorders>
                </w:tcPr>
                <w:p w:rsidR="00E27E99" w:rsidRDefault="00E27E99" w:rsidP="005E3639">
                  <w:pPr>
                    <w:pStyle w:val="TableUnitsRow"/>
                    <w:ind w:right="28"/>
                  </w:pPr>
                  <w:r>
                    <w:t>$/hour/child</w:t>
                  </w:r>
                </w:p>
              </w:tc>
              <w:tc>
                <w:tcPr>
                  <w:tcW w:w="714" w:type="pct"/>
                  <w:tcBorders>
                    <w:bottom w:val="single" w:sz="6" w:space="0" w:color="C8C8C8"/>
                  </w:tcBorders>
                </w:tcPr>
                <w:p w:rsidR="00E27E99" w:rsidRDefault="00E27E99" w:rsidP="005E3639">
                  <w:pPr>
                    <w:pStyle w:val="TableUnitsRow"/>
                    <w:ind w:right="28"/>
                  </w:pPr>
                  <w:r>
                    <w:t>$/hour</w:t>
                  </w:r>
                </w:p>
              </w:tc>
              <w:tc>
                <w:tcPr>
                  <w:tcW w:w="714" w:type="pct"/>
                  <w:tcBorders>
                    <w:bottom w:val="single" w:sz="6" w:space="0" w:color="C8C8C8"/>
                  </w:tcBorders>
                </w:tcPr>
                <w:p w:rsidR="00E27E99" w:rsidRDefault="00E27E99" w:rsidP="005E3639">
                  <w:pPr>
                    <w:pStyle w:val="TableUnitsRow"/>
                    <w:ind w:right="28"/>
                  </w:pPr>
                  <w:r>
                    <w:t>$</w:t>
                  </w:r>
                </w:p>
              </w:tc>
              <w:tc>
                <w:tcPr>
                  <w:tcW w:w="714" w:type="pct"/>
                  <w:tcBorders>
                    <w:bottom w:val="single" w:sz="6" w:space="0" w:color="C8C8C8"/>
                  </w:tcBorders>
                </w:tcPr>
                <w:p w:rsidR="00E27E99" w:rsidRDefault="00E27E99" w:rsidP="005E3639">
                  <w:pPr>
                    <w:pStyle w:val="TableUnitsRow"/>
                    <w:ind w:right="28"/>
                  </w:pPr>
                </w:p>
              </w:tc>
            </w:tr>
            <w:tr w:rsidR="00E27E99" w:rsidTr="005E3639">
              <w:tc>
                <w:tcPr>
                  <w:tcW w:w="715" w:type="pct"/>
                  <w:tcBorders>
                    <w:bottom w:val="single" w:sz="6" w:space="0" w:color="C8C8C8"/>
                  </w:tcBorders>
                  <w:shd w:val="clear" w:color="auto" w:fill="auto"/>
                </w:tcPr>
                <w:p w:rsidR="00E27E99" w:rsidRDefault="00E27E99" w:rsidP="005E3639">
                  <w:pPr>
                    <w:pStyle w:val="TableBodyText"/>
                    <w:jc w:val="left"/>
                  </w:pPr>
                  <w:r>
                    <w:t>Couple</w:t>
                  </w:r>
                </w:p>
              </w:tc>
              <w:tc>
                <w:tcPr>
                  <w:tcW w:w="715" w:type="pct"/>
                  <w:tcBorders>
                    <w:bottom w:val="single" w:sz="6" w:space="0" w:color="C8C8C8"/>
                  </w:tcBorders>
                  <w:shd w:val="clear" w:color="auto" w:fill="auto"/>
                </w:tcPr>
                <w:p w:rsidR="00E27E99" w:rsidRDefault="00E27E99" w:rsidP="005E3639">
                  <w:pPr>
                    <w:pStyle w:val="TableBodyText"/>
                  </w:pPr>
                  <w:r>
                    <w:t xml:space="preserve">2 </w:t>
                  </w:r>
                </w:p>
                <w:p w:rsidR="00E27E99" w:rsidRDefault="00E27E99" w:rsidP="005E3639">
                  <w:pPr>
                    <w:pStyle w:val="TableBodyText"/>
                  </w:pPr>
                  <w:r>
                    <w:t>(2 and 3)</w:t>
                  </w:r>
                </w:p>
              </w:tc>
              <w:tc>
                <w:tcPr>
                  <w:tcW w:w="714" w:type="pct"/>
                  <w:tcBorders>
                    <w:bottom w:val="single" w:sz="6" w:space="0" w:color="C8C8C8"/>
                  </w:tcBorders>
                  <w:shd w:val="clear" w:color="auto" w:fill="auto"/>
                </w:tcPr>
                <w:p w:rsidR="00E27E99" w:rsidRDefault="00E27E99" w:rsidP="005E3639">
                  <w:pPr>
                    <w:pStyle w:val="TableBodyText"/>
                  </w:pPr>
                  <w:r>
                    <w:t>LDC</w:t>
                  </w:r>
                </w:p>
              </w:tc>
              <w:tc>
                <w:tcPr>
                  <w:tcW w:w="714" w:type="pct"/>
                  <w:tcBorders>
                    <w:bottom w:val="single" w:sz="6" w:space="0" w:color="C8C8C8"/>
                  </w:tcBorders>
                </w:tcPr>
                <w:p w:rsidR="00E27E99" w:rsidRDefault="00E27E99" w:rsidP="005E3639">
                  <w:pPr>
                    <w:pStyle w:val="TableBodyText"/>
                  </w:pPr>
                  <w:r>
                    <w:t>$8.50 for LDC</w:t>
                  </w:r>
                </w:p>
              </w:tc>
              <w:tc>
                <w:tcPr>
                  <w:tcW w:w="714" w:type="pct"/>
                  <w:tcBorders>
                    <w:bottom w:val="single" w:sz="6" w:space="0" w:color="C8C8C8"/>
                  </w:tcBorders>
                </w:tcPr>
                <w:p w:rsidR="00E27E99" w:rsidRDefault="00E27E99" w:rsidP="005E3639">
                  <w:pPr>
                    <w:pStyle w:val="TableBodyText"/>
                    <w:rPr>
                      <w:i/>
                    </w:rPr>
                  </w:pPr>
                  <w:r>
                    <w:t>$35</w:t>
                  </w:r>
                </w:p>
              </w:tc>
              <w:tc>
                <w:tcPr>
                  <w:tcW w:w="714" w:type="pct"/>
                  <w:tcBorders>
                    <w:bottom w:val="single" w:sz="6" w:space="0" w:color="C8C8C8"/>
                  </w:tcBorders>
                </w:tcPr>
                <w:p w:rsidR="00E27E99" w:rsidRDefault="00E27E99" w:rsidP="005E3639">
                  <w:pPr>
                    <w:pStyle w:val="TableBodyText"/>
                    <w:rPr>
                      <w:i/>
                    </w:rPr>
                  </w:pPr>
                  <w:r>
                    <w:t>$140000</w:t>
                  </w:r>
                </w:p>
              </w:tc>
              <w:tc>
                <w:tcPr>
                  <w:tcW w:w="714" w:type="pct"/>
                  <w:tcBorders>
                    <w:bottom w:val="single" w:sz="6" w:space="0" w:color="C8C8C8"/>
                  </w:tcBorders>
                </w:tcPr>
                <w:p w:rsidR="00E27E99" w:rsidRDefault="00E27E99" w:rsidP="005E3639">
                  <w:pPr>
                    <w:pStyle w:val="TableBodyText"/>
                  </w:pPr>
                  <w:r>
                    <w:t>none</w:t>
                  </w:r>
                </w:p>
              </w:tc>
            </w:tr>
          </w:tbl>
          <w:p w:rsidR="00E27E99" w:rsidRDefault="00E27E99" w:rsidP="00EF0EA9">
            <w:pPr>
              <w:pStyle w:val="Box"/>
              <w:spacing w:before="0" w:line="120" w:lineRule="atLeast"/>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8709BF" w:rsidTr="008709BF">
              <w:trPr>
                <w:trHeight w:val="140"/>
              </w:trPr>
              <w:tc>
                <w:tcPr>
                  <w:tcW w:w="5000" w:type="pct"/>
                  <w:gridSpan w:val="2"/>
                  <w:tcBorders>
                    <w:top w:val="nil"/>
                    <w:bottom w:val="nil"/>
                  </w:tcBorders>
                </w:tcPr>
                <w:p w:rsidR="008709BF" w:rsidRPr="008709BF" w:rsidRDefault="008709BF" w:rsidP="008709BF">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8709BF" w:rsidTr="008709BF">
              <w:trPr>
                <w:trHeight w:val="140"/>
              </w:trPr>
              <w:tc>
                <w:tcPr>
                  <w:tcW w:w="2500" w:type="pct"/>
                  <w:tcBorders>
                    <w:top w:val="nil"/>
                    <w:bottom w:val="nil"/>
                  </w:tcBorders>
                </w:tcPr>
                <w:p w:rsidR="008709BF" w:rsidRDefault="008709BF" w:rsidP="008709BF">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8709BF" w:rsidRDefault="008709BF" w:rsidP="008709BF">
                  <w:pPr>
                    <w:pStyle w:val="Figure"/>
                    <w:spacing w:before="60" w:after="60"/>
                    <w:rPr>
                      <w:noProof/>
                    </w:rPr>
                  </w:pPr>
                  <w:r>
                    <w:rPr>
                      <w:rFonts w:ascii="Arial" w:hAnsi="Arial" w:cs="Arial"/>
                      <w:i/>
                      <w:sz w:val="20"/>
                    </w:rPr>
                    <w:t>Recommended reform</w:t>
                  </w:r>
                </w:p>
              </w:tc>
            </w:tr>
            <w:tr w:rsidR="00E27E99" w:rsidTr="008709BF">
              <w:trPr>
                <w:trHeight w:val="140"/>
              </w:trPr>
              <w:tc>
                <w:tcPr>
                  <w:tcW w:w="2500" w:type="pct"/>
                  <w:tcBorders>
                    <w:top w:val="nil"/>
                    <w:bottom w:val="nil"/>
                  </w:tcBorders>
                </w:tcPr>
                <w:p w:rsidR="00E27E99" w:rsidRDefault="00381AB5" w:rsidP="005E3639">
                  <w:pPr>
                    <w:pStyle w:val="Figure"/>
                    <w:spacing w:before="60" w:after="60"/>
                    <w:rPr>
                      <w:noProof/>
                    </w:rPr>
                  </w:pPr>
                  <w:r>
                    <w:rPr>
                      <w:noProof/>
                    </w:rPr>
                    <w:drawing>
                      <wp:inline distT="0" distB="0" distL="0" distR="0" wp14:anchorId="78D89940" wp14:editId="287C2C87">
                        <wp:extent cx="2501900" cy="2070100"/>
                        <wp:effectExtent l="0" t="0" r="0" b="0"/>
                        <wp:docPr id="6" name="Picture 6" descr="Indicates the effective marginal tax rates that our second cameo family faces under current tax, transfer and ECEC subsi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c>
                <w:tcPr>
                  <w:tcW w:w="2500" w:type="pct"/>
                  <w:tcBorders>
                    <w:top w:val="nil"/>
                    <w:bottom w:val="nil"/>
                  </w:tcBorders>
                </w:tcPr>
                <w:p w:rsidR="00E27E99" w:rsidRDefault="00381AB5" w:rsidP="005E3639">
                  <w:pPr>
                    <w:pStyle w:val="Figure"/>
                    <w:spacing w:before="60" w:after="60"/>
                    <w:rPr>
                      <w:noProof/>
                    </w:rPr>
                  </w:pPr>
                  <w:r>
                    <w:rPr>
                      <w:noProof/>
                    </w:rPr>
                    <w:drawing>
                      <wp:inline distT="0" distB="0" distL="0" distR="0" wp14:anchorId="3EC50FAF" wp14:editId="28F781D8">
                        <wp:extent cx="2501900" cy="2070100"/>
                        <wp:effectExtent l="0" t="0" r="0" b="0"/>
                        <wp:docPr id="7" name="Picture 7" descr="Indicates the effective marginal tax rates that our second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r>
            <w:tr w:rsidR="00E27E99" w:rsidTr="008709BF">
              <w:trPr>
                <w:trHeight w:val="140"/>
              </w:trPr>
              <w:tc>
                <w:tcPr>
                  <w:tcW w:w="5000" w:type="pct"/>
                  <w:gridSpan w:val="2"/>
                  <w:tcBorders>
                    <w:top w:val="nil"/>
                    <w:bottom w:val="nil"/>
                  </w:tcBorders>
                </w:tcPr>
                <w:p w:rsidR="00E27E99" w:rsidRDefault="002011A6" w:rsidP="005E3639">
                  <w:pPr>
                    <w:pStyle w:val="Figure"/>
                    <w:spacing w:before="60" w:after="60"/>
                    <w:rPr>
                      <w:noProof/>
                    </w:rPr>
                  </w:pPr>
                  <w:r>
                    <w:rPr>
                      <w:noProof/>
                    </w:rPr>
                    <w:pict>
                      <v:shape id="_x0000_i1026" type="#_x0000_t75" alt="Legend for graphs" style="width:398.25pt;height:38.25pt">
                        <v:imagedata r:id="rId26" o:title=""/>
                      </v:shape>
                    </w:pict>
                  </w:r>
                </w:p>
              </w:tc>
            </w:tr>
          </w:tbl>
          <w:p w:rsidR="00E27E99" w:rsidRDefault="00E27E99" w:rsidP="005E3639">
            <w:pPr>
              <w:pStyle w:val="Box"/>
            </w:pPr>
          </w:p>
        </w:tc>
      </w:tr>
      <w:tr w:rsidR="00E27E99" w:rsidTr="005E3639">
        <w:trPr>
          <w:cantSplit/>
        </w:trPr>
        <w:tc>
          <w:tcPr>
            <w:tcW w:w="8771" w:type="dxa"/>
            <w:tcBorders>
              <w:top w:val="nil"/>
              <w:left w:val="nil"/>
              <w:bottom w:val="nil"/>
              <w:right w:val="nil"/>
            </w:tcBorders>
            <w:shd w:val="clear" w:color="auto" w:fill="F2F2F2"/>
          </w:tcPr>
          <w:p w:rsidR="00E27E99" w:rsidRDefault="00E27E99" w:rsidP="005E3639">
            <w:pPr>
              <w:pStyle w:val="BoxSource"/>
            </w:pPr>
            <w:r>
              <w:rPr>
                <w:i/>
              </w:rPr>
              <w:t>Source</w:t>
            </w:r>
            <w:r w:rsidRPr="00167F06">
              <w:t xml:space="preserve">: </w:t>
            </w:r>
            <w:r>
              <w:t>Productivity Commission calculations.</w:t>
            </w:r>
          </w:p>
        </w:tc>
      </w:tr>
      <w:tr w:rsidR="00E27E99" w:rsidTr="005E3639">
        <w:trPr>
          <w:cantSplit/>
        </w:trPr>
        <w:tc>
          <w:tcPr>
            <w:tcW w:w="8771" w:type="dxa"/>
            <w:tcBorders>
              <w:top w:val="nil"/>
              <w:left w:val="nil"/>
              <w:bottom w:val="single" w:sz="6" w:space="0" w:color="78A22F"/>
              <w:right w:val="nil"/>
            </w:tcBorders>
            <w:shd w:val="clear" w:color="auto" w:fill="F2F2F2"/>
          </w:tcPr>
          <w:p w:rsidR="00E27E99" w:rsidRDefault="00E27E99">
            <w:pPr>
              <w:pStyle w:val="Box"/>
              <w:spacing w:before="0" w:line="120" w:lineRule="exact"/>
            </w:pPr>
          </w:p>
        </w:tc>
      </w:tr>
      <w:tr w:rsidR="00E27E99" w:rsidRPr="000863A5" w:rsidTr="005E3639">
        <w:tc>
          <w:tcPr>
            <w:tcW w:w="8771" w:type="dxa"/>
            <w:tcBorders>
              <w:top w:val="single" w:sz="6" w:space="0" w:color="78A22F"/>
              <w:left w:val="nil"/>
              <w:bottom w:val="nil"/>
              <w:right w:val="nil"/>
            </w:tcBorders>
          </w:tcPr>
          <w:p w:rsidR="00E27E99" w:rsidRPr="00626D32" w:rsidRDefault="00E27E99" w:rsidP="005E3639">
            <w:pPr>
              <w:pStyle w:val="BoxSpaceBelow"/>
            </w:pPr>
          </w:p>
        </w:tc>
      </w:tr>
    </w:tbl>
    <w:p w:rsidR="00E27E99" w:rsidRDefault="00E27E99" w:rsidP="00E27E99">
      <w:pPr>
        <w:pStyle w:val="Heading3"/>
      </w:pPr>
      <w:r>
        <w:t>Cameo 3</w:t>
      </w:r>
    </w:p>
    <w:p w:rsidR="00DA251C" w:rsidRDefault="00DA251C" w:rsidP="00DA251C">
      <w:pPr>
        <w:pStyle w:val="BodyText"/>
      </w:pPr>
      <w:r>
        <w:t>Under current tax and transfer arrangements, the mother in cameo 3 faces EMTRs that peak on her third day of work (box E.5). The peak at three days is the combination o</w:t>
      </w:r>
      <w:r w:rsidR="00733FFA">
        <w:t>f a high rate of withdrawal of the Family Tax B</w:t>
      </w:r>
      <w:r>
        <w:t xml:space="preserve">enefit at the same time as she exceeds the tax free threshold. By increasing her hours of work from two to three days a week, the mother continues to lose FTB </w:t>
      </w:r>
      <w:r w:rsidR="00672CCF">
        <w:t xml:space="preserve">Part </w:t>
      </w:r>
      <w:r>
        <w:t xml:space="preserve">B, almost entirely loses FTB </w:t>
      </w:r>
      <w:r w:rsidR="00672CCF">
        <w:t xml:space="preserve">Part </w:t>
      </w:r>
      <w:r>
        <w:t xml:space="preserve">A and begins to pay income tax and the Medicare levy. The interaction of these measures dramatically reduces the financial incentives to work three days a week. </w:t>
      </w:r>
    </w:p>
    <w:p w:rsidR="00993596" w:rsidRDefault="00993596" w:rsidP="00993596">
      <w:pPr>
        <w:pStyle w:val="BodyText"/>
      </w:pPr>
      <w:r>
        <w:t>As can be seen in the graphical representation of the Commission’s proposals (box E.5), the incentives are still dominated by the withdrawal of FTB and when income tax begins to be paid.</w:t>
      </w:r>
    </w:p>
    <w:p w:rsidR="00DA251C" w:rsidRDefault="00DA251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251C" w:rsidTr="005E3639">
        <w:tc>
          <w:tcPr>
            <w:tcW w:w="8771" w:type="dxa"/>
            <w:tcBorders>
              <w:top w:val="single" w:sz="6" w:space="0" w:color="78A22F"/>
              <w:left w:val="nil"/>
              <w:bottom w:val="nil"/>
              <w:right w:val="nil"/>
            </w:tcBorders>
            <w:shd w:val="clear" w:color="auto" w:fill="F2F2F2"/>
          </w:tcPr>
          <w:p w:rsidR="00DA251C" w:rsidRDefault="00DA251C" w:rsidP="00DA251C">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5</w:t>
            </w:r>
            <w:r>
              <w:rPr>
                <w:b w:val="0"/>
              </w:rPr>
              <w:fldChar w:fldCharType="end"/>
            </w:r>
            <w:r>
              <w:tab/>
              <w:t>Cameo 3</w:t>
            </w:r>
          </w:p>
        </w:tc>
      </w:tr>
      <w:tr w:rsidR="00DA251C" w:rsidTr="005E3639">
        <w:trPr>
          <w:cantSplit/>
        </w:trPr>
        <w:tc>
          <w:tcPr>
            <w:tcW w:w="8771" w:type="dxa"/>
            <w:tcBorders>
              <w:top w:val="nil"/>
              <w:left w:val="nil"/>
              <w:bottom w:val="nil"/>
              <w:right w:val="nil"/>
            </w:tcBorders>
            <w:shd w:val="clear" w:color="auto" w:fill="F2F2F2"/>
          </w:tcPr>
          <w:p w:rsidR="00DA251C" w:rsidRPr="00EF0EA9" w:rsidRDefault="00DA251C"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DA251C" w:rsidTr="008709BF">
              <w:tc>
                <w:tcPr>
                  <w:tcW w:w="715" w:type="pct"/>
                  <w:tcBorders>
                    <w:top w:val="single" w:sz="6" w:space="0" w:color="C8C8C8"/>
                    <w:bottom w:val="single" w:sz="6" w:space="0" w:color="C8C8C8"/>
                  </w:tcBorders>
                  <w:shd w:val="clear" w:color="auto" w:fill="auto"/>
                  <w:tcMar>
                    <w:top w:w="28" w:type="dxa"/>
                  </w:tcMar>
                  <w:vAlign w:val="bottom"/>
                </w:tcPr>
                <w:p w:rsidR="00DA251C" w:rsidRDefault="00DA251C"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DA251C" w:rsidRDefault="00DA251C"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DA251C" w:rsidRDefault="00DA251C"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DA251C" w:rsidRDefault="00DA251C" w:rsidP="00F35A42">
                  <w:pPr>
                    <w:pStyle w:val="TableColumnHeading"/>
                    <w:ind w:right="28"/>
                  </w:pPr>
                  <w:r>
                    <w:t>ECEC fees</w:t>
                  </w:r>
                </w:p>
              </w:tc>
              <w:tc>
                <w:tcPr>
                  <w:tcW w:w="714" w:type="pct"/>
                  <w:tcBorders>
                    <w:top w:val="single" w:sz="6" w:space="0" w:color="C8C8C8"/>
                    <w:bottom w:val="single" w:sz="6" w:space="0" w:color="C8C8C8"/>
                  </w:tcBorders>
                  <w:vAlign w:val="bottom"/>
                </w:tcPr>
                <w:p w:rsidR="00DA251C" w:rsidRDefault="00DA251C"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DA251C" w:rsidRDefault="00DA251C"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DA251C" w:rsidRDefault="00DA251C" w:rsidP="00F35A42">
                  <w:pPr>
                    <w:pStyle w:val="TableColumnHeading"/>
                    <w:ind w:right="28"/>
                  </w:pPr>
                  <w:r>
                    <w:t>Other factors</w:t>
                  </w:r>
                </w:p>
              </w:tc>
            </w:tr>
            <w:tr w:rsidR="00DA251C" w:rsidTr="008709BF">
              <w:tc>
                <w:tcPr>
                  <w:tcW w:w="715" w:type="pct"/>
                  <w:tcBorders>
                    <w:bottom w:val="single" w:sz="6" w:space="0" w:color="C8C8C8"/>
                  </w:tcBorders>
                  <w:shd w:val="clear" w:color="auto" w:fill="auto"/>
                </w:tcPr>
                <w:p w:rsidR="00DA251C" w:rsidRDefault="00DA251C" w:rsidP="005E3639">
                  <w:pPr>
                    <w:pStyle w:val="TableUnitsRow"/>
                    <w:jc w:val="left"/>
                  </w:pPr>
                </w:p>
              </w:tc>
              <w:tc>
                <w:tcPr>
                  <w:tcW w:w="715" w:type="pct"/>
                  <w:tcBorders>
                    <w:bottom w:val="single" w:sz="6" w:space="0" w:color="C8C8C8"/>
                  </w:tcBorders>
                  <w:shd w:val="clear" w:color="auto" w:fill="auto"/>
                </w:tcPr>
                <w:p w:rsidR="00DA251C" w:rsidRDefault="00DA251C" w:rsidP="005E3639">
                  <w:pPr>
                    <w:pStyle w:val="TableUnitsRow"/>
                  </w:pPr>
                </w:p>
              </w:tc>
              <w:tc>
                <w:tcPr>
                  <w:tcW w:w="714" w:type="pct"/>
                  <w:tcBorders>
                    <w:bottom w:val="single" w:sz="6" w:space="0" w:color="C8C8C8"/>
                  </w:tcBorders>
                  <w:shd w:val="clear" w:color="auto" w:fill="auto"/>
                </w:tcPr>
                <w:p w:rsidR="00DA251C" w:rsidRDefault="00DA251C" w:rsidP="005E3639">
                  <w:pPr>
                    <w:pStyle w:val="TableUnitsRow"/>
                    <w:ind w:right="28"/>
                  </w:pPr>
                </w:p>
              </w:tc>
              <w:tc>
                <w:tcPr>
                  <w:tcW w:w="714" w:type="pct"/>
                  <w:tcBorders>
                    <w:bottom w:val="single" w:sz="6" w:space="0" w:color="C8C8C8"/>
                  </w:tcBorders>
                </w:tcPr>
                <w:p w:rsidR="00DA251C" w:rsidRDefault="00DA251C" w:rsidP="005E3639">
                  <w:pPr>
                    <w:pStyle w:val="TableUnitsRow"/>
                    <w:ind w:right="28"/>
                  </w:pPr>
                  <w:r>
                    <w:t>$/hour/child</w:t>
                  </w:r>
                </w:p>
              </w:tc>
              <w:tc>
                <w:tcPr>
                  <w:tcW w:w="714" w:type="pct"/>
                  <w:tcBorders>
                    <w:bottom w:val="single" w:sz="6" w:space="0" w:color="C8C8C8"/>
                  </w:tcBorders>
                </w:tcPr>
                <w:p w:rsidR="00DA251C" w:rsidRDefault="00DA251C" w:rsidP="005E3639">
                  <w:pPr>
                    <w:pStyle w:val="TableUnitsRow"/>
                    <w:ind w:right="28"/>
                  </w:pPr>
                  <w:r>
                    <w:t>$/hour</w:t>
                  </w:r>
                </w:p>
              </w:tc>
              <w:tc>
                <w:tcPr>
                  <w:tcW w:w="714" w:type="pct"/>
                  <w:tcBorders>
                    <w:bottom w:val="single" w:sz="6" w:space="0" w:color="C8C8C8"/>
                  </w:tcBorders>
                </w:tcPr>
                <w:p w:rsidR="00DA251C" w:rsidRDefault="00DA251C" w:rsidP="005E3639">
                  <w:pPr>
                    <w:pStyle w:val="TableUnitsRow"/>
                    <w:ind w:right="28"/>
                  </w:pPr>
                  <w:r>
                    <w:t>$</w:t>
                  </w:r>
                </w:p>
              </w:tc>
              <w:tc>
                <w:tcPr>
                  <w:tcW w:w="714" w:type="pct"/>
                  <w:tcBorders>
                    <w:bottom w:val="single" w:sz="6" w:space="0" w:color="C8C8C8"/>
                  </w:tcBorders>
                </w:tcPr>
                <w:p w:rsidR="00DA251C" w:rsidRDefault="00DA251C" w:rsidP="005E3639">
                  <w:pPr>
                    <w:pStyle w:val="TableUnitsRow"/>
                    <w:ind w:right="28"/>
                  </w:pPr>
                </w:p>
              </w:tc>
            </w:tr>
            <w:tr w:rsidR="00DA251C" w:rsidTr="008709BF">
              <w:tc>
                <w:tcPr>
                  <w:tcW w:w="715" w:type="pct"/>
                  <w:tcBorders>
                    <w:bottom w:val="single" w:sz="6" w:space="0" w:color="C8C8C8"/>
                  </w:tcBorders>
                  <w:shd w:val="clear" w:color="auto" w:fill="auto"/>
                </w:tcPr>
                <w:p w:rsidR="00DA251C" w:rsidRDefault="00DA251C" w:rsidP="005E3639">
                  <w:pPr>
                    <w:pStyle w:val="TableBodyText"/>
                    <w:jc w:val="left"/>
                  </w:pPr>
                  <w:r>
                    <w:t>Couple</w:t>
                  </w:r>
                </w:p>
              </w:tc>
              <w:tc>
                <w:tcPr>
                  <w:tcW w:w="715" w:type="pct"/>
                  <w:tcBorders>
                    <w:bottom w:val="single" w:sz="6" w:space="0" w:color="C8C8C8"/>
                  </w:tcBorders>
                  <w:shd w:val="clear" w:color="auto" w:fill="auto"/>
                </w:tcPr>
                <w:p w:rsidR="00DA251C" w:rsidRDefault="00DA251C" w:rsidP="005E3639">
                  <w:pPr>
                    <w:pStyle w:val="TableBodyText"/>
                  </w:pPr>
                  <w:r>
                    <w:t>2</w:t>
                  </w:r>
                </w:p>
                <w:p w:rsidR="00DA251C" w:rsidRDefault="00DA251C" w:rsidP="005E3639">
                  <w:pPr>
                    <w:pStyle w:val="TableBodyText"/>
                  </w:pPr>
                  <w:r>
                    <w:t>(3 and 6)</w:t>
                  </w:r>
                </w:p>
              </w:tc>
              <w:tc>
                <w:tcPr>
                  <w:tcW w:w="714" w:type="pct"/>
                  <w:tcBorders>
                    <w:bottom w:val="single" w:sz="6" w:space="0" w:color="C8C8C8"/>
                  </w:tcBorders>
                  <w:shd w:val="clear" w:color="auto" w:fill="auto"/>
                </w:tcPr>
                <w:p w:rsidR="00DA251C" w:rsidRDefault="00DA251C" w:rsidP="005E3639">
                  <w:pPr>
                    <w:pStyle w:val="TableBodyText"/>
                    <w:ind w:right="28"/>
                  </w:pPr>
                  <w:r>
                    <w:t>LDC for younger child, OSHC for older child</w:t>
                  </w:r>
                </w:p>
              </w:tc>
              <w:tc>
                <w:tcPr>
                  <w:tcW w:w="714" w:type="pct"/>
                  <w:tcBorders>
                    <w:bottom w:val="single" w:sz="6" w:space="0" w:color="C8C8C8"/>
                  </w:tcBorders>
                </w:tcPr>
                <w:p w:rsidR="00DA251C" w:rsidRDefault="00DA251C" w:rsidP="005E3639">
                  <w:pPr>
                    <w:pStyle w:val="TableBodyText"/>
                    <w:ind w:right="28"/>
                  </w:pPr>
                  <w:r>
                    <w:t>$7.46 for LDC, $5 for OSHC</w:t>
                  </w:r>
                </w:p>
              </w:tc>
              <w:tc>
                <w:tcPr>
                  <w:tcW w:w="714" w:type="pct"/>
                  <w:tcBorders>
                    <w:bottom w:val="single" w:sz="6" w:space="0" w:color="C8C8C8"/>
                  </w:tcBorders>
                </w:tcPr>
                <w:p w:rsidR="00DA251C" w:rsidRDefault="00DA251C" w:rsidP="005E3639">
                  <w:pPr>
                    <w:pStyle w:val="TableBodyText"/>
                    <w:ind w:right="28"/>
                  </w:pPr>
                  <w:r>
                    <w:t>$21</w:t>
                  </w:r>
                </w:p>
              </w:tc>
              <w:tc>
                <w:tcPr>
                  <w:tcW w:w="714" w:type="pct"/>
                  <w:tcBorders>
                    <w:bottom w:val="single" w:sz="6" w:space="0" w:color="C8C8C8"/>
                  </w:tcBorders>
                </w:tcPr>
                <w:p w:rsidR="00DA251C" w:rsidRDefault="00DA251C" w:rsidP="005E3639">
                  <w:pPr>
                    <w:pStyle w:val="TableBodyText"/>
                    <w:ind w:right="28"/>
                  </w:pPr>
                  <w:r>
                    <w:t>$78 000</w:t>
                  </w:r>
                </w:p>
              </w:tc>
              <w:tc>
                <w:tcPr>
                  <w:tcW w:w="714" w:type="pct"/>
                  <w:tcBorders>
                    <w:bottom w:val="single" w:sz="6" w:space="0" w:color="C8C8C8"/>
                  </w:tcBorders>
                </w:tcPr>
                <w:p w:rsidR="00DA251C" w:rsidRDefault="00DA251C" w:rsidP="005E3639">
                  <w:pPr>
                    <w:pStyle w:val="TableBodyText"/>
                    <w:ind w:right="28"/>
                  </w:pPr>
                  <w:r>
                    <w:t>none</w:t>
                  </w:r>
                </w:p>
              </w:tc>
            </w:tr>
          </w:tbl>
          <w:p w:rsidR="008709BF" w:rsidRDefault="008709BF"/>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8709BF" w:rsidTr="008709BF">
              <w:trPr>
                <w:trHeight w:val="140"/>
              </w:trPr>
              <w:tc>
                <w:tcPr>
                  <w:tcW w:w="5000" w:type="pct"/>
                  <w:gridSpan w:val="2"/>
                  <w:tcBorders>
                    <w:top w:val="nil"/>
                    <w:bottom w:val="nil"/>
                  </w:tcBorders>
                </w:tcPr>
                <w:p w:rsidR="008709BF" w:rsidRPr="008709BF" w:rsidRDefault="008709BF" w:rsidP="008709BF">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8709BF" w:rsidTr="008709BF">
              <w:trPr>
                <w:trHeight w:val="140"/>
              </w:trPr>
              <w:tc>
                <w:tcPr>
                  <w:tcW w:w="2500" w:type="pct"/>
                  <w:tcBorders>
                    <w:top w:val="nil"/>
                    <w:bottom w:val="nil"/>
                  </w:tcBorders>
                </w:tcPr>
                <w:p w:rsidR="008709BF" w:rsidRDefault="008709BF" w:rsidP="008709BF">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8709BF" w:rsidRDefault="008709BF" w:rsidP="008709BF">
                  <w:pPr>
                    <w:pStyle w:val="Figure"/>
                    <w:spacing w:before="60" w:after="60"/>
                    <w:rPr>
                      <w:noProof/>
                    </w:rPr>
                  </w:pPr>
                  <w:r>
                    <w:rPr>
                      <w:rFonts w:ascii="Arial" w:hAnsi="Arial" w:cs="Arial"/>
                      <w:i/>
                      <w:sz w:val="20"/>
                    </w:rPr>
                    <w:t>Recommended reform</w:t>
                  </w:r>
                </w:p>
              </w:tc>
            </w:tr>
            <w:tr w:rsidR="00DA251C" w:rsidTr="008709BF">
              <w:trPr>
                <w:trHeight w:val="140"/>
              </w:trPr>
              <w:tc>
                <w:tcPr>
                  <w:tcW w:w="2500" w:type="pct"/>
                  <w:tcBorders>
                    <w:top w:val="nil"/>
                    <w:bottom w:val="nil"/>
                  </w:tcBorders>
                </w:tcPr>
                <w:p w:rsidR="00DA251C" w:rsidRDefault="00381AB5" w:rsidP="005E3639">
                  <w:pPr>
                    <w:pStyle w:val="Figure"/>
                    <w:spacing w:before="60" w:after="60"/>
                    <w:rPr>
                      <w:noProof/>
                    </w:rPr>
                  </w:pPr>
                  <w:r>
                    <w:rPr>
                      <w:noProof/>
                    </w:rPr>
                    <w:drawing>
                      <wp:inline distT="0" distB="0" distL="0" distR="0" wp14:anchorId="3A3D0A12" wp14:editId="52B81CC5">
                        <wp:extent cx="2553335" cy="2070100"/>
                        <wp:effectExtent l="0" t="0" r="0" b="0"/>
                        <wp:docPr id="8" name="Picture 8" descr="Indicates the effective marginal tax rates that our third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53335" cy="2070100"/>
                                </a:xfrm>
                                <a:prstGeom prst="rect">
                                  <a:avLst/>
                                </a:prstGeom>
                                <a:noFill/>
                                <a:ln>
                                  <a:noFill/>
                                </a:ln>
                              </pic:spPr>
                            </pic:pic>
                          </a:graphicData>
                        </a:graphic>
                      </wp:inline>
                    </w:drawing>
                  </w:r>
                </w:p>
              </w:tc>
              <w:tc>
                <w:tcPr>
                  <w:tcW w:w="2500" w:type="pct"/>
                  <w:tcBorders>
                    <w:top w:val="nil"/>
                    <w:bottom w:val="nil"/>
                  </w:tcBorders>
                </w:tcPr>
                <w:p w:rsidR="00DA251C" w:rsidRDefault="00381AB5" w:rsidP="005E3639">
                  <w:pPr>
                    <w:pStyle w:val="Figure"/>
                    <w:spacing w:before="60" w:after="60"/>
                    <w:rPr>
                      <w:noProof/>
                    </w:rPr>
                  </w:pPr>
                  <w:r>
                    <w:rPr>
                      <w:noProof/>
                    </w:rPr>
                    <w:drawing>
                      <wp:inline distT="0" distB="0" distL="0" distR="0" wp14:anchorId="7C348F4C" wp14:editId="076A5FBB">
                        <wp:extent cx="2553335" cy="2070100"/>
                        <wp:effectExtent l="0" t="0" r="0" b="0"/>
                        <wp:docPr id="9" name="Picture 9" descr="Indicates the effective marginal tax rates that our third cameo family faces under current tax, transfer and the Commission’s policy scenario for a replacement ECEC subsidy. The resulting EMTRs are discussed in th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3335" cy="2070100"/>
                                </a:xfrm>
                                <a:prstGeom prst="rect">
                                  <a:avLst/>
                                </a:prstGeom>
                                <a:noFill/>
                                <a:ln>
                                  <a:noFill/>
                                </a:ln>
                              </pic:spPr>
                            </pic:pic>
                          </a:graphicData>
                        </a:graphic>
                      </wp:inline>
                    </w:drawing>
                  </w:r>
                </w:p>
              </w:tc>
            </w:tr>
            <w:tr w:rsidR="00DA251C" w:rsidTr="008709BF">
              <w:trPr>
                <w:trHeight w:val="140"/>
              </w:trPr>
              <w:tc>
                <w:tcPr>
                  <w:tcW w:w="5000" w:type="pct"/>
                  <w:gridSpan w:val="2"/>
                  <w:tcBorders>
                    <w:top w:val="nil"/>
                    <w:bottom w:val="nil"/>
                  </w:tcBorders>
                </w:tcPr>
                <w:p w:rsidR="00DA251C" w:rsidRDefault="002011A6" w:rsidP="005E3639">
                  <w:pPr>
                    <w:pStyle w:val="Figure"/>
                    <w:spacing w:before="60" w:after="60"/>
                    <w:rPr>
                      <w:noProof/>
                    </w:rPr>
                  </w:pPr>
                  <w:r>
                    <w:rPr>
                      <w:noProof/>
                    </w:rPr>
                    <w:pict>
                      <v:shape id="_x0000_i1027" type="#_x0000_t75" alt="Legend for graphs" style="width:398.25pt;height:38.25pt">
                        <v:imagedata r:id="rId29" o:title=""/>
                      </v:shape>
                    </w:pict>
                  </w:r>
                </w:p>
              </w:tc>
            </w:tr>
          </w:tbl>
          <w:p w:rsidR="00DA251C" w:rsidRDefault="00DA251C" w:rsidP="005E3639">
            <w:pPr>
              <w:pStyle w:val="Box"/>
            </w:pPr>
          </w:p>
        </w:tc>
      </w:tr>
      <w:tr w:rsidR="00DA251C" w:rsidTr="005E3639">
        <w:trPr>
          <w:cantSplit/>
        </w:trPr>
        <w:tc>
          <w:tcPr>
            <w:tcW w:w="8771" w:type="dxa"/>
            <w:tcBorders>
              <w:top w:val="nil"/>
              <w:left w:val="nil"/>
              <w:bottom w:val="nil"/>
              <w:right w:val="nil"/>
            </w:tcBorders>
            <w:shd w:val="clear" w:color="auto" w:fill="F2F2F2"/>
          </w:tcPr>
          <w:p w:rsidR="00DA251C" w:rsidRDefault="00DA251C" w:rsidP="005E3639">
            <w:pPr>
              <w:pStyle w:val="BoxSource"/>
            </w:pPr>
            <w:r>
              <w:rPr>
                <w:i/>
              </w:rPr>
              <w:t>Source</w:t>
            </w:r>
            <w:r w:rsidRPr="00167F06">
              <w:t xml:space="preserve">: </w:t>
            </w:r>
            <w:r>
              <w:t>Productivity Commission calculations.</w:t>
            </w:r>
          </w:p>
        </w:tc>
      </w:tr>
      <w:tr w:rsidR="00DA251C" w:rsidTr="005E3639">
        <w:trPr>
          <w:cantSplit/>
        </w:trPr>
        <w:tc>
          <w:tcPr>
            <w:tcW w:w="8771" w:type="dxa"/>
            <w:tcBorders>
              <w:top w:val="nil"/>
              <w:left w:val="nil"/>
              <w:bottom w:val="single" w:sz="6" w:space="0" w:color="78A22F"/>
              <w:right w:val="nil"/>
            </w:tcBorders>
            <w:shd w:val="clear" w:color="auto" w:fill="F2F2F2"/>
          </w:tcPr>
          <w:p w:rsidR="00DA251C" w:rsidRDefault="00DA251C">
            <w:pPr>
              <w:pStyle w:val="Box"/>
              <w:spacing w:before="0" w:line="120" w:lineRule="exact"/>
            </w:pPr>
          </w:p>
        </w:tc>
      </w:tr>
      <w:tr w:rsidR="00DA251C" w:rsidRPr="000863A5" w:rsidTr="005E3639">
        <w:tc>
          <w:tcPr>
            <w:tcW w:w="8771" w:type="dxa"/>
            <w:tcBorders>
              <w:top w:val="single" w:sz="6" w:space="0" w:color="78A22F"/>
              <w:left w:val="nil"/>
              <w:bottom w:val="nil"/>
              <w:right w:val="nil"/>
            </w:tcBorders>
          </w:tcPr>
          <w:p w:rsidR="00DA251C" w:rsidRPr="00626D32" w:rsidRDefault="00DA251C" w:rsidP="005E3639">
            <w:pPr>
              <w:pStyle w:val="BoxSpaceBelow"/>
            </w:pPr>
          </w:p>
        </w:tc>
      </w:tr>
    </w:tbl>
    <w:p w:rsidR="007C3424" w:rsidRDefault="007C3424" w:rsidP="007C3424">
      <w:pPr>
        <w:pStyle w:val="Heading3"/>
      </w:pPr>
      <w:r>
        <w:t>Cameo 4</w:t>
      </w:r>
    </w:p>
    <w:p w:rsidR="007C3424" w:rsidRDefault="007C3424" w:rsidP="007C3424">
      <w:pPr>
        <w:pStyle w:val="BodyText"/>
      </w:pPr>
      <w:r>
        <w:t>Cameo 4 represents a couple family with two children, one who uses LDC and the other who uses OSHC. The wage rate of the mother is assumed to be $50 per hour. Under current policy settings, the mother in this family faces EMTRs that gradually increase the more days a week she works (box E.6). EMTRs consistently remain well below 100 cents in the dollar.</w:t>
      </w:r>
    </w:p>
    <w:p w:rsidR="00993596" w:rsidRDefault="00993596" w:rsidP="00993596">
      <w:pPr>
        <w:pStyle w:val="BodyText"/>
      </w:pPr>
      <w:r>
        <w:t>The Commission’s recommended reforms do not markedly change the EMTR profile of the second income earner in this family (box E.6). The family would face slightly higher out</w:t>
      </w:r>
      <w:r>
        <w:noBreakHyphen/>
        <w:t>of</w:t>
      </w:r>
      <w:r>
        <w:noBreakHyphen/>
        <w:t>pocket costs for the first four days of ECEC than they do under current assistance arrangements, and lower ECEC costs compared to current arrangements for the fifth day of work.</w:t>
      </w:r>
    </w:p>
    <w:p w:rsidR="007C3424" w:rsidRDefault="007C342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C3424" w:rsidTr="005E3639">
        <w:tc>
          <w:tcPr>
            <w:tcW w:w="8771" w:type="dxa"/>
            <w:tcBorders>
              <w:top w:val="single" w:sz="6" w:space="0" w:color="78A22F"/>
              <w:left w:val="nil"/>
              <w:bottom w:val="nil"/>
              <w:right w:val="nil"/>
            </w:tcBorders>
            <w:shd w:val="clear" w:color="auto" w:fill="F2F2F2"/>
          </w:tcPr>
          <w:p w:rsidR="007C3424" w:rsidRDefault="007C3424" w:rsidP="007C3424">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6</w:t>
            </w:r>
            <w:r>
              <w:rPr>
                <w:b w:val="0"/>
              </w:rPr>
              <w:fldChar w:fldCharType="end"/>
            </w:r>
            <w:r>
              <w:tab/>
              <w:t>Cameo 4</w:t>
            </w:r>
          </w:p>
        </w:tc>
      </w:tr>
      <w:tr w:rsidR="007C3424" w:rsidTr="005E3639">
        <w:trPr>
          <w:cantSplit/>
        </w:trPr>
        <w:tc>
          <w:tcPr>
            <w:tcW w:w="8771" w:type="dxa"/>
            <w:tcBorders>
              <w:top w:val="nil"/>
              <w:left w:val="nil"/>
              <w:bottom w:val="nil"/>
              <w:right w:val="nil"/>
            </w:tcBorders>
            <w:shd w:val="clear" w:color="auto" w:fill="F2F2F2"/>
          </w:tcPr>
          <w:p w:rsidR="007C3424" w:rsidRPr="00EF0EA9" w:rsidRDefault="007C3424"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7C3424" w:rsidTr="007B24F2">
              <w:tc>
                <w:tcPr>
                  <w:tcW w:w="715" w:type="pct"/>
                  <w:tcBorders>
                    <w:top w:val="single" w:sz="6" w:space="0" w:color="C8C8C8"/>
                    <w:bottom w:val="single" w:sz="6" w:space="0" w:color="C8C8C8"/>
                  </w:tcBorders>
                  <w:shd w:val="clear" w:color="auto" w:fill="auto"/>
                  <w:tcMar>
                    <w:top w:w="28" w:type="dxa"/>
                  </w:tcMar>
                  <w:vAlign w:val="bottom"/>
                </w:tcPr>
                <w:p w:rsidR="007C3424" w:rsidRDefault="007C3424"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7C3424" w:rsidRDefault="007C3424"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7C3424" w:rsidRDefault="007C3424"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7C3424" w:rsidRDefault="007C3424" w:rsidP="00F35A42">
                  <w:pPr>
                    <w:pStyle w:val="TableColumnHeading"/>
                    <w:ind w:right="28"/>
                  </w:pPr>
                  <w:r>
                    <w:t>ECEC fees</w:t>
                  </w:r>
                </w:p>
              </w:tc>
              <w:tc>
                <w:tcPr>
                  <w:tcW w:w="714" w:type="pct"/>
                  <w:tcBorders>
                    <w:top w:val="single" w:sz="6" w:space="0" w:color="C8C8C8"/>
                    <w:bottom w:val="single" w:sz="6" w:space="0" w:color="C8C8C8"/>
                  </w:tcBorders>
                  <w:vAlign w:val="bottom"/>
                </w:tcPr>
                <w:p w:rsidR="007C3424" w:rsidRDefault="007C3424"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7C3424" w:rsidRDefault="007C3424"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7C3424" w:rsidRDefault="007C3424" w:rsidP="00F35A42">
                  <w:pPr>
                    <w:pStyle w:val="TableColumnHeading"/>
                    <w:ind w:right="28"/>
                  </w:pPr>
                  <w:r>
                    <w:t>Other factors</w:t>
                  </w:r>
                </w:p>
              </w:tc>
            </w:tr>
            <w:tr w:rsidR="007C3424" w:rsidTr="005E3639">
              <w:tc>
                <w:tcPr>
                  <w:tcW w:w="715" w:type="pct"/>
                  <w:tcBorders>
                    <w:bottom w:val="single" w:sz="6" w:space="0" w:color="C8C8C8"/>
                  </w:tcBorders>
                  <w:shd w:val="clear" w:color="auto" w:fill="auto"/>
                </w:tcPr>
                <w:p w:rsidR="007C3424" w:rsidRDefault="007C3424" w:rsidP="005E3639">
                  <w:pPr>
                    <w:pStyle w:val="TableUnitsRow"/>
                    <w:jc w:val="left"/>
                  </w:pPr>
                </w:p>
              </w:tc>
              <w:tc>
                <w:tcPr>
                  <w:tcW w:w="715" w:type="pct"/>
                  <w:tcBorders>
                    <w:bottom w:val="single" w:sz="6" w:space="0" w:color="C8C8C8"/>
                  </w:tcBorders>
                  <w:shd w:val="clear" w:color="auto" w:fill="auto"/>
                </w:tcPr>
                <w:p w:rsidR="007C3424" w:rsidRDefault="007C3424" w:rsidP="005E3639">
                  <w:pPr>
                    <w:pStyle w:val="TableUnitsRow"/>
                  </w:pPr>
                </w:p>
              </w:tc>
              <w:tc>
                <w:tcPr>
                  <w:tcW w:w="714" w:type="pct"/>
                  <w:tcBorders>
                    <w:bottom w:val="single" w:sz="6" w:space="0" w:color="C8C8C8"/>
                  </w:tcBorders>
                  <w:shd w:val="clear" w:color="auto" w:fill="auto"/>
                </w:tcPr>
                <w:p w:rsidR="007C3424" w:rsidRDefault="007C3424" w:rsidP="005E3639">
                  <w:pPr>
                    <w:pStyle w:val="TableUnitsRow"/>
                    <w:ind w:right="28"/>
                  </w:pPr>
                </w:p>
              </w:tc>
              <w:tc>
                <w:tcPr>
                  <w:tcW w:w="714" w:type="pct"/>
                  <w:tcBorders>
                    <w:bottom w:val="single" w:sz="6" w:space="0" w:color="C8C8C8"/>
                  </w:tcBorders>
                </w:tcPr>
                <w:p w:rsidR="007C3424" w:rsidRDefault="007C3424" w:rsidP="005E3639">
                  <w:pPr>
                    <w:pStyle w:val="TableUnitsRow"/>
                    <w:ind w:right="28"/>
                  </w:pPr>
                  <w:r>
                    <w:t>$/hour/child</w:t>
                  </w:r>
                </w:p>
              </w:tc>
              <w:tc>
                <w:tcPr>
                  <w:tcW w:w="714" w:type="pct"/>
                  <w:tcBorders>
                    <w:bottom w:val="single" w:sz="6" w:space="0" w:color="C8C8C8"/>
                  </w:tcBorders>
                </w:tcPr>
                <w:p w:rsidR="007C3424" w:rsidRDefault="007C3424" w:rsidP="005E3639">
                  <w:pPr>
                    <w:pStyle w:val="TableUnitsRow"/>
                    <w:ind w:right="28"/>
                  </w:pPr>
                  <w:r>
                    <w:t>$/hour</w:t>
                  </w:r>
                </w:p>
              </w:tc>
              <w:tc>
                <w:tcPr>
                  <w:tcW w:w="714" w:type="pct"/>
                  <w:tcBorders>
                    <w:bottom w:val="single" w:sz="6" w:space="0" w:color="C8C8C8"/>
                  </w:tcBorders>
                </w:tcPr>
                <w:p w:rsidR="007C3424" w:rsidRDefault="007C3424" w:rsidP="005E3639">
                  <w:pPr>
                    <w:pStyle w:val="TableUnitsRow"/>
                    <w:ind w:right="28"/>
                  </w:pPr>
                  <w:r>
                    <w:t>$</w:t>
                  </w:r>
                </w:p>
              </w:tc>
              <w:tc>
                <w:tcPr>
                  <w:tcW w:w="714" w:type="pct"/>
                  <w:tcBorders>
                    <w:bottom w:val="single" w:sz="6" w:space="0" w:color="C8C8C8"/>
                  </w:tcBorders>
                </w:tcPr>
                <w:p w:rsidR="007C3424" w:rsidRDefault="007C3424" w:rsidP="005E3639">
                  <w:pPr>
                    <w:pStyle w:val="TableUnitsRow"/>
                    <w:ind w:right="28"/>
                  </w:pPr>
                </w:p>
              </w:tc>
            </w:tr>
            <w:tr w:rsidR="007C3424" w:rsidTr="005E3639">
              <w:tc>
                <w:tcPr>
                  <w:tcW w:w="715" w:type="pct"/>
                  <w:tcBorders>
                    <w:bottom w:val="single" w:sz="6" w:space="0" w:color="C8C8C8"/>
                  </w:tcBorders>
                  <w:shd w:val="clear" w:color="auto" w:fill="auto"/>
                </w:tcPr>
                <w:p w:rsidR="007C3424" w:rsidRDefault="007C3424" w:rsidP="005E3639">
                  <w:pPr>
                    <w:pStyle w:val="TableBodyText"/>
                    <w:jc w:val="left"/>
                  </w:pPr>
                  <w:r>
                    <w:t>Couple</w:t>
                  </w:r>
                </w:p>
              </w:tc>
              <w:tc>
                <w:tcPr>
                  <w:tcW w:w="715" w:type="pct"/>
                  <w:tcBorders>
                    <w:bottom w:val="single" w:sz="6" w:space="0" w:color="C8C8C8"/>
                  </w:tcBorders>
                  <w:shd w:val="clear" w:color="auto" w:fill="auto"/>
                </w:tcPr>
                <w:p w:rsidR="007C3424" w:rsidRDefault="007C3424" w:rsidP="005E3639">
                  <w:pPr>
                    <w:pStyle w:val="TableBodyText"/>
                  </w:pPr>
                  <w:r>
                    <w:t>2</w:t>
                  </w:r>
                </w:p>
                <w:p w:rsidR="007C3424" w:rsidRDefault="007C3424" w:rsidP="005E3639">
                  <w:pPr>
                    <w:pStyle w:val="TableBodyText"/>
                  </w:pPr>
                  <w:r>
                    <w:t>(3 and 6)</w:t>
                  </w:r>
                </w:p>
              </w:tc>
              <w:tc>
                <w:tcPr>
                  <w:tcW w:w="714" w:type="pct"/>
                  <w:tcBorders>
                    <w:bottom w:val="single" w:sz="6" w:space="0" w:color="C8C8C8"/>
                  </w:tcBorders>
                  <w:shd w:val="clear" w:color="auto" w:fill="auto"/>
                </w:tcPr>
                <w:p w:rsidR="007C3424" w:rsidRDefault="007C3424" w:rsidP="005E3639">
                  <w:pPr>
                    <w:pStyle w:val="TableBodyText"/>
                  </w:pPr>
                  <w:r>
                    <w:t>LDC for younger child, OSHC for older child</w:t>
                  </w:r>
                </w:p>
              </w:tc>
              <w:tc>
                <w:tcPr>
                  <w:tcW w:w="714" w:type="pct"/>
                  <w:tcBorders>
                    <w:bottom w:val="single" w:sz="6" w:space="0" w:color="C8C8C8"/>
                  </w:tcBorders>
                </w:tcPr>
                <w:p w:rsidR="007C3424" w:rsidRDefault="007C3424" w:rsidP="005E3639">
                  <w:pPr>
                    <w:pStyle w:val="TableBodyText"/>
                  </w:pPr>
                  <w:r>
                    <w:t>$7.46 for LDC, $5 for OSHC</w:t>
                  </w:r>
                </w:p>
              </w:tc>
              <w:tc>
                <w:tcPr>
                  <w:tcW w:w="714" w:type="pct"/>
                  <w:tcBorders>
                    <w:bottom w:val="single" w:sz="6" w:space="0" w:color="C8C8C8"/>
                  </w:tcBorders>
                </w:tcPr>
                <w:p w:rsidR="007C3424" w:rsidRDefault="007C3424" w:rsidP="005E3639">
                  <w:pPr>
                    <w:pStyle w:val="TableBodyText"/>
                  </w:pPr>
                  <w:r>
                    <w:t>$50</w:t>
                  </w:r>
                </w:p>
              </w:tc>
              <w:tc>
                <w:tcPr>
                  <w:tcW w:w="714" w:type="pct"/>
                  <w:tcBorders>
                    <w:bottom w:val="single" w:sz="6" w:space="0" w:color="C8C8C8"/>
                  </w:tcBorders>
                </w:tcPr>
                <w:p w:rsidR="007C3424" w:rsidRDefault="007C3424" w:rsidP="005E3639">
                  <w:pPr>
                    <w:pStyle w:val="TableBodyText"/>
                  </w:pPr>
                  <w:r>
                    <w:t xml:space="preserve">$130 000 </w:t>
                  </w:r>
                </w:p>
              </w:tc>
              <w:tc>
                <w:tcPr>
                  <w:tcW w:w="714" w:type="pct"/>
                  <w:tcBorders>
                    <w:bottom w:val="single" w:sz="6" w:space="0" w:color="C8C8C8"/>
                  </w:tcBorders>
                </w:tcPr>
                <w:p w:rsidR="007C3424" w:rsidRDefault="007C3424" w:rsidP="005E3639">
                  <w:pPr>
                    <w:pStyle w:val="TableBodyText"/>
                  </w:pPr>
                  <w:r>
                    <w:t>none</w:t>
                  </w:r>
                </w:p>
              </w:tc>
            </w:tr>
          </w:tbl>
          <w:p w:rsidR="007C3424" w:rsidRDefault="007C3424" w:rsidP="00EF0EA9">
            <w:pPr>
              <w:pStyle w:val="Box"/>
              <w:spacing w:before="0" w:line="120" w:lineRule="atLeast"/>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8709BF" w:rsidTr="008709BF">
              <w:trPr>
                <w:trHeight w:val="140"/>
              </w:trPr>
              <w:tc>
                <w:tcPr>
                  <w:tcW w:w="5000" w:type="pct"/>
                  <w:gridSpan w:val="2"/>
                  <w:tcBorders>
                    <w:top w:val="nil"/>
                    <w:bottom w:val="nil"/>
                  </w:tcBorders>
                </w:tcPr>
                <w:p w:rsidR="008709BF" w:rsidRPr="008709BF" w:rsidRDefault="008709BF" w:rsidP="008709BF">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8709BF" w:rsidTr="008709BF">
              <w:trPr>
                <w:trHeight w:val="140"/>
              </w:trPr>
              <w:tc>
                <w:tcPr>
                  <w:tcW w:w="2500" w:type="pct"/>
                  <w:tcBorders>
                    <w:top w:val="nil"/>
                    <w:bottom w:val="nil"/>
                  </w:tcBorders>
                </w:tcPr>
                <w:p w:rsidR="008709BF" w:rsidRDefault="008709BF" w:rsidP="008709BF">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8709BF" w:rsidRDefault="008709BF" w:rsidP="008709BF">
                  <w:pPr>
                    <w:pStyle w:val="Figure"/>
                    <w:spacing w:before="60" w:after="60"/>
                    <w:rPr>
                      <w:noProof/>
                    </w:rPr>
                  </w:pPr>
                  <w:r>
                    <w:rPr>
                      <w:rFonts w:ascii="Arial" w:hAnsi="Arial" w:cs="Arial"/>
                      <w:i/>
                      <w:sz w:val="20"/>
                    </w:rPr>
                    <w:t>Recommended reform</w:t>
                  </w:r>
                </w:p>
              </w:tc>
            </w:tr>
            <w:tr w:rsidR="007C3424" w:rsidTr="008709BF">
              <w:trPr>
                <w:trHeight w:val="140"/>
              </w:trPr>
              <w:tc>
                <w:tcPr>
                  <w:tcW w:w="2500" w:type="pct"/>
                  <w:tcBorders>
                    <w:top w:val="nil"/>
                    <w:bottom w:val="nil"/>
                  </w:tcBorders>
                </w:tcPr>
                <w:p w:rsidR="007C3424" w:rsidRDefault="00381AB5" w:rsidP="005E3639">
                  <w:pPr>
                    <w:pStyle w:val="Figure"/>
                    <w:spacing w:before="60" w:after="60"/>
                    <w:rPr>
                      <w:noProof/>
                    </w:rPr>
                  </w:pPr>
                  <w:r>
                    <w:rPr>
                      <w:noProof/>
                    </w:rPr>
                    <w:drawing>
                      <wp:inline distT="0" distB="0" distL="0" distR="0" wp14:anchorId="16E74BD9" wp14:editId="42557F2D">
                        <wp:extent cx="2501900" cy="2070100"/>
                        <wp:effectExtent l="0" t="0" r="0" b="0"/>
                        <wp:docPr id="10" name="Picture 10" descr="Indicates the effective marginal tax rates that our four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c>
                <w:tcPr>
                  <w:tcW w:w="2500" w:type="pct"/>
                  <w:tcBorders>
                    <w:top w:val="nil"/>
                    <w:bottom w:val="nil"/>
                  </w:tcBorders>
                </w:tcPr>
                <w:p w:rsidR="007C3424" w:rsidRDefault="00381AB5" w:rsidP="005E3639">
                  <w:pPr>
                    <w:pStyle w:val="Figure"/>
                    <w:spacing w:before="60" w:after="60"/>
                    <w:rPr>
                      <w:noProof/>
                    </w:rPr>
                  </w:pPr>
                  <w:r>
                    <w:rPr>
                      <w:noProof/>
                    </w:rPr>
                    <w:drawing>
                      <wp:inline distT="0" distB="0" distL="0" distR="0" wp14:anchorId="64FCB5CA" wp14:editId="4DD6FB6C">
                        <wp:extent cx="2501900" cy="2070100"/>
                        <wp:effectExtent l="0" t="0" r="0" b="0"/>
                        <wp:docPr id="11" name="Picture 11" descr="Indicates the effective marginal tax rates that our four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r>
            <w:tr w:rsidR="007C3424" w:rsidTr="008709BF">
              <w:trPr>
                <w:trHeight w:val="140"/>
              </w:trPr>
              <w:tc>
                <w:tcPr>
                  <w:tcW w:w="5000" w:type="pct"/>
                  <w:gridSpan w:val="2"/>
                  <w:tcBorders>
                    <w:top w:val="nil"/>
                    <w:bottom w:val="nil"/>
                  </w:tcBorders>
                </w:tcPr>
                <w:p w:rsidR="007C3424" w:rsidRDefault="002011A6" w:rsidP="005E3639">
                  <w:pPr>
                    <w:pStyle w:val="Figure"/>
                    <w:spacing w:before="60" w:after="60"/>
                    <w:rPr>
                      <w:noProof/>
                    </w:rPr>
                  </w:pPr>
                  <w:r>
                    <w:rPr>
                      <w:noProof/>
                    </w:rPr>
                    <w:pict>
                      <v:shape id="_x0000_i1028" type="#_x0000_t75" alt="Legend for graphs" style="width:398.25pt;height:38.25pt">
                        <v:imagedata r:id="rId32" o:title=""/>
                      </v:shape>
                    </w:pict>
                  </w:r>
                </w:p>
              </w:tc>
            </w:tr>
          </w:tbl>
          <w:p w:rsidR="007C3424" w:rsidRDefault="007C3424" w:rsidP="005E3639">
            <w:pPr>
              <w:pStyle w:val="Box"/>
            </w:pPr>
          </w:p>
        </w:tc>
      </w:tr>
      <w:tr w:rsidR="007C3424" w:rsidTr="005E3639">
        <w:trPr>
          <w:cantSplit/>
        </w:trPr>
        <w:tc>
          <w:tcPr>
            <w:tcW w:w="8771" w:type="dxa"/>
            <w:tcBorders>
              <w:top w:val="nil"/>
              <w:left w:val="nil"/>
              <w:bottom w:val="nil"/>
              <w:right w:val="nil"/>
            </w:tcBorders>
            <w:shd w:val="clear" w:color="auto" w:fill="F2F2F2"/>
          </w:tcPr>
          <w:p w:rsidR="007C3424" w:rsidRDefault="007C3424" w:rsidP="007C3424">
            <w:pPr>
              <w:pStyle w:val="BoxSource"/>
            </w:pPr>
            <w:r>
              <w:rPr>
                <w:i/>
              </w:rPr>
              <w:t>Source</w:t>
            </w:r>
            <w:r w:rsidRPr="00167F06">
              <w:t xml:space="preserve">: </w:t>
            </w:r>
            <w:r>
              <w:t>Productivity Commission calculations.</w:t>
            </w:r>
          </w:p>
        </w:tc>
      </w:tr>
      <w:tr w:rsidR="007C3424" w:rsidTr="005E3639">
        <w:trPr>
          <w:cantSplit/>
        </w:trPr>
        <w:tc>
          <w:tcPr>
            <w:tcW w:w="8771" w:type="dxa"/>
            <w:tcBorders>
              <w:top w:val="nil"/>
              <w:left w:val="nil"/>
              <w:bottom w:val="single" w:sz="6" w:space="0" w:color="78A22F"/>
              <w:right w:val="nil"/>
            </w:tcBorders>
            <w:shd w:val="clear" w:color="auto" w:fill="F2F2F2"/>
          </w:tcPr>
          <w:p w:rsidR="007C3424" w:rsidRDefault="007C3424">
            <w:pPr>
              <w:pStyle w:val="Box"/>
              <w:spacing w:before="0" w:line="120" w:lineRule="exact"/>
            </w:pPr>
          </w:p>
        </w:tc>
      </w:tr>
      <w:tr w:rsidR="007C3424" w:rsidRPr="000863A5" w:rsidTr="005E3639">
        <w:tc>
          <w:tcPr>
            <w:tcW w:w="8771" w:type="dxa"/>
            <w:tcBorders>
              <w:top w:val="single" w:sz="6" w:space="0" w:color="78A22F"/>
              <w:left w:val="nil"/>
              <w:bottom w:val="nil"/>
              <w:right w:val="nil"/>
            </w:tcBorders>
          </w:tcPr>
          <w:p w:rsidR="007C3424" w:rsidRPr="00626D32" w:rsidRDefault="007C3424" w:rsidP="005E3639">
            <w:pPr>
              <w:pStyle w:val="BoxSpaceBelow"/>
            </w:pPr>
          </w:p>
        </w:tc>
      </w:tr>
    </w:tbl>
    <w:p w:rsidR="007C3424" w:rsidRDefault="007C3424" w:rsidP="007C3424">
      <w:pPr>
        <w:pStyle w:val="Heading3"/>
      </w:pPr>
      <w:r>
        <w:t>Cameo 5</w:t>
      </w:r>
    </w:p>
    <w:p w:rsidR="00993596" w:rsidRDefault="007C3424" w:rsidP="007C3424">
      <w:pPr>
        <w:pStyle w:val="BodyText"/>
      </w:pPr>
      <w:r>
        <w:t>Cameo 5 represents a lone parent family with two children, both of which use LDC services. The assumed wage of the mother is $23 per hour. Under current arrangements, this mother is eligible for the Parenting Payment, and this dominates her EMTR profile (</w:t>
      </w:r>
      <w:r w:rsidR="00381DF8">
        <w:t>box</w:t>
      </w:r>
      <w:r>
        <w:t> E.</w:t>
      </w:r>
      <w:r w:rsidR="00381DF8">
        <w:t>7</w:t>
      </w:r>
      <w:r>
        <w:t xml:space="preserve">). The withdrawal of the Parenting Payment means that there is very little financial incentive for the mother to work beyond three days a week, because her EMTRs are very high. </w:t>
      </w:r>
    </w:p>
    <w:p w:rsidR="007C3424" w:rsidRDefault="00993596" w:rsidP="007C3424">
      <w:pPr>
        <w:pStyle w:val="BodyText"/>
      </w:pPr>
      <w:r>
        <w:t xml:space="preserve">Under the Commission’s recommended reforms, this lone parent family would be entitled to the maximum subsidy rate for ECEC assistance, no matter how many days the mother worked at her wage rate. This reduces the EMTR faced by this mother, however, the biggest influence on the mother’s EMTR remains the withdrawal of the Parenting Payment (box E.7). </w:t>
      </w:r>
    </w:p>
    <w:p w:rsidR="007C3424" w:rsidRDefault="007C3424">
      <w:pPr>
        <w:pStyle w:val="BoxSpaceAbove"/>
      </w:pPr>
    </w:p>
    <w:tbl>
      <w:tblPr>
        <w:tblW w:w="0" w:type="auto"/>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7C3424" w:rsidTr="008119BE">
        <w:tc>
          <w:tcPr>
            <w:tcW w:w="8793" w:type="dxa"/>
            <w:tcBorders>
              <w:top w:val="single" w:sz="6" w:space="0" w:color="78A22F"/>
              <w:left w:val="nil"/>
              <w:bottom w:val="nil"/>
              <w:right w:val="nil"/>
            </w:tcBorders>
            <w:shd w:val="clear" w:color="auto" w:fill="F2F2F2"/>
          </w:tcPr>
          <w:p w:rsidR="007C3424" w:rsidRDefault="007C3424" w:rsidP="007C3424">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7</w:t>
            </w:r>
            <w:r>
              <w:rPr>
                <w:b w:val="0"/>
              </w:rPr>
              <w:fldChar w:fldCharType="end"/>
            </w:r>
            <w:r>
              <w:tab/>
              <w:t>Cameo 5</w:t>
            </w:r>
          </w:p>
        </w:tc>
      </w:tr>
      <w:tr w:rsidR="007C3424" w:rsidTr="008119BE">
        <w:trPr>
          <w:cantSplit/>
        </w:trPr>
        <w:tc>
          <w:tcPr>
            <w:tcW w:w="8793" w:type="dxa"/>
            <w:tcBorders>
              <w:top w:val="nil"/>
              <w:left w:val="nil"/>
              <w:bottom w:val="nil"/>
              <w:right w:val="nil"/>
            </w:tcBorders>
            <w:shd w:val="clear" w:color="auto" w:fill="F2F2F2"/>
          </w:tcPr>
          <w:p w:rsidR="007C3424" w:rsidRPr="00EF0EA9" w:rsidRDefault="007C3424"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7"/>
              <w:gridCol w:w="1217"/>
              <w:gridCol w:w="1215"/>
              <w:gridCol w:w="1215"/>
              <w:gridCol w:w="1215"/>
              <w:gridCol w:w="1215"/>
              <w:gridCol w:w="1215"/>
            </w:tblGrid>
            <w:tr w:rsidR="00CD2961" w:rsidTr="007B24F2">
              <w:tc>
                <w:tcPr>
                  <w:tcW w:w="715" w:type="pct"/>
                  <w:tcBorders>
                    <w:top w:val="single" w:sz="6" w:space="0" w:color="C8C8C8"/>
                    <w:bottom w:val="single" w:sz="6" w:space="0" w:color="C8C8C8"/>
                  </w:tcBorders>
                  <w:shd w:val="clear" w:color="auto" w:fill="auto"/>
                  <w:tcMar>
                    <w:top w:w="28" w:type="dxa"/>
                  </w:tcMar>
                  <w:vAlign w:val="bottom"/>
                </w:tcPr>
                <w:p w:rsidR="00CD2961" w:rsidRDefault="00CD2961"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CD2961" w:rsidRDefault="00CD2961"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CD2961" w:rsidRDefault="00CD2961"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CD2961" w:rsidRDefault="00CD2961" w:rsidP="00F35A42">
                  <w:pPr>
                    <w:pStyle w:val="TableColumnHeading"/>
                    <w:ind w:right="28"/>
                  </w:pPr>
                  <w:r>
                    <w:t>ECEC fees</w:t>
                  </w:r>
                </w:p>
              </w:tc>
              <w:tc>
                <w:tcPr>
                  <w:tcW w:w="714" w:type="pct"/>
                  <w:tcBorders>
                    <w:top w:val="single" w:sz="6" w:space="0" w:color="C8C8C8"/>
                    <w:bottom w:val="single" w:sz="6" w:space="0" w:color="C8C8C8"/>
                  </w:tcBorders>
                  <w:vAlign w:val="bottom"/>
                </w:tcPr>
                <w:p w:rsidR="00CD2961" w:rsidRDefault="00CD2961"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CD2961" w:rsidRDefault="00CD2961"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CD2961" w:rsidRDefault="00CD2961" w:rsidP="00F35A42">
                  <w:pPr>
                    <w:pStyle w:val="TableColumnHeading"/>
                    <w:ind w:right="28"/>
                  </w:pPr>
                  <w:r>
                    <w:t>Other factors</w:t>
                  </w:r>
                </w:p>
              </w:tc>
            </w:tr>
            <w:tr w:rsidR="00CD2961" w:rsidTr="005E3639">
              <w:tc>
                <w:tcPr>
                  <w:tcW w:w="715" w:type="pct"/>
                  <w:tcBorders>
                    <w:bottom w:val="single" w:sz="6" w:space="0" w:color="C8C8C8"/>
                  </w:tcBorders>
                  <w:shd w:val="clear" w:color="auto" w:fill="auto"/>
                </w:tcPr>
                <w:p w:rsidR="00CD2961" w:rsidRDefault="00CD2961" w:rsidP="005E3639">
                  <w:pPr>
                    <w:pStyle w:val="TableUnitsRow"/>
                    <w:jc w:val="left"/>
                  </w:pPr>
                </w:p>
              </w:tc>
              <w:tc>
                <w:tcPr>
                  <w:tcW w:w="715" w:type="pct"/>
                  <w:tcBorders>
                    <w:bottom w:val="single" w:sz="6" w:space="0" w:color="C8C8C8"/>
                  </w:tcBorders>
                  <w:shd w:val="clear" w:color="auto" w:fill="auto"/>
                </w:tcPr>
                <w:p w:rsidR="00CD2961" w:rsidRDefault="00CD2961" w:rsidP="005E3639">
                  <w:pPr>
                    <w:pStyle w:val="TableUnitsRow"/>
                  </w:pPr>
                </w:p>
              </w:tc>
              <w:tc>
                <w:tcPr>
                  <w:tcW w:w="714" w:type="pct"/>
                  <w:tcBorders>
                    <w:bottom w:val="single" w:sz="6" w:space="0" w:color="C8C8C8"/>
                  </w:tcBorders>
                  <w:shd w:val="clear" w:color="auto" w:fill="auto"/>
                </w:tcPr>
                <w:p w:rsidR="00CD2961" w:rsidRDefault="00CD2961" w:rsidP="005E3639">
                  <w:pPr>
                    <w:pStyle w:val="TableUnitsRow"/>
                    <w:ind w:right="28"/>
                  </w:pPr>
                </w:p>
              </w:tc>
              <w:tc>
                <w:tcPr>
                  <w:tcW w:w="714" w:type="pct"/>
                  <w:tcBorders>
                    <w:bottom w:val="single" w:sz="6" w:space="0" w:color="C8C8C8"/>
                  </w:tcBorders>
                </w:tcPr>
                <w:p w:rsidR="00CD2961" w:rsidRDefault="00CD2961" w:rsidP="005E3639">
                  <w:pPr>
                    <w:pStyle w:val="TableUnitsRow"/>
                    <w:ind w:right="28"/>
                  </w:pPr>
                  <w:r>
                    <w:t>$/hour/child</w:t>
                  </w:r>
                </w:p>
              </w:tc>
              <w:tc>
                <w:tcPr>
                  <w:tcW w:w="714" w:type="pct"/>
                  <w:tcBorders>
                    <w:bottom w:val="single" w:sz="6" w:space="0" w:color="C8C8C8"/>
                  </w:tcBorders>
                </w:tcPr>
                <w:p w:rsidR="00CD2961" w:rsidRDefault="00CD2961" w:rsidP="005E3639">
                  <w:pPr>
                    <w:pStyle w:val="TableUnitsRow"/>
                    <w:ind w:right="28"/>
                  </w:pPr>
                  <w:r>
                    <w:t>$/hour</w:t>
                  </w:r>
                </w:p>
              </w:tc>
              <w:tc>
                <w:tcPr>
                  <w:tcW w:w="714" w:type="pct"/>
                  <w:tcBorders>
                    <w:bottom w:val="single" w:sz="6" w:space="0" w:color="C8C8C8"/>
                  </w:tcBorders>
                </w:tcPr>
                <w:p w:rsidR="00CD2961" w:rsidRDefault="00CD2961" w:rsidP="005E3639">
                  <w:pPr>
                    <w:pStyle w:val="TableUnitsRow"/>
                    <w:ind w:right="28"/>
                  </w:pPr>
                  <w:r>
                    <w:t>$</w:t>
                  </w:r>
                </w:p>
              </w:tc>
              <w:tc>
                <w:tcPr>
                  <w:tcW w:w="714" w:type="pct"/>
                  <w:tcBorders>
                    <w:bottom w:val="single" w:sz="6" w:space="0" w:color="C8C8C8"/>
                  </w:tcBorders>
                </w:tcPr>
                <w:p w:rsidR="00CD2961" w:rsidRDefault="00CD2961" w:rsidP="005E3639">
                  <w:pPr>
                    <w:pStyle w:val="TableUnitsRow"/>
                    <w:ind w:right="28"/>
                  </w:pPr>
                </w:p>
              </w:tc>
            </w:tr>
            <w:tr w:rsidR="00CD2961" w:rsidTr="005E3639">
              <w:tc>
                <w:tcPr>
                  <w:tcW w:w="715" w:type="pct"/>
                  <w:tcBorders>
                    <w:bottom w:val="single" w:sz="6" w:space="0" w:color="C8C8C8"/>
                  </w:tcBorders>
                  <w:shd w:val="clear" w:color="auto" w:fill="auto"/>
                </w:tcPr>
                <w:p w:rsidR="00CD2961" w:rsidRDefault="00CD2961" w:rsidP="005E3639">
                  <w:pPr>
                    <w:pStyle w:val="TableBodyText"/>
                    <w:jc w:val="left"/>
                  </w:pPr>
                  <w:r>
                    <w:t>Single</w:t>
                  </w:r>
                </w:p>
              </w:tc>
              <w:tc>
                <w:tcPr>
                  <w:tcW w:w="715" w:type="pct"/>
                  <w:tcBorders>
                    <w:bottom w:val="single" w:sz="6" w:space="0" w:color="C8C8C8"/>
                  </w:tcBorders>
                  <w:shd w:val="clear" w:color="auto" w:fill="auto"/>
                </w:tcPr>
                <w:p w:rsidR="00CD2961" w:rsidRDefault="00CD2961" w:rsidP="005E3639">
                  <w:pPr>
                    <w:pStyle w:val="TableBodyText"/>
                  </w:pPr>
                  <w:r>
                    <w:t xml:space="preserve">2 </w:t>
                  </w:r>
                </w:p>
                <w:p w:rsidR="00CD2961" w:rsidRDefault="00CD2961" w:rsidP="005E3639">
                  <w:pPr>
                    <w:pStyle w:val="TableBodyText"/>
                  </w:pPr>
                  <w:r>
                    <w:t>(2 and 4)</w:t>
                  </w:r>
                </w:p>
              </w:tc>
              <w:tc>
                <w:tcPr>
                  <w:tcW w:w="714" w:type="pct"/>
                  <w:tcBorders>
                    <w:bottom w:val="single" w:sz="6" w:space="0" w:color="C8C8C8"/>
                  </w:tcBorders>
                  <w:shd w:val="clear" w:color="auto" w:fill="auto"/>
                </w:tcPr>
                <w:p w:rsidR="00CD2961" w:rsidRDefault="00CD2961" w:rsidP="005E3639">
                  <w:pPr>
                    <w:pStyle w:val="TableBodyText"/>
                  </w:pPr>
                  <w:r>
                    <w:t>LDC</w:t>
                  </w:r>
                </w:p>
              </w:tc>
              <w:tc>
                <w:tcPr>
                  <w:tcW w:w="714" w:type="pct"/>
                  <w:tcBorders>
                    <w:bottom w:val="single" w:sz="6" w:space="0" w:color="C8C8C8"/>
                  </w:tcBorders>
                </w:tcPr>
                <w:p w:rsidR="00CD2961" w:rsidRDefault="00CD2961" w:rsidP="005E3639">
                  <w:pPr>
                    <w:pStyle w:val="TableBodyText"/>
                  </w:pPr>
                  <w:r>
                    <w:t>$7.46</w:t>
                  </w:r>
                </w:p>
              </w:tc>
              <w:tc>
                <w:tcPr>
                  <w:tcW w:w="714" w:type="pct"/>
                  <w:tcBorders>
                    <w:bottom w:val="single" w:sz="6" w:space="0" w:color="C8C8C8"/>
                  </w:tcBorders>
                </w:tcPr>
                <w:p w:rsidR="00CD2961" w:rsidRDefault="00CD2961" w:rsidP="005E3639">
                  <w:pPr>
                    <w:pStyle w:val="TableBodyText"/>
                  </w:pPr>
                  <w:r>
                    <w:t>$23</w:t>
                  </w:r>
                </w:p>
              </w:tc>
              <w:tc>
                <w:tcPr>
                  <w:tcW w:w="714" w:type="pct"/>
                  <w:tcBorders>
                    <w:bottom w:val="single" w:sz="6" w:space="0" w:color="C8C8C8"/>
                  </w:tcBorders>
                </w:tcPr>
                <w:p w:rsidR="00CD2961" w:rsidRDefault="00CD2961" w:rsidP="005E3639">
                  <w:pPr>
                    <w:pStyle w:val="TableBodyText"/>
                  </w:pPr>
                  <w:r>
                    <w:t>na</w:t>
                  </w:r>
                </w:p>
              </w:tc>
              <w:tc>
                <w:tcPr>
                  <w:tcW w:w="714" w:type="pct"/>
                  <w:tcBorders>
                    <w:bottom w:val="single" w:sz="6" w:space="0" w:color="C8C8C8"/>
                  </w:tcBorders>
                </w:tcPr>
                <w:p w:rsidR="00CD2961" w:rsidRDefault="00CD2961" w:rsidP="005E3639">
                  <w:pPr>
                    <w:pStyle w:val="TableBodyText"/>
                  </w:pPr>
                  <w:r>
                    <w:t>none</w:t>
                  </w:r>
                </w:p>
              </w:tc>
            </w:tr>
          </w:tbl>
          <w:p w:rsidR="00CD2961" w:rsidRDefault="00CD2961" w:rsidP="00EF0EA9">
            <w:pPr>
              <w:pStyle w:val="Box"/>
              <w:spacing w:before="0" w:line="120" w:lineRule="atLeast"/>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44"/>
              <w:gridCol w:w="4245"/>
            </w:tblGrid>
            <w:tr w:rsidR="008709BF" w:rsidTr="008709BF">
              <w:trPr>
                <w:trHeight w:val="140"/>
              </w:trPr>
              <w:tc>
                <w:tcPr>
                  <w:tcW w:w="5000" w:type="pct"/>
                  <w:gridSpan w:val="2"/>
                  <w:tcBorders>
                    <w:top w:val="nil"/>
                    <w:bottom w:val="nil"/>
                  </w:tcBorders>
                </w:tcPr>
                <w:p w:rsidR="008709BF" w:rsidRPr="008709BF" w:rsidRDefault="008709BF" w:rsidP="008709BF">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8709BF" w:rsidTr="008709BF">
              <w:trPr>
                <w:trHeight w:val="140"/>
              </w:trPr>
              <w:tc>
                <w:tcPr>
                  <w:tcW w:w="2500" w:type="pct"/>
                  <w:tcBorders>
                    <w:top w:val="nil"/>
                    <w:bottom w:val="nil"/>
                  </w:tcBorders>
                </w:tcPr>
                <w:p w:rsidR="008709BF" w:rsidRDefault="008709BF" w:rsidP="008709BF">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8709BF" w:rsidRDefault="008709BF" w:rsidP="008709BF">
                  <w:pPr>
                    <w:pStyle w:val="Figure"/>
                    <w:spacing w:before="60" w:after="60"/>
                    <w:rPr>
                      <w:noProof/>
                    </w:rPr>
                  </w:pPr>
                  <w:r>
                    <w:rPr>
                      <w:rFonts w:ascii="Arial" w:hAnsi="Arial" w:cs="Arial"/>
                      <w:i/>
                      <w:sz w:val="20"/>
                    </w:rPr>
                    <w:t>Recommended reform</w:t>
                  </w:r>
                </w:p>
              </w:tc>
            </w:tr>
            <w:tr w:rsidR="008119BE" w:rsidTr="008709BF">
              <w:trPr>
                <w:trHeight w:val="140"/>
              </w:trPr>
              <w:tc>
                <w:tcPr>
                  <w:tcW w:w="2500" w:type="pct"/>
                  <w:tcBorders>
                    <w:top w:val="nil"/>
                    <w:bottom w:val="nil"/>
                  </w:tcBorders>
                </w:tcPr>
                <w:p w:rsidR="008119BE" w:rsidRDefault="008119BE" w:rsidP="005E3639">
                  <w:pPr>
                    <w:pStyle w:val="Figure"/>
                    <w:spacing w:before="60" w:after="60"/>
                    <w:rPr>
                      <w:noProof/>
                    </w:rPr>
                  </w:pPr>
                  <w:r>
                    <w:rPr>
                      <w:noProof/>
                    </w:rPr>
                    <w:drawing>
                      <wp:inline distT="0" distB="0" distL="0" distR="0" wp14:anchorId="4B782D6F" wp14:editId="5C73D4F0">
                        <wp:extent cx="2519680" cy="2073275"/>
                        <wp:effectExtent l="0" t="0" r="0" b="0"/>
                        <wp:docPr id="30" name="Picture 30" descr="Indicates the effective marginal tax rates that our fif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19680" cy="2073275"/>
                                </a:xfrm>
                                <a:prstGeom prst="rect">
                                  <a:avLst/>
                                </a:prstGeom>
                                <a:noFill/>
                                <a:ln>
                                  <a:noFill/>
                                </a:ln>
                              </pic:spPr>
                            </pic:pic>
                          </a:graphicData>
                        </a:graphic>
                      </wp:inline>
                    </w:drawing>
                  </w:r>
                </w:p>
              </w:tc>
              <w:tc>
                <w:tcPr>
                  <w:tcW w:w="2500" w:type="pct"/>
                  <w:tcBorders>
                    <w:top w:val="nil"/>
                    <w:bottom w:val="nil"/>
                  </w:tcBorders>
                </w:tcPr>
                <w:p w:rsidR="008119BE" w:rsidRDefault="008119BE" w:rsidP="005E3639">
                  <w:pPr>
                    <w:pStyle w:val="Figure"/>
                    <w:spacing w:before="60" w:after="60"/>
                    <w:rPr>
                      <w:noProof/>
                    </w:rPr>
                  </w:pPr>
                  <w:r>
                    <w:rPr>
                      <w:noProof/>
                    </w:rPr>
                    <w:drawing>
                      <wp:inline distT="0" distB="0" distL="0" distR="0" wp14:anchorId="62BCDE51" wp14:editId="02A9AF2F">
                        <wp:extent cx="2519680" cy="2073275"/>
                        <wp:effectExtent l="0" t="0" r="0" b="0"/>
                        <wp:docPr id="31" name="Picture 31" descr="Indicates the effective marginal tax rates that our fif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19680" cy="2073275"/>
                                </a:xfrm>
                                <a:prstGeom prst="rect">
                                  <a:avLst/>
                                </a:prstGeom>
                                <a:noFill/>
                                <a:ln>
                                  <a:noFill/>
                                </a:ln>
                              </pic:spPr>
                            </pic:pic>
                          </a:graphicData>
                        </a:graphic>
                      </wp:inline>
                    </w:drawing>
                  </w:r>
                </w:p>
              </w:tc>
            </w:tr>
            <w:tr w:rsidR="004535D4" w:rsidTr="008709BF">
              <w:trPr>
                <w:trHeight w:val="140"/>
              </w:trPr>
              <w:tc>
                <w:tcPr>
                  <w:tcW w:w="5000" w:type="pct"/>
                  <w:gridSpan w:val="2"/>
                  <w:tcBorders>
                    <w:top w:val="nil"/>
                    <w:bottom w:val="nil"/>
                  </w:tcBorders>
                </w:tcPr>
                <w:p w:rsidR="004535D4" w:rsidRDefault="002011A6" w:rsidP="00E770A0">
                  <w:pPr>
                    <w:pStyle w:val="Figure"/>
                    <w:spacing w:before="60" w:after="60"/>
                    <w:rPr>
                      <w:noProof/>
                    </w:rPr>
                  </w:pPr>
                  <w:r>
                    <w:rPr>
                      <w:noProof/>
                    </w:rPr>
                    <w:pict>
                      <v:shape id="_x0000_i1029" type="#_x0000_t75" alt="Legend for Effective marginal tax rates Box E.7" style="width:397.5pt;height:38.25pt">
                        <v:imagedata r:id="rId35" o:title=""/>
                      </v:shape>
                    </w:pict>
                  </w:r>
                </w:p>
              </w:tc>
            </w:tr>
          </w:tbl>
          <w:p w:rsidR="00CD2961" w:rsidRDefault="00CD2961" w:rsidP="005E3639">
            <w:pPr>
              <w:pStyle w:val="Box"/>
            </w:pPr>
          </w:p>
        </w:tc>
      </w:tr>
      <w:tr w:rsidR="007C3424" w:rsidTr="008119BE">
        <w:trPr>
          <w:cantSplit/>
        </w:trPr>
        <w:tc>
          <w:tcPr>
            <w:tcW w:w="8793" w:type="dxa"/>
            <w:tcBorders>
              <w:top w:val="nil"/>
              <w:left w:val="nil"/>
              <w:bottom w:val="nil"/>
              <w:right w:val="nil"/>
            </w:tcBorders>
            <w:shd w:val="clear" w:color="auto" w:fill="F2F2F2"/>
          </w:tcPr>
          <w:p w:rsidR="007C3424" w:rsidRDefault="00381DF8" w:rsidP="005E3639">
            <w:pPr>
              <w:pStyle w:val="BoxSource"/>
            </w:pPr>
            <w:r>
              <w:rPr>
                <w:i/>
              </w:rPr>
              <w:t>Source</w:t>
            </w:r>
            <w:r w:rsidRPr="00167F06">
              <w:t xml:space="preserve">: </w:t>
            </w:r>
            <w:r>
              <w:t>Productivity Commission calculations.</w:t>
            </w:r>
          </w:p>
        </w:tc>
      </w:tr>
      <w:tr w:rsidR="007C3424" w:rsidTr="008119BE">
        <w:trPr>
          <w:cantSplit/>
        </w:trPr>
        <w:tc>
          <w:tcPr>
            <w:tcW w:w="8793" w:type="dxa"/>
            <w:tcBorders>
              <w:top w:val="nil"/>
              <w:left w:val="nil"/>
              <w:bottom w:val="single" w:sz="6" w:space="0" w:color="78A22F"/>
              <w:right w:val="nil"/>
            </w:tcBorders>
            <w:shd w:val="clear" w:color="auto" w:fill="F2F2F2"/>
          </w:tcPr>
          <w:p w:rsidR="007C3424" w:rsidRDefault="007C3424">
            <w:pPr>
              <w:pStyle w:val="Box"/>
              <w:spacing w:before="0" w:line="120" w:lineRule="exact"/>
            </w:pPr>
          </w:p>
        </w:tc>
      </w:tr>
      <w:tr w:rsidR="007C3424" w:rsidRPr="000863A5" w:rsidTr="008119BE">
        <w:tc>
          <w:tcPr>
            <w:tcW w:w="8793" w:type="dxa"/>
            <w:tcBorders>
              <w:top w:val="single" w:sz="6" w:space="0" w:color="78A22F"/>
              <w:left w:val="nil"/>
              <w:bottom w:val="nil"/>
              <w:right w:val="nil"/>
            </w:tcBorders>
          </w:tcPr>
          <w:p w:rsidR="007C3424" w:rsidRPr="00626D32" w:rsidRDefault="007C3424" w:rsidP="005E3639">
            <w:pPr>
              <w:pStyle w:val="BoxSpaceBelow"/>
            </w:pPr>
          </w:p>
        </w:tc>
      </w:tr>
    </w:tbl>
    <w:p w:rsidR="00381DF8" w:rsidRDefault="00381DF8" w:rsidP="00381DF8">
      <w:pPr>
        <w:pStyle w:val="Heading3"/>
      </w:pPr>
      <w:r>
        <w:t>Cameo 6</w:t>
      </w:r>
    </w:p>
    <w:p w:rsidR="00381DF8" w:rsidRDefault="00D555B9" w:rsidP="00D555B9">
      <w:pPr>
        <w:pStyle w:val="BodyText"/>
      </w:pPr>
      <w:r>
        <w:t>Cameo 6 represents a couple family with one child who uses LDC. The assumed wage of the mother is $42 per hour while her partner is assumed to earn $70</w:t>
      </w:r>
      <w:r w:rsidR="009605D5">
        <w:t> </w:t>
      </w:r>
      <w:r>
        <w:t xml:space="preserve">000 per annum. In this </w:t>
      </w:r>
      <w:r w:rsidR="00E87456">
        <w:t>cameo</w:t>
      </w:r>
      <w:r w:rsidR="00381DF8">
        <w:t xml:space="preserve">, the mother has a HELP debt. </w:t>
      </w:r>
    </w:p>
    <w:p w:rsidR="00993596" w:rsidRDefault="00E22754" w:rsidP="00D555B9">
      <w:pPr>
        <w:pStyle w:val="BodyText"/>
      </w:pPr>
      <w:r>
        <w:t>Given the mother’s assumed wage rate, she does not earn enough to start making (mandated) contributions to her HELP debt until she works four days a week. In response, this mother faces a steep rise in her EMTRs as she moves from three days of work to four days of work, although her EMTR</w:t>
      </w:r>
      <w:r w:rsidR="00AC18EF">
        <w:t>s</w:t>
      </w:r>
      <w:r>
        <w:t xml:space="preserve"> consistently remain below 100 cents in the dollar</w:t>
      </w:r>
      <w:r w:rsidR="00A633E4">
        <w:t xml:space="preserve"> (</w:t>
      </w:r>
      <w:r w:rsidR="00381DF8">
        <w:t>box</w:t>
      </w:r>
      <w:r w:rsidR="00A633E4">
        <w:t> </w:t>
      </w:r>
      <w:r w:rsidR="00A7553B">
        <w:t>E.</w:t>
      </w:r>
      <w:r w:rsidR="00381DF8">
        <w:t>8</w:t>
      </w:r>
      <w:r w:rsidR="00A633E4">
        <w:t>)</w:t>
      </w:r>
      <w:r>
        <w:t xml:space="preserve">. </w:t>
      </w:r>
      <w:r w:rsidR="00FE149B">
        <w:t>Once this mother works more than three days</w:t>
      </w:r>
      <w:r w:rsidR="00271BA6">
        <w:t xml:space="preserve"> a</w:t>
      </w:r>
      <w:r w:rsidR="000E0463">
        <w:t xml:space="preserve"> </w:t>
      </w:r>
      <w:r w:rsidR="00271BA6">
        <w:t>week</w:t>
      </w:r>
      <w:r w:rsidR="00FE149B">
        <w:t xml:space="preserve">, the CCR cap for her child in care is also reached (hence the </w:t>
      </w:r>
      <w:r w:rsidR="00AC18EF">
        <w:t>increase in out</w:t>
      </w:r>
      <w:r w:rsidR="00AC18EF">
        <w:noBreakHyphen/>
        <w:t>of</w:t>
      </w:r>
      <w:r w:rsidR="00AC18EF">
        <w:noBreakHyphen/>
        <w:t>pocket ECEC costs</w:t>
      </w:r>
      <w:r w:rsidR="00FE149B">
        <w:t xml:space="preserve"> </w:t>
      </w:r>
      <w:r w:rsidR="00AC18EF">
        <w:t>o</w:t>
      </w:r>
      <w:r w:rsidR="00FE149B">
        <w:t>n the fourth and fifth day of work).</w:t>
      </w:r>
      <w:r w:rsidR="00993596" w:rsidRPr="00993596">
        <w:t xml:space="preserve"> </w:t>
      </w:r>
    </w:p>
    <w:p w:rsidR="00D555B9" w:rsidRDefault="00993596" w:rsidP="00D555B9">
      <w:pPr>
        <w:pStyle w:val="BodyText"/>
      </w:pPr>
      <w:r>
        <w:t xml:space="preserve">As with previous cameos, the recommended changes to ECEC subsidies — predominantly the removal of caps on those subsidies — results in lower EMTRs for this mother </w:t>
      </w:r>
      <w:r>
        <w:lastRenderedPageBreak/>
        <w:t>(box E.8). Overall, this family would pay lower out-of-pocket ECEC costs under the Commission’s proposals.</w:t>
      </w:r>
    </w:p>
    <w:p w:rsidR="00381DF8" w:rsidRDefault="00381DF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81DF8" w:rsidTr="005E3639">
        <w:tc>
          <w:tcPr>
            <w:tcW w:w="8771" w:type="dxa"/>
            <w:tcBorders>
              <w:top w:val="single" w:sz="6" w:space="0" w:color="78A22F"/>
              <w:left w:val="nil"/>
              <w:bottom w:val="nil"/>
              <w:right w:val="nil"/>
            </w:tcBorders>
            <w:shd w:val="clear" w:color="auto" w:fill="F2F2F2"/>
          </w:tcPr>
          <w:p w:rsidR="00381DF8" w:rsidRDefault="00381DF8" w:rsidP="00381DF8">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8</w:t>
            </w:r>
            <w:r>
              <w:rPr>
                <w:b w:val="0"/>
              </w:rPr>
              <w:fldChar w:fldCharType="end"/>
            </w:r>
            <w:r>
              <w:tab/>
              <w:t>Cameo 6</w:t>
            </w:r>
          </w:p>
        </w:tc>
      </w:tr>
      <w:tr w:rsidR="00381DF8" w:rsidTr="005E3639">
        <w:trPr>
          <w:cantSplit/>
        </w:trPr>
        <w:tc>
          <w:tcPr>
            <w:tcW w:w="8771" w:type="dxa"/>
            <w:tcBorders>
              <w:top w:val="nil"/>
              <w:left w:val="nil"/>
              <w:bottom w:val="nil"/>
              <w:right w:val="nil"/>
            </w:tcBorders>
            <w:shd w:val="clear" w:color="auto" w:fill="F2F2F2"/>
          </w:tcPr>
          <w:p w:rsidR="00381DF8" w:rsidRPr="00EF0EA9" w:rsidRDefault="00381DF8"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381DF8" w:rsidTr="00A8579B">
              <w:tc>
                <w:tcPr>
                  <w:tcW w:w="715" w:type="pct"/>
                  <w:tcBorders>
                    <w:top w:val="single" w:sz="6" w:space="0" w:color="C8C8C8"/>
                    <w:bottom w:val="single" w:sz="6" w:space="0" w:color="C8C8C8"/>
                  </w:tcBorders>
                  <w:shd w:val="clear" w:color="auto" w:fill="auto"/>
                  <w:tcMar>
                    <w:top w:w="28" w:type="dxa"/>
                  </w:tcMar>
                  <w:vAlign w:val="bottom"/>
                </w:tcPr>
                <w:p w:rsidR="00381DF8" w:rsidRDefault="00381DF8"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381DF8" w:rsidRDefault="00381DF8"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381DF8" w:rsidRDefault="00381DF8"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381DF8" w:rsidRDefault="00381DF8" w:rsidP="00F35A42">
                  <w:pPr>
                    <w:pStyle w:val="TableColumnHeading"/>
                    <w:ind w:right="28"/>
                  </w:pPr>
                  <w:r>
                    <w:t>ECEC fees</w:t>
                  </w:r>
                </w:p>
              </w:tc>
              <w:tc>
                <w:tcPr>
                  <w:tcW w:w="714" w:type="pct"/>
                  <w:tcBorders>
                    <w:top w:val="single" w:sz="6" w:space="0" w:color="C8C8C8"/>
                    <w:bottom w:val="single" w:sz="6" w:space="0" w:color="C8C8C8"/>
                  </w:tcBorders>
                  <w:vAlign w:val="bottom"/>
                </w:tcPr>
                <w:p w:rsidR="00381DF8" w:rsidRDefault="00381DF8"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381DF8" w:rsidRDefault="00381DF8"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381DF8" w:rsidRDefault="00381DF8" w:rsidP="00F35A42">
                  <w:pPr>
                    <w:pStyle w:val="TableColumnHeading"/>
                    <w:ind w:right="28"/>
                  </w:pPr>
                  <w:r>
                    <w:t>Other factors</w:t>
                  </w:r>
                </w:p>
              </w:tc>
            </w:tr>
            <w:tr w:rsidR="00381DF8" w:rsidTr="005E3639">
              <w:tc>
                <w:tcPr>
                  <w:tcW w:w="715" w:type="pct"/>
                  <w:tcBorders>
                    <w:bottom w:val="single" w:sz="6" w:space="0" w:color="C8C8C8"/>
                  </w:tcBorders>
                  <w:shd w:val="clear" w:color="auto" w:fill="auto"/>
                </w:tcPr>
                <w:p w:rsidR="00381DF8" w:rsidRDefault="00381DF8" w:rsidP="005E3639">
                  <w:pPr>
                    <w:pStyle w:val="TableUnitsRow"/>
                    <w:jc w:val="left"/>
                  </w:pPr>
                </w:p>
              </w:tc>
              <w:tc>
                <w:tcPr>
                  <w:tcW w:w="715" w:type="pct"/>
                  <w:tcBorders>
                    <w:bottom w:val="single" w:sz="6" w:space="0" w:color="C8C8C8"/>
                  </w:tcBorders>
                  <w:shd w:val="clear" w:color="auto" w:fill="auto"/>
                </w:tcPr>
                <w:p w:rsidR="00381DF8" w:rsidRDefault="00381DF8" w:rsidP="005E3639">
                  <w:pPr>
                    <w:pStyle w:val="TableUnitsRow"/>
                  </w:pPr>
                </w:p>
              </w:tc>
              <w:tc>
                <w:tcPr>
                  <w:tcW w:w="714" w:type="pct"/>
                  <w:tcBorders>
                    <w:bottom w:val="single" w:sz="6" w:space="0" w:color="C8C8C8"/>
                  </w:tcBorders>
                  <w:shd w:val="clear" w:color="auto" w:fill="auto"/>
                </w:tcPr>
                <w:p w:rsidR="00381DF8" w:rsidRDefault="00381DF8" w:rsidP="005E3639">
                  <w:pPr>
                    <w:pStyle w:val="TableUnitsRow"/>
                    <w:ind w:right="28"/>
                  </w:pPr>
                </w:p>
              </w:tc>
              <w:tc>
                <w:tcPr>
                  <w:tcW w:w="714" w:type="pct"/>
                  <w:tcBorders>
                    <w:bottom w:val="single" w:sz="6" w:space="0" w:color="C8C8C8"/>
                  </w:tcBorders>
                </w:tcPr>
                <w:p w:rsidR="00381DF8" w:rsidRDefault="00381DF8" w:rsidP="005E3639">
                  <w:pPr>
                    <w:pStyle w:val="TableUnitsRow"/>
                    <w:ind w:right="28"/>
                  </w:pPr>
                  <w:r>
                    <w:t>$/hour/child</w:t>
                  </w:r>
                </w:p>
              </w:tc>
              <w:tc>
                <w:tcPr>
                  <w:tcW w:w="714" w:type="pct"/>
                  <w:tcBorders>
                    <w:bottom w:val="single" w:sz="6" w:space="0" w:color="C8C8C8"/>
                  </w:tcBorders>
                </w:tcPr>
                <w:p w:rsidR="00381DF8" w:rsidRDefault="00381DF8" w:rsidP="005E3639">
                  <w:pPr>
                    <w:pStyle w:val="TableUnitsRow"/>
                    <w:ind w:right="28"/>
                  </w:pPr>
                  <w:r>
                    <w:t>$/hour</w:t>
                  </w:r>
                </w:p>
              </w:tc>
              <w:tc>
                <w:tcPr>
                  <w:tcW w:w="714" w:type="pct"/>
                  <w:tcBorders>
                    <w:bottom w:val="single" w:sz="6" w:space="0" w:color="C8C8C8"/>
                  </w:tcBorders>
                </w:tcPr>
                <w:p w:rsidR="00381DF8" w:rsidRDefault="00381DF8" w:rsidP="005E3639">
                  <w:pPr>
                    <w:pStyle w:val="TableUnitsRow"/>
                    <w:ind w:right="28"/>
                  </w:pPr>
                  <w:r>
                    <w:t>$</w:t>
                  </w:r>
                </w:p>
              </w:tc>
              <w:tc>
                <w:tcPr>
                  <w:tcW w:w="714" w:type="pct"/>
                  <w:tcBorders>
                    <w:bottom w:val="single" w:sz="6" w:space="0" w:color="C8C8C8"/>
                  </w:tcBorders>
                </w:tcPr>
                <w:p w:rsidR="00381DF8" w:rsidRDefault="00381DF8" w:rsidP="005E3639">
                  <w:pPr>
                    <w:pStyle w:val="TableUnitsRow"/>
                    <w:ind w:right="28"/>
                  </w:pPr>
                </w:p>
              </w:tc>
            </w:tr>
            <w:tr w:rsidR="00381DF8" w:rsidTr="005E3639">
              <w:tc>
                <w:tcPr>
                  <w:tcW w:w="715" w:type="pct"/>
                  <w:tcBorders>
                    <w:bottom w:val="single" w:sz="6" w:space="0" w:color="C8C8C8"/>
                  </w:tcBorders>
                  <w:shd w:val="clear" w:color="auto" w:fill="auto"/>
                </w:tcPr>
                <w:p w:rsidR="00381DF8" w:rsidRDefault="00381DF8" w:rsidP="005E3639">
                  <w:pPr>
                    <w:pStyle w:val="TableBodyText"/>
                    <w:jc w:val="left"/>
                  </w:pPr>
                  <w:r>
                    <w:t>Couple</w:t>
                  </w:r>
                </w:p>
              </w:tc>
              <w:tc>
                <w:tcPr>
                  <w:tcW w:w="715" w:type="pct"/>
                  <w:tcBorders>
                    <w:bottom w:val="single" w:sz="6" w:space="0" w:color="C8C8C8"/>
                  </w:tcBorders>
                  <w:shd w:val="clear" w:color="auto" w:fill="auto"/>
                </w:tcPr>
                <w:p w:rsidR="00381DF8" w:rsidRDefault="00381DF8" w:rsidP="005E3639">
                  <w:pPr>
                    <w:pStyle w:val="TableBodyText"/>
                  </w:pPr>
                  <w:r>
                    <w:t xml:space="preserve">1 </w:t>
                  </w:r>
                </w:p>
                <w:p w:rsidR="00381DF8" w:rsidRDefault="00381DF8" w:rsidP="005E3639">
                  <w:pPr>
                    <w:pStyle w:val="TableBodyText"/>
                  </w:pPr>
                  <w:r>
                    <w:t>(3)</w:t>
                  </w:r>
                </w:p>
              </w:tc>
              <w:tc>
                <w:tcPr>
                  <w:tcW w:w="714" w:type="pct"/>
                  <w:tcBorders>
                    <w:bottom w:val="single" w:sz="6" w:space="0" w:color="C8C8C8"/>
                  </w:tcBorders>
                  <w:shd w:val="clear" w:color="auto" w:fill="auto"/>
                </w:tcPr>
                <w:p w:rsidR="00381DF8" w:rsidRDefault="00381DF8" w:rsidP="005E3639">
                  <w:pPr>
                    <w:pStyle w:val="TableBodyText"/>
                  </w:pPr>
                  <w:r>
                    <w:t>LDC</w:t>
                  </w:r>
                </w:p>
              </w:tc>
              <w:tc>
                <w:tcPr>
                  <w:tcW w:w="714" w:type="pct"/>
                  <w:tcBorders>
                    <w:bottom w:val="single" w:sz="6" w:space="0" w:color="C8C8C8"/>
                  </w:tcBorders>
                </w:tcPr>
                <w:p w:rsidR="00381DF8" w:rsidRDefault="00381DF8" w:rsidP="005E3639">
                  <w:pPr>
                    <w:pStyle w:val="TableBodyText"/>
                  </w:pPr>
                  <w:r>
                    <w:t>$7.46</w:t>
                  </w:r>
                </w:p>
              </w:tc>
              <w:tc>
                <w:tcPr>
                  <w:tcW w:w="714" w:type="pct"/>
                  <w:tcBorders>
                    <w:bottom w:val="single" w:sz="6" w:space="0" w:color="C8C8C8"/>
                  </w:tcBorders>
                </w:tcPr>
                <w:p w:rsidR="00381DF8" w:rsidRDefault="00381DF8" w:rsidP="005E3639">
                  <w:pPr>
                    <w:pStyle w:val="TableBodyText"/>
                  </w:pPr>
                  <w:r>
                    <w:t>$42</w:t>
                  </w:r>
                </w:p>
              </w:tc>
              <w:tc>
                <w:tcPr>
                  <w:tcW w:w="714" w:type="pct"/>
                  <w:tcBorders>
                    <w:bottom w:val="single" w:sz="6" w:space="0" w:color="C8C8C8"/>
                  </w:tcBorders>
                </w:tcPr>
                <w:p w:rsidR="00381DF8" w:rsidRDefault="00381DF8" w:rsidP="005E3639">
                  <w:pPr>
                    <w:pStyle w:val="TableBodyText"/>
                  </w:pPr>
                  <w:r>
                    <w:t xml:space="preserve">$70 000 </w:t>
                  </w:r>
                </w:p>
              </w:tc>
              <w:tc>
                <w:tcPr>
                  <w:tcW w:w="714" w:type="pct"/>
                  <w:tcBorders>
                    <w:bottom w:val="single" w:sz="6" w:space="0" w:color="C8C8C8"/>
                  </w:tcBorders>
                </w:tcPr>
                <w:p w:rsidR="00381DF8" w:rsidRDefault="00381DF8" w:rsidP="005E3639">
                  <w:pPr>
                    <w:pStyle w:val="TableBodyText"/>
                  </w:pPr>
                  <w:r>
                    <w:t>Mother has a HELP debt</w:t>
                  </w:r>
                </w:p>
              </w:tc>
            </w:tr>
          </w:tbl>
          <w:p w:rsidR="00381DF8" w:rsidRDefault="00381DF8" w:rsidP="00EF0EA9">
            <w:pPr>
              <w:pStyle w:val="Box"/>
              <w:spacing w:before="0" w:line="120" w:lineRule="atLeast"/>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5F1DAE" w:rsidTr="00A8063A">
              <w:trPr>
                <w:trHeight w:val="140"/>
              </w:trPr>
              <w:tc>
                <w:tcPr>
                  <w:tcW w:w="5000" w:type="pct"/>
                  <w:gridSpan w:val="2"/>
                  <w:tcBorders>
                    <w:top w:val="nil"/>
                    <w:bottom w:val="nil"/>
                  </w:tcBorders>
                </w:tcPr>
                <w:p w:rsidR="005F1DAE" w:rsidRPr="008709BF" w:rsidRDefault="005F1DAE" w:rsidP="00A8063A">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5F1DAE" w:rsidTr="00A8063A">
              <w:trPr>
                <w:trHeight w:val="140"/>
              </w:trPr>
              <w:tc>
                <w:tcPr>
                  <w:tcW w:w="2500" w:type="pct"/>
                  <w:tcBorders>
                    <w:top w:val="nil"/>
                    <w:bottom w:val="nil"/>
                  </w:tcBorders>
                </w:tcPr>
                <w:p w:rsidR="005F1DAE" w:rsidRDefault="005F1DAE" w:rsidP="00A8063A">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5F1DAE" w:rsidRDefault="005F1DAE" w:rsidP="00A8063A">
                  <w:pPr>
                    <w:pStyle w:val="Figure"/>
                    <w:spacing w:before="60" w:after="60"/>
                    <w:rPr>
                      <w:noProof/>
                    </w:rPr>
                  </w:pPr>
                  <w:r>
                    <w:rPr>
                      <w:rFonts w:ascii="Arial" w:hAnsi="Arial" w:cs="Arial"/>
                      <w:i/>
                      <w:sz w:val="20"/>
                    </w:rPr>
                    <w:t>Recommended reform</w:t>
                  </w:r>
                </w:p>
              </w:tc>
            </w:tr>
            <w:tr w:rsidR="00381DF8" w:rsidTr="008709BF">
              <w:trPr>
                <w:trHeight w:val="140"/>
              </w:trPr>
              <w:tc>
                <w:tcPr>
                  <w:tcW w:w="2500" w:type="pct"/>
                  <w:tcBorders>
                    <w:top w:val="nil"/>
                    <w:bottom w:val="nil"/>
                  </w:tcBorders>
                </w:tcPr>
                <w:p w:rsidR="00381DF8" w:rsidRDefault="00381AB5" w:rsidP="005E3639">
                  <w:pPr>
                    <w:pStyle w:val="Figure"/>
                    <w:spacing w:before="60" w:after="60"/>
                    <w:rPr>
                      <w:noProof/>
                    </w:rPr>
                  </w:pPr>
                  <w:r>
                    <w:rPr>
                      <w:noProof/>
                    </w:rPr>
                    <w:drawing>
                      <wp:inline distT="0" distB="0" distL="0" distR="0" wp14:anchorId="42B244D0" wp14:editId="4C06B5E2">
                        <wp:extent cx="2501900" cy="2070100"/>
                        <wp:effectExtent l="0" t="0" r="0" b="0"/>
                        <wp:docPr id="14" name="Picture 14" descr="Indicates the effective marginal tax rates that our six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c>
                <w:tcPr>
                  <w:tcW w:w="2500" w:type="pct"/>
                  <w:tcBorders>
                    <w:top w:val="nil"/>
                    <w:bottom w:val="nil"/>
                  </w:tcBorders>
                </w:tcPr>
                <w:p w:rsidR="00381DF8" w:rsidRDefault="00381AB5" w:rsidP="005E3639">
                  <w:pPr>
                    <w:pStyle w:val="Figure"/>
                    <w:spacing w:before="60" w:after="60"/>
                    <w:rPr>
                      <w:noProof/>
                    </w:rPr>
                  </w:pPr>
                  <w:r>
                    <w:rPr>
                      <w:noProof/>
                    </w:rPr>
                    <w:drawing>
                      <wp:inline distT="0" distB="0" distL="0" distR="0" wp14:anchorId="387C732C" wp14:editId="195B312F">
                        <wp:extent cx="2501900" cy="2070100"/>
                        <wp:effectExtent l="0" t="0" r="0" b="0"/>
                        <wp:docPr id="15" name="Picture 15" descr="Indicates the effective marginal tax rates that our six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r>
            <w:tr w:rsidR="00381DF8" w:rsidTr="008709BF">
              <w:trPr>
                <w:trHeight w:val="140"/>
              </w:trPr>
              <w:tc>
                <w:tcPr>
                  <w:tcW w:w="5000" w:type="pct"/>
                  <w:gridSpan w:val="2"/>
                  <w:tcBorders>
                    <w:top w:val="nil"/>
                    <w:bottom w:val="nil"/>
                  </w:tcBorders>
                </w:tcPr>
                <w:p w:rsidR="00381DF8" w:rsidRDefault="002011A6" w:rsidP="005E3639">
                  <w:pPr>
                    <w:pStyle w:val="Figure"/>
                    <w:spacing w:before="60" w:after="60"/>
                    <w:rPr>
                      <w:noProof/>
                    </w:rPr>
                  </w:pPr>
                  <w:r>
                    <w:rPr>
                      <w:noProof/>
                    </w:rPr>
                    <w:pict>
                      <v:shape id="_x0000_i1030" type="#_x0000_t75" alt="Legend for graphs" style="width:398.25pt;height:39pt">
                        <v:imagedata r:id="rId38" o:title=""/>
                      </v:shape>
                    </w:pict>
                  </w:r>
                </w:p>
              </w:tc>
            </w:tr>
          </w:tbl>
          <w:p w:rsidR="00381DF8" w:rsidRDefault="00381DF8" w:rsidP="005E3639">
            <w:pPr>
              <w:pStyle w:val="Box"/>
            </w:pPr>
          </w:p>
        </w:tc>
      </w:tr>
      <w:tr w:rsidR="00381DF8" w:rsidTr="005E3639">
        <w:trPr>
          <w:cantSplit/>
        </w:trPr>
        <w:tc>
          <w:tcPr>
            <w:tcW w:w="8771" w:type="dxa"/>
            <w:tcBorders>
              <w:top w:val="nil"/>
              <w:left w:val="nil"/>
              <w:bottom w:val="nil"/>
              <w:right w:val="nil"/>
            </w:tcBorders>
            <w:shd w:val="clear" w:color="auto" w:fill="F2F2F2"/>
          </w:tcPr>
          <w:p w:rsidR="00381DF8" w:rsidRDefault="00381DF8" w:rsidP="005E3639">
            <w:pPr>
              <w:pStyle w:val="BoxSource"/>
            </w:pPr>
            <w:r>
              <w:rPr>
                <w:i/>
              </w:rPr>
              <w:t>Source</w:t>
            </w:r>
            <w:r w:rsidRPr="00167F06">
              <w:t xml:space="preserve">: </w:t>
            </w:r>
            <w:r>
              <w:t>Productivity Commission calculations.</w:t>
            </w:r>
          </w:p>
        </w:tc>
      </w:tr>
      <w:tr w:rsidR="00381DF8" w:rsidTr="005E3639">
        <w:trPr>
          <w:cantSplit/>
        </w:trPr>
        <w:tc>
          <w:tcPr>
            <w:tcW w:w="8771" w:type="dxa"/>
            <w:tcBorders>
              <w:top w:val="nil"/>
              <w:left w:val="nil"/>
              <w:bottom w:val="single" w:sz="6" w:space="0" w:color="78A22F"/>
              <w:right w:val="nil"/>
            </w:tcBorders>
            <w:shd w:val="clear" w:color="auto" w:fill="F2F2F2"/>
          </w:tcPr>
          <w:p w:rsidR="00381DF8" w:rsidRDefault="00381DF8">
            <w:pPr>
              <w:pStyle w:val="Box"/>
              <w:spacing w:before="0" w:line="120" w:lineRule="exact"/>
            </w:pPr>
          </w:p>
        </w:tc>
      </w:tr>
      <w:tr w:rsidR="00381DF8" w:rsidRPr="000863A5" w:rsidTr="005E3639">
        <w:tc>
          <w:tcPr>
            <w:tcW w:w="8771" w:type="dxa"/>
            <w:tcBorders>
              <w:top w:val="single" w:sz="6" w:space="0" w:color="78A22F"/>
              <w:left w:val="nil"/>
              <w:bottom w:val="nil"/>
              <w:right w:val="nil"/>
            </w:tcBorders>
          </w:tcPr>
          <w:p w:rsidR="00381DF8" w:rsidRPr="00626D32" w:rsidRDefault="00381DF8" w:rsidP="005E3639">
            <w:pPr>
              <w:pStyle w:val="BoxSpaceBelow"/>
            </w:pPr>
          </w:p>
        </w:tc>
      </w:tr>
    </w:tbl>
    <w:p w:rsidR="005316B5" w:rsidRDefault="005316B5" w:rsidP="005316B5">
      <w:pPr>
        <w:pStyle w:val="Heading3"/>
      </w:pPr>
      <w:r>
        <w:t>Cameo 7</w:t>
      </w:r>
    </w:p>
    <w:p w:rsidR="005316B5" w:rsidRDefault="005316B5" w:rsidP="005316B5">
      <w:pPr>
        <w:pStyle w:val="BodyText"/>
        <w:spacing w:before="200"/>
      </w:pPr>
      <w:r>
        <w:t>Cameo 7 consists of a couple family with two school age children, both of who attend outside school hours care. For the purposes of the cameo, we have assumed that this family does not need to use OSHC services until the mother works more than 30 hours per week. This is because, for families which only have school age children, we assume that the mother has sufficient flexibility in her working arrangements to work during school hours — so long as the mother works less than 30 hours a week.</w:t>
      </w:r>
    </w:p>
    <w:p w:rsidR="005316B5" w:rsidRDefault="005316B5" w:rsidP="005316B5">
      <w:pPr>
        <w:pStyle w:val="BodyText"/>
        <w:spacing w:before="200"/>
      </w:pPr>
      <w:r>
        <w:t xml:space="preserve">For consistency with other cameos, this pattern of work hours — of working up to 6 hours a day spread throughout the week — has been represented as an equivalent number of ‘standard work days’ (based on a full time work week of 38 hours assumed for other </w:t>
      </w:r>
      <w:r>
        <w:lastRenderedPageBreak/>
        <w:t>cameos).</w:t>
      </w:r>
      <w:r w:rsidRPr="00502684">
        <w:t xml:space="preserve"> </w:t>
      </w:r>
      <w:r>
        <w:t>The profile of this mother’s EMTRs under current policy settings (assuming a wage</w:t>
      </w:r>
      <w:r w:rsidRPr="00D625C5">
        <w:t xml:space="preserve"> </w:t>
      </w:r>
      <w:r>
        <w:t>rate of $42 per hour) is shown in box E.9.</w:t>
      </w:r>
    </w:p>
    <w:p w:rsidR="00404569" w:rsidRDefault="00404569" w:rsidP="00404569">
      <w:pPr>
        <w:pStyle w:val="BodyText"/>
        <w:spacing w:before="200"/>
      </w:pPr>
      <w:r>
        <w:t>If this mother is working 30 hours per week, we assume that she works five days a week for six hours a day, avoiding the need for outside school hours care. For the purpose of comparing with other cameos, we have represented this as 3 ‘full time’ days per week.</w:t>
      </w:r>
    </w:p>
    <w:p w:rsidR="00404569" w:rsidRDefault="00404569" w:rsidP="00404569">
      <w:pPr>
        <w:pStyle w:val="BodyText"/>
        <w:spacing w:before="200"/>
      </w:pPr>
      <w:r>
        <w:t>Childcare only has a small influence on the EMTR’s of this mother, owing to:</w:t>
      </w:r>
    </w:p>
    <w:p w:rsidR="00404569" w:rsidRDefault="00404569" w:rsidP="00404569">
      <w:pPr>
        <w:pStyle w:val="ListBullet"/>
        <w:spacing w:before="100"/>
      </w:pPr>
      <w:r>
        <w:t>childcare only being required after three days of work</w:t>
      </w:r>
    </w:p>
    <w:p w:rsidR="00404569" w:rsidRDefault="00404569" w:rsidP="00404569">
      <w:pPr>
        <w:pStyle w:val="ListBullet"/>
        <w:spacing w:before="100"/>
      </w:pPr>
      <w:r>
        <w:t>this family only requiring a very low amount of childcare a week</w:t>
      </w:r>
    </w:p>
    <w:p w:rsidR="00404569" w:rsidRDefault="00404569" w:rsidP="00404569">
      <w:pPr>
        <w:pStyle w:val="ListBullet"/>
        <w:spacing w:before="100"/>
      </w:pPr>
      <w:r>
        <w:t xml:space="preserve">the hourly cost of childcare for this family is low compared to other cameos. </w:t>
      </w:r>
    </w:p>
    <w:p w:rsidR="00404569" w:rsidRDefault="00404569" w:rsidP="00404569">
      <w:pPr>
        <w:pStyle w:val="BodyText"/>
      </w:pPr>
      <w:r>
        <w:t>As a result, under the Commission’s recommended reforms, the EMTR profile of the mother is slightly lower than under current policies (box E.9).</w:t>
      </w:r>
    </w:p>
    <w:p w:rsidR="005316B5" w:rsidRDefault="005316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316B5" w:rsidTr="005E3639">
        <w:tc>
          <w:tcPr>
            <w:tcW w:w="8771" w:type="dxa"/>
            <w:tcBorders>
              <w:top w:val="single" w:sz="6" w:space="0" w:color="78A22F"/>
              <w:left w:val="nil"/>
              <w:bottom w:val="nil"/>
              <w:right w:val="nil"/>
            </w:tcBorders>
            <w:shd w:val="clear" w:color="auto" w:fill="F2F2F2"/>
          </w:tcPr>
          <w:p w:rsidR="005316B5" w:rsidRDefault="005316B5" w:rsidP="005316B5">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9</w:t>
            </w:r>
            <w:r>
              <w:rPr>
                <w:b w:val="0"/>
              </w:rPr>
              <w:fldChar w:fldCharType="end"/>
            </w:r>
            <w:r>
              <w:tab/>
              <w:t>Cameo 7</w:t>
            </w:r>
          </w:p>
        </w:tc>
      </w:tr>
      <w:tr w:rsidR="005316B5" w:rsidTr="005E3639">
        <w:trPr>
          <w:cantSplit/>
        </w:trPr>
        <w:tc>
          <w:tcPr>
            <w:tcW w:w="8771" w:type="dxa"/>
            <w:tcBorders>
              <w:top w:val="nil"/>
              <w:left w:val="nil"/>
              <w:bottom w:val="nil"/>
              <w:right w:val="nil"/>
            </w:tcBorders>
            <w:shd w:val="clear" w:color="auto" w:fill="F2F2F2"/>
          </w:tcPr>
          <w:p w:rsidR="005316B5" w:rsidRPr="00A8579B" w:rsidRDefault="005316B5"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5316B5" w:rsidTr="005F1DAE">
              <w:tc>
                <w:tcPr>
                  <w:tcW w:w="715" w:type="pct"/>
                  <w:tcBorders>
                    <w:top w:val="single" w:sz="6" w:space="0" w:color="C8C8C8"/>
                    <w:bottom w:val="single" w:sz="6" w:space="0" w:color="C8C8C8"/>
                  </w:tcBorders>
                  <w:shd w:val="clear" w:color="auto" w:fill="auto"/>
                  <w:tcMar>
                    <w:top w:w="28" w:type="dxa"/>
                  </w:tcMar>
                  <w:vAlign w:val="bottom"/>
                </w:tcPr>
                <w:p w:rsidR="005316B5" w:rsidRDefault="005316B5"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5316B5" w:rsidRDefault="005316B5"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5316B5" w:rsidRDefault="005316B5"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ECEC fees</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Other factors</w:t>
                  </w:r>
                </w:p>
              </w:tc>
            </w:tr>
            <w:tr w:rsidR="005316B5" w:rsidTr="005F1DAE">
              <w:tc>
                <w:tcPr>
                  <w:tcW w:w="715" w:type="pct"/>
                  <w:tcBorders>
                    <w:bottom w:val="single" w:sz="6" w:space="0" w:color="C8C8C8"/>
                  </w:tcBorders>
                  <w:shd w:val="clear" w:color="auto" w:fill="auto"/>
                </w:tcPr>
                <w:p w:rsidR="005316B5" w:rsidRDefault="005316B5" w:rsidP="005E3639">
                  <w:pPr>
                    <w:pStyle w:val="TableUnitsRow"/>
                    <w:jc w:val="left"/>
                  </w:pPr>
                </w:p>
              </w:tc>
              <w:tc>
                <w:tcPr>
                  <w:tcW w:w="715" w:type="pct"/>
                  <w:tcBorders>
                    <w:bottom w:val="single" w:sz="6" w:space="0" w:color="C8C8C8"/>
                  </w:tcBorders>
                  <w:shd w:val="clear" w:color="auto" w:fill="auto"/>
                </w:tcPr>
                <w:p w:rsidR="005316B5" w:rsidRDefault="005316B5" w:rsidP="005E3639">
                  <w:pPr>
                    <w:pStyle w:val="TableUnitsRow"/>
                  </w:pPr>
                </w:p>
              </w:tc>
              <w:tc>
                <w:tcPr>
                  <w:tcW w:w="714" w:type="pct"/>
                  <w:tcBorders>
                    <w:bottom w:val="single" w:sz="6" w:space="0" w:color="C8C8C8"/>
                  </w:tcBorders>
                  <w:shd w:val="clear" w:color="auto" w:fill="auto"/>
                </w:tcPr>
                <w:p w:rsidR="005316B5" w:rsidRDefault="005316B5" w:rsidP="005E3639">
                  <w:pPr>
                    <w:pStyle w:val="TableUnitsRow"/>
                    <w:ind w:right="28"/>
                  </w:pPr>
                </w:p>
              </w:tc>
              <w:tc>
                <w:tcPr>
                  <w:tcW w:w="714" w:type="pct"/>
                  <w:tcBorders>
                    <w:bottom w:val="single" w:sz="6" w:space="0" w:color="C8C8C8"/>
                  </w:tcBorders>
                </w:tcPr>
                <w:p w:rsidR="005316B5" w:rsidRDefault="005316B5" w:rsidP="005E3639">
                  <w:pPr>
                    <w:pStyle w:val="TableUnitsRow"/>
                    <w:ind w:right="28"/>
                  </w:pPr>
                  <w:r>
                    <w:t>$/hour/child</w:t>
                  </w:r>
                </w:p>
              </w:tc>
              <w:tc>
                <w:tcPr>
                  <w:tcW w:w="714" w:type="pct"/>
                  <w:tcBorders>
                    <w:bottom w:val="single" w:sz="6" w:space="0" w:color="C8C8C8"/>
                  </w:tcBorders>
                </w:tcPr>
                <w:p w:rsidR="005316B5" w:rsidRDefault="005316B5" w:rsidP="005E3639">
                  <w:pPr>
                    <w:pStyle w:val="TableUnitsRow"/>
                    <w:ind w:right="28"/>
                  </w:pPr>
                  <w:r>
                    <w:t>$/hour</w:t>
                  </w:r>
                </w:p>
              </w:tc>
              <w:tc>
                <w:tcPr>
                  <w:tcW w:w="714" w:type="pct"/>
                  <w:tcBorders>
                    <w:bottom w:val="single" w:sz="6" w:space="0" w:color="C8C8C8"/>
                  </w:tcBorders>
                </w:tcPr>
                <w:p w:rsidR="005316B5" w:rsidRDefault="005316B5" w:rsidP="005E3639">
                  <w:pPr>
                    <w:pStyle w:val="TableUnitsRow"/>
                    <w:ind w:right="28"/>
                  </w:pPr>
                  <w:r>
                    <w:t>$</w:t>
                  </w:r>
                </w:p>
              </w:tc>
              <w:tc>
                <w:tcPr>
                  <w:tcW w:w="714" w:type="pct"/>
                  <w:tcBorders>
                    <w:bottom w:val="single" w:sz="6" w:space="0" w:color="C8C8C8"/>
                  </w:tcBorders>
                </w:tcPr>
                <w:p w:rsidR="005316B5" w:rsidRDefault="005316B5" w:rsidP="005E3639">
                  <w:pPr>
                    <w:pStyle w:val="TableUnitsRow"/>
                    <w:ind w:right="28"/>
                  </w:pPr>
                </w:p>
              </w:tc>
            </w:tr>
            <w:tr w:rsidR="005316B5" w:rsidTr="005F1DAE">
              <w:tc>
                <w:tcPr>
                  <w:tcW w:w="715" w:type="pct"/>
                  <w:tcBorders>
                    <w:bottom w:val="single" w:sz="6" w:space="0" w:color="C8C8C8"/>
                  </w:tcBorders>
                  <w:shd w:val="clear" w:color="auto" w:fill="auto"/>
                </w:tcPr>
                <w:p w:rsidR="005316B5" w:rsidRDefault="005316B5" w:rsidP="005E3639">
                  <w:pPr>
                    <w:pStyle w:val="TableBodyText"/>
                    <w:jc w:val="left"/>
                  </w:pPr>
                  <w:r>
                    <w:t>Couple</w:t>
                  </w:r>
                </w:p>
              </w:tc>
              <w:tc>
                <w:tcPr>
                  <w:tcW w:w="715" w:type="pct"/>
                  <w:tcBorders>
                    <w:bottom w:val="single" w:sz="6" w:space="0" w:color="C8C8C8"/>
                  </w:tcBorders>
                  <w:shd w:val="clear" w:color="auto" w:fill="auto"/>
                </w:tcPr>
                <w:p w:rsidR="005316B5" w:rsidRDefault="005316B5" w:rsidP="005E3639">
                  <w:pPr>
                    <w:pStyle w:val="TableBodyText"/>
                  </w:pPr>
                  <w:r>
                    <w:t xml:space="preserve">2 </w:t>
                  </w:r>
                </w:p>
                <w:p w:rsidR="005316B5" w:rsidRDefault="005316B5" w:rsidP="005E3639">
                  <w:pPr>
                    <w:pStyle w:val="TableBodyText"/>
                  </w:pPr>
                  <w:r>
                    <w:t>(6 and 8)</w:t>
                  </w:r>
                </w:p>
              </w:tc>
              <w:tc>
                <w:tcPr>
                  <w:tcW w:w="714" w:type="pct"/>
                  <w:tcBorders>
                    <w:bottom w:val="single" w:sz="6" w:space="0" w:color="C8C8C8"/>
                  </w:tcBorders>
                  <w:shd w:val="clear" w:color="auto" w:fill="auto"/>
                </w:tcPr>
                <w:p w:rsidR="005316B5" w:rsidRDefault="005316B5" w:rsidP="005E3639">
                  <w:pPr>
                    <w:pStyle w:val="TableBodyText"/>
                  </w:pPr>
                  <w:r>
                    <w:t>OSHC</w:t>
                  </w:r>
                </w:p>
              </w:tc>
              <w:tc>
                <w:tcPr>
                  <w:tcW w:w="714" w:type="pct"/>
                  <w:tcBorders>
                    <w:bottom w:val="single" w:sz="6" w:space="0" w:color="C8C8C8"/>
                  </w:tcBorders>
                </w:tcPr>
                <w:p w:rsidR="005316B5" w:rsidRDefault="005316B5" w:rsidP="005E3639">
                  <w:pPr>
                    <w:pStyle w:val="TableBodyText"/>
                  </w:pPr>
                  <w:r>
                    <w:t>$5</w:t>
                  </w:r>
                </w:p>
              </w:tc>
              <w:tc>
                <w:tcPr>
                  <w:tcW w:w="714" w:type="pct"/>
                  <w:tcBorders>
                    <w:bottom w:val="single" w:sz="6" w:space="0" w:color="C8C8C8"/>
                  </w:tcBorders>
                </w:tcPr>
                <w:p w:rsidR="005316B5" w:rsidRDefault="005316B5" w:rsidP="005E3639">
                  <w:pPr>
                    <w:pStyle w:val="TableBodyText"/>
                  </w:pPr>
                  <w:r>
                    <w:t>$42</w:t>
                  </w:r>
                </w:p>
              </w:tc>
              <w:tc>
                <w:tcPr>
                  <w:tcW w:w="714" w:type="pct"/>
                  <w:tcBorders>
                    <w:bottom w:val="single" w:sz="6" w:space="0" w:color="C8C8C8"/>
                  </w:tcBorders>
                </w:tcPr>
                <w:p w:rsidR="005316B5" w:rsidRDefault="005316B5" w:rsidP="005E3639">
                  <w:pPr>
                    <w:pStyle w:val="TableBodyText"/>
                  </w:pPr>
                  <w:r>
                    <w:t xml:space="preserve">$70 000 </w:t>
                  </w:r>
                </w:p>
              </w:tc>
              <w:tc>
                <w:tcPr>
                  <w:tcW w:w="714" w:type="pct"/>
                  <w:tcBorders>
                    <w:bottom w:val="single" w:sz="6" w:space="0" w:color="C8C8C8"/>
                  </w:tcBorders>
                </w:tcPr>
                <w:p w:rsidR="005316B5" w:rsidRDefault="005316B5" w:rsidP="005E3639">
                  <w:pPr>
                    <w:pStyle w:val="TableBodyText"/>
                  </w:pPr>
                  <w:r>
                    <w:t>none</w:t>
                  </w:r>
                </w:p>
              </w:tc>
            </w:tr>
          </w:tbl>
          <w:p w:rsidR="005F1DAE" w:rsidRPr="005F1DAE" w:rsidRDefault="005F1DAE" w:rsidP="005F1DAE">
            <w:pPr>
              <w:pStyle w:val="Box"/>
              <w:spacing w:before="0"/>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5F1DAE" w:rsidTr="005F1DAE">
              <w:trPr>
                <w:trHeight w:val="140"/>
              </w:trPr>
              <w:tc>
                <w:tcPr>
                  <w:tcW w:w="5000" w:type="pct"/>
                  <w:gridSpan w:val="2"/>
                  <w:tcBorders>
                    <w:top w:val="nil"/>
                    <w:bottom w:val="nil"/>
                  </w:tcBorders>
                </w:tcPr>
                <w:p w:rsidR="005F1DAE" w:rsidRPr="008709BF" w:rsidRDefault="005F1DAE" w:rsidP="00A8063A">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5F1DAE" w:rsidTr="005F1DAE">
              <w:trPr>
                <w:trHeight w:val="140"/>
              </w:trPr>
              <w:tc>
                <w:tcPr>
                  <w:tcW w:w="2500" w:type="pct"/>
                  <w:tcBorders>
                    <w:top w:val="nil"/>
                    <w:bottom w:val="nil"/>
                  </w:tcBorders>
                </w:tcPr>
                <w:p w:rsidR="005F1DAE" w:rsidRDefault="005F1DAE" w:rsidP="00A8063A">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5F1DAE" w:rsidRDefault="005F1DAE" w:rsidP="00A8063A">
                  <w:pPr>
                    <w:pStyle w:val="Figure"/>
                    <w:spacing w:before="60" w:after="60"/>
                    <w:rPr>
                      <w:noProof/>
                    </w:rPr>
                  </w:pPr>
                  <w:r>
                    <w:rPr>
                      <w:rFonts w:ascii="Arial" w:hAnsi="Arial" w:cs="Arial"/>
                      <w:i/>
                      <w:sz w:val="20"/>
                    </w:rPr>
                    <w:t>Recommended reform</w:t>
                  </w:r>
                </w:p>
              </w:tc>
            </w:tr>
            <w:tr w:rsidR="005316B5" w:rsidTr="005F1DAE">
              <w:trPr>
                <w:trHeight w:val="140"/>
              </w:trPr>
              <w:tc>
                <w:tcPr>
                  <w:tcW w:w="2500" w:type="pct"/>
                  <w:tcBorders>
                    <w:top w:val="nil"/>
                    <w:bottom w:val="nil"/>
                  </w:tcBorders>
                </w:tcPr>
                <w:p w:rsidR="005316B5" w:rsidRDefault="00381AB5" w:rsidP="005E3639">
                  <w:pPr>
                    <w:pStyle w:val="Figure"/>
                    <w:spacing w:before="60" w:after="60"/>
                    <w:rPr>
                      <w:noProof/>
                    </w:rPr>
                  </w:pPr>
                  <w:r>
                    <w:rPr>
                      <w:noProof/>
                    </w:rPr>
                    <w:drawing>
                      <wp:inline distT="0" distB="0" distL="0" distR="0" wp14:anchorId="5A7A9584" wp14:editId="2BC6C0B2">
                        <wp:extent cx="2501900" cy="2070100"/>
                        <wp:effectExtent l="0" t="0" r="0" b="0"/>
                        <wp:docPr id="16" name="Picture 16" descr="Indicates the effective marginal tax rates that our seven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c>
                <w:tcPr>
                  <w:tcW w:w="2500" w:type="pct"/>
                  <w:tcBorders>
                    <w:top w:val="nil"/>
                    <w:bottom w:val="nil"/>
                  </w:tcBorders>
                </w:tcPr>
                <w:p w:rsidR="005316B5" w:rsidRDefault="00381AB5" w:rsidP="005E3639">
                  <w:pPr>
                    <w:pStyle w:val="Figure"/>
                    <w:spacing w:before="60" w:after="60"/>
                    <w:rPr>
                      <w:noProof/>
                    </w:rPr>
                  </w:pPr>
                  <w:r>
                    <w:rPr>
                      <w:noProof/>
                    </w:rPr>
                    <w:drawing>
                      <wp:inline distT="0" distB="0" distL="0" distR="0" wp14:anchorId="02DB3B0B" wp14:editId="2F74C853">
                        <wp:extent cx="2501900" cy="2070100"/>
                        <wp:effectExtent l="0" t="0" r="0" b="0"/>
                        <wp:docPr id="17" name="Picture 17" descr="Indicates the effective marginal tax rates that our seven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r>
            <w:tr w:rsidR="005316B5" w:rsidTr="005F1DAE">
              <w:trPr>
                <w:trHeight w:val="140"/>
              </w:trPr>
              <w:tc>
                <w:tcPr>
                  <w:tcW w:w="5000" w:type="pct"/>
                  <w:gridSpan w:val="2"/>
                  <w:tcBorders>
                    <w:top w:val="nil"/>
                    <w:bottom w:val="nil"/>
                  </w:tcBorders>
                </w:tcPr>
                <w:p w:rsidR="005316B5" w:rsidRDefault="002011A6" w:rsidP="005E3639">
                  <w:pPr>
                    <w:pStyle w:val="Figure"/>
                    <w:spacing w:before="60" w:after="60"/>
                    <w:rPr>
                      <w:noProof/>
                    </w:rPr>
                  </w:pPr>
                  <w:r>
                    <w:rPr>
                      <w:noProof/>
                    </w:rPr>
                    <w:pict>
                      <v:shape id="_x0000_i1031" type="#_x0000_t75" alt="Legend for graphs" style="width:398.25pt;height:38.25pt">
                        <v:imagedata r:id="rId41" o:title=""/>
                      </v:shape>
                    </w:pict>
                  </w:r>
                </w:p>
              </w:tc>
            </w:tr>
          </w:tbl>
          <w:p w:rsidR="005316B5" w:rsidRDefault="005316B5" w:rsidP="005E3639">
            <w:pPr>
              <w:pStyle w:val="Box"/>
            </w:pPr>
          </w:p>
        </w:tc>
      </w:tr>
      <w:tr w:rsidR="005316B5" w:rsidTr="005E3639">
        <w:trPr>
          <w:cantSplit/>
        </w:trPr>
        <w:tc>
          <w:tcPr>
            <w:tcW w:w="8771" w:type="dxa"/>
            <w:tcBorders>
              <w:top w:val="nil"/>
              <w:left w:val="nil"/>
              <w:bottom w:val="nil"/>
              <w:right w:val="nil"/>
            </w:tcBorders>
            <w:shd w:val="clear" w:color="auto" w:fill="F2F2F2"/>
          </w:tcPr>
          <w:p w:rsidR="005316B5" w:rsidRDefault="005316B5" w:rsidP="005316B5">
            <w:pPr>
              <w:pStyle w:val="BoxSource"/>
            </w:pPr>
            <w:r>
              <w:rPr>
                <w:i/>
              </w:rPr>
              <w:t>Source</w:t>
            </w:r>
            <w:r w:rsidRPr="00167F06">
              <w:t xml:space="preserve">: </w:t>
            </w:r>
            <w:r>
              <w:t>Productivity Commission calculations.</w:t>
            </w:r>
          </w:p>
        </w:tc>
      </w:tr>
      <w:tr w:rsidR="005316B5" w:rsidTr="005E3639">
        <w:trPr>
          <w:cantSplit/>
        </w:trPr>
        <w:tc>
          <w:tcPr>
            <w:tcW w:w="8771" w:type="dxa"/>
            <w:tcBorders>
              <w:top w:val="nil"/>
              <w:left w:val="nil"/>
              <w:bottom w:val="single" w:sz="6" w:space="0" w:color="78A22F"/>
              <w:right w:val="nil"/>
            </w:tcBorders>
            <w:shd w:val="clear" w:color="auto" w:fill="F2F2F2"/>
          </w:tcPr>
          <w:p w:rsidR="005316B5" w:rsidRDefault="005316B5">
            <w:pPr>
              <w:pStyle w:val="Box"/>
              <w:spacing w:before="0" w:line="120" w:lineRule="exact"/>
            </w:pPr>
          </w:p>
        </w:tc>
      </w:tr>
      <w:tr w:rsidR="005316B5" w:rsidRPr="000863A5" w:rsidTr="005E3639">
        <w:tc>
          <w:tcPr>
            <w:tcW w:w="8771" w:type="dxa"/>
            <w:tcBorders>
              <w:top w:val="single" w:sz="6" w:space="0" w:color="78A22F"/>
              <w:left w:val="nil"/>
              <w:bottom w:val="nil"/>
              <w:right w:val="nil"/>
            </w:tcBorders>
          </w:tcPr>
          <w:p w:rsidR="005316B5" w:rsidRPr="00626D32" w:rsidRDefault="005316B5" w:rsidP="005E3639">
            <w:pPr>
              <w:pStyle w:val="BoxSpaceBelow"/>
            </w:pPr>
          </w:p>
        </w:tc>
      </w:tr>
    </w:tbl>
    <w:p w:rsidR="005316B5" w:rsidRDefault="005316B5" w:rsidP="005316B5">
      <w:pPr>
        <w:pStyle w:val="Heading3"/>
      </w:pPr>
      <w:r>
        <w:lastRenderedPageBreak/>
        <w:t>Cameo 8</w:t>
      </w:r>
    </w:p>
    <w:p w:rsidR="005316B5" w:rsidRDefault="005316B5" w:rsidP="005316B5">
      <w:pPr>
        <w:pStyle w:val="BodyText"/>
      </w:pPr>
      <w:r>
        <w:t xml:space="preserve">Cameo 8 represents a couple family with two children. This family has access to two days of informal care a week (through friends), with any more than two days of care provided by a LDC. The mother’s wage is assumed to be $26 per hour. The profile of this mother’s EMTRs can be seen in </w:t>
      </w:r>
      <w:r w:rsidR="00E95FDE">
        <w:t>box</w:t>
      </w:r>
      <w:r>
        <w:t xml:space="preserve"> E.</w:t>
      </w:r>
      <w:r w:rsidR="00E95FDE">
        <w:t>10</w:t>
      </w:r>
      <w:r>
        <w:t xml:space="preserve">. </w:t>
      </w:r>
    </w:p>
    <w:p w:rsidR="005316B5" w:rsidRDefault="005316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316B5" w:rsidTr="005E3639">
        <w:tc>
          <w:tcPr>
            <w:tcW w:w="8771" w:type="dxa"/>
            <w:tcBorders>
              <w:top w:val="single" w:sz="6" w:space="0" w:color="78A22F"/>
              <w:left w:val="nil"/>
              <w:bottom w:val="nil"/>
              <w:right w:val="nil"/>
            </w:tcBorders>
            <w:shd w:val="clear" w:color="auto" w:fill="F2F2F2"/>
          </w:tcPr>
          <w:p w:rsidR="005316B5" w:rsidRDefault="005316B5" w:rsidP="005316B5">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10</w:t>
            </w:r>
            <w:r>
              <w:rPr>
                <w:b w:val="0"/>
              </w:rPr>
              <w:fldChar w:fldCharType="end"/>
            </w:r>
            <w:r>
              <w:tab/>
              <w:t>Cameo 8</w:t>
            </w:r>
          </w:p>
        </w:tc>
      </w:tr>
      <w:tr w:rsidR="005316B5" w:rsidTr="005E3639">
        <w:trPr>
          <w:cantSplit/>
        </w:trPr>
        <w:tc>
          <w:tcPr>
            <w:tcW w:w="8771" w:type="dxa"/>
            <w:tcBorders>
              <w:top w:val="nil"/>
              <w:left w:val="nil"/>
              <w:bottom w:val="nil"/>
              <w:right w:val="nil"/>
            </w:tcBorders>
            <w:shd w:val="clear" w:color="auto" w:fill="F2F2F2"/>
          </w:tcPr>
          <w:p w:rsidR="005316B5" w:rsidRPr="00EF0EA9" w:rsidRDefault="005316B5"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5316B5" w:rsidTr="005F1DAE">
              <w:tc>
                <w:tcPr>
                  <w:tcW w:w="715" w:type="pct"/>
                  <w:tcBorders>
                    <w:top w:val="single" w:sz="6" w:space="0" w:color="C8C8C8"/>
                    <w:bottom w:val="single" w:sz="6" w:space="0" w:color="C8C8C8"/>
                  </w:tcBorders>
                  <w:shd w:val="clear" w:color="auto" w:fill="auto"/>
                  <w:tcMar>
                    <w:top w:w="28" w:type="dxa"/>
                  </w:tcMar>
                  <w:vAlign w:val="bottom"/>
                </w:tcPr>
                <w:p w:rsidR="005316B5" w:rsidRDefault="005316B5"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5316B5" w:rsidRDefault="005316B5"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5316B5" w:rsidRDefault="005316B5"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ECEC fees</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5316B5" w:rsidRDefault="005316B5" w:rsidP="00F35A42">
                  <w:pPr>
                    <w:pStyle w:val="TableColumnHeading"/>
                    <w:ind w:right="28"/>
                  </w:pPr>
                  <w:r>
                    <w:t>Other factors</w:t>
                  </w:r>
                </w:p>
              </w:tc>
            </w:tr>
            <w:tr w:rsidR="005316B5" w:rsidTr="005F1DAE">
              <w:tc>
                <w:tcPr>
                  <w:tcW w:w="715" w:type="pct"/>
                  <w:tcBorders>
                    <w:bottom w:val="single" w:sz="6" w:space="0" w:color="C8C8C8"/>
                  </w:tcBorders>
                  <w:shd w:val="clear" w:color="auto" w:fill="auto"/>
                </w:tcPr>
                <w:p w:rsidR="005316B5" w:rsidRDefault="005316B5" w:rsidP="005E3639">
                  <w:pPr>
                    <w:pStyle w:val="TableUnitsRow"/>
                    <w:jc w:val="left"/>
                  </w:pPr>
                </w:p>
              </w:tc>
              <w:tc>
                <w:tcPr>
                  <w:tcW w:w="715" w:type="pct"/>
                  <w:tcBorders>
                    <w:bottom w:val="single" w:sz="6" w:space="0" w:color="C8C8C8"/>
                  </w:tcBorders>
                  <w:shd w:val="clear" w:color="auto" w:fill="auto"/>
                </w:tcPr>
                <w:p w:rsidR="005316B5" w:rsidRDefault="005316B5" w:rsidP="005E3639">
                  <w:pPr>
                    <w:pStyle w:val="TableUnitsRow"/>
                  </w:pPr>
                </w:p>
              </w:tc>
              <w:tc>
                <w:tcPr>
                  <w:tcW w:w="714" w:type="pct"/>
                  <w:tcBorders>
                    <w:bottom w:val="single" w:sz="6" w:space="0" w:color="C8C8C8"/>
                  </w:tcBorders>
                  <w:shd w:val="clear" w:color="auto" w:fill="auto"/>
                </w:tcPr>
                <w:p w:rsidR="005316B5" w:rsidRDefault="005316B5" w:rsidP="005E3639">
                  <w:pPr>
                    <w:pStyle w:val="TableUnitsRow"/>
                    <w:ind w:right="28"/>
                  </w:pPr>
                </w:p>
              </w:tc>
              <w:tc>
                <w:tcPr>
                  <w:tcW w:w="714" w:type="pct"/>
                  <w:tcBorders>
                    <w:bottom w:val="single" w:sz="6" w:space="0" w:color="C8C8C8"/>
                  </w:tcBorders>
                </w:tcPr>
                <w:p w:rsidR="005316B5" w:rsidRDefault="005316B5" w:rsidP="005E3639">
                  <w:pPr>
                    <w:pStyle w:val="TableUnitsRow"/>
                    <w:ind w:right="28"/>
                  </w:pPr>
                  <w:r>
                    <w:t>$/hour/child</w:t>
                  </w:r>
                </w:p>
              </w:tc>
              <w:tc>
                <w:tcPr>
                  <w:tcW w:w="714" w:type="pct"/>
                  <w:tcBorders>
                    <w:bottom w:val="single" w:sz="6" w:space="0" w:color="C8C8C8"/>
                  </w:tcBorders>
                </w:tcPr>
                <w:p w:rsidR="005316B5" w:rsidRDefault="005316B5" w:rsidP="005E3639">
                  <w:pPr>
                    <w:pStyle w:val="TableUnitsRow"/>
                    <w:ind w:right="28"/>
                  </w:pPr>
                  <w:r>
                    <w:t>$/hour</w:t>
                  </w:r>
                </w:p>
              </w:tc>
              <w:tc>
                <w:tcPr>
                  <w:tcW w:w="714" w:type="pct"/>
                  <w:tcBorders>
                    <w:bottom w:val="single" w:sz="6" w:space="0" w:color="C8C8C8"/>
                  </w:tcBorders>
                </w:tcPr>
                <w:p w:rsidR="005316B5" w:rsidRDefault="005316B5" w:rsidP="005E3639">
                  <w:pPr>
                    <w:pStyle w:val="TableUnitsRow"/>
                    <w:ind w:right="28"/>
                  </w:pPr>
                  <w:r>
                    <w:t>$</w:t>
                  </w:r>
                </w:p>
              </w:tc>
              <w:tc>
                <w:tcPr>
                  <w:tcW w:w="714" w:type="pct"/>
                  <w:tcBorders>
                    <w:bottom w:val="single" w:sz="6" w:space="0" w:color="C8C8C8"/>
                  </w:tcBorders>
                </w:tcPr>
                <w:p w:rsidR="005316B5" w:rsidRDefault="005316B5" w:rsidP="005E3639">
                  <w:pPr>
                    <w:pStyle w:val="TableUnitsRow"/>
                    <w:ind w:right="28"/>
                  </w:pPr>
                </w:p>
              </w:tc>
            </w:tr>
            <w:tr w:rsidR="005316B5" w:rsidTr="005F1DAE">
              <w:tc>
                <w:tcPr>
                  <w:tcW w:w="715" w:type="pct"/>
                  <w:tcBorders>
                    <w:bottom w:val="single" w:sz="6" w:space="0" w:color="C8C8C8"/>
                  </w:tcBorders>
                  <w:shd w:val="clear" w:color="auto" w:fill="auto"/>
                </w:tcPr>
                <w:p w:rsidR="005316B5" w:rsidRDefault="005316B5" w:rsidP="005E3639">
                  <w:pPr>
                    <w:pStyle w:val="TableBodyText"/>
                    <w:jc w:val="left"/>
                  </w:pPr>
                  <w:r>
                    <w:t>Couple</w:t>
                  </w:r>
                </w:p>
              </w:tc>
              <w:tc>
                <w:tcPr>
                  <w:tcW w:w="715" w:type="pct"/>
                  <w:tcBorders>
                    <w:bottom w:val="single" w:sz="6" w:space="0" w:color="C8C8C8"/>
                  </w:tcBorders>
                  <w:shd w:val="clear" w:color="auto" w:fill="auto"/>
                </w:tcPr>
                <w:p w:rsidR="005316B5" w:rsidRDefault="005316B5" w:rsidP="005E3639">
                  <w:pPr>
                    <w:pStyle w:val="TableBodyText"/>
                  </w:pPr>
                  <w:r>
                    <w:t xml:space="preserve">2 </w:t>
                  </w:r>
                </w:p>
                <w:p w:rsidR="005316B5" w:rsidRDefault="005316B5" w:rsidP="005E3639">
                  <w:pPr>
                    <w:pStyle w:val="TableBodyText"/>
                  </w:pPr>
                  <w:r>
                    <w:t>(2 and 4)</w:t>
                  </w:r>
                </w:p>
              </w:tc>
              <w:tc>
                <w:tcPr>
                  <w:tcW w:w="714" w:type="pct"/>
                  <w:tcBorders>
                    <w:bottom w:val="single" w:sz="6" w:space="0" w:color="C8C8C8"/>
                  </w:tcBorders>
                  <w:shd w:val="clear" w:color="auto" w:fill="auto"/>
                </w:tcPr>
                <w:p w:rsidR="005316B5" w:rsidRDefault="005316B5" w:rsidP="005E3639">
                  <w:pPr>
                    <w:pStyle w:val="TableBodyText"/>
                  </w:pPr>
                  <w:r>
                    <w:t>Friends (2 days), remainder LDC</w:t>
                  </w:r>
                </w:p>
              </w:tc>
              <w:tc>
                <w:tcPr>
                  <w:tcW w:w="714" w:type="pct"/>
                  <w:tcBorders>
                    <w:bottom w:val="single" w:sz="6" w:space="0" w:color="C8C8C8"/>
                  </w:tcBorders>
                </w:tcPr>
                <w:p w:rsidR="005316B5" w:rsidRDefault="005316B5" w:rsidP="005E3639">
                  <w:pPr>
                    <w:pStyle w:val="TableBodyText"/>
                  </w:pPr>
                  <w:r>
                    <w:t>$7.46 for LDC</w:t>
                  </w:r>
                </w:p>
              </w:tc>
              <w:tc>
                <w:tcPr>
                  <w:tcW w:w="714" w:type="pct"/>
                  <w:tcBorders>
                    <w:bottom w:val="single" w:sz="6" w:space="0" w:color="C8C8C8"/>
                  </w:tcBorders>
                </w:tcPr>
                <w:p w:rsidR="005316B5" w:rsidRDefault="005316B5" w:rsidP="005E3639">
                  <w:pPr>
                    <w:pStyle w:val="TableBodyText"/>
                  </w:pPr>
                  <w:r>
                    <w:t>$26</w:t>
                  </w:r>
                </w:p>
              </w:tc>
              <w:tc>
                <w:tcPr>
                  <w:tcW w:w="714" w:type="pct"/>
                  <w:tcBorders>
                    <w:bottom w:val="single" w:sz="6" w:space="0" w:color="C8C8C8"/>
                  </w:tcBorders>
                </w:tcPr>
                <w:p w:rsidR="005316B5" w:rsidRDefault="005316B5" w:rsidP="005E3639">
                  <w:pPr>
                    <w:pStyle w:val="TableBodyText"/>
                  </w:pPr>
                  <w:r>
                    <w:t xml:space="preserve">$60 000 </w:t>
                  </w:r>
                </w:p>
              </w:tc>
              <w:tc>
                <w:tcPr>
                  <w:tcW w:w="714" w:type="pct"/>
                  <w:tcBorders>
                    <w:bottom w:val="single" w:sz="6" w:space="0" w:color="C8C8C8"/>
                  </w:tcBorders>
                </w:tcPr>
                <w:p w:rsidR="005316B5" w:rsidRDefault="005316B5" w:rsidP="005E3639">
                  <w:pPr>
                    <w:pStyle w:val="TableBodyText"/>
                  </w:pPr>
                  <w:r>
                    <w:t>Using some informal care</w:t>
                  </w:r>
                </w:p>
              </w:tc>
            </w:tr>
          </w:tbl>
          <w:p w:rsidR="005F1DAE" w:rsidRPr="005F1DAE" w:rsidRDefault="005F1DAE" w:rsidP="005F1DAE">
            <w:pPr>
              <w:pStyle w:val="Box"/>
              <w:spacing w:before="0"/>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5F1DAE" w:rsidTr="005F1DAE">
              <w:trPr>
                <w:trHeight w:val="140"/>
              </w:trPr>
              <w:tc>
                <w:tcPr>
                  <w:tcW w:w="5000" w:type="pct"/>
                  <w:gridSpan w:val="2"/>
                  <w:tcBorders>
                    <w:top w:val="nil"/>
                    <w:bottom w:val="nil"/>
                  </w:tcBorders>
                </w:tcPr>
                <w:p w:rsidR="005F1DAE" w:rsidRPr="008709BF" w:rsidRDefault="005F1DAE" w:rsidP="00A8063A">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5F1DAE" w:rsidTr="005F1DAE">
              <w:trPr>
                <w:trHeight w:val="140"/>
              </w:trPr>
              <w:tc>
                <w:tcPr>
                  <w:tcW w:w="2500" w:type="pct"/>
                  <w:tcBorders>
                    <w:top w:val="nil"/>
                    <w:bottom w:val="nil"/>
                  </w:tcBorders>
                </w:tcPr>
                <w:p w:rsidR="005F1DAE" w:rsidRDefault="005F1DAE" w:rsidP="00A8063A">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5F1DAE" w:rsidRDefault="005F1DAE" w:rsidP="00A8063A">
                  <w:pPr>
                    <w:pStyle w:val="Figure"/>
                    <w:spacing w:before="60" w:after="60"/>
                    <w:rPr>
                      <w:noProof/>
                    </w:rPr>
                  </w:pPr>
                  <w:r>
                    <w:rPr>
                      <w:rFonts w:ascii="Arial" w:hAnsi="Arial" w:cs="Arial"/>
                      <w:i/>
                      <w:sz w:val="20"/>
                    </w:rPr>
                    <w:t>Recommended reform</w:t>
                  </w:r>
                </w:p>
              </w:tc>
            </w:tr>
            <w:tr w:rsidR="005316B5" w:rsidTr="005F1DAE">
              <w:trPr>
                <w:trHeight w:val="140"/>
              </w:trPr>
              <w:tc>
                <w:tcPr>
                  <w:tcW w:w="2500" w:type="pct"/>
                  <w:tcBorders>
                    <w:top w:val="nil"/>
                    <w:bottom w:val="nil"/>
                  </w:tcBorders>
                </w:tcPr>
                <w:p w:rsidR="005316B5" w:rsidRDefault="00381AB5" w:rsidP="005E3639">
                  <w:pPr>
                    <w:pStyle w:val="Figure"/>
                    <w:spacing w:before="60" w:after="60"/>
                    <w:rPr>
                      <w:noProof/>
                    </w:rPr>
                  </w:pPr>
                  <w:r>
                    <w:rPr>
                      <w:noProof/>
                    </w:rPr>
                    <w:drawing>
                      <wp:inline distT="0" distB="0" distL="0" distR="0" wp14:anchorId="2E35DBE4" wp14:editId="63418C19">
                        <wp:extent cx="2501900" cy="2070100"/>
                        <wp:effectExtent l="0" t="0" r="0" b="0"/>
                        <wp:docPr id="18" name="Picture 18" descr="Indicates the effective marginal tax rates that our eigh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c>
                <w:tcPr>
                  <w:tcW w:w="2500" w:type="pct"/>
                  <w:tcBorders>
                    <w:top w:val="nil"/>
                    <w:bottom w:val="nil"/>
                  </w:tcBorders>
                </w:tcPr>
                <w:p w:rsidR="005316B5" w:rsidRDefault="00381AB5" w:rsidP="005E3639">
                  <w:pPr>
                    <w:pStyle w:val="Figure"/>
                    <w:spacing w:before="60" w:after="60"/>
                    <w:rPr>
                      <w:noProof/>
                    </w:rPr>
                  </w:pPr>
                  <w:r>
                    <w:rPr>
                      <w:noProof/>
                    </w:rPr>
                    <w:drawing>
                      <wp:inline distT="0" distB="0" distL="0" distR="0" wp14:anchorId="64A885DA" wp14:editId="3023F62E">
                        <wp:extent cx="2501900" cy="2070100"/>
                        <wp:effectExtent l="0" t="0" r="0" b="0"/>
                        <wp:docPr id="19" name="Picture 19" descr="Indicates the effective marginal tax rates that our eigh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r>
            <w:tr w:rsidR="005316B5" w:rsidTr="005F1DAE">
              <w:trPr>
                <w:trHeight w:val="140"/>
              </w:trPr>
              <w:tc>
                <w:tcPr>
                  <w:tcW w:w="5000" w:type="pct"/>
                  <w:gridSpan w:val="2"/>
                  <w:tcBorders>
                    <w:top w:val="nil"/>
                    <w:bottom w:val="nil"/>
                  </w:tcBorders>
                </w:tcPr>
                <w:p w:rsidR="005316B5" w:rsidRDefault="002011A6" w:rsidP="005E3639">
                  <w:pPr>
                    <w:pStyle w:val="Figure"/>
                    <w:spacing w:before="60" w:after="60"/>
                    <w:rPr>
                      <w:noProof/>
                    </w:rPr>
                  </w:pPr>
                  <w:r>
                    <w:rPr>
                      <w:noProof/>
                    </w:rPr>
                    <w:pict>
                      <v:shape id="_x0000_i1032" type="#_x0000_t75" alt="Legend for graphs" style="width:398.25pt;height:38.25pt">
                        <v:imagedata r:id="rId44" o:title=""/>
                      </v:shape>
                    </w:pict>
                  </w:r>
                </w:p>
              </w:tc>
            </w:tr>
          </w:tbl>
          <w:p w:rsidR="005316B5" w:rsidRDefault="005316B5" w:rsidP="005E3639">
            <w:pPr>
              <w:pStyle w:val="Box"/>
            </w:pPr>
          </w:p>
        </w:tc>
      </w:tr>
      <w:tr w:rsidR="005316B5" w:rsidTr="005E3639">
        <w:trPr>
          <w:cantSplit/>
        </w:trPr>
        <w:tc>
          <w:tcPr>
            <w:tcW w:w="8771" w:type="dxa"/>
            <w:tcBorders>
              <w:top w:val="nil"/>
              <w:left w:val="nil"/>
              <w:bottom w:val="nil"/>
              <w:right w:val="nil"/>
            </w:tcBorders>
            <w:shd w:val="clear" w:color="auto" w:fill="F2F2F2"/>
          </w:tcPr>
          <w:p w:rsidR="005316B5" w:rsidRDefault="00E95FDE" w:rsidP="005E3639">
            <w:pPr>
              <w:pStyle w:val="BoxSource"/>
            </w:pPr>
            <w:r>
              <w:rPr>
                <w:i/>
              </w:rPr>
              <w:t>Source</w:t>
            </w:r>
            <w:r w:rsidRPr="00167F06">
              <w:t xml:space="preserve">: </w:t>
            </w:r>
            <w:r>
              <w:t>Productivity Commission calculations.</w:t>
            </w:r>
          </w:p>
        </w:tc>
      </w:tr>
      <w:tr w:rsidR="005316B5" w:rsidTr="005E3639">
        <w:trPr>
          <w:cantSplit/>
        </w:trPr>
        <w:tc>
          <w:tcPr>
            <w:tcW w:w="8771" w:type="dxa"/>
            <w:tcBorders>
              <w:top w:val="nil"/>
              <w:left w:val="nil"/>
              <w:bottom w:val="single" w:sz="6" w:space="0" w:color="78A22F"/>
              <w:right w:val="nil"/>
            </w:tcBorders>
            <w:shd w:val="clear" w:color="auto" w:fill="F2F2F2"/>
          </w:tcPr>
          <w:p w:rsidR="005316B5" w:rsidRDefault="005316B5">
            <w:pPr>
              <w:pStyle w:val="Box"/>
              <w:spacing w:before="0" w:line="120" w:lineRule="exact"/>
            </w:pPr>
          </w:p>
        </w:tc>
      </w:tr>
      <w:tr w:rsidR="005316B5" w:rsidRPr="000863A5" w:rsidTr="005E3639">
        <w:tc>
          <w:tcPr>
            <w:tcW w:w="8771" w:type="dxa"/>
            <w:tcBorders>
              <w:top w:val="single" w:sz="6" w:space="0" w:color="78A22F"/>
              <w:left w:val="nil"/>
              <w:bottom w:val="nil"/>
              <w:right w:val="nil"/>
            </w:tcBorders>
          </w:tcPr>
          <w:p w:rsidR="005316B5" w:rsidRPr="00626D32" w:rsidRDefault="005316B5" w:rsidP="005E3639">
            <w:pPr>
              <w:pStyle w:val="BoxSpaceBelow"/>
            </w:pPr>
          </w:p>
        </w:tc>
      </w:tr>
    </w:tbl>
    <w:p w:rsidR="001F2393" w:rsidRDefault="00FF60E4" w:rsidP="00B764EB">
      <w:pPr>
        <w:pStyle w:val="BodyText"/>
      </w:pPr>
      <w:r>
        <w:t xml:space="preserve">As this family has access to informal childcare for two days a week, the family is largely able to avoid the compounding effect of high withdrawal rates of Family Tax </w:t>
      </w:r>
      <w:r w:rsidR="00096372">
        <w:t>B</w:t>
      </w:r>
      <w:r>
        <w:t>enefit coinciding with out-of-pocket ECEC fees. By the time the second income earner works three days a week, the annual family income would exceed $90 000. This is an income level when access t</w:t>
      </w:r>
      <w:r w:rsidR="00FE1E84">
        <w:t xml:space="preserve">o CCB is small. </w:t>
      </w:r>
      <w:r w:rsidR="001466CA">
        <w:t>Under the Commission’s reforms</w:t>
      </w:r>
      <w:r w:rsidR="00FE1E84">
        <w:t xml:space="preserve">, the family </w:t>
      </w:r>
      <w:r w:rsidR="001466CA">
        <w:t xml:space="preserve">would have </w:t>
      </w:r>
      <w:r w:rsidR="00FE1E84">
        <w:t>lower out</w:t>
      </w:r>
      <w:r w:rsidR="00C714AB">
        <w:noBreakHyphen/>
      </w:r>
      <w:r w:rsidR="00FE1E84">
        <w:t>of</w:t>
      </w:r>
      <w:r w:rsidR="00C714AB">
        <w:noBreakHyphen/>
      </w:r>
      <w:r w:rsidR="00FE1E84">
        <w:t>pocket ECEC costs than under current arrangements</w:t>
      </w:r>
      <w:r w:rsidR="001466CA">
        <w:t>.</w:t>
      </w:r>
    </w:p>
    <w:p w:rsidR="00E95FDE" w:rsidRDefault="00E95FDE" w:rsidP="00E95FDE">
      <w:pPr>
        <w:pStyle w:val="Heading3"/>
      </w:pPr>
      <w:r>
        <w:lastRenderedPageBreak/>
        <w:t>Cameo 9</w:t>
      </w:r>
    </w:p>
    <w:p w:rsidR="00E95FDE" w:rsidRDefault="00E95FDE" w:rsidP="00E95FDE">
      <w:pPr>
        <w:pStyle w:val="BodyText"/>
      </w:pPr>
      <w:r>
        <w:t xml:space="preserve">Cameo 9 examines a family with 3 children, with 2 using LDC and the older child in OSHC. Under current policies, for this family, EMTRs remain below 100 cents in the dollar regardless of the number of days worked (box E.11). That said, the mother faces higher EMTRs on her fourth and fifth days of work, largely attributable to the family reaching the CCR cap for the children in LDC. </w:t>
      </w:r>
    </w:p>
    <w:p w:rsidR="00E95FDE" w:rsidRDefault="00E95FD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5FDE" w:rsidTr="005E3639">
        <w:tc>
          <w:tcPr>
            <w:tcW w:w="8771" w:type="dxa"/>
            <w:tcBorders>
              <w:top w:val="single" w:sz="6" w:space="0" w:color="78A22F"/>
              <w:left w:val="nil"/>
              <w:bottom w:val="nil"/>
              <w:right w:val="nil"/>
            </w:tcBorders>
            <w:shd w:val="clear" w:color="auto" w:fill="F2F2F2"/>
          </w:tcPr>
          <w:p w:rsidR="00E95FDE" w:rsidRDefault="00E95FDE" w:rsidP="00E95FDE">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11</w:t>
            </w:r>
            <w:r>
              <w:rPr>
                <w:b w:val="0"/>
              </w:rPr>
              <w:fldChar w:fldCharType="end"/>
            </w:r>
            <w:r>
              <w:tab/>
              <w:t>Cameo 9</w:t>
            </w:r>
          </w:p>
        </w:tc>
      </w:tr>
      <w:tr w:rsidR="00E95FDE" w:rsidTr="005E3639">
        <w:trPr>
          <w:cantSplit/>
        </w:trPr>
        <w:tc>
          <w:tcPr>
            <w:tcW w:w="8771" w:type="dxa"/>
            <w:tcBorders>
              <w:top w:val="nil"/>
              <w:left w:val="nil"/>
              <w:bottom w:val="nil"/>
              <w:right w:val="nil"/>
            </w:tcBorders>
            <w:shd w:val="clear" w:color="auto" w:fill="F2F2F2"/>
          </w:tcPr>
          <w:p w:rsidR="00E95FDE" w:rsidRPr="00EF0EA9" w:rsidRDefault="00E95FDE"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E95FDE" w:rsidTr="00242DA1">
              <w:tc>
                <w:tcPr>
                  <w:tcW w:w="715" w:type="pct"/>
                  <w:tcBorders>
                    <w:top w:val="single" w:sz="6" w:space="0" w:color="C8C8C8"/>
                    <w:bottom w:val="single" w:sz="6" w:space="0" w:color="C8C8C8"/>
                  </w:tcBorders>
                  <w:shd w:val="clear" w:color="auto" w:fill="auto"/>
                  <w:tcMar>
                    <w:top w:w="28" w:type="dxa"/>
                  </w:tcMar>
                  <w:vAlign w:val="bottom"/>
                </w:tcPr>
                <w:p w:rsidR="00E95FDE" w:rsidRDefault="00E95FDE"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E95FDE" w:rsidRDefault="00E95FDE"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E95FDE" w:rsidRDefault="00E95FDE"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ECEC fees</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Wage rate</w:t>
                  </w:r>
                  <w:r w:rsidR="001554B8">
                    <w:br/>
                  </w:r>
                  <w:r>
                    <w:t xml:space="preserve"> of mother</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 xml:space="preserve">Partners income </w:t>
                  </w:r>
                  <w:r w:rsidR="006D7F0C">
                    <w:br/>
                  </w:r>
                  <w:r>
                    <w:t>(per annum)</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Other factors</w:t>
                  </w:r>
                </w:p>
              </w:tc>
            </w:tr>
            <w:tr w:rsidR="00E95FDE" w:rsidTr="005E3639">
              <w:tc>
                <w:tcPr>
                  <w:tcW w:w="715" w:type="pct"/>
                  <w:tcBorders>
                    <w:bottom w:val="single" w:sz="6" w:space="0" w:color="C8C8C8"/>
                  </w:tcBorders>
                  <w:shd w:val="clear" w:color="auto" w:fill="auto"/>
                </w:tcPr>
                <w:p w:rsidR="00E95FDE" w:rsidRDefault="00E95FDE" w:rsidP="005E3639">
                  <w:pPr>
                    <w:pStyle w:val="TableUnitsRow"/>
                    <w:jc w:val="left"/>
                  </w:pPr>
                </w:p>
              </w:tc>
              <w:tc>
                <w:tcPr>
                  <w:tcW w:w="715" w:type="pct"/>
                  <w:tcBorders>
                    <w:bottom w:val="single" w:sz="6" w:space="0" w:color="C8C8C8"/>
                  </w:tcBorders>
                  <w:shd w:val="clear" w:color="auto" w:fill="auto"/>
                </w:tcPr>
                <w:p w:rsidR="00E95FDE" w:rsidRDefault="00E95FDE" w:rsidP="005E3639">
                  <w:pPr>
                    <w:pStyle w:val="TableUnitsRow"/>
                  </w:pPr>
                </w:p>
              </w:tc>
              <w:tc>
                <w:tcPr>
                  <w:tcW w:w="714" w:type="pct"/>
                  <w:tcBorders>
                    <w:bottom w:val="single" w:sz="6" w:space="0" w:color="C8C8C8"/>
                  </w:tcBorders>
                  <w:shd w:val="clear" w:color="auto" w:fill="auto"/>
                </w:tcPr>
                <w:p w:rsidR="00E95FDE" w:rsidRDefault="00E95FDE" w:rsidP="005E3639">
                  <w:pPr>
                    <w:pStyle w:val="TableUnitsRow"/>
                    <w:ind w:right="28"/>
                  </w:pPr>
                </w:p>
              </w:tc>
              <w:tc>
                <w:tcPr>
                  <w:tcW w:w="714" w:type="pct"/>
                  <w:tcBorders>
                    <w:bottom w:val="single" w:sz="6" w:space="0" w:color="C8C8C8"/>
                  </w:tcBorders>
                </w:tcPr>
                <w:p w:rsidR="00E95FDE" w:rsidRDefault="00E95FDE" w:rsidP="005E3639">
                  <w:pPr>
                    <w:pStyle w:val="TableUnitsRow"/>
                    <w:ind w:right="28"/>
                  </w:pPr>
                  <w:r>
                    <w:t>$/hour/child</w:t>
                  </w:r>
                </w:p>
              </w:tc>
              <w:tc>
                <w:tcPr>
                  <w:tcW w:w="714" w:type="pct"/>
                  <w:tcBorders>
                    <w:bottom w:val="single" w:sz="6" w:space="0" w:color="C8C8C8"/>
                  </w:tcBorders>
                </w:tcPr>
                <w:p w:rsidR="00E95FDE" w:rsidRDefault="00E95FDE" w:rsidP="005E3639">
                  <w:pPr>
                    <w:pStyle w:val="TableUnitsRow"/>
                    <w:ind w:right="28"/>
                  </w:pPr>
                  <w:r>
                    <w:t>$/hour</w:t>
                  </w:r>
                </w:p>
              </w:tc>
              <w:tc>
                <w:tcPr>
                  <w:tcW w:w="714" w:type="pct"/>
                  <w:tcBorders>
                    <w:bottom w:val="single" w:sz="6" w:space="0" w:color="C8C8C8"/>
                  </w:tcBorders>
                </w:tcPr>
                <w:p w:rsidR="00E95FDE" w:rsidRDefault="00E95FDE" w:rsidP="005E3639">
                  <w:pPr>
                    <w:pStyle w:val="TableUnitsRow"/>
                    <w:ind w:right="28"/>
                  </w:pPr>
                  <w:r>
                    <w:t>$</w:t>
                  </w:r>
                </w:p>
              </w:tc>
              <w:tc>
                <w:tcPr>
                  <w:tcW w:w="714" w:type="pct"/>
                  <w:tcBorders>
                    <w:bottom w:val="single" w:sz="6" w:space="0" w:color="C8C8C8"/>
                  </w:tcBorders>
                </w:tcPr>
                <w:p w:rsidR="00E95FDE" w:rsidRDefault="00E95FDE" w:rsidP="005E3639">
                  <w:pPr>
                    <w:pStyle w:val="TableUnitsRow"/>
                    <w:ind w:right="28"/>
                  </w:pPr>
                </w:p>
              </w:tc>
            </w:tr>
            <w:tr w:rsidR="00E95FDE" w:rsidTr="005E3639">
              <w:tc>
                <w:tcPr>
                  <w:tcW w:w="715" w:type="pct"/>
                  <w:tcBorders>
                    <w:bottom w:val="single" w:sz="6" w:space="0" w:color="C8C8C8"/>
                  </w:tcBorders>
                  <w:shd w:val="clear" w:color="auto" w:fill="auto"/>
                </w:tcPr>
                <w:p w:rsidR="00E95FDE" w:rsidRDefault="00E95FDE" w:rsidP="005E3639">
                  <w:pPr>
                    <w:pStyle w:val="TableBodyText"/>
                    <w:jc w:val="left"/>
                  </w:pPr>
                  <w:r>
                    <w:t>Couple</w:t>
                  </w:r>
                </w:p>
              </w:tc>
              <w:tc>
                <w:tcPr>
                  <w:tcW w:w="715" w:type="pct"/>
                  <w:tcBorders>
                    <w:bottom w:val="single" w:sz="6" w:space="0" w:color="C8C8C8"/>
                  </w:tcBorders>
                  <w:shd w:val="clear" w:color="auto" w:fill="auto"/>
                </w:tcPr>
                <w:p w:rsidR="00E95FDE" w:rsidRDefault="00E95FDE" w:rsidP="005E3639">
                  <w:pPr>
                    <w:pStyle w:val="TableBodyText"/>
                  </w:pPr>
                  <w:r>
                    <w:t>3</w:t>
                  </w:r>
                </w:p>
                <w:p w:rsidR="00E95FDE" w:rsidRDefault="00E95FDE" w:rsidP="005E3639">
                  <w:pPr>
                    <w:pStyle w:val="TableBodyText"/>
                  </w:pPr>
                  <w:r>
                    <w:t>(1, 3 and 6)</w:t>
                  </w:r>
                </w:p>
              </w:tc>
              <w:tc>
                <w:tcPr>
                  <w:tcW w:w="714" w:type="pct"/>
                  <w:tcBorders>
                    <w:bottom w:val="single" w:sz="6" w:space="0" w:color="C8C8C8"/>
                  </w:tcBorders>
                  <w:shd w:val="clear" w:color="auto" w:fill="auto"/>
                </w:tcPr>
                <w:p w:rsidR="00E95FDE" w:rsidRDefault="00E95FDE" w:rsidP="005E3639">
                  <w:pPr>
                    <w:pStyle w:val="TableBodyText"/>
                    <w:ind w:right="28"/>
                  </w:pPr>
                  <w:r>
                    <w:t>LDC for younger children, OSHC for older child</w:t>
                  </w:r>
                </w:p>
              </w:tc>
              <w:tc>
                <w:tcPr>
                  <w:tcW w:w="714" w:type="pct"/>
                  <w:tcBorders>
                    <w:bottom w:val="single" w:sz="6" w:space="0" w:color="C8C8C8"/>
                  </w:tcBorders>
                </w:tcPr>
                <w:p w:rsidR="00E95FDE" w:rsidRDefault="00E95FDE" w:rsidP="005E3639">
                  <w:pPr>
                    <w:pStyle w:val="TableBodyText"/>
                    <w:ind w:right="28"/>
                  </w:pPr>
                  <w:r>
                    <w:t>$10 for LDC, $6 for OSHC</w:t>
                  </w:r>
                </w:p>
              </w:tc>
              <w:tc>
                <w:tcPr>
                  <w:tcW w:w="714" w:type="pct"/>
                  <w:tcBorders>
                    <w:bottom w:val="single" w:sz="6" w:space="0" w:color="C8C8C8"/>
                  </w:tcBorders>
                </w:tcPr>
                <w:p w:rsidR="00E95FDE" w:rsidRDefault="00E95FDE" w:rsidP="005E3639">
                  <w:pPr>
                    <w:pStyle w:val="TableBodyText"/>
                    <w:ind w:right="28"/>
                  </w:pPr>
                  <w:r>
                    <w:t>$85</w:t>
                  </w:r>
                </w:p>
              </w:tc>
              <w:tc>
                <w:tcPr>
                  <w:tcW w:w="714" w:type="pct"/>
                  <w:tcBorders>
                    <w:bottom w:val="single" w:sz="6" w:space="0" w:color="C8C8C8"/>
                  </w:tcBorders>
                </w:tcPr>
                <w:p w:rsidR="00E95FDE" w:rsidRDefault="00E95FDE" w:rsidP="005E3639">
                  <w:pPr>
                    <w:pStyle w:val="TableBodyText"/>
                    <w:ind w:right="28"/>
                  </w:pPr>
                  <w:r>
                    <w:t>$110 000</w:t>
                  </w:r>
                </w:p>
              </w:tc>
              <w:tc>
                <w:tcPr>
                  <w:tcW w:w="714" w:type="pct"/>
                  <w:tcBorders>
                    <w:bottom w:val="single" w:sz="6" w:space="0" w:color="C8C8C8"/>
                  </w:tcBorders>
                </w:tcPr>
                <w:p w:rsidR="00E95FDE" w:rsidRDefault="00E95FDE" w:rsidP="005E3639">
                  <w:pPr>
                    <w:pStyle w:val="TableBodyText"/>
                    <w:ind w:right="28"/>
                  </w:pPr>
                  <w:r>
                    <w:t>none</w:t>
                  </w:r>
                </w:p>
              </w:tc>
            </w:tr>
          </w:tbl>
          <w:p w:rsidR="005F1DAE" w:rsidRPr="00EF0EA9" w:rsidRDefault="005F1DAE" w:rsidP="005F1DAE">
            <w:pPr>
              <w:pStyle w:val="Box"/>
              <w:spacing w:before="0" w:line="120" w:lineRule="atLeast"/>
              <w:rPr>
                <w:sz w:val="16"/>
                <w:szCs w:val="16"/>
              </w:rPr>
            </w:pPr>
          </w:p>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34"/>
              <w:gridCol w:w="10"/>
              <w:gridCol w:w="4223"/>
              <w:gridCol w:w="20"/>
            </w:tblGrid>
            <w:tr w:rsidR="005F1DAE" w:rsidRPr="00CB18E5" w:rsidTr="00A8063A">
              <w:trPr>
                <w:trHeight w:val="140"/>
              </w:trPr>
              <w:tc>
                <w:tcPr>
                  <w:tcW w:w="5000" w:type="pct"/>
                  <w:gridSpan w:val="4"/>
                  <w:tcBorders>
                    <w:top w:val="nil"/>
                    <w:bottom w:val="nil"/>
                  </w:tcBorders>
                </w:tcPr>
                <w:p w:rsidR="005F1DAE" w:rsidRPr="00CB18E5" w:rsidRDefault="005F1DAE" w:rsidP="00A8063A">
                  <w:pPr>
                    <w:pStyle w:val="Figure"/>
                    <w:spacing w:before="60" w:after="60"/>
                    <w:rPr>
                      <w:rFonts w:ascii="Arial" w:hAnsi="Arial" w:cs="Arial"/>
                      <w:b/>
                      <w:sz w:val="18"/>
                      <w:szCs w:val="18"/>
                    </w:rPr>
                  </w:pPr>
                  <w:r>
                    <w:rPr>
                      <w:rFonts w:ascii="Arial" w:hAnsi="Arial" w:cs="Arial"/>
                      <w:b/>
                      <w:sz w:val="18"/>
                      <w:szCs w:val="18"/>
                    </w:rPr>
                    <w:t>Effective marginal tax rates</w:t>
                  </w:r>
                </w:p>
              </w:tc>
            </w:tr>
            <w:tr w:rsidR="005F1DAE" w:rsidRPr="00F35A42" w:rsidTr="00A8063A">
              <w:trPr>
                <w:trHeight w:val="140"/>
              </w:trPr>
              <w:tc>
                <w:tcPr>
                  <w:tcW w:w="2500" w:type="pct"/>
                  <w:gridSpan w:val="2"/>
                  <w:tcBorders>
                    <w:top w:val="nil"/>
                    <w:bottom w:val="nil"/>
                  </w:tcBorders>
                </w:tcPr>
                <w:p w:rsidR="005F1DAE" w:rsidRPr="00F35A42" w:rsidRDefault="005F1DAE" w:rsidP="00A8063A">
                  <w:pPr>
                    <w:pStyle w:val="Figure"/>
                    <w:spacing w:before="60" w:after="60"/>
                    <w:rPr>
                      <w:rFonts w:ascii="Arial" w:hAnsi="Arial" w:cs="Arial"/>
                      <w:i/>
                      <w:sz w:val="20"/>
                    </w:rPr>
                  </w:pPr>
                  <w:r w:rsidRPr="00F35A42">
                    <w:rPr>
                      <w:rFonts w:ascii="Arial" w:hAnsi="Arial" w:cs="Arial"/>
                      <w:i/>
                      <w:sz w:val="20"/>
                    </w:rPr>
                    <w:t>Current</w:t>
                  </w:r>
                </w:p>
              </w:tc>
              <w:tc>
                <w:tcPr>
                  <w:tcW w:w="2500" w:type="pct"/>
                  <w:gridSpan w:val="2"/>
                  <w:tcBorders>
                    <w:top w:val="nil"/>
                    <w:bottom w:val="nil"/>
                  </w:tcBorders>
                </w:tcPr>
                <w:p w:rsidR="005F1DAE" w:rsidRPr="00F35A42" w:rsidRDefault="005F1DAE" w:rsidP="00A8063A">
                  <w:pPr>
                    <w:pStyle w:val="Figure"/>
                    <w:spacing w:before="60" w:after="60"/>
                    <w:rPr>
                      <w:rFonts w:ascii="Arial" w:hAnsi="Arial" w:cs="Arial"/>
                      <w:i/>
                      <w:sz w:val="20"/>
                    </w:rPr>
                  </w:pPr>
                  <w:r w:rsidRPr="00F35A42">
                    <w:rPr>
                      <w:rFonts w:ascii="Arial" w:hAnsi="Arial" w:cs="Arial"/>
                      <w:i/>
                      <w:sz w:val="20"/>
                    </w:rPr>
                    <w:t>Recommended reform</w:t>
                  </w:r>
                </w:p>
              </w:tc>
            </w:tr>
            <w:tr w:rsidR="00E95FDE" w:rsidTr="005F1DAE">
              <w:tblPrEx>
                <w:tblCellMar>
                  <w:left w:w="108" w:type="dxa"/>
                  <w:right w:w="108" w:type="dxa"/>
                </w:tblCellMar>
              </w:tblPrEx>
              <w:trPr>
                <w:gridAfter w:val="1"/>
                <w:wAfter w:w="12" w:type="pct"/>
                <w:trHeight w:val="140"/>
              </w:trPr>
              <w:tc>
                <w:tcPr>
                  <w:tcW w:w="2494" w:type="pct"/>
                  <w:tcBorders>
                    <w:top w:val="nil"/>
                    <w:bottom w:val="nil"/>
                  </w:tcBorders>
                </w:tcPr>
                <w:p w:rsidR="00E95FDE" w:rsidRDefault="00381AB5" w:rsidP="0002275C">
                  <w:pPr>
                    <w:pStyle w:val="Figure"/>
                    <w:spacing w:before="0" w:after="0"/>
                    <w:rPr>
                      <w:noProof/>
                    </w:rPr>
                  </w:pPr>
                  <w:r>
                    <w:rPr>
                      <w:noProof/>
                    </w:rPr>
                    <w:drawing>
                      <wp:inline distT="0" distB="0" distL="0" distR="0" wp14:anchorId="6EA81175" wp14:editId="40B2B209">
                        <wp:extent cx="2501900" cy="2070100"/>
                        <wp:effectExtent l="0" t="0" r="0" b="0"/>
                        <wp:docPr id="20" name="Picture 20" descr="Indicates the effective marginal tax rates that our nin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c>
                <w:tcPr>
                  <w:tcW w:w="2494" w:type="pct"/>
                  <w:gridSpan w:val="2"/>
                  <w:tcBorders>
                    <w:top w:val="nil"/>
                    <w:bottom w:val="nil"/>
                  </w:tcBorders>
                </w:tcPr>
                <w:p w:rsidR="00E95FDE" w:rsidRDefault="00381AB5" w:rsidP="0002275C">
                  <w:pPr>
                    <w:pStyle w:val="Figure"/>
                    <w:spacing w:before="0" w:after="0"/>
                    <w:rPr>
                      <w:noProof/>
                    </w:rPr>
                  </w:pPr>
                  <w:r>
                    <w:rPr>
                      <w:noProof/>
                    </w:rPr>
                    <w:drawing>
                      <wp:inline distT="0" distB="0" distL="0" distR="0" wp14:anchorId="2264D8C4" wp14:editId="11DC9459">
                        <wp:extent cx="2501900" cy="2070100"/>
                        <wp:effectExtent l="0" t="0" r="0" b="0"/>
                        <wp:docPr id="21" name="Picture 21" descr="Indicates the effective marginal tax rates that our nin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01900" cy="2070100"/>
                                </a:xfrm>
                                <a:prstGeom prst="rect">
                                  <a:avLst/>
                                </a:prstGeom>
                                <a:noFill/>
                                <a:ln>
                                  <a:noFill/>
                                </a:ln>
                              </pic:spPr>
                            </pic:pic>
                          </a:graphicData>
                        </a:graphic>
                      </wp:inline>
                    </w:drawing>
                  </w:r>
                </w:p>
              </w:tc>
            </w:tr>
            <w:tr w:rsidR="00E95FDE" w:rsidTr="005F1DAE">
              <w:tblPrEx>
                <w:tblCellMar>
                  <w:left w:w="108" w:type="dxa"/>
                  <w:right w:w="108" w:type="dxa"/>
                </w:tblCellMar>
              </w:tblPrEx>
              <w:trPr>
                <w:gridAfter w:val="1"/>
                <w:wAfter w:w="12" w:type="pct"/>
                <w:trHeight w:val="140"/>
              </w:trPr>
              <w:tc>
                <w:tcPr>
                  <w:tcW w:w="4988" w:type="pct"/>
                  <w:gridSpan w:val="3"/>
                  <w:tcBorders>
                    <w:top w:val="nil"/>
                    <w:bottom w:val="nil"/>
                  </w:tcBorders>
                </w:tcPr>
                <w:p w:rsidR="00E95FDE" w:rsidRDefault="002011A6" w:rsidP="0002275C">
                  <w:pPr>
                    <w:pStyle w:val="Figure"/>
                    <w:spacing w:before="0" w:after="0"/>
                    <w:rPr>
                      <w:noProof/>
                    </w:rPr>
                  </w:pPr>
                  <w:r>
                    <w:rPr>
                      <w:noProof/>
                    </w:rPr>
                    <w:pict>
                      <v:shape id="_x0000_i1033" type="#_x0000_t75" alt="Legend for graphs" style="width:398.25pt;height:38.25pt">
                        <v:imagedata r:id="rId47" o:title=""/>
                      </v:shape>
                    </w:pict>
                  </w:r>
                </w:p>
              </w:tc>
            </w:tr>
          </w:tbl>
          <w:p w:rsidR="00E95FDE" w:rsidRDefault="00E95FDE" w:rsidP="005E3639">
            <w:pPr>
              <w:pStyle w:val="Box"/>
            </w:pPr>
          </w:p>
        </w:tc>
      </w:tr>
      <w:tr w:rsidR="00E95FDE" w:rsidTr="005E3639">
        <w:trPr>
          <w:cantSplit/>
        </w:trPr>
        <w:tc>
          <w:tcPr>
            <w:tcW w:w="8771" w:type="dxa"/>
            <w:tcBorders>
              <w:top w:val="nil"/>
              <w:left w:val="nil"/>
              <w:bottom w:val="nil"/>
              <w:right w:val="nil"/>
            </w:tcBorders>
            <w:shd w:val="clear" w:color="auto" w:fill="F2F2F2"/>
          </w:tcPr>
          <w:p w:rsidR="00E95FDE" w:rsidRDefault="00E95FDE" w:rsidP="00E95FDE">
            <w:pPr>
              <w:pStyle w:val="BoxSource"/>
            </w:pPr>
            <w:r>
              <w:rPr>
                <w:i/>
              </w:rPr>
              <w:t>Source</w:t>
            </w:r>
            <w:r w:rsidRPr="00167F06">
              <w:t xml:space="preserve">: </w:t>
            </w:r>
            <w:r>
              <w:t>Productivity Commission calculations.</w:t>
            </w:r>
          </w:p>
        </w:tc>
      </w:tr>
      <w:tr w:rsidR="00E95FDE" w:rsidTr="005E3639">
        <w:trPr>
          <w:cantSplit/>
        </w:trPr>
        <w:tc>
          <w:tcPr>
            <w:tcW w:w="8771" w:type="dxa"/>
            <w:tcBorders>
              <w:top w:val="nil"/>
              <w:left w:val="nil"/>
              <w:bottom w:val="single" w:sz="6" w:space="0" w:color="78A22F"/>
              <w:right w:val="nil"/>
            </w:tcBorders>
            <w:shd w:val="clear" w:color="auto" w:fill="F2F2F2"/>
          </w:tcPr>
          <w:p w:rsidR="00E95FDE" w:rsidRDefault="00E95FDE">
            <w:pPr>
              <w:pStyle w:val="Box"/>
              <w:spacing w:before="0" w:line="120" w:lineRule="exact"/>
            </w:pPr>
          </w:p>
        </w:tc>
      </w:tr>
      <w:tr w:rsidR="00E95FDE" w:rsidRPr="000863A5" w:rsidTr="005E3639">
        <w:tc>
          <w:tcPr>
            <w:tcW w:w="8771" w:type="dxa"/>
            <w:tcBorders>
              <w:top w:val="single" w:sz="6" w:space="0" w:color="78A22F"/>
              <w:left w:val="nil"/>
              <w:bottom w:val="nil"/>
              <w:right w:val="nil"/>
            </w:tcBorders>
          </w:tcPr>
          <w:p w:rsidR="00E95FDE" w:rsidRPr="00626D32" w:rsidRDefault="00E95FDE" w:rsidP="005E3639">
            <w:pPr>
              <w:pStyle w:val="BoxSpaceBelow"/>
            </w:pPr>
          </w:p>
        </w:tc>
      </w:tr>
    </w:tbl>
    <w:p w:rsidR="001F2393" w:rsidRDefault="001F2393" w:rsidP="001F2393">
      <w:pPr>
        <w:pStyle w:val="BodyText"/>
      </w:pPr>
      <w:r>
        <w:t xml:space="preserve">Under the Commission’s proposal, the mother would face marginally higher EMTRs for her first four days of work, but a lower EMTR on her fifth day of work. There is a noticeable spike in the EMTR profile if she chose to work four days a week. This spike occurs as the family would just reach the $250 000 family income threshold when the mother works four days a week. As such, the family faces declining subsidy rates for the first four days of work (60 per cent if the mother works one day a week reducing to 20 per cent when she works for four days a week), but no further decline in the subsidy </w:t>
      </w:r>
      <w:r>
        <w:lastRenderedPageBreak/>
        <w:t xml:space="preserve">rate for working five days a week. The EMTR profile faced by the mother under the recommended ECLS is shown in </w:t>
      </w:r>
      <w:r w:rsidR="00E95FDE">
        <w:t>box</w:t>
      </w:r>
      <w:r>
        <w:t xml:space="preserve"> E.1</w:t>
      </w:r>
      <w:r w:rsidR="00E95FDE">
        <w:t>1</w:t>
      </w:r>
      <w:r>
        <w:t xml:space="preserve">. </w:t>
      </w:r>
    </w:p>
    <w:p w:rsidR="00E95FDE" w:rsidRDefault="00E95FDE" w:rsidP="0002275C">
      <w:pPr>
        <w:pStyle w:val="Heading3"/>
        <w:spacing w:before="480"/>
      </w:pPr>
      <w:r>
        <w:t>Cameo 10</w:t>
      </w:r>
    </w:p>
    <w:p w:rsidR="00E95FDE" w:rsidRDefault="00E95FDE" w:rsidP="0002275C">
      <w:pPr>
        <w:pStyle w:val="BodyText"/>
        <w:spacing w:before="200"/>
      </w:pPr>
      <w:r>
        <w:t xml:space="preserve">Cameo 10 represents a couple family with two school aged children </w:t>
      </w:r>
      <w:r w:rsidRPr="001B70CB">
        <w:t>who use outside school hours care</w:t>
      </w:r>
      <w:r>
        <w:t xml:space="preserve">. Consistent with cameo 7, it is assumed that the mother has flexibility to work within school hours, so that no ECEC is required until the mother works the equivalent of four days per week. The mother’s wage is assumed to be $21 per hour. The profile of this mother’s EMTRs can be seen in </w:t>
      </w:r>
      <w:r w:rsidR="002E4D88">
        <w:t>box</w:t>
      </w:r>
      <w:r>
        <w:t xml:space="preserve"> E.</w:t>
      </w:r>
      <w:r w:rsidR="002E4D88">
        <w:t>12</w:t>
      </w:r>
      <w:r>
        <w:t>.</w:t>
      </w:r>
    </w:p>
    <w:p w:rsidR="001554B8" w:rsidRDefault="001554B8" w:rsidP="001554B8">
      <w:pPr>
        <w:pStyle w:val="BodyText"/>
      </w:pPr>
      <w:r>
        <w:t>While this income earner would face much lower EMTRs on their fourth and fifth day of work under the Commission’s proposal, the withdrawal of Family Tax Benefits (both Part A and B) combined with the income tax dominate the financial considerations faced by this family.</w:t>
      </w:r>
    </w:p>
    <w:p w:rsidR="00E95FDE" w:rsidRDefault="00E95FD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5FDE" w:rsidTr="005E3639">
        <w:tc>
          <w:tcPr>
            <w:tcW w:w="8771" w:type="dxa"/>
            <w:tcBorders>
              <w:top w:val="single" w:sz="6" w:space="0" w:color="78A22F"/>
              <w:left w:val="nil"/>
              <w:bottom w:val="nil"/>
              <w:right w:val="nil"/>
            </w:tcBorders>
            <w:shd w:val="clear" w:color="auto" w:fill="F2F2F2"/>
          </w:tcPr>
          <w:p w:rsidR="00E95FDE" w:rsidRDefault="00E95FDE" w:rsidP="00E95FDE">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0059ED">
              <w:rPr>
                <w:b w:val="0"/>
              </w:rPr>
              <w:t>E.</w:t>
            </w:r>
            <w:r>
              <w:rPr>
                <w:b w:val="0"/>
              </w:rPr>
              <w:fldChar w:fldCharType="end"/>
            </w:r>
            <w:r>
              <w:rPr>
                <w:b w:val="0"/>
              </w:rPr>
              <w:fldChar w:fldCharType="begin"/>
            </w:r>
            <w:r>
              <w:rPr>
                <w:b w:val="0"/>
              </w:rPr>
              <w:instrText xml:space="preserve"> SEQ Box \* ARABIC </w:instrText>
            </w:r>
            <w:r>
              <w:rPr>
                <w:b w:val="0"/>
              </w:rPr>
              <w:fldChar w:fldCharType="separate"/>
            </w:r>
            <w:r w:rsidR="00464157">
              <w:rPr>
                <w:b w:val="0"/>
                <w:noProof/>
              </w:rPr>
              <w:t>12</w:t>
            </w:r>
            <w:r>
              <w:rPr>
                <w:b w:val="0"/>
              </w:rPr>
              <w:fldChar w:fldCharType="end"/>
            </w:r>
            <w:r>
              <w:tab/>
              <w:t>Cameo 10</w:t>
            </w:r>
          </w:p>
        </w:tc>
      </w:tr>
      <w:tr w:rsidR="00E95FDE" w:rsidTr="005E3639">
        <w:trPr>
          <w:cantSplit/>
        </w:trPr>
        <w:tc>
          <w:tcPr>
            <w:tcW w:w="8771" w:type="dxa"/>
            <w:tcBorders>
              <w:top w:val="nil"/>
              <w:left w:val="nil"/>
              <w:bottom w:val="nil"/>
              <w:right w:val="nil"/>
            </w:tcBorders>
            <w:shd w:val="clear" w:color="auto" w:fill="F2F2F2"/>
          </w:tcPr>
          <w:p w:rsidR="00E95FDE" w:rsidRPr="00EF0EA9" w:rsidRDefault="00E95FDE" w:rsidP="00EF0EA9">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E95FDE" w:rsidTr="0002275C">
              <w:tc>
                <w:tcPr>
                  <w:tcW w:w="715" w:type="pct"/>
                  <w:tcBorders>
                    <w:top w:val="single" w:sz="6" w:space="0" w:color="C8C8C8"/>
                    <w:bottom w:val="single" w:sz="6" w:space="0" w:color="C8C8C8"/>
                  </w:tcBorders>
                  <w:shd w:val="clear" w:color="auto" w:fill="auto"/>
                  <w:tcMar>
                    <w:top w:w="28" w:type="dxa"/>
                  </w:tcMar>
                  <w:vAlign w:val="bottom"/>
                </w:tcPr>
                <w:p w:rsidR="00E95FDE" w:rsidRDefault="00E95FDE" w:rsidP="00F35A42">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E95FDE" w:rsidRDefault="00E95FDE" w:rsidP="00F35A42">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E95FDE" w:rsidRDefault="00E95FDE" w:rsidP="00F35A42">
                  <w:pPr>
                    <w:pStyle w:val="TableColumnHeading"/>
                    <w:ind w:right="28"/>
                  </w:pPr>
                  <w:r>
                    <w:t xml:space="preserve">Type of </w:t>
                  </w:r>
                  <w:r w:rsidR="001554B8">
                    <w:br/>
                  </w:r>
                  <w:r>
                    <w:t>ECEC used</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ECEC fees</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 xml:space="preserve">Wage rate </w:t>
                  </w:r>
                  <w:r w:rsidR="001554B8">
                    <w:br/>
                  </w:r>
                  <w:r>
                    <w:t>of mother</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Partners income (per annum)</w:t>
                  </w:r>
                </w:p>
              </w:tc>
              <w:tc>
                <w:tcPr>
                  <w:tcW w:w="714" w:type="pct"/>
                  <w:tcBorders>
                    <w:top w:val="single" w:sz="6" w:space="0" w:color="C8C8C8"/>
                    <w:bottom w:val="single" w:sz="6" w:space="0" w:color="C8C8C8"/>
                  </w:tcBorders>
                  <w:vAlign w:val="bottom"/>
                </w:tcPr>
                <w:p w:rsidR="00E95FDE" w:rsidRDefault="00E95FDE" w:rsidP="00F35A42">
                  <w:pPr>
                    <w:pStyle w:val="TableColumnHeading"/>
                    <w:ind w:right="28"/>
                  </w:pPr>
                  <w:r>
                    <w:t>Other factors</w:t>
                  </w:r>
                </w:p>
              </w:tc>
            </w:tr>
            <w:tr w:rsidR="00E95FDE" w:rsidTr="005E3639">
              <w:tc>
                <w:tcPr>
                  <w:tcW w:w="715" w:type="pct"/>
                  <w:tcBorders>
                    <w:bottom w:val="single" w:sz="6" w:space="0" w:color="C8C8C8"/>
                  </w:tcBorders>
                  <w:shd w:val="clear" w:color="auto" w:fill="auto"/>
                </w:tcPr>
                <w:p w:rsidR="00E95FDE" w:rsidRDefault="00E95FDE" w:rsidP="005E3639">
                  <w:pPr>
                    <w:pStyle w:val="TableUnitsRow"/>
                    <w:jc w:val="left"/>
                  </w:pPr>
                </w:p>
              </w:tc>
              <w:tc>
                <w:tcPr>
                  <w:tcW w:w="715" w:type="pct"/>
                  <w:tcBorders>
                    <w:bottom w:val="single" w:sz="6" w:space="0" w:color="C8C8C8"/>
                  </w:tcBorders>
                  <w:shd w:val="clear" w:color="auto" w:fill="auto"/>
                </w:tcPr>
                <w:p w:rsidR="00E95FDE" w:rsidRDefault="00E95FDE" w:rsidP="005E3639">
                  <w:pPr>
                    <w:pStyle w:val="TableUnitsRow"/>
                  </w:pPr>
                </w:p>
              </w:tc>
              <w:tc>
                <w:tcPr>
                  <w:tcW w:w="714" w:type="pct"/>
                  <w:tcBorders>
                    <w:bottom w:val="single" w:sz="6" w:space="0" w:color="C8C8C8"/>
                  </w:tcBorders>
                  <w:shd w:val="clear" w:color="auto" w:fill="auto"/>
                </w:tcPr>
                <w:p w:rsidR="00E95FDE" w:rsidRDefault="00E95FDE" w:rsidP="005E3639">
                  <w:pPr>
                    <w:pStyle w:val="TableUnitsRow"/>
                    <w:ind w:right="28"/>
                  </w:pPr>
                </w:p>
              </w:tc>
              <w:tc>
                <w:tcPr>
                  <w:tcW w:w="714" w:type="pct"/>
                  <w:tcBorders>
                    <w:bottom w:val="single" w:sz="6" w:space="0" w:color="C8C8C8"/>
                  </w:tcBorders>
                </w:tcPr>
                <w:p w:rsidR="00E95FDE" w:rsidRDefault="00E95FDE" w:rsidP="005E3639">
                  <w:pPr>
                    <w:pStyle w:val="TableUnitsRow"/>
                    <w:ind w:right="28"/>
                  </w:pPr>
                  <w:r>
                    <w:t>$/hour/child</w:t>
                  </w:r>
                </w:p>
              </w:tc>
              <w:tc>
                <w:tcPr>
                  <w:tcW w:w="714" w:type="pct"/>
                  <w:tcBorders>
                    <w:bottom w:val="single" w:sz="6" w:space="0" w:color="C8C8C8"/>
                  </w:tcBorders>
                </w:tcPr>
                <w:p w:rsidR="00E95FDE" w:rsidRDefault="00E95FDE" w:rsidP="005E3639">
                  <w:pPr>
                    <w:pStyle w:val="TableUnitsRow"/>
                    <w:ind w:right="28"/>
                  </w:pPr>
                  <w:r>
                    <w:t>$/hour</w:t>
                  </w:r>
                </w:p>
              </w:tc>
              <w:tc>
                <w:tcPr>
                  <w:tcW w:w="714" w:type="pct"/>
                  <w:tcBorders>
                    <w:bottom w:val="single" w:sz="6" w:space="0" w:color="C8C8C8"/>
                  </w:tcBorders>
                </w:tcPr>
                <w:p w:rsidR="00E95FDE" w:rsidRDefault="00E95FDE" w:rsidP="005E3639">
                  <w:pPr>
                    <w:pStyle w:val="TableUnitsRow"/>
                    <w:ind w:right="28"/>
                  </w:pPr>
                  <w:r>
                    <w:t>$</w:t>
                  </w:r>
                </w:p>
              </w:tc>
              <w:tc>
                <w:tcPr>
                  <w:tcW w:w="714" w:type="pct"/>
                  <w:tcBorders>
                    <w:bottom w:val="single" w:sz="6" w:space="0" w:color="C8C8C8"/>
                  </w:tcBorders>
                </w:tcPr>
                <w:p w:rsidR="00E95FDE" w:rsidRDefault="00E95FDE" w:rsidP="005E3639">
                  <w:pPr>
                    <w:pStyle w:val="TableUnitsRow"/>
                    <w:ind w:right="28"/>
                  </w:pPr>
                </w:p>
              </w:tc>
            </w:tr>
            <w:tr w:rsidR="00E95FDE" w:rsidTr="001554B8">
              <w:tc>
                <w:tcPr>
                  <w:tcW w:w="715" w:type="pct"/>
                  <w:tcBorders>
                    <w:bottom w:val="single" w:sz="6" w:space="0" w:color="C8C8C8"/>
                  </w:tcBorders>
                  <w:shd w:val="clear" w:color="auto" w:fill="auto"/>
                  <w:vAlign w:val="bottom"/>
                </w:tcPr>
                <w:p w:rsidR="00E95FDE" w:rsidRDefault="00E95FDE" w:rsidP="001554B8">
                  <w:pPr>
                    <w:pStyle w:val="TableBodyText"/>
                    <w:jc w:val="left"/>
                  </w:pPr>
                  <w:r>
                    <w:t>Couple</w:t>
                  </w:r>
                </w:p>
              </w:tc>
              <w:tc>
                <w:tcPr>
                  <w:tcW w:w="715" w:type="pct"/>
                  <w:tcBorders>
                    <w:bottom w:val="single" w:sz="6" w:space="0" w:color="C8C8C8"/>
                  </w:tcBorders>
                  <w:shd w:val="clear" w:color="auto" w:fill="auto"/>
                  <w:vAlign w:val="bottom"/>
                </w:tcPr>
                <w:p w:rsidR="00E95FDE" w:rsidRDefault="00E95FDE" w:rsidP="001554B8">
                  <w:pPr>
                    <w:pStyle w:val="TableBodyText"/>
                    <w:jc w:val="center"/>
                  </w:pPr>
                  <w:r>
                    <w:t>2</w:t>
                  </w:r>
                </w:p>
                <w:p w:rsidR="00E95FDE" w:rsidRDefault="00E95FDE" w:rsidP="001554B8">
                  <w:pPr>
                    <w:pStyle w:val="TableBodyText"/>
                    <w:jc w:val="center"/>
                  </w:pPr>
                  <w:r>
                    <w:t>(6 and 9)</w:t>
                  </w:r>
                </w:p>
              </w:tc>
              <w:tc>
                <w:tcPr>
                  <w:tcW w:w="714" w:type="pct"/>
                  <w:tcBorders>
                    <w:bottom w:val="single" w:sz="6" w:space="0" w:color="C8C8C8"/>
                  </w:tcBorders>
                  <w:shd w:val="clear" w:color="auto" w:fill="auto"/>
                  <w:vAlign w:val="bottom"/>
                </w:tcPr>
                <w:p w:rsidR="00E95FDE" w:rsidRDefault="00E95FDE" w:rsidP="001554B8">
                  <w:pPr>
                    <w:pStyle w:val="TableBodyText"/>
                    <w:jc w:val="center"/>
                  </w:pPr>
                  <w:r>
                    <w:t>OSHC</w:t>
                  </w:r>
                </w:p>
              </w:tc>
              <w:tc>
                <w:tcPr>
                  <w:tcW w:w="714" w:type="pct"/>
                  <w:tcBorders>
                    <w:bottom w:val="single" w:sz="6" w:space="0" w:color="C8C8C8"/>
                  </w:tcBorders>
                  <w:vAlign w:val="bottom"/>
                </w:tcPr>
                <w:p w:rsidR="00E95FDE" w:rsidRDefault="00E95FDE" w:rsidP="001554B8">
                  <w:pPr>
                    <w:pStyle w:val="TableBodyText"/>
                    <w:jc w:val="center"/>
                  </w:pPr>
                  <w:r>
                    <w:t>$5.00</w:t>
                  </w:r>
                </w:p>
              </w:tc>
              <w:tc>
                <w:tcPr>
                  <w:tcW w:w="714" w:type="pct"/>
                  <w:tcBorders>
                    <w:bottom w:val="single" w:sz="6" w:space="0" w:color="C8C8C8"/>
                  </w:tcBorders>
                  <w:vAlign w:val="bottom"/>
                </w:tcPr>
                <w:p w:rsidR="00E95FDE" w:rsidRDefault="00E95FDE" w:rsidP="001554B8">
                  <w:pPr>
                    <w:pStyle w:val="TableBodyText"/>
                    <w:jc w:val="center"/>
                  </w:pPr>
                  <w:r>
                    <w:t>$21</w:t>
                  </w:r>
                </w:p>
              </w:tc>
              <w:tc>
                <w:tcPr>
                  <w:tcW w:w="714" w:type="pct"/>
                  <w:tcBorders>
                    <w:bottom w:val="single" w:sz="6" w:space="0" w:color="C8C8C8"/>
                  </w:tcBorders>
                  <w:vAlign w:val="bottom"/>
                </w:tcPr>
                <w:p w:rsidR="00E95FDE" w:rsidRDefault="00E95FDE" w:rsidP="001554B8">
                  <w:pPr>
                    <w:pStyle w:val="TableBodyText"/>
                    <w:jc w:val="center"/>
                  </w:pPr>
                  <w:r>
                    <w:t>$70 000</w:t>
                  </w:r>
                </w:p>
              </w:tc>
              <w:tc>
                <w:tcPr>
                  <w:tcW w:w="714" w:type="pct"/>
                  <w:tcBorders>
                    <w:bottom w:val="single" w:sz="6" w:space="0" w:color="C8C8C8"/>
                  </w:tcBorders>
                  <w:vAlign w:val="bottom"/>
                </w:tcPr>
                <w:p w:rsidR="00E95FDE" w:rsidRDefault="00E95FDE" w:rsidP="001554B8">
                  <w:pPr>
                    <w:pStyle w:val="TableBodyText"/>
                    <w:jc w:val="center"/>
                  </w:pPr>
                  <w:r>
                    <w:t>none</w:t>
                  </w:r>
                </w:p>
              </w:tc>
            </w:tr>
          </w:tbl>
          <w:p w:rsidR="005F1DAE" w:rsidRPr="00EF0EA9" w:rsidRDefault="005F1DAE" w:rsidP="005F1DAE">
            <w:pPr>
              <w:pStyle w:val="Box"/>
              <w:spacing w:before="0" w:line="120" w:lineRule="atLeast"/>
              <w:rPr>
                <w:sz w:val="16"/>
                <w:szCs w:val="16"/>
              </w:rPr>
            </w:pPr>
          </w:p>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34"/>
              <w:gridCol w:w="10"/>
              <w:gridCol w:w="4223"/>
              <w:gridCol w:w="20"/>
            </w:tblGrid>
            <w:tr w:rsidR="005F1DAE" w:rsidRPr="00CB18E5" w:rsidTr="00A8063A">
              <w:trPr>
                <w:trHeight w:val="140"/>
              </w:trPr>
              <w:tc>
                <w:tcPr>
                  <w:tcW w:w="5000" w:type="pct"/>
                  <w:gridSpan w:val="4"/>
                  <w:tcBorders>
                    <w:top w:val="nil"/>
                    <w:bottom w:val="nil"/>
                  </w:tcBorders>
                </w:tcPr>
                <w:p w:rsidR="005F1DAE" w:rsidRPr="00CB18E5" w:rsidRDefault="005F1DAE" w:rsidP="00A8063A">
                  <w:pPr>
                    <w:pStyle w:val="Figure"/>
                    <w:spacing w:before="60" w:after="60"/>
                    <w:rPr>
                      <w:rFonts w:ascii="Arial" w:hAnsi="Arial" w:cs="Arial"/>
                      <w:b/>
                      <w:sz w:val="18"/>
                      <w:szCs w:val="18"/>
                    </w:rPr>
                  </w:pPr>
                  <w:r>
                    <w:rPr>
                      <w:rFonts w:ascii="Arial" w:hAnsi="Arial" w:cs="Arial"/>
                      <w:b/>
                      <w:sz w:val="18"/>
                      <w:szCs w:val="18"/>
                    </w:rPr>
                    <w:t>Effective marginal tax rates</w:t>
                  </w:r>
                </w:p>
              </w:tc>
            </w:tr>
            <w:tr w:rsidR="005F1DAE" w:rsidRPr="00F35A42" w:rsidTr="00A8063A">
              <w:trPr>
                <w:trHeight w:val="140"/>
              </w:trPr>
              <w:tc>
                <w:tcPr>
                  <w:tcW w:w="2500" w:type="pct"/>
                  <w:gridSpan w:val="2"/>
                  <w:tcBorders>
                    <w:top w:val="nil"/>
                    <w:bottom w:val="nil"/>
                  </w:tcBorders>
                </w:tcPr>
                <w:p w:rsidR="005F1DAE" w:rsidRPr="00F35A42" w:rsidRDefault="005F1DAE" w:rsidP="00A8063A">
                  <w:pPr>
                    <w:pStyle w:val="Figure"/>
                    <w:spacing w:before="60" w:after="60"/>
                    <w:rPr>
                      <w:rFonts w:ascii="Arial" w:hAnsi="Arial" w:cs="Arial"/>
                      <w:i/>
                      <w:sz w:val="20"/>
                    </w:rPr>
                  </w:pPr>
                  <w:r w:rsidRPr="00F35A42">
                    <w:rPr>
                      <w:rFonts w:ascii="Arial" w:hAnsi="Arial" w:cs="Arial"/>
                      <w:i/>
                      <w:sz w:val="20"/>
                    </w:rPr>
                    <w:t>Current</w:t>
                  </w:r>
                </w:p>
              </w:tc>
              <w:tc>
                <w:tcPr>
                  <w:tcW w:w="2500" w:type="pct"/>
                  <w:gridSpan w:val="2"/>
                  <w:tcBorders>
                    <w:top w:val="nil"/>
                    <w:bottom w:val="nil"/>
                  </w:tcBorders>
                </w:tcPr>
                <w:p w:rsidR="005F1DAE" w:rsidRPr="00F35A42" w:rsidRDefault="005F1DAE" w:rsidP="00A8063A">
                  <w:pPr>
                    <w:pStyle w:val="Figure"/>
                    <w:spacing w:before="60" w:after="60"/>
                    <w:rPr>
                      <w:rFonts w:ascii="Arial" w:hAnsi="Arial" w:cs="Arial"/>
                      <w:i/>
                      <w:sz w:val="20"/>
                    </w:rPr>
                  </w:pPr>
                  <w:r w:rsidRPr="00F35A42">
                    <w:rPr>
                      <w:rFonts w:ascii="Arial" w:hAnsi="Arial" w:cs="Arial"/>
                      <w:i/>
                      <w:sz w:val="20"/>
                    </w:rPr>
                    <w:t>Recommended reform</w:t>
                  </w:r>
                </w:p>
              </w:tc>
            </w:tr>
            <w:tr w:rsidR="00E95FDE" w:rsidTr="005F1DAE">
              <w:tblPrEx>
                <w:tblCellMar>
                  <w:left w:w="108" w:type="dxa"/>
                  <w:right w:w="108" w:type="dxa"/>
                </w:tblCellMar>
              </w:tblPrEx>
              <w:trPr>
                <w:gridAfter w:val="1"/>
                <w:wAfter w:w="12" w:type="pct"/>
                <w:trHeight w:val="140"/>
              </w:trPr>
              <w:tc>
                <w:tcPr>
                  <w:tcW w:w="2494" w:type="pct"/>
                  <w:tcBorders>
                    <w:top w:val="nil"/>
                    <w:bottom w:val="nil"/>
                  </w:tcBorders>
                </w:tcPr>
                <w:p w:rsidR="00E95FDE" w:rsidRDefault="00381AB5" w:rsidP="0002275C">
                  <w:pPr>
                    <w:pStyle w:val="Figure"/>
                    <w:spacing w:before="0" w:after="0"/>
                    <w:rPr>
                      <w:noProof/>
                    </w:rPr>
                  </w:pPr>
                  <w:r>
                    <w:rPr>
                      <w:noProof/>
                    </w:rPr>
                    <w:drawing>
                      <wp:inline distT="0" distB="0" distL="0" distR="0" wp14:anchorId="5633D633" wp14:editId="1DAD4164">
                        <wp:extent cx="2553335" cy="2113280"/>
                        <wp:effectExtent l="0" t="0" r="0" b="0"/>
                        <wp:docPr id="28" name="Picture 28" descr="Indicates the effective marginal tax rates that our ten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53335" cy="2113280"/>
                                </a:xfrm>
                                <a:prstGeom prst="rect">
                                  <a:avLst/>
                                </a:prstGeom>
                                <a:noFill/>
                                <a:ln>
                                  <a:noFill/>
                                </a:ln>
                              </pic:spPr>
                            </pic:pic>
                          </a:graphicData>
                        </a:graphic>
                      </wp:inline>
                    </w:drawing>
                  </w:r>
                </w:p>
              </w:tc>
              <w:tc>
                <w:tcPr>
                  <w:tcW w:w="2494" w:type="pct"/>
                  <w:gridSpan w:val="2"/>
                  <w:tcBorders>
                    <w:top w:val="nil"/>
                    <w:bottom w:val="nil"/>
                  </w:tcBorders>
                </w:tcPr>
                <w:p w:rsidR="00E95FDE" w:rsidRDefault="00381AB5" w:rsidP="0002275C">
                  <w:pPr>
                    <w:pStyle w:val="Figure"/>
                    <w:spacing w:before="0" w:after="0"/>
                    <w:rPr>
                      <w:noProof/>
                    </w:rPr>
                  </w:pPr>
                  <w:r>
                    <w:rPr>
                      <w:noProof/>
                    </w:rPr>
                    <w:drawing>
                      <wp:inline distT="0" distB="0" distL="0" distR="0" wp14:anchorId="1AB24B28" wp14:editId="44FA0F5A">
                        <wp:extent cx="2553335" cy="2122170"/>
                        <wp:effectExtent l="0" t="0" r="0" b="0"/>
                        <wp:docPr id="29" name="Picture 29" descr="Indicates the effective marginal tax rates that our ten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53335" cy="2122170"/>
                                </a:xfrm>
                                <a:prstGeom prst="rect">
                                  <a:avLst/>
                                </a:prstGeom>
                                <a:noFill/>
                                <a:ln>
                                  <a:noFill/>
                                </a:ln>
                              </pic:spPr>
                            </pic:pic>
                          </a:graphicData>
                        </a:graphic>
                      </wp:inline>
                    </w:drawing>
                  </w:r>
                </w:p>
              </w:tc>
            </w:tr>
            <w:tr w:rsidR="00E95FDE" w:rsidTr="005F1DAE">
              <w:tblPrEx>
                <w:tblCellMar>
                  <w:left w:w="108" w:type="dxa"/>
                  <w:right w:w="108" w:type="dxa"/>
                </w:tblCellMar>
              </w:tblPrEx>
              <w:trPr>
                <w:gridAfter w:val="1"/>
                <w:wAfter w:w="12" w:type="pct"/>
                <w:trHeight w:val="140"/>
              </w:trPr>
              <w:tc>
                <w:tcPr>
                  <w:tcW w:w="4988" w:type="pct"/>
                  <w:gridSpan w:val="3"/>
                  <w:tcBorders>
                    <w:top w:val="nil"/>
                    <w:bottom w:val="nil"/>
                  </w:tcBorders>
                </w:tcPr>
                <w:p w:rsidR="00E95FDE" w:rsidRDefault="002011A6" w:rsidP="0002275C">
                  <w:pPr>
                    <w:pStyle w:val="Figure"/>
                    <w:spacing w:before="0" w:after="0"/>
                    <w:rPr>
                      <w:noProof/>
                    </w:rPr>
                  </w:pPr>
                  <w:r>
                    <w:rPr>
                      <w:noProof/>
                    </w:rPr>
                    <w:pict>
                      <v:shape id="_x0000_i1034" type="#_x0000_t75" alt="Legend for graphs" style="width:398.25pt;height:38.25pt">
                        <v:imagedata r:id="rId50" o:title=""/>
                      </v:shape>
                    </w:pict>
                  </w:r>
                </w:p>
              </w:tc>
            </w:tr>
          </w:tbl>
          <w:p w:rsidR="00E95FDE" w:rsidRDefault="00E95FDE" w:rsidP="005E3639">
            <w:pPr>
              <w:pStyle w:val="Box"/>
            </w:pPr>
          </w:p>
        </w:tc>
      </w:tr>
      <w:tr w:rsidR="00E95FDE" w:rsidTr="005E3639">
        <w:trPr>
          <w:cantSplit/>
        </w:trPr>
        <w:tc>
          <w:tcPr>
            <w:tcW w:w="8771" w:type="dxa"/>
            <w:tcBorders>
              <w:top w:val="nil"/>
              <w:left w:val="nil"/>
              <w:bottom w:val="nil"/>
              <w:right w:val="nil"/>
            </w:tcBorders>
            <w:shd w:val="clear" w:color="auto" w:fill="F2F2F2"/>
          </w:tcPr>
          <w:p w:rsidR="00E95FDE" w:rsidRDefault="002E4D88" w:rsidP="002E4D88">
            <w:pPr>
              <w:pStyle w:val="BoxSource"/>
            </w:pPr>
            <w:r>
              <w:rPr>
                <w:i/>
              </w:rPr>
              <w:t>Source</w:t>
            </w:r>
            <w:r w:rsidR="00E95FDE" w:rsidRPr="00167F06">
              <w:t xml:space="preserve">: </w:t>
            </w:r>
            <w:r w:rsidR="00B414DE">
              <w:t>Productivity Commission calculations.</w:t>
            </w:r>
          </w:p>
        </w:tc>
      </w:tr>
      <w:tr w:rsidR="00E95FDE" w:rsidTr="005E3639">
        <w:trPr>
          <w:cantSplit/>
        </w:trPr>
        <w:tc>
          <w:tcPr>
            <w:tcW w:w="8771" w:type="dxa"/>
            <w:tcBorders>
              <w:top w:val="nil"/>
              <w:left w:val="nil"/>
              <w:bottom w:val="single" w:sz="6" w:space="0" w:color="78A22F"/>
              <w:right w:val="nil"/>
            </w:tcBorders>
            <w:shd w:val="clear" w:color="auto" w:fill="F2F2F2"/>
          </w:tcPr>
          <w:p w:rsidR="00E95FDE" w:rsidRDefault="00E95FDE">
            <w:pPr>
              <w:pStyle w:val="Box"/>
              <w:spacing w:before="0" w:line="120" w:lineRule="exact"/>
            </w:pPr>
          </w:p>
        </w:tc>
      </w:tr>
      <w:tr w:rsidR="00E95FDE" w:rsidRPr="000863A5" w:rsidTr="005E3639">
        <w:tc>
          <w:tcPr>
            <w:tcW w:w="8771" w:type="dxa"/>
            <w:tcBorders>
              <w:top w:val="single" w:sz="6" w:space="0" w:color="78A22F"/>
              <w:left w:val="nil"/>
              <w:bottom w:val="nil"/>
              <w:right w:val="nil"/>
            </w:tcBorders>
          </w:tcPr>
          <w:p w:rsidR="00E95FDE" w:rsidRPr="00626D32" w:rsidRDefault="00E95FDE" w:rsidP="005E3639">
            <w:pPr>
              <w:pStyle w:val="BoxSpaceBelow"/>
            </w:pPr>
          </w:p>
        </w:tc>
      </w:tr>
    </w:tbl>
    <w:p w:rsidR="001554B8" w:rsidRDefault="001554B8" w:rsidP="00993596">
      <w:pPr>
        <w:pStyle w:val="BodyText"/>
      </w:pPr>
    </w:p>
    <w:sectPr w:rsidR="001554B8" w:rsidSect="000059ED">
      <w:headerReference w:type="even" r:id="rId51"/>
      <w:headerReference w:type="default" r:id="rId52"/>
      <w:footerReference w:type="even" r:id="rId53"/>
      <w:footerReference w:type="default" r:id="rId54"/>
      <w:pgSz w:w="11907" w:h="16840"/>
      <w:pgMar w:top="1984" w:right="1304" w:bottom="1247" w:left="1814" w:header="1701" w:footer="397" w:gutter="0"/>
      <w:pgNumType w:start="867" w:chapStyle="1" w:chapSep="period"/>
      <w:cols w:sep="1"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02C17B" w15:done="0"/>
  <w15:commentEx w15:paraId="15C567A0" w15:done="0"/>
  <w15:commentEx w15:paraId="512513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9BF" w:rsidRDefault="008709BF">
      <w:r>
        <w:separator/>
      </w:r>
    </w:p>
  </w:endnote>
  <w:endnote w:type="continuationSeparator" w:id="0">
    <w:p w:rsidR="008709BF" w:rsidRDefault="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709BF" w:rsidTr="005E3639">
      <w:trPr>
        <w:trHeight w:hRule="exact" w:val="567"/>
      </w:trPr>
      <w:tc>
        <w:tcPr>
          <w:tcW w:w="510" w:type="dxa"/>
        </w:tcPr>
        <w:p w:rsidR="008709BF" w:rsidRPr="00A24443" w:rsidRDefault="008709B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011A6">
            <w:rPr>
              <w:rStyle w:val="PageNumber"/>
              <w:caps w:val="0"/>
              <w:noProof/>
            </w:rPr>
            <w:t>900</w:t>
          </w:r>
          <w:r w:rsidRPr="00A24443">
            <w:rPr>
              <w:rStyle w:val="PageNumber"/>
              <w:caps w:val="0"/>
            </w:rPr>
            <w:fldChar w:fldCharType="end"/>
          </w:r>
        </w:p>
      </w:tc>
      <w:tc>
        <w:tcPr>
          <w:tcW w:w="7767" w:type="dxa"/>
        </w:tcPr>
        <w:p w:rsidR="008709BF" w:rsidRPr="0013739A" w:rsidRDefault="008709BF" w:rsidP="005E3639">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childhood Learning</w:t>
          </w:r>
          <w:r w:rsidRPr="00BA5B14">
            <w:rPr>
              <w:rFonts w:cs="Arial"/>
            </w:rPr>
            <w:fldChar w:fldCharType="end"/>
          </w:r>
          <w:bookmarkStart w:id="6" w:name="DraftReportEven"/>
          <w:bookmarkEnd w:id="6"/>
        </w:p>
      </w:tc>
      <w:tc>
        <w:tcPr>
          <w:tcW w:w="510" w:type="dxa"/>
        </w:tcPr>
        <w:p w:rsidR="008709BF" w:rsidRDefault="008709BF" w:rsidP="0019293B">
          <w:pPr>
            <w:pStyle w:val="Footer"/>
          </w:pPr>
        </w:p>
      </w:tc>
    </w:tr>
  </w:tbl>
  <w:p w:rsidR="008709BF" w:rsidRDefault="008709BF" w:rsidP="0019293B">
    <w:pPr>
      <w:pStyle w:val="FooterEnd"/>
    </w:pPr>
  </w:p>
  <w:p w:rsidR="008709BF" w:rsidRDefault="008709BF"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709BF" w:rsidTr="005E3639">
      <w:trPr>
        <w:trHeight w:hRule="exact" w:val="567"/>
      </w:trPr>
      <w:tc>
        <w:tcPr>
          <w:tcW w:w="510" w:type="dxa"/>
        </w:tcPr>
        <w:p w:rsidR="008709BF" w:rsidRDefault="008709BF">
          <w:pPr>
            <w:pStyle w:val="Footer"/>
            <w:ind w:right="360" w:firstLine="360"/>
          </w:pPr>
        </w:p>
      </w:tc>
      <w:tc>
        <w:tcPr>
          <w:tcW w:w="7767" w:type="dxa"/>
        </w:tcPr>
        <w:p w:rsidR="008709BF" w:rsidRPr="00BA5B14" w:rsidRDefault="008709BF" w:rsidP="005E3639">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Effective marginal tax rates</w:t>
          </w:r>
          <w:r w:rsidRPr="00BA5B14">
            <w:rPr>
              <w:rFonts w:cs="Arial"/>
            </w:rPr>
            <w:fldChar w:fldCharType="end"/>
          </w:r>
        </w:p>
      </w:tc>
      <w:tc>
        <w:tcPr>
          <w:tcW w:w="510" w:type="dxa"/>
        </w:tcPr>
        <w:p w:rsidR="008709BF" w:rsidRPr="00A24443" w:rsidRDefault="008709B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011A6">
            <w:rPr>
              <w:rStyle w:val="PageNumber"/>
              <w:caps w:val="0"/>
              <w:noProof/>
            </w:rPr>
            <w:t>867</w:t>
          </w:r>
          <w:r w:rsidRPr="00A24443">
            <w:rPr>
              <w:rStyle w:val="PageNumber"/>
              <w:caps w:val="0"/>
            </w:rPr>
            <w:fldChar w:fldCharType="end"/>
          </w:r>
        </w:p>
      </w:tc>
    </w:tr>
  </w:tbl>
  <w:p w:rsidR="008709BF" w:rsidRDefault="008709BF">
    <w:pPr>
      <w:pStyle w:val="FooterEnd"/>
    </w:pPr>
  </w:p>
  <w:p w:rsidR="008709BF" w:rsidRDefault="008709B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9BF" w:rsidRDefault="008709BF">
      <w:r>
        <w:separator/>
      </w:r>
    </w:p>
  </w:footnote>
  <w:footnote w:type="continuationSeparator" w:id="0">
    <w:p w:rsidR="008709BF" w:rsidRDefault="008709BF">
      <w:r>
        <w:continuationSeparator/>
      </w:r>
    </w:p>
  </w:footnote>
  <w:footnote w:id="1">
    <w:p w:rsidR="008709BF" w:rsidRDefault="008709BF" w:rsidP="00D26D17">
      <w:pPr>
        <w:pStyle w:val="FootnoteText"/>
      </w:pPr>
      <w:r>
        <w:rPr>
          <w:rStyle w:val="FootnoteReference"/>
        </w:rPr>
        <w:footnoteRef/>
      </w:r>
      <w:r>
        <w:t xml:space="preserve"> </w:t>
      </w:r>
      <w:r>
        <w:tab/>
        <w:t>This description is a simplification of process used to determine a family’s CCB. It also reorders the steps to allow a consistent comparison to be made with EMTRs for other payments — but the re-ordering of steps does not alter the outcome.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709BF" w:rsidTr="00D20136">
      <w:tc>
        <w:tcPr>
          <w:tcW w:w="2155" w:type="dxa"/>
          <w:tcBorders>
            <w:top w:val="single" w:sz="24" w:space="0" w:color="auto"/>
          </w:tcBorders>
        </w:tcPr>
        <w:p w:rsidR="008709BF" w:rsidRDefault="008709BF" w:rsidP="00D20136">
          <w:pPr>
            <w:pStyle w:val="HeaderEven"/>
          </w:pPr>
        </w:p>
      </w:tc>
      <w:tc>
        <w:tcPr>
          <w:tcW w:w="6634" w:type="dxa"/>
          <w:tcBorders>
            <w:top w:val="single" w:sz="6" w:space="0" w:color="auto"/>
          </w:tcBorders>
        </w:tcPr>
        <w:p w:rsidR="008709BF" w:rsidRDefault="008709BF" w:rsidP="00D20136">
          <w:pPr>
            <w:pStyle w:val="HeaderEven"/>
          </w:pPr>
        </w:p>
      </w:tc>
    </w:tr>
  </w:tbl>
  <w:p w:rsidR="008709BF" w:rsidRDefault="008709BF" w:rsidP="00D20136">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709BF">
      <w:tc>
        <w:tcPr>
          <w:tcW w:w="2155" w:type="dxa"/>
          <w:tcBorders>
            <w:top w:val="single" w:sz="24" w:space="0" w:color="auto"/>
          </w:tcBorders>
        </w:tcPr>
        <w:p w:rsidR="008709BF" w:rsidRDefault="008709BF" w:rsidP="0019293B">
          <w:pPr>
            <w:pStyle w:val="HeaderEven"/>
          </w:pPr>
        </w:p>
      </w:tc>
      <w:tc>
        <w:tcPr>
          <w:tcW w:w="6634" w:type="dxa"/>
          <w:tcBorders>
            <w:top w:val="single" w:sz="6" w:space="0" w:color="auto"/>
          </w:tcBorders>
        </w:tcPr>
        <w:p w:rsidR="008709BF" w:rsidRDefault="008709BF" w:rsidP="0019293B">
          <w:pPr>
            <w:pStyle w:val="HeaderEven"/>
          </w:pPr>
        </w:p>
      </w:tc>
    </w:tr>
  </w:tbl>
  <w:p w:rsidR="008709BF" w:rsidRDefault="008709BF" w:rsidP="0019293B">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E74BB2"/>
    <w:multiLevelType w:val="singleLevel"/>
    <w:tmpl w:val="66CC34AA"/>
    <w:lvl w:ilvl="0">
      <w:start w:val="1"/>
      <w:numFmt w:val="bullet"/>
      <w:lvlText w:val=""/>
      <w:lvlJc w:val="left"/>
      <w:pPr>
        <w:tabs>
          <w:tab w:val="num" w:pos="340"/>
        </w:tabs>
        <w:ind w:left="340" w:hanging="340"/>
      </w:pPr>
      <w:rPr>
        <w:rFonts w:ascii="Symbol" w:hAnsi="Symbol"/>
        <w:b w:val="0"/>
        <w:i w:val="0"/>
        <w:sz w:val="18"/>
      </w:rPr>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A7C70EA"/>
    <w:multiLevelType w:val="hybridMultilevel"/>
    <w:tmpl w:val="42CCE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C232B8"/>
    <w:multiLevelType w:val="singleLevel"/>
    <w:tmpl w:val="039AA380"/>
    <w:lvl w:ilvl="0">
      <w:start w:val="1"/>
      <w:numFmt w:val="bullet"/>
      <w:lvlText w:val=""/>
      <w:lvlJc w:val="left"/>
      <w:pPr>
        <w:tabs>
          <w:tab w:val="num" w:pos="170"/>
        </w:tabs>
        <w:ind w:left="170" w:hanging="170"/>
      </w:pPr>
      <w:rPr>
        <w:rFonts w:ascii="Symbol" w:hAnsi="Symbol"/>
        <w:b w:val="0"/>
        <w:i w:val="0"/>
        <w:sz w:val="18"/>
      </w:rPr>
    </w:lvl>
  </w:abstractNum>
  <w:abstractNum w:abstractNumId="8">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5D12C6E"/>
    <w:multiLevelType w:val="singleLevel"/>
    <w:tmpl w:val="4146A198"/>
    <w:lvl w:ilvl="0">
      <w:start w:val="1"/>
      <w:numFmt w:val="bullet"/>
      <w:lvlText w:val=""/>
      <w:lvlJc w:val="left"/>
      <w:pPr>
        <w:tabs>
          <w:tab w:val="num" w:pos="340"/>
        </w:tabs>
        <w:ind w:left="340" w:hanging="340"/>
      </w:pPr>
      <w:rPr>
        <w:rFonts w:ascii="Symbol" w:hAnsi="Symbol"/>
        <w:b w:val="0"/>
        <w:i w:val="0"/>
        <w:sz w:val="18"/>
      </w:rPr>
    </w:lvl>
  </w:abstractNum>
  <w:abstractNum w:abstractNumId="13">
    <w:nsid w:val="176116EB"/>
    <w:multiLevelType w:val="singleLevel"/>
    <w:tmpl w:val="650622E4"/>
    <w:lvl w:ilvl="0">
      <w:numFmt w:val="bullet"/>
      <w:lvlText w:val="–"/>
      <w:lvlJc w:val="left"/>
      <w:pPr>
        <w:tabs>
          <w:tab w:val="num" w:pos="360"/>
        </w:tabs>
        <w:ind w:left="227" w:hanging="227"/>
      </w:pPr>
      <w:rPr>
        <w:rFonts w:ascii="Times New Roman" w:hAnsi="Times New Roman"/>
      </w:rPr>
    </w:lvl>
  </w:abstractNum>
  <w:abstractNum w:abstractNumId="1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nsid w:val="243A0FDD"/>
    <w:multiLevelType w:val="singleLevel"/>
    <w:tmpl w:val="4438961C"/>
    <w:lvl w:ilvl="0">
      <w:numFmt w:val="bullet"/>
      <w:lvlText w:val="–"/>
      <w:lvlJc w:val="left"/>
      <w:pPr>
        <w:tabs>
          <w:tab w:val="num" w:pos="680"/>
        </w:tabs>
        <w:ind w:left="680" w:hanging="340"/>
      </w:pPr>
      <w:rPr>
        <w:rFonts w:ascii="Times New Roman" w:hAnsi="Times New Roman"/>
      </w:rPr>
    </w:lvl>
  </w:abstractNum>
  <w:abstractNum w:abstractNumId="16">
    <w:nsid w:val="261E15A3"/>
    <w:multiLevelType w:val="multilevel"/>
    <w:tmpl w:val="C444122C"/>
    <w:lvl w:ilvl="0">
      <w:start w:val="1"/>
      <w:numFmt w:val="decimal"/>
      <w:lvlText w:val="%1."/>
      <w:lvlJc w:val="left"/>
      <w:pPr>
        <w:tabs>
          <w:tab w:val="num" w:pos="340"/>
        </w:tabs>
        <w:ind w:left="340" w:hanging="340"/>
      </w:pPr>
    </w:lvl>
    <w:lvl w:ilvl="1">
      <w:start w:val="1"/>
      <w:numFmt w:val="lowerLetter"/>
      <w:lvlText w:val=""/>
      <w:lvlJc w:val="left"/>
      <w:pPr>
        <w:tabs>
          <w:tab w:val="num" w:pos="794"/>
        </w:tabs>
        <w:ind w:left="794" w:hanging="454"/>
      </w:pPr>
    </w:lvl>
    <w:lvl w:ilvl="2">
      <w:start w:val="1"/>
      <w:numFmt w:val="lowerRoman"/>
      <w:lvlText w:val=""/>
      <w:lvlJc w:val="left"/>
      <w:pPr>
        <w:tabs>
          <w:tab w:val="num" w:pos="1304"/>
        </w:tabs>
        <w:ind w:left="1304" w:hanging="51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69C5FCC"/>
    <w:multiLevelType w:val="hybridMultilevel"/>
    <w:tmpl w:val="3E0CC5BA"/>
    <w:lvl w:ilvl="0" w:tplc="8E9EDF8E">
      <w:numFmt w:val="bullet"/>
      <w:lvlText w:val=""/>
      <w:lvlJc w:val="left"/>
      <w:pPr>
        <w:ind w:left="1004" w:hanging="360"/>
      </w:pPr>
      <w:rPr>
        <w:rFonts w:ascii="Symbol" w:hAnsi="Symbol"/>
        <w:sz w:val="18"/>
      </w:rPr>
    </w:lvl>
    <w:lvl w:ilvl="1" w:tplc="DDEC69E2">
      <w:start w:val="1"/>
      <w:numFmt w:val="bullet"/>
      <w:lvlText w:val="o"/>
      <w:lvlJc w:val="left"/>
      <w:pPr>
        <w:ind w:left="1724" w:hanging="360"/>
      </w:pPr>
      <w:rPr>
        <w:rFonts w:ascii="Courier New" w:hAnsi="Courier New"/>
      </w:rPr>
    </w:lvl>
    <w:lvl w:ilvl="2" w:tplc="88BC39FC">
      <w:start w:val="1"/>
      <w:numFmt w:val="bullet"/>
      <w:lvlText w:val=""/>
      <w:lvlJc w:val="left"/>
      <w:pPr>
        <w:ind w:left="2444" w:hanging="360"/>
      </w:pPr>
      <w:rPr>
        <w:rFonts w:ascii="Wingdings" w:hAnsi="Wingdings"/>
      </w:rPr>
    </w:lvl>
    <w:lvl w:ilvl="3" w:tplc="E5E66CDE">
      <w:start w:val="1"/>
      <w:numFmt w:val="bullet"/>
      <w:lvlText w:val=""/>
      <w:lvlJc w:val="left"/>
      <w:pPr>
        <w:ind w:left="3164" w:hanging="360"/>
      </w:pPr>
      <w:rPr>
        <w:rFonts w:ascii="Symbol" w:hAnsi="Symbol"/>
      </w:rPr>
    </w:lvl>
    <w:lvl w:ilvl="4" w:tplc="10E0DDDE">
      <w:start w:val="1"/>
      <w:numFmt w:val="bullet"/>
      <w:lvlText w:val="o"/>
      <w:lvlJc w:val="left"/>
      <w:pPr>
        <w:ind w:left="3884" w:hanging="360"/>
      </w:pPr>
      <w:rPr>
        <w:rFonts w:ascii="Courier New" w:hAnsi="Courier New"/>
      </w:rPr>
    </w:lvl>
    <w:lvl w:ilvl="5" w:tplc="45F664FA">
      <w:start w:val="1"/>
      <w:numFmt w:val="bullet"/>
      <w:lvlText w:val=""/>
      <w:lvlJc w:val="left"/>
      <w:pPr>
        <w:ind w:left="4604" w:hanging="360"/>
      </w:pPr>
      <w:rPr>
        <w:rFonts w:ascii="Wingdings" w:hAnsi="Wingdings"/>
      </w:rPr>
    </w:lvl>
    <w:lvl w:ilvl="6" w:tplc="2722898E">
      <w:start w:val="1"/>
      <w:numFmt w:val="bullet"/>
      <w:lvlText w:val=""/>
      <w:lvlJc w:val="left"/>
      <w:pPr>
        <w:ind w:left="5324" w:hanging="360"/>
      </w:pPr>
      <w:rPr>
        <w:rFonts w:ascii="Symbol" w:hAnsi="Symbol"/>
      </w:rPr>
    </w:lvl>
    <w:lvl w:ilvl="7" w:tplc="91E47206">
      <w:start w:val="1"/>
      <w:numFmt w:val="bullet"/>
      <w:lvlText w:val="o"/>
      <w:lvlJc w:val="left"/>
      <w:pPr>
        <w:ind w:left="6044" w:hanging="360"/>
      </w:pPr>
      <w:rPr>
        <w:rFonts w:ascii="Courier New" w:hAnsi="Courier New"/>
      </w:rPr>
    </w:lvl>
    <w:lvl w:ilvl="8" w:tplc="B3F8E478">
      <w:start w:val="1"/>
      <w:numFmt w:val="bullet"/>
      <w:lvlText w:val=""/>
      <w:lvlJc w:val="left"/>
      <w:pPr>
        <w:ind w:left="6764" w:hanging="360"/>
      </w:pPr>
      <w:rPr>
        <w:rFonts w:ascii="Wingdings" w:hAnsi="Wingdings"/>
      </w:rPr>
    </w:lvl>
  </w:abstractNum>
  <w:abstractNum w:abstractNumId="1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nsid w:val="336A3772"/>
    <w:multiLevelType w:val="singleLevel"/>
    <w:tmpl w:val="315ABD1E"/>
    <w:lvl w:ilvl="0">
      <w:numFmt w:val="bullet"/>
      <w:lvlText w:val=""/>
      <w:lvlJc w:val="left"/>
      <w:pPr>
        <w:tabs>
          <w:tab w:val="num" w:pos="340"/>
        </w:tabs>
        <w:ind w:left="340" w:hanging="340"/>
      </w:pPr>
      <w:rPr>
        <w:rFonts w:ascii="Symbol" w:hAnsi="Symbol"/>
        <w:sz w:val="18"/>
      </w:rPr>
    </w:lvl>
  </w:abstractNum>
  <w:abstractNum w:abstractNumId="21">
    <w:nsid w:val="34AD1D3B"/>
    <w:multiLevelType w:val="singleLevel"/>
    <w:tmpl w:val="52F61D9A"/>
    <w:lvl w:ilvl="0">
      <w:start w:val="1"/>
      <w:numFmt w:val="bullet"/>
      <w:lvlText w:val=""/>
      <w:lvlJc w:val="left"/>
      <w:pPr>
        <w:tabs>
          <w:tab w:val="num" w:pos="284"/>
        </w:tabs>
        <w:ind w:left="284" w:hanging="284"/>
      </w:pPr>
      <w:rPr>
        <w:rFonts w:ascii="Symbol" w:hAnsi="Symbol"/>
        <w:sz w:val="18"/>
      </w:rPr>
    </w:lvl>
  </w:abstractNum>
  <w:abstractNum w:abstractNumId="22">
    <w:nsid w:val="35983C6E"/>
    <w:multiLevelType w:val="singleLevel"/>
    <w:tmpl w:val="C05AE1DC"/>
    <w:lvl w:ilvl="0">
      <w:start w:val="1"/>
      <w:numFmt w:val="bullet"/>
      <w:lvlText w:val=""/>
      <w:lvlJc w:val="left"/>
      <w:pPr>
        <w:tabs>
          <w:tab w:val="num" w:pos="1021"/>
        </w:tabs>
        <w:ind w:left="1021" w:hanging="341"/>
      </w:pPr>
      <w:rPr>
        <w:rFonts w:ascii="MT Extra" w:hAnsi="MT Extra"/>
        <w:b w:val="0"/>
        <w:i w:val="0"/>
        <w:sz w:val="16"/>
      </w:r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117503"/>
    <w:multiLevelType w:val="singleLevel"/>
    <w:tmpl w:val="AB185BC4"/>
    <w:lvl w:ilvl="0">
      <w:numFmt w:val="bullet"/>
      <w:lvlText w:val="–"/>
      <w:lvlJc w:val="left"/>
      <w:pPr>
        <w:tabs>
          <w:tab w:val="num" w:pos="567"/>
        </w:tabs>
        <w:ind w:left="567" w:hanging="283"/>
      </w:pPr>
      <w:rPr>
        <w:rFonts w:ascii="Times New Roman" w:hAnsi="Times New Roman"/>
      </w:r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8">
    <w:nsid w:val="57B46599"/>
    <w:multiLevelType w:val="hybridMultilevel"/>
    <w:tmpl w:val="5F24570C"/>
    <w:lvl w:ilvl="0" w:tplc="8348FEE2">
      <w:start w:val="1"/>
      <w:numFmt w:val="bullet"/>
      <w:lvlText w:val=""/>
      <w:lvlJc w:val="left"/>
      <w:pPr>
        <w:tabs>
          <w:tab w:val="num" w:pos="318"/>
        </w:tabs>
        <w:ind w:left="318" w:hanging="318"/>
      </w:pPr>
      <w:rPr>
        <w:rFonts w:ascii="Symbol" w:hAnsi="Symbol"/>
        <w:sz w:val="20"/>
      </w:rPr>
    </w:lvl>
    <w:lvl w:ilvl="1" w:tplc="C98CB318">
      <w:start w:val="1"/>
      <w:numFmt w:val="bullet"/>
      <w:lvlText w:val="o"/>
      <w:lvlJc w:val="left"/>
      <w:pPr>
        <w:tabs>
          <w:tab w:val="num" w:pos="1440"/>
        </w:tabs>
        <w:ind w:left="1440" w:hanging="360"/>
      </w:pPr>
      <w:rPr>
        <w:rFonts w:ascii="Courier New" w:hAnsi="Courier New"/>
      </w:rPr>
    </w:lvl>
    <w:lvl w:ilvl="2" w:tplc="2F08CF8C">
      <w:start w:val="1"/>
      <w:numFmt w:val="bullet"/>
      <w:lvlText w:val=""/>
      <w:lvlJc w:val="left"/>
      <w:pPr>
        <w:tabs>
          <w:tab w:val="num" w:pos="2160"/>
        </w:tabs>
        <w:ind w:left="2160" w:hanging="360"/>
      </w:pPr>
      <w:rPr>
        <w:rFonts w:ascii="Wingdings" w:hAnsi="Wingdings"/>
      </w:rPr>
    </w:lvl>
    <w:lvl w:ilvl="3" w:tplc="AE3839E2">
      <w:start w:val="1"/>
      <w:numFmt w:val="bullet"/>
      <w:lvlText w:val=""/>
      <w:lvlJc w:val="left"/>
      <w:pPr>
        <w:tabs>
          <w:tab w:val="num" w:pos="2880"/>
        </w:tabs>
        <w:ind w:left="2880" w:hanging="360"/>
      </w:pPr>
      <w:rPr>
        <w:rFonts w:ascii="Symbol" w:hAnsi="Symbol"/>
      </w:rPr>
    </w:lvl>
    <w:lvl w:ilvl="4" w:tplc="05142B6E">
      <w:start w:val="1"/>
      <w:numFmt w:val="bullet"/>
      <w:lvlText w:val="o"/>
      <w:lvlJc w:val="left"/>
      <w:pPr>
        <w:tabs>
          <w:tab w:val="num" w:pos="3600"/>
        </w:tabs>
        <w:ind w:left="3600" w:hanging="360"/>
      </w:pPr>
      <w:rPr>
        <w:rFonts w:ascii="Courier New" w:hAnsi="Courier New"/>
      </w:rPr>
    </w:lvl>
    <w:lvl w:ilvl="5" w:tplc="81147E9A">
      <w:start w:val="1"/>
      <w:numFmt w:val="bullet"/>
      <w:lvlText w:val=""/>
      <w:lvlJc w:val="left"/>
      <w:pPr>
        <w:tabs>
          <w:tab w:val="num" w:pos="4320"/>
        </w:tabs>
        <w:ind w:left="4320" w:hanging="360"/>
      </w:pPr>
      <w:rPr>
        <w:rFonts w:ascii="Wingdings" w:hAnsi="Wingdings"/>
      </w:rPr>
    </w:lvl>
    <w:lvl w:ilvl="6" w:tplc="57105986">
      <w:start w:val="1"/>
      <w:numFmt w:val="bullet"/>
      <w:lvlText w:val=""/>
      <w:lvlJc w:val="left"/>
      <w:pPr>
        <w:tabs>
          <w:tab w:val="num" w:pos="5040"/>
        </w:tabs>
        <w:ind w:left="5040" w:hanging="360"/>
      </w:pPr>
      <w:rPr>
        <w:rFonts w:ascii="Symbol" w:hAnsi="Symbol"/>
      </w:rPr>
    </w:lvl>
    <w:lvl w:ilvl="7" w:tplc="EF508F70">
      <w:start w:val="1"/>
      <w:numFmt w:val="bullet"/>
      <w:lvlText w:val="o"/>
      <w:lvlJc w:val="left"/>
      <w:pPr>
        <w:tabs>
          <w:tab w:val="num" w:pos="5760"/>
        </w:tabs>
        <w:ind w:left="5760" w:hanging="360"/>
      </w:pPr>
      <w:rPr>
        <w:rFonts w:ascii="Courier New" w:hAnsi="Courier New"/>
      </w:rPr>
    </w:lvl>
    <w:lvl w:ilvl="8" w:tplc="496E87D0">
      <w:start w:val="1"/>
      <w:numFmt w:val="bullet"/>
      <w:lvlText w:val=""/>
      <w:lvlJc w:val="left"/>
      <w:pPr>
        <w:tabs>
          <w:tab w:val="num" w:pos="6480"/>
        </w:tabs>
        <w:ind w:left="6480" w:hanging="360"/>
      </w:pPr>
      <w:rPr>
        <w:rFonts w:ascii="Wingdings" w:hAnsi="Wingdings"/>
      </w:rPr>
    </w:lvl>
  </w:abstractNum>
  <w:abstractNum w:abstractNumId="2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5A052A9F"/>
    <w:multiLevelType w:val="multilevel"/>
    <w:tmpl w:val="3B188B36"/>
    <w:lvl w:ilvl="0">
      <w:start w:val="1"/>
      <w:numFmt w:val="decimal"/>
      <w:lvlText w:val="%1."/>
      <w:lvlJc w:val="left"/>
      <w:pPr>
        <w:tabs>
          <w:tab w:val="num" w:pos="284"/>
        </w:tabs>
        <w:ind w:left="284" w:hanging="284"/>
      </w:pPr>
    </w:lvl>
    <w:lvl w:ilvl="1">
      <w:start w:val="1"/>
      <w:numFmt w:val="lowerLetter"/>
      <w:lvlText w:val=""/>
      <w:lvlJc w:val="left"/>
      <w:pPr>
        <w:tabs>
          <w:tab w:val="num" w:pos="680"/>
        </w:tabs>
        <w:ind w:left="680" w:hanging="396"/>
      </w:pPr>
    </w:lvl>
    <w:lvl w:ilvl="2">
      <w:start w:val="1"/>
      <w:numFmt w:val="lowerRoman"/>
      <w:lvlText w:val="%3)"/>
      <w:lvlJc w:val="left"/>
      <w:pPr>
        <w:tabs>
          <w:tab w:val="num" w:pos="1304"/>
        </w:tabs>
        <w:ind w:left="1304" w:hanging="51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E37B69"/>
    <w:multiLevelType w:val="singleLevel"/>
    <w:tmpl w:val="775A3F3A"/>
    <w:lvl w:ilvl="0">
      <w:start w:val="1"/>
      <w:numFmt w:val="bullet"/>
      <w:lvlText w:val=""/>
      <w:lvlJc w:val="left"/>
      <w:pPr>
        <w:tabs>
          <w:tab w:val="num" w:pos="680"/>
        </w:tabs>
        <w:ind w:left="680" w:hanging="340"/>
      </w:pPr>
      <w:rPr>
        <w:rFonts w:ascii="Symbol" w:hAnsi="Symbol"/>
        <w:sz w:val="18"/>
      </w:rPr>
    </w:lvl>
  </w:abstractNum>
  <w:abstractNum w:abstractNumId="3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D84EB8"/>
    <w:multiLevelType w:val="singleLevel"/>
    <w:tmpl w:val="B4C476FC"/>
    <w:lvl w:ilvl="0">
      <w:start w:val="1"/>
      <w:numFmt w:val="bullet"/>
      <w:lvlText w:val=""/>
      <w:lvlJc w:val="left"/>
      <w:pPr>
        <w:tabs>
          <w:tab w:val="num" w:pos="340"/>
        </w:tabs>
        <w:ind w:left="340" w:hanging="340"/>
      </w:pPr>
      <w:rPr>
        <w:rFonts w:ascii="Symbol" w:hAnsi="Symbol"/>
        <w:b w:val="0"/>
        <w:i w:val="0"/>
        <w:sz w:val="18"/>
      </w:rPr>
    </w:lvl>
  </w:abstractNum>
  <w:abstractNum w:abstractNumId="3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5">
    <w:nsid w:val="66E40A3A"/>
    <w:multiLevelType w:val="hybridMultilevel"/>
    <w:tmpl w:val="0C44FF7A"/>
    <w:lvl w:ilvl="0" w:tplc="3CE22C7A">
      <w:start w:val="1"/>
      <w:numFmt w:val="bullet"/>
      <w:lvlText w:val=""/>
      <w:lvlJc w:val="left"/>
      <w:pPr>
        <w:ind w:left="1287" w:hanging="360"/>
      </w:pPr>
      <w:rPr>
        <w:rFonts w:ascii="MT Extra" w:hAnsi="MT Extra"/>
        <w:b w:val="0"/>
        <w:i w:val="0"/>
        <w:sz w:val="16"/>
      </w:rPr>
    </w:lvl>
    <w:lvl w:ilvl="1" w:tplc="D32CDC92">
      <w:start w:val="1"/>
      <w:numFmt w:val="bullet"/>
      <w:lvlText w:val="o"/>
      <w:lvlJc w:val="left"/>
      <w:pPr>
        <w:ind w:left="2007" w:hanging="360"/>
      </w:pPr>
      <w:rPr>
        <w:rFonts w:ascii="Courier New" w:hAnsi="Courier New"/>
      </w:rPr>
    </w:lvl>
    <w:lvl w:ilvl="2" w:tplc="87B4AB66">
      <w:start w:val="1"/>
      <w:numFmt w:val="bullet"/>
      <w:lvlText w:val=""/>
      <w:lvlJc w:val="left"/>
      <w:pPr>
        <w:ind w:left="2727" w:hanging="360"/>
      </w:pPr>
      <w:rPr>
        <w:rFonts w:ascii="Wingdings" w:hAnsi="Wingdings"/>
      </w:rPr>
    </w:lvl>
    <w:lvl w:ilvl="3" w:tplc="E2068322">
      <w:start w:val="1"/>
      <w:numFmt w:val="bullet"/>
      <w:lvlText w:val=""/>
      <w:lvlJc w:val="left"/>
      <w:pPr>
        <w:ind w:left="3447" w:hanging="360"/>
      </w:pPr>
      <w:rPr>
        <w:rFonts w:ascii="Symbol" w:hAnsi="Symbol"/>
      </w:rPr>
    </w:lvl>
    <w:lvl w:ilvl="4" w:tplc="21E22EF4">
      <w:start w:val="1"/>
      <w:numFmt w:val="bullet"/>
      <w:lvlText w:val="o"/>
      <w:lvlJc w:val="left"/>
      <w:pPr>
        <w:ind w:left="4167" w:hanging="360"/>
      </w:pPr>
      <w:rPr>
        <w:rFonts w:ascii="Courier New" w:hAnsi="Courier New"/>
      </w:rPr>
    </w:lvl>
    <w:lvl w:ilvl="5" w:tplc="AC4A0882">
      <w:start w:val="1"/>
      <w:numFmt w:val="bullet"/>
      <w:lvlText w:val=""/>
      <w:lvlJc w:val="left"/>
      <w:pPr>
        <w:ind w:left="4887" w:hanging="360"/>
      </w:pPr>
      <w:rPr>
        <w:rFonts w:ascii="Wingdings" w:hAnsi="Wingdings"/>
      </w:rPr>
    </w:lvl>
    <w:lvl w:ilvl="6" w:tplc="D4E057E4">
      <w:start w:val="1"/>
      <w:numFmt w:val="bullet"/>
      <w:lvlText w:val=""/>
      <w:lvlJc w:val="left"/>
      <w:pPr>
        <w:ind w:left="5607" w:hanging="360"/>
      </w:pPr>
      <w:rPr>
        <w:rFonts w:ascii="Symbol" w:hAnsi="Symbol"/>
      </w:rPr>
    </w:lvl>
    <w:lvl w:ilvl="7" w:tplc="2F2ABC5C">
      <w:start w:val="1"/>
      <w:numFmt w:val="bullet"/>
      <w:lvlText w:val="o"/>
      <w:lvlJc w:val="left"/>
      <w:pPr>
        <w:ind w:left="6327" w:hanging="360"/>
      </w:pPr>
      <w:rPr>
        <w:rFonts w:ascii="Courier New" w:hAnsi="Courier New"/>
      </w:rPr>
    </w:lvl>
    <w:lvl w:ilvl="8" w:tplc="A2A624B8">
      <w:start w:val="1"/>
      <w:numFmt w:val="bullet"/>
      <w:lvlText w:val=""/>
      <w:lvlJc w:val="left"/>
      <w:pPr>
        <w:ind w:left="7047" w:hanging="360"/>
      </w:pPr>
      <w:rPr>
        <w:rFonts w:ascii="Wingdings" w:hAnsi="Wingdings"/>
      </w:rPr>
    </w:lvl>
  </w:abstractNum>
  <w:abstractNum w:abstractNumId="36">
    <w:nsid w:val="72D361AB"/>
    <w:multiLevelType w:val="hybridMultilevel"/>
    <w:tmpl w:val="8B002072"/>
    <w:lvl w:ilvl="0" w:tplc="9214B168">
      <w:start w:val="1"/>
      <w:numFmt w:val="bullet"/>
      <w:lvlText w:val=""/>
      <w:lvlJc w:val="left"/>
      <w:pPr>
        <w:ind w:left="360" w:hanging="360"/>
      </w:pPr>
      <w:rPr>
        <w:rFonts w:ascii="Symbol" w:hAnsi="Symbol"/>
        <w:sz w:val="18"/>
      </w:rPr>
    </w:lvl>
    <w:lvl w:ilvl="1" w:tplc="7784995C">
      <w:start w:val="1"/>
      <w:numFmt w:val="bullet"/>
      <w:lvlText w:val="o"/>
      <w:lvlJc w:val="left"/>
      <w:pPr>
        <w:ind w:left="1440" w:hanging="360"/>
      </w:pPr>
      <w:rPr>
        <w:rFonts w:ascii="Courier New" w:hAnsi="Courier New"/>
      </w:rPr>
    </w:lvl>
    <w:lvl w:ilvl="2" w:tplc="CB62EA78">
      <w:start w:val="1"/>
      <w:numFmt w:val="bullet"/>
      <w:lvlText w:val=""/>
      <w:lvlJc w:val="left"/>
      <w:pPr>
        <w:ind w:left="2160" w:hanging="360"/>
      </w:pPr>
      <w:rPr>
        <w:rFonts w:ascii="Wingdings" w:hAnsi="Wingdings"/>
      </w:rPr>
    </w:lvl>
    <w:lvl w:ilvl="3" w:tplc="88688F7A">
      <w:start w:val="1"/>
      <w:numFmt w:val="bullet"/>
      <w:lvlText w:val=""/>
      <w:lvlJc w:val="left"/>
      <w:pPr>
        <w:ind w:left="2880" w:hanging="360"/>
      </w:pPr>
      <w:rPr>
        <w:rFonts w:ascii="Symbol" w:hAnsi="Symbol"/>
      </w:rPr>
    </w:lvl>
    <w:lvl w:ilvl="4" w:tplc="D7DEE1A0">
      <w:start w:val="1"/>
      <w:numFmt w:val="bullet"/>
      <w:lvlText w:val="o"/>
      <w:lvlJc w:val="left"/>
      <w:pPr>
        <w:ind w:left="3600" w:hanging="360"/>
      </w:pPr>
      <w:rPr>
        <w:rFonts w:ascii="Courier New" w:hAnsi="Courier New"/>
      </w:rPr>
    </w:lvl>
    <w:lvl w:ilvl="5" w:tplc="77A681F2">
      <w:start w:val="1"/>
      <w:numFmt w:val="bullet"/>
      <w:lvlText w:val=""/>
      <w:lvlJc w:val="left"/>
      <w:pPr>
        <w:ind w:left="4320" w:hanging="360"/>
      </w:pPr>
      <w:rPr>
        <w:rFonts w:ascii="Wingdings" w:hAnsi="Wingdings"/>
      </w:rPr>
    </w:lvl>
    <w:lvl w:ilvl="6" w:tplc="97288762">
      <w:start w:val="1"/>
      <w:numFmt w:val="bullet"/>
      <w:lvlText w:val=""/>
      <w:lvlJc w:val="left"/>
      <w:pPr>
        <w:ind w:left="5040" w:hanging="360"/>
      </w:pPr>
      <w:rPr>
        <w:rFonts w:ascii="Symbol" w:hAnsi="Symbol"/>
      </w:rPr>
    </w:lvl>
    <w:lvl w:ilvl="7" w:tplc="46D0EC02">
      <w:start w:val="1"/>
      <w:numFmt w:val="bullet"/>
      <w:lvlText w:val="o"/>
      <w:lvlJc w:val="left"/>
      <w:pPr>
        <w:ind w:left="5760" w:hanging="360"/>
      </w:pPr>
      <w:rPr>
        <w:rFonts w:ascii="Courier New" w:hAnsi="Courier New"/>
      </w:rPr>
    </w:lvl>
    <w:lvl w:ilvl="8" w:tplc="AC84B262">
      <w:start w:val="1"/>
      <w:numFmt w:val="bullet"/>
      <w:lvlText w:val=""/>
      <w:lvlJc w:val="left"/>
      <w:pPr>
        <w:ind w:left="6480" w:hanging="360"/>
      </w:pPr>
      <w:rPr>
        <w:rFonts w:ascii="Wingdings" w:hAnsi="Wingdings"/>
      </w:rPr>
    </w:lvl>
  </w:abstractNum>
  <w:abstractNum w:abstractNumId="3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1"/>
  </w:num>
  <w:num w:numId="2">
    <w:abstractNumId w:val="2"/>
  </w:num>
  <w:num w:numId="3">
    <w:abstractNumId w:val="28"/>
  </w:num>
  <w:num w:numId="4">
    <w:abstractNumId w:val="20"/>
  </w:num>
  <w:num w:numId="5">
    <w:abstractNumId w:val="15"/>
  </w:num>
  <w:num w:numId="6">
    <w:abstractNumId w:val="22"/>
  </w:num>
  <w:num w:numId="7">
    <w:abstractNumId w:val="31"/>
  </w:num>
  <w:num w:numId="8">
    <w:abstractNumId w:val="33"/>
  </w:num>
  <w:num w:numId="9">
    <w:abstractNumId w:val="13"/>
  </w:num>
  <w:num w:numId="10">
    <w:abstractNumId w:val="7"/>
  </w:num>
  <w:num w:numId="11">
    <w:abstractNumId w:val="16"/>
  </w:num>
  <w:num w:numId="12">
    <w:abstractNumId w:val="30"/>
  </w:num>
  <w:num w:numId="13">
    <w:abstractNumId w:val="12"/>
  </w:num>
  <w:num w:numId="14">
    <w:abstractNumId w:val="17"/>
  </w:num>
  <w:num w:numId="15">
    <w:abstractNumId w:val="36"/>
  </w:num>
  <w:num w:numId="16">
    <w:abstractNumId w:val="24"/>
  </w:num>
  <w:num w:numId="17">
    <w:abstractNumId w:val="3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19"/>
  </w:num>
  <w:num w:numId="23">
    <w:abstractNumId w:val="5"/>
  </w:num>
  <w:num w:numId="24">
    <w:abstractNumId w:val="8"/>
  </w:num>
  <w:num w:numId="25">
    <w:abstractNumId w:val="25"/>
  </w:num>
  <w:num w:numId="26">
    <w:abstractNumId w:val="4"/>
  </w:num>
  <w:num w:numId="27">
    <w:abstractNumId w:val="34"/>
  </w:num>
  <w:num w:numId="28">
    <w:abstractNumId w:val="27"/>
  </w:num>
  <w:num w:numId="29">
    <w:abstractNumId w:val="10"/>
  </w:num>
  <w:num w:numId="30">
    <w:abstractNumId w:val="26"/>
  </w:num>
  <w:num w:numId="31">
    <w:abstractNumId w:val="9"/>
  </w:num>
  <w:num w:numId="32">
    <w:abstractNumId w:val="14"/>
  </w:num>
  <w:num w:numId="33">
    <w:abstractNumId w:val="18"/>
  </w:num>
  <w:num w:numId="34">
    <w:abstractNumId w:val="29"/>
  </w:num>
  <w:num w:numId="35">
    <w:abstractNumId w:val="37"/>
  </w:num>
  <w:num w:numId="36">
    <w:abstractNumId w:val="23"/>
  </w:num>
  <w:num w:numId="37">
    <w:abstractNumId w:val="38"/>
  </w:num>
  <w:num w:numId="38">
    <w:abstractNumId w:val="0"/>
  </w:num>
  <w:num w:numId="39">
    <w:abstractNumId w:val="32"/>
  </w:num>
  <w:num w:numId="40">
    <w:abstractNumId w:val="11"/>
  </w:num>
  <w:num w:numId="41">
    <w:abstractNumId w:val="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and Ros Bell">
    <w15:presenceInfo w15:providerId="Windows Live" w15:userId="87bd8004c7749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E"/>
    <w:docVar w:name="FindingOptions" w:val="1"/>
    <w:docVar w:name="RecOptions" w:val="111"/>
    <w:docVar w:name="ShortChapterTitle" w:val="Effective marginal tax rates"/>
    <w:docVar w:name="ShortReportTitle" w:val="Childcare and Early childhood Learning"/>
  </w:docVars>
  <w:rsids>
    <w:rsidRoot w:val="00492DA8"/>
    <w:rsid w:val="00000C98"/>
    <w:rsid w:val="00004045"/>
    <w:rsid w:val="000049C3"/>
    <w:rsid w:val="000059ED"/>
    <w:rsid w:val="00005E2F"/>
    <w:rsid w:val="00006985"/>
    <w:rsid w:val="0002153D"/>
    <w:rsid w:val="000226D4"/>
    <w:rsid w:val="0002275C"/>
    <w:rsid w:val="000227D5"/>
    <w:rsid w:val="00022D19"/>
    <w:rsid w:val="000245AA"/>
    <w:rsid w:val="00025B27"/>
    <w:rsid w:val="000266E5"/>
    <w:rsid w:val="000309AA"/>
    <w:rsid w:val="000326D3"/>
    <w:rsid w:val="00036265"/>
    <w:rsid w:val="0003664B"/>
    <w:rsid w:val="0004111F"/>
    <w:rsid w:val="00053392"/>
    <w:rsid w:val="000565B3"/>
    <w:rsid w:val="000565F2"/>
    <w:rsid w:val="000579A3"/>
    <w:rsid w:val="00060694"/>
    <w:rsid w:val="00065EFD"/>
    <w:rsid w:val="00070045"/>
    <w:rsid w:val="0007150B"/>
    <w:rsid w:val="00075782"/>
    <w:rsid w:val="00075AC8"/>
    <w:rsid w:val="00080372"/>
    <w:rsid w:val="0009224F"/>
    <w:rsid w:val="0009285D"/>
    <w:rsid w:val="000928DE"/>
    <w:rsid w:val="000938F5"/>
    <w:rsid w:val="00093DB2"/>
    <w:rsid w:val="00096372"/>
    <w:rsid w:val="0009657E"/>
    <w:rsid w:val="0009676A"/>
    <w:rsid w:val="00096882"/>
    <w:rsid w:val="00096E55"/>
    <w:rsid w:val="000A0268"/>
    <w:rsid w:val="000A1060"/>
    <w:rsid w:val="000A56AD"/>
    <w:rsid w:val="000A56B6"/>
    <w:rsid w:val="000B601B"/>
    <w:rsid w:val="000B7E8D"/>
    <w:rsid w:val="000C207E"/>
    <w:rsid w:val="000C6143"/>
    <w:rsid w:val="000C6466"/>
    <w:rsid w:val="000D0731"/>
    <w:rsid w:val="000D5ED9"/>
    <w:rsid w:val="000D7037"/>
    <w:rsid w:val="000E0463"/>
    <w:rsid w:val="000F0035"/>
    <w:rsid w:val="000F420B"/>
    <w:rsid w:val="001002AF"/>
    <w:rsid w:val="00100996"/>
    <w:rsid w:val="001073CC"/>
    <w:rsid w:val="00110116"/>
    <w:rsid w:val="001144FF"/>
    <w:rsid w:val="00114F4C"/>
    <w:rsid w:val="0011593F"/>
    <w:rsid w:val="00120072"/>
    <w:rsid w:val="00126EB8"/>
    <w:rsid w:val="001274D4"/>
    <w:rsid w:val="00130E63"/>
    <w:rsid w:val="00131A9D"/>
    <w:rsid w:val="00134B42"/>
    <w:rsid w:val="001363AA"/>
    <w:rsid w:val="00137AE1"/>
    <w:rsid w:val="001466CA"/>
    <w:rsid w:val="0014741C"/>
    <w:rsid w:val="00151807"/>
    <w:rsid w:val="001554B8"/>
    <w:rsid w:val="001565CE"/>
    <w:rsid w:val="001663F4"/>
    <w:rsid w:val="00167C63"/>
    <w:rsid w:val="00173CBF"/>
    <w:rsid w:val="001742AF"/>
    <w:rsid w:val="00174FBA"/>
    <w:rsid w:val="00177AEB"/>
    <w:rsid w:val="001837BC"/>
    <w:rsid w:val="00183E82"/>
    <w:rsid w:val="00185371"/>
    <w:rsid w:val="001878BB"/>
    <w:rsid w:val="00191AE0"/>
    <w:rsid w:val="0019201A"/>
    <w:rsid w:val="0019293B"/>
    <w:rsid w:val="00193A38"/>
    <w:rsid w:val="0019426B"/>
    <w:rsid w:val="00195ADB"/>
    <w:rsid w:val="00196A16"/>
    <w:rsid w:val="00197528"/>
    <w:rsid w:val="001A15D7"/>
    <w:rsid w:val="001A2188"/>
    <w:rsid w:val="001B05ED"/>
    <w:rsid w:val="001B1F16"/>
    <w:rsid w:val="001B2C53"/>
    <w:rsid w:val="001B3D68"/>
    <w:rsid w:val="001B66A9"/>
    <w:rsid w:val="001B70CB"/>
    <w:rsid w:val="001C0865"/>
    <w:rsid w:val="001C20A6"/>
    <w:rsid w:val="001C3ABA"/>
    <w:rsid w:val="001C79D5"/>
    <w:rsid w:val="001D357C"/>
    <w:rsid w:val="001E14D6"/>
    <w:rsid w:val="001E2080"/>
    <w:rsid w:val="001E5B8B"/>
    <w:rsid w:val="001E6815"/>
    <w:rsid w:val="001E7BE8"/>
    <w:rsid w:val="001F0248"/>
    <w:rsid w:val="001F046C"/>
    <w:rsid w:val="001F2393"/>
    <w:rsid w:val="001F3EB3"/>
    <w:rsid w:val="001F4F86"/>
    <w:rsid w:val="001F558F"/>
    <w:rsid w:val="002011A6"/>
    <w:rsid w:val="00202C2C"/>
    <w:rsid w:val="0020449B"/>
    <w:rsid w:val="00210D8B"/>
    <w:rsid w:val="00211971"/>
    <w:rsid w:val="00212D49"/>
    <w:rsid w:val="002135AB"/>
    <w:rsid w:val="002144BE"/>
    <w:rsid w:val="00217711"/>
    <w:rsid w:val="00222F34"/>
    <w:rsid w:val="00231B23"/>
    <w:rsid w:val="00232717"/>
    <w:rsid w:val="00233248"/>
    <w:rsid w:val="00236836"/>
    <w:rsid w:val="00242279"/>
    <w:rsid w:val="00242DA1"/>
    <w:rsid w:val="00242FB1"/>
    <w:rsid w:val="00245C82"/>
    <w:rsid w:val="002538FF"/>
    <w:rsid w:val="00263811"/>
    <w:rsid w:val="00263DCA"/>
    <w:rsid w:val="00264D75"/>
    <w:rsid w:val="00271BA6"/>
    <w:rsid w:val="00272C80"/>
    <w:rsid w:val="002730F4"/>
    <w:rsid w:val="00277353"/>
    <w:rsid w:val="002817E8"/>
    <w:rsid w:val="00285611"/>
    <w:rsid w:val="00286B06"/>
    <w:rsid w:val="00291B40"/>
    <w:rsid w:val="00294702"/>
    <w:rsid w:val="00295BFE"/>
    <w:rsid w:val="002969DD"/>
    <w:rsid w:val="002975F6"/>
    <w:rsid w:val="002A13C2"/>
    <w:rsid w:val="002B1AE4"/>
    <w:rsid w:val="002B4008"/>
    <w:rsid w:val="002B6B7A"/>
    <w:rsid w:val="002C126A"/>
    <w:rsid w:val="002C2F5F"/>
    <w:rsid w:val="002C5236"/>
    <w:rsid w:val="002C5BD9"/>
    <w:rsid w:val="002C62BE"/>
    <w:rsid w:val="002C759E"/>
    <w:rsid w:val="002D0E8E"/>
    <w:rsid w:val="002E057D"/>
    <w:rsid w:val="002E4D88"/>
    <w:rsid w:val="002E4FC5"/>
    <w:rsid w:val="002E5AC6"/>
    <w:rsid w:val="002F2C0A"/>
    <w:rsid w:val="002F79CE"/>
    <w:rsid w:val="00301189"/>
    <w:rsid w:val="00307BF2"/>
    <w:rsid w:val="00310F6A"/>
    <w:rsid w:val="0032058E"/>
    <w:rsid w:val="00323E09"/>
    <w:rsid w:val="003273A7"/>
    <w:rsid w:val="003278C9"/>
    <w:rsid w:val="00333932"/>
    <w:rsid w:val="0035010A"/>
    <w:rsid w:val="003518AA"/>
    <w:rsid w:val="00352165"/>
    <w:rsid w:val="00352AB4"/>
    <w:rsid w:val="00353182"/>
    <w:rsid w:val="00354E32"/>
    <w:rsid w:val="003565D9"/>
    <w:rsid w:val="003574ED"/>
    <w:rsid w:val="003602E1"/>
    <w:rsid w:val="0036529E"/>
    <w:rsid w:val="0037026F"/>
    <w:rsid w:val="00371240"/>
    <w:rsid w:val="00374731"/>
    <w:rsid w:val="00376E59"/>
    <w:rsid w:val="0038171B"/>
    <w:rsid w:val="00381AB5"/>
    <w:rsid w:val="00381D87"/>
    <w:rsid w:val="00381DF8"/>
    <w:rsid w:val="00382474"/>
    <w:rsid w:val="00382629"/>
    <w:rsid w:val="00387B2B"/>
    <w:rsid w:val="00390FF0"/>
    <w:rsid w:val="003919F9"/>
    <w:rsid w:val="003957D4"/>
    <w:rsid w:val="00397FA0"/>
    <w:rsid w:val="003A66CA"/>
    <w:rsid w:val="003A75BA"/>
    <w:rsid w:val="003B686D"/>
    <w:rsid w:val="003C2746"/>
    <w:rsid w:val="003C38B5"/>
    <w:rsid w:val="003C5D99"/>
    <w:rsid w:val="003C5FA4"/>
    <w:rsid w:val="003E2520"/>
    <w:rsid w:val="003E2710"/>
    <w:rsid w:val="003E2F59"/>
    <w:rsid w:val="003E5406"/>
    <w:rsid w:val="003E69D1"/>
    <w:rsid w:val="003F0789"/>
    <w:rsid w:val="00400DD7"/>
    <w:rsid w:val="00401882"/>
    <w:rsid w:val="00402669"/>
    <w:rsid w:val="00404569"/>
    <w:rsid w:val="004046E5"/>
    <w:rsid w:val="00406B3C"/>
    <w:rsid w:val="004100C8"/>
    <w:rsid w:val="00411DBD"/>
    <w:rsid w:val="00412ACE"/>
    <w:rsid w:val="004159F0"/>
    <w:rsid w:val="00416183"/>
    <w:rsid w:val="00423774"/>
    <w:rsid w:val="00431249"/>
    <w:rsid w:val="00434C19"/>
    <w:rsid w:val="004406B2"/>
    <w:rsid w:val="0045003D"/>
    <w:rsid w:val="004504AD"/>
    <w:rsid w:val="00450810"/>
    <w:rsid w:val="00452362"/>
    <w:rsid w:val="00452D8D"/>
    <w:rsid w:val="004535D4"/>
    <w:rsid w:val="004536D0"/>
    <w:rsid w:val="00454471"/>
    <w:rsid w:val="0046177F"/>
    <w:rsid w:val="00464157"/>
    <w:rsid w:val="0046538B"/>
    <w:rsid w:val="00466A35"/>
    <w:rsid w:val="00470168"/>
    <w:rsid w:val="00471F1B"/>
    <w:rsid w:val="00472E2B"/>
    <w:rsid w:val="00477144"/>
    <w:rsid w:val="00483A18"/>
    <w:rsid w:val="00483B57"/>
    <w:rsid w:val="00484416"/>
    <w:rsid w:val="00491380"/>
    <w:rsid w:val="0049284F"/>
    <w:rsid w:val="00492DA8"/>
    <w:rsid w:val="0049459F"/>
    <w:rsid w:val="004A02BA"/>
    <w:rsid w:val="004A33EA"/>
    <w:rsid w:val="004A38DD"/>
    <w:rsid w:val="004A39DF"/>
    <w:rsid w:val="004B0354"/>
    <w:rsid w:val="004B0E6E"/>
    <w:rsid w:val="004B43AE"/>
    <w:rsid w:val="004B59D8"/>
    <w:rsid w:val="004C30ED"/>
    <w:rsid w:val="004D22E5"/>
    <w:rsid w:val="004D2654"/>
    <w:rsid w:val="004D5675"/>
    <w:rsid w:val="004E07F1"/>
    <w:rsid w:val="004E2113"/>
    <w:rsid w:val="004E554F"/>
    <w:rsid w:val="004F0E53"/>
    <w:rsid w:val="004F28CA"/>
    <w:rsid w:val="00502684"/>
    <w:rsid w:val="00503AAD"/>
    <w:rsid w:val="00505177"/>
    <w:rsid w:val="005053B6"/>
    <w:rsid w:val="005119C9"/>
    <w:rsid w:val="0051538A"/>
    <w:rsid w:val="005214EF"/>
    <w:rsid w:val="00522EFE"/>
    <w:rsid w:val="00523639"/>
    <w:rsid w:val="0052749D"/>
    <w:rsid w:val="00530434"/>
    <w:rsid w:val="00530478"/>
    <w:rsid w:val="005316B5"/>
    <w:rsid w:val="00531F6E"/>
    <w:rsid w:val="00531FE5"/>
    <w:rsid w:val="005402FA"/>
    <w:rsid w:val="00553999"/>
    <w:rsid w:val="00571F95"/>
    <w:rsid w:val="00576E67"/>
    <w:rsid w:val="00580211"/>
    <w:rsid w:val="00580F09"/>
    <w:rsid w:val="00583C39"/>
    <w:rsid w:val="00583E51"/>
    <w:rsid w:val="00584AE6"/>
    <w:rsid w:val="00586B5E"/>
    <w:rsid w:val="00587F28"/>
    <w:rsid w:val="005909CF"/>
    <w:rsid w:val="00591E71"/>
    <w:rsid w:val="00592162"/>
    <w:rsid w:val="005969E5"/>
    <w:rsid w:val="005974AD"/>
    <w:rsid w:val="005A0375"/>
    <w:rsid w:val="005A0D41"/>
    <w:rsid w:val="005A68AB"/>
    <w:rsid w:val="005B0B9A"/>
    <w:rsid w:val="005B1AB3"/>
    <w:rsid w:val="005B2538"/>
    <w:rsid w:val="005B2BB0"/>
    <w:rsid w:val="005B2CCB"/>
    <w:rsid w:val="005C2D0A"/>
    <w:rsid w:val="005C581C"/>
    <w:rsid w:val="005C6FBA"/>
    <w:rsid w:val="005D7D1A"/>
    <w:rsid w:val="005E3639"/>
    <w:rsid w:val="005E522C"/>
    <w:rsid w:val="005F1DAE"/>
    <w:rsid w:val="005F4A3A"/>
    <w:rsid w:val="00601DB5"/>
    <w:rsid w:val="006075B4"/>
    <w:rsid w:val="00607BF1"/>
    <w:rsid w:val="006102B3"/>
    <w:rsid w:val="0061312B"/>
    <w:rsid w:val="006170DA"/>
    <w:rsid w:val="006171D9"/>
    <w:rsid w:val="006203B4"/>
    <w:rsid w:val="006215A1"/>
    <w:rsid w:val="00621D27"/>
    <w:rsid w:val="006303FC"/>
    <w:rsid w:val="00630843"/>
    <w:rsid w:val="00630B1B"/>
    <w:rsid w:val="00630D4D"/>
    <w:rsid w:val="00631171"/>
    <w:rsid w:val="00632A74"/>
    <w:rsid w:val="0063546D"/>
    <w:rsid w:val="0063602F"/>
    <w:rsid w:val="006411A5"/>
    <w:rsid w:val="0064144D"/>
    <w:rsid w:val="006433A3"/>
    <w:rsid w:val="00643E96"/>
    <w:rsid w:val="00645D55"/>
    <w:rsid w:val="0064644B"/>
    <w:rsid w:val="00647004"/>
    <w:rsid w:val="00653AAF"/>
    <w:rsid w:val="00663903"/>
    <w:rsid w:val="00671875"/>
    <w:rsid w:val="00672CCF"/>
    <w:rsid w:val="006802FB"/>
    <w:rsid w:val="00685388"/>
    <w:rsid w:val="006943DF"/>
    <w:rsid w:val="006A27B2"/>
    <w:rsid w:val="006A3808"/>
    <w:rsid w:val="006A4655"/>
    <w:rsid w:val="006A60C2"/>
    <w:rsid w:val="006A6936"/>
    <w:rsid w:val="006B25E0"/>
    <w:rsid w:val="006B2B3C"/>
    <w:rsid w:val="006C014F"/>
    <w:rsid w:val="006C0B53"/>
    <w:rsid w:val="006C1D81"/>
    <w:rsid w:val="006C2839"/>
    <w:rsid w:val="006C3293"/>
    <w:rsid w:val="006C6F5D"/>
    <w:rsid w:val="006C7038"/>
    <w:rsid w:val="006D0AD1"/>
    <w:rsid w:val="006D66D1"/>
    <w:rsid w:val="006D7285"/>
    <w:rsid w:val="006D7F0C"/>
    <w:rsid w:val="006E73EF"/>
    <w:rsid w:val="006E7B04"/>
    <w:rsid w:val="006F0AC2"/>
    <w:rsid w:val="006F247C"/>
    <w:rsid w:val="006F25BA"/>
    <w:rsid w:val="006F676C"/>
    <w:rsid w:val="007009CC"/>
    <w:rsid w:val="00701CA9"/>
    <w:rsid w:val="007073DA"/>
    <w:rsid w:val="00711D51"/>
    <w:rsid w:val="00714D4D"/>
    <w:rsid w:val="0071512A"/>
    <w:rsid w:val="007158EB"/>
    <w:rsid w:val="00716F6B"/>
    <w:rsid w:val="00725589"/>
    <w:rsid w:val="00727780"/>
    <w:rsid w:val="00733FFA"/>
    <w:rsid w:val="00735421"/>
    <w:rsid w:val="00736D85"/>
    <w:rsid w:val="0073716B"/>
    <w:rsid w:val="007423E0"/>
    <w:rsid w:val="0074440F"/>
    <w:rsid w:val="00745790"/>
    <w:rsid w:val="00745C57"/>
    <w:rsid w:val="0075092E"/>
    <w:rsid w:val="00750D54"/>
    <w:rsid w:val="00754528"/>
    <w:rsid w:val="007579F1"/>
    <w:rsid w:val="007604BB"/>
    <w:rsid w:val="00763EB6"/>
    <w:rsid w:val="007701F7"/>
    <w:rsid w:val="00771665"/>
    <w:rsid w:val="00774992"/>
    <w:rsid w:val="00785232"/>
    <w:rsid w:val="00793485"/>
    <w:rsid w:val="00794E6C"/>
    <w:rsid w:val="007A14CC"/>
    <w:rsid w:val="007A21EB"/>
    <w:rsid w:val="007A3058"/>
    <w:rsid w:val="007B1A93"/>
    <w:rsid w:val="007B24F2"/>
    <w:rsid w:val="007B5BD2"/>
    <w:rsid w:val="007C3424"/>
    <w:rsid w:val="007C36C9"/>
    <w:rsid w:val="007C60EE"/>
    <w:rsid w:val="007D2AB4"/>
    <w:rsid w:val="007D316D"/>
    <w:rsid w:val="007D4C84"/>
    <w:rsid w:val="007D6401"/>
    <w:rsid w:val="007E01E4"/>
    <w:rsid w:val="007E0CA3"/>
    <w:rsid w:val="007E14D2"/>
    <w:rsid w:val="007E22D2"/>
    <w:rsid w:val="007E66EA"/>
    <w:rsid w:val="007F7107"/>
    <w:rsid w:val="007F7712"/>
    <w:rsid w:val="00800D4C"/>
    <w:rsid w:val="0081030F"/>
    <w:rsid w:val="00810F98"/>
    <w:rsid w:val="008119BE"/>
    <w:rsid w:val="0082087D"/>
    <w:rsid w:val="00823EDE"/>
    <w:rsid w:val="0082609A"/>
    <w:rsid w:val="00830FF1"/>
    <w:rsid w:val="00832784"/>
    <w:rsid w:val="00835771"/>
    <w:rsid w:val="0083614E"/>
    <w:rsid w:val="008377A6"/>
    <w:rsid w:val="008407CD"/>
    <w:rsid w:val="00842933"/>
    <w:rsid w:val="0084465B"/>
    <w:rsid w:val="0085065B"/>
    <w:rsid w:val="00852607"/>
    <w:rsid w:val="008533B8"/>
    <w:rsid w:val="0086082C"/>
    <w:rsid w:val="00861527"/>
    <w:rsid w:val="00862151"/>
    <w:rsid w:val="00864ADC"/>
    <w:rsid w:val="00867DC8"/>
    <w:rsid w:val="008709BF"/>
    <w:rsid w:val="00872064"/>
    <w:rsid w:val="008733E3"/>
    <w:rsid w:val="00873E9A"/>
    <w:rsid w:val="00880153"/>
    <w:rsid w:val="00880F97"/>
    <w:rsid w:val="0088133A"/>
    <w:rsid w:val="00884360"/>
    <w:rsid w:val="0088553F"/>
    <w:rsid w:val="00891DD6"/>
    <w:rsid w:val="0089285E"/>
    <w:rsid w:val="0089436C"/>
    <w:rsid w:val="00894720"/>
    <w:rsid w:val="00897CED"/>
    <w:rsid w:val="008A4114"/>
    <w:rsid w:val="008A423D"/>
    <w:rsid w:val="008A540F"/>
    <w:rsid w:val="008B4BAF"/>
    <w:rsid w:val="008B507D"/>
    <w:rsid w:val="008B5183"/>
    <w:rsid w:val="008B53EB"/>
    <w:rsid w:val="008C4376"/>
    <w:rsid w:val="008C4E8C"/>
    <w:rsid w:val="008D365C"/>
    <w:rsid w:val="008D4B56"/>
    <w:rsid w:val="008D6323"/>
    <w:rsid w:val="008E11EC"/>
    <w:rsid w:val="008E3ACE"/>
    <w:rsid w:val="008E719C"/>
    <w:rsid w:val="008F11D9"/>
    <w:rsid w:val="008F40A4"/>
    <w:rsid w:val="008F457B"/>
    <w:rsid w:val="008F4E88"/>
    <w:rsid w:val="008F641E"/>
    <w:rsid w:val="009030BF"/>
    <w:rsid w:val="0090388C"/>
    <w:rsid w:val="00907C6D"/>
    <w:rsid w:val="0091032F"/>
    <w:rsid w:val="00914368"/>
    <w:rsid w:val="00914D9D"/>
    <w:rsid w:val="00921EF3"/>
    <w:rsid w:val="00925E11"/>
    <w:rsid w:val="0093063A"/>
    <w:rsid w:val="009307BC"/>
    <w:rsid w:val="00931076"/>
    <w:rsid w:val="00931D7B"/>
    <w:rsid w:val="009345D9"/>
    <w:rsid w:val="00934B15"/>
    <w:rsid w:val="00936863"/>
    <w:rsid w:val="00936A8A"/>
    <w:rsid w:val="00940C87"/>
    <w:rsid w:val="00940E23"/>
    <w:rsid w:val="00942B62"/>
    <w:rsid w:val="009438DE"/>
    <w:rsid w:val="00946CC7"/>
    <w:rsid w:val="0095244F"/>
    <w:rsid w:val="0095323B"/>
    <w:rsid w:val="00954131"/>
    <w:rsid w:val="00956A0C"/>
    <w:rsid w:val="00956BD9"/>
    <w:rsid w:val="009573E5"/>
    <w:rsid w:val="009605D5"/>
    <w:rsid w:val="00961EE0"/>
    <w:rsid w:val="00962489"/>
    <w:rsid w:val="0096610E"/>
    <w:rsid w:val="0098045E"/>
    <w:rsid w:val="00982070"/>
    <w:rsid w:val="00990C2C"/>
    <w:rsid w:val="009920C3"/>
    <w:rsid w:val="009925B9"/>
    <w:rsid w:val="00993596"/>
    <w:rsid w:val="009959FB"/>
    <w:rsid w:val="009A26F6"/>
    <w:rsid w:val="009B0BE1"/>
    <w:rsid w:val="009B3E18"/>
    <w:rsid w:val="009B5D74"/>
    <w:rsid w:val="009B7F65"/>
    <w:rsid w:val="009C705D"/>
    <w:rsid w:val="009C7236"/>
    <w:rsid w:val="009D42E7"/>
    <w:rsid w:val="009D60C1"/>
    <w:rsid w:val="009D7ABB"/>
    <w:rsid w:val="009E1330"/>
    <w:rsid w:val="009E1844"/>
    <w:rsid w:val="009E1E9E"/>
    <w:rsid w:val="009E4B26"/>
    <w:rsid w:val="009E4FDA"/>
    <w:rsid w:val="009E64CB"/>
    <w:rsid w:val="009F0D1B"/>
    <w:rsid w:val="009F1451"/>
    <w:rsid w:val="009F3D9E"/>
    <w:rsid w:val="009F696D"/>
    <w:rsid w:val="009F6BC6"/>
    <w:rsid w:val="00A02DE5"/>
    <w:rsid w:val="00A13125"/>
    <w:rsid w:val="00A17328"/>
    <w:rsid w:val="00A218DB"/>
    <w:rsid w:val="00A21F6C"/>
    <w:rsid w:val="00A2317F"/>
    <w:rsid w:val="00A23499"/>
    <w:rsid w:val="00A23A20"/>
    <w:rsid w:val="00A24441"/>
    <w:rsid w:val="00A268B9"/>
    <w:rsid w:val="00A26E3C"/>
    <w:rsid w:val="00A2703A"/>
    <w:rsid w:val="00A3022F"/>
    <w:rsid w:val="00A3078B"/>
    <w:rsid w:val="00A318C1"/>
    <w:rsid w:val="00A33DFF"/>
    <w:rsid w:val="00A3431A"/>
    <w:rsid w:val="00A34CDA"/>
    <w:rsid w:val="00A35115"/>
    <w:rsid w:val="00A36D9A"/>
    <w:rsid w:val="00A457BB"/>
    <w:rsid w:val="00A479E4"/>
    <w:rsid w:val="00A50A82"/>
    <w:rsid w:val="00A53CC6"/>
    <w:rsid w:val="00A5438A"/>
    <w:rsid w:val="00A544C2"/>
    <w:rsid w:val="00A554AB"/>
    <w:rsid w:val="00A56746"/>
    <w:rsid w:val="00A57062"/>
    <w:rsid w:val="00A633E4"/>
    <w:rsid w:val="00A70023"/>
    <w:rsid w:val="00A735A6"/>
    <w:rsid w:val="00A7372C"/>
    <w:rsid w:val="00A7553B"/>
    <w:rsid w:val="00A82254"/>
    <w:rsid w:val="00A8579B"/>
    <w:rsid w:val="00A92B53"/>
    <w:rsid w:val="00A94FA6"/>
    <w:rsid w:val="00A9562B"/>
    <w:rsid w:val="00AA2B08"/>
    <w:rsid w:val="00AA49A0"/>
    <w:rsid w:val="00AA6710"/>
    <w:rsid w:val="00AB0681"/>
    <w:rsid w:val="00AB4D77"/>
    <w:rsid w:val="00AC18EF"/>
    <w:rsid w:val="00AC1DA3"/>
    <w:rsid w:val="00AC4588"/>
    <w:rsid w:val="00AC5826"/>
    <w:rsid w:val="00AD0F22"/>
    <w:rsid w:val="00AD36E0"/>
    <w:rsid w:val="00AD520B"/>
    <w:rsid w:val="00AD6D01"/>
    <w:rsid w:val="00AE2CF6"/>
    <w:rsid w:val="00AF0822"/>
    <w:rsid w:val="00B07093"/>
    <w:rsid w:val="00B101FB"/>
    <w:rsid w:val="00B1145E"/>
    <w:rsid w:val="00B132D5"/>
    <w:rsid w:val="00B132EB"/>
    <w:rsid w:val="00B23133"/>
    <w:rsid w:val="00B25851"/>
    <w:rsid w:val="00B272CF"/>
    <w:rsid w:val="00B30E7A"/>
    <w:rsid w:val="00B30F1B"/>
    <w:rsid w:val="00B33071"/>
    <w:rsid w:val="00B40A02"/>
    <w:rsid w:val="00B414DE"/>
    <w:rsid w:val="00B425C3"/>
    <w:rsid w:val="00B440AD"/>
    <w:rsid w:val="00B47018"/>
    <w:rsid w:val="00B479BB"/>
    <w:rsid w:val="00B47B80"/>
    <w:rsid w:val="00B53E7E"/>
    <w:rsid w:val="00B57E50"/>
    <w:rsid w:val="00B60B25"/>
    <w:rsid w:val="00B624AC"/>
    <w:rsid w:val="00B63203"/>
    <w:rsid w:val="00B6342E"/>
    <w:rsid w:val="00B63DFB"/>
    <w:rsid w:val="00B64381"/>
    <w:rsid w:val="00B669B9"/>
    <w:rsid w:val="00B7113F"/>
    <w:rsid w:val="00B74125"/>
    <w:rsid w:val="00B764EB"/>
    <w:rsid w:val="00B80D7C"/>
    <w:rsid w:val="00B8341F"/>
    <w:rsid w:val="00B879A8"/>
    <w:rsid w:val="00B94952"/>
    <w:rsid w:val="00B957FC"/>
    <w:rsid w:val="00BA1D1E"/>
    <w:rsid w:val="00BA646E"/>
    <w:rsid w:val="00BA73B6"/>
    <w:rsid w:val="00BA748D"/>
    <w:rsid w:val="00BA7E27"/>
    <w:rsid w:val="00BB2603"/>
    <w:rsid w:val="00BB4FCD"/>
    <w:rsid w:val="00BB5A76"/>
    <w:rsid w:val="00BC0029"/>
    <w:rsid w:val="00BC04E9"/>
    <w:rsid w:val="00BC2526"/>
    <w:rsid w:val="00BC3E59"/>
    <w:rsid w:val="00BD0A3D"/>
    <w:rsid w:val="00BD13EA"/>
    <w:rsid w:val="00BD73B1"/>
    <w:rsid w:val="00BE0B96"/>
    <w:rsid w:val="00BE3808"/>
    <w:rsid w:val="00BF7579"/>
    <w:rsid w:val="00C061E2"/>
    <w:rsid w:val="00C062E9"/>
    <w:rsid w:val="00C06786"/>
    <w:rsid w:val="00C07B64"/>
    <w:rsid w:val="00C07C6A"/>
    <w:rsid w:val="00C13721"/>
    <w:rsid w:val="00C14FE4"/>
    <w:rsid w:val="00C1523C"/>
    <w:rsid w:val="00C16448"/>
    <w:rsid w:val="00C16839"/>
    <w:rsid w:val="00C22893"/>
    <w:rsid w:val="00C3066D"/>
    <w:rsid w:val="00C3490A"/>
    <w:rsid w:val="00C42548"/>
    <w:rsid w:val="00C444C0"/>
    <w:rsid w:val="00C46F10"/>
    <w:rsid w:val="00C52416"/>
    <w:rsid w:val="00C5400E"/>
    <w:rsid w:val="00C543F4"/>
    <w:rsid w:val="00C5728A"/>
    <w:rsid w:val="00C6291C"/>
    <w:rsid w:val="00C633CB"/>
    <w:rsid w:val="00C6762B"/>
    <w:rsid w:val="00C67F13"/>
    <w:rsid w:val="00C70BCA"/>
    <w:rsid w:val="00C714AB"/>
    <w:rsid w:val="00C736B7"/>
    <w:rsid w:val="00C74E17"/>
    <w:rsid w:val="00C76A32"/>
    <w:rsid w:val="00C8082D"/>
    <w:rsid w:val="00C81D4A"/>
    <w:rsid w:val="00C82797"/>
    <w:rsid w:val="00C84F14"/>
    <w:rsid w:val="00C850D9"/>
    <w:rsid w:val="00C868BB"/>
    <w:rsid w:val="00C8762C"/>
    <w:rsid w:val="00C879DB"/>
    <w:rsid w:val="00C90600"/>
    <w:rsid w:val="00C92908"/>
    <w:rsid w:val="00C93952"/>
    <w:rsid w:val="00C93D9A"/>
    <w:rsid w:val="00C95D9C"/>
    <w:rsid w:val="00CA001F"/>
    <w:rsid w:val="00CA00F9"/>
    <w:rsid w:val="00CA2961"/>
    <w:rsid w:val="00CA5A80"/>
    <w:rsid w:val="00CA67C7"/>
    <w:rsid w:val="00CB18E5"/>
    <w:rsid w:val="00CB197C"/>
    <w:rsid w:val="00CB33CD"/>
    <w:rsid w:val="00CB4704"/>
    <w:rsid w:val="00CB50D7"/>
    <w:rsid w:val="00CB7177"/>
    <w:rsid w:val="00CB7992"/>
    <w:rsid w:val="00CC0A2B"/>
    <w:rsid w:val="00CC1998"/>
    <w:rsid w:val="00CC4946"/>
    <w:rsid w:val="00CD08B7"/>
    <w:rsid w:val="00CD2961"/>
    <w:rsid w:val="00CF1FC9"/>
    <w:rsid w:val="00CF4A61"/>
    <w:rsid w:val="00CF4E43"/>
    <w:rsid w:val="00CF65DC"/>
    <w:rsid w:val="00D03838"/>
    <w:rsid w:val="00D05870"/>
    <w:rsid w:val="00D06C58"/>
    <w:rsid w:val="00D104A0"/>
    <w:rsid w:val="00D107B7"/>
    <w:rsid w:val="00D13E35"/>
    <w:rsid w:val="00D157D5"/>
    <w:rsid w:val="00D20136"/>
    <w:rsid w:val="00D2564B"/>
    <w:rsid w:val="00D26D17"/>
    <w:rsid w:val="00D26F7C"/>
    <w:rsid w:val="00D270A4"/>
    <w:rsid w:val="00D2725F"/>
    <w:rsid w:val="00D31FE9"/>
    <w:rsid w:val="00D32086"/>
    <w:rsid w:val="00D32A72"/>
    <w:rsid w:val="00D34E1B"/>
    <w:rsid w:val="00D376BA"/>
    <w:rsid w:val="00D37F09"/>
    <w:rsid w:val="00D40E11"/>
    <w:rsid w:val="00D4218E"/>
    <w:rsid w:val="00D44209"/>
    <w:rsid w:val="00D452E4"/>
    <w:rsid w:val="00D45634"/>
    <w:rsid w:val="00D463D5"/>
    <w:rsid w:val="00D46EBE"/>
    <w:rsid w:val="00D47747"/>
    <w:rsid w:val="00D53C1D"/>
    <w:rsid w:val="00D5404D"/>
    <w:rsid w:val="00D54814"/>
    <w:rsid w:val="00D555B9"/>
    <w:rsid w:val="00D5568A"/>
    <w:rsid w:val="00D625C5"/>
    <w:rsid w:val="00D63D73"/>
    <w:rsid w:val="00D64452"/>
    <w:rsid w:val="00D64A8B"/>
    <w:rsid w:val="00D66E1E"/>
    <w:rsid w:val="00D67FF6"/>
    <w:rsid w:val="00D702D6"/>
    <w:rsid w:val="00D70A0C"/>
    <w:rsid w:val="00D75722"/>
    <w:rsid w:val="00D80CF5"/>
    <w:rsid w:val="00D8198D"/>
    <w:rsid w:val="00D95C61"/>
    <w:rsid w:val="00DA0E04"/>
    <w:rsid w:val="00DA251C"/>
    <w:rsid w:val="00DA37F1"/>
    <w:rsid w:val="00DA385C"/>
    <w:rsid w:val="00DA5BBA"/>
    <w:rsid w:val="00DB26D2"/>
    <w:rsid w:val="00DB36E3"/>
    <w:rsid w:val="00DB5496"/>
    <w:rsid w:val="00DB67C9"/>
    <w:rsid w:val="00DB7B0D"/>
    <w:rsid w:val="00DB7CF7"/>
    <w:rsid w:val="00DC0C95"/>
    <w:rsid w:val="00DC1077"/>
    <w:rsid w:val="00DC2AB2"/>
    <w:rsid w:val="00DD6580"/>
    <w:rsid w:val="00DE298F"/>
    <w:rsid w:val="00DE4972"/>
    <w:rsid w:val="00DE7411"/>
    <w:rsid w:val="00DF52FB"/>
    <w:rsid w:val="00DF550C"/>
    <w:rsid w:val="00E016E8"/>
    <w:rsid w:val="00E05FDC"/>
    <w:rsid w:val="00E11B96"/>
    <w:rsid w:val="00E13134"/>
    <w:rsid w:val="00E13AEC"/>
    <w:rsid w:val="00E14E4E"/>
    <w:rsid w:val="00E17C72"/>
    <w:rsid w:val="00E17FC3"/>
    <w:rsid w:val="00E205F3"/>
    <w:rsid w:val="00E21312"/>
    <w:rsid w:val="00E21FC6"/>
    <w:rsid w:val="00E22754"/>
    <w:rsid w:val="00E2313A"/>
    <w:rsid w:val="00E2653C"/>
    <w:rsid w:val="00E26924"/>
    <w:rsid w:val="00E27E99"/>
    <w:rsid w:val="00E27EBE"/>
    <w:rsid w:val="00E332CD"/>
    <w:rsid w:val="00E346AF"/>
    <w:rsid w:val="00E371B7"/>
    <w:rsid w:val="00E431A9"/>
    <w:rsid w:val="00E45407"/>
    <w:rsid w:val="00E51B5A"/>
    <w:rsid w:val="00E531E9"/>
    <w:rsid w:val="00E54236"/>
    <w:rsid w:val="00E565E6"/>
    <w:rsid w:val="00E63A81"/>
    <w:rsid w:val="00E63F47"/>
    <w:rsid w:val="00E669E2"/>
    <w:rsid w:val="00E66DFF"/>
    <w:rsid w:val="00E7103E"/>
    <w:rsid w:val="00E72CEA"/>
    <w:rsid w:val="00E76135"/>
    <w:rsid w:val="00E768CA"/>
    <w:rsid w:val="00E770A0"/>
    <w:rsid w:val="00E77857"/>
    <w:rsid w:val="00E8054A"/>
    <w:rsid w:val="00E82F4F"/>
    <w:rsid w:val="00E87456"/>
    <w:rsid w:val="00E95653"/>
    <w:rsid w:val="00E95FDE"/>
    <w:rsid w:val="00E96393"/>
    <w:rsid w:val="00E9643B"/>
    <w:rsid w:val="00EB42BA"/>
    <w:rsid w:val="00EB65F4"/>
    <w:rsid w:val="00EB7FB0"/>
    <w:rsid w:val="00EC2844"/>
    <w:rsid w:val="00EC5500"/>
    <w:rsid w:val="00ED18F8"/>
    <w:rsid w:val="00ED7C47"/>
    <w:rsid w:val="00EE1335"/>
    <w:rsid w:val="00EE44CC"/>
    <w:rsid w:val="00EE47F1"/>
    <w:rsid w:val="00EE7258"/>
    <w:rsid w:val="00EF0EA9"/>
    <w:rsid w:val="00EF5F83"/>
    <w:rsid w:val="00EF6C6C"/>
    <w:rsid w:val="00F006AC"/>
    <w:rsid w:val="00F056FC"/>
    <w:rsid w:val="00F05F0A"/>
    <w:rsid w:val="00F065F1"/>
    <w:rsid w:val="00F10476"/>
    <w:rsid w:val="00F135D8"/>
    <w:rsid w:val="00F16B2C"/>
    <w:rsid w:val="00F16BBE"/>
    <w:rsid w:val="00F17223"/>
    <w:rsid w:val="00F23B4A"/>
    <w:rsid w:val="00F25571"/>
    <w:rsid w:val="00F25C9E"/>
    <w:rsid w:val="00F27F98"/>
    <w:rsid w:val="00F31299"/>
    <w:rsid w:val="00F3534A"/>
    <w:rsid w:val="00F35A42"/>
    <w:rsid w:val="00F35DD0"/>
    <w:rsid w:val="00F424A6"/>
    <w:rsid w:val="00F51609"/>
    <w:rsid w:val="00F54CF8"/>
    <w:rsid w:val="00F81006"/>
    <w:rsid w:val="00F825AB"/>
    <w:rsid w:val="00F85325"/>
    <w:rsid w:val="00F861B9"/>
    <w:rsid w:val="00F870FB"/>
    <w:rsid w:val="00F903A4"/>
    <w:rsid w:val="00F921B4"/>
    <w:rsid w:val="00F941DB"/>
    <w:rsid w:val="00FA15E8"/>
    <w:rsid w:val="00FA61B3"/>
    <w:rsid w:val="00FA63E4"/>
    <w:rsid w:val="00FB035D"/>
    <w:rsid w:val="00FB1959"/>
    <w:rsid w:val="00FB52D0"/>
    <w:rsid w:val="00FC0602"/>
    <w:rsid w:val="00FC09D9"/>
    <w:rsid w:val="00FD185C"/>
    <w:rsid w:val="00FD22B1"/>
    <w:rsid w:val="00FD689B"/>
    <w:rsid w:val="00FE149B"/>
    <w:rsid w:val="00FE1E84"/>
    <w:rsid w:val="00FE5397"/>
    <w:rsid w:val="00FE5E6C"/>
    <w:rsid w:val="00FE6FC1"/>
    <w:rsid w:val="00FF0873"/>
    <w:rsid w:val="00FF0B43"/>
    <w:rsid w:val="00FF4944"/>
    <w:rsid w:val="00FF6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011A6"/>
    <w:rPr>
      <w:sz w:val="24"/>
      <w:szCs w:val="24"/>
    </w:rPr>
  </w:style>
  <w:style w:type="paragraph" w:styleId="Heading1">
    <w:name w:val="heading 1"/>
    <w:basedOn w:val="BodyText"/>
    <w:next w:val="BodyText"/>
    <w:rsid w:val="002011A6"/>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011A6"/>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011A6"/>
    <w:pPr>
      <w:spacing w:before="560" w:line="320" w:lineRule="exact"/>
      <w:ind w:left="0" w:firstLine="0"/>
      <w:outlineLvl w:val="2"/>
    </w:pPr>
    <w:rPr>
      <w:sz w:val="26"/>
    </w:rPr>
  </w:style>
  <w:style w:type="paragraph" w:styleId="Heading4">
    <w:name w:val="heading 4"/>
    <w:basedOn w:val="Heading3"/>
    <w:next w:val="BodyText"/>
    <w:qFormat/>
    <w:rsid w:val="002011A6"/>
    <w:pPr>
      <w:spacing w:before="480"/>
      <w:outlineLvl w:val="3"/>
    </w:pPr>
    <w:rPr>
      <w:b w:val="0"/>
      <w:sz w:val="24"/>
    </w:rPr>
  </w:style>
  <w:style w:type="paragraph" w:styleId="Heading5">
    <w:name w:val="heading 5"/>
    <w:basedOn w:val="Heading4"/>
    <w:next w:val="BodyText"/>
    <w:link w:val="Heading5Char"/>
    <w:qFormat/>
    <w:rsid w:val="002011A6"/>
    <w:pPr>
      <w:outlineLvl w:val="4"/>
    </w:pPr>
    <w:rPr>
      <w:i/>
      <w:sz w:val="22"/>
    </w:rPr>
  </w:style>
  <w:style w:type="paragraph" w:styleId="Heading6">
    <w:name w:val="heading 6"/>
    <w:basedOn w:val="BodyText"/>
    <w:next w:val="BodyText"/>
    <w:rsid w:val="002011A6"/>
    <w:pPr>
      <w:spacing w:after="60"/>
      <w:jc w:val="left"/>
      <w:outlineLvl w:val="5"/>
    </w:pPr>
    <w:rPr>
      <w:i/>
      <w:sz w:val="22"/>
    </w:rPr>
  </w:style>
  <w:style w:type="paragraph" w:styleId="Heading7">
    <w:name w:val="heading 7"/>
    <w:basedOn w:val="BodyText"/>
    <w:next w:val="BodyText"/>
    <w:rsid w:val="002011A6"/>
    <w:pPr>
      <w:spacing w:after="60" w:line="240" w:lineRule="auto"/>
      <w:jc w:val="left"/>
      <w:outlineLvl w:val="6"/>
    </w:pPr>
    <w:rPr>
      <w:rFonts w:ascii="Arial" w:hAnsi="Arial"/>
      <w:sz w:val="20"/>
    </w:rPr>
  </w:style>
  <w:style w:type="paragraph" w:styleId="Heading8">
    <w:name w:val="heading 8"/>
    <w:basedOn w:val="BodyText"/>
    <w:next w:val="BodyText"/>
    <w:rsid w:val="002011A6"/>
    <w:pPr>
      <w:spacing w:after="60" w:line="240" w:lineRule="auto"/>
      <w:jc w:val="left"/>
      <w:outlineLvl w:val="7"/>
    </w:pPr>
    <w:rPr>
      <w:rFonts w:ascii="Arial" w:hAnsi="Arial"/>
      <w:i/>
      <w:sz w:val="20"/>
    </w:rPr>
  </w:style>
  <w:style w:type="paragraph" w:styleId="Heading9">
    <w:name w:val="heading 9"/>
    <w:basedOn w:val="BodyText"/>
    <w:next w:val="BodyText"/>
    <w:rsid w:val="002011A6"/>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011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1A6"/>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2011A6"/>
    <w:pPr>
      <w:spacing w:before="240" w:line="300" w:lineRule="atLeast"/>
      <w:jc w:val="both"/>
    </w:pPr>
    <w:rPr>
      <w:sz w:val="24"/>
    </w:rPr>
  </w:style>
  <w:style w:type="paragraph" w:styleId="Footer">
    <w:name w:val="footer"/>
    <w:basedOn w:val="BodyText"/>
    <w:link w:val="FooterChar"/>
    <w:rsid w:val="002011A6"/>
    <w:pPr>
      <w:spacing w:before="80" w:line="200" w:lineRule="exact"/>
      <w:ind w:right="6"/>
      <w:jc w:val="left"/>
    </w:pPr>
    <w:rPr>
      <w:rFonts w:ascii="Arial" w:hAnsi="Arial"/>
      <w:caps/>
      <w:spacing w:val="-4"/>
      <w:sz w:val="16"/>
    </w:rPr>
  </w:style>
  <w:style w:type="paragraph" w:customStyle="1" w:styleId="FooterEnd">
    <w:name w:val="Footer End"/>
    <w:basedOn w:val="Footer"/>
    <w:rsid w:val="002011A6"/>
    <w:pPr>
      <w:spacing w:before="0" w:line="20" w:lineRule="exact"/>
    </w:pPr>
  </w:style>
  <w:style w:type="paragraph" w:styleId="Header">
    <w:name w:val="header"/>
    <w:basedOn w:val="BodyText"/>
    <w:rsid w:val="002011A6"/>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011A6"/>
    <w:pPr>
      <w:spacing w:line="20" w:lineRule="exact"/>
    </w:pPr>
    <w:rPr>
      <w:sz w:val="16"/>
    </w:rPr>
  </w:style>
  <w:style w:type="paragraph" w:customStyle="1" w:styleId="HeaderEven">
    <w:name w:val="Header Even"/>
    <w:basedOn w:val="Header"/>
    <w:semiHidden/>
    <w:rsid w:val="002011A6"/>
  </w:style>
  <w:style w:type="paragraph" w:customStyle="1" w:styleId="HeaderOdd">
    <w:name w:val="Header Odd"/>
    <w:basedOn w:val="Header"/>
    <w:semiHidden/>
    <w:rsid w:val="002011A6"/>
  </w:style>
  <w:style w:type="character" w:styleId="PageNumber">
    <w:name w:val="page number"/>
    <w:basedOn w:val="DefaultParagraphFont"/>
    <w:rsid w:val="002011A6"/>
    <w:rPr>
      <w:rFonts w:ascii="Arial" w:hAnsi="Arial"/>
      <w:b/>
      <w:sz w:val="16"/>
    </w:rPr>
  </w:style>
  <w:style w:type="paragraph" w:customStyle="1" w:styleId="Abbreviation">
    <w:name w:val="Abbreviation"/>
    <w:basedOn w:val="BodyText"/>
    <w:rsid w:val="002011A6"/>
    <w:pPr>
      <w:spacing w:before="120"/>
      <w:ind w:left="2381" w:hanging="2381"/>
      <w:jc w:val="left"/>
    </w:pPr>
  </w:style>
  <w:style w:type="paragraph" w:customStyle="1" w:styleId="Box">
    <w:name w:val="Box"/>
    <w:basedOn w:val="BodyText"/>
    <w:qFormat/>
    <w:rsid w:val="002011A6"/>
    <w:pPr>
      <w:keepNext/>
      <w:spacing w:before="120" w:line="260" w:lineRule="atLeast"/>
    </w:pPr>
    <w:rPr>
      <w:rFonts w:ascii="Arial" w:hAnsi="Arial"/>
      <w:sz w:val="20"/>
    </w:rPr>
  </w:style>
  <w:style w:type="paragraph" w:customStyle="1" w:styleId="BoxContinued">
    <w:name w:val="Box Continued"/>
    <w:basedOn w:val="BodyText"/>
    <w:next w:val="BodyText"/>
    <w:semiHidden/>
    <w:rsid w:val="002011A6"/>
    <w:pPr>
      <w:spacing w:before="180" w:line="220" w:lineRule="exact"/>
      <w:jc w:val="right"/>
    </w:pPr>
    <w:rPr>
      <w:rFonts w:ascii="Arial" w:hAnsi="Arial"/>
      <w:sz w:val="18"/>
    </w:rPr>
  </w:style>
  <w:style w:type="paragraph" w:customStyle="1" w:styleId="BoxHeading1">
    <w:name w:val="Box Heading 1"/>
    <w:basedOn w:val="BodyText"/>
    <w:next w:val="Box"/>
    <w:rsid w:val="002011A6"/>
    <w:pPr>
      <w:keepNext/>
      <w:spacing w:before="200" w:line="280" w:lineRule="atLeast"/>
    </w:pPr>
    <w:rPr>
      <w:rFonts w:ascii="Arial" w:hAnsi="Arial"/>
      <w:b/>
      <w:sz w:val="22"/>
    </w:rPr>
  </w:style>
  <w:style w:type="paragraph" w:customStyle="1" w:styleId="BoxHeading2">
    <w:name w:val="Box Heading 2"/>
    <w:basedOn w:val="BoxHeading1"/>
    <w:next w:val="Normal"/>
    <w:rsid w:val="002011A6"/>
    <w:rPr>
      <w:b w:val="0"/>
      <w:i/>
    </w:rPr>
  </w:style>
  <w:style w:type="paragraph" w:customStyle="1" w:styleId="BoxListBullet">
    <w:name w:val="Box List Bullet"/>
    <w:basedOn w:val="BodyText"/>
    <w:rsid w:val="002011A6"/>
    <w:pPr>
      <w:keepNext/>
      <w:numPr>
        <w:numId w:val="22"/>
      </w:numPr>
      <w:spacing w:before="100" w:line="260" w:lineRule="atLeast"/>
    </w:pPr>
    <w:rPr>
      <w:rFonts w:ascii="Arial" w:hAnsi="Arial"/>
      <w:sz w:val="20"/>
    </w:rPr>
  </w:style>
  <w:style w:type="paragraph" w:customStyle="1" w:styleId="BoxListBullet2">
    <w:name w:val="Box List Bullet 2"/>
    <w:basedOn w:val="BoxListBullet"/>
    <w:rsid w:val="002011A6"/>
    <w:pPr>
      <w:numPr>
        <w:numId w:val="23"/>
      </w:numPr>
      <w:ind w:left="568" w:hanging="284"/>
    </w:pPr>
  </w:style>
  <w:style w:type="paragraph" w:customStyle="1" w:styleId="BoxListNumber">
    <w:name w:val="Box List Number"/>
    <w:basedOn w:val="BodyText"/>
    <w:rsid w:val="002011A6"/>
    <w:pPr>
      <w:keepNext/>
      <w:numPr>
        <w:numId w:val="24"/>
      </w:numPr>
      <w:spacing w:before="100" w:line="260" w:lineRule="atLeast"/>
    </w:pPr>
    <w:rPr>
      <w:rFonts w:ascii="Arial" w:hAnsi="Arial"/>
      <w:sz w:val="20"/>
    </w:rPr>
  </w:style>
  <w:style w:type="paragraph" w:customStyle="1" w:styleId="BoxListNumber2">
    <w:name w:val="Box List Number 2"/>
    <w:basedOn w:val="BoxListNumber"/>
    <w:rsid w:val="002011A6"/>
    <w:pPr>
      <w:numPr>
        <w:ilvl w:val="1"/>
      </w:numPr>
      <w:ind w:left="681" w:hanging="397"/>
    </w:pPr>
  </w:style>
  <w:style w:type="paragraph" w:customStyle="1" w:styleId="BoxQuote">
    <w:name w:val="Box Quote"/>
    <w:basedOn w:val="BodyText"/>
    <w:next w:val="Box"/>
    <w:qFormat/>
    <w:rsid w:val="002011A6"/>
    <w:pPr>
      <w:keepNext/>
      <w:spacing w:before="60" w:line="240" w:lineRule="exact"/>
      <w:ind w:left="284"/>
    </w:pPr>
    <w:rPr>
      <w:rFonts w:ascii="Arial" w:hAnsi="Arial"/>
      <w:sz w:val="18"/>
    </w:rPr>
  </w:style>
  <w:style w:type="paragraph" w:customStyle="1" w:styleId="Note">
    <w:name w:val="Note"/>
    <w:basedOn w:val="BodyText"/>
    <w:next w:val="BodyText"/>
    <w:rsid w:val="002011A6"/>
    <w:pPr>
      <w:keepLines/>
      <w:spacing w:before="80" w:line="220" w:lineRule="exact"/>
    </w:pPr>
    <w:rPr>
      <w:rFonts w:ascii="Arial" w:hAnsi="Arial"/>
      <w:sz w:val="18"/>
    </w:rPr>
  </w:style>
  <w:style w:type="paragraph" w:customStyle="1" w:styleId="Source">
    <w:name w:val="Source"/>
    <w:basedOn w:val="Normal"/>
    <w:next w:val="BodyText"/>
    <w:rsid w:val="002011A6"/>
    <w:pPr>
      <w:keepLines/>
      <w:spacing w:before="80" w:line="220" w:lineRule="exact"/>
      <w:jc w:val="both"/>
    </w:pPr>
    <w:rPr>
      <w:rFonts w:ascii="Arial" w:hAnsi="Arial"/>
      <w:sz w:val="18"/>
      <w:szCs w:val="20"/>
    </w:rPr>
  </w:style>
  <w:style w:type="paragraph" w:customStyle="1" w:styleId="BoxSource">
    <w:name w:val="Box Source"/>
    <w:basedOn w:val="Source"/>
    <w:next w:val="BodyText"/>
    <w:rsid w:val="002011A6"/>
    <w:pPr>
      <w:spacing w:before="120"/>
    </w:pPr>
  </w:style>
  <w:style w:type="paragraph" w:customStyle="1" w:styleId="BoxSpaceAbove">
    <w:name w:val="Box Space Above"/>
    <w:basedOn w:val="BodyText"/>
    <w:rsid w:val="002011A6"/>
    <w:pPr>
      <w:keepNext/>
      <w:spacing w:before="360" w:line="80" w:lineRule="exact"/>
      <w:jc w:val="left"/>
    </w:pPr>
  </w:style>
  <w:style w:type="paragraph" w:styleId="Caption">
    <w:name w:val="caption"/>
    <w:basedOn w:val="Normal"/>
    <w:next w:val="BodyText"/>
    <w:rsid w:val="002011A6"/>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011A6"/>
    <w:pPr>
      <w:spacing w:before="120" w:after="0"/>
    </w:pPr>
  </w:style>
  <w:style w:type="paragraph" w:customStyle="1" w:styleId="BoxSubtitle">
    <w:name w:val="Box Subtitle"/>
    <w:basedOn w:val="BoxTitle"/>
    <w:next w:val="Normal"/>
    <w:rsid w:val="002011A6"/>
    <w:pPr>
      <w:spacing w:after="80" w:line="200" w:lineRule="exact"/>
      <w:ind w:firstLine="0"/>
    </w:pPr>
    <w:rPr>
      <w:b w:val="0"/>
      <w:sz w:val="20"/>
    </w:rPr>
  </w:style>
  <w:style w:type="paragraph" w:customStyle="1" w:styleId="Chapter">
    <w:name w:val="Chapter"/>
    <w:basedOn w:val="Heading1"/>
    <w:next w:val="BodyText"/>
    <w:semiHidden/>
    <w:rsid w:val="002011A6"/>
    <w:pPr>
      <w:ind w:left="0" w:firstLine="0"/>
      <w:outlineLvl w:val="9"/>
    </w:pPr>
  </w:style>
  <w:style w:type="paragraph" w:customStyle="1" w:styleId="ChapterSummary">
    <w:name w:val="Chapter Summary"/>
    <w:basedOn w:val="BodyText"/>
    <w:rsid w:val="002011A6"/>
    <w:pPr>
      <w:spacing w:line="280" w:lineRule="atLeast"/>
      <w:ind w:left="907"/>
    </w:pPr>
    <w:rPr>
      <w:rFonts w:ascii="Arial" w:hAnsi="Arial"/>
      <w:b/>
      <w:sz w:val="20"/>
    </w:rPr>
  </w:style>
  <w:style w:type="character" w:styleId="CommentReference">
    <w:name w:val="annotation reference"/>
    <w:basedOn w:val="DefaultParagraphFont"/>
    <w:semiHidden/>
    <w:rsid w:val="002011A6"/>
    <w:rPr>
      <w:b/>
      <w:vanish/>
      <w:color w:val="FF00FF"/>
      <w:sz w:val="20"/>
    </w:rPr>
  </w:style>
  <w:style w:type="paragraph" w:styleId="CommentText">
    <w:name w:val="annotation text"/>
    <w:basedOn w:val="Normal"/>
    <w:link w:val="CommentTextChar"/>
    <w:semiHidden/>
    <w:rsid w:val="002011A6"/>
    <w:pPr>
      <w:spacing w:before="120" w:line="240" w:lineRule="atLeast"/>
      <w:ind w:left="567" w:hanging="567"/>
    </w:pPr>
    <w:rPr>
      <w:sz w:val="20"/>
    </w:rPr>
  </w:style>
  <w:style w:type="paragraph" w:customStyle="1" w:styleId="Continued">
    <w:name w:val="Continued"/>
    <w:basedOn w:val="BoxContinued"/>
    <w:next w:val="BodyText"/>
    <w:rsid w:val="002011A6"/>
  </w:style>
  <w:style w:type="character" w:customStyle="1" w:styleId="DocumentInfo">
    <w:name w:val="Document Info"/>
    <w:basedOn w:val="DefaultParagraphFont"/>
    <w:semiHidden/>
    <w:rsid w:val="002011A6"/>
    <w:rPr>
      <w:rFonts w:ascii="Arial" w:hAnsi="Arial"/>
      <w:sz w:val="14"/>
    </w:rPr>
  </w:style>
  <w:style w:type="paragraph" w:customStyle="1" w:styleId="Figure">
    <w:name w:val="Figure"/>
    <w:basedOn w:val="BodyText"/>
    <w:rsid w:val="002011A6"/>
    <w:pPr>
      <w:keepNext/>
      <w:spacing w:before="120" w:after="120" w:line="240" w:lineRule="atLeast"/>
      <w:jc w:val="center"/>
    </w:pPr>
  </w:style>
  <w:style w:type="paragraph" w:customStyle="1" w:styleId="FigureTitle">
    <w:name w:val="Figure Title"/>
    <w:basedOn w:val="Caption"/>
    <w:next w:val="Subtitle"/>
    <w:rsid w:val="002011A6"/>
    <w:pPr>
      <w:spacing w:before="120"/>
    </w:pPr>
  </w:style>
  <w:style w:type="paragraph" w:styleId="Subtitle">
    <w:name w:val="Subtitle"/>
    <w:basedOn w:val="Caption"/>
    <w:link w:val="SubtitleChar"/>
    <w:qFormat/>
    <w:rsid w:val="002011A6"/>
    <w:pPr>
      <w:spacing w:before="0" w:line="200" w:lineRule="exact"/>
      <w:ind w:firstLine="0"/>
    </w:pPr>
    <w:rPr>
      <w:b w:val="0"/>
      <w:sz w:val="20"/>
    </w:rPr>
  </w:style>
  <w:style w:type="paragraph" w:customStyle="1" w:styleId="Finding">
    <w:name w:val="Finding"/>
    <w:basedOn w:val="BodyText"/>
    <w:rsid w:val="002011A6"/>
    <w:pPr>
      <w:keepLines/>
      <w:spacing w:before="120" w:line="280" w:lineRule="atLeast"/>
    </w:pPr>
    <w:rPr>
      <w:rFonts w:ascii="Arial" w:hAnsi="Arial"/>
      <w:sz w:val="22"/>
    </w:rPr>
  </w:style>
  <w:style w:type="paragraph" w:customStyle="1" w:styleId="FindingBullet">
    <w:name w:val="Finding Bullet"/>
    <w:basedOn w:val="Finding"/>
    <w:rsid w:val="002011A6"/>
    <w:pPr>
      <w:numPr>
        <w:numId w:val="35"/>
      </w:numPr>
      <w:spacing w:before="80"/>
    </w:pPr>
  </w:style>
  <w:style w:type="paragraph" w:customStyle="1" w:styleId="FindingNoTitle">
    <w:name w:val="Finding NoTitle"/>
    <w:basedOn w:val="Finding"/>
    <w:semiHidden/>
    <w:rsid w:val="002011A6"/>
    <w:pPr>
      <w:spacing w:before="240"/>
    </w:pPr>
  </w:style>
  <w:style w:type="paragraph" w:customStyle="1" w:styleId="RecTitle">
    <w:name w:val="Rec Title"/>
    <w:basedOn w:val="BodyText"/>
    <w:next w:val="Rec"/>
    <w:qFormat/>
    <w:rsid w:val="002011A6"/>
    <w:pPr>
      <w:keepNext/>
      <w:keepLines/>
      <w:spacing w:line="280" w:lineRule="atLeast"/>
    </w:pPr>
    <w:rPr>
      <w:rFonts w:ascii="Arial" w:hAnsi="Arial"/>
      <w:caps/>
      <w:sz w:val="18"/>
    </w:rPr>
  </w:style>
  <w:style w:type="paragraph" w:customStyle="1" w:styleId="FindingTitle">
    <w:name w:val="Finding Title"/>
    <w:basedOn w:val="RecTitle"/>
    <w:next w:val="Finding"/>
    <w:rsid w:val="002011A6"/>
  </w:style>
  <w:style w:type="character" w:styleId="FootnoteReference">
    <w:name w:val="footnote reference"/>
    <w:basedOn w:val="DefaultParagraphFont"/>
    <w:semiHidden/>
    <w:rsid w:val="002011A6"/>
    <w:rPr>
      <w:rFonts w:ascii="Times New Roman" w:hAnsi="Times New Roman"/>
      <w:position w:val="6"/>
      <w:sz w:val="20"/>
      <w:vertAlign w:val="baseline"/>
    </w:rPr>
  </w:style>
  <w:style w:type="paragraph" w:styleId="FootnoteText">
    <w:name w:val="footnote text"/>
    <w:basedOn w:val="BodyText"/>
    <w:rsid w:val="002011A6"/>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011A6"/>
    <w:rPr>
      <w:i/>
    </w:rPr>
  </w:style>
  <w:style w:type="paragraph" w:customStyle="1" w:styleId="Jurisdictioncommentsbodytext">
    <w:name w:val="Jurisdiction comments body text"/>
    <w:rsid w:val="002011A6"/>
    <w:pPr>
      <w:spacing w:after="140"/>
      <w:jc w:val="both"/>
    </w:pPr>
    <w:rPr>
      <w:rFonts w:ascii="Arial" w:hAnsi="Arial"/>
      <w:sz w:val="24"/>
      <w:lang w:eastAsia="en-US"/>
    </w:rPr>
  </w:style>
  <w:style w:type="paragraph" w:customStyle="1" w:styleId="Jurisdictioncommentsheading">
    <w:name w:val="Jurisdiction comments heading"/>
    <w:rsid w:val="002011A6"/>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011A6"/>
    <w:pPr>
      <w:numPr>
        <w:numId w:val="19"/>
      </w:numPr>
      <w:spacing w:after="140"/>
      <w:jc w:val="both"/>
    </w:pPr>
    <w:rPr>
      <w:rFonts w:ascii="Arial" w:hAnsi="Arial"/>
      <w:sz w:val="24"/>
      <w:lang w:eastAsia="en-US"/>
    </w:rPr>
  </w:style>
  <w:style w:type="paragraph" w:styleId="ListBullet">
    <w:name w:val="List Bullet"/>
    <w:basedOn w:val="BodyText"/>
    <w:rsid w:val="002011A6"/>
    <w:pPr>
      <w:numPr>
        <w:numId w:val="25"/>
      </w:numPr>
      <w:spacing w:before="120"/>
    </w:pPr>
  </w:style>
  <w:style w:type="paragraph" w:styleId="ListBullet2">
    <w:name w:val="List Bullet 2"/>
    <w:basedOn w:val="BodyText"/>
    <w:rsid w:val="002011A6"/>
    <w:pPr>
      <w:numPr>
        <w:numId w:val="26"/>
      </w:numPr>
      <w:spacing w:before="120"/>
    </w:pPr>
  </w:style>
  <w:style w:type="paragraph" w:styleId="ListBullet3">
    <w:name w:val="List Bullet 3"/>
    <w:basedOn w:val="BodyText"/>
    <w:rsid w:val="002011A6"/>
    <w:pPr>
      <w:numPr>
        <w:numId w:val="27"/>
      </w:numPr>
      <w:spacing w:before="120"/>
      <w:ind w:left="1020" w:hanging="340"/>
    </w:pPr>
  </w:style>
  <w:style w:type="paragraph" w:styleId="ListNumber">
    <w:name w:val="List Number"/>
    <w:basedOn w:val="BodyText"/>
    <w:rsid w:val="002011A6"/>
    <w:pPr>
      <w:numPr>
        <w:numId w:val="31"/>
      </w:numPr>
      <w:spacing w:before="120"/>
    </w:pPr>
  </w:style>
  <w:style w:type="paragraph" w:styleId="ListNumber2">
    <w:name w:val="List Number 2"/>
    <w:basedOn w:val="ListNumber"/>
    <w:rsid w:val="002011A6"/>
    <w:pPr>
      <w:numPr>
        <w:ilvl w:val="1"/>
      </w:numPr>
    </w:pPr>
  </w:style>
  <w:style w:type="paragraph" w:styleId="ListNumber3">
    <w:name w:val="List Number 3"/>
    <w:basedOn w:val="ListNumber2"/>
    <w:rsid w:val="002011A6"/>
    <w:pPr>
      <w:numPr>
        <w:ilvl w:val="2"/>
      </w:numPr>
    </w:pPr>
  </w:style>
  <w:style w:type="character" w:customStyle="1" w:styleId="NoteLabel">
    <w:name w:val="Note Label"/>
    <w:basedOn w:val="DefaultParagraphFont"/>
    <w:rsid w:val="002011A6"/>
    <w:rPr>
      <w:rFonts w:ascii="Arial" w:hAnsi="Arial"/>
      <w:b/>
      <w:position w:val="6"/>
      <w:sz w:val="18"/>
    </w:rPr>
  </w:style>
  <w:style w:type="paragraph" w:customStyle="1" w:styleId="PartDivider">
    <w:name w:val="Part Divider"/>
    <w:basedOn w:val="BodyText"/>
    <w:next w:val="BodyText"/>
    <w:semiHidden/>
    <w:rsid w:val="002011A6"/>
    <w:pPr>
      <w:spacing w:before="0" w:line="40" w:lineRule="exact"/>
      <w:jc w:val="right"/>
    </w:pPr>
    <w:rPr>
      <w:smallCaps/>
      <w:sz w:val="16"/>
    </w:rPr>
  </w:style>
  <w:style w:type="paragraph" w:customStyle="1" w:styleId="PartNumber">
    <w:name w:val="Part Number"/>
    <w:basedOn w:val="BodyText"/>
    <w:next w:val="BodyText"/>
    <w:semiHidden/>
    <w:rsid w:val="002011A6"/>
    <w:pPr>
      <w:spacing w:before="4000" w:line="320" w:lineRule="exact"/>
      <w:ind w:left="6634"/>
      <w:jc w:val="right"/>
    </w:pPr>
    <w:rPr>
      <w:smallCaps/>
      <w:spacing w:val="60"/>
      <w:sz w:val="32"/>
    </w:rPr>
  </w:style>
  <w:style w:type="paragraph" w:customStyle="1" w:styleId="PartTitle">
    <w:name w:val="Part Title"/>
    <w:basedOn w:val="BodyText"/>
    <w:semiHidden/>
    <w:rsid w:val="002011A6"/>
    <w:pPr>
      <w:spacing w:before="160" w:after="1360" w:line="520" w:lineRule="exact"/>
      <w:ind w:right="2381"/>
      <w:jc w:val="right"/>
    </w:pPr>
    <w:rPr>
      <w:smallCaps/>
      <w:sz w:val="52"/>
    </w:rPr>
  </w:style>
  <w:style w:type="paragraph" w:styleId="Quote">
    <w:name w:val="Quote"/>
    <w:basedOn w:val="BodyText"/>
    <w:next w:val="BodyText"/>
    <w:qFormat/>
    <w:rsid w:val="002011A6"/>
    <w:pPr>
      <w:spacing w:before="120" w:line="280" w:lineRule="exact"/>
      <w:ind w:left="340"/>
    </w:pPr>
    <w:rPr>
      <w:sz w:val="22"/>
    </w:rPr>
  </w:style>
  <w:style w:type="paragraph" w:customStyle="1" w:styleId="QuoteBullet">
    <w:name w:val="Quote Bullet"/>
    <w:basedOn w:val="Quote"/>
    <w:rsid w:val="002011A6"/>
    <w:pPr>
      <w:numPr>
        <w:numId w:val="28"/>
      </w:numPr>
    </w:pPr>
  </w:style>
  <w:style w:type="paragraph" w:customStyle="1" w:styleId="Rec">
    <w:name w:val="Rec"/>
    <w:basedOn w:val="BodyText"/>
    <w:qFormat/>
    <w:rsid w:val="002011A6"/>
    <w:pPr>
      <w:keepLines/>
      <w:spacing w:before="120" w:line="280" w:lineRule="atLeast"/>
    </w:pPr>
    <w:rPr>
      <w:rFonts w:ascii="Arial" w:hAnsi="Arial"/>
      <w:sz w:val="22"/>
    </w:rPr>
  </w:style>
  <w:style w:type="paragraph" w:customStyle="1" w:styleId="RecBullet">
    <w:name w:val="Rec Bullet"/>
    <w:basedOn w:val="Rec"/>
    <w:rsid w:val="002011A6"/>
    <w:pPr>
      <w:numPr>
        <w:numId w:val="37"/>
      </w:numPr>
      <w:spacing w:before="80"/>
    </w:pPr>
  </w:style>
  <w:style w:type="paragraph" w:customStyle="1" w:styleId="RecB">
    <w:name w:val="RecB"/>
    <w:basedOn w:val="Normal"/>
    <w:semiHidden/>
    <w:rsid w:val="002011A6"/>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011A6"/>
    <w:pPr>
      <w:numPr>
        <w:numId w:val="32"/>
      </w:numPr>
      <w:spacing w:before="80"/>
    </w:pPr>
  </w:style>
  <w:style w:type="paragraph" w:customStyle="1" w:styleId="RecBNoTitle">
    <w:name w:val="RecB NoTitle"/>
    <w:basedOn w:val="RecB"/>
    <w:semiHidden/>
    <w:rsid w:val="002011A6"/>
    <w:pPr>
      <w:spacing w:before="240"/>
    </w:pPr>
  </w:style>
  <w:style w:type="paragraph" w:customStyle="1" w:styleId="Reference">
    <w:name w:val="Reference"/>
    <w:basedOn w:val="BodyText"/>
    <w:rsid w:val="002011A6"/>
    <w:pPr>
      <w:spacing w:before="120"/>
      <w:ind w:left="340" w:hanging="340"/>
    </w:pPr>
  </w:style>
  <w:style w:type="paragraph" w:customStyle="1" w:styleId="SequenceInfo">
    <w:name w:val="Sequence Info"/>
    <w:basedOn w:val="BodyText"/>
    <w:semiHidden/>
    <w:rsid w:val="002011A6"/>
    <w:rPr>
      <w:vanish/>
      <w:sz w:val="16"/>
    </w:rPr>
  </w:style>
  <w:style w:type="paragraph" w:customStyle="1" w:styleId="SideNote">
    <w:name w:val="Side Note"/>
    <w:basedOn w:val="BodyText"/>
    <w:next w:val="BodyText"/>
    <w:semiHidden/>
    <w:rsid w:val="002011A6"/>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011A6"/>
    <w:pPr>
      <w:framePr w:wrap="around"/>
      <w:numPr>
        <w:numId w:val="29"/>
      </w:numPr>
      <w:tabs>
        <w:tab w:val="left" w:pos="227"/>
      </w:tabs>
    </w:pPr>
  </w:style>
  <w:style w:type="paragraph" w:customStyle="1" w:styleId="SideNoteGraphic">
    <w:name w:val="Side Note Graphic"/>
    <w:basedOn w:val="SideNote"/>
    <w:next w:val="BodyText"/>
    <w:semiHidden/>
    <w:rsid w:val="002011A6"/>
    <w:pPr>
      <w:framePr w:wrap="around"/>
    </w:pPr>
  </w:style>
  <w:style w:type="paragraph" w:customStyle="1" w:styleId="TableBodyText">
    <w:name w:val="Table Body Text"/>
    <w:basedOn w:val="BodyText"/>
    <w:rsid w:val="002011A6"/>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011A6"/>
    <w:pPr>
      <w:numPr>
        <w:numId w:val="30"/>
      </w:numPr>
      <w:jc w:val="left"/>
    </w:pPr>
  </w:style>
  <w:style w:type="paragraph" w:customStyle="1" w:styleId="TableColumnHeading">
    <w:name w:val="Table Column Heading"/>
    <w:basedOn w:val="TableBodyText"/>
    <w:rsid w:val="002011A6"/>
    <w:pPr>
      <w:spacing w:before="80" w:after="80"/>
    </w:pPr>
    <w:rPr>
      <w:i/>
    </w:rPr>
  </w:style>
  <w:style w:type="paragraph" w:styleId="TOC2">
    <w:name w:val="toc 2"/>
    <w:basedOn w:val="TOC1"/>
    <w:rsid w:val="002011A6"/>
    <w:pPr>
      <w:ind w:left="1134" w:hanging="624"/>
    </w:pPr>
    <w:rPr>
      <w:b w:val="0"/>
    </w:rPr>
  </w:style>
  <w:style w:type="paragraph" w:styleId="TOC3">
    <w:name w:val="toc 3"/>
    <w:basedOn w:val="TOC2"/>
    <w:rsid w:val="002011A6"/>
    <w:pPr>
      <w:spacing w:before="60"/>
      <w:ind w:left="1190" w:hanging="680"/>
    </w:pPr>
  </w:style>
  <w:style w:type="paragraph" w:styleId="TableofFigures">
    <w:name w:val="table of figures"/>
    <w:basedOn w:val="TOC3"/>
    <w:next w:val="BodyText"/>
    <w:semiHidden/>
    <w:rsid w:val="002011A6"/>
    <w:pPr>
      <w:ind w:left="737" w:hanging="737"/>
    </w:pPr>
  </w:style>
  <w:style w:type="paragraph" w:customStyle="1" w:styleId="TableTitle">
    <w:name w:val="Table Title"/>
    <w:basedOn w:val="Caption"/>
    <w:next w:val="Subtitle"/>
    <w:qFormat/>
    <w:rsid w:val="002011A6"/>
    <w:pPr>
      <w:spacing w:before="120"/>
    </w:pPr>
  </w:style>
  <w:style w:type="paragraph" w:customStyle="1" w:styleId="TableUnitsRow">
    <w:name w:val="Table Units Row"/>
    <w:basedOn w:val="TableBodyText"/>
    <w:rsid w:val="002011A6"/>
    <w:pPr>
      <w:spacing w:before="40"/>
    </w:pPr>
  </w:style>
  <w:style w:type="paragraph" w:styleId="TOC1">
    <w:name w:val="toc 1"/>
    <w:basedOn w:val="Normal"/>
    <w:next w:val="TOC2"/>
    <w:link w:val="TOC1Char"/>
    <w:rsid w:val="002011A6"/>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2011A6"/>
    <w:pPr>
      <w:ind w:left="1191" w:firstLine="0"/>
    </w:pPr>
  </w:style>
  <w:style w:type="paragraph" w:customStyle="1" w:styleId="RecBBullet2">
    <w:name w:val="RecB Bullet 2"/>
    <w:basedOn w:val="ListBullet2"/>
    <w:semiHidden/>
    <w:rsid w:val="002011A6"/>
    <w:pPr>
      <w:pBdr>
        <w:left w:val="single" w:sz="24" w:space="29" w:color="C0C0C0"/>
      </w:pBdr>
    </w:pPr>
    <w:rPr>
      <w:b/>
      <w:i/>
    </w:rPr>
  </w:style>
  <w:style w:type="paragraph" w:styleId="BalloonText">
    <w:name w:val="Balloon Text"/>
    <w:basedOn w:val="Normal"/>
    <w:link w:val="BalloonTextChar"/>
    <w:rsid w:val="002011A6"/>
    <w:rPr>
      <w:rFonts w:ascii="Tahoma" w:hAnsi="Tahoma" w:cs="Tahoma"/>
      <w:sz w:val="16"/>
      <w:szCs w:val="16"/>
    </w:rPr>
  </w:style>
  <w:style w:type="character" w:customStyle="1" w:styleId="BalloonTextChar">
    <w:name w:val="Balloon Text Char"/>
    <w:basedOn w:val="DefaultParagraphFont"/>
    <w:link w:val="BalloonText"/>
    <w:rsid w:val="002011A6"/>
    <w:rPr>
      <w:rFonts w:ascii="Tahoma" w:hAnsi="Tahoma" w:cs="Tahoma"/>
      <w:sz w:val="16"/>
      <w:szCs w:val="16"/>
    </w:rPr>
  </w:style>
  <w:style w:type="character" w:customStyle="1" w:styleId="SubtitleChar">
    <w:name w:val="Subtitle Char"/>
    <w:basedOn w:val="DefaultParagraphFont"/>
    <w:link w:val="Subtitle"/>
    <w:rsid w:val="002011A6"/>
    <w:rPr>
      <w:rFonts w:ascii="Arial" w:hAnsi="Arial"/>
      <w:szCs w:val="24"/>
    </w:rPr>
  </w:style>
  <w:style w:type="paragraph" w:customStyle="1" w:styleId="BoxListBullet3">
    <w:name w:val="Box List Bullet 3"/>
    <w:basedOn w:val="ListBullet3"/>
    <w:rsid w:val="002011A6"/>
    <w:pPr>
      <w:numPr>
        <w:numId w:val="3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011A6"/>
    <w:rPr>
      <w:i/>
      <w:iCs/>
    </w:rPr>
  </w:style>
  <w:style w:type="paragraph" w:customStyle="1" w:styleId="BoxQuoteBullet">
    <w:name w:val="Box Quote Bullet"/>
    <w:basedOn w:val="BoxQuote"/>
    <w:next w:val="Box"/>
    <w:rsid w:val="002011A6"/>
    <w:pPr>
      <w:numPr>
        <w:numId w:val="33"/>
      </w:numPr>
      <w:ind w:left="568" w:hanging="284"/>
    </w:pPr>
  </w:style>
  <w:style w:type="paragraph" w:customStyle="1" w:styleId="InformationRequestBullet">
    <w:name w:val="Information Request Bullet"/>
    <w:basedOn w:val="ListBullet"/>
    <w:next w:val="BodyText"/>
    <w:rsid w:val="002011A6"/>
    <w:pPr>
      <w:numPr>
        <w:numId w:val="36"/>
      </w:numPr>
      <w:spacing w:before="80" w:line="280" w:lineRule="atLeast"/>
      <w:ind w:left="357" w:hanging="357"/>
    </w:pPr>
    <w:rPr>
      <w:rFonts w:ascii="Arial" w:hAnsi="Arial"/>
      <w:i/>
      <w:sz w:val="22"/>
    </w:rPr>
  </w:style>
  <w:style w:type="paragraph" w:customStyle="1" w:styleId="BoxSpaceBelow">
    <w:name w:val="Box Space Below"/>
    <w:basedOn w:val="Box"/>
    <w:rsid w:val="002011A6"/>
    <w:pPr>
      <w:keepNext w:val="0"/>
      <w:spacing w:before="60" w:after="60" w:line="80" w:lineRule="exact"/>
    </w:pPr>
    <w:rPr>
      <w:sz w:val="14"/>
    </w:rPr>
  </w:style>
  <w:style w:type="table" w:styleId="TableGrid">
    <w:name w:val="Table Grid"/>
    <w:basedOn w:val="TableNormal"/>
    <w:rsid w:val="0020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C723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C7236"/>
    <w:rPr>
      <w:szCs w:val="24"/>
    </w:rPr>
  </w:style>
  <w:style w:type="character" w:customStyle="1" w:styleId="CommentSubjectChar">
    <w:name w:val="Comment Subject Char"/>
    <w:basedOn w:val="CommentTextChar"/>
    <w:link w:val="CommentSubject"/>
    <w:rsid w:val="009C7236"/>
    <w:rPr>
      <w:b/>
      <w:bCs/>
      <w:szCs w:val="24"/>
    </w:rPr>
  </w:style>
  <w:style w:type="character" w:customStyle="1" w:styleId="FooterChar">
    <w:name w:val="Footer Char"/>
    <w:basedOn w:val="BodyTextChar"/>
    <w:link w:val="Footer"/>
    <w:rsid w:val="002011A6"/>
    <w:rPr>
      <w:rFonts w:ascii="Arial" w:hAnsi="Arial"/>
      <w:caps/>
      <w:spacing w:val="-4"/>
      <w:sz w:val="16"/>
    </w:rPr>
  </w:style>
  <w:style w:type="paragraph" w:customStyle="1" w:styleId="Figurespace">
    <w:name w:val="Figure space"/>
    <w:basedOn w:val="Box"/>
    <w:rsid w:val="002011A6"/>
    <w:pPr>
      <w:spacing w:before="0" w:line="120" w:lineRule="exact"/>
    </w:pPr>
  </w:style>
  <w:style w:type="paragraph" w:customStyle="1" w:styleId="KeyPointsListBullet">
    <w:name w:val="Key Points List Bullet"/>
    <w:basedOn w:val="Normal"/>
    <w:qFormat/>
    <w:rsid w:val="002011A6"/>
    <w:pPr>
      <w:keepNext/>
      <w:numPr>
        <w:numId w:val="3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2011A6"/>
    <w:pPr>
      <w:numPr>
        <w:numId w:val="40"/>
      </w:numPr>
      <w:ind w:left="568" w:hanging="284"/>
    </w:pPr>
  </w:style>
  <w:style w:type="paragraph" w:customStyle="1" w:styleId="InformationRequestTitle">
    <w:name w:val="Information Request Title"/>
    <w:basedOn w:val="FindingTitle"/>
    <w:next w:val="InformationRequest"/>
    <w:rsid w:val="002011A6"/>
    <w:rPr>
      <w:i/>
    </w:rPr>
  </w:style>
  <w:style w:type="paragraph" w:customStyle="1" w:styleId="Space">
    <w:name w:val="Space"/>
    <w:basedOn w:val="Normal"/>
    <w:rsid w:val="002011A6"/>
    <w:pPr>
      <w:keepNext/>
      <w:spacing w:line="120" w:lineRule="exact"/>
      <w:jc w:val="both"/>
    </w:pPr>
    <w:rPr>
      <w:rFonts w:ascii="Arial" w:hAnsi="Arial"/>
      <w:sz w:val="20"/>
      <w:szCs w:val="20"/>
    </w:rPr>
  </w:style>
  <w:style w:type="paragraph" w:customStyle="1" w:styleId="Heading1nochapterno">
    <w:name w:val="Heading 1 (no chapter no.)"/>
    <w:basedOn w:val="Heading1"/>
    <w:rsid w:val="002011A6"/>
    <w:pPr>
      <w:spacing w:before="0"/>
      <w:ind w:left="0" w:firstLine="0"/>
    </w:pPr>
  </w:style>
  <w:style w:type="paragraph" w:customStyle="1" w:styleId="Heading2nosectionno">
    <w:name w:val="Heading 2 (no section no.)"/>
    <w:basedOn w:val="Heading2"/>
    <w:rsid w:val="002011A6"/>
    <w:pPr>
      <w:ind w:left="0" w:firstLine="0"/>
    </w:pPr>
  </w:style>
  <w:style w:type="character" w:customStyle="1" w:styleId="Heading5Char">
    <w:name w:val="Heading 5 Char"/>
    <w:basedOn w:val="DefaultParagraphFont"/>
    <w:link w:val="Heading5"/>
    <w:rsid w:val="002011A6"/>
    <w:rPr>
      <w:rFonts w:ascii="Arial" w:hAnsi="Arial"/>
      <w:i/>
      <w:sz w:val="22"/>
    </w:rPr>
  </w:style>
  <w:style w:type="paragraph" w:customStyle="1" w:styleId="FooterDraftReport">
    <w:name w:val="FooterDraftReport"/>
    <w:basedOn w:val="Footer"/>
    <w:link w:val="FooterDraftReportChar"/>
    <w:rsid w:val="002011A6"/>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2011A6"/>
    <w:rPr>
      <w:sz w:val="24"/>
    </w:rPr>
  </w:style>
  <w:style w:type="character" w:customStyle="1" w:styleId="FooterDraftReportChar">
    <w:name w:val="FooterDraftReport Char"/>
    <w:basedOn w:val="FooterChar"/>
    <w:link w:val="FooterDraftReport"/>
    <w:rsid w:val="002011A6"/>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2011A6"/>
    <w:rPr>
      <w:rFonts w:ascii="Arial" w:hAnsi="Arial"/>
      <w:b/>
      <w:sz w:val="26"/>
      <w:szCs w:val="26"/>
      <w:lang w:eastAsia="en-US"/>
    </w:rPr>
  </w:style>
  <w:style w:type="paragraph" w:styleId="Revision">
    <w:name w:val="Revision"/>
    <w:hidden/>
    <w:uiPriority w:val="99"/>
    <w:semiHidden/>
    <w:rsid w:val="00B25851"/>
    <w:rPr>
      <w:sz w:val="24"/>
      <w:szCs w:val="24"/>
    </w:rPr>
  </w:style>
  <w:style w:type="character" w:customStyle="1" w:styleId="DraftingNote">
    <w:name w:val="Drafting Note"/>
    <w:basedOn w:val="DefaultParagraphFont"/>
    <w:rsid w:val="002011A6"/>
    <w:rPr>
      <w:b/>
      <w:color w:val="FF0000"/>
      <w:sz w:val="24"/>
      <w:u w:val="dotte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011A6"/>
    <w:rPr>
      <w:sz w:val="24"/>
      <w:szCs w:val="24"/>
    </w:rPr>
  </w:style>
  <w:style w:type="paragraph" w:styleId="Heading1">
    <w:name w:val="heading 1"/>
    <w:basedOn w:val="BodyText"/>
    <w:next w:val="BodyText"/>
    <w:rsid w:val="002011A6"/>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011A6"/>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011A6"/>
    <w:pPr>
      <w:spacing w:before="560" w:line="320" w:lineRule="exact"/>
      <w:ind w:left="0" w:firstLine="0"/>
      <w:outlineLvl w:val="2"/>
    </w:pPr>
    <w:rPr>
      <w:sz w:val="26"/>
    </w:rPr>
  </w:style>
  <w:style w:type="paragraph" w:styleId="Heading4">
    <w:name w:val="heading 4"/>
    <w:basedOn w:val="Heading3"/>
    <w:next w:val="BodyText"/>
    <w:qFormat/>
    <w:rsid w:val="002011A6"/>
    <w:pPr>
      <w:spacing w:before="480"/>
      <w:outlineLvl w:val="3"/>
    </w:pPr>
    <w:rPr>
      <w:b w:val="0"/>
      <w:sz w:val="24"/>
    </w:rPr>
  </w:style>
  <w:style w:type="paragraph" w:styleId="Heading5">
    <w:name w:val="heading 5"/>
    <w:basedOn w:val="Heading4"/>
    <w:next w:val="BodyText"/>
    <w:link w:val="Heading5Char"/>
    <w:qFormat/>
    <w:rsid w:val="002011A6"/>
    <w:pPr>
      <w:outlineLvl w:val="4"/>
    </w:pPr>
    <w:rPr>
      <w:i/>
      <w:sz w:val="22"/>
    </w:rPr>
  </w:style>
  <w:style w:type="paragraph" w:styleId="Heading6">
    <w:name w:val="heading 6"/>
    <w:basedOn w:val="BodyText"/>
    <w:next w:val="BodyText"/>
    <w:rsid w:val="002011A6"/>
    <w:pPr>
      <w:spacing w:after="60"/>
      <w:jc w:val="left"/>
      <w:outlineLvl w:val="5"/>
    </w:pPr>
    <w:rPr>
      <w:i/>
      <w:sz w:val="22"/>
    </w:rPr>
  </w:style>
  <w:style w:type="paragraph" w:styleId="Heading7">
    <w:name w:val="heading 7"/>
    <w:basedOn w:val="BodyText"/>
    <w:next w:val="BodyText"/>
    <w:rsid w:val="002011A6"/>
    <w:pPr>
      <w:spacing w:after="60" w:line="240" w:lineRule="auto"/>
      <w:jc w:val="left"/>
      <w:outlineLvl w:val="6"/>
    </w:pPr>
    <w:rPr>
      <w:rFonts w:ascii="Arial" w:hAnsi="Arial"/>
      <w:sz w:val="20"/>
    </w:rPr>
  </w:style>
  <w:style w:type="paragraph" w:styleId="Heading8">
    <w:name w:val="heading 8"/>
    <w:basedOn w:val="BodyText"/>
    <w:next w:val="BodyText"/>
    <w:rsid w:val="002011A6"/>
    <w:pPr>
      <w:spacing w:after="60" w:line="240" w:lineRule="auto"/>
      <w:jc w:val="left"/>
      <w:outlineLvl w:val="7"/>
    </w:pPr>
    <w:rPr>
      <w:rFonts w:ascii="Arial" w:hAnsi="Arial"/>
      <w:i/>
      <w:sz w:val="20"/>
    </w:rPr>
  </w:style>
  <w:style w:type="paragraph" w:styleId="Heading9">
    <w:name w:val="heading 9"/>
    <w:basedOn w:val="BodyText"/>
    <w:next w:val="BodyText"/>
    <w:rsid w:val="002011A6"/>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011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1A6"/>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2011A6"/>
    <w:pPr>
      <w:spacing w:before="240" w:line="300" w:lineRule="atLeast"/>
      <w:jc w:val="both"/>
    </w:pPr>
    <w:rPr>
      <w:sz w:val="24"/>
    </w:rPr>
  </w:style>
  <w:style w:type="paragraph" w:styleId="Footer">
    <w:name w:val="footer"/>
    <w:basedOn w:val="BodyText"/>
    <w:link w:val="FooterChar"/>
    <w:rsid w:val="002011A6"/>
    <w:pPr>
      <w:spacing w:before="80" w:line="200" w:lineRule="exact"/>
      <w:ind w:right="6"/>
      <w:jc w:val="left"/>
    </w:pPr>
    <w:rPr>
      <w:rFonts w:ascii="Arial" w:hAnsi="Arial"/>
      <w:caps/>
      <w:spacing w:val="-4"/>
      <w:sz w:val="16"/>
    </w:rPr>
  </w:style>
  <w:style w:type="paragraph" w:customStyle="1" w:styleId="FooterEnd">
    <w:name w:val="Footer End"/>
    <w:basedOn w:val="Footer"/>
    <w:rsid w:val="002011A6"/>
    <w:pPr>
      <w:spacing w:before="0" w:line="20" w:lineRule="exact"/>
    </w:pPr>
  </w:style>
  <w:style w:type="paragraph" w:styleId="Header">
    <w:name w:val="header"/>
    <w:basedOn w:val="BodyText"/>
    <w:rsid w:val="002011A6"/>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011A6"/>
    <w:pPr>
      <w:spacing w:line="20" w:lineRule="exact"/>
    </w:pPr>
    <w:rPr>
      <w:sz w:val="16"/>
    </w:rPr>
  </w:style>
  <w:style w:type="paragraph" w:customStyle="1" w:styleId="HeaderEven">
    <w:name w:val="Header Even"/>
    <w:basedOn w:val="Header"/>
    <w:semiHidden/>
    <w:rsid w:val="002011A6"/>
  </w:style>
  <w:style w:type="paragraph" w:customStyle="1" w:styleId="HeaderOdd">
    <w:name w:val="Header Odd"/>
    <w:basedOn w:val="Header"/>
    <w:semiHidden/>
    <w:rsid w:val="002011A6"/>
  </w:style>
  <w:style w:type="character" w:styleId="PageNumber">
    <w:name w:val="page number"/>
    <w:basedOn w:val="DefaultParagraphFont"/>
    <w:rsid w:val="002011A6"/>
    <w:rPr>
      <w:rFonts w:ascii="Arial" w:hAnsi="Arial"/>
      <w:b/>
      <w:sz w:val="16"/>
    </w:rPr>
  </w:style>
  <w:style w:type="paragraph" w:customStyle="1" w:styleId="Abbreviation">
    <w:name w:val="Abbreviation"/>
    <w:basedOn w:val="BodyText"/>
    <w:rsid w:val="002011A6"/>
    <w:pPr>
      <w:spacing w:before="120"/>
      <w:ind w:left="2381" w:hanging="2381"/>
      <w:jc w:val="left"/>
    </w:pPr>
  </w:style>
  <w:style w:type="paragraph" w:customStyle="1" w:styleId="Box">
    <w:name w:val="Box"/>
    <w:basedOn w:val="BodyText"/>
    <w:qFormat/>
    <w:rsid w:val="002011A6"/>
    <w:pPr>
      <w:keepNext/>
      <w:spacing w:before="120" w:line="260" w:lineRule="atLeast"/>
    </w:pPr>
    <w:rPr>
      <w:rFonts w:ascii="Arial" w:hAnsi="Arial"/>
      <w:sz w:val="20"/>
    </w:rPr>
  </w:style>
  <w:style w:type="paragraph" w:customStyle="1" w:styleId="BoxContinued">
    <w:name w:val="Box Continued"/>
    <w:basedOn w:val="BodyText"/>
    <w:next w:val="BodyText"/>
    <w:semiHidden/>
    <w:rsid w:val="002011A6"/>
    <w:pPr>
      <w:spacing w:before="180" w:line="220" w:lineRule="exact"/>
      <w:jc w:val="right"/>
    </w:pPr>
    <w:rPr>
      <w:rFonts w:ascii="Arial" w:hAnsi="Arial"/>
      <w:sz w:val="18"/>
    </w:rPr>
  </w:style>
  <w:style w:type="paragraph" w:customStyle="1" w:styleId="BoxHeading1">
    <w:name w:val="Box Heading 1"/>
    <w:basedOn w:val="BodyText"/>
    <w:next w:val="Box"/>
    <w:rsid w:val="002011A6"/>
    <w:pPr>
      <w:keepNext/>
      <w:spacing w:before="200" w:line="280" w:lineRule="atLeast"/>
    </w:pPr>
    <w:rPr>
      <w:rFonts w:ascii="Arial" w:hAnsi="Arial"/>
      <w:b/>
      <w:sz w:val="22"/>
    </w:rPr>
  </w:style>
  <w:style w:type="paragraph" w:customStyle="1" w:styleId="BoxHeading2">
    <w:name w:val="Box Heading 2"/>
    <w:basedOn w:val="BoxHeading1"/>
    <w:next w:val="Normal"/>
    <w:rsid w:val="002011A6"/>
    <w:rPr>
      <w:b w:val="0"/>
      <w:i/>
    </w:rPr>
  </w:style>
  <w:style w:type="paragraph" w:customStyle="1" w:styleId="BoxListBullet">
    <w:name w:val="Box List Bullet"/>
    <w:basedOn w:val="BodyText"/>
    <w:rsid w:val="002011A6"/>
    <w:pPr>
      <w:keepNext/>
      <w:numPr>
        <w:numId w:val="22"/>
      </w:numPr>
      <w:spacing w:before="100" w:line="260" w:lineRule="atLeast"/>
    </w:pPr>
    <w:rPr>
      <w:rFonts w:ascii="Arial" w:hAnsi="Arial"/>
      <w:sz w:val="20"/>
    </w:rPr>
  </w:style>
  <w:style w:type="paragraph" w:customStyle="1" w:styleId="BoxListBullet2">
    <w:name w:val="Box List Bullet 2"/>
    <w:basedOn w:val="BoxListBullet"/>
    <w:rsid w:val="002011A6"/>
    <w:pPr>
      <w:numPr>
        <w:numId w:val="23"/>
      </w:numPr>
      <w:ind w:left="568" w:hanging="284"/>
    </w:pPr>
  </w:style>
  <w:style w:type="paragraph" w:customStyle="1" w:styleId="BoxListNumber">
    <w:name w:val="Box List Number"/>
    <w:basedOn w:val="BodyText"/>
    <w:rsid w:val="002011A6"/>
    <w:pPr>
      <w:keepNext/>
      <w:numPr>
        <w:numId w:val="24"/>
      </w:numPr>
      <w:spacing w:before="100" w:line="260" w:lineRule="atLeast"/>
    </w:pPr>
    <w:rPr>
      <w:rFonts w:ascii="Arial" w:hAnsi="Arial"/>
      <w:sz w:val="20"/>
    </w:rPr>
  </w:style>
  <w:style w:type="paragraph" w:customStyle="1" w:styleId="BoxListNumber2">
    <w:name w:val="Box List Number 2"/>
    <w:basedOn w:val="BoxListNumber"/>
    <w:rsid w:val="002011A6"/>
    <w:pPr>
      <w:numPr>
        <w:ilvl w:val="1"/>
      </w:numPr>
      <w:ind w:left="681" w:hanging="397"/>
    </w:pPr>
  </w:style>
  <w:style w:type="paragraph" w:customStyle="1" w:styleId="BoxQuote">
    <w:name w:val="Box Quote"/>
    <w:basedOn w:val="BodyText"/>
    <w:next w:val="Box"/>
    <w:qFormat/>
    <w:rsid w:val="002011A6"/>
    <w:pPr>
      <w:keepNext/>
      <w:spacing w:before="60" w:line="240" w:lineRule="exact"/>
      <w:ind w:left="284"/>
    </w:pPr>
    <w:rPr>
      <w:rFonts w:ascii="Arial" w:hAnsi="Arial"/>
      <w:sz w:val="18"/>
    </w:rPr>
  </w:style>
  <w:style w:type="paragraph" w:customStyle="1" w:styleId="Note">
    <w:name w:val="Note"/>
    <w:basedOn w:val="BodyText"/>
    <w:next w:val="BodyText"/>
    <w:rsid w:val="002011A6"/>
    <w:pPr>
      <w:keepLines/>
      <w:spacing w:before="80" w:line="220" w:lineRule="exact"/>
    </w:pPr>
    <w:rPr>
      <w:rFonts w:ascii="Arial" w:hAnsi="Arial"/>
      <w:sz w:val="18"/>
    </w:rPr>
  </w:style>
  <w:style w:type="paragraph" w:customStyle="1" w:styleId="Source">
    <w:name w:val="Source"/>
    <w:basedOn w:val="Normal"/>
    <w:next w:val="BodyText"/>
    <w:rsid w:val="002011A6"/>
    <w:pPr>
      <w:keepLines/>
      <w:spacing w:before="80" w:line="220" w:lineRule="exact"/>
      <w:jc w:val="both"/>
    </w:pPr>
    <w:rPr>
      <w:rFonts w:ascii="Arial" w:hAnsi="Arial"/>
      <w:sz w:val="18"/>
      <w:szCs w:val="20"/>
    </w:rPr>
  </w:style>
  <w:style w:type="paragraph" w:customStyle="1" w:styleId="BoxSource">
    <w:name w:val="Box Source"/>
    <w:basedOn w:val="Source"/>
    <w:next w:val="BodyText"/>
    <w:rsid w:val="002011A6"/>
    <w:pPr>
      <w:spacing w:before="120"/>
    </w:pPr>
  </w:style>
  <w:style w:type="paragraph" w:customStyle="1" w:styleId="BoxSpaceAbove">
    <w:name w:val="Box Space Above"/>
    <w:basedOn w:val="BodyText"/>
    <w:rsid w:val="002011A6"/>
    <w:pPr>
      <w:keepNext/>
      <w:spacing w:before="360" w:line="80" w:lineRule="exact"/>
      <w:jc w:val="left"/>
    </w:pPr>
  </w:style>
  <w:style w:type="paragraph" w:styleId="Caption">
    <w:name w:val="caption"/>
    <w:basedOn w:val="Normal"/>
    <w:next w:val="BodyText"/>
    <w:rsid w:val="002011A6"/>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011A6"/>
    <w:pPr>
      <w:spacing w:before="120" w:after="0"/>
    </w:pPr>
  </w:style>
  <w:style w:type="paragraph" w:customStyle="1" w:styleId="BoxSubtitle">
    <w:name w:val="Box Subtitle"/>
    <w:basedOn w:val="BoxTitle"/>
    <w:next w:val="Normal"/>
    <w:rsid w:val="002011A6"/>
    <w:pPr>
      <w:spacing w:after="80" w:line="200" w:lineRule="exact"/>
      <w:ind w:firstLine="0"/>
    </w:pPr>
    <w:rPr>
      <w:b w:val="0"/>
      <w:sz w:val="20"/>
    </w:rPr>
  </w:style>
  <w:style w:type="paragraph" w:customStyle="1" w:styleId="Chapter">
    <w:name w:val="Chapter"/>
    <w:basedOn w:val="Heading1"/>
    <w:next w:val="BodyText"/>
    <w:semiHidden/>
    <w:rsid w:val="002011A6"/>
    <w:pPr>
      <w:ind w:left="0" w:firstLine="0"/>
      <w:outlineLvl w:val="9"/>
    </w:pPr>
  </w:style>
  <w:style w:type="paragraph" w:customStyle="1" w:styleId="ChapterSummary">
    <w:name w:val="Chapter Summary"/>
    <w:basedOn w:val="BodyText"/>
    <w:rsid w:val="002011A6"/>
    <w:pPr>
      <w:spacing w:line="280" w:lineRule="atLeast"/>
      <w:ind w:left="907"/>
    </w:pPr>
    <w:rPr>
      <w:rFonts w:ascii="Arial" w:hAnsi="Arial"/>
      <w:b/>
      <w:sz w:val="20"/>
    </w:rPr>
  </w:style>
  <w:style w:type="character" w:styleId="CommentReference">
    <w:name w:val="annotation reference"/>
    <w:basedOn w:val="DefaultParagraphFont"/>
    <w:semiHidden/>
    <w:rsid w:val="002011A6"/>
    <w:rPr>
      <w:b/>
      <w:vanish/>
      <w:color w:val="FF00FF"/>
      <w:sz w:val="20"/>
    </w:rPr>
  </w:style>
  <w:style w:type="paragraph" w:styleId="CommentText">
    <w:name w:val="annotation text"/>
    <w:basedOn w:val="Normal"/>
    <w:link w:val="CommentTextChar"/>
    <w:semiHidden/>
    <w:rsid w:val="002011A6"/>
    <w:pPr>
      <w:spacing w:before="120" w:line="240" w:lineRule="atLeast"/>
      <w:ind w:left="567" w:hanging="567"/>
    </w:pPr>
    <w:rPr>
      <w:sz w:val="20"/>
    </w:rPr>
  </w:style>
  <w:style w:type="paragraph" w:customStyle="1" w:styleId="Continued">
    <w:name w:val="Continued"/>
    <w:basedOn w:val="BoxContinued"/>
    <w:next w:val="BodyText"/>
    <w:rsid w:val="002011A6"/>
  </w:style>
  <w:style w:type="character" w:customStyle="1" w:styleId="DocumentInfo">
    <w:name w:val="Document Info"/>
    <w:basedOn w:val="DefaultParagraphFont"/>
    <w:semiHidden/>
    <w:rsid w:val="002011A6"/>
    <w:rPr>
      <w:rFonts w:ascii="Arial" w:hAnsi="Arial"/>
      <w:sz w:val="14"/>
    </w:rPr>
  </w:style>
  <w:style w:type="paragraph" w:customStyle="1" w:styleId="Figure">
    <w:name w:val="Figure"/>
    <w:basedOn w:val="BodyText"/>
    <w:rsid w:val="002011A6"/>
    <w:pPr>
      <w:keepNext/>
      <w:spacing w:before="120" w:after="120" w:line="240" w:lineRule="atLeast"/>
      <w:jc w:val="center"/>
    </w:pPr>
  </w:style>
  <w:style w:type="paragraph" w:customStyle="1" w:styleId="FigureTitle">
    <w:name w:val="Figure Title"/>
    <w:basedOn w:val="Caption"/>
    <w:next w:val="Subtitle"/>
    <w:rsid w:val="002011A6"/>
    <w:pPr>
      <w:spacing w:before="120"/>
    </w:pPr>
  </w:style>
  <w:style w:type="paragraph" w:styleId="Subtitle">
    <w:name w:val="Subtitle"/>
    <w:basedOn w:val="Caption"/>
    <w:link w:val="SubtitleChar"/>
    <w:qFormat/>
    <w:rsid w:val="002011A6"/>
    <w:pPr>
      <w:spacing w:before="0" w:line="200" w:lineRule="exact"/>
      <w:ind w:firstLine="0"/>
    </w:pPr>
    <w:rPr>
      <w:b w:val="0"/>
      <w:sz w:val="20"/>
    </w:rPr>
  </w:style>
  <w:style w:type="paragraph" w:customStyle="1" w:styleId="Finding">
    <w:name w:val="Finding"/>
    <w:basedOn w:val="BodyText"/>
    <w:rsid w:val="002011A6"/>
    <w:pPr>
      <w:keepLines/>
      <w:spacing w:before="120" w:line="280" w:lineRule="atLeast"/>
    </w:pPr>
    <w:rPr>
      <w:rFonts w:ascii="Arial" w:hAnsi="Arial"/>
      <w:sz w:val="22"/>
    </w:rPr>
  </w:style>
  <w:style w:type="paragraph" w:customStyle="1" w:styleId="FindingBullet">
    <w:name w:val="Finding Bullet"/>
    <w:basedOn w:val="Finding"/>
    <w:rsid w:val="002011A6"/>
    <w:pPr>
      <w:numPr>
        <w:numId w:val="35"/>
      </w:numPr>
      <w:spacing w:before="80"/>
    </w:pPr>
  </w:style>
  <w:style w:type="paragraph" w:customStyle="1" w:styleId="FindingNoTitle">
    <w:name w:val="Finding NoTitle"/>
    <w:basedOn w:val="Finding"/>
    <w:semiHidden/>
    <w:rsid w:val="002011A6"/>
    <w:pPr>
      <w:spacing w:before="240"/>
    </w:pPr>
  </w:style>
  <w:style w:type="paragraph" w:customStyle="1" w:styleId="RecTitle">
    <w:name w:val="Rec Title"/>
    <w:basedOn w:val="BodyText"/>
    <w:next w:val="Rec"/>
    <w:qFormat/>
    <w:rsid w:val="002011A6"/>
    <w:pPr>
      <w:keepNext/>
      <w:keepLines/>
      <w:spacing w:line="280" w:lineRule="atLeast"/>
    </w:pPr>
    <w:rPr>
      <w:rFonts w:ascii="Arial" w:hAnsi="Arial"/>
      <w:caps/>
      <w:sz w:val="18"/>
    </w:rPr>
  </w:style>
  <w:style w:type="paragraph" w:customStyle="1" w:styleId="FindingTitle">
    <w:name w:val="Finding Title"/>
    <w:basedOn w:val="RecTitle"/>
    <w:next w:val="Finding"/>
    <w:rsid w:val="002011A6"/>
  </w:style>
  <w:style w:type="character" w:styleId="FootnoteReference">
    <w:name w:val="footnote reference"/>
    <w:basedOn w:val="DefaultParagraphFont"/>
    <w:semiHidden/>
    <w:rsid w:val="002011A6"/>
    <w:rPr>
      <w:rFonts w:ascii="Times New Roman" w:hAnsi="Times New Roman"/>
      <w:position w:val="6"/>
      <w:sz w:val="20"/>
      <w:vertAlign w:val="baseline"/>
    </w:rPr>
  </w:style>
  <w:style w:type="paragraph" w:styleId="FootnoteText">
    <w:name w:val="footnote text"/>
    <w:basedOn w:val="BodyText"/>
    <w:rsid w:val="002011A6"/>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011A6"/>
    <w:rPr>
      <w:i/>
    </w:rPr>
  </w:style>
  <w:style w:type="paragraph" w:customStyle="1" w:styleId="Jurisdictioncommentsbodytext">
    <w:name w:val="Jurisdiction comments body text"/>
    <w:rsid w:val="002011A6"/>
    <w:pPr>
      <w:spacing w:after="140"/>
      <w:jc w:val="both"/>
    </w:pPr>
    <w:rPr>
      <w:rFonts w:ascii="Arial" w:hAnsi="Arial"/>
      <w:sz w:val="24"/>
      <w:lang w:eastAsia="en-US"/>
    </w:rPr>
  </w:style>
  <w:style w:type="paragraph" w:customStyle="1" w:styleId="Jurisdictioncommentsheading">
    <w:name w:val="Jurisdiction comments heading"/>
    <w:rsid w:val="002011A6"/>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011A6"/>
    <w:pPr>
      <w:numPr>
        <w:numId w:val="19"/>
      </w:numPr>
      <w:spacing w:after="140"/>
      <w:jc w:val="both"/>
    </w:pPr>
    <w:rPr>
      <w:rFonts w:ascii="Arial" w:hAnsi="Arial"/>
      <w:sz w:val="24"/>
      <w:lang w:eastAsia="en-US"/>
    </w:rPr>
  </w:style>
  <w:style w:type="paragraph" w:styleId="ListBullet">
    <w:name w:val="List Bullet"/>
    <w:basedOn w:val="BodyText"/>
    <w:rsid w:val="002011A6"/>
    <w:pPr>
      <w:numPr>
        <w:numId w:val="25"/>
      </w:numPr>
      <w:spacing w:before="120"/>
    </w:pPr>
  </w:style>
  <w:style w:type="paragraph" w:styleId="ListBullet2">
    <w:name w:val="List Bullet 2"/>
    <w:basedOn w:val="BodyText"/>
    <w:rsid w:val="002011A6"/>
    <w:pPr>
      <w:numPr>
        <w:numId w:val="26"/>
      </w:numPr>
      <w:spacing w:before="120"/>
    </w:pPr>
  </w:style>
  <w:style w:type="paragraph" w:styleId="ListBullet3">
    <w:name w:val="List Bullet 3"/>
    <w:basedOn w:val="BodyText"/>
    <w:rsid w:val="002011A6"/>
    <w:pPr>
      <w:numPr>
        <w:numId w:val="27"/>
      </w:numPr>
      <w:spacing w:before="120"/>
      <w:ind w:left="1020" w:hanging="340"/>
    </w:pPr>
  </w:style>
  <w:style w:type="paragraph" w:styleId="ListNumber">
    <w:name w:val="List Number"/>
    <w:basedOn w:val="BodyText"/>
    <w:rsid w:val="002011A6"/>
    <w:pPr>
      <w:numPr>
        <w:numId w:val="31"/>
      </w:numPr>
      <w:spacing w:before="120"/>
    </w:pPr>
  </w:style>
  <w:style w:type="paragraph" w:styleId="ListNumber2">
    <w:name w:val="List Number 2"/>
    <w:basedOn w:val="ListNumber"/>
    <w:rsid w:val="002011A6"/>
    <w:pPr>
      <w:numPr>
        <w:ilvl w:val="1"/>
      </w:numPr>
    </w:pPr>
  </w:style>
  <w:style w:type="paragraph" w:styleId="ListNumber3">
    <w:name w:val="List Number 3"/>
    <w:basedOn w:val="ListNumber2"/>
    <w:rsid w:val="002011A6"/>
    <w:pPr>
      <w:numPr>
        <w:ilvl w:val="2"/>
      </w:numPr>
    </w:pPr>
  </w:style>
  <w:style w:type="character" w:customStyle="1" w:styleId="NoteLabel">
    <w:name w:val="Note Label"/>
    <w:basedOn w:val="DefaultParagraphFont"/>
    <w:rsid w:val="002011A6"/>
    <w:rPr>
      <w:rFonts w:ascii="Arial" w:hAnsi="Arial"/>
      <w:b/>
      <w:position w:val="6"/>
      <w:sz w:val="18"/>
    </w:rPr>
  </w:style>
  <w:style w:type="paragraph" w:customStyle="1" w:styleId="PartDivider">
    <w:name w:val="Part Divider"/>
    <w:basedOn w:val="BodyText"/>
    <w:next w:val="BodyText"/>
    <w:semiHidden/>
    <w:rsid w:val="002011A6"/>
    <w:pPr>
      <w:spacing w:before="0" w:line="40" w:lineRule="exact"/>
      <w:jc w:val="right"/>
    </w:pPr>
    <w:rPr>
      <w:smallCaps/>
      <w:sz w:val="16"/>
    </w:rPr>
  </w:style>
  <w:style w:type="paragraph" w:customStyle="1" w:styleId="PartNumber">
    <w:name w:val="Part Number"/>
    <w:basedOn w:val="BodyText"/>
    <w:next w:val="BodyText"/>
    <w:semiHidden/>
    <w:rsid w:val="002011A6"/>
    <w:pPr>
      <w:spacing w:before="4000" w:line="320" w:lineRule="exact"/>
      <w:ind w:left="6634"/>
      <w:jc w:val="right"/>
    </w:pPr>
    <w:rPr>
      <w:smallCaps/>
      <w:spacing w:val="60"/>
      <w:sz w:val="32"/>
    </w:rPr>
  </w:style>
  <w:style w:type="paragraph" w:customStyle="1" w:styleId="PartTitle">
    <w:name w:val="Part Title"/>
    <w:basedOn w:val="BodyText"/>
    <w:semiHidden/>
    <w:rsid w:val="002011A6"/>
    <w:pPr>
      <w:spacing w:before="160" w:after="1360" w:line="520" w:lineRule="exact"/>
      <w:ind w:right="2381"/>
      <w:jc w:val="right"/>
    </w:pPr>
    <w:rPr>
      <w:smallCaps/>
      <w:sz w:val="52"/>
    </w:rPr>
  </w:style>
  <w:style w:type="paragraph" w:styleId="Quote">
    <w:name w:val="Quote"/>
    <w:basedOn w:val="BodyText"/>
    <w:next w:val="BodyText"/>
    <w:qFormat/>
    <w:rsid w:val="002011A6"/>
    <w:pPr>
      <w:spacing w:before="120" w:line="280" w:lineRule="exact"/>
      <w:ind w:left="340"/>
    </w:pPr>
    <w:rPr>
      <w:sz w:val="22"/>
    </w:rPr>
  </w:style>
  <w:style w:type="paragraph" w:customStyle="1" w:styleId="QuoteBullet">
    <w:name w:val="Quote Bullet"/>
    <w:basedOn w:val="Quote"/>
    <w:rsid w:val="002011A6"/>
    <w:pPr>
      <w:numPr>
        <w:numId w:val="28"/>
      </w:numPr>
    </w:pPr>
  </w:style>
  <w:style w:type="paragraph" w:customStyle="1" w:styleId="Rec">
    <w:name w:val="Rec"/>
    <w:basedOn w:val="BodyText"/>
    <w:qFormat/>
    <w:rsid w:val="002011A6"/>
    <w:pPr>
      <w:keepLines/>
      <w:spacing w:before="120" w:line="280" w:lineRule="atLeast"/>
    </w:pPr>
    <w:rPr>
      <w:rFonts w:ascii="Arial" w:hAnsi="Arial"/>
      <w:sz w:val="22"/>
    </w:rPr>
  </w:style>
  <w:style w:type="paragraph" w:customStyle="1" w:styleId="RecBullet">
    <w:name w:val="Rec Bullet"/>
    <w:basedOn w:val="Rec"/>
    <w:rsid w:val="002011A6"/>
    <w:pPr>
      <w:numPr>
        <w:numId w:val="37"/>
      </w:numPr>
      <w:spacing w:before="80"/>
    </w:pPr>
  </w:style>
  <w:style w:type="paragraph" w:customStyle="1" w:styleId="RecB">
    <w:name w:val="RecB"/>
    <w:basedOn w:val="Normal"/>
    <w:semiHidden/>
    <w:rsid w:val="002011A6"/>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011A6"/>
    <w:pPr>
      <w:numPr>
        <w:numId w:val="32"/>
      </w:numPr>
      <w:spacing w:before="80"/>
    </w:pPr>
  </w:style>
  <w:style w:type="paragraph" w:customStyle="1" w:styleId="RecBNoTitle">
    <w:name w:val="RecB NoTitle"/>
    <w:basedOn w:val="RecB"/>
    <w:semiHidden/>
    <w:rsid w:val="002011A6"/>
    <w:pPr>
      <w:spacing w:before="240"/>
    </w:pPr>
  </w:style>
  <w:style w:type="paragraph" w:customStyle="1" w:styleId="Reference">
    <w:name w:val="Reference"/>
    <w:basedOn w:val="BodyText"/>
    <w:rsid w:val="002011A6"/>
    <w:pPr>
      <w:spacing w:before="120"/>
      <w:ind w:left="340" w:hanging="340"/>
    </w:pPr>
  </w:style>
  <w:style w:type="paragraph" w:customStyle="1" w:styleId="SequenceInfo">
    <w:name w:val="Sequence Info"/>
    <w:basedOn w:val="BodyText"/>
    <w:semiHidden/>
    <w:rsid w:val="002011A6"/>
    <w:rPr>
      <w:vanish/>
      <w:sz w:val="16"/>
    </w:rPr>
  </w:style>
  <w:style w:type="paragraph" w:customStyle="1" w:styleId="SideNote">
    <w:name w:val="Side Note"/>
    <w:basedOn w:val="BodyText"/>
    <w:next w:val="BodyText"/>
    <w:semiHidden/>
    <w:rsid w:val="002011A6"/>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011A6"/>
    <w:pPr>
      <w:framePr w:wrap="around"/>
      <w:numPr>
        <w:numId w:val="29"/>
      </w:numPr>
      <w:tabs>
        <w:tab w:val="left" w:pos="227"/>
      </w:tabs>
    </w:pPr>
  </w:style>
  <w:style w:type="paragraph" w:customStyle="1" w:styleId="SideNoteGraphic">
    <w:name w:val="Side Note Graphic"/>
    <w:basedOn w:val="SideNote"/>
    <w:next w:val="BodyText"/>
    <w:semiHidden/>
    <w:rsid w:val="002011A6"/>
    <w:pPr>
      <w:framePr w:wrap="around"/>
    </w:pPr>
  </w:style>
  <w:style w:type="paragraph" w:customStyle="1" w:styleId="TableBodyText">
    <w:name w:val="Table Body Text"/>
    <w:basedOn w:val="BodyText"/>
    <w:rsid w:val="002011A6"/>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011A6"/>
    <w:pPr>
      <w:numPr>
        <w:numId w:val="30"/>
      </w:numPr>
      <w:jc w:val="left"/>
    </w:pPr>
  </w:style>
  <w:style w:type="paragraph" w:customStyle="1" w:styleId="TableColumnHeading">
    <w:name w:val="Table Column Heading"/>
    <w:basedOn w:val="TableBodyText"/>
    <w:rsid w:val="002011A6"/>
    <w:pPr>
      <w:spacing w:before="80" w:after="80"/>
    </w:pPr>
    <w:rPr>
      <w:i/>
    </w:rPr>
  </w:style>
  <w:style w:type="paragraph" w:styleId="TOC2">
    <w:name w:val="toc 2"/>
    <w:basedOn w:val="TOC1"/>
    <w:rsid w:val="002011A6"/>
    <w:pPr>
      <w:ind w:left="1134" w:hanging="624"/>
    </w:pPr>
    <w:rPr>
      <w:b w:val="0"/>
    </w:rPr>
  </w:style>
  <w:style w:type="paragraph" w:styleId="TOC3">
    <w:name w:val="toc 3"/>
    <w:basedOn w:val="TOC2"/>
    <w:rsid w:val="002011A6"/>
    <w:pPr>
      <w:spacing w:before="60"/>
      <w:ind w:left="1190" w:hanging="680"/>
    </w:pPr>
  </w:style>
  <w:style w:type="paragraph" w:styleId="TableofFigures">
    <w:name w:val="table of figures"/>
    <w:basedOn w:val="TOC3"/>
    <w:next w:val="BodyText"/>
    <w:semiHidden/>
    <w:rsid w:val="002011A6"/>
    <w:pPr>
      <w:ind w:left="737" w:hanging="737"/>
    </w:pPr>
  </w:style>
  <w:style w:type="paragraph" w:customStyle="1" w:styleId="TableTitle">
    <w:name w:val="Table Title"/>
    <w:basedOn w:val="Caption"/>
    <w:next w:val="Subtitle"/>
    <w:qFormat/>
    <w:rsid w:val="002011A6"/>
    <w:pPr>
      <w:spacing w:before="120"/>
    </w:pPr>
  </w:style>
  <w:style w:type="paragraph" w:customStyle="1" w:styleId="TableUnitsRow">
    <w:name w:val="Table Units Row"/>
    <w:basedOn w:val="TableBodyText"/>
    <w:rsid w:val="002011A6"/>
    <w:pPr>
      <w:spacing w:before="40"/>
    </w:pPr>
  </w:style>
  <w:style w:type="paragraph" w:styleId="TOC1">
    <w:name w:val="toc 1"/>
    <w:basedOn w:val="Normal"/>
    <w:next w:val="TOC2"/>
    <w:link w:val="TOC1Char"/>
    <w:rsid w:val="002011A6"/>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2011A6"/>
    <w:pPr>
      <w:ind w:left="1191" w:firstLine="0"/>
    </w:pPr>
  </w:style>
  <w:style w:type="paragraph" w:customStyle="1" w:styleId="RecBBullet2">
    <w:name w:val="RecB Bullet 2"/>
    <w:basedOn w:val="ListBullet2"/>
    <w:semiHidden/>
    <w:rsid w:val="002011A6"/>
    <w:pPr>
      <w:pBdr>
        <w:left w:val="single" w:sz="24" w:space="29" w:color="C0C0C0"/>
      </w:pBdr>
    </w:pPr>
    <w:rPr>
      <w:b/>
      <w:i/>
    </w:rPr>
  </w:style>
  <w:style w:type="paragraph" w:styleId="BalloonText">
    <w:name w:val="Balloon Text"/>
    <w:basedOn w:val="Normal"/>
    <w:link w:val="BalloonTextChar"/>
    <w:rsid w:val="002011A6"/>
    <w:rPr>
      <w:rFonts w:ascii="Tahoma" w:hAnsi="Tahoma" w:cs="Tahoma"/>
      <w:sz w:val="16"/>
      <w:szCs w:val="16"/>
    </w:rPr>
  </w:style>
  <w:style w:type="character" w:customStyle="1" w:styleId="BalloonTextChar">
    <w:name w:val="Balloon Text Char"/>
    <w:basedOn w:val="DefaultParagraphFont"/>
    <w:link w:val="BalloonText"/>
    <w:rsid w:val="002011A6"/>
    <w:rPr>
      <w:rFonts w:ascii="Tahoma" w:hAnsi="Tahoma" w:cs="Tahoma"/>
      <w:sz w:val="16"/>
      <w:szCs w:val="16"/>
    </w:rPr>
  </w:style>
  <w:style w:type="character" w:customStyle="1" w:styleId="SubtitleChar">
    <w:name w:val="Subtitle Char"/>
    <w:basedOn w:val="DefaultParagraphFont"/>
    <w:link w:val="Subtitle"/>
    <w:rsid w:val="002011A6"/>
    <w:rPr>
      <w:rFonts w:ascii="Arial" w:hAnsi="Arial"/>
      <w:szCs w:val="24"/>
    </w:rPr>
  </w:style>
  <w:style w:type="paragraph" w:customStyle="1" w:styleId="BoxListBullet3">
    <w:name w:val="Box List Bullet 3"/>
    <w:basedOn w:val="ListBullet3"/>
    <w:rsid w:val="002011A6"/>
    <w:pPr>
      <w:numPr>
        <w:numId w:val="3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011A6"/>
    <w:rPr>
      <w:i/>
      <w:iCs/>
    </w:rPr>
  </w:style>
  <w:style w:type="paragraph" w:customStyle="1" w:styleId="BoxQuoteBullet">
    <w:name w:val="Box Quote Bullet"/>
    <w:basedOn w:val="BoxQuote"/>
    <w:next w:val="Box"/>
    <w:rsid w:val="002011A6"/>
    <w:pPr>
      <w:numPr>
        <w:numId w:val="33"/>
      </w:numPr>
      <w:ind w:left="568" w:hanging="284"/>
    </w:pPr>
  </w:style>
  <w:style w:type="paragraph" w:customStyle="1" w:styleId="InformationRequestBullet">
    <w:name w:val="Information Request Bullet"/>
    <w:basedOn w:val="ListBullet"/>
    <w:next w:val="BodyText"/>
    <w:rsid w:val="002011A6"/>
    <w:pPr>
      <w:numPr>
        <w:numId w:val="36"/>
      </w:numPr>
      <w:spacing w:before="80" w:line="280" w:lineRule="atLeast"/>
      <w:ind w:left="357" w:hanging="357"/>
    </w:pPr>
    <w:rPr>
      <w:rFonts w:ascii="Arial" w:hAnsi="Arial"/>
      <w:i/>
      <w:sz w:val="22"/>
    </w:rPr>
  </w:style>
  <w:style w:type="paragraph" w:customStyle="1" w:styleId="BoxSpaceBelow">
    <w:name w:val="Box Space Below"/>
    <w:basedOn w:val="Box"/>
    <w:rsid w:val="002011A6"/>
    <w:pPr>
      <w:keepNext w:val="0"/>
      <w:spacing w:before="60" w:after="60" w:line="80" w:lineRule="exact"/>
    </w:pPr>
    <w:rPr>
      <w:sz w:val="14"/>
    </w:rPr>
  </w:style>
  <w:style w:type="table" w:styleId="TableGrid">
    <w:name w:val="Table Grid"/>
    <w:basedOn w:val="TableNormal"/>
    <w:rsid w:val="0020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C723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C7236"/>
    <w:rPr>
      <w:szCs w:val="24"/>
    </w:rPr>
  </w:style>
  <w:style w:type="character" w:customStyle="1" w:styleId="CommentSubjectChar">
    <w:name w:val="Comment Subject Char"/>
    <w:basedOn w:val="CommentTextChar"/>
    <w:link w:val="CommentSubject"/>
    <w:rsid w:val="009C7236"/>
    <w:rPr>
      <w:b/>
      <w:bCs/>
      <w:szCs w:val="24"/>
    </w:rPr>
  </w:style>
  <w:style w:type="character" w:customStyle="1" w:styleId="FooterChar">
    <w:name w:val="Footer Char"/>
    <w:basedOn w:val="BodyTextChar"/>
    <w:link w:val="Footer"/>
    <w:rsid w:val="002011A6"/>
    <w:rPr>
      <w:rFonts w:ascii="Arial" w:hAnsi="Arial"/>
      <w:caps/>
      <w:spacing w:val="-4"/>
      <w:sz w:val="16"/>
    </w:rPr>
  </w:style>
  <w:style w:type="paragraph" w:customStyle="1" w:styleId="Figurespace">
    <w:name w:val="Figure space"/>
    <w:basedOn w:val="Box"/>
    <w:rsid w:val="002011A6"/>
    <w:pPr>
      <w:spacing w:before="0" w:line="120" w:lineRule="exact"/>
    </w:pPr>
  </w:style>
  <w:style w:type="paragraph" w:customStyle="1" w:styleId="KeyPointsListBullet">
    <w:name w:val="Key Points List Bullet"/>
    <w:basedOn w:val="Normal"/>
    <w:qFormat/>
    <w:rsid w:val="002011A6"/>
    <w:pPr>
      <w:keepNext/>
      <w:numPr>
        <w:numId w:val="3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2011A6"/>
    <w:pPr>
      <w:numPr>
        <w:numId w:val="40"/>
      </w:numPr>
      <w:ind w:left="568" w:hanging="284"/>
    </w:pPr>
  </w:style>
  <w:style w:type="paragraph" w:customStyle="1" w:styleId="InformationRequestTitle">
    <w:name w:val="Information Request Title"/>
    <w:basedOn w:val="FindingTitle"/>
    <w:next w:val="InformationRequest"/>
    <w:rsid w:val="002011A6"/>
    <w:rPr>
      <w:i/>
    </w:rPr>
  </w:style>
  <w:style w:type="paragraph" w:customStyle="1" w:styleId="Space">
    <w:name w:val="Space"/>
    <w:basedOn w:val="Normal"/>
    <w:rsid w:val="002011A6"/>
    <w:pPr>
      <w:keepNext/>
      <w:spacing w:line="120" w:lineRule="exact"/>
      <w:jc w:val="both"/>
    </w:pPr>
    <w:rPr>
      <w:rFonts w:ascii="Arial" w:hAnsi="Arial"/>
      <w:sz w:val="20"/>
      <w:szCs w:val="20"/>
    </w:rPr>
  </w:style>
  <w:style w:type="paragraph" w:customStyle="1" w:styleId="Heading1nochapterno">
    <w:name w:val="Heading 1 (no chapter no.)"/>
    <w:basedOn w:val="Heading1"/>
    <w:rsid w:val="002011A6"/>
    <w:pPr>
      <w:spacing w:before="0"/>
      <w:ind w:left="0" w:firstLine="0"/>
    </w:pPr>
  </w:style>
  <w:style w:type="paragraph" w:customStyle="1" w:styleId="Heading2nosectionno">
    <w:name w:val="Heading 2 (no section no.)"/>
    <w:basedOn w:val="Heading2"/>
    <w:rsid w:val="002011A6"/>
    <w:pPr>
      <w:ind w:left="0" w:firstLine="0"/>
    </w:pPr>
  </w:style>
  <w:style w:type="character" w:customStyle="1" w:styleId="Heading5Char">
    <w:name w:val="Heading 5 Char"/>
    <w:basedOn w:val="DefaultParagraphFont"/>
    <w:link w:val="Heading5"/>
    <w:rsid w:val="002011A6"/>
    <w:rPr>
      <w:rFonts w:ascii="Arial" w:hAnsi="Arial"/>
      <w:i/>
      <w:sz w:val="22"/>
    </w:rPr>
  </w:style>
  <w:style w:type="paragraph" w:customStyle="1" w:styleId="FooterDraftReport">
    <w:name w:val="FooterDraftReport"/>
    <w:basedOn w:val="Footer"/>
    <w:link w:val="FooterDraftReportChar"/>
    <w:rsid w:val="002011A6"/>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2011A6"/>
    <w:rPr>
      <w:sz w:val="24"/>
    </w:rPr>
  </w:style>
  <w:style w:type="character" w:customStyle="1" w:styleId="FooterDraftReportChar">
    <w:name w:val="FooterDraftReport Char"/>
    <w:basedOn w:val="FooterChar"/>
    <w:link w:val="FooterDraftReport"/>
    <w:rsid w:val="002011A6"/>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2011A6"/>
    <w:rPr>
      <w:rFonts w:ascii="Arial" w:hAnsi="Arial"/>
      <w:b/>
      <w:sz w:val="26"/>
      <w:szCs w:val="26"/>
      <w:lang w:eastAsia="en-US"/>
    </w:rPr>
  </w:style>
  <w:style w:type="paragraph" w:styleId="Revision">
    <w:name w:val="Revision"/>
    <w:hidden/>
    <w:uiPriority w:val="99"/>
    <w:semiHidden/>
    <w:rsid w:val="00B25851"/>
    <w:rPr>
      <w:sz w:val="24"/>
      <w:szCs w:val="24"/>
    </w:rPr>
  </w:style>
  <w:style w:type="character" w:customStyle="1" w:styleId="DraftingNote">
    <w:name w:val="Drafting Note"/>
    <w:basedOn w:val="DefaultParagraphFont"/>
    <w:rsid w:val="002011A6"/>
    <w:rPr>
      <w:b/>
      <w:color w:val="FF0000"/>
      <w:sz w:val="24"/>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63928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011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jpeg"/><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54" Type="http://schemas.openxmlformats.org/officeDocument/2006/relationships/footer" Target="footer2.xml"/><Relationship Id="rId7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theme" Target="theme/theme1.xm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5CFF-6344-4438-B454-9F445C73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19</TotalTime>
  <Pages>36</Pages>
  <Words>10307</Words>
  <Characters>54862</Characters>
  <Application>Microsoft Office Word</Application>
  <DocSecurity>0</DocSecurity>
  <Lines>457</Lines>
  <Paragraphs>130</Paragraphs>
  <ScaleCrop>false</ScaleCrop>
  <HeadingPairs>
    <vt:vector size="2" baseType="variant">
      <vt:variant>
        <vt:lpstr>Title</vt:lpstr>
      </vt:variant>
      <vt:variant>
        <vt:i4>1</vt:i4>
      </vt:variant>
    </vt:vector>
  </HeadingPairs>
  <TitlesOfParts>
    <vt:vector size="1" baseType="lpstr">
      <vt:lpstr>Effective marginal tax rates</vt:lpstr>
    </vt:vector>
  </TitlesOfParts>
  <Company>Productivity Commission</Company>
  <LinksUpToDate>false</LinksUpToDate>
  <CharactersWithSpaces>65039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marginal tax rates</dc:title>
  <dc:subject>Childcare and Early childhood Learning</dc:subject>
  <dc:creator>Productivity Commission</dc:creator>
  <dc:description>E.</dc:description>
  <cp:lastModifiedBy>Mark Pimperl</cp:lastModifiedBy>
  <cp:revision>13</cp:revision>
  <cp:lastPrinted>2014-11-14T00:45:00Z</cp:lastPrinted>
  <dcterms:created xsi:type="dcterms:W3CDTF">2015-02-18T23:49:00Z</dcterms:created>
  <dcterms:modified xsi:type="dcterms:W3CDTF">2015-04-09T04:26:00Z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id="gDrAoOLT"/&gt;&lt;style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