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36F" w:rsidRDefault="00846333" w:rsidP="00402CD1">
      <w:pPr>
        <w:pStyle w:val="Heading1"/>
      </w:pPr>
      <w:bookmarkStart w:id="0" w:name="_AppendixNotByChapter"/>
      <w:bookmarkStart w:id="1" w:name="ChapterNumber"/>
      <w:bookmarkStart w:id="2" w:name="_GoBack"/>
      <w:bookmarkEnd w:id="0"/>
      <w:bookmarkEnd w:id="2"/>
      <w:r>
        <w:t>F</w:t>
      </w:r>
      <w:bookmarkEnd w:id="1"/>
      <w:r>
        <w:tab/>
      </w:r>
      <w:bookmarkStart w:id="3" w:name="ChapterTitle"/>
      <w:r>
        <w:t>The National Quality Framework</w:t>
      </w:r>
      <w:bookmarkEnd w:id="3"/>
    </w:p>
    <w:p w:rsidR="00A331F7" w:rsidRDefault="00846333" w:rsidP="00A331F7">
      <w:pPr>
        <w:pStyle w:val="Heading2"/>
      </w:pPr>
      <w:r>
        <w:t>F.</w:t>
      </w:r>
      <w:r>
        <w:rPr>
          <w:noProof/>
        </w:rPr>
        <w:t>1</w:t>
      </w:r>
      <w:r w:rsidR="00A331F7">
        <w:tab/>
        <w:t>Introduction</w:t>
      </w:r>
    </w:p>
    <w:p w:rsidR="00615E4F" w:rsidRDefault="00880E7E" w:rsidP="002A7B38">
      <w:pPr>
        <w:pStyle w:val="BodyText"/>
      </w:pPr>
      <w:r w:rsidRPr="002A7B38">
        <w:t>Since 1</w:t>
      </w:r>
      <w:r w:rsidR="00D50C08" w:rsidRPr="002A7B38">
        <w:t> </w:t>
      </w:r>
      <w:r w:rsidRPr="002A7B38">
        <w:t xml:space="preserve">January 2012, most long day </w:t>
      </w:r>
      <w:proofErr w:type="gramStart"/>
      <w:r w:rsidRPr="002A7B38">
        <w:t>care,</w:t>
      </w:r>
      <w:proofErr w:type="gramEnd"/>
      <w:r w:rsidRPr="002A7B38">
        <w:t xml:space="preserve"> preschool, family day care and outside hours school care services fall within the scope of the COAG endorsed National Quality Framework for Early Childhood Education and Care (NQF</w:t>
      </w:r>
      <w:r w:rsidR="001237E8" w:rsidRPr="002A7B38">
        <w:t xml:space="preserve">). </w:t>
      </w:r>
    </w:p>
    <w:p w:rsidR="00DA30AC" w:rsidRDefault="00DA30AC" w:rsidP="00DA30AC">
      <w:pPr>
        <w:pStyle w:val="BodyText"/>
        <w:rPr>
          <w:lang w:val="en-US"/>
        </w:rPr>
      </w:pPr>
      <w:r>
        <w:rPr>
          <w:lang w:val="en-US"/>
        </w:rPr>
        <w:t xml:space="preserve">The NQF aims to create a uniform national approach to the regulation and quality assessment of early education and care (ECEC) services and replaces separate licensing and quality assurance processes in each jurisdiction. It was established in response to concerns about inconsistent quality standards across jurisdictions and overlap between Australian Government and state and territory government regulatory arrangements. </w:t>
      </w:r>
    </w:p>
    <w:p w:rsidR="00DA30AC" w:rsidRDefault="00DA30AC" w:rsidP="00DA30AC">
      <w:pPr>
        <w:pStyle w:val="BodyText"/>
        <w:rPr>
          <w:lang w:val="en-US"/>
        </w:rPr>
      </w:pPr>
      <w:r>
        <w:rPr>
          <w:lang w:val="en-US"/>
        </w:rPr>
        <w:t>The NQF contains four key components:</w:t>
      </w:r>
    </w:p>
    <w:p w:rsidR="00DA30AC" w:rsidRDefault="00DA30AC" w:rsidP="00DA30AC">
      <w:pPr>
        <w:pStyle w:val="ListBullet"/>
      </w:pPr>
      <w:r>
        <w:t>a national legislative framework (the National Law and National Regulations)</w:t>
      </w:r>
    </w:p>
    <w:p w:rsidR="00DA30AC" w:rsidRDefault="00DA30AC" w:rsidP="00DA30AC">
      <w:pPr>
        <w:pStyle w:val="ListBullet"/>
      </w:pPr>
      <w:proofErr w:type="gramStart"/>
      <w:r>
        <w:t>a</w:t>
      </w:r>
      <w:proofErr w:type="gramEnd"/>
      <w:r>
        <w:t xml:space="preserve"> new national body, the </w:t>
      </w:r>
      <w:r>
        <w:rPr>
          <w:lang w:val="en-US"/>
        </w:rPr>
        <w:t>Australian Children’s Education and Care Quality Authority (ACECQA), responsible for establishing consistent and efficient procedures for the operation of the NQF.</w:t>
      </w:r>
    </w:p>
    <w:p w:rsidR="00DA30AC" w:rsidRDefault="00DA30AC" w:rsidP="00DA30AC">
      <w:pPr>
        <w:pStyle w:val="ListBullet"/>
      </w:pPr>
      <w:r>
        <w:t>a National Quality Standard (NQS) with seven assessable quality areas</w:t>
      </w:r>
    </w:p>
    <w:p w:rsidR="00DA30AC" w:rsidRPr="00DA30AC" w:rsidRDefault="00DA30AC" w:rsidP="002A7B38">
      <w:pPr>
        <w:pStyle w:val="ListBullet"/>
        <w:rPr>
          <w:lang w:val="en-US"/>
        </w:rPr>
      </w:pPr>
      <w:proofErr w:type="gramStart"/>
      <w:r>
        <w:t>a</w:t>
      </w:r>
      <w:proofErr w:type="gramEnd"/>
      <w:r>
        <w:t xml:space="preserve"> national quality rating and assessment process to complement the NQS.</w:t>
      </w:r>
    </w:p>
    <w:p w:rsidR="000A2299" w:rsidRPr="002A7B38" w:rsidRDefault="001237E8" w:rsidP="002A7B38">
      <w:pPr>
        <w:pStyle w:val="BodyText"/>
      </w:pPr>
      <w:r w:rsidRPr="002A7B38">
        <w:t>Some service types are excluded from the scope of the NQF by the National Regulations</w:t>
      </w:r>
      <w:r w:rsidR="00FA45FC" w:rsidRPr="002A7B38">
        <w:t xml:space="preserve"> </w:t>
      </w:r>
      <w:r w:rsidRPr="002A7B38">
        <w:t>(</w:t>
      </w:r>
      <w:r w:rsidR="00FA45FC" w:rsidRPr="002A7B38">
        <w:t>box</w:t>
      </w:r>
      <w:r w:rsidRPr="002A7B38">
        <w:t> </w:t>
      </w:r>
      <w:r w:rsidR="00C03891">
        <w:t>F</w:t>
      </w:r>
      <w:r w:rsidR="00FA45FC" w:rsidRPr="002A7B38">
        <w:t>.1</w:t>
      </w:r>
      <w:r w:rsidR="00880E7E" w:rsidRPr="002A7B38">
        <w:t>)</w:t>
      </w:r>
      <w:r w:rsidRPr="002A7B38">
        <w:t xml:space="preserve"> and the National Law</w:t>
      </w:r>
      <w:r w:rsidR="00880E7E" w:rsidRPr="002A7B38">
        <w:t>.</w:t>
      </w:r>
      <w:r w:rsidR="00C26C54" w:rsidRPr="002A7B38">
        <w:t xml:space="preserve"> In addition, both Tasmania and Western Australia have chosen to continue regulating kindergartens (preschools) in those states under relevant state education legislation. However, both states have committed to ensuring that state based requirements for these services (including up to year 2 in Western Australia</w:t>
      </w:r>
      <w:r w:rsidR="00533A7E">
        <w:t>n primary schools</w:t>
      </w:r>
      <w:r w:rsidR="00C26C54" w:rsidRPr="002A7B38">
        <w:t>) correspond with those of the NQF (Department of Premier and Cabinet – Tasmania, sub.</w:t>
      </w:r>
      <w:r w:rsidR="00D50C08" w:rsidRPr="002A7B38">
        <w:t> </w:t>
      </w:r>
      <w:r w:rsidR="00C26C54" w:rsidRPr="002A7B38">
        <w:t xml:space="preserve">390; </w:t>
      </w:r>
      <w:r w:rsidR="00FB6FF7" w:rsidRPr="002A7B38">
        <w:t>Western Australian</w:t>
      </w:r>
      <w:r w:rsidR="00C26C54" w:rsidRPr="002A7B38">
        <w:t xml:space="preserve"> Government, sub.</w:t>
      </w:r>
      <w:r w:rsidR="00D50C08" w:rsidRPr="002A7B38">
        <w:t> </w:t>
      </w:r>
      <w:r w:rsidR="00C26C54" w:rsidRPr="002A7B38">
        <w:t>416).</w:t>
      </w:r>
      <w:r w:rsidR="00880E7E" w:rsidRPr="002A7B38">
        <w:t xml:space="preserve"> </w:t>
      </w:r>
      <w:r w:rsidR="00F4036F" w:rsidRPr="002A7B38">
        <w:t>Key requirements of the NQF</w:t>
      </w:r>
      <w:r w:rsidR="006959C4" w:rsidRPr="002A7B38">
        <w:t xml:space="preserve"> (</w:t>
      </w:r>
      <w:r w:rsidR="008973E5" w:rsidRPr="002A7B38">
        <w:t xml:space="preserve">section </w:t>
      </w:r>
      <w:r w:rsidR="00C03891">
        <w:t>F</w:t>
      </w:r>
      <w:r w:rsidR="001509E0">
        <w:t>.</w:t>
      </w:r>
      <w:r w:rsidR="006959C4" w:rsidRPr="002A7B38">
        <w:t>3)</w:t>
      </w:r>
      <w:r w:rsidR="00880E7E" w:rsidRPr="002A7B38">
        <w:t xml:space="preserve"> are being </w:t>
      </w:r>
      <w:r w:rsidR="0092666C" w:rsidRPr="002A7B38">
        <w:t xml:space="preserve">progressively implemented </w:t>
      </w:r>
      <w:r w:rsidR="00880E7E" w:rsidRPr="002A7B38">
        <w:t>over the period to 2020</w:t>
      </w:r>
      <w:r w:rsidR="00FF5E08" w:rsidRPr="002A7B38">
        <w:t xml:space="preserve"> (</w:t>
      </w:r>
      <w:r w:rsidR="000E3580" w:rsidRPr="002A7B38">
        <w:t>all</w:t>
      </w:r>
      <w:r w:rsidR="00FF5E08" w:rsidRPr="002A7B38">
        <w:t xml:space="preserve"> jurisdictions have</w:t>
      </w:r>
      <w:r w:rsidR="000E3580" w:rsidRPr="002A7B38">
        <w:t xml:space="preserve"> varying</w:t>
      </w:r>
      <w:r w:rsidR="00FF5E08" w:rsidRPr="002A7B38">
        <w:t xml:space="preserve"> ‘transitional provisions’ and are implementing </w:t>
      </w:r>
      <w:r w:rsidR="004767B0" w:rsidRPr="002A7B38">
        <w:t xml:space="preserve">some </w:t>
      </w:r>
      <w:r w:rsidR="00FF5E08" w:rsidRPr="002A7B38">
        <w:t>requirements within different timeframes)</w:t>
      </w:r>
      <w:r w:rsidR="00880E7E" w:rsidRPr="002A7B38">
        <w:t xml:space="preserve">. </w:t>
      </w:r>
      <w:r w:rsidR="000A2299" w:rsidRPr="002A7B38">
        <w:t xml:space="preserve">This appendix </w:t>
      </w:r>
      <w:r w:rsidR="00136914" w:rsidRPr="002A7B38">
        <w:t>summarises</w:t>
      </w:r>
      <w:r w:rsidR="000A2299" w:rsidRPr="002A7B38">
        <w:t xml:space="preserve"> </w:t>
      </w:r>
      <w:r w:rsidR="00044BAB" w:rsidRPr="002A7B38">
        <w:t>the</w:t>
      </w:r>
      <w:r w:rsidR="000A2299" w:rsidRPr="002A7B38">
        <w:t xml:space="preserve"> </w:t>
      </w:r>
      <w:r w:rsidR="003B386D" w:rsidRPr="002A7B38">
        <w:t xml:space="preserve">key </w:t>
      </w:r>
      <w:r w:rsidR="000A2299" w:rsidRPr="002A7B38">
        <w:t>requirements</w:t>
      </w:r>
      <w:r w:rsidR="00AB6EE2" w:rsidRPr="002A7B38">
        <w:t xml:space="preserve"> of the NQF</w:t>
      </w:r>
      <w:r w:rsidR="000A2299" w:rsidRPr="002A7B38">
        <w:t xml:space="preserve">, while </w:t>
      </w:r>
      <w:r w:rsidR="006828E2" w:rsidRPr="002A7B38">
        <w:t>its effects</w:t>
      </w:r>
      <w:r w:rsidR="000A2299" w:rsidRPr="002A7B38">
        <w:t xml:space="preserve"> </w:t>
      </w:r>
      <w:r w:rsidR="006828E2" w:rsidRPr="002A7B38">
        <w:t>and potential reform options are discussed in</w:t>
      </w:r>
      <w:r w:rsidR="000A2299" w:rsidRPr="002A7B38">
        <w:t xml:space="preserve"> </w:t>
      </w:r>
      <w:r w:rsidR="00D50C08" w:rsidRPr="002A7B38">
        <w:t>c</w:t>
      </w:r>
      <w:r w:rsidR="000A2299" w:rsidRPr="002A7B38">
        <w:t>hapter</w:t>
      </w:r>
      <w:r w:rsidR="00D50C08" w:rsidRPr="002A7B38">
        <w:t> </w:t>
      </w:r>
      <w:r w:rsidR="00211DC8" w:rsidRPr="002A7B38">
        <w:t>7</w:t>
      </w:r>
      <w:r w:rsidR="000A2299" w:rsidRPr="002A7B38">
        <w:t>.</w:t>
      </w:r>
    </w:p>
    <w:p w:rsidR="00E50346" w:rsidRDefault="00E5034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50346" w:rsidTr="00DA30AC">
        <w:tc>
          <w:tcPr>
            <w:tcW w:w="8771" w:type="dxa"/>
            <w:tcBorders>
              <w:top w:val="single" w:sz="6" w:space="0" w:color="78A22F"/>
              <w:left w:val="nil"/>
              <w:bottom w:val="nil"/>
              <w:right w:val="nil"/>
            </w:tcBorders>
            <w:shd w:val="clear" w:color="auto" w:fill="F2F2F2" w:themeFill="background1" w:themeFillShade="F2"/>
          </w:tcPr>
          <w:p w:rsidR="00E50346" w:rsidRDefault="00E50346">
            <w:pPr>
              <w:pStyle w:val="BoxTitle"/>
            </w:pPr>
            <w:r>
              <w:rPr>
                <w:b w:val="0"/>
              </w:rPr>
              <w:t xml:space="preserve">Box </w:t>
            </w:r>
            <w:r w:rsidR="00846333">
              <w:rPr>
                <w:b w:val="0"/>
              </w:rPr>
              <w:t>F.</w:t>
            </w:r>
            <w:r w:rsidR="00846333">
              <w:rPr>
                <w:b w:val="0"/>
                <w:noProof/>
              </w:rPr>
              <w:t>1</w:t>
            </w:r>
            <w:r>
              <w:tab/>
              <w:t>Service types excluded by the National Regulations</w:t>
            </w:r>
          </w:p>
        </w:tc>
      </w:tr>
      <w:tr w:rsidR="00E50346" w:rsidTr="00DA30AC">
        <w:trPr>
          <w:cantSplit/>
        </w:trPr>
        <w:tc>
          <w:tcPr>
            <w:tcW w:w="8771" w:type="dxa"/>
            <w:tcBorders>
              <w:top w:val="nil"/>
              <w:left w:val="nil"/>
              <w:bottom w:val="nil"/>
              <w:right w:val="nil"/>
            </w:tcBorders>
            <w:shd w:val="clear" w:color="auto" w:fill="F2F2F2" w:themeFill="background1" w:themeFillShade="F2"/>
          </w:tcPr>
          <w:p w:rsidR="00E57496" w:rsidRDefault="00E57496" w:rsidP="00E57496">
            <w:pPr>
              <w:pStyle w:val="Box"/>
            </w:pPr>
            <w:r>
              <w:t>The scope of the National Quality Framework covers all early childhood education and care services excluding those listed as ‘out of scop</w:t>
            </w:r>
            <w:r w:rsidR="00DA30AC">
              <w:t xml:space="preserve">e’ by the National Regulations </w:t>
            </w:r>
            <w:r>
              <w:t xml:space="preserve">and National Law. </w:t>
            </w:r>
          </w:p>
          <w:p w:rsidR="00E57496" w:rsidRDefault="00E57496" w:rsidP="00E57496">
            <w:pPr>
              <w:pStyle w:val="BoxHeading1"/>
            </w:pPr>
            <w:r>
              <w:t>Out of scope</w:t>
            </w:r>
          </w:p>
          <w:p w:rsidR="00E57496" w:rsidRDefault="00E57496" w:rsidP="00E57496">
            <w:pPr>
              <w:pStyle w:val="BoxListBullet"/>
            </w:pPr>
            <w:r>
              <w:t>D</w:t>
            </w:r>
            <w:r w:rsidRPr="00234B1E">
              <w:t>isability services defined under state or territory law and early childhood intervention services for children with additional needs</w:t>
            </w:r>
            <w:r>
              <w:t>.</w:t>
            </w:r>
          </w:p>
          <w:p w:rsidR="00E57496" w:rsidRDefault="00E57496" w:rsidP="00E57496">
            <w:pPr>
              <w:pStyle w:val="BoxListBullet"/>
            </w:pPr>
            <w:r>
              <w:t>E</w:t>
            </w:r>
            <w:r w:rsidRPr="00234B1E">
              <w:t>ducation and care in a child’s home</w:t>
            </w:r>
            <w:r>
              <w:t xml:space="preserve"> (excluding Western Australia).</w:t>
            </w:r>
          </w:p>
          <w:p w:rsidR="00E57496" w:rsidRDefault="00E57496" w:rsidP="00E57496">
            <w:pPr>
              <w:pStyle w:val="BoxListBullet"/>
            </w:pPr>
            <w:r>
              <w:t>E</w:t>
            </w:r>
            <w:r w:rsidRPr="00274D73">
              <w:t>ducation and care in a residence, other than as part of a family day care service</w:t>
            </w:r>
            <w:r>
              <w:t>.</w:t>
            </w:r>
          </w:p>
          <w:p w:rsidR="00E57496" w:rsidRDefault="00E57496" w:rsidP="00E57496">
            <w:pPr>
              <w:pStyle w:val="BoxListBullet"/>
            </w:pPr>
            <w:r>
              <w:t>O</w:t>
            </w:r>
            <w:r w:rsidRPr="00274D73">
              <w:t>ccasional care services (for example, care offered ad hoc or on a casual basis)</w:t>
            </w:r>
            <w:r>
              <w:t>.</w:t>
            </w:r>
          </w:p>
          <w:p w:rsidR="00E57496" w:rsidRDefault="00E57496" w:rsidP="00E57496">
            <w:pPr>
              <w:pStyle w:val="BoxListBullet"/>
            </w:pPr>
            <w:r>
              <w:t>E</w:t>
            </w:r>
            <w:r w:rsidRPr="00274D73">
              <w:t>ducation and care provided by a hotel or resort to children of short</w:t>
            </w:r>
            <w:r>
              <w:noBreakHyphen/>
            </w:r>
            <w:r w:rsidRPr="00274D73">
              <w:t>term guests at the hotel or resort</w:t>
            </w:r>
            <w:r>
              <w:t>.</w:t>
            </w:r>
          </w:p>
          <w:p w:rsidR="00E57496" w:rsidRDefault="00E57496" w:rsidP="00E57496">
            <w:pPr>
              <w:pStyle w:val="BoxListBullet"/>
            </w:pPr>
            <w:r>
              <w:t>E</w:t>
            </w:r>
            <w:r w:rsidRPr="00274D73">
              <w:t>ducation and care that is provided to the children of a guest, visitor or patron where the person who is responsible for the child is readily available at all times</w:t>
            </w:r>
            <w:r>
              <w:t>.</w:t>
            </w:r>
          </w:p>
          <w:p w:rsidR="00E57496" w:rsidRDefault="00E57496" w:rsidP="00E57496">
            <w:pPr>
              <w:pStyle w:val="BoxListBullet"/>
            </w:pPr>
            <w:r>
              <w:t>E</w:t>
            </w:r>
            <w:r w:rsidRPr="00274D73">
              <w:t>ducation and care where it is primarily provided or shared by parents or family members</w:t>
            </w:r>
          </w:p>
          <w:p w:rsidR="00E57496" w:rsidRDefault="00E57496" w:rsidP="00E57496">
            <w:pPr>
              <w:pStyle w:val="BoxListBullet"/>
            </w:pPr>
            <w:r>
              <w:t>E</w:t>
            </w:r>
            <w:r w:rsidRPr="00274D73">
              <w:t>ducation and care provided at a high school to children of students attending the school</w:t>
            </w:r>
          </w:p>
          <w:p w:rsidR="00E57496" w:rsidRDefault="00E57496" w:rsidP="00E57496">
            <w:pPr>
              <w:pStyle w:val="BoxListBullet"/>
            </w:pPr>
            <w:r>
              <w:t>M</w:t>
            </w:r>
            <w:r w:rsidRPr="00274D73">
              <w:t>obile services</w:t>
            </w:r>
          </w:p>
          <w:p w:rsidR="00E57496" w:rsidRDefault="00E57496" w:rsidP="00E57496">
            <w:pPr>
              <w:pStyle w:val="BoxListBullet"/>
            </w:pPr>
            <w:r>
              <w:t>S</w:t>
            </w:r>
            <w:r w:rsidRPr="00274D73">
              <w:t>ervices that provide education and care for no more than four weeks per calendar year during school holidays</w:t>
            </w:r>
          </w:p>
          <w:p w:rsidR="00E57496" w:rsidRDefault="00E57496" w:rsidP="00E57496">
            <w:pPr>
              <w:pStyle w:val="BoxListBullet"/>
            </w:pPr>
            <w:r>
              <w:t>T</w:t>
            </w:r>
            <w:r w:rsidRPr="00274D73">
              <w:t>ransition to school programs provided by a school to orient children to that school</w:t>
            </w:r>
          </w:p>
          <w:p w:rsidR="00E57496" w:rsidRDefault="00E57496" w:rsidP="00E57496">
            <w:pPr>
              <w:pStyle w:val="BoxListBullet"/>
            </w:pPr>
            <w:r>
              <w:t>B</w:t>
            </w:r>
            <w:r w:rsidRPr="00274D73">
              <w:t>udget</w:t>
            </w:r>
            <w:r>
              <w:noBreakHyphen/>
            </w:r>
            <w:r w:rsidRPr="00274D73">
              <w:t>based funded services, other than where the service also receives Child Care Benefit</w:t>
            </w:r>
            <w:r>
              <w:t>.</w:t>
            </w:r>
          </w:p>
          <w:p w:rsidR="00E57496" w:rsidRDefault="00E57496" w:rsidP="00E57496">
            <w:pPr>
              <w:pStyle w:val="BoxListBullet"/>
            </w:pPr>
            <w:r>
              <w:t>Pl</w:t>
            </w:r>
            <w:r w:rsidRPr="00274D73">
              <w:t>ayschools licensed in the Australian Capital Territory</w:t>
            </w:r>
          </w:p>
          <w:p w:rsidR="00E57496" w:rsidRDefault="00E57496" w:rsidP="00E57496">
            <w:pPr>
              <w:pStyle w:val="BoxListBullet"/>
            </w:pPr>
            <w:r>
              <w:t>St</w:t>
            </w:r>
            <w:r w:rsidRPr="00274D73">
              <w:t>and</w:t>
            </w:r>
            <w:r>
              <w:noBreakHyphen/>
            </w:r>
            <w:r w:rsidRPr="00274D73">
              <w:t>alone services in Queensland</w:t>
            </w:r>
            <w:r>
              <w:t xml:space="preserve"> (care provided in a home, or another place such as a hall or church — these are regulated by the State)</w:t>
            </w:r>
          </w:p>
          <w:p w:rsidR="00E57496" w:rsidRDefault="00E57496" w:rsidP="00E57496">
            <w:pPr>
              <w:pStyle w:val="BoxListBullet"/>
            </w:pPr>
            <w:r>
              <w:t>P</w:t>
            </w:r>
            <w:r w:rsidRPr="00274D73">
              <w:t>laycentres in South Australia</w:t>
            </w:r>
          </w:p>
          <w:p w:rsidR="00E57496" w:rsidRDefault="00E57496" w:rsidP="00E57496">
            <w:pPr>
              <w:pStyle w:val="BoxListBullet"/>
            </w:pPr>
            <w:r>
              <w:t>S</w:t>
            </w:r>
            <w:r w:rsidRPr="00274D73">
              <w:t>ervices licensed as centre</w:t>
            </w:r>
            <w:r>
              <w:noBreakHyphen/>
            </w:r>
            <w:r w:rsidRPr="00274D73">
              <w:t xml:space="preserve">based class 4 or 5 services under the </w:t>
            </w:r>
            <w:r w:rsidRPr="00DA30AC">
              <w:rPr>
                <w:i/>
              </w:rPr>
              <w:t>Child Care Act 2001</w:t>
            </w:r>
            <w:r w:rsidRPr="00274D73">
              <w:t xml:space="preserve"> in Tasmania</w:t>
            </w:r>
            <w:r>
              <w:t>.</w:t>
            </w:r>
          </w:p>
          <w:p w:rsidR="00E57496" w:rsidRDefault="00E57496" w:rsidP="00E57496">
            <w:pPr>
              <w:pStyle w:val="BoxListBullet"/>
            </w:pPr>
            <w:r>
              <w:t>L</w:t>
            </w:r>
            <w:r w:rsidRPr="00274D73">
              <w:t>icensed limited hours or short</w:t>
            </w:r>
            <w:r>
              <w:noBreakHyphen/>
            </w:r>
            <w:r w:rsidRPr="00274D73">
              <w:t>term services in Queensland or Victoria</w:t>
            </w:r>
          </w:p>
          <w:p w:rsidR="00E50346" w:rsidRDefault="00E57496" w:rsidP="00E57496">
            <w:pPr>
              <w:pStyle w:val="BoxListBullet"/>
            </w:pPr>
            <w:r>
              <w:t>G</w:t>
            </w:r>
            <w:r w:rsidRPr="00274D73">
              <w:t>overnment</w:t>
            </w:r>
            <w:r>
              <w:noBreakHyphen/>
            </w:r>
            <w:r w:rsidRPr="00274D73">
              <w:t xml:space="preserve">funded services under the </w:t>
            </w:r>
            <w:r>
              <w:t xml:space="preserve">Western Australian </w:t>
            </w:r>
            <w:r w:rsidRPr="00127EAB">
              <w:rPr>
                <w:i/>
              </w:rPr>
              <w:t>Children and Community Services Act 2004</w:t>
            </w:r>
            <w:r w:rsidRPr="00274D73">
              <w:t>.</w:t>
            </w:r>
          </w:p>
        </w:tc>
      </w:tr>
      <w:tr w:rsidR="00E50346" w:rsidTr="00DA30AC">
        <w:trPr>
          <w:cantSplit/>
        </w:trPr>
        <w:tc>
          <w:tcPr>
            <w:tcW w:w="8771" w:type="dxa"/>
            <w:tcBorders>
              <w:top w:val="nil"/>
              <w:left w:val="nil"/>
              <w:bottom w:val="nil"/>
              <w:right w:val="nil"/>
            </w:tcBorders>
            <w:shd w:val="clear" w:color="auto" w:fill="F2F2F2" w:themeFill="background1" w:themeFillShade="F2"/>
          </w:tcPr>
          <w:p w:rsidR="00E50346" w:rsidRDefault="00E50346" w:rsidP="00E50346">
            <w:pPr>
              <w:pStyle w:val="BoxSource"/>
            </w:pPr>
            <w:r>
              <w:rPr>
                <w:i/>
              </w:rPr>
              <w:t>Source</w:t>
            </w:r>
            <w:r w:rsidRPr="00167F06">
              <w:t xml:space="preserve">: </w:t>
            </w:r>
            <w:r>
              <w:t>Education and Care Services National Regulations 2011.</w:t>
            </w:r>
          </w:p>
        </w:tc>
      </w:tr>
      <w:tr w:rsidR="00E50346" w:rsidTr="00DA30AC">
        <w:trPr>
          <w:cantSplit/>
        </w:trPr>
        <w:tc>
          <w:tcPr>
            <w:tcW w:w="8771" w:type="dxa"/>
            <w:tcBorders>
              <w:top w:val="nil"/>
              <w:left w:val="nil"/>
              <w:bottom w:val="single" w:sz="6" w:space="0" w:color="78A22F"/>
              <w:right w:val="nil"/>
            </w:tcBorders>
            <w:shd w:val="clear" w:color="auto" w:fill="F2F2F2" w:themeFill="background1" w:themeFillShade="F2"/>
          </w:tcPr>
          <w:p w:rsidR="00E50346" w:rsidRDefault="00E50346">
            <w:pPr>
              <w:pStyle w:val="Box"/>
              <w:spacing w:before="0" w:line="120" w:lineRule="exact"/>
            </w:pPr>
          </w:p>
        </w:tc>
      </w:tr>
      <w:tr w:rsidR="00E50346" w:rsidRPr="000863A5" w:rsidTr="00DA30AC">
        <w:tc>
          <w:tcPr>
            <w:tcW w:w="8771" w:type="dxa"/>
            <w:tcBorders>
              <w:top w:val="single" w:sz="6" w:space="0" w:color="78A22F"/>
              <w:left w:val="nil"/>
              <w:bottom w:val="nil"/>
              <w:right w:val="nil"/>
            </w:tcBorders>
          </w:tcPr>
          <w:p w:rsidR="00E50346" w:rsidRPr="00626D32" w:rsidRDefault="00E50346" w:rsidP="00DA30AC">
            <w:pPr>
              <w:pStyle w:val="BoxSpaceBelow"/>
            </w:pPr>
          </w:p>
        </w:tc>
      </w:tr>
    </w:tbl>
    <w:p w:rsidR="00770B47" w:rsidRDefault="00770B47" w:rsidP="00770B47">
      <w:pPr>
        <w:pStyle w:val="BodyText"/>
        <w:rPr>
          <w:lang w:val="en-US"/>
        </w:rPr>
      </w:pPr>
      <w:r>
        <w:rPr>
          <w:lang w:val="en-US"/>
        </w:rPr>
        <w:t>Separate state and territory ‘</w:t>
      </w:r>
      <w:r w:rsidR="00272138">
        <w:rPr>
          <w:lang w:val="en-US"/>
        </w:rPr>
        <w:t>R</w:t>
      </w:r>
      <w:r>
        <w:rPr>
          <w:lang w:val="en-US"/>
        </w:rPr>
        <w:t xml:space="preserve">egulatory </w:t>
      </w:r>
      <w:r w:rsidR="00272138">
        <w:rPr>
          <w:lang w:val="en-US"/>
        </w:rPr>
        <w:t>A</w:t>
      </w:r>
      <w:r>
        <w:rPr>
          <w:lang w:val="en-US"/>
        </w:rPr>
        <w:t xml:space="preserve">uthorities’ are responsible for administering most aspects of the regulation of ECEC services, including the approval (now nationally recognised) of providers and services and conducting quality assessments. The system of administering the NQF </w:t>
      </w:r>
      <w:r w:rsidR="00DA30AC">
        <w:rPr>
          <w:lang w:val="en-US"/>
        </w:rPr>
        <w:t>was</w:t>
      </w:r>
      <w:r>
        <w:rPr>
          <w:lang w:val="en-US"/>
        </w:rPr>
        <w:t xml:space="preserve"> designed with the</w:t>
      </w:r>
      <w:r w:rsidR="00DA30AC">
        <w:rPr>
          <w:lang w:val="en-US"/>
        </w:rPr>
        <w:t xml:space="preserve"> objective of ensuring that ’99 per </w:t>
      </w:r>
      <w:r>
        <w:rPr>
          <w:lang w:val="en-US"/>
        </w:rPr>
        <w:t xml:space="preserve">cent of all service interactions’ (with either </w:t>
      </w:r>
      <w:r w:rsidR="00272138">
        <w:rPr>
          <w:lang w:val="en-US"/>
        </w:rPr>
        <w:t>R</w:t>
      </w:r>
      <w:r>
        <w:rPr>
          <w:lang w:val="en-US"/>
        </w:rPr>
        <w:t xml:space="preserve">egulatory </w:t>
      </w:r>
      <w:r w:rsidR="00272138">
        <w:rPr>
          <w:lang w:val="en-US"/>
        </w:rPr>
        <w:t>A</w:t>
      </w:r>
      <w:r>
        <w:rPr>
          <w:lang w:val="en-US"/>
        </w:rPr>
        <w:t>uthorities or ACEC</w:t>
      </w:r>
      <w:r w:rsidR="00DA30AC">
        <w:rPr>
          <w:lang w:val="en-US"/>
        </w:rPr>
        <w:t xml:space="preserve">QA) are with their </w:t>
      </w:r>
      <w:proofErr w:type="gramStart"/>
      <w:r w:rsidR="00DA30AC">
        <w:rPr>
          <w:lang w:val="en-US"/>
        </w:rPr>
        <w:t>jurisdiction</w:t>
      </w:r>
      <w:r w:rsidR="00DA30AC">
        <w:rPr>
          <w:lang w:val="en-US"/>
        </w:rPr>
        <w:noBreakHyphen/>
      </w:r>
      <w:r>
        <w:rPr>
          <w:lang w:val="en-US"/>
        </w:rPr>
        <w:t>based</w:t>
      </w:r>
      <w:proofErr w:type="gramEnd"/>
      <w:r>
        <w:rPr>
          <w:lang w:val="en-US"/>
        </w:rPr>
        <w:t xml:space="preserve"> Regulatory Authority </w:t>
      </w:r>
      <w:r w:rsidRPr="00B53EF0">
        <w:rPr>
          <w:szCs w:val="24"/>
        </w:rPr>
        <w:t>(ACECQA 2013d)</w:t>
      </w:r>
      <w:r>
        <w:rPr>
          <w:lang w:val="en-US"/>
        </w:rPr>
        <w:t xml:space="preserve">. </w:t>
      </w:r>
    </w:p>
    <w:p w:rsidR="00A331F7" w:rsidRDefault="00846333" w:rsidP="00A331F7">
      <w:pPr>
        <w:pStyle w:val="Heading2"/>
      </w:pPr>
      <w:r>
        <w:lastRenderedPageBreak/>
        <w:t>F.</w:t>
      </w:r>
      <w:r>
        <w:rPr>
          <w:noProof/>
        </w:rPr>
        <w:t>2</w:t>
      </w:r>
      <w:r w:rsidR="00A331F7">
        <w:tab/>
        <w:t>Governance</w:t>
      </w:r>
    </w:p>
    <w:p w:rsidR="00E166DB" w:rsidRDefault="004E5A7F" w:rsidP="00EC3689">
      <w:pPr>
        <w:pStyle w:val="BodyText"/>
      </w:pPr>
      <w:r>
        <w:t xml:space="preserve">The governance of the NQF (figure </w:t>
      </w:r>
      <w:r w:rsidR="00C03891">
        <w:t>F</w:t>
      </w:r>
      <w:r w:rsidR="001509E0">
        <w:t>.</w:t>
      </w:r>
      <w:r>
        <w:t>1) involves three national bodies</w:t>
      </w:r>
      <w:r w:rsidR="002F08C9">
        <w:t xml:space="preserve"> and eight jurisdictional </w:t>
      </w:r>
      <w:r w:rsidR="00272138">
        <w:t>R</w:t>
      </w:r>
      <w:r w:rsidR="002F08C9">
        <w:t xml:space="preserve">egulatory </w:t>
      </w:r>
      <w:r w:rsidR="00272138">
        <w:t>A</w:t>
      </w:r>
      <w:r w:rsidR="002F08C9">
        <w:t>uthorities</w:t>
      </w:r>
      <w:r w:rsidR="00B31342">
        <w:t>. ACECQA,</w:t>
      </w:r>
      <w:r w:rsidR="00A37993">
        <w:t xml:space="preserve"> which is responsible for</w:t>
      </w:r>
      <w:r w:rsidR="007F3FF0">
        <w:t xml:space="preserve"> leading the implementation of the NQF and ensuring national consistency,</w:t>
      </w:r>
      <w:r w:rsidR="002A4849">
        <w:t xml:space="preserve"> reports</w:t>
      </w:r>
      <w:r w:rsidR="0038678F">
        <w:t xml:space="preserve"> to</w:t>
      </w:r>
      <w:r w:rsidR="00B57397">
        <w:t xml:space="preserve"> two </w:t>
      </w:r>
      <w:r w:rsidR="0096174E">
        <w:t xml:space="preserve">related </w:t>
      </w:r>
      <w:r w:rsidR="003C341D">
        <w:t>COAG</w:t>
      </w:r>
      <w:r w:rsidR="00B57397">
        <w:t xml:space="preserve"> bodies</w:t>
      </w:r>
      <w:r w:rsidR="00B31342">
        <w:t>:</w:t>
      </w:r>
    </w:p>
    <w:p w:rsidR="00E166DB" w:rsidRDefault="0042599F" w:rsidP="00E166DB">
      <w:pPr>
        <w:pStyle w:val="ListBullet"/>
      </w:pPr>
      <w:proofErr w:type="gramStart"/>
      <w:r>
        <w:t>the</w:t>
      </w:r>
      <w:proofErr w:type="gramEnd"/>
      <w:r>
        <w:t xml:space="preserve"> Education Council</w:t>
      </w:r>
      <w:r w:rsidR="00604D11">
        <w:t xml:space="preserve">: </w:t>
      </w:r>
      <w:r>
        <w:t>formerly t</w:t>
      </w:r>
      <w:r w:rsidR="004533F5">
        <w:t xml:space="preserve">he Standing </w:t>
      </w:r>
      <w:r w:rsidR="00976D0D">
        <w:t>C</w:t>
      </w:r>
      <w:r w:rsidR="004533F5">
        <w:t>ouncil on School Education and Early Childhood.</w:t>
      </w:r>
    </w:p>
    <w:p w:rsidR="00604D11" w:rsidRDefault="004533F5" w:rsidP="00B31342">
      <w:pPr>
        <w:pStyle w:val="ListBullet"/>
      </w:pPr>
      <w:r>
        <w:t>The Australian Education, Early Childhood Development and Youth Affairs Senior Officials Committee</w:t>
      </w:r>
      <w:r w:rsidR="00DA30AC">
        <w:t xml:space="preserve"> (AEEYSOC)</w:t>
      </w:r>
      <w:r>
        <w:t>.</w:t>
      </w:r>
      <w:r w:rsidR="00380775">
        <w:t xml:space="preserve"> </w:t>
      </w:r>
    </w:p>
    <w:p w:rsidR="005A4C36" w:rsidRDefault="004E5A7F" w:rsidP="00EC3689">
      <w:pPr>
        <w:pStyle w:val="BodyText"/>
      </w:pPr>
      <w:r>
        <w:t xml:space="preserve">These </w:t>
      </w:r>
      <w:r w:rsidR="00A404A9">
        <w:t xml:space="preserve">three </w:t>
      </w:r>
      <w:r>
        <w:t>bodies have</w:t>
      </w:r>
      <w:r w:rsidR="000F3137">
        <w:t xml:space="preserve"> varying</w:t>
      </w:r>
      <w:r>
        <w:t xml:space="preserve"> responsibilit</w:t>
      </w:r>
      <w:r w:rsidR="007A40EC">
        <w:t>ies</w:t>
      </w:r>
      <w:r w:rsidR="000F3137">
        <w:t>, including</w:t>
      </w:r>
      <w:r>
        <w:t xml:space="preserve"> </w:t>
      </w:r>
      <w:r w:rsidR="00FE3DA9">
        <w:t>monitoring</w:t>
      </w:r>
      <w:r w:rsidR="00295815">
        <w:t xml:space="preserve"> </w:t>
      </w:r>
      <w:r w:rsidR="005E6D50">
        <w:t xml:space="preserve">the implementation of the NQF </w:t>
      </w:r>
      <w:r w:rsidR="00295815">
        <w:t>and</w:t>
      </w:r>
      <w:r>
        <w:t xml:space="preserve"> reforming the National Law and National Regulations</w:t>
      </w:r>
      <w:r w:rsidR="007E1314">
        <w:t xml:space="preserve"> at the national level</w:t>
      </w:r>
      <w:r>
        <w:t>.</w:t>
      </w:r>
      <w:r w:rsidR="002F08C9">
        <w:t xml:space="preserve"> </w:t>
      </w:r>
      <w:r w:rsidR="006B05A0">
        <w:t xml:space="preserve">State and territory </w:t>
      </w:r>
      <w:r w:rsidR="00272138">
        <w:t>R</w:t>
      </w:r>
      <w:r w:rsidR="006B05A0">
        <w:t xml:space="preserve">egulatory </w:t>
      </w:r>
      <w:r w:rsidR="00272138">
        <w:t>A</w:t>
      </w:r>
      <w:r w:rsidR="006B05A0">
        <w:t>uthorities administer</w:t>
      </w:r>
      <w:r w:rsidR="003E1622">
        <w:t xml:space="preserve"> and monitor</w:t>
      </w:r>
      <w:r w:rsidR="006B05A0">
        <w:t xml:space="preserve"> the NQF on the ground in each jurisdiction.</w:t>
      </w:r>
    </w:p>
    <w:p w:rsidR="00D75747" w:rsidRDefault="00D75747" w:rsidP="00DA30A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75747" w:rsidTr="00DA30AC">
        <w:tc>
          <w:tcPr>
            <w:tcW w:w="8771" w:type="dxa"/>
            <w:tcBorders>
              <w:top w:val="single" w:sz="6" w:space="0" w:color="78A22F"/>
              <w:left w:val="nil"/>
              <w:bottom w:val="nil"/>
              <w:right w:val="nil"/>
            </w:tcBorders>
            <w:shd w:val="clear" w:color="auto" w:fill="auto"/>
          </w:tcPr>
          <w:p w:rsidR="00D75747" w:rsidRPr="00176D3F" w:rsidRDefault="00D75747" w:rsidP="00D75747">
            <w:pPr>
              <w:pStyle w:val="FigureTitle"/>
            </w:pPr>
            <w:r w:rsidRPr="00784A05">
              <w:rPr>
                <w:b w:val="0"/>
              </w:rPr>
              <w:t xml:space="preserve">Figure </w:t>
            </w:r>
            <w:r w:rsidR="00846333">
              <w:rPr>
                <w:b w:val="0"/>
              </w:rPr>
              <w:t>F.</w:t>
            </w:r>
            <w:r w:rsidR="00846333">
              <w:rPr>
                <w:b w:val="0"/>
                <w:noProof/>
              </w:rPr>
              <w:t>1</w:t>
            </w:r>
            <w:r>
              <w:tab/>
              <w:t>Governance of the N</w:t>
            </w:r>
            <w:r w:rsidR="00DA30AC">
              <w:t xml:space="preserve">ational </w:t>
            </w:r>
            <w:r>
              <w:t>Q</w:t>
            </w:r>
            <w:r w:rsidR="00DA30AC">
              <w:t xml:space="preserve">uality </w:t>
            </w:r>
            <w:r>
              <w:t>F</w:t>
            </w:r>
            <w:r w:rsidR="00DA30AC">
              <w:t>ramework</w:t>
            </w:r>
          </w:p>
        </w:tc>
      </w:tr>
      <w:tr w:rsidR="00D75747" w:rsidTr="00DA30AC">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D75747" w:rsidTr="00DA30AC">
              <w:tc>
                <w:tcPr>
                  <w:tcW w:w="5000" w:type="pct"/>
                  <w:tcBorders>
                    <w:top w:val="nil"/>
                    <w:bottom w:val="nil"/>
                  </w:tcBorders>
                </w:tcPr>
                <w:p w:rsidR="00D75747" w:rsidRDefault="00402CD1" w:rsidP="00DA30AC">
                  <w:pPr>
                    <w:pStyle w:val="Figure"/>
                    <w:spacing w:before="60" w:after="60"/>
                  </w:pPr>
                  <w:r>
                    <w:rPr>
                      <w:noProof/>
                    </w:rPr>
                    <w:drawing>
                      <wp:inline distT="0" distB="0" distL="0" distR="0">
                        <wp:extent cx="3629025" cy="3105150"/>
                        <wp:effectExtent l="0" t="0" r="9525" b="0"/>
                        <wp:docPr id="1" name="Picture 1" descr="Governance of tte National Quality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9025" cy="3105150"/>
                                </a:xfrm>
                                <a:prstGeom prst="rect">
                                  <a:avLst/>
                                </a:prstGeom>
                                <a:noFill/>
                                <a:ln>
                                  <a:noFill/>
                                </a:ln>
                              </pic:spPr>
                            </pic:pic>
                          </a:graphicData>
                        </a:graphic>
                      </wp:inline>
                    </w:drawing>
                  </w:r>
                </w:p>
              </w:tc>
            </w:tr>
          </w:tbl>
          <w:p w:rsidR="00D75747" w:rsidRDefault="00D75747" w:rsidP="00DA30AC">
            <w:pPr>
              <w:pStyle w:val="Figure"/>
            </w:pPr>
          </w:p>
        </w:tc>
      </w:tr>
      <w:tr w:rsidR="00D75747" w:rsidTr="00DA30AC">
        <w:tc>
          <w:tcPr>
            <w:tcW w:w="8771" w:type="dxa"/>
            <w:tcBorders>
              <w:top w:val="nil"/>
              <w:left w:val="nil"/>
              <w:bottom w:val="single" w:sz="6" w:space="0" w:color="78A22F"/>
              <w:right w:val="nil"/>
            </w:tcBorders>
            <w:shd w:val="clear" w:color="auto" w:fill="auto"/>
          </w:tcPr>
          <w:p w:rsidR="00D75747" w:rsidRDefault="00D75747" w:rsidP="00DA30AC">
            <w:pPr>
              <w:pStyle w:val="Figurespace"/>
            </w:pPr>
          </w:p>
        </w:tc>
      </w:tr>
      <w:tr w:rsidR="00D75747" w:rsidRPr="000863A5" w:rsidTr="00DA30AC">
        <w:tc>
          <w:tcPr>
            <w:tcW w:w="8771" w:type="dxa"/>
            <w:tcBorders>
              <w:top w:val="single" w:sz="6" w:space="0" w:color="78A22F"/>
              <w:left w:val="nil"/>
              <w:bottom w:val="nil"/>
              <w:right w:val="nil"/>
            </w:tcBorders>
          </w:tcPr>
          <w:p w:rsidR="00D75747" w:rsidRPr="00626D32" w:rsidRDefault="00D75747" w:rsidP="00DA30AC">
            <w:pPr>
              <w:pStyle w:val="BoxSpaceBelow"/>
            </w:pPr>
          </w:p>
        </w:tc>
      </w:tr>
    </w:tbl>
    <w:p w:rsidR="00B909D6" w:rsidRDefault="00B909D6" w:rsidP="00B909D6">
      <w:pPr>
        <w:pStyle w:val="BodyText"/>
        <w:rPr>
          <w:rFonts w:ascii="Arial" w:hAnsi="Arial"/>
          <w:sz w:val="26"/>
        </w:rPr>
      </w:pPr>
      <w:r>
        <w:br w:type="page"/>
      </w:r>
    </w:p>
    <w:p w:rsidR="00B762B1" w:rsidRDefault="003C4DD2" w:rsidP="00B762B1">
      <w:pPr>
        <w:pStyle w:val="Heading3"/>
      </w:pPr>
      <w:r>
        <w:lastRenderedPageBreak/>
        <w:t>A national l</w:t>
      </w:r>
      <w:r w:rsidR="00B762B1">
        <w:t xml:space="preserve">egislative </w:t>
      </w:r>
      <w:r>
        <w:t>f</w:t>
      </w:r>
      <w:r w:rsidR="00B762B1">
        <w:t>ramework</w:t>
      </w:r>
    </w:p>
    <w:p w:rsidR="00986ED2" w:rsidRDefault="00986ED2" w:rsidP="00986ED2">
      <w:pPr>
        <w:pStyle w:val="BodyText"/>
      </w:pPr>
      <w:r>
        <w:t>The national legislative framework underpinning the NQF consists of</w:t>
      </w:r>
      <w:r w:rsidR="00DA30AC">
        <w:t xml:space="preserve"> the</w:t>
      </w:r>
      <w:r>
        <w:t>:</w:t>
      </w:r>
    </w:p>
    <w:p w:rsidR="00986ED2" w:rsidRDefault="00986ED2" w:rsidP="00986ED2">
      <w:pPr>
        <w:pStyle w:val="ListBullet"/>
      </w:pPr>
      <w:r w:rsidRPr="001A63BB">
        <w:rPr>
          <w:i/>
        </w:rPr>
        <w:t>Education and Care Services National Law</w:t>
      </w:r>
      <w:r>
        <w:t xml:space="preserve"> (the National Law)</w:t>
      </w:r>
    </w:p>
    <w:p w:rsidR="00986ED2" w:rsidRDefault="00986ED2" w:rsidP="00986ED2">
      <w:pPr>
        <w:pStyle w:val="ListBullet"/>
      </w:pPr>
      <w:r>
        <w:t>the Education and Care Services National Regulations 2011 (National Regulations)</w:t>
      </w:r>
    </w:p>
    <w:p w:rsidR="00986ED2" w:rsidRDefault="00986ED2" w:rsidP="00986ED2">
      <w:pPr>
        <w:pStyle w:val="BodyText"/>
      </w:pPr>
      <w:r>
        <w:t xml:space="preserve">The </w:t>
      </w:r>
      <w:r w:rsidR="00DA30AC">
        <w:t xml:space="preserve">legislative </w:t>
      </w:r>
      <w:r>
        <w:t xml:space="preserve">framework was established through an applied laws system. Under this system, a host jurisdiction (Victoria) first passed the </w:t>
      </w:r>
      <w:r>
        <w:rPr>
          <w:i/>
        </w:rPr>
        <w:t xml:space="preserve">Education and Care Services National Law Act 2010 </w:t>
      </w:r>
      <w:r w:rsidR="00977CFC">
        <w:t>(Vic). This legislation was</w:t>
      </w:r>
      <w:r>
        <w:t xml:space="preserve"> then adopted by all other </w:t>
      </w:r>
      <w:r w:rsidR="00A22518">
        <w:t xml:space="preserve">states and territories </w:t>
      </w:r>
      <w:r>
        <w:t>with the exception of Western Australia, which passed its own corresponding legislation with some minor variations.</w:t>
      </w:r>
    </w:p>
    <w:p w:rsidR="00986ED2" w:rsidRDefault="00986ED2" w:rsidP="00986ED2">
      <w:pPr>
        <w:pStyle w:val="BodyText"/>
      </w:pPr>
      <w:r>
        <w:t xml:space="preserve">This framework replaced separate licensing and quality assurance processes and created a jointly governed, uniform national approach to the regulation and quality assessment of ECEC services. </w:t>
      </w:r>
      <w:r w:rsidR="00DA30AC">
        <w:t>The</w:t>
      </w:r>
      <w:r>
        <w:t xml:space="preserve"> approach </w:t>
      </w:r>
      <w:r w:rsidR="00DA30AC">
        <w:t>aims</w:t>
      </w:r>
      <w:r>
        <w:t xml:space="preserve"> to reduce red tape, which was particularly complex for providers operating across multiple jurisdictions.</w:t>
      </w:r>
    </w:p>
    <w:p w:rsidR="00986ED2" w:rsidRDefault="00986ED2" w:rsidP="00986ED2">
      <w:pPr>
        <w:pStyle w:val="BodyText"/>
      </w:pPr>
      <w:r>
        <w:t xml:space="preserve">The </w:t>
      </w:r>
      <w:r w:rsidR="00C61075">
        <w:t>National Law and National Regulations</w:t>
      </w:r>
      <w:r>
        <w:t xml:space="preserve"> set out:</w:t>
      </w:r>
    </w:p>
    <w:p w:rsidR="00986ED2" w:rsidRDefault="00986ED2" w:rsidP="00986ED2">
      <w:pPr>
        <w:pStyle w:val="ListBullet"/>
      </w:pPr>
      <w:r>
        <w:t>approval processes for the operation of education and care services</w:t>
      </w:r>
    </w:p>
    <w:p w:rsidR="00986ED2" w:rsidRDefault="00986ED2" w:rsidP="00986ED2">
      <w:pPr>
        <w:pStyle w:val="ListBullet"/>
      </w:pPr>
      <w:r>
        <w:t>the assessment and rating system</w:t>
      </w:r>
    </w:p>
    <w:p w:rsidR="00986ED2" w:rsidRDefault="00986ED2" w:rsidP="00986ED2">
      <w:pPr>
        <w:pStyle w:val="ListBullet"/>
      </w:pPr>
      <w:r>
        <w:t>key operational requirements</w:t>
      </w:r>
    </w:p>
    <w:p w:rsidR="00986ED2" w:rsidRDefault="00986ED2" w:rsidP="00986ED2">
      <w:pPr>
        <w:pStyle w:val="ListBullet"/>
      </w:pPr>
      <w:r>
        <w:t>compliance, monitoring and enforcement powers</w:t>
      </w:r>
    </w:p>
    <w:p w:rsidR="00986ED2" w:rsidRDefault="00986ED2" w:rsidP="00986ED2">
      <w:pPr>
        <w:pStyle w:val="ListBullet"/>
      </w:pPr>
      <w:r>
        <w:t xml:space="preserve">the functions and powers of </w:t>
      </w:r>
      <w:r w:rsidR="00912093">
        <w:t>the Education Council</w:t>
      </w:r>
      <w:r>
        <w:t xml:space="preserve">, ACECQA and the </w:t>
      </w:r>
      <w:r w:rsidR="00272138">
        <w:t>R</w:t>
      </w:r>
      <w:r>
        <w:t xml:space="preserve">egulatory </w:t>
      </w:r>
      <w:r w:rsidR="00272138">
        <w:t>A</w:t>
      </w:r>
      <w:r>
        <w:t>uthorities in each jurisdiction</w:t>
      </w:r>
    </w:p>
    <w:p w:rsidR="00986ED2" w:rsidRDefault="00986ED2" w:rsidP="00986ED2">
      <w:pPr>
        <w:pStyle w:val="ListBullet"/>
      </w:pPr>
      <w:proofErr w:type="gramStart"/>
      <w:r>
        <w:t>key</w:t>
      </w:r>
      <w:proofErr w:type="gramEnd"/>
      <w:r>
        <w:t xml:space="preserve"> transitional arrangements.</w:t>
      </w:r>
    </w:p>
    <w:p w:rsidR="00986ED2" w:rsidRDefault="00644231" w:rsidP="00986ED2">
      <w:pPr>
        <w:pStyle w:val="BodyText"/>
      </w:pPr>
      <w:r>
        <w:t>The NQF</w:t>
      </w:r>
      <w:r w:rsidR="00986ED2">
        <w:t xml:space="preserve"> covers most long day care, family day care, preschools (or kindergartens) and outside school</w:t>
      </w:r>
      <w:r w:rsidR="00427AB9">
        <w:t xml:space="preserve"> hours</w:t>
      </w:r>
      <w:r w:rsidR="00986ED2">
        <w:t xml:space="preserve"> care services in Australia. In Western Australia, it also extends to home</w:t>
      </w:r>
      <w:r w:rsidR="005D76F8">
        <w:noBreakHyphen/>
      </w:r>
      <w:r w:rsidR="00986ED2">
        <w:t>based care</w:t>
      </w:r>
      <w:r w:rsidR="00C03891">
        <w:t>.</w:t>
      </w:r>
      <w:r w:rsidR="00986ED2" w:rsidRPr="0042599F">
        <w:rPr>
          <w:rStyle w:val="FootnoteReference"/>
        </w:rPr>
        <w:footnoteReference w:id="1"/>
      </w:r>
      <w:r w:rsidR="00986ED2">
        <w:t xml:space="preserve"> All other forms of care, including mobile, occasional care and most Budget Based Funded</w:t>
      </w:r>
      <w:r w:rsidR="00986ED2" w:rsidRPr="0042599F">
        <w:rPr>
          <w:rStyle w:val="FootnoteReference"/>
        </w:rPr>
        <w:footnoteReference w:id="2"/>
      </w:r>
      <w:r w:rsidR="00986ED2">
        <w:t xml:space="preserve"> services are excluded from the NQF</w:t>
      </w:r>
      <w:r w:rsidR="00AE3D8D">
        <w:t xml:space="preserve"> </w:t>
      </w:r>
      <w:r w:rsidR="00CC4BDD">
        <w:t>(box </w:t>
      </w:r>
      <w:r w:rsidR="00C03891">
        <w:t>F</w:t>
      </w:r>
      <w:r w:rsidR="001509E0">
        <w:t>.</w:t>
      </w:r>
      <w:r w:rsidR="00AE3D8D">
        <w:t>1)</w:t>
      </w:r>
      <w:r w:rsidR="00986ED2">
        <w:t xml:space="preserve">. </w:t>
      </w:r>
    </w:p>
    <w:p w:rsidR="002137D3" w:rsidRDefault="00B225D9" w:rsidP="002137D3">
      <w:pPr>
        <w:pStyle w:val="Heading3"/>
      </w:pPr>
      <w:r>
        <w:t xml:space="preserve">The Education Council </w:t>
      </w:r>
      <w:r w:rsidR="002137D3">
        <w:t>and AEEYSOC</w:t>
      </w:r>
    </w:p>
    <w:p w:rsidR="00A05BF3" w:rsidRDefault="004910E4" w:rsidP="00A05BF3">
      <w:pPr>
        <w:pStyle w:val="BodyText"/>
      </w:pPr>
      <w:r>
        <w:t xml:space="preserve">The Education Council </w:t>
      </w:r>
      <w:r w:rsidR="00914F6A">
        <w:t xml:space="preserve">and AEEYSOC are </w:t>
      </w:r>
      <w:r w:rsidR="00DD56C6">
        <w:t>COAG</w:t>
      </w:r>
      <w:r w:rsidR="00914F6A">
        <w:t xml:space="preserve"> bodies that work together to guide strategic policy on ECEC at a national level. </w:t>
      </w:r>
    </w:p>
    <w:p w:rsidR="00914F6A" w:rsidRDefault="00102568" w:rsidP="00A05BF3">
      <w:pPr>
        <w:pStyle w:val="BodyText"/>
      </w:pPr>
      <w:r>
        <w:t>The Education Council</w:t>
      </w:r>
      <w:r w:rsidR="00564325">
        <w:t xml:space="preserve"> </w:t>
      </w:r>
      <w:r w:rsidR="00D41FB1">
        <w:t xml:space="preserve">is one of </w:t>
      </w:r>
      <w:r w:rsidR="00286321">
        <w:t>eight</w:t>
      </w:r>
      <w:r>
        <w:t xml:space="preserve"> </w:t>
      </w:r>
      <w:r w:rsidR="00D41FB1">
        <w:t>Councils established u</w:t>
      </w:r>
      <w:r w:rsidR="0047052E">
        <w:t xml:space="preserve">nder current COAG arrangements; replacing the </w:t>
      </w:r>
      <w:r w:rsidR="003840FB">
        <w:t>Standing Council on School Education and Early Childhood</w:t>
      </w:r>
      <w:r w:rsidR="0047052E">
        <w:t>.</w:t>
      </w:r>
      <w:r w:rsidR="002B7EFE">
        <w:t xml:space="preserve"> </w:t>
      </w:r>
      <w:r w:rsidR="002B7EFE">
        <w:lastRenderedPageBreak/>
        <w:t>It</w:t>
      </w:r>
      <w:r w:rsidR="000A6C7A">
        <w:t xml:space="preserve">s membership includes </w:t>
      </w:r>
      <w:r w:rsidR="002071A5">
        <w:t>s</w:t>
      </w:r>
      <w:r w:rsidR="000A6C7A">
        <w:t xml:space="preserve">tate, </w:t>
      </w:r>
      <w:r w:rsidR="002071A5">
        <w:t>t</w:t>
      </w:r>
      <w:r w:rsidR="000A6C7A">
        <w:t>erritory, Australian Government and New Zealand Mi</w:t>
      </w:r>
      <w:r w:rsidR="007577C2">
        <w:t>nisters with responsibilities for</w:t>
      </w:r>
      <w:r w:rsidR="000A6C7A">
        <w:t xml:space="preserve"> </w:t>
      </w:r>
      <w:proofErr w:type="gramStart"/>
      <w:r w:rsidR="000A6C7A">
        <w:t>either school</w:t>
      </w:r>
      <w:proofErr w:type="gramEnd"/>
      <w:r w:rsidR="000A6C7A">
        <w:t xml:space="preserve"> education, early childhood development, and/or youth affairs.</w:t>
      </w:r>
      <w:r w:rsidR="0047052E">
        <w:t xml:space="preserve"> </w:t>
      </w:r>
      <w:r w:rsidR="007B41E8">
        <w:t xml:space="preserve">The Council </w:t>
      </w:r>
      <w:r w:rsidR="007770E9">
        <w:t>provides a forum through which national policy on ECEC (as well as school education and other youth policy) can be coordinated. Its responsibilities include endorsing and coordinating changes to the NQF</w:t>
      </w:r>
      <w:r w:rsidR="0053464B">
        <w:t>.</w:t>
      </w:r>
    </w:p>
    <w:p w:rsidR="00A3390E" w:rsidRDefault="00412DCB" w:rsidP="00A3390E">
      <w:pPr>
        <w:pStyle w:val="BodyText"/>
      </w:pPr>
      <w:r>
        <w:t xml:space="preserve">The Education Council </w:t>
      </w:r>
      <w:r w:rsidR="004C21AC">
        <w:t>is support</w:t>
      </w:r>
      <w:r w:rsidR="006B0B10">
        <w:t>ed</w:t>
      </w:r>
      <w:r w:rsidR="004C21AC">
        <w:t xml:space="preserve"> by AEEYSOC, a group of senior</w:t>
      </w:r>
      <w:r w:rsidR="001F1622">
        <w:t xml:space="preserve"> state, t</w:t>
      </w:r>
      <w:r w:rsidR="00266837">
        <w:t>erritory and Commonwealth</w:t>
      </w:r>
      <w:r w:rsidR="004C21AC">
        <w:t xml:space="preserve"> officials with responsibility for school education, ECEC and youth affairs.</w:t>
      </w:r>
      <w:r w:rsidR="00A3390E">
        <w:t xml:space="preserve"> Its roles include: </w:t>
      </w:r>
    </w:p>
    <w:p w:rsidR="00A3390E" w:rsidRDefault="00A3390E" w:rsidP="00A3390E">
      <w:pPr>
        <w:pStyle w:val="ListBullet"/>
      </w:pPr>
      <w:r>
        <w:t xml:space="preserve">providing policy advice to </w:t>
      </w:r>
      <w:r w:rsidR="00412DCB">
        <w:t>the Education Council</w:t>
      </w:r>
    </w:p>
    <w:p w:rsidR="00A3390E" w:rsidRDefault="00A3390E" w:rsidP="00A3390E">
      <w:pPr>
        <w:pStyle w:val="ListBullet"/>
      </w:pPr>
      <w:r>
        <w:t xml:space="preserve">supervising and coordinating </w:t>
      </w:r>
      <w:r w:rsidR="00412DCB">
        <w:t>the Education Council’s</w:t>
      </w:r>
      <w:r w:rsidR="006133C3">
        <w:t xml:space="preserve"> </w:t>
      </w:r>
      <w:r>
        <w:t>work across its advisory bodies and working groups</w:t>
      </w:r>
    </w:p>
    <w:p w:rsidR="00A3390E" w:rsidRDefault="00A3390E" w:rsidP="00A3390E">
      <w:pPr>
        <w:pStyle w:val="ListBullet"/>
      </w:pPr>
      <w:r>
        <w:t xml:space="preserve">resolving operational and policy issues before progressing matters raised by ministerial authorities and companies to </w:t>
      </w:r>
      <w:r w:rsidR="00412DCB">
        <w:t>the Education Council</w:t>
      </w:r>
    </w:p>
    <w:p w:rsidR="00A3390E" w:rsidRDefault="00A3390E" w:rsidP="00A3390E">
      <w:pPr>
        <w:pStyle w:val="ListBullet"/>
      </w:pPr>
      <w:proofErr w:type="gramStart"/>
      <w:r>
        <w:t>managing</w:t>
      </w:r>
      <w:proofErr w:type="gramEnd"/>
      <w:r>
        <w:t xml:space="preserve"> and coordinating jurisdictions’ funding contributions for national agreed projects and initiatives, through the </w:t>
      </w:r>
      <w:r w:rsidR="00412DCB">
        <w:t>the Education Council</w:t>
      </w:r>
      <w:r>
        <w:t>Secretariat.</w:t>
      </w:r>
    </w:p>
    <w:p w:rsidR="00584703" w:rsidRDefault="00F919AB" w:rsidP="00A3390E">
      <w:pPr>
        <w:pStyle w:val="BodyText"/>
      </w:pPr>
      <w:r>
        <w:t xml:space="preserve">AEEYSOC’s membership </w:t>
      </w:r>
      <w:r w:rsidR="00144D13">
        <w:t>comprises</w:t>
      </w:r>
      <w:r>
        <w:t xml:space="preserve"> the head of the relevant department from each state and territory</w:t>
      </w:r>
      <w:r w:rsidR="00AE2130">
        <w:t xml:space="preserve"> government</w:t>
      </w:r>
      <w:r>
        <w:t xml:space="preserve">, the </w:t>
      </w:r>
      <w:r w:rsidR="00AE07A6">
        <w:t>Australian G</w:t>
      </w:r>
      <w:r>
        <w:t>overnment and</w:t>
      </w:r>
      <w:r w:rsidR="00EB2F1E">
        <w:t xml:space="preserve"> the</w:t>
      </w:r>
      <w:r>
        <w:t xml:space="preserve"> New Zealand</w:t>
      </w:r>
      <w:r w:rsidR="00EB2F1E">
        <w:t xml:space="preserve"> Government</w:t>
      </w:r>
      <w:r>
        <w:t xml:space="preserve">. It also includes a representative from the </w:t>
      </w:r>
      <w:r w:rsidR="00412DCB">
        <w:t>Education Council</w:t>
      </w:r>
      <w:r w:rsidR="00DA30AC">
        <w:t xml:space="preserve">’s </w:t>
      </w:r>
      <w:r>
        <w:t xml:space="preserve">Youth Working Group, the Community and Disability Services Ministers’ Advisory Council and the Australian </w:t>
      </w:r>
      <w:r w:rsidR="00841E44">
        <w:t>H</w:t>
      </w:r>
      <w:r>
        <w:t>ealth Ministers’ Advisory Council.</w:t>
      </w:r>
      <w:r w:rsidR="006B0B10">
        <w:t xml:space="preserve"> AEEYSOC is directly responsible to </w:t>
      </w:r>
      <w:r w:rsidR="00984641">
        <w:t>the Education Council</w:t>
      </w:r>
      <w:r w:rsidR="006B0B10">
        <w:t>.</w:t>
      </w:r>
      <w:r w:rsidR="001B4C96">
        <w:t xml:space="preserve"> </w:t>
      </w:r>
    </w:p>
    <w:p w:rsidR="00EF4B37" w:rsidRDefault="00EF4B37" w:rsidP="00B762B1">
      <w:pPr>
        <w:pStyle w:val="Heading3"/>
      </w:pPr>
      <w:r>
        <w:t>ACECQA</w:t>
      </w:r>
    </w:p>
    <w:p w:rsidR="00B5022F" w:rsidRDefault="00FF33D0" w:rsidP="00B5022F">
      <w:pPr>
        <w:pStyle w:val="BodyText"/>
      </w:pPr>
      <w:r>
        <w:t>ACECQA is</w:t>
      </w:r>
      <w:r w:rsidR="00FF7B16">
        <w:t xml:space="preserve"> a</w:t>
      </w:r>
      <w:r>
        <w:t xml:space="preserve"> national statutory authority established under the National Law to lead the</w:t>
      </w:r>
      <w:r w:rsidR="0020047C">
        <w:t xml:space="preserve"> implementation of the NQF. </w:t>
      </w:r>
      <w:r w:rsidR="00D319F9">
        <w:t xml:space="preserve">The </w:t>
      </w:r>
      <w:r w:rsidR="006212C2">
        <w:t>A</w:t>
      </w:r>
      <w:r w:rsidR="00D319F9">
        <w:t>uthority</w:t>
      </w:r>
      <w:r w:rsidR="00DB68CF">
        <w:t xml:space="preserve"> </w:t>
      </w:r>
      <w:r w:rsidR="008C5E97">
        <w:t>has</w:t>
      </w:r>
      <w:r w:rsidR="00DB68CF">
        <w:t xml:space="preserve"> a 13 member board — eight nominated by </w:t>
      </w:r>
      <w:r w:rsidR="00DA30AC">
        <w:t>state</w:t>
      </w:r>
      <w:r w:rsidR="00DB68CF">
        <w:t xml:space="preserve"> and territor</w:t>
      </w:r>
      <w:r w:rsidR="00DA30AC">
        <w:t>y governments</w:t>
      </w:r>
      <w:r w:rsidR="00DB68CF">
        <w:t xml:space="preserve"> and four by the Australian </w:t>
      </w:r>
      <w:r w:rsidR="00CC778E">
        <w:t>G</w:t>
      </w:r>
      <w:r w:rsidR="00DB68CF">
        <w:t xml:space="preserve">overnment, </w:t>
      </w:r>
      <w:r w:rsidR="00784EE0">
        <w:t>plus</w:t>
      </w:r>
      <w:r w:rsidR="00DB68CF">
        <w:t xml:space="preserve"> a Chair appointed independently by </w:t>
      </w:r>
      <w:r w:rsidR="000B2DC1">
        <w:t>the Education Council</w:t>
      </w:r>
      <w:r w:rsidR="00DB68CF">
        <w:t xml:space="preserve">. </w:t>
      </w:r>
      <w:r w:rsidR="000168B0">
        <w:t xml:space="preserve">The ACECQA Board is appointed by, and accountable to, </w:t>
      </w:r>
      <w:r w:rsidR="000B2DC1">
        <w:t>the Education Council</w:t>
      </w:r>
      <w:r w:rsidR="000168B0">
        <w:t xml:space="preserve">. The Board reports to </w:t>
      </w:r>
      <w:r w:rsidR="000B2DC1">
        <w:t>the Education Council</w:t>
      </w:r>
      <w:r w:rsidR="000168B0">
        <w:t>through AEEYSOC.</w:t>
      </w:r>
      <w:r w:rsidR="00132495">
        <w:t xml:space="preserve"> </w:t>
      </w:r>
      <w:r w:rsidR="004157F4">
        <w:t>ACECQA</w:t>
      </w:r>
      <w:r w:rsidR="00532A01">
        <w:t>’s</w:t>
      </w:r>
      <w:r w:rsidR="004157F4">
        <w:t xml:space="preserve"> CEO is responsible for the day</w:t>
      </w:r>
      <w:r w:rsidR="00D50C08">
        <w:noBreakHyphen/>
      </w:r>
      <w:r w:rsidR="004157F4">
        <w:t>to</w:t>
      </w:r>
      <w:r w:rsidR="00D50C08">
        <w:noBreakHyphen/>
      </w:r>
      <w:r w:rsidR="004157F4">
        <w:t xml:space="preserve">day management of the authority. </w:t>
      </w:r>
    </w:p>
    <w:p w:rsidR="006D218E" w:rsidRDefault="0020047C" w:rsidP="00B5022F">
      <w:pPr>
        <w:pStyle w:val="BodyText"/>
      </w:pPr>
      <w:r>
        <w:t xml:space="preserve">In addition to advising </w:t>
      </w:r>
      <w:r w:rsidR="000B2DC1">
        <w:t>the Education Council</w:t>
      </w:r>
      <w:r>
        <w:t xml:space="preserve">, ACECQA has a number of other roles (box </w:t>
      </w:r>
      <w:r w:rsidR="00C03891">
        <w:t>F</w:t>
      </w:r>
      <w:r w:rsidR="001509E0">
        <w:t>.</w:t>
      </w:r>
      <w:r w:rsidR="007D3017">
        <w:t>2</w:t>
      </w:r>
      <w:r>
        <w:t>) relating to ensuring consistency across all states and territories and undertaking national administrative functions. It does not directly regulate ECEC services.</w:t>
      </w:r>
    </w:p>
    <w:p w:rsidR="007446E1" w:rsidRDefault="007446E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446E1" w:rsidTr="00DA30AC">
        <w:tc>
          <w:tcPr>
            <w:tcW w:w="8771" w:type="dxa"/>
            <w:tcBorders>
              <w:top w:val="single" w:sz="6" w:space="0" w:color="78A22F"/>
              <w:left w:val="nil"/>
              <w:bottom w:val="nil"/>
              <w:right w:val="nil"/>
            </w:tcBorders>
            <w:shd w:val="clear" w:color="auto" w:fill="F2F2F2" w:themeFill="background1" w:themeFillShade="F2"/>
          </w:tcPr>
          <w:p w:rsidR="007446E1" w:rsidRDefault="007446E1">
            <w:pPr>
              <w:pStyle w:val="BoxTitle"/>
            </w:pPr>
            <w:r>
              <w:rPr>
                <w:b w:val="0"/>
              </w:rPr>
              <w:t xml:space="preserve">Box </w:t>
            </w:r>
            <w:r w:rsidR="00846333">
              <w:rPr>
                <w:b w:val="0"/>
              </w:rPr>
              <w:t>F.</w:t>
            </w:r>
            <w:r w:rsidR="00846333">
              <w:rPr>
                <w:b w:val="0"/>
                <w:noProof/>
              </w:rPr>
              <w:t>2</w:t>
            </w:r>
            <w:r>
              <w:tab/>
              <w:t>Responsibilities of ACECQA</w:t>
            </w:r>
          </w:p>
        </w:tc>
      </w:tr>
      <w:tr w:rsidR="007446E1" w:rsidTr="00DA30AC">
        <w:trPr>
          <w:cantSplit/>
        </w:trPr>
        <w:tc>
          <w:tcPr>
            <w:tcW w:w="8771" w:type="dxa"/>
            <w:tcBorders>
              <w:top w:val="nil"/>
              <w:left w:val="nil"/>
              <w:bottom w:val="nil"/>
              <w:right w:val="nil"/>
            </w:tcBorders>
            <w:shd w:val="clear" w:color="auto" w:fill="F2F2F2" w:themeFill="background1" w:themeFillShade="F2"/>
          </w:tcPr>
          <w:p w:rsidR="007446E1" w:rsidRDefault="007446E1" w:rsidP="007446E1">
            <w:pPr>
              <w:pStyle w:val="BoxListBullet"/>
            </w:pPr>
            <w:r>
              <w:t>Monitor the consistency of, and assist in, assessments and ratings, including:</w:t>
            </w:r>
          </w:p>
          <w:p w:rsidR="007446E1" w:rsidRDefault="007446E1" w:rsidP="007446E1">
            <w:pPr>
              <w:pStyle w:val="BoxListBullet2"/>
            </w:pPr>
            <w:r>
              <w:t>establishing consistent procedures for the operation of the NQF</w:t>
            </w:r>
          </w:p>
          <w:p w:rsidR="007446E1" w:rsidRDefault="007446E1" w:rsidP="007446E1">
            <w:pPr>
              <w:pStyle w:val="BoxListBullet2"/>
            </w:pPr>
            <w:r>
              <w:t>conducting national consistency audits</w:t>
            </w:r>
          </w:p>
          <w:p w:rsidR="007446E1" w:rsidRDefault="007446E1" w:rsidP="007446E1">
            <w:pPr>
              <w:pStyle w:val="BoxListBullet2"/>
            </w:pPr>
            <w:r>
              <w:t>assessing which services receive the ‘Excellent’ rating</w:t>
            </w:r>
          </w:p>
          <w:p w:rsidR="007446E1" w:rsidRDefault="007446E1" w:rsidP="007446E1">
            <w:pPr>
              <w:pStyle w:val="BoxListBullet2"/>
            </w:pPr>
            <w:proofErr w:type="gramStart"/>
            <w:r>
              <w:t>conducting</w:t>
            </w:r>
            <w:proofErr w:type="gramEnd"/>
            <w:r>
              <w:t xml:space="preserve"> ‘second tier’ reviews.</w:t>
            </w:r>
          </w:p>
          <w:p w:rsidR="007446E1" w:rsidRDefault="007446E1" w:rsidP="007446E1">
            <w:pPr>
              <w:pStyle w:val="BoxListBullet"/>
            </w:pPr>
            <w:r>
              <w:t>Conduct research on ways to reduce regulatory burden in the sector</w:t>
            </w:r>
          </w:p>
          <w:p w:rsidR="007446E1" w:rsidRDefault="007446E1" w:rsidP="007446E1">
            <w:pPr>
              <w:pStyle w:val="BoxListBullet"/>
            </w:pPr>
            <w:r>
              <w:t xml:space="preserve">Determine qualification requirements for authorised officers and deliver support and training for staff of regulatory authorities </w:t>
            </w:r>
          </w:p>
          <w:p w:rsidR="007446E1" w:rsidRDefault="007446E1" w:rsidP="007446E1">
            <w:pPr>
              <w:pStyle w:val="BoxListBullet"/>
            </w:pPr>
            <w:r>
              <w:t>Determine approved qualifications for educators, including assessment of equivalent qualifications</w:t>
            </w:r>
          </w:p>
          <w:p w:rsidR="007446E1" w:rsidRDefault="007446E1" w:rsidP="007446E1">
            <w:pPr>
              <w:pStyle w:val="BoxListBullet"/>
            </w:pPr>
            <w:r>
              <w:t>Undertake national administrative functions, including:</w:t>
            </w:r>
          </w:p>
          <w:p w:rsidR="007446E1" w:rsidRDefault="007446E1" w:rsidP="007446E1">
            <w:pPr>
              <w:pStyle w:val="BoxListBullet2"/>
            </w:pPr>
            <w:r>
              <w:t>maintaining and publishing the national registers of approved providers and services and certified supervisors</w:t>
            </w:r>
          </w:p>
          <w:p w:rsidR="007446E1" w:rsidRDefault="007446E1" w:rsidP="007446E1">
            <w:pPr>
              <w:pStyle w:val="BoxListBullet2"/>
            </w:pPr>
            <w:r>
              <w:t>collecting and publishing national data on the assessment, rating and regulation of ECEC services and the implementation of the NQF</w:t>
            </w:r>
          </w:p>
          <w:p w:rsidR="007446E1" w:rsidRDefault="007446E1" w:rsidP="007446E1">
            <w:pPr>
              <w:pStyle w:val="BoxListBullet2"/>
            </w:pPr>
            <w:proofErr w:type="gramStart"/>
            <w:r>
              <w:t>maintaining</w:t>
            </w:r>
            <w:proofErr w:type="gramEnd"/>
            <w:r>
              <w:t xml:space="preserve"> the National IT System for the NQF and facilitating IT training for jurisdictions.</w:t>
            </w:r>
          </w:p>
          <w:p w:rsidR="007446E1" w:rsidRDefault="007446E1" w:rsidP="007446E1">
            <w:pPr>
              <w:pStyle w:val="BoxListBullet"/>
            </w:pPr>
            <w:r>
              <w:t>Publish guides, practice notes and resources to assist parents and the sector in understanding the NQF and the National Law.</w:t>
            </w:r>
          </w:p>
        </w:tc>
      </w:tr>
      <w:tr w:rsidR="007446E1" w:rsidTr="00DA30AC">
        <w:trPr>
          <w:cantSplit/>
        </w:trPr>
        <w:tc>
          <w:tcPr>
            <w:tcW w:w="8771" w:type="dxa"/>
            <w:tcBorders>
              <w:top w:val="nil"/>
              <w:left w:val="nil"/>
              <w:bottom w:val="nil"/>
              <w:right w:val="nil"/>
            </w:tcBorders>
            <w:shd w:val="clear" w:color="auto" w:fill="F2F2F2" w:themeFill="background1" w:themeFillShade="F2"/>
          </w:tcPr>
          <w:p w:rsidR="007446E1" w:rsidRDefault="007446E1" w:rsidP="00DA30AC">
            <w:pPr>
              <w:pStyle w:val="BoxSource"/>
            </w:pPr>
            <w:r>
              <w:rPr>
                <w:i/>
              </w:rPr>
              <w:t>Source</w:t>
            </w:r>
            <w:r w:rsidRPr="00167F06">
              <w:t xml:space="preserve">: </w:t>
            </w:r>
            <w:r>
              <w:t xml:space="preserve">ACECQA </w:t>
            </w:r>
            <w:r w:rsidRPr="001851A6">
              <w:rPr>
                <w:rFonts w:cs="Arial"/>
              </w:rPr>
              <w:t>(2013a)</w:t>
            </w:r>
            <w:r>
              <w:t>.</w:t>
            </w:r>
          </w:p>
        </w:tc>
      </w:tr>
      <w:tr w:rsidR="007446E1" w:rsidTr="00DA30AC">
        <w:trPr>
          <w:cantSplit/>
        </w:trPr>
        <w:tc>
          <w:tcPr>
            <w:tcW w:w="8771" w:type="dxa"/>
            <w:tcBorders>
              <w:top w:val="nil"/>
              <w:left w:val="nil"/>
              <w:bottom w:val="single" w:sz="6" w:space="0" w:color="78A22F"/>
              <w:right w:val="nil"/>
            </w:tcBorders>
            <w:shd w:val="clear" w:color="auto" w:fill="F2F2F2" w:themeFill="background1" w:themeFillShade="F2"/>
          </w:tcPr>
          <w:p w:rsidR="007446E1" w:rsidRDefault="007446E1">
            <w:pPr>
              <w:pStyle w:val="Box"/>
              <w:spacing w:before="0" w:line="120" w:lineRule="exact"/>
            </w:pPr>
          </w:p>
        </w:tc>
      </w:tr>
      <w:tr w:rsidR="007446E1" w:rsidRPr="000863A5" w:rsidTr="00DA30AC">
        <w:tc>
          <w:tcPr>
            <w:tcW w:w="8771" w:type="dxa"/>
            <w:tcBorders>
              <w:top w:val="single" w:sz="6" w:space="0" w:color="78A22F"/>
              <w:left w:val="nil"/>
              <w:bottom w:val="nil"/>
              <w:right w:val="nil"/>
            </w:tcBorders>
          </w:tcPr>
          <w:p w:rsidR="007446E1" w:rsidRPr="00626D32" w:rsidRDefault="007446E1" w:rsidP="00DA30AC">
            <w:pPr>
              <w:pStyle w:val="BoxSpaceBelow"/>
            </w:pPr>
          </w:p>
        </w:tc>
      </w:tr>
    </w:tbl>
    <w:p w:rsidR="00B762B1" w:rsidRDefault="00B762B1" w:rsidP="00B762B1">
      <w:pPr>
        <w:pStyle w:val="Heading3"/>
      </w:pPr>
      <w:r>
        <w:t xml:space="preserve">State </w:t>
      </w:r>
      <w:r w:rsidR="00BA6591">
        <w:t xml:space="preserve">and territory </w:t>
      </w:r>
      <w:r w:rsidR="00272138">
        <w:t>R</w:t>
      </w:r>
      <w:r w:rsidR="00BA6591">
        <w:t xml:space="preserve">egulatory </w:t>
      </w:r>
      <w:r w:rsidR="00272138">
        <w:t>A</w:t>
      </w:r>
      <w:r>
        <w:t>uthorities</w:t>
      </w:r>
    </w:p>
    <w:p w:rsidR="00165B0A" w:rsidRDefault="00FF00C5" w:rsidP="00165B0A">
      <w:pPr>
        <w:pStyle w:val="BodyText"/>
      </w:pPr>
      <w:r>
        <w:t>S</w:t>
      </w:r>
      <w:r w:rsidR="003B630D">
        <w:t xml:space="preserve">tate and territory </w:t>
      </w:r>
      <w:r w:rsidR="00272138">
        <w:t>R</w:t>
      </w:r>
      <w:r w:rsidR="003B630D">
        <w:t xml:space="preserve">egulatory </w:t>
      </w:r>
      <w:r w:rsidR="00272138">
        <w:t>A</w:t>
      </w:r>
      <w:r w:rsidR="00EA33ED">
        <w:t xml:space="preserve">uthorities (box </w:t>
      </w:r>
      <w:r w:rsidR="00C03891">
        <w:t>F</w:t>
      </w:r>
      <w:r w:rsidR="001509E0">
        <w:t>.</w:t>
      </w:r>
      <w:r w:rsidR="00090A2F">
        <w:t>3</w:t>
      </w:r>
      <w:r w:rsidR="00EA33ED">
        <w:t>)</w:t>
      </w:r>
      <w:r w:rsidR="003B630D">
        <w:t xml:space="preserve"> administer the NQF</w:t>
      </w:r>
      <w:r w:rsidR="00D73209">
        <w:t xml:space="preserve"> in each </w:t>
      </w:r>
      <w:r w:rsidR="00A75010">
        <w:t>jurisdiction</w:t>
      </w:r>
      <w:r w:rsidR="003B630D">
        <w:t xml:space="preserve">. Almost all service interactions — including approvals, assessments, queries </w:t>
      </w:r>
      <w:r w:rsidR="0007461D">
        <w:t>and</w:t>
      </w:r>
      <w:r w:rsidR="003B630D">
        <w:t xml:space="preserve"> complaints — should be with their jurisdiction</w:t>
      </w:r>
      <w:r w:rsidR="00D50C08">
        <w:noBreakHyphen/>
      </w:r>
      <w:r w:rsidR="003B630D">
        <w:t xml:space="preserve">based </w:t>
      </w:r>
      <w:r w:rsidR="00272138">
        <w:t>R</w:t>
      </w:r>
      <w:r w:rsidR="003B630D">
        <w:t xml:space="preserve">egulatory </w:t>
      </w:r>
      <w:r w:rsidR="00272138">
        <w:t>A</w:t>
      </w:r>
      <w:r w:rsidR="003B630D">
        <w:t>uthority</w:t>
      </w:r>
      <w:r w:rsidR="00505B99">
        <w:t xml:space="preserve">. Regulatory </w:t>
      </w:r>
      <w:r w:rsidR="00272138">
        <w:t>A</w:t>
      </w:r>
      <w:r w:rsidR="00505B99">
        <w:t>uthorities are responsible for:</w:t>
      </w:r>
    </w:p>
    <w:p w:rsidR="00505B99" w:rsidRDefault="009F4CC1" w:rsidP="00505B99">
      <w:pPr>
        <w:pStyle w:val="ListBullet"/>
      </w:pPr>
      <w:r>
        <w:t>granting all approvals</w:t>
      </w:r>
      <w:r w:rsidR="00533714">
        <w:t>, in</w:t>
      </w:r>
      <w:r w:rsidR="009A289F">
        <w:t>cluding for providers, services and certified supervisors</w:t>
      </w:r>
    </w:p>
    <w:p w:rsidR="009F4CC1" w:rsidRDefault="009F4CC1" w:rsidP="00505B99">
      <w:pPr>
        <w:pStyle w:val="ListBullet"/>
      </w:pPr>
      <w:r>
        <w:t>assessing and rating services</w:t>
      </w:r>
    </w:p>
    <w:p w:rsidR="009F4CC1" w:rsidRDefault="009F4CC1" w:rsidP="009F4CC1">
      <w:pPr>
        <w:pStyle w:val="ListBullet"/>
      </w:pPr>
      <w:r>
        <w:t>moni</w:t>
      </w:r>
      <w:r w:rsidR="00AC7C64">
        <w:t>toring and enforcing compliance</w:t>
      </w:r>
    </w:p>
    <w:p w:rsidR="009A289F" w:rsidRDefault="009A289F" w:rsidP="009A289F">
      <w:pPr>
        <w:pStyle w:val="ListBullet"/>
      </w:pPr>
      <w:r>
        <w:t>granting waivers</w:t>
      </w:r>
    </w:p>
    <w:p w:rsidR="009A289F" w:rsidRDefault="00BD4108" w:rsidP="009A289F">
      <w:pPr>
        <w:pStyle w:val="ListBullet"/>
      </w:pPr>
      <w:proofErr w:type="gramStart"/>
      <w:r>
        <w:t>conducting</w:t>
      </w:r>
      <w:proofErr w:type="gramEnd"/>
      <w:r>
        <w:t xml:space="preserve"> </w:t>
      </w:r>
      <w:r w:rsidR="00005FF3">
        <w:t>‘</w:t>
      </w:r>
      <w:r w:rsidR="003F7945">
        <w:t>first tier</w:t>
      </w:r>
      <w:r w:rsidR="00005FF3">
        <w:t>’</w:t>
      </w:r>
      <w:r w:rsidR="003F7945">
        <w:t xml:space="preserve"> reviews</w:t>
      </w:r>
      <w:r w:rsidR="003C6F41">
        <w:t>.</w:t>
      </w:r>
    </w:p>
    <w:p w:rsidR="00D21DC4" w:rsidRDefault="00D21DC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21DC4" w:rsidTr="00DA30AC">
        <w:tc>
          <w:tcPr>
            <w:tcW w:w="8771" w:type="dxa"/>
            <w:tcBorders>
              <w:top w:val="single" w:sz="6" w:space="0" w:color="78A22F"/>
              <w:left w:val="nil"/>
              <w:bottom w:val="nil"/>
              <w:right w:val="nil"/>
            </w:tcBorders>
            <w:shd w:val="clear" w:color="auto" w:fill="F2F2F2" w:themeFill="background1" w:themeFillShade="F2"/>
          </w:tcPr>
          <w:p w:rsidR="00D21DC4" w:rsidRDefault="00D21DC4" w:rsidP="00272138">
            <w:pPr>
              <w:pStyle w:val="BoxTitle"/>
            </w:pPr>
            <w:r>
              <w:rPr>
                <w:b w:val="0"/>
              </w:rPr>
              <w:t xml:space="preserve">Box </w:t>
            </w:r>
            <w:r w:rsidR="00846333">
              <w:rPr>
                <w:b w:val="0"/>
              </w:rPr>
              <w:t>F.</w:t>
            </w:r>
            <w:r w:rsidR="00846333">
              <w:rPr>
                <w:b w:val="0"/>
                <w:noProof/>
              </w:rPr>
              <w:t>3</w:t>
            </w:r>
            <w:r>
              <w:tab/>
              <w:t xml:space="preserve">Regulatory </w:t>
            </w:r>
            <w:r w:rsidR="00272138">
              <w:t>A</w:t>
            </w:r>
            <w:r>
              <w:t>uthorities in each jurisdiction</w:t>
            </w:r>
          </w:p>
        </w:tc>
      </w:tr>
      <w:tr w:rsidR="00D21DC4" w:rsidTr="00DA30AC">
        <w:trPr>
          <w:cantSplit/>
        </w:trPr>
        <w:tc>
          <w:tcPr>
            <w:tcW w:w="8771" w:type="dxa"/>
            <w:tcBorders>
              <w:top w:val="nil"/>
              <w:left w:val="nil"/>
              <w:bottom w:val="nil"/>
              <w:right w:val="nil"/>
            </w:tcBorders>
            <w:shd w:val="clear" w:color="auto" w:fill="F2F2F2" w:themeFill="background1" w:themeFillShade="F2"/>
          </w:tcPr>
          <w:p w:rsidR="00D21DC4" w:rsidRDefault="00D21DC4" w:rsidP="00D21DC4">
            <w:pPr>
              <w:pStyle w:val="BoxListBullet"/>
            </w:pPr>
            <w:r>
              <w:rPr>
                <w:b/>
              </w:rPr>
              <w:t>Australian Capital Territory</w:t>
            </w:r>
            <w:r>
              <w:t>: Children’s Policy and Regulation Unit</w:t>
            </w:r>
            <w:r w:rsidR="006133C3">
              <w:t>,</w:t>
            </w:r>
            <w:r>
              <w:t xml:space="preserve"> Education and Training Directorate</w:t>
            </w:r>
          </w:p>
          <w:p w:rsidR="00D21DC4" w:rsidRDefault="00D21DC4" w:rsidP="00D21DC4">
            <w:pPr>
              <w:pStyle w:val="BoxListBullet"/>
            </w:pPr>
            <w:r>
              <w:rPr>
                <w:b/>
              </w:rPr>
              <w:t>New South Wales</w:t>
            </w:r>
            <w:r>
              <w:t>: Early Childhood Education and Care Directorate</w:t>
            </w:r>
            <w:r w:rsidR="006133C3">
              <w:t>,</w:t>
            </w:r>
            <w:r>
              <w:t xml:space="preserve"> Department of Education and Communities</w:t>
            </w:r>
          </w:p>
          <w:p w:rsidR="00D21DC4" w:rsidRDefault="00D21DC4" w:rsidP="00D21DC4">
            <w:pPr>
              <w:pStyle w:val="BoxListBullet"/>
            </w:pPr>
            <w:r>
              <w:rPr>
                <w:b/>
              </w:rPr>
              <w:t>Northern Territory</w:t>
            </w:r>
            <w:r>
              <w:t>: Quality Education and Care NT</w:t>
            </w:r>
            <w:r w:rsidR="006133C3">
              <w:t>,</w:t>
            </w:r>
            <w:r>
              <w:t xml:space="preserve"> Department of Education</w:t>
            </w:r>
          </w:p>
          <w:p w:rsidR="00D21DC4" w:rsidRDefault="00D21DC4" w:rsidP="00D21DC4">
            <w:pPr>
              <w:pStyle w:val="BoxListBullet"/>
            </w:pPr>
            <w:r>
              <w:rPr>
                <w:b/>
              </w:rPr>
              <w:t>Queensland</w:t>
            </w:r>
            <w:r>
              <w:t>: Office for Early Childhood Education and Care</w:t>
            </w:r>
            <w:r w:rsidR="006133C3">
              <w:t>,</w:t>
            </w:r>
            <w:r>
              <w:t xml:space="preserve"> Department of Education, Training and Employment</w:t>
            </w:r>
          </w:p>
          <w:p w:rsidR="00D21DC4" w:rsidRDefault="00D21DC4" w:rsidP="00D21DC4">
            <w:pPr>
              <w:pStyle w:val="BoxListBullet"/>
            </w:pPr>
            <w:r>
              <w:rPr>
                <w:b/>
              </w:rPr>
              <w:t>South Australia</w:t>
            </w:r>
            <w:r>
              <w:t>: Education and Early Childhood Services Registration and Standards Board of South Australia</w:t>
            </w:r>
          </w:p>
          <w:p w:rsidR="00D21DC4" w:rsidRDefault="00D21DC4" w:rsidP="00D21DC4">
            <w:pPr>
              <w:pStyle w:val="BoxListBullet"/>
            </w:pPr>
            <w:r>
              <w:rPr>
                <w:b/>
              </w:rPr>
              <w:t>Tasmania</w:t>
            </w:r>
            <w:r>
              <w:t>: Education and Care Unit</w:t>
            </w:r>
            <w:r w:rsidR="006133C3">
              <w:t>,</w:t>
            </w:r>
            <w:r>
              <w:t xml:space="preserve"> Department of Education</w:t>
            </w:r>
          </w:p>
          <w:p w:rsidR="00D21DC4" w:rsidRDefault="00D21DC4" w:rsidP="00D21DC4">
            <w:pPr>
              <w:pStyle w:val="BoxListBullet"/>
            </w:pPr>
            <w:r>
              <w:rPr>
                <w:b/>
              </w:rPr>
              <w:t>Victoria</w:t>
            </w:r>
            <w:r>
              <w:t>: Department of Education and Early Childhood Development</w:t>
            </w:r>
          </w:p>
          <w:p w:rsidR="00D21DC4" w:rsidRDefault="00D21DC4" w:rsidP="006133C3">
            <w:pPr>
              <w:pStyle w:val="BoxListBullet"/>
            </w:pPr>
            <w:r>
              <w:rPr>
                <w:b/>
              </w:rPr>
              <w:t>Western Australia</w:t>
            </w:r>
            <w:r>
              <w:t>: Education and Care Regulatory Unit</w:t>
            </w:r>
            <w:r w:rsidR="006133C3">
              <w:t>,</w:t>
            </w:r>
            <w:r>
              <w:t xml:space="preserve"> Department of Local Government and Communities</w:t>
            </w:r>
          </w:p>
        </w:tc>
      </w:tr>
      <w:tr w:rsidR="00D21DC4" w:rsidTr="00DA30AC">
        <w:trPr>
          <w:cantSplit/>
        </w:trPr>
        <w:tc>
          <w:tcPr>
            <w:tcW w:w="8771" w:type="dxa"/>
            <w:tcBorders>
              <w:top w:val="nil"/>
              <w:left w:val="nil"/>
              <w:bottom w:val="single" w:sz="6" w:space="0" w:color="78A22F"/>
              <w:right w:val="nil"/>
            </w:tcBorders>
            <w:shd w:val="clear" w:color="auto" w:fill="F2F2F2" w:themeFill="background1" w:themeFillShade="F2"/>
          </w:tcPr>
          <w:p w:rsidR="00D21DC4" w:rsidRDefault="00D21DC4">
            <w:pPr>
              <w:pStyle w:val="Box"/>
              <w:spacing w:before="0" w:line="120" w:lineRule="exact"/>
            </w:pPr>
          </w:p>
        </w:tc>
      </w:tr>
      <w:tr w:rsidR="00D21DC4" w:rsidRPr="000863A5" w:rsidTr="00DA30AC">
        <w:tc>
          <w:tcPr>
            <w:tcW w:w="8771" w:type="dxa"/>
            <w:tcBorders>
              <w:top w:val="single" w:sz="6" w:space="0" w:color="78A22F"/>
              <w:left w:val="nil"/>
              <w:bottom w:val="nil"/>
              <w:right w:val="nil"/>
            </w:tcBorders>
          </w:tcPr>
          <w:p w:rsidR="00D21DC4" w:rsidRPr="00626D32" w:rsidRDefault="00D21DC4" w:rsidP="00DA30AC">
            <w:pPr>
              <w:pStyle w:val="BoxSpaceBelow"/>
            </w:pPr>
          </w:p>
        </w:tc>
      </w:tr>
    </w:tbl>
    <w:p w:rsidR="00E54EE6" w:rsidRDefault="00846333" w:rsidP="00CD6FAC">
      <w:pPr>
        <w:pStyle w:val="Heading2"/>
      </w:pPr>
      <w:r>
        <w:t>F.</w:t>
      </w:r>
      <w:r>
        <w:rPr>
          <w:noProof/>
        </w:rPr>
        <w:t>3</w:t>
      </w:r>
      <w:r w:rsidR="00165B0A">
        <w:tab/>
        <w:t>Licensing</w:t>
      </w:r>
      <w:r w:rsidR="00126F90">
        <w:t>, the NQS</w:t>
      </w:r>
      <w:r w:rsidR="00165B0A">
        <w:t xml:space="preserve"> and assessments</w:t>
      </w:r>
    </w:p>
    <w:p w:rsidR="00D8510D" w:rsidRDefault="00D8510D" w:rsidP="00E54EE6">
      <w:pPr>
        <w:pStyle w:val="BodyText"/>
      </w:pPr>
      <w:r>
        <w:t xml:space="preserve">The </w:t>
      </w:r>
      <w:r w:rsidR="00E54EE6">
        <w:t>NQF created a national system</w:t>
      </w:r>
      <w:r w:rsidR="00BA281D">
        <w:t xml:space="preserve"> for ECEC</w:t>
      </w:r>
      <w:r w:rsidR="00E54EE6">
        <w:t xml:space="preserve"> to replace </w:t>
      </w:r>
      <w:r>
        <w:t xml:space="preserve">previously </w:t>
      </w:r>
      <w:r w:rsidR="009F7BA2">
        <w:t>independent</w:t>
      </w:r>
      <w:r>
        <w:t xml:space="preserve"> </w:t>
      </w:r>
      <w:r w:rsidR="00BA281D">
        <w:t>licensing and quality assurance</w:t>
      </w:r>
      <w:r w:rsidR="00564325">
        <w:t xml:space="preserve"> </w:t>
      </w:r>
      <w:r w:rsidR="00E8717E">
        <w:t xml:space="preserve">processes </w:t>
      </w:r>
      <w:r w:rsidR="00E54EE6">
        <w:t>in each jurisdiction.</w:t>
      </w:r>
      <w:r w:rsidR="00AD6D56">
        <w:t xml:space="preserve"> This </w:t>
      </w:r>
      <w:r w:rsidR="00DA30AC">
        <w:t>national</w:t>
      </w:r>
      <w:r w:rsidR="00AD6D56">
        <w:t xml:space="preserve"> system means providers and staff should have the same experiences in each jurisdiction and services undergo an identical assessment process.</w:t>
      </w:r>
    </w:p>
    <w:p w:rsidR="00165B0A" w:rsidRDefault="00165B0A" w:rsidP="00165B0A">
      <w:pPr>
        <w:pStyle w:val="Heading3"/>
      </w:pPr>
      <w:r>
        <w:t>Licensing</w:t>
      </w:r>
    </w:p>
    <w:p w:rsidR="00165B0A" w:rsidRDefault="005102A0" w:rsidP="00165B0A">
      <w:pPr>
        <w:pStyle w:val="BodyText"/>
      </w:pPr>
      <w:r>
        <w:t xml:space="preserve">The NQF </w:t>
      </w:r>
      <w:r w:rsidR="008C0C37">
        <w:t>includes</w:t>
      </w:r>
      <w:r>
        <w:t xml:space="preserve"> three interrelated types of (nationally recognised and ongoing) approvals for providers, services and their staff:</w:t>
      </w:r>
    </w:p>
    <w:p w:rsidR="005102A0" w:rsidRDefault="005102A0" w:rsidP="005102A0">
      <w:pPr>
        <w:pStyle w:val="ListBullet"/>
      </w:pPr>
      <w:r>
        <w:t xml:space="preserve">Provider approval: enables providers to apply for one or more service </w:t>
      </w:r>
      <w:r w:rsidR="002150FD">
        <w:t>approvals</w:t>
      </w:r>
    </w:p>
    <w:p w:rsidR="005102A0" w:rsidRDefault="0050197F" w:rsidP="005102A0">
      <w:pPr>
        <w:pStyle w:val="ListBullet"/>
      </w:pPr>
      <w:r>
        <w:t>Service approval: authorises an</w:t>
      </w:r>
      <w:r w:rsidR="005102A0">
        <w:t xml:space="preserve"> </w:t>
      </w:r>
      <w:r w:rsidR="009C7E6B">
        <w:t>Approved Provider to operate an</w:t>
      </w:r>
      <w:r w:rsidR="005102A0">
        <w:t xml:space="preserve"> Approved Service, each of which must have a Nominated Supervisor</w:t>
      </w:r>
    </w:p>
    <w:p w:rsidR="003E4AAA" w:rsidRDefault="003E4AAA" w:rsidP="003E4AAA">
      <w:pPr>
        <w:pStyle w:val="ListBullet2"/>
      </w:pPr>
      <w:r>
        <w:t>There are two types of service approvals: one for centre</w:t>
      </w:r>
      <w:r>
        <w:noBreakHyphen/>
        <w:t>based services (long day care, preschool/kindergarten and outside school hours care) and one for family day care services</w:t>
      </w:r>
    </w:p>
    <w:p w:rsidR="00836EE8" w:rsidRDefault="00836EE8" w:rsidP="00836EE8">
      <w:pPr>
        <w:pStyle w:val="ListBullet"/>
      </w:pPr>
      <w:r>
        <w:t>Supervisor approval: allows a person to be appointed as the Nominated Supervisor for an Approved Service, or to be temporarily place</w:t>
      </w:r>
      <w:r w:rsidR="002150FD">
        <w:t>d</w:t>
      </w:r>
      <w:r>
        <w:t xml:space="preserve"> in charge of an Approved Service when the usual Nominated Supervisor is absent.</w:t>
      </w:r>
    </w:p>
    <w:p w:rsidR="00B909D6" w:rsidRDefault="00B909D6">
      <w:pPr>
        <w:rPr>
          <w:szCs w:val="20"/>
        </w:rPr>
      </w:pPr>
      <w:r>
        <w:br w:type="page"/>
      </w:r>
    </w:p>
    <w:p w:rsidR="00862763" w:rsidRDefault="00213E16" w:rsidP="00371A6B">
      <w:pPr>
        <w:pStyle w:val="BodyText"/>
      </w:pPr>
      <w:r>
        <w:lastRenderedPageBreak/>
        <w:t xml:space="preserve">State and territory </w:t>
      </w:r>
      <w:r w:rsidR="00272138">
        <w:t>R</w:t>
      </w:r>
      <w:r>
        <w:t xml:space="preserve">egulatory </w:t>
      </w:r>
      <w:r w:rsidR="00272138">
        <w:t>A</w:t>
      </w:r>
      <w:r w:rsidR="00A1253E">
        <w:t xml:space="preserve">uthorities are responsible for granting all three types of approvals. </w:t>
      </w:r>
      <w:r w:rsidR="00373621">
        <w:t>Providers and services</w:t>
      </w:r>
      <w:r w:rsidR="00A1253E">
        <w:t xml:space="preserve"> with existing approvals before the implementation of the NQF</w:t>
      </w:r>
      <w:r w:rsidR="00FA65A2">
        <w:t xml:space="preserve"> </w:t>
      </w:r>
      <w:r w:rsidR="00A1253E">
        <w:t xml:space="preserve">were transitioned to the new approvals system by their Regulatory </w:t>
      </w:r>
      <w:r w:rsidR="00FA65A2">
        <w:t>Authority</w:t>
      </w:r>
      <w:r w:rsidR="00E97DE7">
        <w:t xml:space="preserve"> without reapplication</w:t>
      </w:r>
      <w:r w:rsidR="00A1253E">
        <w:t>.</w:t>
      </w:r>
      <w:r w:rsidR="00FA65A2">
        <w:t xml:space="preserve"> </w:t>
      </w:r>
    </w:p>
    <w:p w:rsidR="00165B0A" w:rsidRDefault="00A30737" w:rsidP="00165B0A">
      <w:pPr>
        <w:pStyle w:val="Heading3"/>
      </w:pPr>
      <w:r>
        <w:t xml:space="preserve">The </w:t>
      </w:r>
      <w:r w:rsidR="00487B78">
        <w:t>National Quality Standard</w:t>
      </w:r>
    </w:p>
    <w:p w:rsidR="00C81941" w:rsidRDefault="00487B78" w:rsidP="00FF7306">
      <w:pPr>
        <w:pStyle w:val="BodyText"/>
      </w:pPr>
      <w:r>
        <w:t xml:space="preserve">The </w:t>
      </w:r>
      <w:r w:rsidR="00191605">
        <w:t xml:space="preserve">NQS </w:t>
      </w:r>
      <w:r w:rsidR="00F737BC">
        <w:t>create</w:t>
      </w:r>
      <w:r w:rsidR="00DA30AC">
        <w:t>d</w:t>
      </w:r>
      <w:r w:rsidR="00191605">
        <w:t xml:space="preserve"> a uniform approach to assessment and </w:t>
      </w:r>
      <w:r w:rsidR="00DA0D51">
        <w:t>ratings</w:t>
      </w:r>
      <w:r>
        <w:t xml:space="preserve"> for ECEC services</w:t>
      </w:r>
      <w:r w:rsidR="008246A9">
        <w:t xml:space="preserve"> and</w:t>
      </w:r>
      <w:r w:rsidR="00DB287C">
        <w:t xml:space="preserve"> rates services across seven</w:t>
      </w:r>
      <w:r w:rsidR="00CF6ABC">
        <w:t xml:space="preserve"> ‘quality areas’</w:t>
      </w:r>
      <w:r w:rsidR="00ED0A8A">
        <w:t xml:space="preserve"> (box </w:t>
      </w:r>
      <w:r w:rsidR="00C03891">
        <w:t>F</w:t>
      </w:r>
      <w:r w:rsidR="001509E0">
        <w:t>.</w:t>
      </w:r>
      <w:r w:rsidR="00ED0A8A">
        <w:t>4).</w:t>
      </w:r>
      <w:r w:rsidR="00D50C08">
        <w:t xml:space="preserve"> </w:t>
      </w:r>
      <w:r w:rsidR="00BC119A">
        <w:t xml:space="preserve">These quality areas are </w:t>
      </w:r>
      <w:r w:rsidR="00582BA3">
        <w:t>divided</w:t>
      </w:r>
      <w:r w:rsidR="00CF6ABC">
        <w:t xml:space="preserve"> into 18</w:t>
      </w:r>
      <w:r w:rsidR="00DA30AC">
        <w:t> </w:t>
      </w:r>
      <w:r w:rsidR="00CF6ABC">
        <w:t>‘standards’ containing ‘58 elements’</w:t>
      </w:r>
      <w:r w:rsidR="00940B64">
        <w:t>, for example:</w:t>
      </w:r>
    </w:p>
    <w:p w:rsidR="00940B64" w:rsidRDefault="00AF25B5" w:rsidP="000E5FEF">
      <w:pPr>
        <w:pStyle w:val="ListBullet"/>
      </w:pPr>
      <w:r>
        <w:t xml:space="preserve">Standard 2.2 — </w:t>
      </w:r>
      <w:r w:rsidR="00314147">
        <w:t>Healthy eating and physical activity are embedded in the program for children —</w:t>
      </w:r>
      <w:r w:rsidR="004249C4">
        <w:t xml:space="preserve"> is one of three standards in quality area 2 and</w:t>
      </w:r>
      <w:r w:rsidR="00314147">
        <w:t xml:space="preserve"> contains two elem</w:t>
      </w:r>
      <w:r w:rsidR="00CB04B6">
        <w:t>ents</w:t>
      </w:r>
      <w:r w:rsidR="003E7157">
        <w:t>:</w:t>
      </w:r>
    </w:p>
    <w:p w:rsidR="00CB04B6" w:rsidRDefault="00CB04B6" w:rsidP="00CB04B6">
      <w:pPr>
        <w:pStyle w:val="ListBullet2"/>
      </w:pPr>
      <w:r>
        <w:t>Element 2.2.1 — Healthy eating is promoted and food and drinks provided by the service are nutritious and appropriate for each child.</w:t>
      </w:r>
    </w:p>
    <w:p w:rsidR="00CB04B6" w:rsidRDefault="00CB04B6" w:rsidP="00CB04B6">
      <w:pPr>
        <w:pStyle w:val="ListBullet2"/>
      </w:pPr>
      <w:r>
        <w:t>Element 2.2.2 — Physical activity is promoted through planned and spontaneous experiences and is appropriate for each child.</w:t>
      </w:r>
    </w:p>
    <w:p w:rsidR="00AA2A81" w:rsidRDefault="00AA2A81" w:rsidP="00AA2A81">
      <w:pPr>
        <w:pStyle w:val="BodyText"/>
      </w:pPr>
      <w:r>
        <w:t xml:space="preserve">Each quality area contains two or three standards and each standard is made up of </w:t>
      </w:r>
      <w:r w:rsidR="00D93A34">
        <w:t>between one and six elements.</w:t>
      </w:r>
    </w:p>
    <w:p w:rsidR="008E381D" w:rsidRDefault="0056644E" w:rsidP="00DB76E9">
      <w:pPr>
        <w:pStyle w:val="BodyText"/>
      </w:pPr>
      <w:r>
        <w:t>Several k</w:t>
      </w:r>
      <w:r w:rsidR="002222D1">
        <w:t>ey aspects of the NQS</w:t>
      </w:r>
      <w:r w:rsidR="00314D9B">
        <w:t xml:space="preserve"> — Quality Improvement Plans, educator</w:t>
      </w:r>
      <w:r w:rsidR="00314D9B">
        <w:noBreakHyphen/>
        <w:t>to</w:t>
      </w:r>
      <w:r w:rsidR="00314D9B">
        <w:noBreakHyphen/>
        <w:t>child ratios and staff qualification requirements —</w:t>
      </w:r>
      <w:r w:rsidR="002222D1">
        <w:t xml:space="preserve"> are discussed in further detail below.</w:t>
      </w:r>
    </w:p>
    <w:p w:rsidR="009C1BA0" w:rsidRDefault="009C1BA0" w:rsidP="009C1BA0">
      <w:pPr>
        <w:pStyle w:val="Heading4"/>
      </w:pPr>
      <w:r>
        <w:t>Quality Improvement Plans</w:t>
      </w:r>
    </w:p>
    <w:p w:rsidR="009C1BA0" w:rsidRDefault="009C1BA0" w:rsidP="009C1BA0">
      <w:pPr>
        <w:pStyle w:val="BodyText"/>
      </w:pPr>
      <w:r>
        <w:t>The National Regulations require every approved service to develop a Quality Improvement Plan (QIP). Developing a QIP is a core requirement of the NQF that requires each service to evaluate their current practices and conduct a self</w:t>
      </w:r>
      <w:r>
        <w:noBreakHyphen/>
        <w:t>assessment against the NQS, but is not a specific element within the NQS. A QIP must:</w:t>
      </w:r>
    </w:p>
    <w:p w:rsidR="009C1BA0" w:rsidRDefault="009C1BA0" w:rsidP="009C1BA0">
      <w:pPr>
        <w:pStyle w:val="ListBullet"/>
      </w:pPr>
      <w:r>
        <w:t>assess current practices against the National Regulations and the NQS</w:t>
      </w:r>
    </w:p>
    <w:p w:rsidR="009C1BA0" w:rsidRDefault="009C1BA0" w:rsidP="009C1BA0">
      <w:pPr>
        <w:pStyle w:val="ListBullet"/>
      </w:pPr>
      <w:r>
        <w:t>identify areas for improvement</w:t>
      </w:r>
    </w:p>
    <w:p w:rsidR="009C1BA0" w:rsidRDefault="009C1BA0" w:rsidP="009C1BA0">
      <w:pPr>
        <w:pStyle w:val="ListBullet"/>
      </w:pPr>
      <w:r>
        <w:t>formulate strategies to address areas identified as needing improvement</w:t>
      </w:r>
    </w:p>
    <w:p w:rsidR="009C1BA0" w:rsidRDefault="009C1BA0" w:rsidP="009C1BA0">
      <w:pPr>
        <w:pStyle w:val="ListBullet"/>
      </w:pPr>
      <w:proofErr w:type="gramStart"/>
      <w:r>
        <w:t>contain</w:t>
      </w:r>
      <w:proofErr w:type="gramEnd"/>
      <w:r>
        <w:t xml:space="preserve"> a statement about the philosophy of the service.</w:t>
      </w:r>
    </w:p>
    <w:p w:rsidR="009C1BA0" w:rsidRDefault="009C1BA0" w:rsidP="009C1BA0">
      <w:pPr>
        <w:pStyle w:val="BodyText"/>
      </w:pPr>
      <w:r>
        <w:t>Services must submit a QIP to their</w:t>
      </w:r>
      <w:r w:rsidR="00391B7B">
        <w:t xml:space="preserve"> state or territory’s</w:t>
      </w:r>
      <w:r>
        <w:t xml:space="preserve"> </w:t>
      </w:r>
      <w:r w:rsidR="00391B7B">
        <w:t>R</w:t>
      </w:r>
      <w:r>
        <w:t>egulatory Authority each time they are assessed. The QIP must be revised at least annually and be available to families and the Regulatory Authority at all times.</w:t>
      </w:r>
    </w:p>
    <w:p w:rsidR="009C1BA0" w:rsidRDefault="009C1BA0" w:rsidP="00DB76E9">
      <w:pPr>
        <w:pStyle w:val="BodyText"/>
      </w:pPr>
    </w:p>
    <w:p w:rsidR="00AB0290" w:rsidRDefault="00AB029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B0290" w:rsidTr="00DA30AC">
        <w:tc>
          <w:tcPr>
            <w:tcW w:w="8771" w:type="dxa"/>
            <w:tcBorders>
              <w:top w:val="single" w:sz="6" w:space="0" w:color="78A22F"/>
              <w:left w:val="nil"/>
              <w:bottom w:val="nil"/>
              <w:right w:val="nil"/>
            </w:tcBorders>
            <w:shd w:val="clear" w:color="auto" w:fill="F2F2F2" w:themeFill="background1" w:themeFillShade="F2"/>
          </w:tcPr>
          <w:p w:rsidR="00AB0290" w:rsidRDefault="00AB0290">
            <w:pPr>
              <w:pStyle w:val="BoxTitle"/>
            </w:pPr>
            <w:r>
              <w:rPr>
                <w:b w:val="0"/>
              </w:rPr>
              <w:t xml:space="preserve">Box </w:t>
            </w:r>
            <w:r w:rsidR="00846333">
              <w:rPr>
                <w:b w:val="0"/>
              </w:rPr>
              <w:t>F.</w:t>
            </w:r>
            <w:r w:rsidR="00846333">
              <w:rPr>
                <w:b w:val="0"/>
                <w:noProof/>
              </w:rPr>
              <w:t>4</w:t>
            </w:r>
            <w:r>
              <w:tab/>
              <w:t>The seven quality areas of the N</w:t>
            </w:r>
            <w:r w:rsidR="00DA30AC">
              <w:t xml:space="preserve">ational </w:t>
            </w:r>
            <w:r>
              <w:t>Q</w:t>
            </w:r>
            <w:r w:rsidR="00DA30AC">
              <w:t xml:space="preserve">uality </w:t>
            </w:r>
            <w:r>
              <w:t>S</w:t>
            </w:r>
            <w:r w:rsidR="00DA30AC">
              <w:t>tandard</w:t>
            </w:r>
          </w:p>
        </w:tc>
      </w:tr>
      <w:tr w:rsidR="00AB0290" w:rsidTr="00DA30AC">
        <w:trPr>
          <w:cantSplit/>
        </w:trPr>
        <w:tc>
          <w:tcPr>
            <w:tcW w:w="8771" w:type="dxa"/>
            <w:tcBorders>
              <w:top w:val="nil"/>
              <w:left w:val="nil"/>
              <w:bottom w:val="nil"/>
              <w:right w:val="nil"/>
            </w:tcBorders>
            <w:shd w:val="clear" w:color="auto" w:fill="F2F2F2" w:themeFill="background1" w:themeFillShade="F2"/>
          </w:tcPr>
          <w:p w:rsidR="00AB0290" w:rsidRDefault="00AB0290" w:rsidP="00AB0290">
            <w:pPr>
              <w:pStyle w:val="BoxHeading1"/>
            </w:pPr>
            <w:r>
              <w:t>Quality Area 1: Educational program and practice</w:t>
            </w:r>
          </w:p>
          <w:p w:rsidR="00AB0290" w:rsidRDefault="00AB0290" w:rsidP="00AB0290">
            <w:pPr>
              <w:pStyle w:val="BoxListBullet"/>
            </w:pPr>
            <w:r>
              <w:t>Comprises two standards and nine elements.</w:t>
            </w:r>
          </w:p>
          <w:p w:rsidR="00AB0290" w:rsidRDefault="00AB0290" w:rsidP="00AB0290">
            <w:pPr>
              <w:pStyle w:val="BoxListBullet"/>
            </w:pPr>
            <w:r>
              <w:t>Requires the service to use and document an approved learning framework and develop an educational program.</w:t>
            </w:r>
          </w:p>
          <w:p w:rsidR="00AB0290" w:rsidRDefault="00AB0290" w:rsidP="00AB0290">
            <w:pPr>
              <w:pStyle w:val="BoxHeading1"/>
            </w:pPr>
            <w:r>
              <w:t>Quality Area 2: Children’s health and safety</w:t>
            </w:r>
          </w:p>
          <w:p w:rsidR="00AB0290" w:rsidRDefault="00AB0290" w:rsidP="00AB0290">
            <w:pPr>
              <w:pStyle w:val="BoxListBullet"/>
            </w:pPr>
            <w:r>
              <w:t>Comprises three standards and ten elements.</w:t>
            </w:r>
          </w:p>
          <w:p w:rsidR="00AB0290" w:rsidRDefault="00AB0290" w:rsidP="00AB0290">
            <w:pPr>
              <w:pStyle w:val="BoxListBullet"/>
            </w:pPr>
            <w:r>
              <w:t xml:space="preserve">Relates to policies and procedures regarding hygiene practices, healthy eating, </w:t>
            </w:r>
            <w:proofErr w:type="gramStart"/>
            <w:r>
              <w:t>physical</w:t>
            </w:r>
            <w:proofErr w:type="gramEnd"/>
            <w:r>
              <w:t xml:space="preserve"> activity, preventing harm to children and dealing with injury or illness.</w:t>
            </w:r>
          </w:p>
          <w:p w:rsidR="00AB0290" w:rsidRDefault="00AB0290" w:rsidP="00AB0290">
            <w:pPr>
              <w:pStyle w:val="BoxHeading1"/>
            </w:pPr>
            <w:r>
              <w:t>Quality Area 3: Physical environment</w:t>
            </w:r>
          </w:p>
          <w:p w:rsidR="00AB0290" w:rsidRDefault="00AB0290" w:rsidP="00AB0290">
            <w:pPr>
              <w:pStyle w:val="BoxListBullet"/>
            </w:pPr>
            <w:r>
              <w:t>Comprises three standards and seven elements.</w:t>
            </w:r>
          </w:p>
          <w:p w:rsidR="00AB0290" w:rsidRDefault="00AB0290" w:rsidP="00AB0290">
            <w:pPr>
              <w:pStyle w:val="BoxListBullet"/>
            </w:pPr>
            <w:r>
              <w:t>Requires the design of indoor and outdoor areas to be safe, suitable and provide a diverse range of experiences, and for the service to use sustainable practices.</w:t>
            </w:r>
          </w:p>
          <w:p w:rsidR="00AB0290" w:rsidRDefault="00AB0290" w:rsidP="00AB0290">
            <w:pPr>
              <w:pStyle w:val="BoxHeading1"/>
            </w:pPr>
            <w:r>
              <w:t>Quality Area 4: Staffing arrangements</w:t>
            </w:r>
          </w:p>
          <w:p w:rsidR="00AB0290" w:rsidRDefault="00AB0290" w:rsidP="00AB0290">
            <w:pPr>
              <w:pStyle w:val="BoxListBullet"/>
            </w:pPr>
            <w:r>
              <w:t>Comprises two standards and four elements.</w:t>
            </w:r>
          </w:p>
          <w:p w:rsidR="00AB0290" w:rsidRDefault="00AB0290" w:rsidP="00AB0290">
            <w:pPr>
              <w:pStyle w:val="BoxListBullet"/>
            </w:pPr>
            <w:r>
              <w:t>Relates to educator</w:t>
            </w:r>
            <w:r>
              <w:noBreakHyphen/>
              <w:t>to</w:t>
            </w:r>
            <w:r>
              <w:noBreakHyphen/>
              <w:t>child ratios, staff qualification requirements and professional staff interactions.</w:t>
            </w:r>
          </w:p>
          <w:p w:rsidR="00AB0290" w:rsidRDefault="00AB0290" w:rsidP="00AB0290">
            <w:pPr>
              <w:pStyle w:val="BoxListBullet"/>
            </w:pPr>
            <w:r>
              <w:t>Requirements vary substantially between centre</w:t>
            </w:r>
            <w:r>
              <w:noBreakHyphen/>
              <w:t>based and family day care services.</w:t>
            </w:r>
          </w:p>
          <w:p w:rsidR="00AB0290" w:rsidRDefault="00AB0290" w:rsidP="00AB0290">
            <w:pPr>
              <w:pStyle w:val="BoxHeading1"/>
            </w:pPr>
            <w:r>
              <w:t>Quality Area 5: Relationships with children</w:t>
            </w:r>
          </w:p>
          <w:p w:rsidR="00AB0290" w:rsidRDefault="00AB0290" w:rsidP="00AB0290">
            <w:pPr>
              <w:pStyle w:val="BoxListBullet"/>
            </w:pPr>
            <w:r>
              <w:t>Comprises two standards and six elements.</w:t>
            </w:r>
          </w:p>
          <w:p w:rsidR="00AB0290" w:rsidRDefault="00AB0290" w:rsidP="00AB0290">
            <w:pPr>
              <w:pStyle w:val="BoxListBullet"/>
            </w:pPr>
            <w:r>
              <w:t>Relates to interactions with and support for children.</w:t>
            </w:r>
          </w:p>
          <w:p w:rsidR="00AB0290" w:rsidRDefault="00AB0290" w:rsidP="00AB0290">
            <w:pPr>
              <w:pStyle w:val="BoxHeading1"/>
            </w:pPr>
            <w:r>
              <w:t>Quality Area 6: Collaborative partnerships with families and communities</w:t>
            </w:r>
          </w:p>
          <w:p w:rsidR="00AB0290" w:rsidRDefault="00AB0290" w:rsidP="00AB0290">
            <w:pPr>
              <w:pStyle w:val="BoxListBullet"/>
            </w:pPr>
            <w:r>
              <w:t>Comprises three standards and nine elements.</w:t>
            </w:r>
          </w:p>
          <w:p w:rsidR="00AB0290" w:rsidRDefault="00AB0290" w:rsidP="00AB0290">
            <w:pPr>
              <w:pStyle w:val="BoxListBullet"/>
            </w:pPr>
            <w:r>
              <w:t>Includes relationships with and information provided to families, engagement with the local community and facilitation of access to support assistance.</w:t>
            </w:r>
          </w:p>
          <w:p w:rsidR="00AB0290" w:rsidRDefault="00AB0290" w:rsidP="00AB0290">
            <w:pPr>
              <w:pStyle w:val="BoxHeading1"/>
            </w:pPr>
            <w:r>
              <w:t>Quality Area 7: Leadership and service management</w:t>
            </w:r>
          </w:p>
          <w:p w:rsidR="00AB0290" w:rsidRDefault="00AB0290" w:rsidP="00AB0290">
            <w:pPr>
              <w:pStyle w:val="BoxListBullet"/>
            </w:pPr>
            <w:r>
              <w:t>Comprises three standards and thirteen elements.</w:t>
            </w:r>
          </w:p>
          <w:p w:rsidR="00AB0290" w:rsidRDefault="00AB0290" w:rsidP="00AB0290">
            <w:pPr>
              <w:pStyle w:val="BoxListBullet"/>
            </w:pPr>
            <w:r>
              <w:t>Includes governance arrangements and the development of key documentation, records and administrative systems.</w:t>
            </w:r>
          </w:p>
        </w:tc>
      </w:tr>
      <w:tr w:rsidR="00AB0290" w:rsidTr="00DA30AC">
        <w:trPr>
          <w:cantSplit/>
        </w:trPr>
        <w:tc>
          <w:tcPr>
            <w:tcW w:w="8771" w:type="dxa"/>
            <w:tcBorders>
              <w:top w:val="nil"/>
              <w:left w:val="nil"/>
              <w:bottom w:val="single" w:sz="6" w:space="0" w:color="78A22F"/>
              <w:right w:val="nil"/>
            </w:tcBorders>
            <w:shd w:val="clear" w:color="auto" w:fill="F2F2F2" w:themeFill="background1" w:themeFillShade="F2"/>
          </w:tcPr>
          <w:p w:rsidR="00AB0290" w:rsidRDefault="00AB0290">
            <w:pPr>
              <w:pStyle w:val="Box"/>
              <w:spacing w:before="0" w:line="120" w:lineRule="exact"/>
            </w:pPr>
          </w:p>
        </w:tc>
      </w:tr>
      <w:tr w:rsidR="00AB0290" w:rsidRPr="000863A5" w:rsidTr="00DA30AC">
        <w:tc>
          <w:tcPr>
            <w:tcW w:w="8771" w:type="dxa"/>
            <w:tcBorders>
              <w:top w:val="single" w:sz="6" w:space="0" w:color="78A22F"/>
              <w:left w:val="nil"/>
              <w:bottom w:val="nil"/>
              <w:right w:val="nil"/>
            </w:tcBorders>
          </w:tcPr>
          <w:p w:rsidR="00AB0290" w:rsidRPr="00626D32" w:rsidRDefault="00AB0290" w:rsidP="00DA30AC">
            <w:pPr>
              <w:pStyle w:val="BoxSpaceBelow"/>
            </w:pPr>
          </w:p>
        </w:tc>
      </w:tr>
    </w:tbl>
    <w:p w:rsidR="006F0DF6" w:rsidRDefault="006F0DF6" w:rsidP="006F0DF6">
      <w:pPr>
        <w:pStyle w:val="Heading4"/>
      </w:pPr>
      <w:r>
        <w:t>Educator</w:t>
      </w:r>
      <w:r w:rsidR="00D50C08">
        <w:noBreakHyphen/>
      </w:r>
      <w:r>
        <w:t>to</w:t>
      </w:r>
      <w:r w:rsidR="00D50C08">
        <w:noBreakHyphen/>
      </w:r>
      <w:r>
        <w:t>child ratios</w:t>
      </w:r>
    </w:p>
    <w:p w:rsidR="009A0C92" w:rsidRDefault="00377556" w:rsidP="006731BB">
      <w:pPr>
        <w:pStyle w:val="BodyText"/>
      </w:pPr>
      <w:r>
        <w:t>The NQF established national educator</w:t>
      </w:r>
      <w:r w:rsidR="00D50C08">
        <w:noBreakHyphen/>
      </w:r>
      <w:r>
        <w:t>to</w:t>
      </w:r>
      <w:r w:rsidR="00D50C08">
        <w:noBreakHyphen/>
      </w:r>
      <w:r>
        <w:t>child ratios (‘staff ratios’) for both centre</w:t>
      </w:r>
      <w:r w:rsidR="00D50C08">
        <w:noBreakHyphen/>
      </w:r>
      <w:r>
        <w:t xml:space="preserve">based and family day care services. </w:t>
      </w:r>
      <w:r w:rsidR="00456E82">
        <w:t xml:space="preserve">Although the NQF applies to children </w:t>
      </w:r>
      <w:r w:rsidR="00410ED5">
        <w:t xml:space="preserve">of </w:t>
      </w:r>
      <w:r w:rsidR="00456E82">
        <w:t xml:space="preserve">school age, it does not include a national staff ratio for </w:t>
      </w:r>
      <w:r w:rsidR="00AC7559">
        <w:t xml:space="preserve">these </w:t>
      </w:r>
      <w:r w:rsidR="00456E82">
        <w:t>children</w:t>
      </w:r>
      <w:r w:rsidR="00564325">
        <w:t xml:space="preserve"> </w:t>
      </w:r>
      <w:r w:rsidR="00456E82">
        <w:t>— individual jurisdictions have their own arrangements for this age group (</w:t>
      </w:r>
      <w:r w:rsidR="00456E82" w:rsidRPr="00AE7C5A">
        <w:t>chapter</w:t>
      </w:r>
      <w:r w:rsidR="00456E82">
        <w:t> 7).</w:t>
      </w:r>
    </w:p>
    <w:p w:rsidR="00027043" w:rsidRDefault="00027043" w:rsidP="006731BB">
      <w:pPr>
        <w:pStyle w:val="BodyText"/>
      </w:pPr>
      <w:r>
        <w:lastRenderedPageBreak/>
        <w:t>Staff ratios for centre</w:t>
      </w:r>
      <w:r w:rsidR="00D50C08">
        <w:noBreakHyphen/>
      </w:r>
      <w:r>
        <w:t>based services</w:t>
      </w:r>
      <w:r w:rsidR="000711A5">
        <w:t xml:space="preserve"> (excluding teachers)</w:t>
      </w:r>
      <w:r>
        <w:t xml:space="preserve"> are being phased in </w:t>
      </w:r>
      <w:r w:rsidR="00041D94">
        <w:t>by</w:t>
      </w:r>
      <w:r>
        <w:t xml:space="preserve"> 2016</w:t>
      </w:r>
      <w:r w:rsidR="000E0D03">
        <w:t xml:space="preserve"> (</w:t>
      </w:r>
      <w:r w:rsidR="00924ED6">
        <w:t>table</w:t>
      </w:r>
      <w:r w:rsidR="000E0D03">
        <w:t xml:space="preserve"> </w:t>
      </w:r>
      <w:r w:rsidR="00C03891">
        <w:t>F</w:t>
      </w:r>
      <w:r w:rsidR="001509E0">
        <w:t>.</w:t>
      </w:r>
      <w:r w:rsidR="00924ED6">
        <w:t>1</w:t>
      </w:r>
      <w:r w:rsidR="000E0D03">
        <w:t>)</w:t>
      </w:r>
      <w:r w:rsidR="00C24B2B">
        <w:t xml:space="preserve">. Some jurisdictions </w:t>
      </w:r>
      <w:r w:rsidR="00BB08C9">
        <w:t xml:space="preserve">met </w:t>
      </w:r>
      <w:r w:rsidR="00114FD5">
        <w:t xml:space="preserve">the new ratios before their introduction </w:t>
      </w:r>
      <w:r w:rsidR="00BB08C9">
        <w:t xml:space="preserve">or </w:t>
      </w:r>
      <w:r w:rsidR="00391B7B">
        <w:t>were</w:t>
      </w:r>
      <w:r w:rsidR="00661F6C">
        <w:t xml:space="preserve"> </w:t>
      </w:r>
      <w:r w:rsidR="001A2CEC">
        <w:t>adopting</w:t>
      </w:r>
      <w:r w:rsidR="00661F6C">
        <w:t xml:space="preserve"> the</w:t>
      </w:r>
      <w:r w:rsidR="00114FD5">
        <w:t>m</w:t>
      </w:r>
      <w:r w:rsidR="00661F6C">
        <w:t xml:space="preserve"> </w:t>
      </w:r>
      <w:r w:rsidR="001A2CEC">
        <w:t>earlier</w:t>
      </w:r>
      <w:r w:rsidR="00CF26CF">
        <w:t xml:space="preserve"> than others</w:t>
      </w:r>
      <w:r w:rsidR="0073511D">
        <w:t>,</w:t>
      </w:r>
      <w:r w:rsidR="00661F6C">
        <w:t xml:space="preserve"> while some </w:t>
      </w:r>
      <w:r w:rsidR="00B915A1">
        <w:t xml:space="preserve">have </w:t>
      </w:r>
      <w:r w:rsidR="00661F6C">
        <w:t>retain</w:t>
      </w:r>
      <w:r w:rsidR="00B915A1">
        <w:t>ed</w:t>
      </w:r>
      <w:r w:rsidR="00661F6C">
        <w:t xml:space="preserve"> higher </w:t>
      </w:r>
      <w:r w:rsidR="004D66F6">
        <w:t xml:space="preserve">standards that </w:t>
      </w:r>
      <w:r w:rsidR="00360D4A">
        <w:t>override</w:t>
      </w:r>
      <w:r w:rsidR="004D66F6">
        <w:t xml:space="preserve"> the national ratios.</w:t>
      </w:r>
      <w:r w:rsidR="009A0C92">
        <w:t xml:space="preserve"> </w:t>
      </w:r>
    </w:p>
    <w:p w:rsidR="00247716" w:rsidRDefault="00247716" w:rsidP="00247716">
      <w:pPr>
        <w:pStyle w:val="BodyText"/>
      </w:pPr>
      <w:r>
        <w:t>The National Regulations require these ratios to be maintained at all times</w:t>
      </w:r>
      <w:r w:rsidR="00F34DBC">
        <w:t xml:space="preserve"> and</w:t>
      </w:r>
      <w:r w:rsidR="00E85F9A">
        <w:t xml:space="preserve"> </w:t>
      </w:r>
      <w:r w:rsidR="00F34DBC">
        <w:t>t</w:t>
      </w:r>
      <w:r w:rsidR="00E85F9A">
        <w:t>here are no nationally consistent educator provisions</w:t>
      </w:r>
      <w:r w:rsidR="009C1BA0">
        <w:t xml:space="preserve"> in relation to taking breaks</w:t>
      </w:r>
      <w:r w:rsidR="00E85F9A">
        <w:t xml:space="preserve">. </w:t>
      </w:r>
      <w:r w:rsidR="00E85F9A" w:rsidRPr="008A7F42">
        <w:t>The</w:t>
      </w:r>
      <w:r w:rsidR="00E85F9A">
        <w:t xml:space="preserve"> Guide to the National Law and National Regulations states that </w:t>
      </w:r>
      <w:r w:rsidR="00272138">
        <w:t>R</w:t>
      </w:r>
      <w:r w:rsidR="00E85F9A">
        <w:t xml:space="preserve">egulatory </w:t>
      </w:r>
      <w:r w:rsidR="00272138">
        <w:t>A</w:t>
      </w:r>
      <w:r w:rsidR="00E85F9A">
        <w:t>uthorities will ‘allow’ educators at centre</w:t>
      </w:r>
      <w:r w:rsidR="00E85F9A">
        <w:noBreakHyphen/>
        <w:t>based services to take up to 30 minutes per day ‘off the floor’ without their position needing to be backfilled.</w:t>
      </w:r>
      <w:r>
        <w:t xml:space="preserve"> This means services must have sufficient staff available (whether full</w:t>
      </w:r>
      <w:r w:rsidR="00D50C08">
        <w:noBreakHyphen/>
      </w:r>
      <w:r>
        <w:t>time, part</w:t>
      </w:r>
      <w:r w:rsidR="00D50C08">
        <w:noBreakHyphen/>
      </w:r>
      <w:r>
        <w:t>time or casual) to fill planned or unplanned staff absences outside of this 30</w:t>
      </w:r>
      <w:r w:rsidR="0073511D">
        <w:t> </w:t>
      </w:r>
      <w:r>
        <w:t>minute period.</w:t>
      </w:r>
    </w:p>
    <w:p w:rsidR="00247716" w:rsidRDefault="00247716" w:rsidP="006731BB">
      <w:pPr>
        <w:pStyle w:val="BodyText"/>
      </w:pPr>
      <w:r>
        <w:t>This system of staff ratios also allows for children in older age groups to be ‘mixed’ into the ratio allocation for younger age groups, in cases where an educator has excess capacity. For example, if a service has one educator caring for three children aged 0</w:t>
      </w:r>
      <w:r w:rsidR="0073511D">
        <w:t xml:space="preserve"> to </w:t>
      </w:r>
      <w:r>
        <w:t>24 months, then that educator has the capacity to care for one additional child in an older age group (thereby reaching the maxi</w:t>
      </w:r>
      <w:r w:rsidR="00127EAB">
        <w:t>mum 1:4 ratio allowed for the 0</w:t>
      </w:r>
      <w:r w:rsidR="0073511D">
        <w:t xml:space="preserve"> to </w:t>
      </w:r>
      <w:r>
        <w:t>24 month age group).</w:t>
      </w:r>
    </w:p>
    <w:p w:rsidR="0015742B" w:rsidRDefault="0015742B" w:rsidP="00DA30A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15742B" w:rsidTr="00923BA7">
        <w:tc>
          <w:tcPr>
            <w:tcW w:w="8771" w:type="dxa"/>
            <w:tcBorders>
              <w:top w:val="single" w:sz="4" w:space="0" w:color="78A22F"/>
              <w:left w:val="nil"/>
              <w:bottom w:val="nil"/>
              <w:right w:val="nil"/>
            </w:tcBorders>
            <w:shd w:val="clear" w:color="auto" w:fill="auto"/>
          </w:tcPr>
          <w:p w:rsidR="0015742B" w:rsidRPr="00784A05" w:rsidRDefault="0015742B" w:rsidP="00CD3A97">
            <w:pPr>
              <w:pStyle w:val="TableTitle"/>
            </w:pPr>
            <w:r>
              <w:rPr>
                <w:b w:val="0"/>
              </w:rPr>
              <w:t xml:space="preserve">Table </w:t>
            </w:r>
            <w:r w:rsidR="00846333">
              <w:rPr>
                <w:b w:val="0"/>
              </w:rPr>
              <w:t>F.</w:t>
            </w:r>
            <w:r w:rsidR="00846333">
              <w:rPr>
                <w:b w:val="0"/>
                <w:noProof/>
              </w:rPr>
              <w:t>1</w:t>
            </w:r>
            <w:r>
              <w:tab/>
              <w:t>Staff ratios for centre</w:t>
            </w:r>
            <w:r>
              <w:noBreakHyphen/>
              <w:t>based services</w:t>
            </w:r>
          </w:p>
        </w:tc>
      </w:tr>
      <w:tr w:rsidR="0015742B" w:rsidTr="00DA30AC">
        <w:trPr>
          <w:cantSplit/>
        </w:trPr>
        <w:tc>
          <w:tcPr>
            <w:tcW w:w="8771" w:type="dxa"/>
            <w:tcBorders>
              <w:top w:val="nil"/>
              <w:left w:val="nil"/>
              <w:bottom w:val="nil"/>
              <w:right w:val="nil"/>
            </w:tcBorders>
            <w:shd w:val="clear" w:color="auto" w:fill="auto"/>
          </w:tcPr>
          <w:tbl>
            <w:tblPr>
              <w:tblW w:w="9636" w:type="dxa"/>
              <w:tblCellMar>
                <w:left w:w="0" w:type="dxa"/>
                <w:right w:w="0" w:type="dxa"/>
              </w:tblCellMar>
              <w:tblLook w:val="0000" w:firstRow="0" w:lastRow="0" w:firstColumn="0" w:lastColumn="0" w:noHBand="0" w:noVBand="0"/>
            </w:tblPr>
            <w:tblGrid>
              <w:gridCol w:w="1543"/>
              <w:gridCol w:w="2122"/>
              <w:gridCol w:w="2550"/>
              <w:gridCol w:w="3421"/>
            </w:tblGrid>
            <w:tr w:rsidR="00B432FD" w:rsidTr="00B432FD">
              <w:tc>
                <w:tcPr>
                  <w:tcW w:w="801" w:type="pct"/>
                  <w:tcBorders>
                    <w:top w:val="single" w:sz="4" w:space="0" w:color="BFBFBF"/>
                  </w:tcBorders>
                  <w:shd w:val="clear" w:color="auto" w:fill="auto"/>
                </w:tcPr>
                <w:p w:rsidR="00B432FD" w:rsidRDefault="00B432FD" w:rsidP="00DA30AC">
                  <w:pPr>
                    <w:pStyle w:val="TableColumnHeading"/>
                    <w:jc w:val="left"/>
                  </w:pPr>
                  <w:r>
                    <w:t>Age</w:t>
                  </w:r>
                </w:p>
              </w:tc>
              <w:tc>
                <w:tcPr>
                  <w:tcW w:w="1101" w:type="pct"/>
                  <w:tcBorders>
                    <w:top w:val="single" w:sz="4" w:space="0" w:color="BFBFBF"/>
                  </w:tcBorders>
                  <w:shd w:val="clear" w:color="auto" w:fill="auto"/>
                </w:tcPr>
                <w:p w:rsidR="00B432FD" w:rsidRDefault="003D70CF" w:rsidP="006133C3">
                  <w:pPr>
                    <w:pStyle w:val="TableColumnHeading"/>
                    <w:jc w:val="left"/>
                  </w:pPr>
                  <w:r>
                    <w:t xml:space="preserve">Target </w:t>
                  </w:r>
                  <w:r w:rsidR="006133C3">
                    <w:t>r</w:t>
                  </w:r>
                  <w:r>
                    <w:t>atios &amp; exceptions</w:t>
                  </w:r>
                </w:p>
              </w:tc>
              <w:tc>
                <w:tcPr>
                  <w:tcW w:w="1323" w:type="pct"/>
                  <w:tcBorders>
                    <w:top w:val="single" w:sz="4" w:space="0" w:color="BFBFBF"/>
                  </w:tcBorders>
                </w:tcPr>
                <w:p w:rsidR="00B432FD" w:rsidRDefault="00B432FD" w:rsidP="00B432FD">
                  <w:pPr>
                    <w:pStyle w:val="TableColumnHeading"/>
                    <w:ind w:right="28"/>
                    <w:jc w:val="left"/>
                  </w:pPr>
                  <w:r>
                    <w:t>Until implementing the target</w:t>
                  </w:r>
                </w:p>
              </w:tc>
              <w:tc>
                <w:tcPr>
                  <w:tcW w:w="1775" w:type="pct"/>
                  <w:tcBorders>
                    <w:top w:val="single" w:sz="4" w:space="0" w:color="BFBFBF"/>
                  </w:tcBorders>
                  <w:shd w:val="clear" w:color="auto" w:fill="auto"/>
                </w:tcPr>
                <w:p w:rsidR="00B432FD" w:rsidRDefault="00B432FD" w:rsidP="00DA30AC">
                  <w:pPr>
                    <w:pStyle w:val="TableColumnHeading"/>
                    <w:ind w:right="28"/>
                    <w:jc w:val="left"/>
                  </w:pPr>
                  <w:r>
                    <w:t>Timeframe for achieving target</w:t>
                  </w:r>
                </w:p>
              </w:tc>
            </w:tr>
            <w:tr w:rsidR="00B432FD" w:rsidRPr="004271C0" w:rsidTr="00F47D7A">
              <w:trPr>
                <w:trHeight w:val="794"/>
              </w:trPr>
              <w:tc>
                <w:tcPr>
                  <w:tcW w:w="801" w:type="pct"/>
                  <w:tcBorders>
                    <w:bottom w:val="single" w:sz="4" w:space="0" w:color="BFBFBF"/>
                  </w:tcBorders>
                  <w:shd w:val="clear" w:color="auto" w:fill="BFBFBF" w:themeFill="background1" w:themeFillShade="BF"/>
                </w:tcPr>
                <w:p w:rsidR="00B432FD" w:rsidRDefault="00B432FD" w:rsidP="00DA30AC">
                  <w:pPr>
                    <w:pStyle w:val="TableUnitsRow"/>
                    <w:jc w:val="left"/>
                  </w:pPr>
                  <w:r>
                    <w:t>Birth to 24 months</w:t>
                  </w:r>
                </w:p>
              </w:tc>
              <w:tc>
                <w:tcPr>
                  <w:tcW w:w="1101" w:type="pct"/>
                  <w:tcBorders>
                    <w:bottom w:val="single" w:sz="4" w:space="0" w:color="BFBFBF"/>
                  </w:tcBorders>
                  <w:shd w:val="clear" w:color="auto" w:fill="BFBFBF" w:themeFill="background1" w:themeFillShade="BF"/>
                </w:tcPr>
                <w:p w:rsidR="00B432FD" w:rsidRDefault="00B432FD" w:rsidP="003D70CF">
                  <w:pPr>
                    <w:pStyle w:val="TableUnitsRow"/>
                    <w:jc w:val="left"/>
                  </w:pPr>
                  <w:r>
                    <w:t>1:4</w:t>
                  </w:r>
                  <w:r w:rsidR="003D70CF">
                    <w:t xml:space="preserve"> in all jurisdictions</w:t>
                  </w:r>
                </w:p>
              </w:tc>
              <w:tc>
                <w:tcPr>
                  <w:tcW w:w="1323" w:type="pct"/>
                  <w:tcBorders>
                    <w:bottom w:val="single" w:sz="4" w:space="0" w:color="BFBFBF"/>
                  </w:tcBorders>
                  <w:shd w:val="clear" w:color="auto" w:fill="BFBFBF" w:themeFill="background1" w:themeFillShade="BF"/>
                </w:tcPr>
                <w:p w:rsidR="00B432FD" w:rsidRDefault="00B432FD" w:rsidP="00B432FD">
                  <w:pPr>
                    <w:pStyle w:val="TableUnitsRow"/>
                    <w:ind w:left="282" w:right="28" w:hanging="276"/>
                    <w:jc w:val="left"/>
                  </w:pPr>
                  <w:r>
                    <w:t xml:space="preserve">1:5 in NSW, WA, SA, Tas, NT &amp; ACT </w:t>
                  </w:r>
                </w:p>
                <w:p w:rsidR="00B432FD" w:rsidRDefault="00B432FD" w:rsidP="00B432FD">
                  <w:pPr>
                    <w:pStyle w:val="TableUnitsRow"/>
                    <w:ind w:right="28"/>
                    <w:jc w:val="left"/>
                  </w:pPr>
                  <w:r>
                    <w:t>1:4 in Qld</w:t>
                  </w:r>
                  <w:r w:rsidRPr="002A4A51">
                    <w:rPr>
                      <w:rStyle w:val="NoteLabel"/>
                      <w:i/>
                    </w:rPr>
                    <w:t>a</w:t>
                  </w:r>
                  <w:r>
                    <w:t>, Vic</w:t>
                  </w:r>
                </w:p>
                <w:p w:rsidR="00B432FD" w:rsidRPr="004271C0" w:rsidRDefault="00B432FD" w:rsidP="00B432FD">
                  <w:pPr>
                    <w:pStyle w:val="TableUnitsRow"/>
                    <w:ind w:right="28"/>
                    <w:jc w:val="left"/>
                  </w:pPr>
                </w:p>
              </w:tc>
              <w:tc>
                <w:tcPr>
                  <w:tcW w:w="1775" w:type="pct"/>
                  <w:tcBorders>
                    <w:bottom w:val="single" w:sz="4" w:space="0" w:color="BFBFBF"/>
                  </w:tcBorders>
                  <w:shd w:val="clear" w:color="auto" w:fill="BFBFBF" w:themeFill="background1" w:themeFillShade="BF"/>
                </w:tcPr>
                <w:p w:rsidR="00B432FD" w:rsidRPr="00127EAB" w:rsidRDefault="00B432FD" w:rsidP="00B432FD">
                  <w:pPr>
                    <w:pStyle w:val="TableUnitsRow"/>
                    <w:ind w:left="284" w:right="1011" w:hanging="278"/>
                    <w:jc w:val="left"/>
                  </w:pPr>
                  <w:r w:rsidRPr="00127EAB">
                    <w:t>1 January 2012</w:t>
                  </w:r>
                  <w:r>
                    <w:t xml:space="preserve"> in all </w:t>
                  </w:r>
                  <w:r w:rsidR="003D70CF">
                    <w:t>jurisdictions</w:t>
                  </w:r>
                  <w:r>
                    <w:t xml:space="preserve"> </w:t>
                  </w:r>
                  <w:r w:rsidR="003D70CF">
                    <w:t>except:</w:t>
                  </w:r>
                </w:p>
                <w:p w:rsidR="00B432FD" w:rsidRDefault="00B432FD" w:rsidP="00B432FD">
                  <w:pPr>
                    <w:pStyle w:val="TableUnitsRow"/>
                    <w:ind w:left="284" w:right="1011" w:hanging="278"/>
                    <w:jc w:val="left"/>
                  </w:pPr>
                  <w:r>
                    <w:t>1 August 2012 in WA</w:t>
                  </w:r>
                </w:p>
                <w:p w:rsidR="00B432FD" w:rsidRDefault="00B432FD" w:rsidP="00B432FD">
                  <w:pPr>
                    <w:pStyle w:val="TableUnitsRow"/>
                    <w:ind w:left="284" w:right="1011" w:hanging="278"/>
                    <w:jc w:val="left"/>
                  </w:pPr>
                  <w:r>
                    <w:t>1 January 2018 for some Qld services</w:t>
                  </w:r>
                  <w:r w:rsidRPr="002A4A51">
                    <w:rPr>
                      <w:rStyle w:val="NoteLabel"/>
                      <w:i/>
                    </w:rPr>
                    <w:t>a</w:t>
                  </w:r>
                </w:p>
              </w:tc>
            </w:tr>
            <w:tr w:rsidR="00B432FD" w:rsidTr="00B432FD">
              <w:trPr>
                <w:trHeight w:val="1247"/>
              </w:trPr>
              <w:tc>
                <w:tcPr>
                  <w:tcW w:w="801" w:type="pct"/>
                  <w:tcBorders>
                    <w:top w:val="single" w:sz="4" w:space="0" w:color="BFBFBF"/>
                  </w:tcBorders>
                </w:tcPr>
                <w:p w:rsidR="00B432FD" w:rsidRDefault="00B432FD" w:rsidP="00DA30AC">
                  <w:pPr>
                    <w:pStyle w:val="TableBodyText"/>
                    <w:spacing w:before="80" w:after="80"/>
                    <w:jc w:val="left"/>
                  </w:pPr>
                  <w:r>
                    <w:t>25 to 35 months</w:t>
                  </w:r>
                </w:p>
              </w:tc>
              <w:tc>
                <w:tcPr>
                  <w:tcW w:w="1101" w:type="pct"/>
                  <w:tcBorders>
                    <w:top w:val="single" w:sz="4" w:space="0" w:color="BFBFBF"/>
                  </w:tcBorders>
                </w:tcPr>
                <w:p w:rsidR="00B432FD" w:rsidRDefault="00B432FD" w:rsidP="00B432FD">
                  <w:pPr>
                    <w:pStyle w:val="TableBodyText"/>
                    <w:spacing w:before="80" w:after="80"/>
                    <w:jc w:val="left"/>
                  </w:pPr>
                  <w:r w:rsidRPr="00B432FD">
                    <w:t>1:5</w:t>
                  </w:r>
                  <w:r w:rsidR="003D70CF">
                    <w:t xml:space="preserve"> in all jurisdictions</w:t>
                  </w:r>
                </w:p>
                <w:p w:rsidR="003D70CF" w:rsidRDefault="003D70CF" w:rsidP="00B432FD">
                  <w:pPr>
                    <w:pStyle w:val="TableBodyText"/>
                    <w:spacing w:before="80" w:after="80"/>
                    <w:jc w:val="left"/>
                  </w:pPr>
                  <w:r>
                    <w:t>except:</w:t>
                  </w:r>
                </w:p>
                <w:p w:rsidR="00B432FD" w:rsidRPr="00B432FD" w:rsidRDefault="00B432FD" w:rsidP="00B432FD">
                  <w:pPr>
                    <w:pStyle w:val="TableBodyText"/>
                    <w:spacing w:before="80" w:after="80"/>
                    <w:jc w:val="left"/>
                  </w:pPr>
                  <w:r w:rsidRPr="00B432FD">
                    <w:t>1:4 in Vic</w:t>
                  </w:r>
                </w:p>
              </w:tc>
              <w:tc>
                <w:tcPr>
                  <w:tcW w:w="1323" w:type="pct"/>
                  <w:tcBorders>
                    <w:top w:val="single" w:sz="4" w:space="0" w:color="BFBFBF"/>
                  </w:tcBorders>
                </w:tcPr>
                <w:p w:rsidR="00B432FD" w:rsidRDefault="00B432FD" w:rsidP="00B432FD">
                  <w:pPr>
                    <w:pStyle w:val="TableBodyText"/>
                    <w:spacing w:before="80" w:after="80"/>
                    <w:ind w:right="28"/>
                    <w:jc w:val="left"/>
                  </w:pPr>
                  <w:r>
                    <w:t xml:space="preserve">1:10 in SA </w:t>
                  </w:r>
                </w:p>
                <w:p w:rsidR="00B432FD" w:rsidRDefault="00B432FD" w:rsidP="00B432FD">
                  <w:pPr>
                    <w:pStyle w:val="TableBodyText"/>
                    <w:spacing w:before="80" w:after="80"/>
                    <w:ind w:right="28"/>
                    <w:jc w:val="left"/>
                  </w:pPr>
                  <w:r>
                    <w:t>1:8 in NSW</w:t>
                  </w:r>
                </w:p>
                <w:p w:rsidR="00B432FD" w:rsidRDefault="00B432FD" w:rsidP="00B432FD">
                  <w:pPr>
                    <w:pStyle w:val="TableBodyText"/>
                    <w:spacing w:before="80" w:after="80"/>
                    <w:ind w:right="28"/>
                    <w:jc w:val="left"/>
                  </w:pPr>
                  <w:r>
                    <w:t>1:6 in Qld</w:t>
                  </w:r>
                </w:p>
                <w:p w:rsidR="00B432FD" w:rsidRDefault="00B432FD" w:rsidP="00B432FD">
                  <w:pPr>
                    <w:pStyle w:val="TableBodyText"/>
                    <w:spacing w:before="80" w:after="80"/>
                    <w:ind w:right="28"/>
                    <w:jc w:val="left"/>
                  </w:pPr>
                  <w:r>
                    <w:t xml:space="preserve">1:5 in ACT, NT, Tas, WA </w:t>
                  </w:r>
                </w:p>
                <w:p w:rsidR="00B432FD" w:rsidRDefault="00B432FD" w:rsidP="00F47D7A">
                  <w:pPr>
                    <w:pStyle w:val="TableBodyText"/>
                    <w:spacing w:before="80" w:after="80"/>
                    <w:ind w:right="28"/>
                    <w:jc w:val="left"/>
                  </w:pPr>
                  <w:r>
                    <w:t>1:4 in Vic</w:t>
                  </w:r>
                </w:p>
              </w:tc>
              <w:tc>
                <w:tcPr>
                  <w:tcW w:w="1775" w:type="pct"/>
                  <w:tcBorders>
                    <w:top w:val="single" w:sz="4" w:space="0" w:color="BFBFBF"/>
                  </w:tcBorders>
                </w:tcPr>
                <w:p w:rsidR="00B432FD" w:rsidRDefault="00B432FD" w:rsidP="00B432FD">
                  <w:pPr>
                    <w:pStyle w:val="TableBodyText"/>
                    <w:spacing w:before="80" w:after="80"/>
                    <w:ind w:left="284" w:right="1011" w:hanging="278"/>
                    <w:jc w:val="left"/>
                  </w:pPr>
                  <w:r>
                    <w:t>1 January 2012 in ACT, NT, Tas</w:t>
                  </w:r>
                </w:p>
                <w:p w:rsidR="00B432FD" w:rsidRDefault="00B432FD" w:rsidP="00B432FD">
                  <w:pPr>
                    <w:pStyle w:val="TableBodyText"/>
                    <w:spacing w:before="80" w:after="80"/>
                    <w:ind w:left="284" w:right="1011" w:hanging="278"/>
                    <w:jc w:val="left"/>
                  </w:pPr>
                  <w:r>
                    <w:t>1 August 2012 in WA</w:t>
                  </w:r>
                </w:p>
                <w:p w:rsidR="00B432FD" w:rsidRDefault="00B432FD" w:rsidP="00B432FD">
                  <w:pPr>
                    <w:pStyle w:val="TableBodyText"/>
                    <w:spacing w:before="80" w:after="80"/>
                    <w:ind w:left="284" w:right="1011" w:hanging="278"/>
                    <w:jc w:val="left"/>
                  </w:pPr>
                  <w:r w:rsidRPr="00127EAB">
                    <w:t>1 January 2016</w:t>
                  </w:r>
                  <w:r>
                    <w:t xml:space="preserve"> in NSW, Qld, SA</w:t>
                  </w:r>
                </w:p>
                <w:p w:rsidR="00B432FD" w:rsidRPr="002A4A51" w:rsidRDefault="00B432FD" w:rsidP="00B432FD">
                  <w:pPr>
                    <w:pStyle w:val="TableBodyText"/>
                    <w:spacing w:before="80" w:after="80"/>
                    <w:ind w:left="284" w:right="1011" w:hanging="278"/>
                    <w:jc w:val="left"/>
                    <w:rPr>
                      <w:i/>
                    </w:rPr>
                  </w:pPr>
                </w:p>
              </w:tc>
            </w:tr>
            <w:tr w:rsidR="00B432FD" w:rsidTr="00F47D7A">
              <w:tc>
                <w:tcPr>
                  <w:tcW w:w="801" w:type="pct"/>
                  <w:tcBorders>
                    <w:bottom w:val="single" w:sz="4" w:space="0" w:color="BFBFBF"/>
                  </w:tcBorders>
                  <w:shd w:val="clear" w:color="auto" w:fill="BFBFBF" w:themeFill="background1" w:themeFillShade="BF"/>
                </w:tcPr>
                <w:p w:rsidR="00B432FD" w:rsidRDefault="00B432FD" w:rsidP="00DA30AC">
                  <w:pPr>
                    <w:pStyle w:val="TableBodyText"/>
                    <w:spacing w:before="80" w:after="80"/>
                    <w:jc w:val="left"/>
                  </w:pPr>
                  <w:r>
                    <w:t>36 months up to and including preschool age</w:t>
                  </w:r>
                </w:p>
              </w:tc>
              <w:tc>
                <w:tcPr>
                  <w:tcW w:w="1101" w:type="pct"/>
                  <w:tcBorders>
                    <w:bottom w:val="single" w:sz="4" w:space="0" w:color="BFBFBF"/>
                  </w:tcBorders>
                  <w:shd w:val="clear" w:color="auto" w:fill="BFBFBF" w:themeFill="background1" w:themeFillShade="BF"/>
                </w:tcPr>
                <w:p w:rsidR="00B432FD" w:rsidRDefault="00B432FD" w:rsidP="00B432FD">
                  <w:pPr>
                    <w:pStyle w:val="TableBodyText"/>
                    <w:spacing w:before="80" w:after="80"/>
                    <w:jc w:val="left"/>
                  </w:pPr>
                  <w:r w:rsidRPr="00B432FD">
                    <w:t>1:11</w:t>
                  </w:r>
                  <w:r w:rsidR="003D70CF">
                    <w:t xml:space="preserve"> in all jurisdictions</w:t>
                  </w:r>
                </w:p>
                <w:p w:rsidR="003D70CF" w:rsidRDefault="003D70CF" w:rsidP="003D70CF">
                  <w:pPr>
                    <w:pStyle w:val="TableBodyText"/>
                    <w:spacing w:before="80" w:after="80"/>
                    <w:jc w:val="left"/>
                  </w:pPr>
                  <w:r>
                    <w:t>except:</w:t>
                  </w:r>
                </w:p>
                <w:p w:rsidR="00B432FD" w:rsidRPr="00B432FD" w:rsidRDefault="00B432FD" w:rsidP="003D70CF">
                  <w:pPr>
                    <w:pStyle w:val="TableBodyText"/>
                    <w:spacing w:before="80" w:after="80"/>
                    <w:ind w:left="136" w:hanging="130"/>
                    <w:jc w:val="left"/>
                  </w:pPr>
                  <w:r w:rsidRPr="00B432FD">
                    <w:t>1:10 in NSW, Tas</w:t>
                  </w:r>
                  <w:r w:rsidRPr="00B432FD">
                    <w:rPr>
                      <w:rStyle w:val="NoteLabel"/>
                    </w:rPr>
                    <w:t>b</w:t>
                  </w:r>
                  <w:r w:rsidRPr="00B432FD">
                    <w:t>, WA some SA services</w:t>
                  </w:r>
                  <w:r w:rsidRPr="00B432FD">
                    <w:rPr>
                      <w:rStyle w:val="NoteLabel"/>
                    </w:rPr>
                    <w:t>c</w:t>
                  </w:r>
                </w:p>
              </w:tc>
              <w:tc>
                <w:tcPr>
                  <w:tcW w:w="1323" w:type="pct"/>
                  <w:tcBorders>
                    <w:bottom w:val="single" w:sz="4" w:space="0" w:color="BFBFBF"/>
                  </w:tcBorders>
                  <w:shd w:val="clear" w:color="auto" w:fill="BFBFBF" w:themeFill="background1" w:themeFillShade="BF"/>
                </w:tcPr>
                <w:p w:rsidR="00B432FD" w:rsidRDefault="00B432FD" w:rsidP="00B432FD">
                  <w:pPr>
                    <w:pStyle w:val="TableBodyText"/>
                    <w:spacing w:before="80" w:after="80"/>
                    <w:ind w:right="28"/>
                    <w:jc w:val="left"/>
                  </w:pPr>
                  <w:r>
                    <w:t xml:space="preserve">1:15 in Vic </w:t>
                  </w:r>
                </w:p>
                <w:p w:rsidR="00B432FD" w:rsidRDefault="00B432FD" w:rsidP="00B432FD">
                  <w:pPr>
                    <w:pStyle w:val="TableBodyText"/>
                    <w:spacing w:before="80" w:after="80"/>
                    <w:ind w:right="28"/>
                    <w:jc w:val="left"/>
                  </w:pPr>
                  <w:r>
                    <w:t>1:12 in Qld</w:t>
                  </w:r>
                </w:p>
                <w:p w:rsidR="00B432FD" w:rsidRDefault="00B432FD" w:rsidP="00B432FD">
                  <w:pPr>
                    <w:pStyle w:val="TableBodyText"/>
                    <w:spacing w:before="80" w:after="80"/>
                    <w:ind w:right="28"/>
                    <w:jc w:val="left"/>
                  </w:pPr>
                  <w:r>
                    <w:t>1:11 in ACT</w:t>
                  </w:r>
                  <w:r w:rsidR="006133C3">
                    <w:rPr>
                      <w:rStyle w:val="NoteLabel"/>
                    </w:rPr>
                    <w:t>d</w:t>
                  </w:r>
                  <w:r>
                    <w:t>, NT</w:t>
                  </w:r>
                </w:p>
                <w:p w:rsidR="00B432FD" w:rsidRDefault="00B432FD" w:rsidP="006133C3">
                  <w:pPr>
                    <w:pStyle w:val="TableBodyText"/>
                    <w:spacing w:before="80" w:after="80"/>
                    <w:ind w:right="28"/>
                    <w:jc w:val="left"/>
                  </w:pPr>
                  <w:r>
                    <w:t xml:space="preserve">1:10 in NSW, SA, </w:t>
                  </w:r>
                  <w:proofErr w:type="spellStart"/>
                  <w:r>
                    <w:t>Tas</w:t>
                  </w:r>
                  <w:proofErr w:type="spellEnd"/>
                  <w:r w:rsidR="006133C3">
                    <w:rPr>
                      <w:rStyle w:val="NoteLabel"/>
                    </w:rPr>
                    <w:t>e</w:t>
                  </w:r>
                  <w:r>
                    <w:t>, WA</w:t>
                  </w:r>
                </w:p>
              </w:tc>
              <w:tc>
                <w:tcPr>
                  <w:tcW w:w="1775" w:type="pct"/>
                  <w:tcBorders>
                    <w:bottom w:val="single" w:sz="4" w:space="0" w:color="BFBFBF"/>
                  </w:tcBorders>
                  <w:shd w:val="clear" w:color="auto" w:fill="BFBFBF" w:themeFill="background1" w:themeFillShade="BF"/>
                </w:tcPr>
                <w:p w:rsidR="00B432FD" w:rsidRDefault="00B432FD" w:rsidP="00B432FD">
                  <w:pPr>
                    <w:pStyle w:val="TableBodyText"/>
                    <w:spacing w:before="80" w:after="80"/>
                    <w:ind w:left="284" w:right="1011" w:hanging="278"/>
                    <w:jc w:val="left"/>
                  </w:pPr>
                  <w:r>
                    <w:t>1 January 2012 in NT</w:t>
                  </w:r>
                </w:p>
                <w:p w:rsidR="00B432FD" w:rsidRDefault="00B432FD" w:rsidP="00B432FD">
                  <w:pPr>
                    <w:pStyle w:val="TableBodyText"/>
                    <w:spacing w:before="80" w:after="80"/>
                    <w:ind w:left="284" w:right="1011" w:hanging="278"/>
                    <w:jc w:val="left"/>
                  </w:pPr>
                  <w:r w:rsidRPr="00127EAB">
                    <w:t>1 January 2016</w:t>
                  </w:r>
                  <w:r>
                    <w:t xml:space="preserve"> in ACT, Qld, Vic</w:t>
                  </w:r>
                </w:p>
                <w:p w:rsidR="00B432FD" w:rsidRDefault="00B432FD" w:rsidP="00B432FD">
                  <w:pPr>
                    <w:pStyle w:val="TableBodyText"/>
                    <w:spacing w:before="80" w:after="80"/>
                    <w:ind w:left="284" w:right="1011" w:hanging="278"/>
                    <w:jc w:val="left"/>
                  </w:pPr>
                </w:p>
                <w:p w:rsidR="00B432FD" w:rsidRDefault="00B432FD" w:rsidP="00B432FD">
                  <w:pPr>
                    <w:pStyle w:val="TableBodyText"/>
                    <w:spacing w:before="80" w:after="80"/>
                    <w:ind w:left="284" w:right="1011" w:hanging="278"/>
                    <w:jc w:val="left"/>
                  </w:pPr>
                </w:p>
              </w:tc>
            </w:tr>
          </w:tbl>
          <w:p w:rsidR="0015742B" w:rsidRDefault="0015742B" w:rsidP="00DA30AC">
            <w:pPr>
              <w:pStyle w:val="Box"/>
            </w:pPr>
          </w:p>
        </w:tc>
      </w:tr>
      <w:tr w:rsidR="0015742B" w:rsidTr="00DA30AC">
        <w:trPr>
          <w:cantSplit/>
        </w:trPr>
        <w:tc>
          <w:tcPr>
            <w:tcW w:w="8771" w:type="dxa"/>
            <w:tcBorders>
              <w:top w:val="nil"/>
              <w:left w:val="nil"/>
              <w:bottom w:val="nil"/>
              <w:right w:val="nil"/>
            </w:tcBorders>
            <w:shd w:val="clear" w:color="auto" w:fill="auto"/>
          </w:tcPr>
          <w:p w:rsidR="0015742B" w:rsidRPr="0015742B" w:rsidRDefault="0015742B" w:rsidP="006133C3">
            <w:pPr>
              <w:pStyle w:val="Note"/>
            </w:pPr>
            <w:proofErr w:type="gramStart"/>
            <w:r w:rsidRPr="008E77FE">
              <w:rPr>
                <w:rStyle w:val="NoteLabel"/>
              </w:rPr>
              <w:t>a</w:t>
            </w:r>
            <w:proofErr w:type="gramEnd"/>
            <w:r>
              <w:t xml:space="preserve"> Queensland: Pre</w:t>
            </w:r>
            <w:r>
              <w:noBreakHyphen/>
              <w:t>NQF, services could choose from multiple ratios, including 1:4 for children aged 0</w:t>
            </w:r>
            <w:r>
              <w:noBreakHyphen/>
              <w:t>2 years and 1:5 for</w:t>
            </w:r>
            <w:r w:rsidR="00391B7B">
              <w:t xml:space="preserve"> those aged</w:t>
            </w:r>
            <w:r>
              <w:t xml:space="preserve"> 15 months to 3 years. Services which were licensed on 1 January 2011 may continue to operate under these ratios until 1 January 2018.</w:t>
            </w:r>
            <w:r w:rsidR="00391B7B">
              <w:t xml:space="preserve"> In Qld, a range of seven mixed aged groups were previously available to provide flexibility to providers.</w:t>
            </w:r>
            <w:r>
              <w:t xml:space="preserve"> </w:t>
            </w:r>
            <w:proofErr w:type="gramStart"/>
            <w:r>
              <w:rPr>
                <w:rStyle w:val="NoteLabel"/>
              </w:rPr>
              <w:t>b</w:t>
            </w:r>
            <w:proofErr w:type="gramEnd"/>
            <w:r>
              <w:t xml:space="preserve"> Tas: 2:25 for children attending a preschool program. </w:t>
            </w:r>
            <w:proofErr w:type="gramStart"/>
            <w:r>
              <w:rPr>
                <w:rStyle w:val="NoteLabel"/>
              </w:rPr>
              <w:t>c</w:t>
            </w:r>
            <w:proofErr w:type="gramEnd"/>
            <w:r>
              <w:t xml:space="preserve"> SA: 1:10 for ‘disadvantaged preschools’ and preschool</w:t>
            </w:r>
            <w:r>
              <w:noBreakHyphen/>
              <w:t xml:space="preserve">aged children at an ECEC service other than a dedicated preschool. </w:t>
            </w:r>
            <w:proofErr w:type="gramStart"/>
            <w:r w:rsidR="006133C3">
              <w:rPr>
                <w:rStyle w:val="NoteLabel"/>
              </w:rPr>
              <w:t>d</w:t>
            </w:r>
            <w:proofErr w:type="gramEnd"/>
            <w:r w:rsidR="006133C3">
              <w:t xml:space="preserve"> ACT: 2:25 for preschool age children in a centre</w:t>
            </w:r>
            <w:r w:rsidR="006133C3">
              <w:noBreakHyphen/>
              <w:t>based preschool.</w:t>
            </w:r>
            <w:r w:rsidR="006133C3">
              <w:rPr>
                <w:rStyle w:val="NoteLabel"/>
              </w:rPr>
              <w:t xml:space="preserve"> </w:t>
            </w:r>
            <w:proofErr w:type="gramStart"/>
            <w:r w:rsidR="006133C3">
              <w:rPr>
                <w:rStyle w:val="NoteLabel"/>
              </w:rPr>
              <w:t>e</w:t>
            </w:r>
            <w:proofErr w:type="gramEnd"/>
            <w:r>
              <w:t xml:space="preserve"> </w:t>
            </w:r>
            <w:proofErr w:type="spellStart"/>
            <w:r>
              <w:t>Tas</w:t>
            </w:r>
            <w:proofErr w:type="spellEnd"/>
            <w:r>
              <w:t>: 1:12 for preschool age children in a centre</w:t>
            </w:r>
            <w:r>
              <w:noBreakHyphen/>
              <w:t xml:space="preserve">based preschool. </w:t>
            </w:r>
          </w:p>
        </w:tc>
      </w:tr>
      <w:tr w:rsidR="0015742B" w:rsidTr="00923BA7">
        <w:trPr>
          <w:cantSplit/>
        </w:trPr>
        <w:tc>
          <w:tcPr>
            <w:tcW w:w="8771" w:type="dxa"/>
            <w:tcBorders>
              <w:top w:val="nil"/>
              <w:left w:val="nil"/>
              <w:bottom w:val="nil"/>
              <w:right w:val="nil"/>
            </w:tcBorders>
            <w:shd w:val="clear" w:color="auto" w:fill="auto"/>
          </w:tcPr>
          <w:p w:rsidR="0015742B" w:rsidRDefault="0015742B" w:rsidP="00DA30AC">
            <w:pPr>
              <w:pStyle w:val="Source"/>
            </w:pPr>
            <w:r>
              <w:rPr>
                <w:i/>
              </w:rPr>
              <w:t>Source</w:t>
            </w:r>
            <w:r>
              <w:t>: Education and Care Services National Regulations 2011.</w:t>
            </w:r>
          </w:p>
        </w:tc>
      </w:tr>
      <w:tr w:rsidR="0015742B" w:rsidTr="00923BA7">
        <w:trPr>
          <w:cantSplit/>
        </w:trPr>
        <w:tc>
          <w:tcPr>
            <w:tcW w:w="8771" w:type="dxa"/>
            <w:tcBorders>
              <w:top w:val="nil"/>
              <w:left w:val="nil"/>
              <w:bottom w:val="single" w:sz="4" w:space="0" w:color="78A22F"/>
              <w:right w:val="nil"/>
            </w:tcBorders>
            <w:shd w:val="clear" w:color="auto" w:fill="auto"/>
          </w:tcPr>
          <w:p w:rsidR="0015742B" w:rsidRDefault="0015742B" w:rsidP="00DA30AC">
            <w:pPr>
              <w:pStyle w:val="Box"/>
              <w:spacing w:before="0" w:line="120" w:lineRule="exact"/>
            </w:pPr>
          </w:p>
        </w:tc>
      </w:tr>
      <w:tr w:rsidR="0015742B" w:rsidRPr="000863A5" w:rsidTr="00923BA7">
        <w:tc>
          <w:tcPr>
            <w:tcW w:w="8771" w:type="dxa"/>
            <w:tcBorders>
              <w:top w:val="single" w:sz="4" w:space="0" w:color="78A22F"/>
              <w:left w:val="nil"/>
              <w:bottom w:val="nil"/>
              <w:right w:val="nil"/>
            </w:tcBorders>
          </w:tcPr>
          <w:p w:rsidR="0015742B" w:rsidRPr="00626D32" w:rsidRDefault="0015742B" w:rsidP="00DA30AC">
            <w:pPr>
              <w:pStyle w:val="BoxSpaceBelow"/>
            </w:pPr>
          </w:p>
        </w:tc>
      </w:tr>
    </w:tbl>
    <w:p w:rsidR="00EF4890" w:rsidRDefault="00520FB0" w:rsidP="00EF4890">
      <w:pPr>
        <w:pStyle w:val="BodyText"/>
      </w:pPr>
      <w:r>
        <w:lastRenderedPageBreak/>
        <w:t>A family day care educator may not care for more than seven children at any one time, of which a maximum of four may be</w:t>
      </w:r>
      <w:r w:rsidR="00A354AD">
        <w:t xml:space="preserve"> under</w:t>
      </w:r>
      <w:r>
        <w:t xml:space="preserve"> school age </w:t>
      </w:r>
      <w:r w:rsidR="00E0016D">
        <w:t>(table </w:t>
      </w:r>
      <w:r w:rsidR="00C03891">
        <w:t>F</w:t>
      </w:r>
      <w:r w:rsidR="001509E0">
        <w:t>.</w:t>
      </w:r>
      <w:r w:rsidR="00E10BD1">
        <w:t>2)</w:t>
      </w:r>
      <w:r>
        <w:t>.</w:t>
      </w:r>
      <w:r w:rsidR="00967E03">
        <w:t xml:space="preserve"> </w:t>
      </w:r>
      <w:r w:rsidR="00EF4890">
        <w:t>This ratio now applies across all states and territories, but was adopted at different times:</w:t>
      </w:r>
    </w:p>
    <w:p w:rsidR="00EF4890" w:rsidRDefault="00EF4890" w:rsidP="00EF4890">
      <w:pPr>
        <w:pStyle w:val="ListBullet"/>
      </w:pPr>
      <w:r>
        <w:t>1</w:t>
      </w:r>
      <w:r w:rsidR="00D50C08">
        <w:t> </w:t>
      </w:r>
      <w:r>
        <w:t xml:space="preserve">January 2012 in </w:t>
      </w:r>
      <w:r w:rsidR="00391B7B">
        <w:t>the Australian Capital Territory</w:t>
      </w:r>
      <w:r>
        <w:t xml:space="preserve">, </w:t>
      </w:r>
      <w:r w:rsidR="00391B7B">
        <w:t>Queensland</w:t>
      </w:r>
      <w:r>
        <w:t xml:space="preserve">, </w:t>
      </w:r>
      <w:r w:rsidR="00391B7B">
        <w:t>South Australia and Victoria</w:t>
      </w:r>
      <w:r>
        <w:t xml:space="preserve"> </w:t>
      </w:r>
    </w:p>
    <w:p w:rsidR="00A16F09" w:rsidRDefault="00EF4890" w:rsidP="00E10BD1">
      <w:pPr>
        <w:pStyle w:val="ListBullet"/>
      </w:pPr>
      <w:r>
        <w:t>1</w:t>
      </w:r>
      <w:r w:rsidR="00D50C08">
        <w:t> </w:t>
      </w:r>
      <w:r>
        <w:t xml:space="preserve">January 2014 in </w:t>
      </w:r>
      <w:r w:rsidR="00391B7B">
        <w:t>New South Wales</w:t>
      </w:r>
      <w:r>
        <w:t xml:space="preserve">, </w:t>
      </w:r>
      <w:r w:rsidR="00391B7B">
        <w:t>the Northern Territory</w:t>
      </w:r>
      <w:r>
        <w:t xml:space="preserve">, </w:t>
      </w:r>
      <w:r w:rsidR="00391B7B">
        <w:t>Tasmania and</w:t>
      </w:r>
      <w:r>
        <w:t xml:space="preserve"> </w:t>
      </w:r>
      <w:r w:rsidR="00391B7B">
        <w:t>Western Australia</w:t>
      </w:r>
      <w:r w:rsidR="00ED4C65">
        <w:t>.</w:t>
      </w:r>
    </w:p>
    <w:p w:rsidR="00920185" w:rsidRDefault="00920185" w:rsidP="00DA30A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920185" w:rsidTr="00D25596">
        <w:tc>
          <w:tcPr>
            <w:tcW w:w="8771" w:type="dxa"/>
            <w:tcBorders>
              <w:top w:val="single" w:sz="4" w:space="0" w:color="78A22F"/>
              <w:left w:val="nil"/>
              <w:bottom w:val="nil"/>
              <w:right w:val="nil"/>
            </w:tcBorders>
            <w:shd w:val="clear" w:color="auto" w:fill="auto"/>
          </w:tcPr>
          <w:p w:rsidR="00920185" w:rsidRPr="00784A05" w:rsidRDefault="00920185" w:rsidP="00920185">
            <w:pPr>
              <w:pStyle w:val="TableTitle"/>
            </w:pPr>
            <w:r>
              <w:rPr>
                <w:b w:val="0"/>
              </w:rPr>
              <w:t xml:space="preserve">Table </w:t>
            </w:r>
            <w:r w:rsidR="00846333">
              <w:rPr>
                <w:b w:val="0"/>
              </w:rPr>
              <w:t>F.</w:t>
            </w:r>
            <w:r w:rsidR="00846333">
              <w:rPr>
                <w:b w:val="0"/>
                <w:noProof/>
              </w:rPr>
              <w:t>2</w:t>
            </w:r>
            <w:r>
              <w:tab/>
              <w:t>Staff ratios for family day care services</w:t>
            </w:r>
          </w:p>
        </w:tc>
      </w:tr>
      <w:tr w:rsidR="00920185" w:rsidTr="00DA30AC">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643"/>
              <w:gridCol w:w="1312"/>
              <w:gridCol w:w="5532"/>
            </w:tblGrid>
            <w:tr w:rsidR="00920185" w:rsidTr="00F47D7A">
              <w:tc>
                <w:tcPr>
                  <w:tcW w:w="968" w:type="pct"/>
                  <w:tcBorders>
                    <w:top w:val="single" w:sz="4" w:space="0" w:color="BFBFBF"/>
                    <w:bottom w:val="single" w:sz="4" w:space="0" w:color="BFBFBF"/>
                  </w:tcBorders>
                  <w:shd w:val="clear" w:color="auto" w:fill="auto"/>
                  <w:vAlign w:val="center"/>
                </w:tcPr>
                <w:p w:rsidR="00920185" w:rsidRDefault="00920185" w:rsidP="00F47D7A">
                  <w:pPr>
                    <w:pStyle w:val="TableColumnHeading"/>
                    <w:jc w:val="left"/>
                  </w:pPr>
                  <w:r>
                    <w:t>Age</w:t>
                  </w:r>
                </w:p>
              </w:tc>
              <w:tc>
                <w:tcPr>
                  <w:tcW w:w="773" w:type="pct"/>
                  <w:tcBorders>
                    <w:top w:val="single" w:sz="4" w:space="0" w:color="BFBFBF"/>
                    <w:bottom w:val="single" w:sz="4" w:space="0" w:color="BFBFBF"/>
                  </w:tcBorders>
                  <w:shd w:val="clear" w:color="auto" w:fill="auto"/>
                  <w:vAlign w:val="center"/>
                </w:tcPr>
                <w:p w:rsidR="00920185" w:rsidRDefault="00DB780C" w:rsidP="00F47D7A">
                  <w:pPr>
                    <w:pStyle w:val="TableColumnHeading"/>
                    <w:jc w:val="left"/>
                  </w:pPr>
                  <w:r>
                    <w:t xml:space="preserve">Target </w:t>
                  </w:r>
                  <w:r w:rsidR="00920185">
                    <w:t>Ratio</w:t>
                  </w:r>
                </w:p>
              </w:tc>
              <w:tc>
                <w:tcPr>
                  <w:tcW w:w="3259" w:type="pct"/>
                  <w:tcBorders>
                    <w:top w:val="single" w:sz="4" w:space="0" w:color="BFBFBF"/>
                    <w:bottom w:val="single" w:sz="4" w:space="0" w:color="BFBFBF"/>
                  </w:tcBorders>
                  <w:shd w:val="clear" w:color="auto" w:fill="auto"/>
                  <w:vAlign w:val="center"/>
                </w:tcPr>
                <w:p w:rsidR="00920185" w:rsidRDefault="00920185" w:rsidP="00F47D7A">
                  <w:pPr>
                    <w:pStyle w:val="TableColumnHeading"/>
                    <w:ind w:right="28"/>
                    <w:jc w:val="left"/>
                  </w:pPr>
                  <w:r>
                    <w:t xml:space="preserve">Until implementing </w:t>
                  </w:r>
                  <w:r w:rsidR="00DB780C">
                    <w:t>the target</w:t>
                  </w:r>
                </w:p>
              </w:tc>
            </w:tr>
            <w:tr w:rsidR="00920185" w:rsidRPr="00064A57" w:rsidTr="006133C3">
              <w:trPr>
                <w:trHeight w:val="379"/>
              </w:trPr>
              <w:tc>
                <w:tcPr>
                  <w:tcW w:w="968" w:type="pct"/>
                  <w:tcBorders>
                    <w:top w:val="single" w:sz="4" w:space="0" w:color="BFBFBF"/>
                  </w:tcBorders>
                  <w:shd w:val="clear" w:color="auto" w:fill="auto"/>
                </w:tcPr>
                <w:p w:rsidR="00920185" w:rsidRDefault="00920185" w:rsidP="00DA30AC">
                  <w:pPr>
                    <w:pStyle w:val="TableUnitsRow"/>
                    <w:jc w:val="left"/>
                  </w:pPr>
                  <w:r>
                    <w:t>All children</w:t>
                  </w:r>
                </w:p>
              </w:tc>
              <w:tc>
                <w:tcPr>
                  <w:tcW w:w="773" w:type="pct"/>
                  <w:tcBorders>
                    <w:top w:val="single" w:sz="4" w:space="0" w:color="BFBFBF"/>
                  </w:tcBorders>
                  <w:shd w:val="clear" w:color="auto" w:fill="auto"/>
                </w:tcPr>
                <w:p w:rsidR="00920185" w:rsidRPr="00064A57" w:rsidRDefault="00920185" w:rsidP="00DA30AC">
                  <w:pPr>
                    <w:pStyle w:val="TableUnitsRow"/>
                    <w:jc w:val="left"/>
                  </w:pPr>
                  <w:r w:rsidRPr="00064A57">
                    <w:t>1:7</w:t>
                  </w:r>
                </w:p>
              </w:tc>
              <w:tc>
                <w:tcPr>
                  <w:tcW w:w="3259" w:type="pct"/>
                  <w:tcBorders>
                    <w:top w:val="single" w:sz="4" w:space="0" w:color="BFBFBF"/>
                  </w:tcBorders>
                  <w:shd w:val="clear" w:color="auto" w:fill="auto"/>
                </w:tcPr>
                <w:p w:rsidR="00920185" w:rsidRPr="00064A57" w:rsidRDefault="00920185" w:rsidP="00DA30AC">
                  <w:pPr>
                    <w:pStyle w:val="TableUnitsRow"/>
                    <w:ind w:right="28"/>
                    <w:jc w:val="left"/>
                  </w:pPr>
                  <w:r>
                    <w:t>1:7 in all jurisdictions</w:t>
                  </w:r>
                </w:p>
              </w:tc>
            </w:tr>
            <w:tr w:rsidR="00920185" w:rsidRPr="00AB37B9" w:rsidTr="00F47D7A">
              <w:trPr>
                <w:trHeight w:val="1247"/>
              </w:trPr>
              <w:tc>
                <w:tcPr>
                  <w:tcW w:w="968" w:type="pct"/>
                  <w:tcBorders>
                    <w:bottom w:val="single" w:sz="4" w:space="0" w:color="BFBFBF"/>
                  </w:tcBorders>
                </w:tcPr>
                <w:p w:rsidR="00920185" w:rsidRDefault="00920185" w:rsidP="00DA30AC">
                  <w:pPr>
                    <w:pStyle w:val="TableBodyText"/>
                    <w:spacing w:before="80" w:after="80"/>
                    <w:jc w:val="left"/>
                  </w:pPr>
                  <w:r>
                    <w:t>Children under school age</w:t>
                  </w:r>
                </w:p>
              </w:tc>
              <w:tc>
                <w:tcPr>
                  <w:tcW w:w="773" w:type="pct"/>
                  <w:tcBorders>
                    <w:bottom w:val="single" w:sz="4" w:space="0" w:color="BFBFBF"/>
                  </w:tcBorders>
                </w:tcPr>
                <w:p w:rsidR="00920185" w:rsidRPr="00064A57" w:rsidRDefault="00920185" w:rsidP="00DA30AC">
                  <w:pPr>
                    <w:pStyle w:val="TableBodyText"/>
                    <w:spacing w:before="80" w:after="80"/>
                    <w:jc w:val="left"/>
                  </w:pPr>
                  <w:r w:rsidRPr="00064A57">
                    <w:t>At most 4</w:t>
                  </w:r>
                </w:p>
              </w:tc>
              <w:tc>
                <w:tcPr>
                  <w:tcW w:w="3259" w:type="pct"/>
                  <w:tcBorders>
                    <w:bottom w:val="single" w:sz="4" w:space="0" w:color="BFBFBF"/>
                  </w:tcBorders>
                </w:tcPr>
                <w:p w:rsidR="00920185" w:rsidRDefault="00920185" w:rsidP="00DA30AC">
                  <w:pPr>
                    <w:pStyle w:val="TableBodyText"/>
                    <w:spacing w:before="80" w:after="80"/>
                    <w:ind w:right="28"/>
                    <w:jc w:val="left"/>
                  </w:pPr>
                  <w:r>
                    <w:t>A maximum of 4 children under school age in ACT, Qld, SA, Vic</w:t>
                  </w:r>
                </w:p>
                <w:p w:rsidR="00920185" w:rsidRDefault="00920185" w:rsidP="00DA30AC">
                  <w:pPr>
                    <w:pStyle w:val="TableBodyText"/>
                    <w:spacing w:before="80" w:after="80"/>
                    <w:ind w:right="28"/>
                    <w:jc w:val="left"/>
                  </w:pPr>
                  <w:r>
                    <w:t>A maximum of 4 children under 5 years of age in Tas</w:t>
                  </w:r>
                </w:p>
                <w:p w:rsidR="00920185" w:rsidRDefault="00920185" w:rsidP="00DA30AC">
                  <w:pPr>
                    <w:pStyle w:val="TableBodyText"/>
                    <w:spacing w:before="80" w:after="80"/>
                    <w:ind w:right="28"/>
                    <w:jc w:val="left"/>
                  </w:pPr>
                  <w:r>
                    <w:t>A maximum of 5 children under 6 years of age in NSW</w:t>
                  </w:r>
                </w:p>
                <w:p w:rsidR="00920185" w:rsidRDefault="00920185" w:rsidP="00DA30AC">
                  <w:pPr>
                    <w:pStyle w:val="TableBodyText"/>
                    <w:spacing w:before="80" w:after="80"/>
                    <w:ind w:right="28"/>
                    <w:jc w:val="left"/>
                  </w:pPr>
                  <w:r>
                    <w:t>A maximum of 5 children below school age, with at least 1 to be a kindergarten child, in WA</w:t>
                  </w:r>
                </w:p>
                <w:p w:rsidR="00920185" w:rsidRPr="00AB37B9" w:rsidRDefault="00920185" w:rsidP="00DA30AC">
                  <w:pPr>
                    <w:pStyle w:val="TableBodyText"/>
                    <w:spacing w:before="80" w:after="80"/>
                    <w:ind w:right="28"/>
                    <w:jc w:val="left"/>
                  </w:pPr>
                  <w:r>
                    <w:t>A maximum of 2 children under 3 years of age in NT</w:t>
                  </w:r>
                </w:p>
              </w:tc>
            </w:tr>
          </w:tbl>
          <w:p w:rsidR="00920185" w:rsidRDefault="00920185" w:rsidP="00DA30AC">
            <w:pPr>
              <w:pStyle w:val="Box"/>
            </w:pPr>
          </w:p>
        </w:tc>
      </w:tr>
      <w:tr w:rsidR="00920185" w:rsidTr="00D25596">
        <w:trPr>
          <w:cantSplit/>
        </w:trPr>
        <w:tc>
          <w:tcPr>
            <w:tcW w:w="8771" w:type="dxa"/>
            <w:tcBorders>
              <w:top w:val="nil"/>
              <w:left w:val="nil"/>
              <w:bottom w:val="nil"/>
              <w:right w:val="nil"/>
            </w:tcBorders>
            <w:shd w:val="clear" w:color="auto" w:fill="auto"/>
          </w:tcPr>
          <w:p w:rsidR="00920185" w:rsidRDefault="00920185" w:rsidP="00DA30AC">
            <w:pPr>
              <w:pStyle w:val="Source"/>
            </w:pPr>
            <w:r>
              <w:rPr>
                <w:i/>
              </w:rPr>
              <w:t>Source</w:t>
            </w:r>
            <w:r>
              <w:t>: Education and Care Services National Regulations 2011.</w:t>
            </w:r>
          </w:p>
        </w:tc>
      </w:tr>
      <w:tr w:rsidR="00920185" w:rsidTr="00D25596">
        <w:trPr>
          <w:cantSplit/>
        </w:trPr>
        <w:tc>
          <w:tcPr>
            <w:tcW w:w="8771" w:type="dxa"/>
            <w:tcBorders>
              <w:top w:val="nil"/>
              <w:left w:val="nil"/>
              <w:bottom w:val="single" w:sz="4" w:space="0" w:color="78A22F"/>
              <w:right w:val="nil"/>
            </w:tcBorders>
            <w:shd w:val="clear" w:color="auto" w:fill="auto"/>
          </w:tcPr>
          <w:p w:rsidR="00920185" w:rsidRDefault="00920185" w:rsidP="00DA30AC">
            <w:pPr>
              <w:pStyle w:val="Box"/>
              <w:spacing w:before="0" w:line="120" w:lineRule="exact"/>
            </w:pPr>
          </w:p>
        </w:tc>
      </w:tr>
      <w:tr w:rsidR="00920185" w:rsidRPr="000863A5" w:rsidTr="00D25596">
        <w:tc>
          <w:tcPr>
            <w:tcW w:w="8771" w:type="dxa"/>
            <w:tcBorders>
              <w:top w:val="single" w:sz="4" w:space="0" w:color="78A22F"/>
              <w:left w:val="nil"/>
              <w:bottom w:val="nil"/>
              <w:right w:val="nil"/>
            </w:tcBorders>
          </w:tcPr>
          <w:p w:rsidR="00920185" w:rsidRPr="00626D32" w:rsidRDefault="00920185" w:rsidP="00DA30AC">
            <w:pPr>
              <w:pStyle w:val="BoxSpaceBelow"/>
            </w:pPr>
          </w:p>
        </w:tc>
      </w:tr>
    </w:tbl>
    <w:p w:rsidR="00623AF2" w:rsidRDefault="00623AF2" w:rsidP="00623AF2">
      <w:pPr>
        <w:pStyle w:val="BodyText"/>
      </w:pPr>
      <w:r>
        <w:t>A family day care service may care for more than seven children, or more than four children who are preschool age or under, in exceptional circumstances. These include when:</w:t>
      </w:r>
    </w:p>
    <w:p w:rsidR="00623AF2" w:rsidRDefault="00623AF2" w:rsidP="00623AF2">
      <w:pPr>
        <w:pStyle w:val="ListBullet"/>
      </w:pPr>
      <w:r>
        <w:t>all the children are siblings</w:t>
      </w:r>
    </w:p>
    <w:p w:rsidR="00623AF2" w:rsidRDefault="00623AF2" w:rsidP="00623AF2">
      <w:pPr>
        <w:pStyle w:val="ListBullet"/>
      </w:pPr>
      <w:r>
        <w:t>a child is in need of protection under child protection law</w:t>
      </w:r>
    </w:p>
    <w:p w:rsidR="00623AF2" w:rsidRDefault="00623AF2" w:rsidP="00623AF2">
      <w:pPr>
        <w:pStyle w:val="ListBullet"/>
      </w:pPr>
      <w:proofErr w:type="gramStart"/>
      <w:r>
        <w:t>the</w:t>
      </w:r>
      <w:proofErr w:type="gramEnd"/>
      <w:r>
        <w:t xml:space="preserve"> residence is in a rural or remote location and no alternative care is available</w:t>
      </w:r>
      <w:r w:rsidR="00C0420A">
        <w:t>.</w:t>
      </w:r>
    </w:p>
    <w:p w:rsidR="00591AFB" w:rsidRDefault="007C6886" w:rsidP="00591AFB">
      <w:pPr>
        <w:pStyle w:val="BodyText"/>
      </w:pPr>
      <w:r>
        <w:t>If the educator’s own children or any other children are at the service while it is operating and are under 13 years of age, they must be included in the total</w:t>
      </w:r>
      <w:r w:rsidR="000C0080">
        <w:t xml:space="preserve"> number</w:t>
      </w:r>
      <w:r>
        <w:t xml:space="preserve"> of children. The </w:t>
      </w:r>
      <w:r w:rsidR="00444355">
        <w:t>regulations</w:t>
      </w:r>
      <w:r w:rsidR="00E44815">
        <w:t xml:space="preserve"> for </w:t>
      </w:r>
      <w:r w:rsidR="00317AB6">
        <w:t>family day care also specify</w:t>
      </w:r>
      <w:r>
        <w:t xml:space="preserve"> that a maximum of seven children can be educated at each family day care residence at any one time, </w:t>
      </w:r>
      <w:r w:rsidR="00CB6DF9">
        <w:t>which means</w:t>
      </w:r>
      <w:r>
        <w:t xml:space="preserve"> a service cannot increase the number of educators at a residence in order to increase the number of available places. </w:t>
      </w:r>
    </w:p>
    <w:p w:rsidR="00C338C5" w:rsidRDefault="00C338C5" w:rsidP="00591AFB">
      <w:pPr>
        <w:pStyle w:val="BodyText"/>
      </w:pPr>
      <w:r>
        <w:t>The National Regulations do not prescribe how many coordinators are required in a family day care service. Providers are expected to determine how many coordinators are required to adequately monitor and support their educators.</w:t>
      </w:r>
    </w:p>
    <w:p w:rsidR="006731BB" w:rsidRDefault="006731BB" w:rsidP="006731BB">
      <w:pPr>
        <w:pStyle w:val="Heading4"/>
      </w:pPr>
      <w:r>
        <w:lastRenderedPageBreak/>
        <w:t>Qualification requirements</w:t>
      </w:r>
    </w:p>
    <w:p w:rsidR="00514BB1" w:rsidRDefault="0026729B" w:rsidP="006731BB">
      <w:pPr>
        <w:pStyle w:val="BodyText"/>
      </w:pPr>
      <w:r>
        <w:t>The NQF</w:t>
      </w:r>
      <w:r w:rsidR="0060380E">
        <w:t xml:space="preserve"> </w:t>
      </w:r>
      <w:r>
        <w:t>established new minimum qualification requirements for both centre</w:t>
      </w:r>
      <w:r>
        <w:noBreakHyphen/>
        <w:t xml:space="preserve">based and family day care services. </w:t>
      </w:r>
      <w:r w:rsidR="00BE216A">
        <w:t>These requirements are prescribed only for educators working with children who are under</w:t>
      </w:r>
      <w:r w:rsidR="00894DBF">
        <w:t xml:space="preserve"> school age</w:t>
      </w:r>
      <w:r w:rsidR="00BE216A">
        <w:t xml:space="preserve">, so they are not applicable to outside school </w:t>
      </w:r>
      <w:r w:rsidR="001960B4">
        <w:t xml:space="preserve">hours </w:t>
      </w:r>
      <w:r w:rsidR="00BE216A">
        <w:t>care services. However,</w:t>
      </w:r>
      <w:r w:rsidR="002F78D9">
        <w:t xml:space="preserve"> as</w:t>
      </w:r>
      <w:r w:rsidR="00CC3A2E">
        <w:t xml:space="preserve"> is the case</w:t>
      </w:r>
      <w:r w:rsidR="002F78D9">
        <w:t xml:space="preserve"> with staff ratios,</w:t>
      </w:r>
      <w:r w:rsidR="00BE216A">
        <w:t xml:space="preserve"> some states and territories have qualification requirements </w:t>
      </w:r>
      <w:r w:rsidR="00514BB1">
        <w:t>relating to the care of</w:t>
      </w:r>
      <w:r w:rsidR="00BE216A">
        <w:t xml:space="preserve"> </w:t>
      </w:r>
      <w:r w:rsidR="00514BB1">
        <w:t>children above preschool age</w:t>
      </w:r>
      <w:r w:rsidR="00BE216A">
        <w:t xml:space="preserve"> (chapter</w:t>
      </w:r>
      <w:r w:rsidR="00D50C08">
        <w:t> </w:t>
      </w:r>
      <w:r w:rsidR="00BE216A">
        <w:t xml:space="preserve">7). </w:t>
      </w:r>
    </w:p>
    <w:p w:rsidR="006731BB" w:rsidRDefault="005B0E8C" w:rsidP="006731BB">
      <w:pPr>
        <w:pStyle w:val="BodyText"/>
      </w:pPr>
      <w:r>
        <w:t xml:space="preserve">ACECQA </w:t>
      </w:r>
      <w:r w:rsidR="00AA1266">
        <w:t>maintains</w:t>
      </w:r>
      <w:r>
        <w:t xml:space="preserve"> and publishes a</w:t>
      </w:r>
      <w:r w:rsidR="00060A17">
        <w:t xml:space="preserve"> list of </w:t>
      </w:r>
      <w:r w:rsidR="00A72388">
        <w:t xml:space="preserve">nationally </w:t>
      </w:r>
      <w:r w:rsidR="00060A17">
        <w:t xml:space="preserve">approved qualifications for </w:t>
      </w:r>
      <w:r w:rsidR="00CE7B03">
        <w:t>centre</w:t>
      </w:r>
      <w:r w:rsidR="00CE7B03">
        <w:noBreakHyphen/>
        <w:t xml:space="preserve">based and family day care </w:t>
      </w:r>
      <w:r w:rsidR="00060A17">
        <w:t>services</w:t>
      </w:r>
      <w:r w:rsidR="00823F06">
        <w:t xml:space="preserve">. It </w:t>
      </w:r>
      <w:r w:rsidR="004D46B6">
        <w:t xml:space="preserve">also </w:t>
      </w:r>
      <w:r w:rsidR="00823F06">
        <w:t xml:space="preserve">maintains a </w:t>
      </w:r>
      <w:r w:rsidR="00EE59C6">
        <w:t xml:space="preserve">separate list of approved qualifications for </w:t>
      </w:r>
      <w:r w:rsidR="009C6238">
        <w:t xml:space="preserve">school age </w:t>
      </w:r>
      <w:r w:rsidR="00EE59C6">
        <w:t xml:space="preserve">children </w:t>
      </w:r>
      <w:r w:rsidR="00E93C65">
        <w:t>(</w:t>
      </w:r>
      <w:r w:rsidR="00323D96">
        <w:t>where qualifications are approved separately for each jurisdiction)</w:t>
      </w:r>
      <w:r w:rsidR="00887676">
        <w:t>.</w:t>
      </w:r>
    </w:p>
    <w:p w:rsidR="00C164D4" w:rsidRDefault="00521964" w:rsidP="006731BB">
      <w:pPr>
        <w:pStyle w:val="BodyText"/>
      </w:pPr>
      <w:r>
        <w:t>The</w:t>
      </w:r>
      <w:r w:rsidR="00E67F59">
        <w:t>re</w:t>
      </w:r>
      <w:r w:rsidR="00C164D4">
        <w:t xml:space="preserve"> are two sets of </w:t>
      </w:r>
      <w:r w:rsidR="00DC40A7">
        <w:t xml:space="preserve">qualification </w:t>
      </w:r>
      <w:r>
        <w:t>require</w:t>
      </w:r>
      <w:r w:rsidR="00C164D4">
        <w:t>ments for centre</w:t>
      </w:r>
      <w:r w:rsidR="00D50C08">
        <w:noBreakHyphen/>
      </w:r>
      <w:r w:rsidR="00C164D4">
        <w:t>based services</w:t>
      </w:r>
      <w:r w:rsidR="00CD06D6">
        <w:t xml:space="preserve"> (box </w:t>
      </w:r>
      <w:r w:rsidR="00C03891">
        <w:t>F</w:t>
      </w:r>
      <w:r w:rsidR="001509E0">
        <w:t>.</w:t>
      </w:r>
      <w:r w:rsidR="005316C4">
        <w:t>5</w:t>
      </w:r>
      <w:r w:rsidR="00CD06D6">
        <w:t>)</w:t>
      </w:r>
      <w:r w:rsidR="00C164D4">
        <w:t>:</w:t>
      </w:r>
    </w:p>
    <w:p w:rsidR="00C164D4" w:rsidRDefault="00C164D4" w:rsidP="00C164D4">
      <w:pPr>
        <w:pStyle w:val="ListBullet"/>
      </w:pPr>
      <w:r>
        <w:t xml:space="preserve">the hiring of </w:t>
      </w:r>
      <w:r w:rsidR="00AB50D5">
        <w:t>up to two full</w:t>
      </w:r>
      <w:r w:rsidR="00D50C08">
        <w:noBreakHyphen/>
      </w:r>
      <w:r w:rsidR="00AB50D5">
        <w:t>time equivalent</w:t>
      </w:r>
      <w:r>
        <w:t xml:space="preserve"> early childhood teachers, dependant on how many children are cared for on a given day</w:t>
      </w:r>
    </w:p>
    <w:p w:rsidR="00387652" w:rsidRDefault="00C164D4" w:rsidP="00387652">
      <w:pPr>
        <w:pStyle w:val="ListBullet"/>
      </w:pPr>
      <w:proofErr w:type="gramStart"/>
      <w:r>
        <w:t>minimum</w:t>
      </w:r>
      <w:proofErr w:type="gramEnd"/>
      <w:r>
        <w:t xml:space="preserve"> qualifications for other educators at the service.</w:t>
      </w:r>
    </w:p>
    <w:p w:rsidR="00DF3A0E" w:rsidRDefault="00DF3A0E" w:rsidP="00DF3A0E">
      <w:pPr>
        <w:pStyle w:val="BodyText"/>
      </w:pPr>
      <w:r>
        <w:t>Several jurisdictions maintain different requirements relating to the hiring of early childhood teachers (chapter</w:t>
      </w:r>
      <w:r w:rsidR="00D50C08">
        <w:t> </w:t>
      </w:r>
      <w:r>
        <w:t>7)</w:t>
      </w:r>
      <w:r w:rsidR="00CD5189">
        <w:t>.</w:t>
      </w:r>
    </w:p>
    <w:p w:rsidR="009C1BA0" w:rsidRDefault="009C1BA0" w:rsidP="009C1BA0">
      <w:pPr>
        <w:pStyle w:val="BodyText"/>
      </w:pPr>
      <w:r>
        <w:t>New qualification requirements for family day care services began on 1 January 2014. There are two sets of requirements, one each for family day care educators and coordinators:</w:t>
      </w:r>
    </w:p>
    <w:p w:rsidR="009C1BA0" w:rsidRDefault="009C1BA0" w:rsidP="009C1BA0">
      <w:pPr>
        <w:pStyle w:val="ListBullet"/>
      </w:pPr>
      <w:r>
        <w:t>family day care educators must have (or be actively working towards) at least an approved certificate III level education and care qualification</w:t>
      </w:r>
    </w:p>
    <w:p w:rsidR="009C1BA0" w:rsidRDefault="009C1BA0" w:rsidP="009C1BA0">
      <w:pPr>
        <w:pStyle w:val="ListBullet"/>
      </w:pPr>
      <w:proofErr w:type="gramStart"/>
      <w:r>
        <w:t>family</w:t>
      </w:r>
      <w:proofErr w:type="gramEnd"/>
      <w:r>
        <w:t xml:space="preserve"> day care coordinators must have at least an approved diploma level education and care qualification.</w:t>
      </w:r>
    </w:p>
    <w:p w:rsidR="009C1BA0" w:rsidRDefault="009C1BA0" w:rsidP="009C1BA0">
      <w:pPr>
        <w:pStyle w:val="BodyText"/>
      </w:pPr>
      <w:r>
        <w:t>In addition to the qualification requirements above, both centre</w:t>
      </w:r>
      <w:r>
        <w:noBreakHyphen/>
        <w:t>based and family day care services must meet first aid qualification requirements:</w:t>
      </w:r>
    </w:p>
    <w:p w:rsidR="009C1BA0" w:rsidRPr="006772FD" w:rsidRDefault="009C1BA0" w:rsidP="009C1BA0">
      <w:pPr>
        <w:pStyle w:val="ListBullet"/>
      </w:pPr>
      <w:r w:rsidRPr="006772FD">
        <w:t>a centre</w:t>
      </w:r>
      <w:r>
        <w:noBreakHyphen/>
      </w:r>
      <w:r w:rsidRPr="006772FD">
        <w:t>based service must have, in attendance and immediately available in case of an emergency, at least one educator who holds a current approved first aid qualification, one educator who has undertaken anaphylaxis management training and one educator who has undertaken emergency asthma management training</w:t>
      </w:r>
    </w:p>
    <w:p w:rsidR="009C1BA0" w:rsidRDefault="009C1BA0" w:rsidP="009C1BA0">
      <w:pPr>
        <w:pStyle w:val="ListBullet2"/>
      </w:pPr>
      <w:r>
        <w:t>the same educator may hold more than one of these qualifications</w:t>
      </w:r>
    </w:p>
    <w:p w:rsidR="009C1BA0" w:rsidRDefault="009C1BA0" w:rsidP="009C1BA0">
      <w:pPr>
        <w:pStyle w:val="ListBullet2"/>
      </w:pPr>
      <w:r>
        <w:t>if the service is provided by a school on a school site, the person holding these qualifications may be on the wider school site (that is, not at the ECEC service itself) as long as they are available in an emergency (for example, a school nurse)</w:t>
      </w:r>
    </w:p>
    <w:p w:rsidR="009C1BA0" w:rsidRDefault="009C1BA0" w:rsidP="00DF3A0E">
      <w:pPr>
        <w:pStyle w:val="ListBullet"/>
      </w:pPr>
      <w:proofErr w:type="gramStart"/>
      <w:r>
        <w:t>each</w:t>
      </w:r>
      <w:proofErr w:type="gramEnd"/>
      <w:r>
        <w:t xml:space="preserve"> family day care educator must hold a current approved first aid qualification, have undertaken anaphylaxis management training and emergency asthma management training.</w:t>
      </w:r>
    </w:p>
    <w:p w:rsidR="00B9553A" w:rsidRDefault="00B9553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9553A" w:rsidTr="00DA30AC">
        <w:tc>
          <w:tcPr>
            <w:tcW w:w="8771" w:type="dxa"/>
            <w:tcBorders>
              <w:top w:val="single" w:sz="6" w:space="0" w:color="78A22F"/>
              <w:left w:val="nil"/>
              <w:bottom w:val="nil"/>
              <w:right w:val="nil"/>
            </w:tcBorders>
            <w:shd w:val="clear" w:color="auto" w:fill="F2F2F2" w:themeFill="background1" w:themeFillShade="F2"/>
          </w:tcPr>
          <w:p w:rsidR="00B9553A" w:rsidRDefault="00B9553A">
            <w:pPr>
              <w:pStyle w:val="BoxTitle"/>
            </w:pPr>
            <w:r>
              <w:rPr>
                <w:b w:val="0"/>
              </w:rPr>
              <w:t xml:space="preserve">Box </w:t>
            </w:r>
            <w:r w:rsidR="00846333">
              <w:rPr>
                <w:b w:val="0"/>
              </w:rPr>
              <w:t>F.</w:t>
            </w:r>
            <w:r w:rsidR="00846333">
              <w:rPr>
                <w:b w:val="0"/>
                <w:noProof/>
              </w:rPr>
              <w:t>5</w:t>
            </w:r>
            <w:r>
              <w:tab/>
              <w:t>Qualification requirements for centre</w:t>
            </w:r>
            <w:r>
              <w:noBreakHyphen/>
              <w:t>based services</w:t>
            </w:r>
          </w:p>
        </w:tc>
      </w:tr>
      <w:tr w:rsidR="00B9553A" w:rsidTr="00DA30AC">
        <w:trPr>
          <w:cantSplit/>
        </w:trPr>
        <w:tc>
          <w:tcPr>
            <w:tcW w:w="8771" w:type="dxa"/>
            <w:tcBorders>
              <w:top w:val="nil"/>
              <w:left w:val="nil"/>
              <w:bottom w:val="nil"/>
              <w:right w:val="nil"/>
            </w:tcBorders>
            <w:shd w:val="clear" w:color="auto" w:fill="F2F2F2" w:themeFill="background1" w:themeFillShade="F2"/>
          </w:tcPr>
          <w:p w:rsidR="00B9553A" w:rsidRDefault="00B9553A" w:rsidP="00B9553A">
            <w:pPr>
              <w:pStyle w:val="BoxHeading1"/>
            </w:pPr>
            <w:r>
              <w:t>Early childhood teachers</w:t>
            </w:r>
          </w:p>
          <w:p w:rsidR="00B9553A" w:rsidRDefault="00B9553A" w:rsidP="00B9553A">
            <w:pPr>
              <w:pStyle w:val="BoxHeading2"/>
            </w:pPr>
            <w:r>
              <w:t>From 1 January 2014</w:t>
            </w:r>
          </w:p>
          <w:p w:rsidR="00B9553A" w:rsidRDefault="00B9553A" w:rsidP="00B9553A">
            <w:pPr>
              <w:pStyle w:val="Box"/>
            </w:pPr>
            <w:r>
              <w:t>Services providing care to less than 25 children must ensure an early childhood teacher is in attendance at least 20 per cent of operating hours.</w:t>
            </w:r>
          </w:p>
          <w:p w:rsidR="00B9553A" w:rsidRDefault="00B9553A" w:rsidP="00B9553A">
            <w:pPr>
              <w:pStyle w:val="Box"/>
              <w:spacing w:before="240"/>
            </w:pPr>
            <w:r>
              <w:t>Services providing care to 25 or more children on any given day must ensure an early childhood teacher is in attendance for at least:</w:t>
            </w:r>
          </w:p>
          <w:p w:rsidR="00B9553A" w:rsidRDefault="00B9553A" w:rsidP="00B9553A">
            <w:pPr>
              <w:pStyle w:val="BoxListBullet"/>
            </w:pPr>
            <w:r>
              <w:t>six hours on that day (for a service that operates for 50 or more hours per week)</w:t>
            </w:r>
          </w:p>
          <w:p w:rsidR="00B9553A" w:rsidRDefault="00B9553A" w:rsidP="00B9553A">
            <w:pPr>
              <w:pStyle w:val="BoxListBullet"/>
            </w:pPr>
            <w:r>
              <w:t>60 per cent of operating hours (for a service that operates for less than 50 hours)</w:t>
            </w:r>
          </w:p>
          <w:p w:rsidR="00B9553A" w:rsidRPr="00E70D78" w:rsidRDefault="00B9553A" w:rsidP="00B9553A">
            <w:pPr>
              <w:pStyle w:val="BoxListBullet2"/>
            </w:pPr>
            <w:r w:rsidRPr="00E70D78">
              <w:t>A service may comply with these requirements by engaging a full</w:t>
            </w:r>
            <w:r>
              <w:noBreakHyphen/>
            </w:r>
            <w:r w:rsidRPr="00E70D78">
              <w:t>time equivalent early childhood teacher.</w:t>
            </w:r>
          </w:p>
          <w:p w:rsidR="00B9553A" w:rsidRDefault="00B9553A" w:rsidP="00B9553A">
            <w:pPr>
              <w:pStyle w:val="BoxHeading2"/>
            </w:pPr>
            <w:r>
              <w:t>By 1 January 2020</w:t>
            </w:r>
          </w:p>
          <w:p w:rsidR="00B9553A" w:rsidRDefault="00B9553A" w:rsidP="00B9553A">
            <w:pPr>
              <w:pStyle w:val="Box"/>
            </w:pPr>
            <w:r>
              <w:t xml:space="preserve">Services providing care to between 60 and 80 children on any given day must ensure a </w:t>
            </w:r>
            <w:r w:rsidRPr="00700319">
              <w:rPr>
                <w:b/>
              </w:rPr>
              <w:t>second</w:t>
            </w:r>
            <w:r>
              <w:t xml:space="preserve"> early childhood teacher is in attendance for at least:</w:t>
            </w:r>
          </w:p>
          <w:p w:rsidR="00B9553A" w:rsidRDefault="00B9553A" w:rsidP="00B9553A">
            <w:pPr>
              <w:pStyle w:val="BoxListBullet"/>
            </w:pPr>
            <w:r>
              <w:t>three hours on that day (for a service that operates for 50 or more hours per week)</w:t>
            </w:r>
          </w:p>
          <w:p w:rsidR="00B9553A" w:rsidRDefault="00B9553A" w:rsidP="00B9553A">
            <w:pPr>
              <w:pStyle w:val="BoxListBullet"/>
            </w:pPr>
            <w:r>
              <w:t>30 per cent of operating hours (for a service that operates for less than 50 hours)</w:t>
            </w:r>
          </w:p>
          <w:p w:rsidR="00B9553A" w:rsidRPr="00E70D78" w:rsidRDefault="00B9553A" w:rsidP="00B9553A">
            <w:pPr>
              <w:pStyle w:val="BoxListBullet2"/>
            </w:pPr>
            <w:r w:rsidRPr="00E70D78">
              <w:t>A service may comply with these requirements by engaging a second early childhood teacher for half of full</w:t>
            </w:r>
            <w:r>
              <w:noBreakHyphen/>
            </w:r>
            <w:r w:rsidRPr="00E70D78">
              <w:t>time equivalent hours.</w:t>
            </w:r>
          </w:p>
          <w:p w:rsidR="00B9553A" w:rsidRDefault="00B9553A" w:rsidP="00B9553A">
            <w:pPr>
              <w:pStyle w:val="Box"/>
              <w:spacing w:before="240"/>
            </w:pPr>
            <w:r>
              <w:t xml:space="preserve">Services providing care to more than 80 children on any given day must ensure a </w:t>
            </w:r>
            <w:r w:rsidRPr="00700319">
              <w:rPr>
                <w:b/>
              </w:rPr>
              <w:t>second</w:t>
            </w:r>
            <w:r>
              <w:t xml:space="preserve"> early childhood teacher is in attendance for at least:</w:t>
            </w:r>
          </w:p>
          <w:p w:rsidR="00B9553A" w:rsidRDefault="00B9553A" w:rsidP="00B9553A">
            <w:pPr>
              <w:pStyle w:val="BoxListBullet"/>
            </w:pPr>
            <w:r>
              <w:t>six hours on that day (for a service that operates for 50 or more hours per week)</w:t>
            </w:r>
          </w:p>
          <w:p w:rsidR="00B9553A" w:rsidRDefault="00B9553A" w:rsidP="00B9553A">
            <w:pPr>
              <w:pStyle w:val="BoxListBullet"/>
            </w:pPr>
            <w:r>
              <w:t>60 per cent of operating hours (for a service that operates for less than 50 hours)</w:t>
            </w:r>
          </w:p>
          <w:p w:rsidR="00B9553A" w:rsidRPr="00E70D78" w:rsidRDefault="00B9553A" w:rsidP="00B9553A">
            <w:pPr>
              <w:pStyle w:val="BoxListBullet2"/>
            </w:pPr>
            <w:r w:rsidRPr="00E70D78">
              <w:t>A service may comply with these requirements by engaging a second full</w:t>
            </w:r>
            <w:r>
              <w:noBreakHyphen/>
            </w:r>
            <w:r w:rsidRPr="00E70D78">
              <w:t>time equivalent early childhood teacher.</w:t>
            </w:r>
          </w:p>
          <w:p w:rsidR="00B9553A" w:rsidRDefault="00B9553A" w:rsidP="00B9553A">
            <w:pPr>
              <w:pStyle w:val="BoxHeading1"/>
            </w:pPr>
            <w:r>
              <w:t>Other educators</w:t>
            </w:r>
          </w:p>
          <w:p w:rsidR="00B9553A" w:rsidRDefault="00B9553A" w:rsidP="00B9553A">
            <w:pPr>
              <w:pStyle w:val="Box"/>
            </w:pPr>
            <w:r>
              <w:t>From 1 January 2014, minimum qualification requirements apply to all educators necessary to meet the minimum staff ratios for a service (i.e. educators that are excess to minimum staff ratio requirements do not require qualifications):</w:t>
            </w:r>
          </w:p>
          <w:p w:rsidR="00B9553A" w:rsidRDefault="00B9553A" w:rsidP="00B9553A">
            <w:pPr>
              <w:pStyle w:val="BoxListBullet"/>
            </w:pPr>
            <w:r>
              <w:t>at least 50 per cent must have (or be actively working towards) at least an approved diploma level education and care qualification</w:t>
            </w:r>
          </w:p>
          <w:p w:rsidR="00B9553A" w:rsidRDefault="00B9553A" w:rsidP="00B9553A">
            <w:pPr>
              <w:pStyle w:val="BoxListBullet"/>
            </w:pPr>
            <w:proofErr w:type="gramStart"/>
            <w:r>
              <w:t>the</w:t>
            </w:r>
            <w:proofErr w:type="gramEnd"/>
            <w:r>
              <w:t xml:space="preserve"> remaining educators necessary to meet the minimum staff ratios must have (or be actively working towards) at least an approved Certificate III level education and care qualification.</w:t>
            </w:r>
          </w:p>
        </w:tc>
      </w:tr>
      <w:tr w:rsidR="00B9553A" w:rsidTr="00DA30AC">
        <w:trPr>
          <w:cantSplit/>
        </w:trPr>
        <w:tc>
          <w:tcPr>
            <w:tcW w:w="8771" w:type="dxa"/>
            <w:tcBorders>
              <w:top w:val="nil"/>
              <w:left w:val="nil"/>
              <w:bottom w:val="nil"/>
              <w:right w:val="nil"/>
            </w:tcBorders>
            <w:shd w:val="clear" w:color="auto" w:fill="F2F2F2" w:themeFill="background1" w:themeFillShade="F2"/>
          </w:tcPr>
          <w:p w:rsidR="00B9553A" w:rsidRDefault="00B9553A" w:rsidP="00DA30AC">
            <w:pPr>
              <w:pStyle w:val="BoxSource"/>
            </w:pPr>
            <w:r>
              <w:rPr>
                <w:i/>
              </w:rPr>
              <w:t>Source</w:t>
            </w:r>
            <w:r w:rsidRPr="00167F06">
              <w:t xml:space="preserve">: </w:t>
            </w:r>
            <w:r>
              <w:t xml:space="preserve">ACECQA </w:t>
            </w:r>
            <w:r w:rsidRPr="001851A6">
              <w:rPr>
                <w:rFonts w:cs="Arial"/>
              </w:rPr>
              <w:t>(2013c)</w:t>
            </w:r>
            <w:r>
              <w:t>.</w:t>
            </w:r>
          </w:p>
        </w:tc>
      </w:tr>
      <w:tr w:rsidR="00B9553A" w:rsidTr="00DA30AC">
        <w:trPr>
          <w:cantSplit/>
        </w:trPr>
        <w:tc>
          <w:tcPr>
            <w:tcW w:w="8771" w:type="dxa"/>
            <w:tcBorders>
              <w:top w:val="nil"/>
              <w:left w:val="nil"/>
              <w:bottom w:val="single" w:sz="6" w:space="0" w:color="78A22F"/>
              <w:right w:val="nil"/>
            </w:tcBorders>
            <w:shd w:val="clear" w:color="auto" w:fill="F2F2F2" w:themeFill="background1" w:themeFillShade="F2"/>
          </w:tcPr>
          <w:p w:rsidR="00B9553A" w:rsidRDefault="00B9553A">
            <w:pPr>
              <w:pStyle w:val="Box"/>
              <w:spacing w:before="0" w:line="120" w:lineRule="exact"/>
            </w:pPr>
          </w:p>
        </w:tc>
      </w:tr>
      <w:tr w:rsidR="00B9553A" w:rsidRPr="000863A5" w:rsidTr="00DA30AC">
        <w:tc>
          <w:tcPr>
            <w:tcW w:w="8771" w:type="dxa"/>
            <w:tcBorders>
              <w:top w:val="single" w:sz="6" w:space="0" w:color="78A22F"/>
              <w:left w:val="nil"/>
              <w:bottom w:val="nil"/>
              <w:right w:val="nil"/>
            </w:tcBorders>
          </w:tcPr>
          <w:p w:rsidR="00B9553A" w:rsidRPr="00626D32" w:rsidRDefault="00B9553A" w:rsidP="00DA30AC">
            <w:pPr>
              <w:pStyle w:val="BoxSpaceBelow"/>
            </w:pPr>
          </w:p>
        </w:tc>
      </w:tr>
    </w:tbl>
    <w:p w:rsidR="00165B0A" w:rsidRDefault="00054BE4" w:rsidP="00165B0A">
      <w:pPr>
        <w:pStyle w:val="Heading3"/>
      </w:pPr>
      <w:r>
        <w:lastRenderedPageBreak/>
        <w:t>The assessment and ratings process</w:t>
      </w:r>
    </w:p>
    <w:p w:rsidR="00FF7306" w:rsidRDefault="00C975BF" w:rsidP="00FF7306">
      <w:pPr>
        <w:pStyle w:val="BodyText"/>
      </w:pPr>
      <w:r>
        <w:t>Approved services are assessed by their jurisdiction</w:t>
      </w:r>
      <w:r w:rsidR="00D50C08">
        <w:noBreakHyphen/>
      </w:r>
      <w:r>
        <w:t xml:space="preserve">based Regulatory Authority and receive a rating for each of the seven NQS quality areas and an overall rating. </w:t>
      </w:r>
      <w:r w:rsidR="00FF7306">
        <w:t>There are five rating levels that a service may receive as a result of the assessment process:</w:t>
      </w:r>
    </w:p>
    <w:p w:rsidR="00FF7306" w:rsidRDefault="00FF7306" w:rsidP="00FF7306">
      <w:pPr>
        <w:pStyle w:val="ListBullet"/>
      </w:pPr>
      <w:r>
        <w:t>Excellent</w:t>
      </w:r>
      <w:r w:rsidR="00764178">
        <w:t xml:space="preserve"> (overall</w:t>
      </w:r>
      <w:r w:rsidR="003128B4">
        <w:t xml:space="preserve"> rating</w:t>
      </w:r>
      <w:r w:rsidR="00764178">
        <w:t xml:space="preserve"> only)</w:t>
      </w:r>
      <w:r>
        <w:t xml:space="preserve"> – awarded by ACECQA </w:t>
      </w:r>
      <w:r w:rsidR="004A4686">
        <w:t>on application</w:t>
      </w:r>
    </w:p>
    <w:p w:rsidR="00FF7306" w:rsidRDefault="00FF7306" w:rsidP="00FF7306">
      <w:pPr>
        <w:pStyle w:val="ListBullet"/>
      </w:pPr>
      <w:r>
        <w:t>Exceeding NQS</w:t>
      </w:r>
    </w:p>
    <w:p w:rsidR="00FF7306" w:rsidRDefault="00FF7306" w:rsidP="00FF7306">
      <w:pPr>
        <w:pStyle w:val="ListBullet"/>
      </w:pPr>
      <w:r>
        <w:t>Meeting NQS</w:t>
      </w:r>
    </w:p>
    <w:p w:rsidR="00FF7306" w:rsidRDefault="00FF7306" w:rsidP="00FF7306">
      <w:pPr>
        <w:pStyle w:val="ListBullet"/>
      </w:pPr>
      <w:r>
        <w:t>Working Towards NQS</w:t>
      </w:r>
    </w:p>
    <w:p w:rsidR="00FF7306" w:rsidRDefault="00FF7306" w:rsidP="00FF7306">
      <w:pPr>
        <w:pStyle w:val="ListBullet"/>
      </w:pPr>
      <w:r>
        <w:t>Significant Improvement Required.</w:t>
      </w:r>
    </w:p>
    <w:p w:rsidR="00FF7306" w:rsidRDefault="00895FA7" w:rsidP="00FF7306">
      <w:pPr>
        <w:pStyle w:val="BodyText"/>
      </w:pPr>
      <w:r>
        <w:t>These ratings must be displayed by the service and are published on the ACECQA and MyChild websites.</w:t>
      </w:r>
      <w:r w:rsidR="00C46919">
        <w:t xml:space="preserve"> As at 31</w:t>
      </w:r>
      <w:r w:rsidR="00D50C08">
        <w:t> </w:t>
      </w:r>
      <w:r w:rsidR="00C46919">
        <w:t>March 2014, approximately 60 per cent of</w:t>
      </w:r>
      <w:r w:rsidR="00A71FCD">
        <w:t xml:space="preserve"> </w:t>
      </w:r>
      <w:r w:rsidR="00C41356">
        <w:t xml:space="preserve">the </w:t>
      </w:r>
      <w:r w:rsidR="00A71FCD">
        <w:t>long day care and family day care</w:t>
      </w:r>
      <w:r w:rsidR="00C46919">
        <w:t xml:space="preserve"> services</w:t>
      </w:r>
      <w:r w:rsidR="00C41356">
        <w:t xml:space="preserve"> which had been assessed</w:t>
      </w:r>
      <w:r w:rsidR="000D49FA">
        <w:t xml:space="preserve"> </w:t>
      </w:r>
      <w:r w:rsidR="00C46919">
        <w:t>had received either a Meet</w:t>
      </w:r>
      <w:r w:rsidR="00151067">
        <w:t xml:space="preserve">ing or </w:t>
      </w:r>
      <w:proofErr w:type="gramStart"/>
      <w:r w:rsidR="00151067">
        <w:t>Exceeding</w:t>
      </w:r>
      <w:proofErr w:type="gramEnd"/>
      <w:r w:rsidR="00151067">
        <w:t xml:space="preserve"> rating (figure </w:t>
      </w:r>
      <w:r w:rsidR="00C03891">
        <w:t>F</w:t>
      </w:r>
      <w:r w:rsidR="001509E0">
        <w:t>.</w:t>
      </w:r>
      <w:r w:rsidR="00C46919">
        <w:t>2)</w:t>
      </w:r>
      <w:r w:rsidR="00151067">
        <w:t xml:space="preserve">. </w:t>
      </w:r>
      <w:r w:rsidR="000D49FA">
        <w:t xml:space="preserve">Family day care services were </w:t>
      </w:r>
      <w:r w:rsidR="005458EB">
        <w:t xml:space="preserve">slightly </w:t>
      </w:r>
      <w:r w:rsidR="000D49FA">
        <w:t xml:space="preserve">more likely to be rated </w:t>
      </w:r>
      <w:r w:rsidR="00395538">
        <w:t xml:space="preserve">as </w:t>
      </w:r>
      <w:r w:rsidR="000D49FA">
        <w:t xml:space="preserve">Working </w:t>
      </w:r>
      <w:proofErr w:type="gramStart"/>
      <w:r w:rsidR="000D49FA">
        <w:t>Towards</w:t>
      </w:r>
      <w:proofErr w:type="gramEnd"/>
      <w:r w:rsidR="000D49FA">
        <w:t xml:space="preserve"> NQS, but equally likely to be rated </w:t>
      </w:r>
      <w:r w:rsidR="00395538">
        <w:t xml:space="preserve">as </w:t>
      </w:r>
      <w:r w:rsidR="0009629E">
        <w:t>Exceeding</w:t>
      </w:r>
      <w:r w:rsidR="000D49FA">
        <w:t>.</w:t>
      </w:r>
    </w:p>
    <w:p w:rsidR="00B756E4" w:rsidRDefault="00B756E4" w:rsidP="00DA30A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756E4" w:rsidTr="00DA30AC">
        <w:tc>
          <w:tcPr>
            <w:tcW w:w="8771" w:type="dxa"/>
            <w:tcBorders>
              <w:top w:val="single" w:sz="6" w:space="0" w:color="78A22F"/>
              <w:left w:val="nil"/>
              <w:bottom w:val="nil"/>
              <w:right w:val="nil"/>
            </w:tcBorders>
            <w:shd w:val="clear" w:color="auto" w:fill="auto"/>
          </w:tcPr>
          <w:p w:rsidR="00B756E4" w:rsidRDefault="00B756E4" w:rsidP="00DA30AC">
            <w:pPr>
              <w:pStyle w:val="FigureTitle"/>
            </w:pPr>
            <w:r w:rsidRPr="00784A05">
              <w:rPr>
                <w:b w:val="0"/>
              </w:rPr>
              <w:t xml:space="preserve">Figure </w:t>
            </w:r>
            <w:r w:rsidR="00846333">
              <w:rPr>
                <w:b w:val="0"/>
              </w:rPr>
              <w:t>F.</w:t>
            </w:r>
            <w:r w:rsidR="00846333">
              <w:rPr>
                <w:b w:val="0"/>
                <w:noProof/>
              </w:rPr>
              <w:t>2</w:t>
            </w:r>
            <w:r>
              <w:tab/>
              <w:t>Distribution of ratings across service types</w:t>
            </w:r>
          </w:p>
          <w:p w:rsidR="00B756E4" w:rsidRPr="00176D3F" w:rsidRDefault="00B756E4" w:rsidP="00B96644">
            <w:pPr>
              <w:pStyle w:val="Subtitle"/>
            </w:pPr>
            <w:r>
              <w:t xml:space="preserve">n = </w:t>
            </w:r>
            <w:r w:rsidR="00C30BAA">
              <w:t>5821</w:t>
            </w:r>
            <w:r>
              <w:rPr>
                <w:rStyle w:val="NoteLabel"/>
              </w:rPr>
              <w:t>a</w:t>
            </w:r>
          </w:p>
        </w:tc>
      </w:tr>
      <w:tr w:rsidR="00B756E4" w:rsidTr="00DA30AC">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B756E4" w:rsidTr="00DA30AC">
              <w:tc>
                <w:tcPr>
                  <w:tcW w:w="5000" w:type="pct"/>
                  <w:tcBorders>
                    <w:top w:val="nil"/>
                    <w:bottom w:val="nil"/>
                  </w:tcBorders>
                </w:tcPr>
                <w:p w:rsidR="00B756E4" w:rsidRDefault="00CF45E6" w:rsidP="00DA30AC">
                  <w:pPr>
                    <w:pStyle w:val="Figure"/>
                    <w:spacing w:before="60" w:after="60"/>
                  </w:pPr>
                  <w:r>
                    <w:rPr>
                      <w:noProof/>
                    </w:rPr>
                    <w:drawing>
                      <wp:inline distT="0" distB="0" distL="0" distR="0" wp14:anchorId="7ABD286A" wp14:editId="45C45DF9">
                        <wp:extent cx="5391150" cy="2867025"/>
                        <wp:effectExtent l="0" t="0" r="0" b="9525"/>
                        <wp:docPr id="2" name="Picture 2" descr="Distribution of Working Towards, Meeting and Exceeding ratings, broken down by centre based and family day car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B756E4" w:rsidRDefault="00B756E4" w:rsidP="00DA30AC">
            <w:pPr>
              <w:pStyle w:val="Figure"/>
            </w:pPr>
          </w:p>
        </w:tc>
      </w:tr>
      <w:tr w:rsidR="00B756E4" w:rsidRPr="00176D3F" w:rsidTr="00DA30AC">
        <w:tc>
          <w:tcPr>
            <w:tcW w:w="8771" w:type="dxa"/>
            <w:tcBorders>
              <w:top w:val="nil"/>
              <w:left w:val="nil"/>
              <w:bottom w:val="nil"/>
              <w:right w:val="nil"/>
            </w:tcBorders>
            <w:shd w:val="clear" w:color="auto" w:fill="auto"/>
          </w:tcPr>
          <w:p w:rsidR="00B756E4" w:rsidRPr="00176D3F" w:rsidRDefault="00B756E4" w:rsidP="00DA30AC">
            <w:pPr>
              <w:pStyle w:val="Note"/>
            </w:pPr>
            <w:proofErr w:type="gramStart"/>
            <w:r>
              <w:rPr>
                <w:rStyle w:val="NoteLabel"/>
              </w:rPr>
              <w:t>a</w:t>
            </w:r>
            <w:proofErr w:type="gramEnd"/>
            <w:r>
              <w:t xml:space="preserve"> </w:t>
            </w:r>
            <w:r w:rsidRPr="008D0E8F">
              <w:t xml:space="preserve">Excluding </w:t>
            </w:r>
            <w:r w:rsidR="00114585">
              <w:t>6</w:t>
            </w:r>
            <w:r w:rsidRPr="008D0E8F">
              <w:t xml:space="preserve"> Significant Improvement Required and 1</w:t>
            </w:r>
            <w:r w:rsidR="00114585">
              <w:t>4</w:t>
            </w:r>
            <w:r w:rsidRPr="008D0E8F">
              <w:t xml:space="preserve"> Excellent ratings</w:t>
            </w:r>
            <w:r>
              <w:t>.</w:t>
            </w:r>
          </w:p>
        </w:tc>
      </w:tr>
      <w:tr w:rsidR="00B756E4" w:rsidRPr="00176D3F" w:rsidTr="00DA30AC">
        <w:tc>
          <w:tcPr>
            <w:tcW w:w="8771" w:type="dxa"/>
            <w:tcBorders>
              <w:top w:val="nil"/>
              <w:left w:val="nil"/>
              <w:bottom w:val="nil"/>
              <w:right w:val="nil"/>
            </w:tcBorders>
            <w:shd w:val="clear" w:color="auto" w:fill="auto"/>
          </w:tcPr>
          <w:p w:rsidR="00B756E4" w:rsidRPr="00176D3F" w:rsidRDefault="00564325" w:rsidP="00DA30AC">
            <w:pPr>
              <w:pStyle w:val="Source"/>
            </w:pPr>
            <w:r>
              <w:rPr>
                <w:i/>
              </w:rPr>
              <w:t>S</w:t>
            </w:r>
            <w:r w:rsidR="00B756E4">
              <w:rPr>
                <w:i/>
              </w:rPr>
              <w:t>ource</w:t>
            </w:r>
            <w:r w:rsidR="00B756E4" w:rsidRPr="00167F06">
              <w:t xml:space="preserve">: </w:t>
            </w:r>
            <w:r w:rsidR="00B756E4">
              <w:t xml:space="preserve">ACECQA </w:t>
            </w:r>
            <w:r w:rsidR="00A86F96" w:rsidRPr="00A86F96">
              <w:rPr>
                <w:rFonts w:cs="Arial"/>
                <w:szCs w:val="24"/>
              </w:rPr>
              <w:t>(2014b, p. 9)</w:t>
            </w:r>
            <w:r w:rsidR="00B756E4">
              <w:t>.</w:t>
            </w:r>
          </w:p>
        </w:tc>
      </w:tr>
      <w:tr w:rsidR="00B756E4" w:rsidTr="00DA30AC">
        <w:tc>
          <w:tcPr>
            <w:tcW w:w="8771" w:type="dxa"/>
            <w:tcBorders>
              <w:top w:val="nil"/>
              <w:left w:val="nil"/>
              <w:bottom w:val="single" w:sz="6" w:space="0" w:color="78A22F"/>
              <w:right w:val="nil"/>
            </w:tcBorders>
            <w:shd w:val="clear" w:color="auto" w:fill="auto"/>
          </w:tcPr>
          <w:p w:rsidR="00B756E4" w:rsidRDefault="00B756E4" w:rsidP="00DA30AC">
            <w:pPr>
              <w:pStyle w:val="Figurespace"/>
            </w:pPr>
          </w:p>
        </w:tc>
      </w:tr>
      <w:tr w:rsidR="00B756E4" w:rsidRPr="000863A5" w:rsidTr="00DA30AC">
        <w:tc>
          <w:tcPr>
            <w:tcW w:w="8771" w:type="dxa"/>
            <w:tcBorders>
              <w:top w:val="single" w:sz="6" w:space="0" w:color="78A22F"/>
              <w:left w:val="nil"/>
              <w:bottom w:val="nil"/>
              <w:right w:val="nil"/>
            </w:tcBorders>
          </w:tcPr>
          <w:p w:rsidR="00B756E4" w:rsidRPr="00626D32" w:rsidRDefault="00B756E4" w:rsidP="00DA30AC">
            <w:pPr>
              <w:pStyle w:val="BoxSpaceBelow"/>
            </w:pPr>
          </w:p>
        </w:tc>
      </w:tr>
    </w:tbl>
    <w:p w:rsidR="00C012B7" w:rsidRDefault="005244A9" w:rsidP="00880E7E">
      <w:pPr>
        <w:pStyle w:val="BodyText"/>
      </w:pPr>
      <w:r>
        <w:t xml:space="preserve">The </w:t>
      </w:r>
      <w:r w:rsidR="002822EF">
        <w:t>assessment process</w:t>
      </w:r>
      <w:r w:rsidR="003E580F">
        <w:t xml:space="preserve"> is designed to</w:t>
      </w:r>
      <w:r w:rsidR="002822EF">
        <w:t xml:space="preserve"> last up to 16</w:t>
      </w:r>
      <w:r>
        <w:t xml:space="preserve"> weeks</w:t>
      </w:r>
      <w:r w:rsidR="00951254">
        <w:t xml:space="preserve"> (figure </w:t>
      </w:r>
      <w:r w:rsidR="00C03891">
        <w:t>F</w:t>
      </w:r>
      <w:r w:rsidR="001509E0">
        <w:t>.</w:t>
      </w:r>
      <w:r w:rsidR="00C46919">
        <w:t>3</w:t>
      </w:r>
      <w:r w:rsidR="00951254">
        <w:t>).</w:t>
      </w:r>
      <w:r w:rsidR="00D45879">
        <w:t xml:space="preserve"> Before </w:t>
      </w:r>
      <w:r w:rsidR="00665C87">
        <w:t xml:space="preserve">changes to the assessment </w:t>
      </w:r>
      <w:r w:rsidR="007D3F79">
        <w:t>timeframe</w:t>
      </w:r>
      <w:r w:rsidR="00665C87">
        <w:t xml:space="preserve"> </w:t>
      </w:r>
      <w:r w:rsidR="00D45879">
        <w:t>in April 2014,</w:t>
      </w:r>
      <w:r w:rsidR="00C84C9E">
        <w:t xml:space="preserve"> </w:t>
      </w:r>
      <w:r w:rsidR="00C43EAC">
        <w:t>this</w:t>
      </w:r>
      <w:r w:rsidR="00C84C9E">
        <w:t xml:space="preserve"> process lasted up to 20</w:t>
      </w:r>
      <w:r w:rsidR="009729A4">
        <w:t> </w:t>
      </w:r>
      <w:r w:rsidR="00C84C9E">
        <w:t>weeks</w:t>
      </w:r>
      <w:r w:rsidR="008F4234">
        <w:t>. This</w:t>
      </w:r>
      <w:r w:rsidR="008D2EF4">
        <w:t xml:space="preserve"> </w:t>
      </w:r>
      <w:r w:rsidR="005743A6">
        <w:t>lengthier</w:t>
      </w:r>
      <w:r w:rsidR="008D2EF4">
        <w:t xml:space="preserve"> timeframe</w:t>
      </w:r>
      <w:r w:rsidR="008F4234">
        <w:t xml:space="preserve"> was mostly due to a longer lead in time before the service had to submit its QIP</w:t>
      </w:r>
      <w:r w:rsidR="00D66170">
        <w:t xml:space="preserve"> </w:t>
      </w:r>
      <w:r w:rsidR="00D66170">
        <w:lastRenderedPageBreak/>
        <w:t>(</w:t>
      </w:r>
      <w:r w:rsidR="00517192">
        <w:t xml:space="preserve">now </w:t>
      </w:r>
      <w:r w:rsidR="00710CFA">
        <w:t>reduced</w:t>
      </w:r>
      <w:r w:rsidR="00D66170">
        <w:t xml:space="preserve"> from </w:t>
      </w:r>
      <w:r w:rsidR="000405E3">
        <w:t>6</w:t>
      </w:r>
      <w:r w:rsidR="00D66170">
        <w:t xml:space="preserve"> weeks to </w:t>
      </w:r>
      <w:r w:rsidR="000405E3">
        <w:t>3 weeks</w:t>
      </w:r>
      <w:r w:rsidR="00D66170">
        <w:t>)</w:t>
      </w:r>
      <w:r w:rsidR="003C4660">
        <w:t xml:space="preserve"> and a longer gap</w:t>
      </w:r>
      <w:r w:rsidR="00951254">
        <w:t xml:space="preserve"> </w:t>
      </w:r>
      <w:r w:rsidR="000405E3">
        <w:t xml:space="preserve">between when the service submits its QIP and when the assessment </w:t>
      </w:r>
      <w:r w:rsidR="00121F83">
        <w:t xml:space="preserve">visit </w:t>
      </w:r>
      <w:r w:rsidR="000405E3">
        <w:t xml:space="preserve">occurs (reduced from 6 weeks to </w:t>
      </w:r>
      <w:r w:rsidR="00155C42">
        <w:t>2</w:t>
      </w:r>
      <w:r w:rsidR="00155C42">
        <w:noBreakHyphen/>
        <w:t>5</w:t>
      </w:r>
      <w:r w:rsidR="000405E3">
        <w:t xml:space="preserve"> weeks).</w:t>
      </w:r>
      <w:r w:rsidR="00FE5654">
        <w:t xml:space="preserve"> Many services are not assessed within the timelines prescribed under the National Law (chapter 7)</w:t>
      </w:r>
      <w:r w:rsidR="00A149E1">
        <w:t>.</w:t>
      </w:r>
    </w:p>
    <w:p w:rsidR="00176A39" w:rsidRDefault="00176A39" w:rsidP="00DA30A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76A39" w:rsidTr="00DA30AC">
        <w:tc>
          <w:tcPr>
            <w:tcW w:w="8771" w:type="dxa"/>
            <w:tcBorders>
              <w:top w:val="single" w:sz="6" w:space="0" w:color="78A22F"/>
              <w:left w:val="nil"/>
              <w:bottom w:val="nil"/>
              <w:right w:val="nil"/>
            </w:tcBorders>
            <w:shd w:val="clear" w:color="auto" w:fill="auto"/>
          </w:tcPr>
          <w:p w:rsidR="00176A39" w:rsidRPr="00176D3F" w:rsidRDefault="00176A39" w:rsidP="00176A39">
            <w:pPr>
              <w:pStyle w:val="FigureTitle"/>
            </w:pPr>
            <w:r w:rsidRPr="00784A05">
              <w:rPr>
                <w:b w:val="0"/>
              </w:rPr>
              <w:t xml:space="preserve">Figure </w:t>
            </w:r>
            <w:r w:rsidR="00846333">
              <w:rPr>
                <w:b w:val="0"/>
              </w:rPr>
              <w:t>F.</w:t>
            </w:r>
            <w:r w:rsidR="00846333">
              <w:rPr>
                <w:b w:val="0"/>
                <w:noProof/>
              </w:rPr>
              <w:t>3</w:t>
            </w:r>
            <w:r>
              <w:tab/>
              <w:t>The assessment and rating process</w:t>
            </w:r>
          </w:p>
        </w:tc>
      </w:tr>
      <w:tr w:rsidR="00176A39" w:rsidTr="00DA30AC">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176A39" w:rsidTr="00DA30AC">
              <w:tc>
                <w:tcPr>
                  <w:tcW w:w="5000" w:type="pct"/>
                  <w:tcBorders>
                    <w:top w:val="nil"/>
                    <w:bottom w:val="nil"/>
                  </w:tcBorders>
                </w:tcPr>
                <w:p w:rsidR="00176A39" w:rsidRDefault="00C87103" w:rsidP="00846333">
                  <w:pPr>
                    <w:pStyle w:val="Figure"/>
                    <w:spacing w:before="0" w:after="0"/>
                  </w:pPr>
                  <w:r>
                    <w:rPr>
                      <w:noProof/>
                    </w:rPr>
                    <w:drawing>
                      <wp:inline distT="0" distB="0" distL="0" distR="0">
                        <wp:extent cx="3019425" cy="6753225"/>
                        <wp:effectExtent l="0" t="0" r="9525" b="9525"/>
                        <wp:docPr id="3" name="Picture 3" descr="The assessment and rating process involves 6 steps, which last up to 16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9425" cy="6753225"/>
                                </a:xfrm>
                                <a:prstGeom prst="rect">
                                  <a:avLst/>
                                </a:prstGeom>
                                <a:noFill/>
                                <a:ln>
                                  <a:noFill/>
                                </a:ln>
                              </pic:spPr>
                            </pic:pic>
                          </a:graphicData>
                        </a:graphic>
                      </wp:inline>
                    </w:drawing>
                  </w:r>
                </w:p>
              </w:tc>
            </w:tr>
          </w:tbl>
          <w:p w:rsidR="00176A39" w:rsidRDefault="00176A39" w:rsidP="00846333">
            <w:pPr>
              <w:pStyle w:val="Figure"/>
              <w:spacing w:before="0" w:after="0"/>
            </w:pPr>
          </w:p>
        </w:tc>
      </w:tr>
      <w:tr w:rsidR="00176A39" w:rsidRPr="00176D3F" w:rsidTr="00DA30AC">
        <w:tc>
          <w:tcPr>
            <w:tcW w:w="8771" w:type="dxa"/>
            <w:tcBorders>
              <w:top w:val="nil"/>
              <w:left w:val="nil"/>
              <w:bottom w:val="nil"/>
              <w:right w:val="nil"/>
            </w:tcBorders>
            <w:shd w:val="clear" w:color="auto" w:fill="auto"/>
          </w:tcPr>
          <w:p w:rsidR="00176A39" w:rsidRPr="00176D3F" w:rsidRDefault="0030403D" w:rsidP="00DA30AC">
            <w:pPr>
              <w:pStyle w:val="Source"/>
            </w:pPr>
            <w:r>
              <w:rPr>
                <w:i/>
              </w:rPr>
              <w:t>Source</w:t>
            </w:r>
            <w:r w:rsidRPr="00167F06">
              <w:t xml:space="preserve">: </w:t>
            </w:r>
            <w:r>
              <w:t xml:space="preserve">Adapted from ACECQA </w:t>
            </w:r>
            <w:r w:rsidRPr="00B403A2">
              <w:rPr>
                <w:rFonts w:cs="Arial"/>
              </w:rPr>
              <w:t>(2014a)</w:t>
            </w:r>
            <w:r>
              <w:t>.</w:t>
            </w:r>
          </w:p>
        </w:tc>
      </w:tr>
      <w:tr w:rsidR="00176A39" w:rsidTr="00DA30AC">
        <w:tc>
          <w:tcPr>
            <w:tcW w:w="8771" w:type="dxa"/>
            <w:tcBorders>
              <w:top w:val="nil"/>
              <w:left w:val="nil"/>
              <w:bottom w:val="single" w:sz="6" w:space="0" w:color="78A22F"/>
              <w:right w:val="nil"/>
            </w:tcBorders>
            <w:shd w:val="clear" w:color="auto" w:fill="auto"/>
          </w:tcPr>
          <w:p w:rsidR="00176A39" w:rsidRDefault="00176A39" w:rsidP="00DA30AC">
            <w:pPr>
              <w:pStyle w:val="Figurespace"/>
            </w:pPr>
          </w:p>
        </w:tc>
      </w:tr>
      <w:tr w:rsidR="00176A39" w:rsidRPr="000863A5" w:rsidTr="00DA30AC">
        <w:tc>
          <w:tcPr>
            <w:tcW w:w="8771" w:type="dxa"/>
            <w:tcBorders>
              <w:top w:val="single" w:sz="6" w:space="0" w:color="78A22F"/>
              <w:left w:val="nil"/>
              <w:bottom w:val="nil"/>
              <w:right w:val="nil"/>
            </w:tcBorders>
          </w:tcPr>
          <w:p w:rsidR="00176A39" w:rsidRPr="00626D32" w:rsidRDefault="00176A39" w:rsidP="00DA30AC">
            <w:pPr>
              <w:pStyle w:val="BoxSpaceBelow"/>
            </w:pPr>
          </w:p>
        </w:tc>
      </w:tr>
    </w:tbl>
    <w:p w:rsidR="00C012B7" w:rsidRDefault="00C012B7" w:rsidP="00C012B7">
      <w:pPr>
        <w:pStyle w:val="BodyText"/>
      </w:pPr>
      <w:r>
        <w:lastRenderedPageBreak/>
        <w:t>As part of the ratings process, services must submit their QIP to the</w:t>
      </w:r>
      <w:r w:rsidR="00391B7B">
        <w:t>ir</w:t>
      </w:r>
      <w:r>
        <w:t xml:space="preserve"> Regulatory Authority and undergo an assessment conducted by an ‘authorised officer’ of the Regulatory Authority. ACECQA provides guidance to</w:t>
      </w:r>
      <w:r w:rsidR="00391B7B">
        <w:t xml:space="preserve"> state and territory</w:t>
      </w:r>
      <w:r w:rsidR="00391B7B">
        <w:noBreakHyphen/>
        <w:t>based</w:t>
      </w:r>
      <w:r>
        <w:t xml:space="preserve"> </w:t>
      </w:r>
      <w:r w:rsidR="00391B7B">
        <w:t>R</w:t>
      </w:r>
      <w:r>
        <w:t xml:space="preserve">egulatory </w:t>
      </w:r>
      <w:r w:rsidR="00391B7B">
        <w:t>A</w:t>
      </w:r>
      <w:r>
        <w:t>uthorities on the manner of assessments, which vary between servi</w:t>
      </w:r>
      <w:r w:rsidR="00384E37">
        <w:t>ce types (box </w:t>
      </w:r>
      <w:r w:rsidR="00C03891">
        <w:t>F</w:t>
      </w:r>
      <w:r w:rsidR="001509E0">
        <w:t>.</w:t>
      </w:r>
      <w:r>
        <w:t>6)</w:t>
      </w:r>
      <w:r w:rsidR="00E15083">
        <w:t>.</w:t>
      </w:r>
    </w:p>
    <w:p w:rsidR="00E15083" w:rsidRDefault="00E15083">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15083" w:rsidTr="00DA30AC">
        <w:tc>
          <w:tcPr>
            <w:tcW w:w="8771" w:type="dxa"/>
            <w:tcBorders>
              <w:top w:val="single" w:sz="6" w:space="0" w:color="78A22F"/>
              <w:left w:val="nil"/>
              <w:bottom w:val="nil"/>
              <w:right w:val="nil"/>
            </w:tcBorders>
            <w:shd w:val="clear" w:color="auto" w:fill="F2F2F2" w:themeFill="background1" w:themeFillShade="F2"/>
          </w:tcPr>
          <w:p w:rsidR="00E15083" w:rsidRDefault="00E15083" w:rsidP="00DB780C">
            <w:pPr>
              <w:pStyle w:val="BoxTitle"/>
              <w:ind w:left="1254" w:hanging="1254"/>
            </w:pPr>
            <w:r>
              <w:rPr>
                <w:b w:val="0"/>
              </w:rPr>
              <w:t xml:space="preserve">Box </w:t>
            </w:r>
            <w:r w:rsidR="00846333">
              <w:rPr>
                <w:b w:val="0"/>
              </w:rPr>
              <w:t>F.</w:t>
            </w:r>
            <w:r w:rsidR="00846333">
              <w:rPr>
                <w:b w:val="0"/>
                <w:noProof/>
              </w:rPr>
              <w:t>6</w:t>
            </w:r>
            <w:r>
              <w:tab/>
              <w:t>The recommended assessment process varies by service type</w:t>
            </w:r>
          </w:p>
        </w:tc>
      </w:tr>
      <w:tr w:rsidR="00E15083" w:rsidTr="00DA30AC">
        <w:trPr>
          <w:cantSplit/>
        </w:trPr>
        <w:tc>
          <w:tcPr>
            <w:tcW w:w="8771" w:type="dxa"/>
            <w:tcBorders>
              <w:top w:val="nil"/>
              <w:left w:val="nil"/>
              <w:bottom w:val="nil"/>
              <w:right w:val="nil"/>
            </w:tcBorders>
            <w:shd w:val="clear" w:color="auto" w:fill="F2F2F2" w:themeFill="background1" w:themeFillShade="F2"/>
          </w:tcPr>
          <w:p w:rsidR="00E15083" w:rsidRDefault="00E15083" w:rsidP="00E15083">
            <w:pPr>
              <w:pStyle w:val="BoxHeading1"/>
            </w:pPr>
            <w:r>
              <w:t>Long day care and preschool</w:t>
            </w:r>
          </w:p>
          <w:p w:rsidR="00E15083" w:rsidRDefault="00E15083" w:rsidP="00E15083">
            <w:pPr>
              <w:pStyle w:val="BoxListBullet"/>
            </w:pPr>
            <w:r>
              <w:t>Minimum six hour visit (or two sessions for preschool).</w:t>
            </w:r>
          </w:p>
          <w:p w:rsidR="00E15083" w:rsidRDefault="00E15083" w:rsidP="00E15083">
            <w:pPr>
              <w:pStyle w:val="BoxListBullet"/>
            </w:pPr>
            <w:r>
              <w:t>Two day or three session visit triggered when the service has four rooms or more.</w:t>
            </w:r>
          </w:p>
          <w:p w:rsidR="00E15083" w:rsidRDefault="00E15083" w:rsidP="00E15083">
            <w:pPr>
              <w:pStyle w:val="BoxHeading1"/>
            </w:pPr>
            <w:r>
              <w:t>Outside school hours care</w:t>
            </w:r>
          </w:p>
          <w:p w:rsidR="00E15083" w:rsidRPr="006F6F1D" w:rsidRDefault="00E15083" w:rsidP="00E15083">
            <w:pPr>
              <w:pStyle w:val="Box"/>
            </w:pPr>
            <w:r>
              <w:t>If the service provides both before and/or after school care and vacation care, it is likely scheduling will not allow both service types to be visited in the assessment process. Regulatory authorities may consider supplementing this process with a spot check at a later date.</w:t>
            </w:r>
          </w:p>
          <w:p w:rsidR="00E15083" w:rsidRPr="001D3257" w:rsidRDefault="00E15083" w:rsidP="00E15083">
            <w:pPr>
              <w:pStyle w:val="BoxHeading2"/>
            </w:pPr>
            <w:r>
              <w:t>Before and/or after school care</w:t>
            </w:r>
          </w:p>
          <w:p w:rsidR="00E15083" w:rsidRDefault="00E15083" w:rsidP="00E15083">
            <w:pPr>
              <w:pStyle w:val="BoxListBullet"/>
            </w:pPr>
            <w:r>
              <w:t>Two sessions in total.</w:t>
            </w:r>
          </w:p>
          <w:p w:rsidR="00E15083" w:rsidRDefault="00E15083" w:rsidP="00E15083">
            <w:pPr>
              <w:pStyle w:val="BoxHeading2"/>
            </w:pPr>
            <w:r>
              <w:t>Vacation Care</w:t>
            </w:r>
          </w:p>
          <w:p w:rsidR="00E15083" w:rsidRDefault="00E15083" w:rsidP="00E15083">
            <w:pPr>
              <w:pStyle w:val="BoxListBullet"/>
            </w:pPr>
            <w:r>
              <w:t xml:space="preserve">One day or 7.5 hours, whichever is </w:t>
            </w:r>
            <w:proofErr w:type="gramStart"/>
            <w:r>
              <w:t>less.</w:t>
            </w:r>
            <w:proofErr w:type="gramEnd"/>
          </w:p>
          <w:p w:rsidR="00E15083" w:rsidRDefault="00E15083" w:rsidP="00E15083">
            <w:pPr>
              <w:pStyle w:val="BoxListBullet"/>
            </w:pPr>
            <w:r>
              <w:t>If the service has multiple sites, the assessor only has to visit one site.</w:t>
            </w:r>
          </w:p>
          <w:p w:rsidR="00E15083" w:rsidRDefault="00E15083" w:rsidP="00E15083">
            <w:pPr>
              <w:pStyle w:val="BoxHeading1"/>
            </w:pPr>
            <w:r>
              <w:t>Family day care</w:t>
            </w:r>
          </w:p>
          <w:p w:rsidR="00E15083" w:rsidRDefault="00E15083" w:rsidP="00E15083">
            <w:pPr>
              <w:pStyle w:val="Box"/>
            </w:pPr>
            <w:r>
              <w:t>The assessment process</w:t>
            </w:r>
            <w:r w:rsidRPr="00F86F62">
              <w:t xml:space="preserve"> entails an initial visit to the coordination unit, an assessment of a sample of family day care educators (in their residence) and a final visit to the coordination unit.</w:t>
            </w:r>
          </w:p>
          <w:p w:rsidR="00E15083" w:rsidRDefault="00E15083" w:rsidP="00E15083">
            <w:pPr>
              <w:pStyle w:val="BoxListBullet"/>
            </w:pPr>
            <w:r>
              <w:t>The initial visit may take up to three hours.</w:t>
            </w:r>
          </w:p>
          <w:p w:rsidR="00E15083" w:rsidRDefault="00E15083" w:rsidP="00E15083">
            <w:pPr>
              <w:pStyle w:val="BoxListBullet"/>
            </w:pPr>
            <w:r>
              <w:t>Individual educator visits should take between two and three hours.</w:t>
            </w:r>
          </w:p>
          <w:p w:rsidR="00E15083" w:rsidRDefault="00E15083" w:rsidP="00E15083">
            <w:pPr>
              <w:pStyle w:val="BoxListBullet"/>
            </w:pPr>
            <w:r>
              <w:t>The final visit may take up to three hours.</w:t>
            </w:r>
          </w:p>
        </w:tc>
      </w:tr>
      <w:tr w:rsidR="00E15083" w:rsidTr="00DA30AC">
        <w:trPr>
          <w:cantSplit/>
        </w:trPr>
        <w:tc>
          <w:tcPr>
            <w:tcW w:w="8771" w:type="dxa"/>
            <w:tcBorders>
              <w:top w:val="nil"/>
              <w:left w:val="nil"/>
              <w:bottom w:val="nil"/>
              <w:right w:val="nil"/>
            </w:tcBorders>
            <w:shd w:val="clear" w:color="auto" w:fill="F2F2F2" w:themeFill="background1" w:themeFillShade="F2"/>
          </w:tcPr>
          <w:p w:rsidR="00E15083" w:rsidRDefault="00E15083" w:rsidP="00DA30AC">
            <w:pPr>
              <w:pStyle w:val="BoxSource"/>
            </w:pPr>
            <w:r>
              <w:rPr>
                <w:i/>
              </w:rPr>
              <w:t>Source</w:t>
            </w:r>
            <w:r w:rsidRPr="00167F06">
              <w:t xml:space="preserve">: </w:t>
            </w:r>
            <w:r>
              <w:t xml:space="preserve">ACECQA </w:t>
            </w:r>
            <w:r w:rsidRPr="00645533">
              <w:rPr>
                <w:rFonts w:cs="Arial"/>
                <w:szCs w:val="24"/>
              </w:rPr>
              <w:t>(2014a, pp. 16–17)</w:t>
            </w:r>
            <w:r>
              <w:t>.</w:t>
            </w:r>
          </w:p>
        </w:tc>
      </w:tr>
      <w:tr w:rsidR="00E15083" w:rsidTr="00DA30AC">
        <w:trPr>
          <w:cantSplit/>
        </w:trPr>
        <w:tc>
          <w:tcPr>
            <w:tcW w:w="8771" w:type="dxa"/>
            <w:tcBorders>
              <w:top w:val="nil"/>
              <w:left w:val="nil"/>
              <w:bottom w:val="single" w:sz="6" w:space="0" w:color="78A22F"/>
              <w:right w:val="nil"/>
            </w:tcBorders>
            <w:shd w:val="clear" w:color="auto" w:fill="F2F2F2" w:themeFill="background1" w:themeFillShade="F2"/>
          </w:tcPr>
          <w:p w:rsidR="00E15083" w:rsidRDefault="00E15083">
            <w:pPr>
              <w:pStyle w:val="Box"/>
              <w:spacing w:before="0" w:line="120" w:lineRule="exact"/>
            </w:pPr>
          </w:p>
        </w:tc>
      </w:tr>
      <w:tr w:rsidR="00E15083" w:rsidRPr="000863A5" w:rsidTr="00DA30AC">
        <w:tc>
          <w:tcPr>
            <w:tcW w:w="8771" w:type="dxa"/>
            <w:tcBorders>
              <w:top w:val="single" w:sz="6" w:space="0" w:color="78A22F"/>
              <w:left w:val="nil"/>
              <w:bottom w:val="nil"/>
              <w:right w:val="nil"/>
            </w:tcBorders>
          </w:tcPr>
          <w:p w:rsidR="00E15083" w:rsidRPr="00626D32" w:rsidRDefault="00E15083" w:rsidP="00DA30AC">
            <w:pPr>
              <w:pStyle w:val="BoxSpaceBelow"/>
            </w:pPr>
          </w:p>
        </w:tc>
      </w:tr>
    </w:tbl>
    <w:p w:rsidR="008E4059" w:rsidRDefault="00B6244B" w:rsidP="008E4059">
      <w:pPr>
        <w:pStyle w:val="BodyText"/>
      </w:pPr>
      <w:r>
        <w:t>Following an assessment, s</w:t>
      </w:r>
      <w:r w:rsidR="007219B5">
        <w:t>ervices</w:t>
      </w:r>
      <w:r>
        <w:t xml:space="preserve"> will</w:t>
      </w:r>
      <w:r w:rsidR="007219B5">
        <w:t xml:space="preserve"> receive one of four ratings</w:t>
      </w:r>
      <w:r w:rsidR="002467E7">
        <w:t xml:space="preserve"> for each quality area</w:t>
      </w:r>
      <w:r w:rsidR="00244FBE">
        <w:t xml:space="preserve"> and the overall rating</w:t>
      </w:r>
      <w:r w:rsidR="007219B5">
        <w:t xml:space="preserve"> (Significant Improvement </w:t>
      </w:r>
      <w:r w:rsidR="005D688D">
        <w:t xml:space="preserve">Required, Working </w:t>
      </w:r>
      <w:proofErr w:type="gramStart"/>
      <w:r w:rsidR="005D688D">
        <w:t>Towards</w:t>
      </w:r>
      <w:proofErr w:type="gramEnd"/>
      <w:r w:rsidR="005D688D">
        <w:t xml:space="preserve"> NQS,</w:t>
      </w:r>
      <w:r w:rsidR="00655819">
        <w:t xml:space="preserve"> Meeting</w:t>
      </w:r>
      <w:r w:rsidR="00F30B58">
        <w:t xml:space="preserve"> NQS or Exceeding NQS) (figure </w:t>
      </w:r>
      <w:r w:rsidR="00C03891">
        <w:t>F</w:t>
      </w:r>
      <w:r w:rsidR="001509E0">
        <w:t>.</w:t>
      </w:r>
      <w:r w:rsidR="00C76C1C">
        <w:t>4</w:t>
      </w:r>
      <w:r w:rsidR="00655819">
        <w:t>).</w:t>
      </w:r>
      <w:r w:rsidR="00A2769F">
        <w:t xml:space="preserve"> An important feature of this ratings system is the weight given to unmet elements. The tiered design of the system means that a service must meet all 58 elements in order to receive an overall rating of at least Meeting NQS. A single unmet element means the standard containing that element cannot receive a rating higher than Working </w:t>
      </w:r>
      <w:proofErr w:type="gramStart"/>
      <w:r w:rsidR="00A2769F">
        <w:t>Towards</w:t>
      </w:r>
      <w:proofErr w:type="gramEnd"/>
      <w:r w:rsidR="00A2769F">
        <w:t xml:space="preserve"> NQS, which means the highest overall rating a service can receive is Working Towards NQS. </w:t>
      </w:r>
    </w:p>
    <w:p w:rsidR="00277CA6" w:rsidRDefault="00277CA6" w:rsidP="00DA30A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77CA6" w:rsidTr="00DA30AC">
        <w:tc>
          <w:tcPr>
            <w:tcW w:w="8771" w:type="dxa"/>
            <w:tcBorders>
              <w:top w:val="single" w:sz="6" w:space="0" w:color="78A22F"/>
              <w:left w:val="nil"/>
              <w:bottom w:val="nil"/>
              <w:right w:val="nil"/>
            </w:tcBorders>
            <w:shd w:val="clear" w:color="auto" w:fill="auto"/>
          </w:tcPr>
          <w:p w:rsidR="00277CA6" w:rsidRPr="00176D3F" w:rsidRDefault="00277CA6" w:rsidP="00277CA6">
            <w:pPr>
              <w:pStyle w:val="FigureTitle"/>
            </w:pPr>
            <w:r w:rsidRPr="00784A05">
              <w:rPr>
                <w:b w:val="0"/>
              </w:rPr>
              <w:t xml:space="preserve">Figure </w:t>
            </w:r>
            <w:r w:rsidR="00846333">
              <w:rPr>
                <w:b w:val="0"/>
              </w:rPr>
              <w:t>F.</w:t>
            </w:r>
            <w:r w:rsidR="00846333">
              <w:rPr>
                <w:b w:val="0"/>
                <w:noProof/>
              </w:rPr>
              <w:t>4</w:t>
            </w:r>
            <w:r>
              <w:tab/>
              <w:t>How a service’s rating is determined</w:t>
            </w:r>
          </w:p>
        </w:tc>
      </w:tr>
      <w:tr w:rsidR="00277CA6" w:rsidTr="00DA30AC">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277CA6" w:rsidTr="00DA30AC">
              <w:tc>
                <w:tcPr>
                  <w:tcW w:w="5000" w:type="pct"/>
                  <w:tcBorders>
                    <w:top w:val="nil"/>
                    <w:bottom w:val="nil"/>
                  </w:tcBorders>
                </w:tcPr>
                <w:p w:rsidR="00277CA6" w:rsidRDefault="00C87103" w:rsidP="00B909D6">
                  <w:pPr>
                    <w:pStyle w:val="Figure"/>
                  </w:pPr>
                  <w:r>
                    <w:rPr>
                      <w:noProof/>
                    </w:rPr>
                    <w:drawing>
                      <wp:inline distT="0" distB="0" distL="0" distR="0">
                        <wp:extent cx="3990975" cy="6400800"/>
                        <wp:effectExtent l="0" t="0" r="9525" b="0"/>
                        <wp:docPr id="4" name="Picture 4" descr="Services ratings are determined using a ‘tiered process’. The 58 elements are rated as ‘met’ or ‘not met’ first. These ratings are used to determine the ratings for each standard, which are then used to determine the ratings for each quality area, which then determine the overall ra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0975" cy="6400800"/>
                                </a:xfrm>
                                <a:prstGeom prst="rect">
                                  <a:avLst/>
                                </a:prstGeom>
                                <a:noFill/>
                                <a:ln>
                                  <a:noFill/>
                                </a:ln>
                              </pic:spPr>
                            </pic:pic>
                          </a:graphicData>
                        </a:graphic>
                      </wp:inline>
                    </w:drawing>
                  </w:r>
                </w:p>
              </w:tc>
            </w:tr>
          </w:tbl>
          <w:p w:rsidR="00277CA6" w:rsidRDefault="00277CA6" w:rsidP="00DA30AC">
            <w:pPr>
              <w:pStyle w:val="Figure"/>
            </w:pPr>
          </w:p>
        </w:tc>
      </w:tr>
      <w:tr w:rsidR="00277CA6" w:rsidRPr="00176D3F" w:rsidTr="00DA30AC">
        <w:tc>
          <w:tcPr>
            <w:tcW w:w="8771" w:type="dxa"/>
            <w:tcBorders>
              <w:top w:val="nil"/>
              <w:left w:val="nil"/>
              <w:bottom w:val="nil"/>
              <w:right w:val="nil"/>
            </w:tcBorders>
            <w:shd w:val="clear" w:color="auto" w:fill="auto"/>
          </w:tcPr>
          <w:p w:rsidR="00277CA6" w:rsidRPr="00176D3F" w:rsidRDefault="00804D9D" w:rsidP="00DA30AC">
            <w:pPr>
              <w:pStyle w:val="Note"/>
            </w:pPr>
            <w:proofErr w:type="gramStart"/>
            <w:r>
              <w:rPr>
                <w:rStyle w:val="NoteLabel"/>
              </w:rPr>
              <w:t>a</w:t>
            </w:r>
            <w:proofErr w:type="gramEnd"/>
            <w:r>
              <w:t xml:space="preserve"> </w:t>
            </w:r>
            <w:r w:rsidRPr="00BB41B2">
              <w:t>If a service cares for children who are in the year that is two years before grade 1 of school, they may only be awarded Exceeding NQS for quality area 1 if the service provides a preschool program (or provides arrangements for access to on</w:t>
            </w:r>
            <w:r>
              <w:t>e through another ECEC service).</w:t>
            </w:r>
          </w:p>
        </w:tc>
      </w:tr>
      <w:tr w:rsidR="00277CA6" w:rsidRPr="00176D3F" w:rsidTr="00DA30AC">
        <w:tc>
          <w:tcPr>
            <w:tcW w:w="8771" w:type="dxa"/>
            <w:tcBorders>
              <w:top w:val="nil"/>
              <w:left w:val="nil"/>
              <w:bottom w:val="nil"/>
              <w:right w:val="nil"/>
            </w:tcBorders>
            <w:shd w:val="clear" w:color="auto" w:fill="auto"/>
          </w:tcPr>
          <w:p w:rsidR="00277CA6" w:rsidRPr="00176D3F" w:rsidRDefault="00804D9D" w:rsidP="00DA30AC">
            <w:pPr>
              <w:pStyle w:val="Source"/>
            </w:pPr>
            <w:r>
              <w:rPr>
                <w:i/>
              </w:rPr>
              <w:t>Source</w:t>
            </w:r>
            <w:r w:rsidRPr="00167F06">
              <w:t xml:space="preserve">: </w:t>
            </w:r>
            <w:r>
              <w:t xml:space="preserve">Adapted from ACECQA </w:t>
            </w:r>
            <w:r w:rsidRPr="00091860">
              <w:rPr>
                <w:rFonts w:cs="Arial"/>
              </w:rPr>
              <w:t>(2014a)</w:t>
            </w:r>
            <w:r>
              <w:t>.</w:t>
            </w:r>
          </w:p>
        </w:tc>
      </w:tr>
      <w:tr w:rsidR="00277CA6" w:rsidTr="00DA30AC">
        <w:tc>
          <w:tcPr>
            <w:tcW w:w="8771" w:type="dxa"/>
            <w:tcBorders>
              <w:top w:val="nil"/>
              <w:left w:val="nil"/>
              <w:bottom w:val="single" w:sz="6" w:space="0" w:color="78A22F"/>
              <w:right w:val="nil"/>
            </w:tcBorders>
            <w:shd w:val="clear" w:color="auto" w:fill="auto"/>
          </w:tcPr>
          <w:p w:rsidR="00277CA6" w:rsidRDefault="00277CA6" w:rsidP="00DA30AC">
            <w:pPr>
              <w:pStyle w:val="Figurespace"/>
            </w:pPr>
          </w:p>
        </w:tc>
      </w:tr>
      <w:tr w:rsidR="00277CA6" w:rsidRPr="000863A5" w:rsidTr="00DA30AC">
        <w:tc>
          <w:tcPr>
            <w:tcW w:w="8771" w:type="dxa"/>
            <w:tcBorders>
              <w:top w:val="single" w:sz="6" w:space="0" w:color="78A22F"/>
              <w:left w:val="nil"/>
              <w:bottom w:val="nil"/>
              <w:right w:val="nil"/>
            </w:tcBorders>
          </w:tcPr>
          <w:p w:rsidR="00277CA6" w:rsidRPr="00626D32" w:rsidRDefault="00277CA6" w:rsidP="00DA30AC">
            <w:pPr>
              <w:pStyle w:val="BoxSpaceBelow"/>
            </w:pPr>
          </w:p>
        </w:tc>
      </w:tr>
    </w:tbl>
    <w:p w:rsidR="00F47D7A" w:rsidRDefault="00F47D7A" w:rsidP="008E4059">
      <w:pPr>
        <w:pStyle w:val="BodyText"/>
      </w:pPr>
    </w:p>
    <w:p w:rsidR="00F47D7A" w:rsidRDefault="00F47D7A" w:rsidP="00F47D7A">
      <w:pPr>
        <w:pStyle w:val="BodyText"/>
      </w:pPr>
      <w:r>
        <w:br w:type="page"/>
      </w:r>
    </w:p>
    <w:p w:rsidR="009660A1" w:rsidRDefault="00355CBB" w:rsidP="008E4059">
      <w:pPr>
        <w:pStyle w:val="BodyText"/>
      </w:pPr>
      <w:r>
        <w:lastRenderedPageBreak/>
        <w:t>In addition to the four core ratings, services that receive a rating of Exceeding NQF may apply to ACECQA to be considered for an</w:t>
      </w:r>
      <w:r w:rsidR="009F7ADC">
        <w:t xml:space="preserve"> Excellent rating, </w:t>
      </w:r>
      <w:r w:rsidR="00213CAA">
        <w:t xml:space="preserve">which is </w:t>
      </w:r>
      <w:r w:rsidR="009F7ADC">
        <w:t xml:space="preserve">the highest rating a service can achieve. </w:t>
      </w:r>
      <w:r w:rsidR="00CB3D72">
        <w:t>Services must pay a fee of between $200 and $600 to be considered for this rating</w:t>
      </w:r>
      <w:r w:rsidR="004F7733">
        <w:t>, depending on the type of service and its size</w:t>
      </w:r>
      <w:r w:rsidR="00CB3D72">
        <w:t xml:space="preserve">. </w:t>
      </w:r>
      <w:r w:rsidR="00920A1B">
        <w:t>ACECQA</w:t>
      </w:r>
      <w:r w:rsidR="00A60799">
        <w:t xml:space="preserve"> </w:t>
      </w:r>
      <w:r w:rsidR="00A60799" w:rsidRPr="00A60799">
        <w:t>(2013e)</w:t>
      </w:r>
      <w:r w:rsidR="00920A1B">
        <w:t xml:space="preserve"> assesses applications according to three criteria:</w:t>
      </w:r>
    </w:p>
    <w:p w:rsidR="00920A1B" w:rsidRDefault="00920A1B" w:rsidP="00920A1B">
      <w:pPr>
        <w:pStyle w:val="ListBullet"/>
      </w:pPr>
      <w:r>
        <w:t>the service exemplifies and promotes exceptional education and care that improves outcomes for children and families, across at least three of six quality ‘themes’</w:t>
      </w:r>
    </w:p>
    <w:p w:rsidR="00920A1B" w:rsidRDefault="00920A1B" w:rsidP="00920A1B">
      <w:pPr>
        <w:pStyle w:val="ListBullet"/>
      </w:pPr>
      <w:r>
        <w:t>the service demonstrates leadership that contributes to the development of a community, a local area, or the wider education and care sector</w:t>
      </w:r>
    </w:p>
    <w:p w:rsidR="00920A1B" w:rsidRDefault="00920A1B" w:rsidP="00920A1B">
      <w:pPr>
        <w:pStyle w:val="ListBullet"/>
      </w:pPr>
      <w:proofErr w:type="gramStart"/>
      <w:r>
        <w:t>the</w:t>
      </w:r>
      <w:proofErr w:type="gramEnd"/>
      <w:r>
        <w:t xml:space="preserve"> service demonstrates commitment to sustained excellent practice through continuous improvement and</w:t>
      </w:r>
      <w:r w:rsidR="00A60799">
        <w:t xml:space="preserve"> comprehensive forward planning.</w:t>
      </w:r>
    </w:p>
    <w:p w:rsidR="008E3B6B" w:rsidRDefault="007947E7" w:rsidP="008E3B6B">
      <w:pPr>
        <w:pStyle w:val="BodyText"/>
      </w:pPr>
      <w:r>
        <w:t xml:space="preserve">Once a service has been rated, the frequency of their future assessments should reflect the rating received — that is, the higher the rating, the longer the timeframe between assessments. Guidance from ACECQA </w:t>
      </w:r>
      <w:r w:rsidR="001851A6" w:rsidRPr="001851A6">
        <w:t>(2013b)</w:t>
      </w:r>
      <w:r w:rsidR="00F703ED">
        <w:t xml:space="preserve">, based on the </w:t>
      </w:r>
      <w:r w:rsidR="00F703ED" w:rsidRPr="00F703ED">
        <w:t>National Partnership Agreement on the National Quality Agenda for Early Childhood Education and Care</w:t>
      </w:r>
      <w:r w:rsidR="00F703ED">
        <w:t xml:space="preserve"> </w:t>
      </w:r>
      <w:r w:rsidR="00F703ED" w:rsidRPr="0058314E">
        <w:rPr>
          <w:szCs w:val="24"/>
        </w:rPr>
        <w:t>(COAG 2009)</w:t>
      </w:r>
      <w:r w:rsidR="0058314E">
        <w:t>,</w:t>
      </w:r>
      <w:r w:rsidR="00F703ED">
        <w:t xml:space="preserve"> </w:t>
      </w:r>
      <w:r>
        <w:t>suggests that services should generally be assessed</w:t>
      </w:r>
      <w:r w:rsidR="00391B7B">
        <w:t xml:space="preserve"> every</w:t>
      </w:r>
      <w:r>
        <w:t>:</w:t>
      </w:r>
    </w:p>
    <w:p w:rsidR="007947E7" w:rsidRDefault="007947E7" w:rsidP="007947E7">
      <w:pPr>
        <w:pStyle w:val="ListBullet"/>
      </w:pPr>
      <w:r>
        <w:t>three years, if rated Excellent or Exceeding NQS</w:t>
      </w:r>
    </w:p>
    <w:p w:rsidR="007947E7" w:rsidRDefault="007947E7" w:rsidP="007947E7">
      <w:pPr>
        <w:pStyle w:val="ListBullet"/>
      </w:pPr>
      <w:r>
        <w:t>two years, if rated Meeting NQS</w:t>
      </w:r>
    </w:p>
    <w:p w:rsidR="007947E7" w:rsidRDefault="007947E7" w:rsidP="007947E7">
      <w:pPr>
        <w:pStyle w:val="ListBullet"/>
      </w:pPr>
      <w:proofErr w:type="gramStart"/>
      <w:r>
        <w:t>year</w:t>
      </w:r>
      <w:proofErr w:type="gramEnd"/>
      <w:r>
        <w:t>, if rated Working Towards NQS.</w:t>
      </w:r>
    </w:p>
    <w:p w:rsidR="007947E7" w:rsidRDefault="007947E7" w:rsidP="007947E7">
      <w:pPr>
        <w:pStyle w:val="BodyText"/>
      </w:pPr>
      <w:r>
        <w:t xml:space="preserve">Regulatory </w:t>
      </w:r>
      <w:r w:rsidR="00272138">
        <w:t>A</w:t>
      </w:r>
      <w:r>
        <w:t>uthorities are expected to take immedia</w:t>
      </w:r>
      <w:r w:rsidR="001D13D5">
        <w:t>te compliance action and work</w:t>
      </w:r>
      <w:r>
        <w:t xml:space="preserve"> with services rated as Significant Improvement Required. The above timeframes are meant as a guide only, and appear unlikely to be met in any jurisdiction given the current pace of assessment by </w:t>
      </w:r>
      <w:r w:rsidR="00272138">
        <w:t>R</w:t>
      </w:r>
      <w:r>
        <w:t xml:space="preserve">egulatory </w:t>
      </w:r>
      <w:r w:rsidR="00272138">
        <w:t>A</w:t>
      </w:r>
      <w:r>
        <w:t>uthorities.</w:t>
      </w:r>
    </w:p>
    <w:p w:rsidR="008F004D" w:rsidRDefault="00C56322" w:rsidP="003038F9">
      <w:pPr>
        <w:pStyle w:val="Heading4"/>
      </w:pPr>
      <w:r>
        <w:t>Waivers</w:t>
      </w:r>
    </w:p>
    <w:p w:rsidR="000A2299" w:rsidRDefault="00805C77" w:rsidP="008E4059">
      <w:pPr>
        <w:pStyle w:val="BodyText"/>
      </w:pPr>
      <w:r>
        <w:t>The assessment and ratings process</w:t>
      </w:r>
      <w:r w:rsidR="00F210E8">
        <w:t xml:space="preserve"> </w:t>
      </w:r>
      <w:r>
        <w:t xml:space="preserve">includes provisions </w:t>
      </w:r>
      <w:r w:rsidR="00200298">
        <w:t>that allow</w:t>
      </w:r>
      <w:r>
        <w:t xml:space="preserve"> </w:t>
      </w:r>
      <w:r w:rsidR="007471DB">
        <w:t>a service</w:t>
      </w:r>
      <w:r>
        <w:t xml:space="preserve"> to receive a waiver </w:t>
      </w:r>
      <w:r w:rsidR="00005923">
        <w:t xml:space="preserve">exempting </w:t>
      </w:r>
      <w:r w:rsidR="00F60989">
        <w:t>it</w:t>
      </w:r>
      <w:r>
        <w:t xml:space="preserve"> from some </w:t>
      </w:r>
      <w:r w:rsidR="000C19C3">
        <w:t>elements of the NQS</w:t>
      </w:r>
      <w:r w:rsidR="00B21458">
        <w:t xml:space="preserve">. </w:t>
      </w:r>
      <w:r w:rsidR="000C19C3">
        <w:t xml:space="preserve">The National Law provides for two types of waivers: </w:t>
      </w:r>
    </w:p>
    <w:p w:rsidR="001664BB" w:rsidRDefault="001664BB" w:rsidP="001664BB">
      <w:pPr>
        <w:pStyle w:val="ListBullet"/>
      </w:pPr>
      <w:r>
        <w:t xml:space="preserve">service waivers </w:t>
      </w:r>
      <w:r w:rsidR="00391B7B">
        <w:t>—</w:t>
      </w:r>
      <w:r>
        <w:t xml:space="preserve"> provided on an ongoing basis</w:t>
      </w:r>
    </w:p>
    <w:p w:rsidR="00CD526A" w:rsidRDefault="00CD526A" w:rsidP="001664BB">
      <w:pPr>
        <w:pStyle w:val="ListBullet"/>
      </w:pPr>
      <w:proofErr w:type="gramStart"/>
      <w:r>
        <w:t>temporary</w:t>
      </w:r>
      <w:proofErr w:type="gramEnd"/>
      <w:r>
        <w:t xml:space="preserve"> waivers </w:t>
      </w:r>
      <w:r w:rsidR="00391B7B">
        <w:t>—</w:t>
      </w:r>
      <w:r>
        <w:t xml:space="preserve"> for up to 12 months.</w:t>
      </w:r>
    </w:p>
    <w:p w:rsidR="00D215F9" w:rsidRDefault="009275C3" w:rsidP="00D215F9">
      <w:pPr>
        <w:pStyle w:val="BodyText"/>
      </w:pPr>
      <w:r>
        <w:t>A service may apply for waivers</w:t>
      </w:r>
      <w:r w:rsidR="006B052A">
        <w:t xml:space="preserve"> in order</w:t>
      </w:r>
      <w:r>
        <w:t xml:space="preserve"> to be exempted from the standards and elements of Quality Areas 3 (Physical Environment) and 4 (Staffing</w:t>
      </w:r>
      <w:r w:rsidR="009C5C75">
        <w:t xml:space="preserve"> Arrangements) of the NQS, and</w:t>
      </w:r>
      <w:r w:rsidR="007C2386">
        <w:t xml:space="preserve"> </w:t>
      </w:r>
      <w:r w:rsidR="002A2B9B">
        <w:t>many</w:t>
      </w:r>
      <w:r w:rsidR="007C2386">
        <w:t xml:space="preserve"> of</w:t>
      </w:r>
      <w:r w:rsidR="009C5C75">
        <w:t xml:space="preserve"> their </w:t>
      </w:r>
      <w:r w:rsidR="009B4E99">
        <w:t>associated</w:t>
      </w:r>
      <w:r w:rsidR="009C5C75">
        <w:t xml:space="preserve"> regulations.</w:t>
      </w:r>
      <w:r w:rsidR="000D3A3E">
        <w:t xml:space="preserve"> As at 3</w:t>
      </w:r>
      <w:r w:rsidR="00FA58CD">
        <w:t>0</w:t>
      </w:r>
      <w:r w:rsidR="00F365B2">
        <w:t> </w:t>
      </w:r>
      <w:r w:rsidR="00FA58CD">
        <w:t>June</w:t>
      </w:r>
      <w:r w:rsidR="00564325">
        <w:t xml:space="preserve"> </w:t>
      </w:r>
      <w:r w:rsidR="000D3A3E">
        <w:t>201</w:t>
      </w:r>
      <w:r w:rsidR="00F365B2">
        <w:t>4</w:t>
      </w:r>
      <w:r w:rsidR="000D3A3E">
        <w:t>,</w:t>
      </w:r>
      <w:r w:rsidR="00B62B26">
        <w:t xml:space="preserve"> 70 per cent of waivers were temporary and 30 per cent were service </w:t>
      </w:r>
      <w:proofErr w:type="gramStart"/>
      <w:r w:rsidR="00B62B26">
        <w:t>waivers</w:t>
      </w:r>
      <w:r w:rsidR="00CC54FF" w:rsidRPr="00CC54FF">
        <w:rPr>
          <w:szCs w:val="24"/>
        </w:rPr>
        <w:t>(</w:t>
      </w:r>
      <w:proofErr w:type="gramEnd"/>
      <w:r w:rsidR="00CC54FF" w:rsidRPr="00CC54FF">
        <w:rPr>
          <w:szCs w:val="24"/>
        </w:rPr>
        <w:t>ACECQA 2014b, p. 15)</w:t>
      </w:r>
      <w:r w:rsidR="000D3A3E">
        <w:t>.</w:t>
      </w:r>
      <w:r w:rsidR="008D4C82">
        <w:t xml:space="preserve"> </w:t>
      </w:r>
      <w:r w:rsidR="00524F46">
        <w:t xml:space="preserve">A total of </w:t>
      </w:r>
      <w:r w:rsidR="00A57C95">
        <w:t xml:space="preserve">913 </w:t>
      </w:r>
      <w:r w:rsidR="00234E81">
        <w:t xml:space="preserve">services had </w:t>
      </w:r>
      <w:r w:rsidR="00B86EF6">
        <w:t xml:space="preserve">active </w:t>
      </w:r>
      <w:r w:rsidR="00524F46">
        <w:t xml:space="preserve">waivers </w:t>
      </w:r>
      <w:r w:rsidR="00234E81">
        <w:t xml:space="preserve">as at </w:t>
      </w:r>
      <w:r w:rsidR="00E20E0E">
        <w:t>30</w:t>
      </w:r>
      <w:r w:rsidR="00D50C08">
        <w:t> </w:t>
      </w:r>
      <w:r w:rsidR="00E20E0E">
        <w:t>June</w:t>
      </w:r>
      <w:r w:rsidR="00234E81">
        <w:t xml:space="preserve"> 2014</w:t>
      </w:r>
      <w:r w:rsidR="00524F46">
        <w:t xml:space="preserve">, accounting for around </w:t>
      </w:r>
      <w:r w:rsidR="00234E81">
        <w:t>6</w:t>
      </w:r>
      <w:r w:rsidR="00524F46">
        <w:t xml:space="preserve"> per cent of approved services (table </w:t>
      </w:r>
      <w:r w:rsidR="00C03891">
        <w:t>F</w:t>
      </w:r>
      <w:r w:rsidR="001509E0">
        <w:t>.</w:t>
      </w:r>
      <w:r w:rsidR="002A1754">
        <w:t>3</w:t>
      </w:r>
      <w:r w:rsidR="00524F46">
        <w:t>)</w:t>
      </w:r>
      <w:r w:rsidR="00402F7D">
        <w:t xml:space="preserve">. </w:t>
      </w:r>
    </w:p>
    <w:p w:rsidR="00A61C29" w:rsidRDefault="00A61C29" w:rsidP="00DA30A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A61C29" w:rsidTr="0079457B">
        <w:tc>
          <w:tcPr>
            <w:tcW w:w="8771" w:type="dxa"/>
            <w:tcBorders>
              <w:top w:val="single" w:sz="4" w:space="0" w:color="78A22F"/>
              <w:left w:val="nil"/>
              <w:bottom w:val="nil"/>
              <w:right w:val="nil"/>
            </w:tcBorders>
            <w:shd w:val="clear" w:color="auto" w:fill="auto"/>
          </w:tcPr>
          <w:p w:rsidR="00A61C29" w:rsidRPr="00784A05" w:rsidRDefault="00A61C29" w:rsidP="008432E7">
            <w:pPr>
              <w:pStyle w:val="TableTitle"/>
            </w:pPr>
            <w:r>
              <w:rPr>
                <w:b w:val="0"/>
              </w:rPr>
              <w:t xml:space="preserve">Table </w:t>
            </w:r>
            <w:r w:rsidR="00846333">
              <w:rPr>
                <w:b w:val="0"/>
              </w:rPr>
              <w:t>F.</w:t>
            </w:r>
            <w:r w:rsidR="00846333">
              <w:rPr>
                <w:b w:val="0"/>
                <w:noProof/>
              </w:rPr>
              <w:t>3</w:t>
            </w:r>
            <w:r>
              <w:tab/>
            </w:r>
            <w:r w:rsidR="008432E7">
              <w:t>Waivers granted by type and jurisdiction</w:t>
            </w:r>
          </w:p>
        </w:tc>
      </w:tr>
      <w:tr w:rsidR="00A61C29" w:rsidTr="00DA30AC">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422"/>
              <w:gridCol w:w="1259"/>
              <w:gridCol w:w="1259"/>
              <w:gridCol w:w="1259"/>
              <w:gridCol w:w="1258"/>
              <w:gridCol w:w="2030"/>
            </w:tblGrid>
            <w:tr w:rsidR="002B5BDA" w:rsidTr="00DA30AC">
              <w:tc>
                <w:tcPr>
                  <w:tcW w:w="837" w:type="pct"/>
                  <w:tcBorders>
                    <w:top w:val="single" w:sz="4" w:space="0" w:color="BFBFBF"/>
                    <w:bottom w:val="single" w:sz="4" w:space="0" w:color="BFBFBF"/>
                  </w:tcBorders>
                  <w:shd w:val="clear" w:color="auto" w:fill="auto"/>
                </w:tcPr>
                <w:p w:rsidR="002B5BDA" w:rsidRDefault="002B5BDA" w:rsidP="00DA30AC">
                  <w:pPr>
                    <w:pStyle w:val="TableColumnHeading"/>
                    <w:jc w:val="left"/>
                  </w:pPr>
                  <w:r>
                    <w:br/>
                    <w:t>Jurisdiction</w:t>
                  </w:r>
                </w:p>
              </w:tc>
              <w:tc>
                <w:tcPr>
                  <w:tcW w:w="742" w:type="pct"/>
                  <w:tcBorders>
                    <w:top w:val="single" w:sz="4" w:space="0" w:color="BFBFBF"/>
                    <w:bottom w:val="single" w:sz="4" w:space="0" w:color="BFBFBF"/>
                  </w:tcBorders>
                  <w:shd w:val="clear" w:color="auto" w:fill="auto"/>
                </w:tcPr>
                <w:p w:rsidR="002B5BDA" w:rsidRDefault="002B5BDA" w:rsidP="00DA30AC">
                  <w:pPr>
                    <w:pStyle w:val="TableColumnHeading"/>
                  </w:pPr>
                  <w:r>
                    <w:br/>
                    <w:t>Physical</w:t>
                  </w:r>
                </w:p>
              </w:tc>
              <w:tc>
                <w:tcPr>
                  <w:tcW w:w="742" w:type="pct"/>
                  <w:tcBorders>
                    <w:top w:val="single" w:sz="4" w:space="0" w:color="BFBFBF"/>
                    <w:bottom w:val="single" w:sz="4" w:space="0" w:color="BFBFBF"/>
                  </w:tcBorders>
                  <w:shd w:val="clear" w:color="auto" w:fill="auto"/>
                </w:tcPr>
                <w:p w:rsidR="002B5BDA" w:rsidRDefault="002B5BDA" w:rsidP="00DA30AC">
                  <w:pPr>
                    <w:pStyle w:val="TableColumnHeading"/>
                  </w:pPr>
                  <w:r>
                    <w:br/>
                    <w:t>Staff</w:t>
                  </w:r>
                </w:p>
              </w:tc>
              <w:tc>
                <w:tcPr>
                  <w:tcW w:w="742" w:type="pct"/>
                  <w:tcBorders>
                    <w:top w:val="single" w:sz="4" w:space="0" w:color="BFBFBF"/>
                    <w:bottom w:val="single" w:sz="4" w:space="0" w:color="BFBFBF"/>
                  </w:tcBorders>
                </w:tcPr>
                <w:p w:rsidR="002B5BDA" w:rsidRDefault="002B5BDA" w:rsidP="00DA30AC">
                  <w:pPr>
                    <w:pStyle w:val="TableColumnHeading"/>
                  </w:pPr>
                  <w:r>
                    <w:br/>
                    <w:t>Both</w:t>
                  </w:r>
                </w:p>
              </w:tc>
              <w:tc>
                <w:tcPr>
                  <w:tcW w:w="741" w:type="pct"/>
                  <w:tcBorders>
                    <w:top w:val="single" w:sz="4" w:space="0" w:color="BFBFBF"/>
                    <w:bottom w:val="single" w:sz="4" w:space="0" w:color="BFBFBF"/>
                  </w:tcBorders>
                </w:tcPr>
                <w:p w:rsidR="002B5BDA" w:rsidRDefault="002B5BDA" w:rsidP="00DA30AC">
                  <w:pPr>
                    <w:pStyle w:val="TableColumnHeading"/>
                  </w:pPr>
                  <w:r>
                    <w:br/>
                    <w:t>Total</w:t>
                  </w:r>
                </w:p>
              </w:tc>
              <w:tc>
                <w:tcPr>
                  <w:tcW w:w="1196" w:type="pct"/>
                  <w:tcBorders>
                    <w:top w:val="single" w:sz="4" w:space="0" w:color="BFBFBF"/>
                    <w:bottom w:val="single" w:sz="4" w:space="0" w:color="BFBFBF"/>
                  </w:tcBorders>
                </w:tcPr>
                <w:p w:rsidR="002B5BDA" w:rsidRDefault="002B5BDA" w:rsidP="00DA30AC">
                  <w:pPr>
                    <w:pStyle w:val="TableColumnHeading"/>
                    <w:ind w:right="28"/>
                  </w:pPr>
                  <w:r>
                    <w:t>Proportion of services with a waiver</w:t>
                  </w:r>
                </w:p>
              </w:tc>
            </w:tr>
            <w:tr w:rsidR="002B5BDA" w:rsidDel="004F1FDD" w:rsidTr="00813A43">
              <w:tc>
                <w:tcPr>
                  <w:tcW w:w="837" w:type="pct"/>
                  <w:tcBorders>
                    <w:top w:val="single" w:sz="4" w:space="0" w:color="BFBFBF"/>
                  </w:tcBorders>
                </w:tcPr>
                <w:p w:rsidR="002B5BDA" w:rsidRPr="00FD7E28" w:rsidRDefault="002B5BDA" w:rsidP="00F47D7A">
                  <w:pPr>
                    <w:pStyle w:val="TableUnitsRow"/>
                    <w:jc w:val="left"/>
                  </w:pPr>
                </w:p>
              </w:tc>
              <w:tc>
                <w:tcPr>
                  <w:tcW w:w="742" w:type="pct"/>
                  <w:tcBorders>
                    <w:top w:val="single" w:sz="4" w:space="0" w:color="BFBFBF"/>
                  </w:tcBorders>
                </w:tcPr>
                <w:p w:rsidR="002B5BDA" w:rsidRDefault="002B5BDA" w:rsidP="00DA30AC">
                  <w:pPr>
                    <w:pStyle w:val="TableUnitsRow"/>
                  </w:pPr>
                </w:p>
              </w:tc>
              <w:tc>
                <w:tcPr>
                  <w:tcW w:w="742" w:type="pct"/>
                  <w:tcBorders>
                    <w:top w:val="single" w:sz="4" w:space="0" w:color="BFBFBF"/>
                  </w:tcBorders>
                </w:tcPr>
                <w:p w:rsidR="002B5BDA" w:rsidDel="004F1FDD" w:rsidRDefault="002B5BDA" w:rsidP="00DA30AC">
                  <w:pPr>
                    <w:pStyle w:val="TableUnitsRow"/>
                  </w:pPr>
                </w:p>
              </w:tc>
              <w:tc>
                <w:tcPr>
                  <w:tcW w:w="742" w:type="pct"/>
                  <w:tcBorders>
                    <w:top w:val="single" w:sz="4" w:space="0" w:color="BFBFBF"/>
                  </w:tcBorders>
                </w:tcPr>
                <w:p w:rsidR="002B5BDA" w:rsidDel="004F1FDD" w:rsidRDefault="002B5BDA" w:rsidP="00DA30AC">
                  <w:pPr>
                    <w:pStyle w:val="TableUnitsRow"/>
                  </w:pPr>
                </w:p>
              </w:tc>
              <w:tc>
                <w:tcPr>
                  <w:tcW w:w="741" w:type="pct"/>
                  <w:tcBorders>
                    <w:top w:val="single" w:sz="4" w:space="0" w:color="BFBFBF"/>
                  </w:tcBorders>
                </w:tcPr>
                <w:p w:rsidR="002B5BDA" w:rsidDel="004F1FDD" w:rsidRDefault="002B5BDA" w:rsidP="00DA30AC">
                  <w:pPr>
                    <w:pStyle w:val="TableUnitsRow"/>
                  </w:pPr>
                </w:p>
              </w:tc>
              <w:tc>
                <w:tcPr>
                  <w:tcW w:w="1196" w:type="pct"/>
                  <w:tcBorders>
                    <w:top w:val="single" w:sz="4" w:space="0" w:color="BFBFBF"/>
                  </w:tcBorders>
                </w:tcPr>
                <w:p w:rsidR="002B5BDA" w:rsidDel="004F1FDD" w:rsidRDefault="002B5BDA" w:rsidP="00DA30AC">
                  <w:pPr>
                    <w:pStyle w:val="TableUnitsRow"/>
                  </w:pPr>
                  <w:r>
                    <w:t>%</w:t>
                  </w:r>
                </w:p>
              </w:tc>
            </w:tr>
            <w:tr w:rsidR="002B5BDA" w:rsidTr="00F47D7A">
              <w:tc>
                <w:tcPr>
                  <w:tcW w:w="837" w:type="pct"/>
                  <w:shd w:val="clear" w:color="auto" w:fill="BFBFBF" w:themeFill="background1" w:themeFillShade="BF"/>
                </w:tcPr>
                <w:p w:rsidR="002B5BDA" w:rsidRPr="00FD7E28" w:rsidRDefault="002B5BDA" w:rsidP="00F47D7A">
                  <w:pPr>
                    <w:pStyle w:val="TableBodyText"/>
                    <w:spacing w:before="40"/>
                    <w:jc w:val="left"/>
                  </w:pPr>
                  <w:r w:rsidRPr="00FD7E28">
                    <w:t>ACT</w:t>
                  </w:r>
                </w:p>
              </w:tc>
              <w:tc>
                <w:tcPr>
                  <w:tcW w:w="742" w:type="pct"/>
                  <w:shd w:val="clear" w:color="auto" w:fill="BFBFBF" w:themeFill="background1" w:themeFillShade="BF"/>
                </w:tcPr>
                <w:p w:rsidR="002B5BDA" w:rsidRDefault="002B5BDA" w:rsidP="00F47D7A">
                  <w:pPr>
                    <w:pStyle w:val="TableBodyText"/>
                    <w:spacing w:before="40"/>
                  </w:pPr>
                  <w:r>
                    <w:t>3</w:t>
                  </w:r>
                </w:p>
              </w:tc>
              <w:tc>
                <w:tcPr>
                  <w:tcW w:w="742" w:type="pct"/>
                  <w:shd w:val="clear" w:color="auto" w:fill="BFBFBF" w:themeFill="background1" w:themeFillShade="BF"/>
                </w:tcPr>
                <w:p w:rsidR="002B5BDA" w:rsidRDefault="002B5BDA" w:rsidP="00F47D7A">
                  <w:pPr>
                    <w:pStyle w:val="TableBodyText"/>
                    <w:spacing w:before="40"/>
                  </w:pPr>
                  <w:r>
                    <w:t>2</w:t>
                  </w:r>
                  <w:r w:rsidR="000821CE">
                    <w:t>1</w:t>
                  </w:r>
                </w:p>
              </w:tc>
              <w:tc>
                <w:tcPr>
                  <w:tcW w:w="742" w:type="pct"/>
                  <w:shd w:val="clear" w:color="auto" w:fill="BFBFBF" w:themeFill="background1" w:themeFillShade="BF"/>
                </w:tcPr>
                <w:p w:rsidR="002B5BDA" w:rsidRDefault="002B5BDA" w:rsidP="00F47D7A">
                  <w:pPr>
                    <w:pStyle w:val="TableBodyText"/>
                    <w:spacing w:before="40"/>
                  </w:pPr>
                  <w:r>
                    <w:t>0</w:t>
                  </w:r>
                </w:p>
              </w:tc>
              <w:tc>
                <w:tcPr>
                  <w:tcW w:w="741" w:type="pct"/>
                  <w:shd w:val="clear" w:color="auto" w:fill="BFBFBF" w:themeFill="background1" w:themeFillShade="BF"/>
                </w:tcPr>
                <w:p w:rsidR="002B5BDA" w:rsidRDefault="002B5BDA" w:rsidP="00F47D7A">
                  <w:pPr>
                    <w:pStyle w:val="TableBodyText"/>
                    <w:spacing w:before="40"/>
                  </w:pPr>
                  <w:r>
                    <w:t>2</w:t>
                  </w:r>
                  <w:r w:rsidR="000821CE">
                    <w:t>4</w:t>
                  </w:r>
                </w:p>
              </w:tc>
              <w:tc>
                <w:tcPr>
                  <w:tcW w:w="1196" w:type="pct"/>
                  <w:shd w:val="clear" w:color="auto" w:fill="BFBFBF" w:themeFill="background1" w:themeFillShade="BF"/>
                </w:tcPr>
                <w:p w:rsidR="002B5BDA" w:rsidRDefault="000821CE" w:rsidP="00F47D7A">
                  <w:pPr>
                    <w:pStyle w:val="TableBodyText"/>
                    <w:spacing w:before="40"/>
                  </w:pPr>
                  <w:r>
                    <w:t>7.6</w:t>
                  </w:r>
                </w:p>
              </w:tc>
            </w:tr>
            <w:tr w:rsidR="002B5BDA" w:rsidTr="00813A43">
              <w:tc>
                <w:tcPr>
                  <w:tcW w:w="837" w:type="pct"/>
                </w:tcPr>
                <w:p w:rsidR="002B5BDA" w:rsidRPr="00FD7E28" w:rsidRDefault="002B5BDA" w:rsidP="00F47D7A">
                  <w:pPr>
                    <w:pStyle w:val="TableBodyText"/>
                    <w:spacing w:before="40"/>
                    <w:jc w:val="left"/>
                  </w:pPr>
                  <w:r w:rsidRPr="00FD7E28">
                    <w:t>NSW</w:t>
                  </w:r>
                </w:p>
              </w:tc>
              <w:tc>
                <w:tcPr>
                  <w:tcW w:w="742" w:type="pct"/>
                </w:tcPr>
                <w:p w:rsidR="002B5BDA" w:rsidRDefault="002B5BDA" w:rsidP="00F47D7A">
                  <w:pPr>
                    <w:pStyle w:val="TableBodyText"/>
                    <w:spacing w:before="40"/>
                  </w:pPr>
                  <w:r>
                    <w:t>1</w:t>
                  </w:r>
                  <w:r w:rsidR="000821CE">
                    <w:t>35</w:t>
                  </w:r>
                </w:p>
              </w:tc>
              <w:tc>
                <w:tcPr>
                  <w:tcW w:w="742" w:type="pct"/>
                </w:tcPr>
                <w:p w:rsidR="002B5BDA" w:rsidRDefault="002B5BDA" w:rsidP="00F47D7A">
                  <w:pPr>
                    <w:pStyle w:val="TableBodyText"/>
                    <w:spacing w:before="40"/>
                  </w:pPr>
                  <w:r>
                    <w:t>1</w:t>
                  </w:r>
                  <w:r w:rsidR="000821CE">
                    <w:t>84</w:t>
                  </w:r>
                </w:p>
              </w:tc>
              <w:tc>
                <w:tcPr>
                  <w:tcW w:w="742" w:type="pct"/>
                </w:tcPr>
                <w:p w:rsidR="002B5BDA" w:rsidRDefault="000821CE" w:rsidP="00F47D7A">
                  <w:pPr>
                    <w:pStyle w:val="TableBodyText"/>
                    <w:spacing w:before="40"/>
                  </w:pPr>
                  <w:r>
                    <w:t>4</w:t>
                  </w:r>
                </w:p>
              </w:tc>
              <w:tc>
                <w:tcPr>
                  <w:tcW w:w="741" w:type="pct"/>
                </w:tcPr>
                <w:p w:rsidR="002B5BDA" w:rsidRDefault="000821CE" w:rsidP="00F47D7A">
                  <w:pPr>
                    <w:pStyle w:val="TableBodyText"/>
                    <w:spacing w:before="40"/>
                  </w:pPr>
                  <w:r>
                    <w:t>323</w:t>
                  </w:r>
                </w:p>
              </w:tc>
              <w:tc>
                <w:tcPr>
                  <w:tcW w:w="1196" w:type="pct"/>
                </w:tcPr>
                <w:p w:rsidR="002B5BDA" w:rsidRDefault="000821CE" w:rsidP="00F47D7A">
                  <w:pPr>
                    <w:pStyle w:val="TableBodyText"/>
                    <w:spacing w:before="40"/>
                  </w:pPr>
                  <w:r>
                    <w:t>6.6</w:t>
                  </w:r>
                </w:p>
              </w:tc>
            </w:tr>
            <w:tr w:rsidR="002B5BDA" w:rsidTr="00F47D7A">
              <w:tc>
                <w:tcPr>
                  <w:tcW w:w="837" w:type="pct"/>
                  <w:shd w:val="clear" w:color="auto" w:fill="BFBFBF" w:themeFill="background1" w:themeFillShade="BF"/>
                </w:tcPr>
                <w:p w:rsidR="002B5BDA" w:rsidRPr="00FD7E28" w:rsidRDefault="002B5BDA" w:rsidP="00F47D7A">
                  <w:pPr>
                    <w:pStyle w:val="TableBodyText"/>
                    <w:spacing w:before="40"/>
                    <w:jc w:val="left"/>
                  </w:pPr>
                  <w:r w:rsidRPr="00FD7E28">
                    <w:t>NT</w:t>
                  </w:r>
                </w:p>
              </w:tc>
              <w:tc>
                <w:tcPr>
                  <w:tcW w:w="742" w:type="pct"/>
                  <w:shd w:val="clear" w:color="auto" w:fill="BFBFBF" w:themeFill="background1" w:themeFillShade="BF"/>
                </w:tcPr>
                <w:p w:rsidR="002B5BDA" w:rsidRDefault="002B5BDA" w:rsidP="00F47D7A">
                  <w:pPr>
                    <w:pStyle w:val="TableBodyText"/>
                    <w:spacing w:before="40"/>
                  </w:pPr>
                  <w:r>
                    <w:t>0</w:t>
                  </w:r>
                </w:p>
              </w:tc>
              <w:tc>
                <w:tcPr>
                  <w:tcW w:w="742" w:type="pct"/>
                  <w:shd w:val="clear" w:color="auto" w:fill="BFBFBF" w:themeFill="background1" w:themeFillShade="BF"/>
                </w:tcPr>
                <w:p w:rsidR="002B5BDA" w:rsidRDefault="000821CE" w:rsidP="00F47D7A">
                  <w:pPr>
                    <w:pStyle w:val="TableBodyText"/>
                    <w:spacing w:before="40"/>
                  </w:pPr>
                  <w:r>
                    <w:t>34</w:t>
                  </w:r>
                </w:p>
              </w:tc>
              <w:tc>
                <w:tcPr>
                  <w:tcW w:w="742" w:type="pct"/>
                  <w:shd w:val="clear" w:color="auto" w:fill="BFBFBF" w:themeFill="background1" w:themeFillShade="BF"/>
                </w:tcPr>
                <w:p w:rsidR="002B5BDA" w:rsidRDefault="002B5BDA" w:rsidP="00F47D7A">
                  <w:pPr>
                    <w:pStyle w:val="TableBodyText"/>
                    <w:spacing w:before="40"/>
                  </w:pPr>
                  <w:r>
                    <w:t>0</w:t>
                  </w:r>
                </w:p>
              </w:tc>
              <w:tc>
                <w:tcPr>
                  <w:tcW w:w="741" w:type="pct"/>
                  <w:shd w:val="clear" w:color="auto" w:fill="BFBFBF" w:themeFill="background1" w:themeFillShade="BF"/>
                </w:tcPr>
                <w:p w:rsidR="002B5BDA" w:rsidRDefault="000821CE" w:rsidP="00F47D7A">
                  <w:pPr>
                    <w:pStyle w:val="TableBodyText"/>
                    <w:spacing w:before="40"/>
                  </w:pPr>
                  <w:r>
                    <w:t>34</w:t>
                  </w:r>
                </w:p>
              </w:tc>
              <w:tc>
                <w:tcPr>
                  <w:tcW w:w="1196" w:type="pct"/>
                  <w:shd w:val="clear" w:color="auto" w:fill="BFBFBF" w:themeFill="background1" w:themeFillShade="BF"/>
                </w:tcPr>
                <w:p w:rsidR="002B5BDA" w:rsidRDefault="000821CE" w:rsidP="00F47D7A">
                  <w:pPr>
                    <w:pStyle w:val="TableBodyText"/>
                    <w:spacing w:before="40"/>
                  </w:pPr>
                  <w:r>
                    <w:t>16.3</w:t>
                  </w:r>
                </w:p>
              </w:tc>
            </w:tr>
            <w:tr w:rsidR="002B5BDA" w:rsidTr="00813A43">
              <w:tc>
                <w:tcPr>
                  <w:tcW w:w="837" w:type="pct"/>
                  <w:shd w:val="clear" w:color="auto" w:fill="auto"/>
                </w:tcPr>
                <w:p w:rsidR="002B5BDA" w:rsidRPr="00FD7E28" w:rsidRDefault="002B5BDA" w:rsidP="00F47D7A">
                  <w:pPr>
                    <w:pStyle w:val="TableBodyText"/>
                    <w:spacing w:before="40"/>
                    <w:jc w:val="left"/>
                  </w:pPr>
                  <w:r w:rsidRPr="00FD7E28">
                    <w:t>Q</w:t>
                  </w:r>
                  <w:r>
                    <w:t>ld</w:t>
                  </w:r>
                </w:p>
              </w:tc>
              <w:tc>
                <w:tcPr>
                  <w:tcW w:w="742" w:type="pct"/>
                  <w:shd w:val="clear" w:color="auto" w:fill="auto"/>
                </w:tcPr>
                <w:p w:rsidR="002B5BDA" w:rsidRDefault="002B5BDA" w:rsidP="00F47D7A">
                  <w:pPr>
                    <w:pStyle w:val="TableBodyText"/>
                    <w:spacing w:before="40"/>
                  </w:pPr>
                  <w:r>
                    <w:t>70</w:t>
                  </w:r>
                </w:p>
              </w:tc>
              <w:tc>
                <w:tcPr>
                  <w:tcW w:w="742" w:type="pct"/>
                  <w:shd w:val="clear" w:color="auto" w:fill="auto"/>
                </w:tcPr>
                <w:p w:rsidR="002B5BDA" w:rsidRDefault="002B5BDA" w:rsidP="00F47D7A">
                  <w:pPr>
                    <w:pStyle w:val="TableBodyText"/>
                    <w:spacing w:before="40"/>
                  </w:pPr>
                  <w:r>
                    <w:t>10</w:t>
                  </w:r>
                  <w:r w:rsidR="000821CE">
                    <w:t>0</w:t>
                  </w:r>
                </w:p>
              </w:tc>
              <w:tc>
                <w:tcPr>
                  <w:tcW w:w="742" w:type="pct"/>
                </w:tcPr>
                <w:p w:rsidR="002B5BDA" w:rsidRDefault="000821CE" w:rsidP="00F47D7A">
                  <w:pPr>
                    <w:pStyle w:val="TableBodyText"/>
                    <w:spacing w:before="40"/>
                  </w:pPr>
                  <w:r>
                    <w:t>3</w:t>
                  </w:r>
                </w:p>
              </w:tc>
              <w:tc>
                <w:tcPr>
                  <w:tcW w:w="741" w:type="pct"/>
                </w:tcPr>
                <w:p w:rsidR="002B5BDA" w:rsidRDefault="002B5BDA" w:rsidP="00F47D7A">
                  <w:pPr>
                    <w:pStyle w:val="TableBodyText"/>
                    <w:spacing w:before="40"/>
                  </w:pPr>
                  <w:r>
                    <w:t>17</w:t>
                  </w:r>
                  <w:r w:rsidR="000821CE">
                    <w:t>3</w:t>
                  </w:r>
                </w:p>
              </w:tc>
              <w:tc>
                <w:tcPr>
                  <w:tcW w:w="1196" w:type="pct"/>
                </w:tcPr>
                <w:p w:rsidR="002B5BDA" w:rsidRDefault="002B5BDA" w:rsidP="00F47D7A">
                  <w:pPr>
                    <w:pStyle w:val="TableBodyText"/>
                    <w:spacing w:before="40"/>
                  </w:pPr>
                  <w:r>
                    <w:t>6.</w:t>
                  </w:r>
                  <w:r w:rsidR="000821CE">
                    <w:t>4</w:t>
                  </w:r>
                </w:p>
              </w:tc>
            </w:tr>
            <w:tr w:rsidR="002B5BDA" w:rsidTr="00F47D7A">
              <w:tc>
                <w:tcPr>
                  <w:tcW w:w="837" w:type="pct"/>
                  <w:shd w:val="clear" w:color="auto" w:fill="BFBFBF" w:themeFill="background1" w:themeFillShade="BF"/>
                </w:tcPr>
                <w:p w:rsidR="002B5BDA" w:rsidRPr="00FD7E28" w:rsidRDefault="002B5BDA" w:rsidP="00F47D7A">
                  <w:pPr>
                    <w:pStyle w:val="TableBodyText"/>
                    <w:spacing w:before="40"/>
                    <w:jc w:val="left"/>
                  </w:pPr>
                  <w:r w:rsidRPr="00FD7E28">
                    <w:t>SA</w:t>
                  </w:r>
                </w:p>
              </w:tc>
              <w:tc>
                <w:tcPr>
                  <w:tcW w:w="742" w:type="pct"/>
                  <w:shd w:val="clear" w:color="auto" w:fill="BFBFBF" w:themeFill="background1" w:themeFillShade="BF"/>
                </w:tcPr>
                <w:p w:rsidR="002B5BDA" w:rsidRDefault="000821CE" w:rsidP="00F47D7A">
                  <w:pPr>
                    <w:pStyle w:val="TableBodyText"/>
                    <w:spacing w:before="40"/>
                  </w:pPr>
                  <w:r>
                    <w:t>2</w:t>
                  </w:r>
                </w:p>
              </w:tc>
              <w:tc>
                <w:tcPr>
                  <w:tcW w:w="742" w:type="pct"/>
                  <w:shd w:val="clear" w:color="auto" w:fill="BFBFBF" w:themeFill="background1" w:themeFillShade="BF"/>
                </w:tcPr>
                <w:p w:rsidR="002B5BDA" w:rsidRDefault="000821CE" w:rsidP="00F47D7A">
                  <w:pPr>
                    <w:pStyle w:val="TableBodyText"/>
                    <w:spacing w:before="40"/>
                  </w:pPr>
                  <w:r>
                    <w:t>45</w:t>
                  </w:r>
                </w:p>
              </w:tc>
              <w:tc>
                <w:tcPr>
                  <w:tcW w:w="742" w:type="pct"/>
                  <w:shd w:val="clear" w:color="auto" w:fill="BFBFBF" w:themeFill="background1" w:themeFillShade="BF"/>
                </w:tcPr>
                <w:p w:rsidR="002B5BDA" w:rsidRDefault="002B5BDA" w:rsidP="00F47D7A">
                  <w:pPr>
                    <w:pStyle w:val="TableBodyText"/>
                    <w:spacing w:before="40"/>
                  </w:pPr>
                  <w:r>
                    <w:t>0</w:t>
                  </w:r>
                </w:p>
              </w:tc>
              <w:tc>
                <w:tcPr>
                  <w:tcW w:w="741" w:type="pct"/>
                  <w:shd w:val="clear" w:color="auto" w:fill="BFBFBF" w:themeFill="background1" w:themeFillShade="BF"/>
                </w:tcPr>
                <w:p w:rsidR="002B5BDA" w:rsidRDefault="000821CE" w:rsidP="00F47D7A">
                  <w:pPr>
                    <w:pStyle w:val="TableBodyText"/>
                    <w:spacing w:before="40"/>
                  </w:pPr>
                  <w:r>
                    <w:t>47</w:t>
                  </w:r>
                </w:p>
              </w:tc>
              <w:tc>
                <w:tcPr>
                  <w:tcW w:w="1196" w:type="pct"/>
                  <w:shd w:val="clear" w:color="auto" w:fill="BFBFBF" w:themeFill="background1" w:themeFillShade="BF"/>
                </w:tcPr>
                <w:p w:rsidR="002B5BDA" w:rsidRDefault="000821CE" w:rsidP="00F47D7A">
                  <w:pPr>
                    <w:pStyle w:val="TableBodyText"/>
                    <w:spacing w:before="40"/>
                  </w:pPr>
                  <w:r>
                    <w:t>4.1</w:t>
                  </w:r>
                </w:p>
              </w:tc>
            </w:tr>
            <w:tr w:rsidR="002B5BDA" w:rsidTr="00813A43">
              <w:tc>
                <w:tcPr>
                  <w:tcW w:w="837" w:type="pct"/>
                  <w:shd w:val="clear" w:color="auto" w:fill="auto"/>
                </w:tcPr>
                <w:p w:rsidR="002B5BDA" w:rsidRPr="00FD7E28" w:rsidRDefault="002B5BDA" w:rsidP="00F47D7A">
                  <w:pPr>
                    <w:pStyle w:val="TableBodyText"/>
                    <w:spacing w:before="40"/>
                    <w:jc w:val="left"/>
                  </w:pPr>
                  <w:r w:rsidRPr="00FD7E28">
                    <w:t>T</w:t>
                  </w:r>
                  <w:r>
                    <w:t>as</w:t>
                  </w:r>
                </w:p>
              </w:tc>
              <w:tc>
                <w:tcPr>
                  <w:tcW w:w="742" w:type="pct"/>
                  <w:shd w:val="clear" w:color="auto" w:fill="auto"/>
                </w:tcPr>
                <w:p w:rsidR="002B5BDA" w:rsidRDefault="000821CE" w:rsidP="00F47D7A">
                  <w:pPr>
                    <w:pStyle w:val="TableBodyText"/>
                    <w:spacing w:before="40"/>
                  </w:pPr>
                  <w:r>
                    <w:t>7</w:t>
                  </w:r>
                </w:p>
              </w:tc>
              <w:tc>
                <w:tcPr>
                  <w:tcW w:w="742" w:type="pct"/>
                  <w:shd w:val="clear" w:color="auto" w:fill="auto"/>
                </w:tcPr>
                <w:p w:rsidR="002B5BDA" w:rsidRDefault="002B5BDA" w:rsidP="00F47D7A">
                  <w:pPr>
                    <w:pStyle w:val="TableBodyText"/>
                    <w:spacing w:before="40"/>
                  </w:pPr>
                  <w:r>
                    <w:t>1</w:t>
                  </w:r>
                  <w:r w:rsidR="000821CE">
                    <w:t>3</w:t>
                  </w:r>
                </w:p>
              </w:tc>
              <w:tc>
                <w:tcPr>
                  <w:tcW w:w="742" w:type="pct"/>
                </w:tcPr>
                <w:p w:rsidR="002B5BDA" w:rsidRDefault="002B5BDA" w:rsidP="00F47D7A">
                  <w:pPr>
                    <w:pStyle w:val="TableBodyText"/>
                    <w:spacing w:before="40"/>
                  </w:pPr>
                  <w:r>
                    <w:t>0</w:t>
                  </w:r>
                </w:p>
              </w:tc>
              <w:tc>
                <w:tcPr>
                  <w:tcW w:w="741" w:type="pct"/>
                </w:tcPr>
                <w:p w:rsidR="002B5BDA" w:rsidRDefault="002B5BDA" w:rsidP="00F47D7A">
                  <w:pPr>
                    <w:pStyle w:val="TableBodyText"/>
                    <w:spacing w:before="40"/>
                  </w:pPr>
                  <w:r>
                    <w:t>2</w:t>
                  </w:r>
                  <w:r w:rsidR="000821CE">
                    <w:t>0</w:t>
                  </w:r>
                </w:p>
              </w:tc>
              <w:tc>
                <w:tcPr>
                  <w:tcW w:w="1196" w:type="pct"/>
                </w:tcPr>
                <w:p w:rsidR="002B5BDA" w:rsidRDefault="000821CE" w:rsidP="00F47D7A">
                  <w:pPr>
                    <w:pStyle w:val="TableBodyText"/>
                    <w:spacing w:before="40"/>
                  </w:pPr>
                  <w:r>
                    <w:t>9.0</w:t>
                  </w:r>
                </w:p>
              </w:tc>
            </w:tr>
            <w:tr w:rsidR="002B5BDA" w:rsidTr="00F47D7A">
              <w:tc>
                <w:tcPr>
                  <w:tcW w:w="837" w:type="pct"/>
                  <w:shd w:val="clear" w:color="auto" w:fill="BFBFBF" w:themeFill="background1" w:themeFillShade="BF"/>
                </w:tcPr>
                <w:p w:rsidR="002B5BDA" w:rsidRPr="00FD7E28" w:rsidRDefault="002B5BDA" w:rsidP="00F47D7A">
                  <w:pPr>
                    <w:pStyle w:val="TableBodyText"/>
                    <w:spacing w:before="40"/>
                    <w:jc w:val="left"/>
                  </w:pPr>
                  <w:r w:rsidRPr="00FD7E28">
                    <w:t>V</w:t>
                  </w:r>
                  <w:r>
                    <w:t>ic</w:t>
                  </w:r>
                </w:p>
              </w:tc>
              <w:tc>
                <w:tcPr>
                  <w:tcW w:w="742" w:type="pct"/>
                  <w:shd w:val="clear" w:color="auto" w:fill="BFBFBF" w:themeFill="background1" w:themeFillShade="BF"/>
                </w:tcPr>
                <w:p w:rsidR="002B5BDA" w:rsidRDefault="002B5BDA" w:rsidP="00F47D7A">
                  <w:pPr>
                    <w:pStyle w:val="TableBodyText"/>
                    <w:spacing w:before="40"/>
                  </w:pPr>
                  <w:r>
                    <w:t>21</w:t>
                  </w:r>
                </w:p>
              </w:tc>
              <w:tc>
                <w:tcPr>
                  <w:tcW w:w="742" w:type="pct"/>
                  <w:shd w:val="clear" w:color="auto" w:fill="BFBFBF" w:themeFill="background1" w:themeFillShade="BF"/>
                </w:tcPr>
                <w:p w:rsidR="002B5BDA" w:rsidRDefault="000821CE" w:rsidP="00F47D7A">
                  <w:pPr>
                    <w:pStyle w:val="TableBodyText"/>
                    <w:spacing w:before="40"/>
                  </w:pPr>
                  <w:r>
                    <w:t>103</w:t>
                  </w:r>
                </w:p>
              </w:tc>
              <w:tc>
                <w:tcPr>
                  <w:tcW w:w="742" w:type="pct"/>
                  <w:shd w:val="clear" w:color="auto" w:fill="BFBFBF" w:themeFill="background1" w:themeFillShade="BF"/>
                </w:tcPr>
                <w:p w:rsidR="002B5BDA" w:rsidRDefault="002B5BDA" w:rsidP="00F47D7A">
                  <w:pPr>
                    <w:pStyle w:val="TableBodyText"/>
                    <w:spacing w:before="40"/>
                  </w:pPr>
                  <w:r>
                    <w:t>0</w:t>
                  </w:r>
                </w:p>
              </w:tc>
              <w:tc>
                <w:tcPr>
                  <w:tcW w:w="741" w:type="pct"/>
                  <w:shd w:val="clear" w:color="auto" w:fill="BFBFBF" w:themeFill="background1" w:themeFillShade="BF"/>
                </w:tcPr>
                <w:p w:rsidR="002B5BDA" w:rsidRDefault="002B5BDA" w:rsidP="00F47D7A">
                  <w:pPr>
                    <w:pStyle w:val="TableBodyText"/>
                    <w:spacing w:before="40"/>
                  </w:pPr>
                  <w:r>
                    <w:t>1</w:t>
                  </w:r>
                  <w:r w:rsidR="000821CE">
                    <w:t>24</w:t>
                  </w:r>
                </w:p>
              </w:tc>
              <w:tc>
                <w:tcPr>
                  <w:tcW w:w="1196" w:type="pct"/>
                  <w:shd w:val="clear" w:color="auto" w:fill="BFBFBF" w:themeFill="background1" w:themeFillShade="BF"/>
                </w:tcPr>
                <w:p w:rsidR="002B5BDA" w:rsidRDefault="000821CE" w:rsidP="00F47D7A">
                  <w:pPr>
                    <w:pStyle w:val="TableBodyText"/>
                    <w:spacing w:before="40"/>
                  </w:pPr>
                  <w:r>
                    <w:t>3.2</w:t>
                  </w:r>
                </w:p>
              </w:tc>
            </w:tr>
            <w:tr w:rsidR="002B5BDA" w:rsidTr="00813A43">
              <w:tc>
                <w:tcPr>
                  <w:tcW w:w="837" w:type="pct"/>
                  <w:shd w:val="clear" w:color="auto" w:fill="auto"/>
                </w:tcPr>
                <w:p w:rsidR="002B5BDA" w:rsidRPr="00FD7E28" w:rsidRDefault="002B5BDA" w:rsidP="00F47D7A">
                  <w:pPr>
                    <w:pStyle w:val="TableBodyText"/>
                    <w:spacing w:before="40"/>
                    <w:jc w:val="left"/>
                  </w:pPr>
                  <w:r w:rsidRPr="00FD7E28">
                    <w:t>WA</w:t>
                  </w:r>
                </w:p>
              </w:tc>
              <w:tc>
                <w:tcPr>
                  <w:tcW w:w="742" w:type="pct"/>
                  <w:shd w:val="clear" w:color="auto" w:fill="auto"/>
                </w:tcPr>
                <w:p w:rsidR="002B5BDA" w:rsidRDefault="002B5BDA" w:rsidP="00F47D7A">
                  <w:pPr>
                    <w:pStyle w:val="TableBodyText"/>
                    <w:spacing w:before="40"/>
                  </w:pPr>
                  <w:r>
                    <w:t>7</w:t>
                  </w:r>
                </w:p>
              </w:tc>
              <w:tc>
                <w:tcPr>
                  <w:tcW w:w="742" w:type="pct"/>
                  <w:shd w:val="clear" w:color="auto" w:fill="auto"/>
                </w:tcPr>
                <w:p w:rsidR="002B5BDA" w:rsidRDefault="002B5BDA" w:rsidP="00F47D7A">
                  <w:pPr>
                    <w:pStyle w:val="TableBodyText"/>
                    <w:spacing w:before="40"/>
                  </w:pPr>
                  <w:r>
                    <w:t>16</w:t>
                  </w:r>
                  <w:r w:rsidR="000821CE">
                    <w:t>1</w:t>
                  </w:r>
                </w:p>
              </w:tc>
              <w:tc>
                <w:tcPr>
                  <w:tcW w:w="742" w:type="pct"/>
                </w:tcPr>
                <w:p w:rsidR="002B5BDA" w:rsidRDefault="002B5BDA" w:rsidP="00F47D7A">
                  <w:pPr>
                    <w:pStyle w:val="TableBodyText"/>
                    <w:spacing w:before="40"/>
                  </w:pPr>
                  <w:r>
                    <w:t>0</w:t>
                  </w:r>
                </w:p>
              </w:tc>
              <w:tc>
                <w:tcPr>
                  <w:tcW w:w="741" w:type="pct"/>
                </w:tcPr>
                <w:p w:rsidR="002B5BDA" w:rsidRDefault="002B5BDA" w:rsidP="00F47D7A">
                  <w:pPr>
                    <w:pStyle w:val="TableBodyText"/>
                    <w:spacing w:before="40"/>
                  </w:pPr>
                  <w:r>
                    <w:t>16</w:t>
                  </w:r>
                  <w:r w:rsidR="000821CE">
                    <w:t>8</w:t>
                  </w:r>
                </w:p>
              </w:tc>
              <w:tc>
                <w:tcPr>
                  <w:tcW w:w="1196" w:type="pct"/>
                </w:tcPr>
                <w:p w:rsidR="002B5BDA" w:rsidRDefault="002B5BDA" w:rsidP="00F47D7A">
                  <w:pPr>
                    <w:pStyle w:val="TableBodyText"/>
                    <w:spacing w:before="40"/>
                  </w:pPr>
                  <w:r>
                    <w:t>16.</w:t>
                  </w:r>
                  <w:r w:rsidR="000821CE">
                    <w:t>4</w:t>
                  </w:r>
                </w:p>
              </w:tc>
            </w:tr>
            <w:tr w:rsidR="002B5BDA" w:rsidRPr="00771EC8" w:rsidTr="00F47D7A">
              <w:tc>
                <w:tcPr>
                  <w:tcW w:w="837" w:type="pct"/>
                  <w:shd w:val="clear" w:color="auto" w:fill="BFBFBF" w:themeFill="background1" w:themeFillShade="BF"/>
                </w:tcPr>
                <w:p w:rsidR="002B5BDA" w:rsidRPr="00771EC8" w:rsidRDefault="002B5BDA" w:rsidP="00F47D7A">
                  <w:pPr>
                    <w:pStyle w:val="TableBodyText"/>
                    <w:jc w:val="left"/>
                    <w:rPr>
                      <w:b/>
                    </w:rPr>
                  </w:pPr>
                  <w:r>
                    <w:rPr>
                      <w:b/>
                    </w:rPr>
                    <w:t>Total</w:t>
                  </w:r>
                </w:p>
              </w:tc>
              <w:tc>
                <w:tcPr>
                  <w:tcW w:w="742" w:type="pct"/>
                  <w:shd w:val="clear" w:color="auto" w:fill="BFBFBF" w:themeFill="background1" w:themeFillShade="BF"/>
                </w:tcPr>
                <w:p w:rsidR="002B5BDA" w:rsidRPr="00771EC8" w:rsidRDefault="002B5BDA" w:rsidP="00F47D7A">
                  <w:pPr>
                    <w:pStyle w:val="TableBodyText"/>
                    <w:rPr>
                      <w:b/>
                    </w:rPr>
                  </w:pPr>
                  <w:r w:rsidRPr="00771EC8">
                    <w:rPr>
                      <w:b/>
                    </w:rPr>
                    <w:t>2</w:t>
                  </w:r>
                  <w:r w:rsidR="000821CE">
                    <w:rPr>
                      <w:b/>
                    </w:rPr>
                    <w:t>45</w:t>
                  </w:r>
                </w:p>
              </w:tc>
              <w:tc>
                <w:tcPr>
                  <w:tcW w:w="742" w:type="pct"/>
                  <w:shd w:val="clear" w:color="auto" w:fill="BFBFBF" w:themeFill="background1" w:themeFillShade="BF"/>
                </w:tcPr>
                <w:p w:rsidR="002B5BDA" w:rsidRPr="00771EC8" w:rsidRDefault="002B5BDA" w:rsidP="00F47D7A">
                  <w:pPr>
                    <w:pStyle w:val="TableBodyText"/>
                    <w:rPr>
                      <w:b/>
                    </w:rPr>
                  </w:pPr>
                  <w:r w:rsidRPr="00771EC8">
                    <w:rPr>
                      <w:b/>
                    </w:rPr>
                    <w:t>6</w:t>
                  </w:r>
                  <w:r w:rsidR="000821CE">
                    <w:rPr>
                      <w:b/>
                    </w:rPr>
                    <w:t>61</w:t>
                  </w:r>
                </w:p>
              </w:tc>
              <w:tc>
                <w:tcPr>
                  <w:tcW w:w="742" w:type="pct"/>
                  <w:shd w:val="clear" w:color="auto" w:fill="BFBFBF" w:themeFill="background1" w:themeFillShade="BF"/>
                </w:tcPr>
                <w:p w:rsidR="002B5BDA" w:rsidRPr="00771EC8" w:rsidRDefault="000821CE" w:rsidP="00F47D7A">
                  <w:pPr>
                    <w:pStyle w:val="TableBodyText"/>
                    <w:rPr>
                      <w:b/>
                    </w:rPr>
                  </w:pPr>
                  <w:r>
                    <w:rPr>
                      <w:b/>
                    </w:rPr>
                    <w:t>7</w:t>
                  </w:r>
                </w:p>
              </w:tc>
              <w:tc>
                <w:tcPr>
                  <w:tcW w:w="741" w:type="pct"/>
                  <w:shd w:val="clear" w:color="auto" w:fill="BFBFBF" w:themeFill="background1" w:themeFillShade="BF"/>
                </w:tcPr>
                <w:p w:rsidR="002B5BDA" w:rsidRPr="00771EC8" w:rsidRDefault="000821CE" w:rsidP="00F47D7A">
                  <w:pPr>
                    <w:pStyle w:val="TableBodyText"/>
                    <w:rPr>
                      <w:b/>
                    </w:rPr>
                  </w:pPr>
                  <w:r>
                    <w:rPr>
                      <w:b/>
                    </w:rPr>
                    <w:t>913</w:t>
                  </w:r>
                </w:p>
              </w:tc>
              <w:tc>
                <w:tcPr>
                  <w:tcW w:w="1196" w:type="pct"/>
                  <w:shd w:val="clear" w:color="auto" w:fill="BFBFBF" w:themeFill="background1" w:themeFillShade="BF"/>
                </w:tcPr>
                <w:p w:rsidR="002B5BDA" w:rsidRPr="00771EC8" w:rsidRDefault="002B5BDA" w:rsidP="00F47D7A">
                  <w:pPr>
                    <w:pStyle w:val="TableBodyText"/>
                    <w:rPr>
                      <w:b/>
                    </w:rPr>
                  </w:pPr>
                  <w:r w:rsidRPr="00771EC8">
                    <w:rPr>
                      <w:b/>
                    </w:rPr>
                    <w:t>6.</w:t>
                  </w:r>
                  <w:r w:rsidR="000821CE">
                    <w:rPr>
                      <w:b/>
                    </w:rPr>
                    <w:t>3</w:t>
                  </w:r>
                </w:p>
              </w:tc>
            </w:tr>
          </w:tbl>
          <w:p w:rsidR="00A61C29" w:rsidRDefault="00A61C29" w:rsidP="00DA30AC">
            <w:pPr>
              <w:pStyle w:val="Box"/>
            </w:pPr>
          </w:p>
        </w:tc>
      </w:tr>
      <w:tr w:rsidR="00A61C29" w:rsidTr="0079457B">
        <w:trPr>
          <w:cantSplit/>
        </w:trPr>
        <w:tc>
          <w:tcPr>
            <w:tcW w:w="8771" w:type="dxa"/>
            <w:tcBorders>
              <w:top w:val="nil"/>
              <w:left w:val="nil"/>
              <w:bottom w:val="nil"/>
              <w:right w:val="nil"/>
            </w:tcBorders>
            <w:shd w:val="clear" w:color="auto" w:fill="auto"/>
          </w:tcPr>
          <w:p w:rsidR="00A61C29" w:rsidRDefault="003E0CA2" w:rsidP="00DA30AC">
            <w:pPr>
              <w:pStyle w:val="Source"/>
            </w:pPr>
            <w:r>
              <w:rPr>
                <w:i/>
              </w:rPr>
              <w:t>Source</w:t>
            </w:r>
            <w:r>
              <w:t xml:space="preserve">: ACECQA </w:t>
            </w:r>
            <w:r w:rsidR="00971205" w:rsidRPr="00971205">
              <w:rPr>
                <w:rFonts w:cs="Arial"/>
                <w:szCs w:val="24"/>
              </w:rPr>
              <w:t>(2014b, p. 15)</w:t>
            </w:r>
            <w:r>
              <w:t>.</w:t>
            </w:r>
          </w:p>
        </w:tc>
      </w:tr>
      <w:tr w:rsidR="00A61C29" w:rsidTr="0079457B">
        <w:trPr>
          <w:cantSplit/>
        </w:trPr>
        <w:tc>
          <w:tcPr>
            <w:tcW w:w="8771" w:type="dxa"/>
            <w:tcBorders>
              <w:top w:val="nil"/>
              <w:left w:val="nil"/>
              <w:bottom w:val="single" w:sz="4" w:space="0" w:color="78A22F"/>
              <w:right w:val="nil"/>
            </w:tcBorders>
            <w:shd w:val="clear" w:color="auto" w:fill="auto"/>
          </w:tcPr>
          <w:p w:rsidR="00A61C29" w:rsidRDefault="00A61C29" w:rsidP="00DA30AC">
            <w:pPr>
              <w:pStyle w:val="Box"/>
              <w:spacing w:before="0" w:line="120" w:lineRule="exact"/>
            </w:pPr>
          </w:p>
        </w:tc>
      </w:tr>
      <w:tr w:rsidR="00A61C29" w:rsidRPr="000863A5" w:rsidTr="0079457B">
        <w:tc>
          <w:tcPr>
            <w:tcW w:w="8771" w:type="dxa"/>
            <w:tcBorders>
              <w:top w:val="single" w:sz="4" w:space="0" w:color="78A22F"/>
              <w:left w:val="nil"/>
              <w:bottom w:val="nil"/>
              <w:right w:val="nil"/>
            </w:tcBorders>
          </w:tcPr>
          <w:p w:rsidR="00A61C29" w:rsidRPr="00626D32" w:rsidRDefault="00A61C29" w:rsidP="00DA30AC">
            <w:pPr>
              <w:pStyle w:val="BoxSpaceBelow"/>
            </w:pPr>
          </w:p>
        </w:tc>
      </w:tr>
    </w:tbl>
    <w:p w:rsidR="008D4C82" w:rsidRDefault="008D4C82" w:rsidP="00B60ADE">
      <w:pPr>
        <w:pStyle w:val="BodyText"/>
      </w:pPr>
      <w:r>
        <w:t xml:space="preserve">A waiver </w:t>
      </w:r>
      <w:r w:rsidR="006B6FC7">
        <w:t>is</w:t>
      </w:r>
      <w:r w:rsidR="004B378D">
        <w:t xml:space="preserve"> </w:t>
      </w:r>
      <w:r>
        <w:t>approved when the provider can demonstrate:</w:t>
      </w:r>
    </w:p>
    <w:p w:rsidR="008D4C82" w:rsidRDefault="008D4C82" w:rsidP="008D4C82">
      <w:pPr>
        <w:pStyle w:val="ListBullet"/>
      </w:pPr>
      <w:r>
        <w:t>genuine difficulty in meeting the requirements of the NQF</w:t>
      </w:r>
    </w:p>
    <w:p w:rsidR="008D4C82" w:rsidRDefault="008D4C82" w:rsidP="008D4C82">
      <w:pPr>
        <w:pStyle w:val="ListBullet"/>
      </w:pPr>
      <w:r>
        <w:t>chi</w:t>
      </w:r>
      <w:r w:rsidR="00D833E4">
        <w:t xml:space="preserve">ldren’s safety, health and </w:t>
      </w:r>
      <w:r w:rsidR="006021E8">
        <w:t>wellbeing</w:t>
      </w:r>
      <w:r>
        <w:t xml:space="preserve"> is not compromised or at risk</w:t>
      </w:r>
    </w:p>
    <w:p w:rsidR="008D4C82" w:rsidRDefault="008D4C82" w:rsidP="008D4C82">
      <w:pPr>
        <w:pStyle w:val="ListBullet"/>
      </w:pPr>
      <w:proofErr w:type="gramStart"/>
      <w:r>
        <w:t>a</w:t>
      </w:r>
      <w:proofErr w:type="gramEnd"/>
      <w:r>
        <w:t xml:space="preserve"> plan is in place for the service to meet the requirements by the time the waiver is due to expire</w:t>
      </w:r>
      <w:r w:rsidR="004910A5">
        <w:t xml:space="preserve"> (if temporary)</w:t>
      </w:r>
      <w:r>
        <w:t>.</w:t>
      </w:r>
    </w:p>
    <w:p w:rsidR="00CD526A" w:rsidRDefault="00C32C0B" w:rsidP="00B60ADE">
      <w:pPr>
        <w:pStyle w:val="BodyText"/>
      </w:pPr>
      <w:r>
        <w:t>Since the introduction of the NQF, just over a quarter of waiver applications have been rejected (</w:t>
      </w:r>
      <w:r w:rsidR="002E7064">
        <w:t xml:space="preserve">Commission calculations based on </w:t>
      </w:r>
      <w:r>
        <w:t>ACECQA administrative data</w:t>
      </w:r>
      <w:r w:rsidR="00A6698D">
        <w:t>, 20</w:t>
      </w:r>
      <w:r w:rsidR="00D215F9">
        <w:t> </w:t>
      </w:r>
      <w:r w:rsidR="00A6698D">
        <w:t>January 2014</w:t>
      </w:r>
      <w:r>
        <w:t xml:space="preserve">). </w:t>
      </w:r>
      <w:r w:rsidR="00C2791C">
        <w:t>There is an ap</w:t>
      </w:r>
      <w:r w:rsidR="00171B59">
        <w:t>plication fee for waiver</w:t>
      </w:r>
      <w:r w:rsidR="008226B9">
        <w:t xml:space="preserve"> applications</w:t>
      </w:r>
      <w:r w:rsidR="00C2791C">
        <w:t xml:space="preserve"> and</w:t>
      </w:r>
      <w:r w:rsidR="00F27AC4">
        <w:t xml:space="preserve"> waivers</w:t>
      </w:r>
      <w:r w:rsidR="00C2791C">
        <w:t xml:space="preserve"> may be revoked by the Regulatory Authority at any time. </w:t>
      </w:r>
    </w:p>
    <w:p w:rsidR="00C56322" w:rsidRDefault="00C56322" w:rsidP="00C56322">
      <w:pPr>
        <w:pStyle w:val="Heading4"/>
      </w:pPr>
      <w:r>
        <w:t>Reviews</w:t>
      </w:r>
      <w:r w:rsidR="007F570A">
        <w:t xml:space="preserve"> and reassessments </w:t>
      </w:r>
    </w:p>
    <w:p w:rsidR="000517BC" w:rsidRDefault="0070537F" w:rsidP="008E4059">
      <w:pPr>
        <w:pStyle w:val="BodyText"/>
      </w:pPr>
      <w:r>
        <w:t>If an approved provider disagrees with the</w:t>
      </w:r>
      <w:r w:rsidR="00391B7B">
        <w:t>ir</w:t>
      </w:r>
      <w:r>
        <w:t xml:space="preserve"> rating, they may apply </w:t>
      </w:r>
      <w:r w:rsidR="0012669D">
        <w:t xml:space="preserve">to the Regulatory Authority </w:t>
      </w:r>
      <w:r>
        <w:t>for a review of</w:t>
      </w:r>
      <w:r w:rsidR="00391B7B">
        <w:t xml:space="preserve"> their rating</w:t>
      </w:r>
      <w:r>
        <w:t xml:space="preserve"> within 14 days of receiving the final assessment and rating report. </w:t>
      </w:r>
      <w:r w:rsidR="00EA60D0">
        <w:t>This is referred to as a first tier review.</w:t>
      </w:r>
      <w:r w:rsidR="001560EA">
        <w:t xml:space="preserve"> There </w:t>
      </w:r>
      <w:r w:rsidR="0056305A">
        <w:t>is n</w:t>
      </w:r>
      <w:r w:rsidR="001560EA">
        <w:t xml:space="preserve">o </w:t>
      </w:r>
      <w:r w:rsidR="0056305A">
        <w:t>application fee</w:t>
      </w:r>
      <w:r w:rsidR="001560EA">
        <w:t xml:space="preserve"> for a first tier review.</w:t>
      </w:r>
    </w:p>
    <w:p w:rsidR="00373B72" w:rsidRDefault="00855083" w:rsidP="008E4059">
      <w:pPr>
        <w:pStyle w:val="BodyText"/>
      </w:pPr>
      <w:r>
        <w:t>If a first tier review does not resolve the concerns of the approved provider, they may apply on limited grounds to ACECQA for a further re</w:t>
      </w:r>
      <w:r w:rsidR="00B026D2">
        <w:t>view by a Ratings Review Panel. This is</w:t>
      </w:r>
      <w:r>
        <w:t xml:space="preserve"> </w:t>
      </w:r>
      <w:r w:rsidR="0095026F">
        <w:t xml:space="preserve">referred to as </w:t>
      </w:r>
      <w:r>
        <w:t xml:space="preserve">a second tier review. </w:t>
      </w:r>
      <w:r w:rsidR="00457480">
        <w:t>Applications for a second tier review must be made within 14 days of receiving the decision of the Regulatory Authority on a first tier review</w:t>
      </w:r>
      <w:r w:rsidR="00705273">
        <w:t xml:space="preserve"> and </w:t>
      </w:r>
      <w:r w:rsidR="00524956">
        <w:t xml:space="preserve">require </w:t>
      </w:r>
      <w:r w:rsidR="00705273">
        <w:t>an application fee of be</w:t>
      </w:r>
      <w:r w:rsidR="004F7580">
        <w:t>tween $400 and $800</w:t>
      </w:r>
      <w:r w:rsidR="00F1213C">
        <w:t xml:space="preserve">. </w:t>
      </w:r>
      <w:r w:rsidR="00373B72">
        <w:t>Such applications may only be made on the grounds that the Regulatory Authority:</w:t>
      </w:r>
    </w:p>
    <w:p w:rsidR="00373B72" w:rsidRDefault="00373B72" w:rsidP="00373B72">
      <w:pPr>
        <w:pStyle w:val="ListBullet"/>
      </w:pPr>
      <w:r>
        <w:t>did not appropriately apply the prescribed processes for determining a rating level</w:t>
      </w:r>
    </w:p>
    <w:p w:rsidR="00373B72" w:rsidRDefault="00373B72" w:rsidP="00373B72">
      <w:pPr>
        <w:pStyle w:val="ListBullet"/>
      </w:pPr>
      <w:proofErr w:type="gramStart"/>
      <w:r>
        <w:lastRenderedPageBreak/>
        <w:t>failed</w:t>
      </w:r>
      <w:proofErr w:type="gramEnd"/>
      <w:r>
        <w:t xml:space="preserve"> to take into account or give sufficient weight to special circumstances or facts existing at the time of the original rating assessment.</w:t>
      </w:r>
    </w:p>
    <w:p w:rsidR="006972EA" w:rsidRDefault="00202D8C" w:rsidP="006972EA">
      <w:pPr>
        <w:pStyle w:val="BodyText"/>
      </w:pPr>
      <w:r>
        <w:t xml:space="preserve">If the application for a second tier review is successful, ACECQA will convene a </w:t>
      </w:r>
      <w:r w:rsidR="00A42057">
        <w:t>three member panel</w:t>
      </w:r>
      <w:r>
        <w:t>, comprising at least one ECEC expert and one ACECQA staff member. These members must have expertise in at least one of the following areas:</w:t>
      </w:r>
    </w:p>
    <w:p w:rsidR="00202D8C" w:rsidRDefault="00202D8C" w:rsidP="00202D8C">
      <w:pPr>
        <w:pStyle w:val="ListBullet"/>
      </w:pPr>
      <w:r>
        <w:t>early learning and development research or practice</w:t>
      </w:r>
    </w:p>
    <w:p w:rsidR="00202D8C" w:rsidRDefault="00202D8C" w:rsidP="00202D8C">
      <w:pPr>
        <w:pStyle w:val="ListBullet"/>
      </w:pPr>
      <w:r>
        <w:t>law</w:t>
      </w:r>
    </w:p>
    <w:p w:rsidR="00202D8C" w:rsidRDefault="00202D8C" w:rsidP="00202D8C">
      <w:pPr>
        <w:pStyle w:val="ListBullet"/>
      </w:pPr>
      <w:r>
        <w:t>the assessment of quality in ECEC services or other relevant services</w:t>
      </w:r>
    </w:p>
    <w:p w:rsidR="00202D8C" w:rsidRDefault="00202D8C" w:rsidP="00202D8C">
      <w:pPr>
        <w:pStyle w:val="ListBullet"/>
      </w:pPr>
      <w:proofErr w:type="gramStart"/>
      <w:r>
        <w:t>best</w:t>
      </w:r>
      <w:proofErr w:type="gramEnd"/>
      <w:r>
        <w:t xml:space="preserve"> practice regulation.</w:t>
      </w:r>
    </w:p>
    <w:p w:rsidR="00202D8C" w:rsidRDefault="0016471C" w:rsidP="00202D8C">
      <w:pPr>
        <w:pStyle w:val="BodyText"/>
      </w:pPr>
      <w:r>
        <w:t>T</w:t>
      </w:r>
      <w:r w:rsidR="00A13119">
        <w:t>he</w:t>
      </w:r>
      <w:r w:rsidR="00253DE6">
        <w:t xml:space="preserve"> rating determined by the panel will be the final rating for the service.</w:t>
      </w:r>
      <w:r w:rsidR="00A13119">
        <w:t xml:space="preserve"> The National Law does not provide the right of appeal against the decision of the panel.</w:t>
      </w:r>
    </w:p>
    <w:p w:rsidR="00C56322" w:rsidRDefault="00A13119" w:rsidP="008E4059">
      <w:pPr>
        <w:pStyle w:val="BodyText"/>
      </w:pPr>
      <w:r>
        <w:t xml:space="preserve">An approved provider may also apply </w:t>
      </w:r>
      <w:r w:rsidR="006E3569">
        <w:t>to</w:t>
      </w:r>
      <w:r>
        <w:t xml:space="preserve"> the Regulatory Authority for a reassessment and re</w:t>
      </w:r>
      <w:r w:rsidR="00D50C08">
        <w:noBreakHyphen/>
      </w:r>
      <w:r>
        <w:t>rating, as an alternative to the review process. Unlike a review, a reassessment can take account of changes made to a service’s operations since its most recent assessment.</w:t>
      </w:r>
      <w:r w:rsidR="00351EB6">
        <w:t xml:space="preserve"> A fee applies for reassessment</w:t>
      </w:r>
      <w:r>
        <w:t xml:space="preserve"> and an application can only be made once every two years.</w:t>
      </w:r>
    </w:p>
    <w:sectPr w:rsidR="00C56322" w:rsidSect="00846333">
      <w:headerReference w:type="even" r:id="rId13"/>
      <w:headerReference w:type="default" r:id="rId14"/>
      <w:footerReference w:type="even" r:id="rId15"/>
      <w:footerReference w:type="default" r:id="rId16"/>
      <w:pgSz w:w="11907" w:h="16840" w:code="9"/>
      <w:pgMar w:top="1984" w:right="1304" w:bottom="1247" w:left="1814" w:header="1701" w:footer="397" w:gutter="0"/>
      <w:pgNumType w:start="903" w:chapStyle="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2FD" w:rsidRDefault="00B432FD">
      <w:r>
        <w:separator/>
      </w:r>
    </w:p>
  </w:endnote>
  <w:endnote w:type="continuationSeparator" w:id="0">
    <w:p w:rsidR="00B432FD" w:rsidRDefault="00B4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47D7A" w:rsidTr="005F48ED">
      <w:trPr>
        <w:trHeight w:hRule="exact" w:val="567"/>
      </w:trPr>
      <w:tc>
        <w:tcPr>
          <w:tcW w:w="510" w:type="dxa"/>
        </w:tcPr>
        <w:p w:rsidR="00F47D7A" w:rsidRPr="00A24443" w:rsidRDefault="00F47D7A"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3679F">
            <w:rPr>
              <w:rStyle w:val="PageNumber"/>
              <w:caps w:val="0"/>
              <w:noProof/>
            </w:rPr>
            <w:t>904</w:t>
          </w:r>
          <w:r w:rsidRPr="00A24443">
            <w:rPr>
              <w:rStyle w:val="PageNumber"/>
              <w:caps w:val="0"/>
            </w:rPr>
            <w:fldChar w:fldCharType="end"/>
          </w:r>
        </w:p>
      </w:tc>
      <w:tc>
        <w:tcPr>
          <w:tcW w:w="7767" w:type="dxa"/>
        </w:tcPr>
        <w:p w:rsidR="00F47D7A" w:rsidRPr="0013739A" w:rsidRDefault="00F47D7A"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E90250">
            <w:rPr>
              <w:rFonts w:cs="Arial"/>
            </w:rPr>
            <w:t>Childcare and Early childhood Learning</w:t>
          </w:r>
          <w:r w:rsidRPr="00BA5B14">
            <w:rPr>
              <w:rFonts w:cs="Arial"/>
            </w:rPr>
            <w:fldChar w:fldCharType="end"/>
          </w:r>
          <w:bookmarkStart w:id="4" w:name="DraftReportEven"/>
          <w:bookmarkEnd w:id="4"/>
        </w:p>
      </w:tc>
      <w:tc>
        <w:tcPr>
          <w:tcW w:w="510" w:type="dxa"/>
        </w:tcPr>
        <w:p w:rsidR="00F47D7A" w:rsidRDefault="00F47D7A" w:rsidP="0019293B">
          <w:pPr>
            <w:pStyle w:val="Footer"/>
          </w:pPr>
        </w:p>
      </w:tc>
    </w:tr>
  </w:tbl>
  <w:p w:rsidR="00F47D7A" w:rsidRDefault="00F47D7A" w:rsidP="0019293B">
    <w:pPr>
      <w:pStyle w:val="FooterEnd"/>
    </w:pPr>
  </w:p>
  <w:p w:rsidR="00B432FD" w:rsidRDefault="00B432FD"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47D7A" w:rsidTr="005F48ED">
      <w:trPr>
        <w:trHeight w:hRule="exact" w:val="567"/>
      </w:trPr>
      <w:tc>
        <w:tcPr>
          <w:tcW w:w="510" w:type="dxa"/>
        </w:tcPr>
        <w:p w:rsidR="00F47D7A" w:rsidRDefault="00F47D7A">
          <w:pPr>
            <w:pStyle w:val="Footer"/>
            <w:ind w:right="360" w:firstLine="360"/>
          </w:pPr>
        </w:p>
      </w:tc>
      <w:tc>
        <w:tcPr>
          <w:tcW w:w="7767" w:type="dxa"/>
        </w:tcPr>
        <w:p w:rsidR="00F47D7A" w:rsidRPr="00BA5B14" w:rsidRDefault="00F47D7A"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E90250">
            <w:rPr>
              <w:rFonts w:cs="Arial"/>
            </w:rPr>
            <w:t>National Quality Framework</w:t>
          </w:r>
          <w:r w:rsidRPr="00BA5B14">
            <w:rPr>
              <w:rFonts w:cs="Arial"/>
            </w:rPr>
            <w:fldChar w:fldCharType="end"/>
          </w:r>
        </w:p>
      </w:tc>
      <w:tc>
        <w:tcPr>
          <w:tcW w:w="510" w:type="dxa"/>
        </w:tcPr>
        <w:p w:rsidR="00F47D7A" w:rsidRPr="00A24443" w:rsidRDefault="00F47D7A">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3679F">
            <w:rPr>
              <w:rStyle w:val="PageNumber"/>
              <w:caps w:val="0"/>
              <w:noProof/>
            </w:rPr>
            <w:t>903</w:t>
          </w:r>
          <w:r w:rsidRPr="00A24443">
            <w:rPr>
              <w:rStyle w:val="PageNumber"/>
              <w:caps w:val="0"/>
            </w:rPr>
            <w:fldChar w:fldCharType="end"/>
          </w:r>
        </w:p>
      </w:tc>
    </w:tr>
  </w:tbl>
  <w:p w:rsidR="00F47D7A" w:rsidRDefault="00F47D7A">
    <w:pPr>
      <w:pStyle w:val="FooterEnd"/>
    </w:pPr>
  </w:p>
  <w:p w:rsidR="00B432FD" w:rsidRDefault="00B432FD">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2FD" w:rsidRDefault="00B432FD">
      <w:r>
        <w:separator/>
      </w:r>
    </w:p>
  </w:footnote>
  <w:footnote w:type="continuationSeparator" w:id="0">
    <w:p w:rsidR="00B432FD" w:rsidRDefault="00B432FD">
      <w:r>
        <w:continuationSeparator/>
      </w:r>
    </w:p>
  </w:footnote>
  <w:footnote w:id="1">
    <w:p w:rsidR="00B432FD" w:rsidRPr="005B69C6" w:rsidRDefault="00B432FD" w:rsidP="00986ED2">
      <w:pPr>
        <w:pStyle w:val="FootnoteText"/>
        <w:rPr>
          <w:lang w:val="en-US"/>
        </w:rPr>
      </w:pPr>
      <w:r w:rsidRPr="0042599F">
        <w:rPr>
          <w:rStyle w:val="FootnoteReference"/>
        </w:rPr>
        <w:footnoteRef/>
      </w:r>
      <w:r>
        <w:tab/>
      </w:r>
      <w:r>
        <w:rPr>
          <w:lang w:val="en-US"/>
        </w:rPr>
        <w:t>Home</w:t>
      </w:r>
      <w:r>
        <w:rPr>
          <w:lang w:val="en-US"/>
        </w:rPr>
        <w:noBreakHyphen/>
        <w:t>based care is where a child is cared for in their own home.</w:t>
      </w:r>
    </w:p>
  </w:footnote>
  <w:footnote w:id="2">
    <w:p w:rsidR="00B432FD" w:rsidRPr="00EF3834" w:rsidRDefault="00B432FD" w:rsidP="00986ED2">
      <w:pPr>
        <w:pStyle w:val="FootnoteText"/>
        <w:rPr>
          <w:lang w:val="en-US"/>
        </w:rPr>
      </w:pPr>
      <w:r w:rsidRPr="0042599F">
        <w:rPr>
          <w:rStyle w:val="FootnoteReference"/>
        </w:rPr>
        <w:footnoteRef/>
      </w:r>
      <w:r>
        <w:t xml:space="preserve"> </w:t>
      </w:r>
      <w:r>
        <w:tab/>
        <w:t xml:space="preserve">The </w:t>
      </w:r>
      <w:r>
        <w:rPr>
          <w:lang w:val="en-US"/>
        </w:rPr>
        <w:t>Budget Based Funded Programme provides a contribution to the operational costs of some services, predominantly located in rural, remote and Indigenous communities.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B432FD">
      <w:tc>
        <w:tcPr>
          <w:tcW w:w="2155" w:type="dxa"/>
          <w:tcBorders>
            <w:top w:val="single" w:sz="24" w:space="0" w:color="auto"/>
          </w:tcBorders>
        </w:tcPr>
        <w:p w:rsidR="00B432FD" w:rsidRDefault="00B432FD" w:rsidP="0019293B">
          <w:pPr>
            <w:pStyle w:val="HeaderEven"/>
          </w:pPr>
        </w:p>
      </w:tc>
      <w:tc>
        <w:tcPr>
          <w:tcW w:w="6634" w:type="dxa"/>
          <w:tcBorders>
            <w:top w:val="single" w:sz="6" w:space="0" w:color="auto"/>
          </w:tcBorders>
        </w:tcPr>
        <w:p w:rsidR="00B432FD" w:rsidRDefault="00B432FD" w:rsidP="0019293B">
          <w:pPr>
            <w:pStyle w:val="HeaderEven"/>
          </w:pPr>
        </w:p>
      </w:tc>
    </w:tr>
  </w:tbl>
  <w:p w:rsidR="00B432FD" w:rsidRDefault="00B432FD"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432FD">
      <w:tc>
        <w:tcPr>
          <w:tcW w:w="6634" w:type="dxa"/>
          <w:tcBorders>
            <w:top w:val="single" w:sz="6" w:space="0" w:color="auto"/>
          </w:tcBorders>
        </w:tcPr>
        <w:p w:rsidR="00B432FD" w:rsidRDefault="00B432FD" w:rsidP="00E669E2">
          <w:pPr>
            <w:pStyle w:val="HeaderOdd"/>
          </w:pPr>
        </w:p>
      </w:tc>
      <w:tc>
        <w:tcPr>
          <w:tcW w:w="2155" w:type="dxa"/>
          <w:tcBorders>
            <w:top w:val="single" w:sz="24" w:space="0" w:color="auto"/>
          </w:tcBorders>
        </w:tcPr>
        <w:p w:rsidR="00B432FD" w:rsidRDefault="00B432FD" w:rsidP="00E669E2">
          <w:pPr>
            <w:pStyle w:val="HeaderOdd"/>
          </w:pPr>
        </w:p>
      </w:tc>
    </w:tr>
  </w:tbl>
  <w:p w:rsidR="00B432FD" w:rsidRDefault="00B432FD"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1498515D"/>
    <w:multiLevelType w:val="hybridMultilevel"/>
    <w:tmpl w:val="798ECF10"/>
    <w:lvl w:ilvl="0" w:tplc="B3AAF312">
      <w:start w:val="1"/>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19">
    <w:nsid w:val="1B344811"/>
    <w:multiLevelType w:val="hybridMultilevel"/>
    <w:tmpl w:val="77742EE2"/>
    <w:lvl w:ilvl="0" w:tplc="99D052BC">
      <w:start w:val="1"/>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2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1">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4">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5">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7">
    <w:nsid w:val="51F74561"/>
    <w:multiLevelType w:val="singleLevel"/>
    <w:tmpl w:val="ED98921A"/>
    <w:lvl w:ilvl="0">
      <w:start w:val="1"/>
      <w:numFmt w:val="decimal"/>
      <w:lvlText w:val="%1."/>
      <w:legacy w:legacy="1" w:legacySpace="0" w:legacyIndent="340"/>
      <w:lvlJc w:val="left"/>
      <w:pPr>
        <w:ind w:left="340" w:hanging="340"/>
      </w:pPr>
    </w:lvl>
  </w:abstractNum>
  <w:abstractNum w:abstractNumId="2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9">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0">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31">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2">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3">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nsid w:val="5A096576"/>
    <w:multiLevelType w:val="singleLevel"/>
    <w:tmpl w:val="ED98921A"/>
    <w:lvl w:ilvl="0">
      <w:start w:val="1"/>
      <w:numFmt w:val="decimal"/>
      <w:lvlText w:val="%1."/>
      <w:legacy w:legacy="1" w:legacySpace="0" w:legacyIndent="340"/>
      <w:lvlJc w:val="left"/>
      <w:pPr>
        <w:ind w:left="340" w:hanging="340"/>
      </w:pPr>
    </w:lvl>
  </w:abstractNum>
  <w:abstractNum w:abstractNumId="35">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0055F7F"/>
    <w:multiLevelType w:val="singleLevel"/>
    <w:tmpl w:val="ED98921A"/>
    <w:lvl w:ilvl="0">
      <w:start w:val="1"/>
      <w:numFmt w:val="decimal"/>
      <w:lvlText w:val="%1."/>
      <w:legacy w:legacy="1" w:legacySpace="0" w:legacyIndent="340"/>
      <w:lvlJc w:val="left"/>
      <w:pPr>
        <w:ind w:left="340" w:hanging="340"/>
      </w:pPr>
    </w:lvl>
  </w:abstractNum>
  <w:abstractNum w:abstractNumId="37">
    <w:nsid w:val="608E741E"/>
    <w:multiLevelType w:val="singleLevel"/>
    <w:tmpl w:val="ED98921A"/>
    <w:lvl w:ilvl="0">
      <w:start w:val="1"/>
      <w:numFmt w:val="decimal"/>
      <w:lvlText w:val="%1."/>
      <w:legacy w:legacy="1" w:legacySpace="0" w:legacyIndent="340"/>
      <w:lvlJc w:val="left"/>
      <w:pPr>
        <w:ind w:left="340" w:hanging="340"/>
      </w:pPr>
    </w:lvl>
  </w:abstractNum>
  <w:abstractNum w:abstractNumId="3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1320C1E"/>
    <w:multiLevelType w:val="singleLevel"/>
    <w:tmpl w:val="C444122C"/>
    <w:lvl w:ilvl="0">
      <w:start w:val="1"/>
      <w:numFmt w:val="decimal"/>
      <w:lvlText w:val="%1."/>
      <w:legacy w:legacy="1" w:legacySpace="0" w:legacyIndent="284"/>
      <w:lvlJc w:val="left"/>
      <w:pPr>
        <w:ind w:left="284" w:hanging="284"/>
      </w:pPr>
    </w:lvl>
  </w:abstractNum>
  <w:abstractNum w:abstractNumId="40">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4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2">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3">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4">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6">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7">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8">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46"/>
  </w:num>
  <w:num w:numId="3">
    <w:abstractNumId w:val="7"/>
  </w:num>
  <w:num w:numId="4">
    <w:abstractNumId w:val="28"/>
  </w:num>
  <w:num w:numId="5">
    <w:abstractNumId w:val="9"/>
  </w:num>
  <w:num w:numId="6">
    <w:abstractNumId w:val="41"/>
  </w:num>
  <w:num w:numId="7">
    <w:abstractNumId w:val="31"/>
  </w:num>
  <w:num w:numId="8">
    <w:abstractNumId w:val="47"/>
  </w:num>
  <w:num w:numId="9">
    <w:abstractNumId w:val="16"/>
  </w:num>
  <w:num w:numId="10">
    <w:abstractNumId w:val="29"/>
  </w:num>
  <w:num w:numId="11">
    <w:abstractNumId w:val="15"/>
  </w:num>
  <w:num w:numId="12">
    <w:abstractNumId w:val="14"/>
  </w:num>
  <w:num w:numId="13">
    <w:abstractNumId w:val="20"/>
  </w:num>
  <w:num w:numId="14">
    <w:abstractNumId w:val="22"/>
  </w:num>
  <w:num w:numId="15">
    <w:abstractNumId w:val="25"/>
  </w:num>
  <w:num w:numId="16">
    <w:abstractNumId w:val="10"/>
  </w:num>
  <w:num w:numId="17">
    <w:abstractNumId w:val="33"/>
  </w:num>
  <w:num w:numId="18">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19">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0">
    <w:abstractNumId w:val="19"/>
  </w:num>
  <w:num w:numId="21">
    <w:abstractNumId w:val="18"/>
  </w:num>
  <w:num w:numId="22">
    <w:abstractNumId w:val="5"/>
  </w:num>
  <w:num w:numId="23">
    <w:abstractNumId w:val="3"/>
  </w:num>
  <w:num w:numId="24">
    <w:abstractNumId w:val="2"/>
  </w:num>
  <w:num w:numId="25">
    <w:abstractNumId w:val="4"/>
  </w:num>
  <w:num w:numId="26">
    <w:abstractNumId w:val="1"/>
  </w:num>
  <w:num w:numId="27">
    <w:abstractNumId w:val="0"/>
  </w:num>
  <w:num w:numId="28">
    <w:abstractNumId w:val="12"/>
  </w:num>
  <w:num w:numId="29">
    <w:abstractNumId w:val="37"/>
  </w:num>
  <w:num w:numId="30">
    <w:abstractNumId w:val="40"/>
  </w:num>
  <w:num w:numId="31">
    <w:abstractNumId w:val="27"/>
  </w:num>
  <w:num w:numId="32">
    <w:abstractNumId w:val="30"/>
  </w:num>
  <w:num w:numId="33">
    <w:abstractNumId w:val="32"/>
  </w:num>
  <w:num w:numId="34">
    <w:abstractNumId w:val="45"/>
  </w:num>
  <w:num w:numId="35">
    <w:abstractNumId w:val="36"/>
  </w:num>
  <w:num w:numId="36">
    <w:abstractNumId w:val="42"/>
  </w:num>
  <w:num w:numId="37">
    <w:abstractNumId w:val="43"/>
  </w:num>
  <w:num w:numId="38">
    <w:abstractNumId w:val="34"/>
  </w:num>
  <w:num w:numId="39">
    <w:abstractNumId w:val="24"/>
  </w:num>
  <w:num w:numId="40">
    <w:abstractNumId w:val="48"/>
  </w:num>
  <w:num w:numId="41">
    <w:abstractNumId w:val="8"/>
  </w:num>
  <w:num w:numId="42">
    <w:abstractNumId w:val="21"/>
  </w:num>
  <w:num w:numId="43">
    <w:abstractNumId w:val="44"/>
  </w:num>
  <w:num w:numId="44">
    <w:abstractNumId w:val="35"/>
  </w:num>
  <w:num w:numId="45">
    <w:abstractNumId w:val="13"/>
  </w:num>
  <w:num w:numId="46">
    <w:abstractNumId w:val="39"/>
  </w:num>
  <w:num w:numId="47">
    <w:abstractNumId w:val="26"/>
  </w:num>
  <w:num w:numId="48">
    <w:abstractNumId w:val="11"/>
  </w:num>
  <w:num w:numId="49">
    <w:abstractNumId w:val="38"/>
  </w:num>
  <w:num w:numId="5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F"/>
    <w:docVar w:name="FindingOptions" w:val="1"/>
    <w:docVar w:name="RecOptions" w:val="111"/>
    <w:docVar w:name="ShortChapterTitle" w:val="National Quality Framework"/>
    <w:docVar w:name="ShortReportTitle" w:val="Childcare and Early childhood Learning"/>
  </w:docVars>
  <w:rsids>
    <w:rsidRoot w:val="00FA3A65"/>
    <w:rsid w:val="0000026E"/>
    <w:rsid w:val="00003479"/>
    <w:rsid w:val="00005923"/>
    <w:rsid w:val="00005FF3"/>
    <w:rsid w:val="00011A7C"/>
    <w:rsid w:val="000125DF"/>
    <w:rsid w:val="00014065"/>
    <w:rsid w:val="00014C36"/>
    <w:rsid w:val="00015F05"/>
    <w:rsid w:val="000168B0"/>
    <w:rsid w:val="0001737F"/>
    <w:rsid w:val="00017978"/>
    <w:rsid w:val="000227D5"/>
    <w:rsid w:val="0002289E"/>
    <w:rsid w:val="000245AA"/>
    <w:rsid w:val="000253DB"/>
    <w:rsid w:val="00027043"/>
    <w:rsid w:val="0003407E"/>
    <w:rsid w:val="0003459B"/>
    <w:rsid w:val="0003629D"/>
    <w:rsid w:val="0003664B"/>
    <w:rsid w:val="000405E3"/>
    <w:rsid w:val="0004111F"/>
    <w:rsid w:val="00041D94"/>
    <w:rsid w:val="0004216F"/>
    <w:rsid w:val="00043737"/>
    <w:rsid w:val="00044BAB"/>
    <w:rsid w:val="000456E5"/>
    <w:rsid w:val="00045701"/>
    <w:rsid w:val="00046335"/>
    <w:rsid w:val="00047B6A"/>
    <w:rsid w:val="000517BC"/>
    <w:rsid w:val="00052631"/>
    <w:rsid w:val="00053EDF"/>
    <w:rsid w:val="000540AF"/>
    <w:rsid w:val="00054BE4"/>
    <w:rsid w:val="000565B3"/>
    <w:rsid w:val="00060A17"/>
    <w:rsid w:val="000625E1"/>
    <w:rsid w:val="00064A57"/>
    <w:rsid w:val="000674E9"/>
    <w:rsid w:val="00070114"/>
    <w:rsid w:val="000709B4"/>
    <w:rsid w:val="000711A5"/>
    <w:rsid w:val="0007150B"/>
    <w:rsid w:val="000725A5"/>
    <w:rsid w:val="00073189"/>
    <w:rsid w:val="00073784"/>
    <w:rsid w:val="000739F8"/>
    <w:rsid w:val="00073EA4"/>
    <w:rsid w:val="000742BD"/>
    <w:rsid w:val="0007461D"/>
    <w:rsid w:val="00074AB0"/>
    <w:rsid w:val="000775C7"/>
    <w:rsid w:val="00081EFA"/>
    <w:rsid w:val="000821CE"/>
    <w:rsid w:val="0008222B"/>
    <w:rsid w:val="00082EE7"/>
    <w:rsid w:val="00090A2F"/>
    <w:rsid w:val="00091860"/>
    <w:rsid w:val="00091AC5"/>
    <w:rsid w:val="000938F5"/>
    <w:rsid w:val="00095EC7"/>
    <w:rsid w:val="0009629E"/>
    <w:rsid w:val="00096E55"/>
    <w:rsid w:val="000A2299"/>
    <w:rsid w:val="000A37EE"/>
    <w:rsid w:val="000A43DB"/>
    <w:rsid w:val="000A4495"/>
    <w:rsid w:val="000A6C7A"/>
    <w:rsid w:val="000B003A"/>
    <w:rsid w:val="000B0B2C"/>
    <w:rsid w:val="000B2DC1"/>
    <w:rsid w:val="000B3459"/>
    <w:rsid w:val="000B601B"/>
    <w:rsid w:val="000C0080"/>
    <w:rsid w:val="000C10D0"/>
    <w:rsid w:val="000C19C3"/>
    <w:rsid w:val="000C207E"/>
    <w:rsid w:val="000C24EC"/>
    <w:rsid w:val="000C2F96"/>
    <w:rsid w:val="000C5400"/>
    <w:rsid w:val="000C7887"/>
    <w:rsid w:val="000D033F"/>
    <w:rsid w:val="000D26D3"/>
    <w:rsid w:val="000D2CF5"/>
    <w:rsid w:val="000D3A3E"/>
    <w:rsid w:val="000D49FA"/>
    <w:rsid w:val="000D6273"/>
    <w:rsid w:val="000D75F8"/>
    <w:rsid w:val="000E0D03"/>
    <w:rsid w:val="000E2E7D"/>
    <w:rsid w:val="000E3580"/>
    <w:rsid w:val="000E51D3"/>
    <w:rsid w:val="000E58DB"/>
    <w:rsid w:val="000E5FEF"/>
    <w:rsid w:val="000E6960"/>
    <w:rsid w:val="000E6D6C"/>
    <w:rsid w:val="000E6DEB"/>
    <w:rsid w:val="000E6F5B"/>
    <w:rsid w:val="000E6F88"/>
    <w:rsid w:val="000F0035"/>
    <w:rsid w:val="000F1415"/>
    <w:rsid w:val="000F1DAE"/>
    <w:rsid w:val="000F3137"/>
    <w:rsid w:val="000F420B"/>
    <w:rsid w:val="000F5A80"/>
    <w:rsid w:val="00102568"/>
    <w:rsid w:val="001029BB"/>
    <w:rsid w:val="00110116"/>
    <w:rsid w:val="00110D12"/>
    <w:rsid w:val="00112470"/>
    <w:rsid w:val="00112566"/>
    <w:rsid w:val="0011264D"/>
    <w:rsid w:val="00112888"/>
    <w:rsid w:val="00114585"/>
    <w:rsid w:val="001147A6"/>
    <w:rsid w:val="00114FD5"/>
    <w:rsid w:val="00116E77"/>
    <w:rsid w:val="00120072"/>
    <w:rsid w:val="00121F83"/>
    <w:rsid w:val="001237E8"/>
    <w:rsid w:val="00123AB7"/>
    <w:rsid w:val="00125945"/>
    <w:rsid w:val="0012669D"/>
    <w:rsid w:val="00126EB8"/>
    <w:rsid w:val="00126F90"/>
    <w:rsid w:val="001274D4"/>
    <w:rsid w:val="00127EAB"/>
    <w:rsid w:val="00130352"/>
    <w:rsid w:val="001320CD"/>
    <w:rsid w:val="001320DF"/>
    <w:rsid w:val="00132495"/>
    <w:rsid w:val="00133CBA"/>
    <w:rsid w:val="00136352"/>
    <w:rsid w:val="001363AA"/>
    <w:rsid w:val="0013679F"/>
    <w:rsid w:val="00136914"/>
    <w:rsid w:val="0014078C"/>
    <w:rsid w:val="00140AA7"/>
    <w:rsid w:val="00141D42"/>
    <w:rsid w:val="00144D13"/>
    <w:rsid w:val="0015069D"/>
    <w:rsid w:val="001509E0"/>
    <w:rsid w:val="00151067"/>
    <w:rsid w:val="001536E4"/>
    <w:rsid w:val="00154937"/>
    <w:rsid w:val="00154F9F"/>
    <w:rsid w:val="00155C42"/>
    <w:rsid w:val="001560EA"/>
    <w:rsid w:val="00157392"/>
    <w:rsid w:val="0015742B"/>
    <w:rsid w:val="00160118"/>
    <w:rsid w:val="001615FD"/>
    <w:rsid w:val="00161F3B"/>
    <w:rsid w:val="0016451A"/>
    <w:rsid w:val="0016471C"/>
    <w:rsid w:val="00164A7D"/>
    <w:rsid w:val="00165B0A"/>
    <w:rsid w:val="001664BB"/>
    <w:rsid w:val="00167551"/>
    <w:rsid w:val="00171B59"/>
    <w:rsid w:val="00174ADB"/>
    <w:rsid w:val="00175941"/>
    <w:rsid w:val="00176A39"/>
    <w:rsid w:val="0018001A"/>
    <w:rsid w:val="0018054E"/>
    <w:rsid w:val="00181EC8"/>
    <w:rsid w:val="00182976"/>
    <w:rsid w:val="00183E82"/>
    <w:rsid w:val="001851A6"/>
    <w:rsid w:val="001878BB"/>
    <w:rsid w:val="00190731"/>
    <w:rsid w:val="00191605"/>
    <w:rsid w:val="001916A0"/>
    <w:rsid w:val="00191AE0"/>
    <w:rsid w:val="0019293B"/>
    <w:rsid w:val="00192CDB"/>
    <w:rsid w:val="00193A1A"/>
    <w:rsid w:val="0019426B"/>
    <w:rsid w:val="001960B4"/>
    <w:rsid w:val="001964EA"/>
    <w:rsid w:val="001A07C3"/>
    <w:rsid w:val="001A0887"/>
    <w:rsid w:val="001A2CEC"/>
    <w:rsid w:val="001A5845"/>
    <w:rsid w:val="001A63BB"/>
    <w:rsid w:val="001B06B9"/>
    <w:rsid w:val="001B0B0E"/>
    <w:rsid w:val="001B4C96"/>
    <w:rsid w:val="001C0865"/>
    <w:rsid w:val="001C341C"/>
    <w:rsid w:val="001C36E7"/>
    <w:rsid w:val="001C3ABA"/>
    <w:rsid w:val="001C405A"/>
    <w:rsid w:val="001C4CC1"/>
    <w:rsid w:val="001C76D8"/>
    <w:rsid w:val="001C7ABD"/>
    <w:rsid w:val="001D11C3"/>
    <w:rsid w:val="001D13D5"/>
    <w:rsid w:val="001D2C67"/>
    <w:rsid w:val="001D3257"/>
    <w:rsid w:val="001D4692"/>
    <w:rsid w:val="001D5159"/>
    <w:rsid w:val="001D5749"/>
    <w:rsid w:val="001D6872"/>
    <w:rsid w:val="001D6E4A"/>
    <w:rsid w:val="001D7715"/>
    <w:rsid w:val="001D7ABB"/>
    <w:rsid w:val="001E2DC2"/>
    <w:rsid w:val="001E6D08"/>
    <w:rsid w:val="001E7BE8"/>
    <w:rsid w:val="001F0248"/>
    <w:rsid w:val="001F067C"/>
    <w:rsid w:val="001F1622"/>
    <w:rsid w:val="001F1F5D"/>
    <w:rsid w:val="001F2590"/>
    <w:rsid w:val="001F3EB3"/>
    <w:rsid w:val="001F4E21"/>
    <w:rsid w:val="001F4F86"/>
    <w:rsid w:val="001F7861"/>
    <w:rsid w:val="001F7DDA"/>
    <w:rsid w:val="00200298"/>
    <w:rsid w:val="0020047C"/>
    <w:rsid w:val="002009A4"/>
    <w:rsid w:val="00200DC4"/>
    <w:rsid w:val="00202C2C"/>
    <w:rsid w:val="00202D8C"/>
    <w:rsid w:val="002043D7"/>
    <w:rsid w:val="00204681"/>
    <w:rsid w:val="00204C6B"/>
    <w:rsid w:val="002071A5"/>
    <w:rsid w:val="0020762E"/>
    <w:rsid w:val="0020776C"/>
    <w:rsid w:val="00207C6B"/>
    <w:rsid w:val="00210197"/>
    <w:rsid w:val="00210576"/>
    <w:rsid w:val="00211DC8"/>
    <w:rsid w:val="00212F69"/>
    <w:rsid w:val="002135AB"/>
    <w:rsid w:val="002137D3"/>
    <w:rsid w:val="00213CAA"/>
    <w:rsid w:val="00213E16"/>
    <w:rsid w:val="002142C2"/>
    <w:rsid w:val="002144BE"/>
    <w:rsid w:val="002150FD"/>
    <w:rsid w:val="0021748D"/>
    <w:rsid w:val="00217DA1"/>
    <w:rsid w:val="00220F22"/>
    <w:rsid w:val="00220FC4"/>
    <w:rsid w:val="002222D1"/>
    <w:rsid w:val="00231853"/>
    <w:rsid w:val="00234B1E"/>
    <w:rsid w:val="00234BF8"/>
    <w:rsid w:val="00234E81"/>
    <w:rsid w:val="002400FA"/>
    <w:rsid w:val="00242279"/>
    <w:rsid w:val="00242638"/>
    <w:rsid w:val="00244FBE"/>
    <w:rsid w:val="00244FC8"/>
    <w:rsid w:val="00245C82"/>
    <w:rsid w:val="002467E7"/>
    <w:rsid w:val="00247716"/>
    <w:rsid w:val="00247D48"/>
    <w:rsid w:val="00253DE6"/>
    <w:rsid w:val="00257C34"/>
    <w:rsid w:val="002605A8"/>
    <w:rsid w:val="00265949"/>
    <w:rsid w:val="002661E4"/>
    <w:rsid w:val="00266837"/>
    <w:rsid w:val="0026729B"/>
    <w:rsid w:val="0027050B"/>
    <w:rsid w:val="00272138"/>
    <w:rsid w:val="00274101"/>
    <w:rsid w:val="00274D73"/>
    <w:rsid w:val="00275B0F"/>
    <w:rsid w:val="00275DA3"/>
    <w:rsid w:val="00277CA6"/>
    <w:rsid w:val="0028203E"/>
    <w:rsid w:val="002822EF"/>
    <w:rsid w:val="0028360A"/>
    <w:rsid w:val="00283ECB"/>
    <w:rsid w:val="002849F9"/>
    <w:rsid w:val="0028585F"/>
    <w:rsid w:val="00286321"/>
    <w:rsid w:val="00290240"/>
    <w:rsid w:val="00291B40"/>
    <w:rsid w:val="002933ED"/>
    <w:rsid w:val="0029342C"/>
    <w:rsid w:val="002943AE"/>
    <w:rsid w:val="00295815"/>
    <w:rsid w:val="002975D7"/>
    <w:rsid w:val="002A1754"/>
    <w:rsid w:val="002A2B9B"/>
    <w:rsid w:val="002A31FD"/>
    <w:rsid w:val="002A4849"/>
    <w:rsid w:val="002A4A51"/>
    <w:rsid w:val="002A7B38"/>
    <w:rsid w:val="002B32EA"/>
    <w:rsid w:val="002B3D7B"/>
    <w:rsid w:val="002B3F02"/>
    <w:rsid w:val="002B4008"/>
    <w:rsid w:val="002B5BDA"/>
    <w:rsid w:val="002B6832"/>
    <w:rsid w:val="002B7EFE"/>
    <w:rsid w:val="002C0CE5"/>
    <w:rsid w:val="002C3847"/>
    <w:rsid w:val="002D0E8E"/>
    <w:rsid w:val="002E11C8"/>
    <w:rsid w:val="002E3A2D"/>
    <w:rsid w:val="002E409F"/>
    <w:rsid w:val="002E7064"/>
    <w:rsid w:val="002E7320"/>
    <w:rsid w:val="002E75D4"/>
    <w:rsid w:val="002E7A2D"/>
    <w:rsid w:val="002F08C9"/>
    <w:rsid w:val="002F20A9"/>
    <w:rsid w:val="002F3C8B"/>
    <w:rsid w:val="002F5E69"/>
    <w:rsid w:val="002F603B"/>
    <w:rsid w:val="002F6078"/>
    <w:rsid w:val="002F78D9"/>
    <w:rsid w:val="002F7A29"/>
    <w:rsid w:val="00300F5C"/>
    <w:rsid w:val="00301189"/>
    <w:rsid w:val="003038F9"/>
    <w:rsid w:val="0030403D"/>
    <w:rsid w:val="0030756D"/>
    <w:rsid w:val="00310A2B"/>
    <w:rsid w:val="00310D96"/>
    <w:rsid w:val="00311500"/>
    <w:rsid w:val="0031176E"/>
    <w:rsid w:val="003128B4"/>
    <w:rsid w:val="00314147"/>
    <w:rsid w:val="00314D9B"/>
    <w:rsid w:val="003173E7"/>
    <w:rsid w:val="00317AB6"/>
    <w:rsid w:val="00323D96"/>
    <w:rsid w:val="00323E09"/>
    <w:rsid w:val="003258A0"/>
    <w:rsid w:val="00327361"/>
    <w:rsid w:val="00331ACE"/>
    <w:rsid w:val="00333932"/>
    <w:rsid w:val="00334F0B"/>
    <w:rsid w:val="003366CB"/>
    <w:rsid w:val="003368BD"/>
    <w:rsid w:val="003371E7"/>
    <w:rsid w:val="003378E5"/>
    <w:rsid w:val="00340255"/>
    <w:rsid w:val="003402F6"/>
    <w:rsid w:val="003407AA"/>
    <w:rsid w:val="00340A3E"/>
    <w:rsid w:val="003433F7"/>
    <w:rsid w:val="003462DD"/>
    <w:rsid w:val="00347A61"/>
    <w:rsid w:val="00350D84"/>
    <w:rsid w:val="003518AA"/>
    <w:rsid w:val="00351EB6"/>
    <w:rsid w:val="00352165"/>
    <w:rsid w:val="00353182"/>
    <w:rsid w:val="00355CBB"/>
    <w:rsid w:val="003565D9"/>
    <w:rsid w:val="00356C10"/>
    <w:rsid w:val="00356E06"/>
    <w:rsid w:val="00356E1C"/>
    <w:rsid w:val="003574AF"/>
    <w:rsid w:val="003602E1"/>
    <w:rsid w:val="00360D4A"/>
    <w:rsid w:val="00365712"/>
    <w:rsid w:val="0037026F"/>
    <w:rsid w:val="00371240"/>
    <w:rsid w:val="00371A6B"/>
    <w:rsid w:val="00373621"/>
    <w:rsid w:val="003736CF"/>
    <w:rsid w:val="00373B72"/>
    <w:rsid w:val="00373C8E"/>
    <w:rsid w:val="00374731"/>
    <w:rsid w:val="0037521C"/>
    <w:rsid w:val="00376E59"/>
    <w:rsid w:val="00377556"/>
    <w:rsid w:val="00380477"/>
    <w:rsid w:val="00380775"/>
    <w:rsid w:val="00381CFF"/>
    <w:rsid w:val="00382AD5"/>
    <w:rsid w:val="003840FB"/>
    <w:rsid w:val="00384E37"/>
    <w:rsid w:val="0038678F"/>
    <w:rsid w:val="00387652"/>
    <w:rsid w:val="003919F9"/>
    <w:rsid w:val="00391B7B"/>
    <w:rsid w:val="00391DEE"/>
    <w:rsid w:val="00395538"/>
    <w:rsid w:val="0039584C"/>
    <w:rsid w:val="00395E1F"/>
    <w:rsid w:val="003A3265"/>
    <w:rsid w:val="003A3C95"/>
    <w:rsid w:val="003A44BC"/>
    <w:rsid w:val="003A5047"/>
    <w:rsid w:val="003A5E71"/>
    <w:rsid w:val="003A737F"/>
    <w:rsid w:val="003A753E"/>
    <w:rsid w:val="003B0A04"/>
    <w:rsid w:val="003B17C2"/>
    <w:rsid w:val="003B28A6"/>
    <w:rsid w:val="003B386D"/>
    <w:rsid w:val="003B3B4F"/>
    <w:rsid w:val="003B4D2B"/>
    <w:rsid w:val="003B630D"/>
    <w:rsid w:val="003B69CB"/>
    <w:rsid w:val="003B7ED4"/>
    <w:rsid w:val="003C0A2F"/>
    <w:rsid w:val="003C341D"/>
    <w:rsid w:val="003C38B5"/>
    <w:rsid w:val="003C4087"/>
    <w:rsid w:val="003C4660"/>
    <w:rsid w:val="003C4DD2"/>
    <w:rsid w:val="003C5D99"/>
    <w:rsid w:val="003C6F41"/>
    <w:rsid w:val="003D1F3D"/>
    <w:rsid w:val="003D70CF"/>
    <w:rsid w:val="003D749C"/>
    <w:rsid w:val="003E0CA2"/>
    <w:rsid w:val="003E1622"/>
    <w:rsid w:val="003E1E7D"/>
    <w:rsid w:val="003E21D2"/>
    <w:rsid w:val="003E2F59"/>
    <w:rsid w:val="003E31E0"/>
    <w:rsid w:val="003E4AAA"/>
    <w:rsid w:val="003E580F"/>
    <w:rsid w:val="003E6184"/>
    <w:rsid w:val="003E6C9F"/>
    <w:rsid w:val="003E7157"/>
    <w:rsid w:val="003E760F"/>
    <w:rsid w:val="003F00C4"/>
    <w:rsid w:val="003F073C"/>
    <w:rsid w:val="003F0789"/>
    <w:rsid w:val="003F1876"/>
    <w:rsid w:val="003F312A"/>
    <w:rsid w:val="003F3A2A"/>
    <w:rsid w:val="003F5E20"/>
    <w:rsid w:val="003F638B"/>
    <w:rsid w:val="003F67C4"/>
    <w:rsid w:val="003F6C2A"/>
    <w:rsid w:val="003F7945"/>
    <w:rsid w:val="003F7A9F"/>
    <w:rsid w:val="00401882"/>
    <w:rsid w:val="00401DA0"/>
    <w:rsid w:val="00402440"/>
    <w:rsid w:val="00402CD1"/>
    <w:rsid w:val="00402F7D"/>
    <w:rsid w:val="00403DCA"/>
    <w:rsid w:val="0040522E"/>
    <w:rsid w:val="00405C38"/>
    <w:rsid w:val="00407759"/>
    <w:rsid w:val="004100C8"/>
    <w:rsid w:val="00410ED5"/>
    <w:rsid w:val="00411DBD"/>
    <w:rsid w:val="00412ACE"/>
    <w:rsid w:val="00412DCB"/>
    <w:rsid w:val="00412E2C"/>
    <w:rsid w:val="0041511B"/>
    <w:rsid w:val="004157F4"/>
    <w:rsid w:val="00417BA0"/>
    <w:rsid w:val="00420779"/>
    <w:rsid w:val="004215B7"/>
    <w:rsid w:val="00421E99"/>
    <w:rsid w:val="004226F2"/>
    <w:rsid w:val="00422E5E"/>
    <w:rsid w:val="004249C4"/>
    <w:rsid w:val="0042599F"/>
    <w:rsid w:val="004271C0"/>
    <w:rsid w:val="00427AB9"/>
    <w:rsid w:val="00430828"/>
    <w:rsid w:val="00430C32"/>
    <w:rsid w:val="00431249"/>
    <w:rsid w:val="004312C7"/>
    <w:rsid w:val="004316E6"/>
    <w:rsid w:val="0043472F"/>
    <w:rsid w:val="00434C19"/>
    <w:rsid w:val="00444355"/>
    <w:rsid w:val="00445068"/>
    <w:rsid w:val="00446D19"/>
    <w:rsid w:val="00450810"/>
    <w:rsid w:val="004533F5"/>
    <w:rsid w:val="00454B0B"/>
    <w:rsid w:val="00456E82"/>
    <w:rsid w:val="00457480"/>
    <w:rsid w:val="00464068"/>
    <w:rsid w:val="00467204"/>
    <w:rsid w:val="0047052E"/>
    <w:rsid w:val="00471803"/>
    <w:rsid w:val="0047458A"/>
    <w:rsid w:val="004751DF"/>
    <w:rsid w:val="004767B0"/>
    <w:rsid w:val="00477144"/>
    <w:rsid w:val="00477705"/>
    <w:rsid w:val="00487B78"/>
    <w:rsid w:val="004910A5"/>
    <w:rsid w:val="004910E4"/>
    <w:rsid w:val="00491380"/>
    <w:rsid w:val="004939AA"/>
    <w:rsid w:val="0049445A"/>
    <w:rsid w:val="0049459F"/>
    <w:rsid w:val="00497D25"/>
    <w:rsid w:val="00497F53"/>
    <w:rsid w:val="004A17DA"/>
    <w:rsid w:val="004A38DD"/>
    <w:rsid w:val="004A4686"/>
    <w:rsid w:val="004A4CFE"/>
    <w:rsid w:val="004A56A1"/>
    <w:rsid w:val="004A7B84"/>
    <w:rsid w:val="004B10D8"/>
    <w:rsid w:val="004B378D"/>
    <w:rsid w:val="004B43AE"/>
    <w:rsid w:val="004C0197"/>
    <w:rsid w:val="004C044D"/>
    <w:rsid w:val="004C16E3"/>
    <w:rsid w:val="004C1C54"/>
    <w:rsid w:val="004C21AC"/>
    <w:rsid w:val="004C30ED"/>
    <w:rsid w:val="004D0604"/>
    <w:rsid w:val="004D08CF"/>
    <w:rsid w:val="004D299A"/>
    <w:rsid w:val="004D2A8B"/>
    <w:rsid w:val="004D46B6"/>
    <w:rsid w:val="004D5675"/>
    <w:rsid w:val="004D5D48"/>
    <w:rsid w:val="004D66F6"/>
    <w:rsid w:val="004D6AA4"/>
    <w:rsid w:val="004E18F1"/>
    <w:rsid w:val="004E4DC7"/>
    <w:rsid w:val="004E58E1"/>
    <w:rsid w:val="004E5A7F"/>
    <w:rsid w:val="004E5F85"/>
    <w:rsid w:val="004F16B0"/>
    <w:rsid w:val="004F1D09"/>
    <w:rsid w:val="004F1FDD"/>
    <w:rsid w:val="004F3576"/>
    <w:rsid w:val="004F490E"/>
    <w:rsid w:val="004F7332"/>
    <w:rsid w:val="004F7580"/>
    <w:rsid w:val="004F7733"/>
    <w:rsid w:val="0050197F"/>
    <w:rsid w:val="005038D1"/>
    <w:rsid w:val="00503EDC"/>
    <w:rsid w:val="00505B99"/>
    <w:rsid w:val="00505BD7"/>
    <w:rsid w:val="005079A9"/>
    <w:rsid w:val="005102A0"/>
    <w:rsid w:val="00514BB1"/>
    <w:rsid w:val="00515C70"/>
    <w:rsid w:val="00516524"/>
    <w:rsid w:val="00516D04"/>
    <w:rsid w:val="00517192"/>
    <w:rsid w:val="00520FB0"/>
    <w:rsid w:val="00521964"/>
    <w:rsid w:val="005225F8"/>
    <w:rsid w:val="00523639"/>
    <w:rsid w:val="00523A22"/>
    <w:rsid w:val="005241CF"/>
    <w:rsid w:val="005244A9"/>
    <w:rsid w:val="00524943"/>
    <w:rsid w:val="00524956"/>
    <w:rsid w:val="00524D3A"/>
    <w:rsid w:val="00524F46"/>
    <w:rsid w:val="00525A56"/>
    <w:rsid w:val="005279C6"/>
    <w:rsid w:val="005316C4"/>
    <w:rsid w:val="00531FE5"/>
    <w:rsid w:val="00532699"/>
    <w:rsid w:val="00532A01"/>
    <w:rsid w:val="00533714"/>
    <w:rsid w:val="00533A7E"/>
    <w:rsid w:val="0053464B"/>
    <w:rsid w:val="005358A8"/>
    <w:rsid w:val="00535A3C"/>
    <w:rsid w:val="0053660F"/>
    <w:rsid w:val="005402FA"/>
    <w:rsid w:val="0054120C"/>
    <w:rsid w:val="005458EB"/>
    <w:rsid w:val="00545EFD"/>
    <w:rsid w:val="005501CB"/>
    <w:rsid w:val="00552A03"/>
    <w:rsid w:val="005536CD"/>
    <w:rsid w:val="00553F80"/>
    <w:rsid w:val="00560A5A"/>
    <w:rsid w:val="00560C65"/>
    <w:rsid w:val="00560DB6"/>
    <w:rsid w:val="0056305A"/>
    <w:rsid w:val="0056309B"/>
    <w:rsid w:val="00564325"/>
    <w:rsid w:val="0056644E"/>
    <w:rsid w:val="00567C10"/>
    <w:rsid w:val="005743A6"/>
    <w:rsid w:val="00582BA3"/>
    <w:rsid w:val="0058314E"/>
    <w:rsid w:val="00583C39"/>
    <w:rsid w:val="00584230"/>
    <w:rsid w:val="00584703"/>
    <w:rsid w:val="005868F2"/>
    <w:rsid w:val="00587F28"/>
    <w:rsid w:val="005909CF"/>
    <w:rsid w:val="00590C38"/>
    <w:rsid w:val="00591274"/>
    <w:rsid w:val="00591AFB"/>
    <w:rsid w:val="00591E71"/>
    <w:rsid w:val="005956FD"/>
    <w:rsid w:val="005A004D"/>
    <w:rsid w:val="005A0D41"/>
    <w:rsid w:val="005A29EB"/>
    <w:rsid w:val="005A3E61"/>
    <w:rsid w:val="005A485D"/>
    <w:rsid w:val="005A4C36"/>
    <w:rsid w:val="005A6DDF"/>
    <w:rsid w:val="005A701C"/>
    <w:rsid w:val="005A7F08"/>
    <w:rsid w:val="005B0C53"/>
    <w:rsid w:val="005B0E8C"/>
    <w:rsid w:val="005B1A62"/>
    <w:rsid w:val="005B332E"/>
    <w:rsid w:val="005B374C"/>
    <w:rsid w:val="005B69C6"/>
    <w:rsid w:val="005C3858"/>
    <w:rsid w:val="005C4BD4"/>
    <w:rsid w:val="005C536A"/>
    <w:rsid w:val="005C5C3E"/>
    <w:rsid w:val="005C6B5E"/>
    <w:rsid w:val="005C7ADB"/>
    <w:rsid w:val="005D0709"/>
    <w:rsid w:val="005D222C"/>
    <w:rsid w:val="005D5629"/>
    <w:rsid w:val="005D65D5"/>
    <w:rsid w:val="005D688D"/>
    <w:rsid w:val="005D6EED"/>
    <w:rsid w:val="005D76F8"/>
    <w:rsid w:val="005E0880"/>
    <w:rsid w:val="005E6D50"/>
    <w:rsid w:val="005F77A8"/>
    <w:rsid w:val="006021E8"/>
    <w:rsid w:val="0060380E"/>
    <w:rsid w:val="00604CD9"/>
    <w:rsid w:val="00604D11"/>
    <w:rsid w:val="00607BF1"/>
    <w:rsid w:val="00610EF6"/>
    <w:rsid w:val="006118E6"/>
    <w:rsid w:val="006133C3"/>
    <w:rsid w:val="0061409B"/>
    <w:rsid w:val="00614BA5"/>
    <w:rsid w:val="00615E4F"/>
    <w:rsid w:val="00617E58"/>
    <w:rsid w:val="006212C2"/>
    <w:rsid w:val="00622B53"/>
    <w:rsid w:val="00623AF2"/>
    <w:rsid w:val="00630D4D"/>
    <w:rsid w:val="006312D9"/>
    <w:rsid w:val="00632243"/>
    <w:rsid w:val="00632A74"/>
    <w:rsid w:val="00633E37"/>
    <w:rsid w:val="00635DC7"/>
    <w:rsid w:val="00635E0D"/>
    <w:rsid w:val="00637CFE"/>
    <w:rsid w:val="006404A8"/>
    <w:rsid w:val="00641237"/>
    <w:rsid w:val="006422AC"/>
    <w:rsid w:val="00642D3F"/>
    <w:rsid w:val="00643D23"/>
    <w:rsid w:val="00644231"/>
    <w:rsid w:val="00645533"/>
    <w:rsid w:val="00647578"/>
    <w:rsid w:val="006509D5"/>
    <w:rsid w:val="00650B04"/>
    <w:rsid w:val="00650EA6"/>
    <w:rsid w:val="00651831"/>
    <w:rsid w:val="00655819"/>
    <w:rsid w:val="00660BA4"/>
    <w:rsid w:val="00661F6C"/>
    <w:rsid w:val="0066246D"/>
    <w:rsid w:val="006625FA"/>
    <w:rsid w:val="0066382C"/>
    <w:rsid w:val="006657EC"/>
    <w:rsid w:val="00665C87"/>
    <w:rsid w:val="006661DD"/>
    <w:rsid w:val="006707ED"/>
    <w:rsid w:val="00671176"/>
    <w:rsid w:val="006725CD"/>
    <w:rsid w:val="00672FBB"/>
    <w:rsid w:val="006731BB"/>
    <w:rsid w:val="00673631"/>
    <w:rsid w:val="0067596D"/>
    <w:rsid w:val="00675BC2"/>
    <w:rsid w:val="006772FD"/>
    <w:rsid w:val="0068070D"/>
    <w:rsid w:val="00680A75"/>
    <w:rsid w:val="006828E2"/>
    <w:rsid w:val="006852FF"/>
    <w:rsid w:val="00687D40"/>
    <w:rsid w:val="00687DD6"/>
    <w:rsid w:val="00692497"/>
    <w:rsid w:val="00693F13"/>
    <w:rsid w:val="00694D0B"/>
    <w:rsid w:val="006959C4"/>
    <w:rsid w:val="006972EA"/>
    <w:rsid w:val="006A2463"/>
    <w:rsid w:val="006A27D2"/>
    <w:rsid w:val="006A2921"/>
    <w:rsid w:val="006A4655"/>
    <w:rsid w:val="006A6F3A"/>
    <w:rsid w:val="006B0102"/>
    <w:rsid w:val="006B052A"/>
    <w:rsid w:val="006B05A0"/>
    <w:rsid w:val="006B0B10"/>
    <w:rsid w:val="006B103C"/>
    <w:rsid w:val="006B2AE5"/>
    <w:rsid w:val="006B2B3C"/>
    <w:rsid w:val="006B37F1"/>
    <w:rsid w:val="006B43FF"/>
    <w:rsid w:val="006B6FC7"/>
    <w:rsid w:val="006C01AA"/>
    <w:rsid w:val="006C1D81"/>
    <w:rsid w:val="006C58CD"/>
    <w:rsid w:val="006C7038"/>
    <w:rsid w:val="006D218E"/>
    <w:rsid w:val="006D3A94"/>
    <w:rsid w:val="006E00F5"/>
    <w:rsid w:val="006E18BA"/>
    <w:rsid w:val="006E2B9E"/>
    <w:rsid w:val="006E3569"/>
    <w:rsid w:val="006E69F9"/>
    <w:rsid w:val="006E738C"/>
    <w:rsid w:val="006E73EF"/>
    <w:rsid w:val="006F0DF6"/>
    <w:rsid w:val="006F1A6F"/>
    <w:rsid w:val="006F2542"/>
    <w:rsid w:val="006F45B3"/>
    <w:rsid w:val="006F45E8"/>
    <w:rsid w:val="006F4E45"/>
    <w:rsid w:val="006F6F1D"/>
    <w:rsid w:val="00700319"/>
    <w:rsid w:val="00703927"/>
    <w:rsid w:val="00705273"/>
    <w:rsid w:val="0070537F"/>
    <w:rsid w:val="0070616E"/>
    <w:rsid w:val="00710CFA"/>
    <w:rsid w:val="007130F0"/>
    <w:rsid w:val="00714D4D"/>
    <w:rsid w:val="00715042"/>
    <w:rsid w:val="00715769"/>
    <w:rsid w:val="00715882"/>
    <w:rsid w:val="007219B5"/>
    <w:rsid w:val="007253D5"/>
    <w:rsid w:val="00726C78"/>
    <w:rsid w:val="007275AC"/>
    <w:rsid w:val="00727BD6"/>
    <w:rsid w:val="00731541"/>
    <w:rsid w:val="00733CF6"/>
    <w:rsid w:val="00734BC2"/>
    <w:rsid w:val="0073511D"/>
    <w:rsid w:val="00740DDC"/>
    <w:rsid w:val="00742267"/>
    <w:rsid w:val="007433AE"/>
    <w:rsid w:val="007446E1"/>
    <w:rsid w:val="007471DB"/>
    <w:rsid w:val="00750DBC"/>
    <w:rsid w:val="007516BF"/>
    <w:rsid w:val="007577C2"/>
    <w:rsid w:val="0075780B"/>
    <w:rsid w:val="007604BB"/>
    <w:rsid w:val="00764178"/>
    <w:rsid w:val="007645AA"/>
    <w:rsid w:val="00765264"/>
    <w:rsid w:val="00770B47"/>
    <w:rsid w:val="00771EC8"/>
    <w:rsid w:val="00773DCB"/>
    <w:rsid w:val="007766E4"/>
    <w:rsid w:val="00776D69"/>
    <w:rsid w:val="007770E9"/>
    <w:rsid w:val="00782114"/>
    <w:rsid w:val="00782C14"/>
    <w:rsid w:val="0078307A"/>
    <w:rsid w:val="00784EE0"/>
    <w:rsid w:val="00785232"/>
    <w:rsid w:val="00785AF7"/>
    <w:rsid w:val="00786862"/>
    <w:rsid w:val="007872DF"/>
    <w:rsid w:val="00792634"/>
    <w:rsid w:val="0079269C"/>
    <w:rsid w:val="00793F3C"/>
    <w:rsid w:val="0079457B"/>
    <w:rsid w:val="007947E7"/>
    <w:rsid w:val="00794D8B"/>
    <w:rsid w:val="00797B6F"/>
    <w:rsid w:val="00797DB9"/>
    <w:rsid w:val="007A21EB"/>
    <w:rsid w:val="007A40EC"/>
    <w:rsid w:val="007A6A4D"/>
    <w:rsid w:val="007B1A93"/>
    <w:rsid w:val="007B41E8"/>
    <w:rsid w:val="007B55FB"/>
    <w:rsid w:val="007B70FA"/>
    <w:rsid w:val="007B7F4B"/>
    <w:rsid w:val="007C0A3C"/>
    <w:rsid w:val="007C16D3"/>
    <w:rsid w:val="007C1D9B"/>
    <w:rsid w:val="007C2386"/>
    <w:rsid w:val="007C36C9"/>
    <w:rsid w:val="007C67EE"/>
    <w:rsid w:val="007C6886"/>
    <w:rsid w:val="007D0645"/>
    <w:rsid w:val="007D0C80"/>
    <w:rsid w:val="007D3017"/>
    <w:rsid w:val="007D3C7C"/>
    <w:rsid w:val="007D3F79"/>
    <w:rsid w:val="007D6401"/>
    <w:rsid w:val="007D6403"/>
    <w:rsid w:val="007E01E4"/>
    <w:rsid w:val="007E1314"/>
    <w:rsid w:val="007E20F9"/>
    <w:rsid w:val="007E2B9C"/>
    <w:rsid w:val="007E3DDD"/>
    <w:rsid w:val="007E47B2"/>
    <w:rsid w:val="007E47DC"/>
    <w:rsid w:val="007E6AE8"/>
    <w:rsid w:val="007E6C51"/>
    <w:rsid w:val="007E7066"/>
    <w:rsid w:val="007E7121"/>
    <w:rsid w:val="007F1907"/>
    <w:rsid w:val="007F2194"/>
    <w:rsid w:val="007F3234"/>
    <w:rsid w:val="007F3FF0"/>
    <w:rsid w:val="007F519E"/>
    <w:rsid w:val="007F570A"/>
    <w:rsid w:val="007F5B51"/>
    <w:rsid w:val="007F6A40"/>
    <w:rsid w:val="007F7107"/>
    <w:rsid w:val="00800D4C"/>
    <w:rsid w:val="008029B8"/>
    <w:rsid w:val="00804433"/>
    <w:rsid w:val="00804810"/>
    <w:rsid w:val="00804D9D"/>
    <w:rsid w:val="00805C77"/>
    <w:rsid w:val="0080620D"/>
    <w:rsid w:val="00806445"/>
    <w:rsid w:val="008077C4"/>
    <w:rsid w:val="0081030F"/>
    <w:rsid w:val="0081210B"/>
    <w:rsid w:val="00813A43"/>
    <w:rsid w:val="00813D6D"/>
    <w:rsid w:val="00816D4B"/>
    <w:rsid w:val="00817719"/>
    <w:rsid w:val="00817D7E"/>
    <w:rsid w:val="0082087D"/>
    <w:rsid w:val="00820984"/>
    <w:rsid w:val="008226B9"/>
    <w:rsid w:val="00823F06"/>
    <w:rsid w:val="008246A9"/>
    <w:rsid w:val="0082705F"/>
    <w:rsid w:val="00827C81"/>
    <w:rsid w:val="00830664"/>
    <w:rsid w:val="008348D3"/>
    <w:rsid w:val="008355D3"/>
    <w:rsid w:val="00835771"/>
    <w:rsid w:val="00836E90"/>
    <w:rsid w:val="00836EE8"/>
    <w:rsid w:val="0084066A"/>
    <w:rsid w:val="008406C8"/>
    <w:rsid w:val="00841E44"/>
    <w:rsid w:val="00842933"/>
    <w:rsid w:val="008432E7"/>
    <w:rsid w:val="0084524D"/>
    <w:rsid w:val="00846333"/>
    <w:rsid w:val="0084735B"/>
    <w:rsid w:val="008504D7"/>
    <w:rsid w:val="00851122"/>
    <w:rsid w:val="00851CC9"/>
    <w:rsid w:val="00851EB0"/>
    <w:rsid w:val="00855083"/>
    <w:rsid w:val="00855093"/>
    <w:rsid w:val="00856310"/>
    <w:rsid w:val="0086082C"/>
    <w:rsid w:val="00862763"/>
    <w:rsid w:val="00863AEB"/>
    <w:rsid w:val="00864041"/>
    <w:rsid w:val="008649BD"/>
    <w:rsid w:val="00864ADC"/>
    <w:rsid w:val="008666F8"/>
    <w:rsid w:val="00870872"/>
    <w:rsid w:val="008758E1"/>
    <w:rsid w:val="00876146"/>
    <w:rsid w:val="00880153"/>
    <w:rsid w:val="00880E7E"/>
    <w:rsid w:val="00880F97"/>
    <w:rsid w:val="0088133A"/>
    <w:rsid w:val="008826F1"/>
    <w:rsid w:val="00883302"/>
    <w:rsid w:val="00885D07"/>
    <w:rsid w:val="00887676"/>
    <w:rsid w:val="0089218A"/>
    <w:rsid w:val="0089285E"/>
    <w:rsid w:val="00892994"/>
    <w:rsid w:val="0089436C"/>
    <w:rsid w:val="00894DBF"/>
    <w:rsid w:val="00895FA7"/>
    <w:rsid w:val="008973E5"/>
    <w:rsid w:val="0089795E"/>
    <w:rsid w:val="008A5B9C"/>
    <w:rsid w:val="008A5EE9"/>
    <w:rsid w:val="008B01B0"/>
    <w:rsid w:val="008B61F2"/>
    <w:rsid w:val="008B7131"/>
    <w:rsid w:val="008C00B4"/>
    <w:rsid w:val="008C0C37"/>
    <w:rsid w:val="008C5164"/>
    <w:rsid w:val="008C5E97"/>
    <w:rsid w:val="008C6E5B"/>
    <w:rsid w:val="008D0E8F"/>
    <w:rsid w:val="008D11B2"/>
    <w:rsid w:val="008D2EF4"/>
    <w:rsid w:val="008D365C"/>
    <w:rsid w:val="008D3C7D"/>
    <w:rsid w:val="008D4C82"/>
    <w:rsid w:val="008D5284"/>
    <w:rsid w:val="008D64D5"/>
    <w:rsid w:val="008E2800"/>
    <w:rsid w:val="008E381D"/>
    <w:rsid w:val="008E3B6B"/>
    <w:rsid w:val="008E4059"/>
    <w:rsid w:val="008E5FCC"/>
    <w:rsid w:val="008E70BF"/>
    <w:rsid w:val="008F004D"/>
    <w:rsid w:val="008F1B2A"/>
    <w:rsid w:val="008F4234"/>
    <w:rsid w:val="008F6305"/>
    <w:rsid w:val="0090189F"/>
    <w:rsid w:val="009030BF"/>
    <w:rsid w:val="009035E6"/>
    <w:rsid w:val="00904BF0"/>
    <w:rsid w:val="00910222"/>
    <w:rsid w:val="0091032F"/>
    <w:rsid w:val="00910911"/>
    <w:rsid w:val="00912093"/>
    <w:rsid w:val="00912152"/>
    <w:rsid w:val="00914368"/>
    <w:rsid w:val="00914F6A"/>
    <w:rsid w:val="00920185"/>
    <w:rsid w:val="00920296"/>
    <w:rsid w:val="00920A1B"/>
    <w:rsid w:val="00923BA7"/>
    <w:rsid w:val="00923E70"/>
    <w:rsid w:val="00924ED6"/>
    <w:rsid w:val="0092666C"/>
    <w:rsid w:val="009275C3"/>
    <w:rsid w:val="00931076"/>
    <w:rsid w:val="00933A33"/>
    <w:rsid w:val="00933B3E"/>
    <w:rsid w:val="009345D9"/>
    <w:rsid w:val="00934B15"/>
    <w:rsid w:val="00935691"/>
    <w:rsid w:val="00940444"/>
    <w:rsid w:val="009404D9"/>
    <w:rsid w:val="00940B64"/>
    <w:rsid w:val="00940BC1"/>
    <w:rsid w:val="00940C87"/>
    <w:rsid w:val="00941AED"/>
    <w:rsid w:val="00942B62"/>
    <w:rsid w:val="00943353"/>
    <w:rsid w:val="009467F8"/>
    <w:rsid w:val="0095026F"/>
    <w:rsid w:val="00951050"/>
    <w:rsid w:val="00951254"/>
    <w:rsid w:val="0095323B"/>
    <w:rsid w:val="00954B48"/>
    <w:rsid w:val="00955396"/>
    <w:rsid w:val="00956A0C"/>
    <w:rsid w:val="00956BD9"/>
    <w:rsid w:val="009603AD"/>
    <w:rsid w:val="00961614"/>
    <w:rsid w:val="0096174E"/>
    <w:rsid w:val="00961A81"/>
    <w:rsid w:val="00962489"/>
    <w:rsid w:val="0096514A"/>
    <w:rsid w:val="009660A1"/>
    <w:rsid w:val="00967075"/>
    <w:rsid w:val="00967BCE"/>
    <w:rsid w:val="00967E03"/>
    <w:rsid w:val="00971205"/>
    <w:rsid w:val="009729A4"/>
    <w:rsid w:val="00974B3F"/>
    <w:rsid w:val="00976AB5"/>
    <w:rsid w:val="00976D0D"/>
    <w:rsid w:val="009779DF"/>
    <w:rsid w:val="00977CFC"/>
    <w:rsid w:val="00980E64"/>
    <w:rsid w:val="009813FB"/>
    <w:rsid w:val="0098157C"/>
    <w:rsid w:val="00981F56"/>
    <w:rsid w:val="00984641"/>
    <w:rsid w:val="0098472F"/>
    <w:rsid w:val="009861D5"/>
    <w:rsid w:val="00986ED2"/>
    <w:rsid w:val="00987B18"/>
    <w:rsid w:val="00987C87"/>
    <w:rsid w:val="00990C2C"/>
    <w:rsid w:val="009938D0"/>
    <w:rsid w:val="009962F0"/>
    <w:rsid w:val="0099686A"/>
    <w:rsid w:val="009A04BE"/>
    <w:rsid w:val="009A0C92"/>
    <w:rsid w:val="009A0DD4"/>
    <w:rsid w:val="009A1CCD"/>
    <w:rsid w:val="009A20DA"/>
    <w:rsid w:val="009A289F"/>
    <w:rsid w:val="009A5F9D"/>
    <w:rsid w:val="009B4E99"/>
    <w:rsid w:val="009B6348"/>
    <w:rsid w:val="009B707E"/>
    <w:rsid w:val="009C0109"/>
    <w:rsid w:val="009C1BA0"/>
    <w:rsid w:val="009C228A"/>
    <w:rsid w:val="009C5C75"/>
    <w:rsid w:val="009C6238"/>
    <w:rsid w:val="009C7E6B"/>
    <w:rsid w:val="009D0E30"/>
    <w:rsid w:val="009D7645"/>
    <w:rsid w:val="009E14AC"/>
    <w:rsid w:val="009E1844"/>
    <w:rsid w:val="009E468B"/>
    <w:rsid w:val="009E6361"/>
    <w:rsid w:val="009F0D1B"/>
    <w:rsid w:val="009F131F"/>
    <w:rsid w:val="009F206F"/>
    <w:rsid w:val="009F27E7"/>
    <w:rsid w:val="009F3949"/>
    <w:rsid w:val="009F4CC1"/>
    <w:rsid w:val="009F696D"/>
    <w:rsid w:val="009F6BC6"/>
    <w:rsid w:val="009F7ADC"/>
    <w:rsid w:val="009F7BA2"/>
    <w:rsid w:val="00A01872"/>
    <w:rsid w:val="00A031CB"/>
    <w:rsid w:val="00A0341A"/>
    <w:rsid w:val="00A03E86"/>
    <w:rsid w:val="00A05BF3"/>
    <w:rsid w:val="00A06C80"/>
    <w:rsid w:val="00A07D9F"/>
    <w:rsid w:val="00A11DE6"/>
    <w:rsid w:val="00A1253E"/>
    <w:rsid w:val="00A13119"/>
    <w:rsid w:val="00A1396D"/>
    <w:rsid w:val="00A1473F"/>
    <w:rsid w:val="00A149E1"/>
    <w:rsid w:val="00A16F09"/>
    <w:rsid w:val="00A17328"/>
    <w:rsid w:val="00A17577"/>
    <w:rsid w:val="00A176E7"/>
    <w:rsid w:val="00A207CF"/>
    <w:rsid w:val="00A20C29"/>
    <w:rsid w:val="00A21BAA"/>
    <w:rsid w:val="00A22518"/>
    <w:rsid w:val="00A23A20"/>
    <w:rsid w:val="00A257EE"/>
    <w:rsid w:val="00A268B9"/>
    <w:rsid w:val="00A2703A"/>
    <w:rsid w:val="00A2769F"/>
    <w:rsid w:val="00A30737"/>
    <w:rsid w:val="00A331F7"/>
    <w:rsid w:val="00A336D7"/>
    <w:rsid w:val="00A3390E"/>
    <w:rsid w:val="00A33DFF"/>
    <w:rsid w:val="00A33EB3"/>
    <w:rsid w:val="00A35115"/>
    <w:rsid w:val="00A35428"/>
    <w:rsid w:val="00A354AD"/>
    <w:rsid w:val="00A35E4A"/>
    <w:rsid w:val="00A35F1D"/>
    <w:rsid w:val="00A3636F"/>
    <w:rsid w:val="00A36D9A"/>
    <w:rsid w:val="00A37993"/>
    <w:rsid w:val="00A404A9"/>
    <w:rsid w:val="00A40B29"/>
    <w:rsid w:val="00A42057"/>
    <w:rsid w:val="00A42630"/>
    <w:rsid w:val="00A45344"/>
    <w:rsid w:val="00A53144"/>
    <w:rsid w:val="00A554AB"/>
    <w:rsid w:val="00A5606D"/>
    <w:rsid w:val="00A57062"/>
    <w:rsid w:val="00A57C95"/>
    <w:rsid w:val="00A60799"/>
    <w:rsid w:val="00A61C29"/>
    <w:rsid w:val="00A64FC1"/>
    <w:rsid w:val="00A6698D"/>
    <w:rsid w:val="00A70036"/>
    <w:rsid w:val="00A71FCD"/>
    <w:rsid w:val="00A72388"/>
    <w:rsid w:val="00A732CA"/>
    <w:rsid w:val="00A73376"/>
    <w:rsid w:val="00A733A9"/>
    <w:rsid w:val="00A75010"/>
    <w:rsid w:val="00A75D7F"/>
    <w:rsid w:val="00A800B0"/>
    <w:rsid w:val="00A80B10"/>
    <w:rsid w:val="00A86F96"/>
    <w:rsid w:val="00A87D96"/>
    <w:rsid w:val="00A9013F"/>
    <w:rsid w:val="00A92870"/>
    <w:rsid w:val="00A92B4F"/>
    <w:rsid w:val="00A92B53"/>
    <w:rsid w:val="00A92EB3"/>
    <w:rsid w:val="00A9409C"/>
    <w:rsid w:val="00A94FA6"/>
    <w:rsid w:val="00A965D5"/>
    <w:rsid w:val="00A96791"/>
    <w:rsid w:val="00AA03D7"/>
    <w:rsid w:val="00AA0ECA"/>
    <w:rsid w:val="00AA1266"/>
    <w:rsid w:val="00AA1354"/>
    <w:rsid w:val="00AA2A81"/>
    <w:rsid w:val="00AA2FF4"/>
    <w:rsid w:val="00AA49A0"/>
    <w:rsid w:val="00AA4C3D"/>
    <w:rsid w:val="00AA6710"/>
    <w:rsid w:val="00AB0290"/>
    <w:rsid w:val="00AB0681"/>
    <w:rsid w:val="00AB0A8D"/>
    <w:rsid w:val="00AB1B87"/>
    <w:rsid w:val="00AB3425"/>
    <w:rsid w:val="00AB3709"/>
    <w:rsid w:val="00AB37B9"/>
    <w:rsid w:val="00AB434E"/>
    <w:rsid w:val="00AB50D5"/>
    <w:rsid w:val="00AB633C"/>
    <w:rsid w:val="00AB6EE2"/>
    <w:rsid w:val="00AC0FDD"/>
    <w:rsid w:val="00AC2CDD"/>
    <w:rsid w:val="00AC4D11"/>
    <w:rsid w:val="00AC7559"/>
    <w:rsid w:val="00AC7C64"/>
    <w:rsid w:val="00AD520B"/>
    <w:rsid w:val="00AD6D56"/>
    <w:rsid w:val="00AE07A6"/>
    <w:rsid w:val="00AE2130"/>
    <w:rsid w:val="00AE3D8D"/>
    <w:rsid w:val="00AE6771"/>
    <w:rsid w:val="00AE7926"/>
    <w:rsid w:val="00AE7C5A"/>
    <w:rsid w:val="00AF25B5"/>
    <w:rsid w:val="00AF57A1"/>
    <w:rsid w:val="00AF62DD"/>
    <w:rsid w:val="00AF65BB"/>
    <w:rsid w:val="00B01289"/>
    <w:rsid w:val="00B026D2"/>
    <w:rsid w:val="00B03450"/>
    <w:rsid w:val="00B048DB"/>
    <w:rsid w:val="00B05924"/>
    <w:rsid w:val="00B05B14"/>
    <w:rsid w:val="00B074E4"/>
    <w:rsid w:val="00B10D90"/>
    <w:rsid w:val="00B12CDA"/>
    <w:rsid w:val="00B13C7F"/>
    <w:rsid w:val="00B14547"/>
    <w:rsid w:val="00B1633A"/>
    <w:rsid w:val="00B1645F"/>
    <w:rsid w:val="00B20E61"/>
    <w:rsid w:val="00B21458"/>
    <w:rsid w:val="00B22097"/>
    <w:rsid w:val="00B22233"/>
    <w:rsid w:val="00B225D9"/>
    <w:rsid w:val="00B240D7"/>
    <w:rsid w:val="00B31342"/>
    <w:rsid w:val="00B31399"/>
    <w:rsid w:val="00B31768"/>
    <w:rsid w:val="00B3339B"/>
    <w:rsid w:val="00B34597"/>
    <w:rsid w:val="00B4004A"/>
    <w:rsid w:val="00B40088"/>
    <w:rsid w:val="00B403A2"/>
    <w:rsid w:val="00B40570"/>
    <w:rsid w:val="00B40A55"/>
    <w:rsid w:val="00B41DCE"/>
    <w:rsid w:val="00B425C3"/>
    <w:rsid w:val="00B431E3"/>
    <w:rsid w:val="00B432FD"/>
    <w:rsid w:val="00B439EC"/>
    <w:rsid w:val="00B440AD"/>
    <w:rsid w:val="00B447BA"/>
    <w:rsid w:val="00B4600B"/>
    <w:rsid w:val="00B476F4"/>
    <w:rsid w:val="00B479BB"/>
    <w:rsid w:val="00B5022F"/>
    <w:rsid w:val="00B503ED"/>
    <w:rsid w:val="00B518A7"/>
    <w:rsid w:val="00B53738"/>
    <w:rsid w:val="00B53E7E"/>
    <w:rsid w:val="00B53EF0"/>
    <w:rsid w:val="00B54780"/>
    <w:rsid w:val="00B55A0D"/>
    <w:rsid w:val="00B55E65"/>
    <w:rsid w:val="00B57397"/>
    <w:rsid w:val="00B60A2B"/>
    <w:rsid w:val="00B60ADE"/>
    <w:rsid w:val="00B61983"/>
    <w:rsid w:val="00B6244B"/>
    <w:rsid w:val="00B62B26"/>
    <w:rsid w:val="00B6342E"/>
    <w:rsid w:val="00B67915"/>
    <w:rsid w:val="00B70BD6"/>
    <w:rsid w:val="00B7113F"/>
    <w:rsid w:val="00B756E4"/>
    <w:rsid w:val="00B762B1"/>
    <w:rsid w:val="00B77AA3"/>
    <w:rsid w:val="00B829AA"/>
    <w:rsid w:val="00B84AEF"/>
    <w:rsid w:val="00B85D1F"/>
    <w:rsid w:val="00B86EF6"/>
    <w:rsid w:val="00B87A8A"/>
    <w:rsid w:val="00B903E3"/>
    <w:rsid w:val="00B909D6"/>
    <w:rsid w:val="00B915A1"/>
    <w:rsid w:val="00B919C8"/>
    <w:rsid w:val="00B91EFF"/>
    <w:rsid w:val="00B93664"/>
    <w:rsid w:val="00B9395F"/>
    <w:rsid w:val="00B94072"/>
    <w:rsid w:val="00B9553A"/>
    <w:rsid w:val="00B96644"/>
    <w:rsid w:val="00B97A1A"/>
    <w:rsid w:val="00B97F21"/>
    <w:rsid w:val="00BA0330"/>
    <w:rsid w:val="00BA050E"/>
    <w:rsid w:val="00BA1C18"/>
    <w:rsid w:val="00BA281D"/>
    <w:rsid w:val="00BA4401"/>
    <w:rsid w:val="00BA6150"/>
    <w:rsid w:val="00BA62C8"/>
    <w:rsid w:val="00BA6591"/>
    <w:rsid w:val="00BA73B6"/>
    <w:rsid w:val="00BA7E27"/>
    <w:rsid w:val="00BB08C9"/>
    <w:rsid w:val="00BB2603"/>
    <w:rsid w:val="00BB32CD"/>
    <w:rsid w:val="00BB3E11"/>
    <w:rsid w:val="00BB41B2"/>
    <w:rsid w:val="00BB4EA0"/>
    <w:rsid w:val="00BB4FCD"/>
    <w:rsid w:val="00BB5F1F"/>
    <w:rsid w:val="00BB704A"/>
    <w:rsid w:val="00BC04E9"/>
    <w:rsid w:val="00BC119A"/>
    <w:rsid w:val="00BC201D"/>
    <w:rsid w:val="00BC2EA8"/>
    <w:rsid w:val="00BC6A35"/>
    <w:rsid w:val="00BD0EE3"/>
    <w:rsid w:val="00BD13EA"/>
    <w:rsid w:val="00BD2040"/>
    <w:rsid w:val="00BD2092"/>
    <w:rsid w:val="00BD336D"/>
    <w:rsid w:val="00BD356C"/>
    <w:rsid w:val="00BD38DC"/>
    <w:rsid w:val="00BD4108"/>
    <w:rsid w:val="00BE1CD7"/>
    <w:rsid w:val="00BE216A"/>
    <w:rsid w:val="00BE3808"/>
    <w:rsid w:val="00BE42AC"/>
    <w:rsid w:val="00BE52DE"/>
    <w:rsid w:val="00BE6592"/>
    <w:rsid w:val="00BE68FF"/>
    <w:rsid w:val="00BF0F42"/>
    <w:rsid w:val="00BF1E5E"/>
    <w:rsid w:val="00BF2302"/>
    <w:rsid w:val="00BF5C68"/>
    <w:rsid w:val="00C012B7"/>
    <w:rsid w:val="00C021D3"/>
    <w:rsid w:val="00C02A35"/>
    <w:rsid w:val="00C02BC6"/>
    <w:rsid w:val="00C03891"/>
    <w:rsid w:val="00C0420A"/>
    <w:rsid w:val="00C062E9"/>
    <w:rsid w:val="00C07B64"/>
    <w:rsid w:val="00C115C9"/>
    <w:rsid w:val="00C13721"/>
    <w:rsid w:val="00C13D42"/>
    <w:rsid w:val="00C14FE4"/>
    <w:rsid w:val="00C15F62"/>
    <w:rsid w:val="00C164D4"/>
    <w:rsid w:val="00C24B2B"/>
    <w:rsid w:val="00C25972"/>
    <w:rsid w:val="00C26C54"/>
    <w:rsid w:val="00C276BC"/>
    <w:rsid w:val="00C2791C"/>
    <w:rsid w:val="00C304DC"/>
    <w:rsid w:val="00C3066D"/>
    <w:rsid w:val="00C30BAA"/>
    <w:rsid w:val="00C3140A"/>
    <w:rsid w:val="00C31562"/>
    <w:rsid w:val="00C31ADF"/>
    <w:rsid w:val="00C32C0B"/>
    <w:rsid w:val="00C338C5"/>
    <w:rsid w:val="00C35D5F"/>
    <w:rsid w:val="00C408A4"/>
    <w:rsid w:val="00C409B0"/>
    <w:rsid w:val="00C41356"/>
    <w:rsid w:val="00C415B4"/>
    <w:rsid w:val="00C43EAC"/>
    <w:rsid w:val="00C45CCF"/>
    <w:rsid w:val="00C45EBF"/>
    <w:rsid w:val="00C46622"/>
    <w:rsid w:val="00C46919"/>
    <w:rsid w:val="00C4734A"/>
    <w:rsid w:val="00C52416"/>
    <w:rsid w:val="00C53427"/>
    <w:rsid w:val="00C536AD"/>
    <w:rsid w:val="00C543F4"/>
    <w:rsid w:val="00C545F7"/>
    <w:rsid w:val="00C55BE6"/>
    <w:rsid w:val="00C55D68"/>
    <w:rsid w:val="00C56322"/>
    <w:rsid w:val="00C5781B"/>
    <w:rsid w:val="00C57A21"/>
    <w:rsid w:val="00C61075"/>
    <w:rsid w:val="00C628B4"/>
    <w:rsid w:val="00C6291C"/>
    <w:rsid w:val="00C633CB"/>
    <w:rsid w:val="00C65BBC"/>
    <w:rsid w:val="00C70301"/>
    <w:rsid w:val="00C70E0C"/>
    <w:rsid w:val="00C736B7"/>
    <w:rsid w:val="00C73CCE"/>
    <w:rsid w:val="00C74983"/>
    <w:rsid w:val="00C74FE7"/>
    <w:rsid w:val="00C76C1C"/>
    <w:rsid w:val="00C81941"/>
    <w:rsid w:val="00C81D4A"/>
    <w:rsid w:val="00C84C9E"/>
    <w:rsid w:val="00C853C8"/>
    <w:rsid w:val="00C87103"/>
    <w:rsid w:val="00C87137"/>
    <w:rsid w:val="00C8762C"/>
    <w:rsid w:val="00C9190E"/>
    <w:rsid w:val="00C92335"/>
    <w:rsid w:val="00C94AD4"/>
    <w:rsid w:val="00C95FC6"/>
    <w:rsid w:val="00C97384"/>
    <w:rsid w:val="00C975BF"/>
    <w:rsid w:val="00CA00F9"/>
    <w:rsid w:val="00CA2961"/>
    <w:rsid w:val="00CA2AEF"/>
    <w:rsid w:val="00CA43AE"/>
    <w:rsid w:val="00CA577D"/>
    <w:rsid w:val="00CA5D24"/>
    <w:rsid w:val="00CB04B6"/>
    <w:rsid w:val="00CB1120"/>
    <w:rsid w:val="00CB3D72"/>
    <w:rsid w:val="00CB3ECA"/>
    <w:rsid w:val="00CB4037"/>
    <w:rsid w:val="00CB50D7"/>
    <w:rsid w:val="00CB57A6"/>
    <w:rsid w:val="00CB5C2C"/>
    <w:rsid w:val="00CB6DF9"/>
    <w:rsid w:val="00CB7177"/>
    <w:rsid w:val="00CB7D17"/>
    <w:rsid w:val="00CC1723"/>
    <w:rsid w:val="00CC1998"/>
    <w:rsid w:val="00CC3A2E"/>
    <w:rsid w:val="00CC4946"/>
    <w:rsid w:val="00CC49C1"/>
    <w:rsid w:val="00CC4BDD"/>
    <w:rsid w:val="00CC54FF"/>
    <w:rsid w:val="00CC6947"/>
    <w:rsid w:val="00CC778E"/>
    <w:rsid w:val="00CD06D6"/>
    <w:rsid w:val="00CD258A"/>
    <w:rsid w:val="00CD3A97"/>
    <w:rsid w:val="00CD40B4"/>
    <w:rsid w:val="00CD4CF8"/>
    <w:rsid w:val="00CD5189"/>
    <w:rsid w:val="00CD526A"/>
    <w:rsid w:val="00CD5350"/>
    <w:rsid w:val="00CD6FAC"/>
    <w:rsid w:val="00CE7B03"/>
    <w:rsid w:val="00CE7D3E"/>
    <w:rsid w:val="00CF0583"/>
    <w:rsid w:val="00CF26CF"/>
    <w:rsid w:val="00CF2721"/>
    <w:rsid w:val="00CF4344"/>
    <w:rsid w:val="00CF45E6"/>
    <w:rsid w:val="00CF6574"/>
    <w:rsid w:val="00CF6ABC"/>
    <w:rsid w:val="00CF7818"/>
    <w:rsid w:val="00CF7966"/>
    <w:rsid w:val="00D02D70"/>
    <w:rsid w:val="00D048CA"/>
    <w:rsid w:val="00D051B4"/>
    <w:rsid w:val="00D07560"/>
    <w:rsid w:val="00D1420F"/>
    <w:rsid w:val="00D15AE4"/>
    <w:rsid w:val="00D171F9"/>
    <w:rsid w:val="00D2069C"/>
    <w:rsid w:val="00D215F9"/>
    <w:rsid w:val="00D21D90"/>
    <w:rsid w:val="00D21DC4"/>
    <w:rsid w:val="00D25596"/>
    <w:rsid w:val="00D270A4"/>
    <w:rsid w:val="00D319F9"/>
    <w:rsid w:val="00D31F32"/>
    <w:rsid w:val="00D31FE9"/>
    <w:rsid w:val="00D32921"/>
    <w:rsid w:val="00D34E1B"/>
    <w:rsid w:val="00D354B1"/>
    <w:rsid w:val="00D3705B"/>
    <w:rsid w:val="00D3740A"/>
    <w:rsid w:val="00D376BA"/>
    <w:rsid w:val="00D41E68"/>
    <w:rsid w:val="00D41FB1"/>
    <w:rsid w:val="00D44855"/>
    <w:rsid w:val="00D450EB"/>
    <w:rsid w:val="00D45468"/>
    <w:rsid w:val="00D45634"/>
    <w:rsid w:val="00D45879"/>
    <w:rsid w:val="00D45B58"/>
    <w:rsid w:val="00D46C5E"/>
    <w:rsid w:val="00D474AD"/>
    <w:rsid w:val="00D500D5"/>
    <w:rsid w:val="00D50C08"/>
    <w:rsid w:val="00D50DBC"/>
    <w:rsid w:val="00D51F1F"/>
    <w:rsid w:val="00D52095"/>
    <w:rsid w:val="00D529A3"/>
    <w:rsid w:val="00D53007"/>
    <w:rsid w:val="00D536F5"/>
    <w:rsid w:val="00D5568A"/>
    <w:rsid w:val="00D5724A"/>
    <w:rsid w:val="00D60330"/>
    <w:rsid w:val="00D62B9A"/>
    <w:rsid w:val="00D63D73"/>
    <w:rsid w:val="00D642A5"/>
    <w:rsid w:val="00D64452"/>
    <w:rsid w:val="00D64F65"/>
    <w:rsid w:val="00D66170"/>
    <w:rsid w:val="00D663EE"/>
    <w:rsid w:val="00D66E1E"/>
    <w:rsid w:val="00D6737C"/>
    <w:rsid w:val="00D72916"/>
    <w:rsid w:val="00D73209"/>
    <w:rsid w:val="00D74E4A"/>
    <w:rsid w:val="00D75722"/>
    <w:rsid w:val="00D75747"/>
    <w:rsid w:val="00D80CF5"/>
    <w:rsid w:val="00D833E4"/>
    <w:rsid w:val="00D8510D"/>
    <w:rsid w:val="00D919E2"/>
    <w:rsid w:val="00D91BEC"/>
    <w:rsid w:val="00D92E72"/>
    <w:rsid w:val="00D935CA"/>
    <w:rsid w:val="00D93A34"/>
    <w:rsid w:val="00D97859"/>
    <w:rsid w:val="00DA075B"/>
    <w:rsid w:val="00DA0D51"/>
    <w:rsid w:val="00DA30AC"/>
    <w:rsid w:val="00DA37C6"/>
    <w:rsid w:val="00DA3E71"/>
    <w:rsid w:val="00DA5BBA"/>
    <w:rsid w:val="00DA75C8"/>
    <w:rsid w:val="00DB26D2"/>
    <w:rsid w:val="00DB287C"/>
    <w:rsid w:val="00DB5120"/>
    <w:rsid w:val="00DB57AC"/>
    <w:rsid w:val="00DB607F"/>
    <w:rsid w:val="00DB66FA"/>
    <w:rsid w:val="00DB67C9"/>
    <w:rsid w:val="00DB68CF"/>
    <w:rsid w:val="00DB7355"/>
    <w:rsid w:val="00DB75CA"/>
    <w:rsid w:val="00DB76E9"/>
    <w:rsid w:val="00DB780C"/>
    <w:rsid w:val="00DC08A9"/>
    <w:rsid w:val="00DC0C95"/>
    <w:rsid w:val="00DC272C"/>
    <w:rsid w:val="00DC40A7"/>
    <w:rsid w:val="00DC4353"/>
    <w:rsid w:val="00DC799B"/>
    <w:rsid w:val="00DD087C"/>
    <w:rsid w:val="00DD13BD"/>
    <w:rsid w:val="00DD549C"/>
    <w:rsid w:val="00DD56C6"/>
    <w:rsid w:val="00DD6580"/>
    <w:rsid w:val="00DE1425"/>
    <w:rsid w:val="00DE4256"/>
    <w:rsid w:val="00DE4F0F"/>
    <w:rsid w:val="00DF3A0E"/>
    <w:rsid w:val="00DF5EA6"/>
    <w:rsid w:val="00DF633E"/>
    <w:rsid w:val="00DF66FB"/>
    <w:rsid w:val="00DF79AB"/>
    <w:rsid w:val="00E0016D"/>
    <w:rsid w:val="00E001EA"/>
    <w:rsid w:val="00E04A9E"/>
    <w:rsid w:val="00E0566B"/>
    <w:rsid w:val="00E065C1"/>
    <w:rsid w:val="00E06B51"/>
    <w:rsid w:val="00E10A29"/>
    <w:rsid w:val="00E10BD1"/>
    <w:rsid w:val="00E127C3"/>
    <w:rsid w:val="00E15083"/>
    <w:rsid w:val="00E15BDD"/>
    <w:rsid w:val="00E15D6E"/>
    <w:rsid w:val="00E166DB"/>
    <w:rsid w:val="00E17C72"/>
    <w:rsid w:val="00E20E0E"/>
    <w:rsid w:val="00E2162D"/>
    <w:rsid w:val="00E21FAB"/>
    <w:rsid w:val="00E21FC6"/>
    <w:rsid w:val="00E24376"/>
    <w:rsid w:val="00E25C69"/>
    <w:rsid w:val="00E3390D"/>
    <w:rsid w:val="00E35AC1"/>
    <w:rsid w:val="00E37AF3"/>
    <w:rsid w:val="00E40A99"/>
    <w:rsid w:val="00E431A9"/>
    <w:rsid w:val="00E44624"/>
    <w:rsid w:val="00E44815"/>
    <w:rsid w:val="00E45251"/>
    <w:rsid w:val="00E50346"/>
    <w:rsid w:val="00E54766"/>
    <w:rsid w:val="00E54976"/>
    <w:rsid w:val="00E54EE6"/>
    <w:rsid w:val="00E57496"/>
    <w:rsid w:val="00E60F0E"/>
    <w:rsid w:val="00E61D90"/>
    <w:rsid w:val="00E61DCC"/>
    <w:rsid w:val="00E64497"/>
    <w:rsid w:val="00E65244"/>
    <w:rsid w:val="00E65985"/>
    <w:rsid w:val="00E65E1B"/>
    <w:rsid w:val="00E665C3"/>
    <w:rsid w:val="00E669E2"/>
    <w:rsid w:val="00E66F64"/>
    <w:rsid w:val="00E67603"/>
    <w:rsid w:val="00E67F59"/>
    <w:rsid w:val="00E70D78"/>
    <w:rsid w:val="00E70E59"/>
    <w:rsid w:val="00E7150E"/>
    <w:rsid w:val="00E72630"/>
    <w:rsid w:val="00E72BA8"/>
    <w:rsid w:val="00E75046"/>
    <w:rsid w:val="00E76135"/>
    <w:rsid w:val="00E77D49"/>
    <w:rsid w:val="00E81902"/>
    <w:rsid w:val="00E82F4F"/>
    <w:rsid w:val="00E83120"/>
    <w:rsid w:val="00E85F9A"/>
    <w:rsid w:val="00E8717E"/>
    <w:rsid w:val="00E87A94"/>
    <w:rsid w:val="00E90250"/>
    <w:rsid w:val="00E916A3"/>
    <w:rsid w:val="00E92563"/>
    <w:rsid w:val="00E93144"/>
    <w:rsid w:val="00E93C65"/>
    <w:rsid w:val="00E9504C"/>
    <w:rsid w:val="00E97AB3"/>
    <w:rsid w:val="00E97DE7"/>
    <w:rsid w:val="00EA0323"/>
    <w:rsid w:val="00EA1851"/>
    <w:rsid w:val="00EA33ED"/>
    <w:rsid w:val="00EA414E"/>
    <w:rsid w:val="00EA5F4F"/>
    <w:rsid w:val="00EA60D0"/>
    <w:rsid w:val="00EB2F1E"/>
    <w:rsid w:val="00EB3FCA"/>
    <w:rsid w:val="00EB4D40"/>
    <w:rsid w:val="00EC0D8A"/>
    <w:rsid w:val="00EC164D"/>
    <w:rsid w:val="00EC1BBF"/>
    <w:rsid w:val="00EC2844"/>
    <w:rsid w:val="00EC3520"/>
    <w:rsid w:val="00EC3689"/>
    <w:rsid w:val="00EC45D6"/>
    <w:rsid w:val="00EC5500"/>
    <w:rsid w:val="00EC73AD"/>
    <w:rsid w:val="00EC7703"/>
    <w:rsid w:val="00ED0A8A"/>
    <w:rsid w:val="00ED18F8"/>
    <w:rsid w:val="00ED3432"/>
    <w:rsid w:val="00ED38BF"/>
    <w:rsid w:val="00ED4A78"/>
    <w:rsid w:val="00ED4C65"/>
    <w:rsid w:val="00ED6EEC"/>
    <w:rsid w:val="00EE1B34"/>
    <w:rsid w:val="00EE4C94"/>
    <w:rsid w:val="00EE4D21"/>
    <w:rsid w:val="00EE50CA"/>
    <w:rsid w:val="00EE5222"/>
    <w:rsid w:val="00EE59C6"/>
    <w:rsid w:val="00EF13BA"/>
    <w:rsid w:val="00EF2B97"/>
    <w:rsid w:val="00EF3266"/>
    <w:rsid w:val="00EF3834"/>
    <w:rsid w:val="00EF3C5E"/>
    <w:rsid w:val="00EF4890"/>
    <w:rsid w:val="00EF4B37"/>
    <w:rsid w:val="00EF6C6C"/>
    <w:rsid w:val="00F00DA9"/>
    <w:rsid w:val="00F04ACA"/>
    <w:rsid w:val="00F056FC"/>
    <w:rsid w:val="00F07A23"/>
    <w:rsid w:val="00F100E9"/>
    <w:rsid w:val="00F10476"/>
    <w:rsid w:val="00F11A54"/>
    <w:rsid w:val="00F11B11"/>
    <w:rsid w:val="00F1213C"/>
    <w:rsid w:val="00F135D8"/>
    <w:rsid w:val="00F153B4"/>
    <w:rsid w:val="00F17829"/>
    <w:rsid w:val="00F210E8"/>
    <w:rsid w:val="00F253F1"/>
    <w:rsid w:val="00F2602C"/>
    <w:rsid w:val="00F27AC4"/>
    <w:rsid w:val="00F301E8"/>
    <w:rsid w:val="00F3046B"/>
    <w:rsid w:val="00F30987"/>
    <w:rsid w:val="00F30B58"/>
    <w:rsid w:val="00F31299"/>
    <w:rsid w:val="00F32D5C"/>
    <w:rsid w:val="00F32EB6"/>
    <w:rsid w:val="00F34DBC"/>
    <w:rsid w:val="00F3534A"/>
    <w:rsid w:val="00F359D8"/>
    <w:rsid w:val="00F365B2"/>
    <w:rsid w:val="00F4036F"/>
    <w:rsid w:val="00F4151C"/>
    <w:rsid w:val="00F43CED"/>
    <w:rsid w:val="00F45362"/>
    <w:rsid w:val="00F47D7A"/>
    <w:rsid w:val="00F51609"/>
    <w:rsid w:val="00F60989"/>
    <w:rsid w:val="00F63641"/>
    <w:rsid w:val="00F65BC6"/>
    <w:rsid w:val="00F66628"/>
    <w:rsid w:val="00F703ED"/>
    <w:rsid w:val="00F737BC"/>
    <w:rsid w:val="00F81006"/>
    <w:rsid w:val="00F812FC"/>
    <w:rsid w:val="00F816A6"/>
    <w:rsid w:val="00F82860"/>
    <w:rsid w:val="00F83073"/>
    <w:rsid w:val="00F84DED"/>
    <w:rsid w:val="00F85325"/>
    <w:rsid w:val="00F86F62"/>
    <w:rsid w:val="00F875EE"/>
    <w:rsid w:val="00F919AB"/>
    <w:rsid w:val="00F93EE3"/>
    <w:rsid w:val="00FA2168"/>
    <w:rsid w:val="00FA3A65"/>
    <w:rsid w:val="00FA4532"/>
    <w:rsid w:val="00FA45FC"/>
    <w:rsid w:val="00FA58CD"/>
    <w:rsid w:val="00FA65A2"/>
    <w:rsid w:val="00FA65A7"/>
    <w:rsid w:val="00FA6BF5"/>
    <w:rsid w:val="00FB27F9"/>
    <w:rsid w:val="00FB464B"/>
    <w:rsid w:val="00FB4F81"/>
    <w:rsid w:val="00FB575B"/>
    <w:rsid w:val="00FB5D5E"/>
    <w:rsid w:val="00FB6000"/>
    <w:rsid w:val="00FB6FF7"/>
    <w:rsid w:val="00FC1518"/>
    <w:rsid w:val="00FC287F"/>
    <w:rsid w:val="00FC3982"/>
    <w:rsid w:val="00FC4C2A"/>
    <w:rsid w:val="00FC7192"/>
    <w:rsid w:val="00FD22B1"/>
    <w:rsid w:val="00FD35E2"/>
    <w:rsid w:val="00FD4214"/>
    <w:rsid w:val="00FD5AFC"/>
    <w:rsid w:val="00FD6150"/>
    <w:rsid w:val="00FD73E9"/>
    <w:rsid w:val="00FD7E28"/>
    <w:rsid w:val="00FE3DA9"/>
    <w:rsid w:val="00FE3EA9"/>
    <w:rsid w:val="00FE5397"/>
    <w:rsid w:val="00FE5654"/>
    <w:rsid w:val="00FE5773"/>
    <w:rsid w:val="00FE668F"/>
    <w:rsid w:val="00FF00C5"/>
    <w:rsid w:val="00FF2661"/>
    <w:rsid w:val="00FF33D0"/>
    <w:rsid w:val="00FF4194"/>
    <w:rsid w:val="00FF5E08"/>
    <w:rsid w:val="00FF7306"/>
    <w:rsid w:val="00FF7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3679F"/>
    <w:rPr>
      <w:sz w:val="24"/>
      <w:szCs w:val="24"/>
    </w:rPr>
  </w:style>
  <w:style w:type="paragraph" w:styleId="Heading1">
    <w:name w:val="heading 1"/>
    <w:basedOn w:val="BodyText"/>
    <w:next w:val="BodyText"/>
    <w:rsid w:val="0013679F"/>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13679F"/>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13679F"/>
    <w:pPr>
      <w:spacing w:before="560" w:line="320" w:lineRule="exact"/>
      <w:ind w:left="0" w:firstLine="0"/>
      <w:outlineLvl w:val="2"/>
    </w:pPr>
    <w:rPr>
      <w:sz w:val="26"/>
    </w:rPr>
  </w:style>
  <w:style w:type="paragraph" w:styleId="Heading4">
    <w:name w:val="heading 4"/>
    <w:basedOn w:val="Heading3"/>
    <w:next w:val="BodyText"/>
    <w:qFormat/>
    <w:rsid w:val="0013679F"/>
    <w:pPr>
      <w:spacing w:before="480"/>
      <w:outlineLvl w:val="3"/>
    </w:pPr>
    <w:rPr>
      <w:b w:val="0"/>
      <w:sz w:val="24"/>
    </w:rPr>
  </w:style>
  <w:style w:type="paragraph" w:styleId="Heading5">
    <w:name w:val="heading 5"/>
    <w:basedOn w:val="Heading4"/>
    <w:next w:val="BodyText"/>
    <w:link w:val="Heading5Char"/>
    <w:qFormat/>
    <w:rsid w:val="0013679F"/>
    <w:pPr>
      <w:outlineLvl w:val="4"/>
    </w:pPr>
    <w:rPr>
      <w:i/>
      <w:sz w:val="22"/>
    </w:rPr>
  </w:style>
  <w:style w:type="paragraph" w:styleId="Heading6">
    <w:name w:val="heading 6"/>
    <w:basedOn w:val="BodyText"/>
    <w:next w:val="BodyText"/>
    <w:rsid w:val="0013679F"/>
    <w:pPr>
      <w:spacing w:after="60"/>
      <w:jc w:val="left"/>
      <w:outlineLvl w:val="5"/>
    </w:pPr>
    <w:rPr>
      <w:i/>
      <w:sz w:val="22"/>
    </w:rPr>
  </w:style>
  <w:style w:type="paragraph" w:styleId="Heading7">
    <w:name w:val="heading 7"/>
    <w:basedOn w:val="BodyText"/>
    <w:next w:val="BodyText"/>
    <w:rsid w:val="0013679F"/>
    <w:pPr>
      <w:spacing w:after="60" w:line="240" w:lineRule="auto"/>
      <w:jc w:val="left"/>
      <w:outlineLvl w:val="6"/>
    </w:pPr>
    <w:rPr>
      <w:rFonts w:ascii="Arial" w:hAnsi="Arial"/>
      <w:sz w:val="20"/>
    </w:rPr>
  </w:style>
  <w:style w:type="paragraph" w:styleId="Heading8">
    <w:name w:val="heading 8"/>
    <w:basedOn w:val="BodyText"/>
    <w:next w:val="BodyText"/>
    <w:rsid w:val="0013679F"/>
    <w:pPr>
      <w:spacing w:after="60" w:line="240" w:lineRule="auto"/>
      <w:jc w:val="left"/>
      <w:outlineLvl w:val="7"/>
    </w:pPr>
    <w:rPr>
      <w:rFonts w:ascii="Arial" w:hAnsi="Arial"/>
      <w:i/>
      <w:sz w:val="20"/>
    </w:rPr>
  </w:style>
  <w:style w:type="paragraph" w:styleId="Heading9">
    <w:name w:val="heading 9"/>
    <w:basedOn w:val="BodyText"/>
    <w:next w:val="BodyText"/>
    <w:rsid w:val="0013679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1367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679F"/>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13679F"/>
    <w:pPr>
      <w:spacing w:before="240" w:line="300" w:lineRule="atLeast"/>
      <w:jc w:val="both"/>
    </w:pPr>
    <w:rPr>
      <w:sz w:val="24"/>
    </w:rPr>
  </w:style>
  <w:style w:type="paragraph" w:styleId="Footer">
    <w:name w:val="footer"/>
    <w:basedOn w:val="BodyText"/>
    <w:link w:val="FooterChar"/>
    <w:rsid w:val="0013679F"/>
    <w:pPr>
      <w:spacing w:before="80" w:line="200" w:lineRule="exact"/>
      <w:ind w:right="6"/>
      <w:jc w:val="left"/>
    </w:pPr>
    <w:rPr>
      <w:rFonts w:ascii="Arial" w:hAnsi="Arial"/>
      <w:caps/>
      <w:spacing w:val="-4"/>
      <w:sz w:val="16"/>
    </w:rPr>
  </w:style>
  <w:style w:type="paragraph" w:customStyle="1" w:styleId="FooterEnd">
    <w:name w:val="Footer End"/>
    <w:basedOn w:val="Footer"/>
    <w:rsid w:val="0013679F"/>
    <w:pPr>
      <w:spacing w:before="0" w:line="20" w:lineRule="exact"/>
    </w:pPr>
  </w:style>
  <w:style w:type="paragraph" w:styleId="Header">
    <w:name w:val="header"/>
    <w:basedOn w:val="BodyText"/>
    <w:rsid w:val="0013679F"/>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13679F"/>
    <w:pPr>
      <w:spacing w:line="20" w:lineRule="exact"/>
    </w:pPr>
    <w:rPr>
      <w:sz w:val="16"/>
    </w:rPr>
  </w:style>
  <w:style w:type="paragraph" w:customStyle="1" w:styleId="HeaderEven">
    <w:name w:val="Header Even"/>
    <w:basedOn w:val="Header"/>
    <w:semiHidden/>
    <w:rsid w:val="0013679F"/>
  </w:style>
  <w:style w:type="paragraph" w:customStyle="1" w:styleId="HeaderOdd">
    <w:name w:val="Header Odd"/>
    <w:basedOn w:val="Header"/>
    <w:semiHidden/>
    <w:rsid w:val="0013679F"/>
  </w:style>
  <w:style w:type="character" w:styleId="PageNumber">
    <w:name w:val="page number"/>
    <w:basedOn w:val="DefaultParagraphFont"/>
    <w:rsid w:val="0013679F"/>
    <w:rPr>
      <w:rFonts w:ascii="Arial" w:hAnsi="Arial"/>
      <w:b/>
      <w:sz w:val="16"/>
    </w:rPr>
  </w:style>
  <w:style w:type="paragraph" w:customStyle="1" w:styleId="Abbreviation">
    <w:name w:val="Abbreviation"/>
    <w:basedOn w:val="BodyText"/>
    <w:rsid w:val="0013679F"/>
    <w:pPr>
      <w:spacing w:before="120"/>
      <w:ind w:left="2381" w:hanging="2381"/>
      <w:jc w:val="left"/>
    </w:pPr>
  </w:style>
  <w:style w:type="paragraph" w:customStyle="1" w:styleId="Box">
    <w:name w:val="Box"/>
    <w:basedOn w:val="BodyText"/>
    <w:link w:val="BoxChar"/>
    <w:qFormat/>
    <w:rsid w:val="0013679F"/>
    <w:pPr>
      <w:keepNext/>
      <w:spacing w:before="120" w:line="260" w:lineRule="atLeast"/>
    </w:pPr>
    <w:rPr>
      <w:rFonts w:ascii="Arial" w:hAnsi="Arial"/>
      <w:sz w:val="20"/>
    </w:rPr>
  </w:style>
  <w:style w:type="paragraph" w:customStyle="1" w:styleId="BoxContinued">
    <w:name w:val="Box Continued"/>
    <w:basedOn w:val="BodyText"/>
    <w:next w:val="BodyText"/>
    <w:semiHidden/>
    <w:rsid w:val="0013679F"/>
    <w:pPr>
      <w:spacing w:before="180" w:line="220" w:lineRule="exact"/>
      <w:jc w:val="right"/>
    </w:pPr>
    <w:rPr>
      <w:rFonts w:ascii="Arial" w:hAnsi="Arial"/>
      <w:sz w:val="18"/>
    </w:rPr>
  </w:style>
  <w:style w:type="paragraph" w:customStyle="1" w:styleId="BoxHeading1">
    <w:name w:val="Box Heading 1"/>
    <w:basedOn w:val="BodyText"/>
    <w:next w:val="Box"/>
    <w:rsid w:val="0013679F"/>
    <w:pPr>
      <w:keepNext/>
      <w:spacing w:before="200" w:line="280" w:lineRule="atLeast"/>
    </w:pPr>
    <w:rPr>
      <w:rFonts w:ascii="Arial" w:hAnsi="Arial"/>
      <w:b/>
      <w:sz w:val="22"/>
    </w:rPr>
  </w:style>
  <w:style w:type="paragraph" w:customStyle="1" w:styleId="BoxHeading2">
    <w:name w:val="Box Heading 2"/>
    <w:basedOn w:val="BoxHeading1"/>
    <w:next w:val="Normal"/>
    <w:rsid w:val="0013679F"/>
    <w:rPr>
      <w:b w:val="0"/>
      <w:i/>
    </w:rPr>
  </w:style>
  <w:style w:type="paragraph" w:customStyle="1" w:styleId="BoxListBullet">
    <w:name w:val="Box List Bullet"/>
    <w:basedOn w:val="BodyText"/>
    <w:rsid w:val="0013679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13679F"/>
    <w:pPr>
      <w:numPr>
        <w:numId w:val="16"/>
      </w:numPr>
      <w:ind w:left="568" w:hanging="284"/>
    </w:pPr>
  </w:style>
  <w:style w:type="paragraph" w:customStyle="1" w:styleId="BoxListNumber">
    <w:name w:val="Box List Number"/>
    <w:basedOn w:val="BodyText"/>
    <w:rsid w:val="0013679F"/>
    <w:pPr>
      <w:keepNext/>
      <w:numPr>
        <w:numId w:val="12"/>
      </w:numPr>
      <w:spacing w:before="100" w:line="260" w:lineRule="atLeast"/>
    </w:pPr>
    <w:rPr>
      <w:rFonts w:ascii="Arial" w:hAnsi="Arial"/>
      <w:sz w:val="20"/>
    </w:rPr>
  </w:style>
  <w:style w:type="paragraph" w:customStyle="1" w:styleId="BoxListNumber2">
    <w:name w:val="Box List Number 2"/>
    <w:basedOn w:val="BoxListNumber"/>
    <w:rsid w:val="0013679F"/>
    <w:pPr>
      <w:numPr>
        <w:ilvl w:val="1"/>
      </w:numPr>
      <w:ind w:left="681" w:hanging="397"/>
    </w:pPr>
  </w:style>
  <w:style w:type="paragraph" w:customStyle="1" w:styleId="BoxQuote">
    <w:name w:val="Box Quote"/>
    <w:basedOn w:val="BodyText"/>
    <w:next w:val="Box"/>
    <w:qFormat/>
    <w:rsid w:val="0013679F"/>
    <w:pPr>
      <w:keepNext/>
      <w:spacing w:before="60" w:line="240" w:lineRule="exact"/>
      <w:ind w:left="284"/>
    </w:pPr>
    <w:rPr>
      <w:rFonts w:ascii="Arial" w:hAnsi="Arial"/>
      <w:sz w:val="18"/>
    </w:rPr>
  </w:style>
  <w:style w:type="paragraph" w:customStyle="1" w:styleId="Note">
    <w:name w:val="Note"/>
    <w:basedOn w:val="BodyText"/>
    <w:next w:val="BodyText"/>
    <w:rsid w:val="0013679F"/>
    <w:pPr>
      <w:keepLines/>
      <w:spacing w:before="80" w:line="220" w:lineRule="exact"/>
    </w:pPr>
    <w:rPr>
      <w:rFonts w:ascii="Arial" w:hAnsi="Arial"/>
      <w:sz w:val="18"/>
    </w:rPr>
  </w:style>
  <w:style w:type="paragraph" w:customStyle="1" w:styleId="Source">
    <w:name w:val="Source"/>
    <w:basedOn w:val="Normal"/>
    <w:next w:val="BodyText"/>
    <w:rsid w:val="0013679F"/>
    <w:pPr>
      <w:keepLines/>
      <w:spacing w:before="80" w:line="220" w:lineRule="exact"/>
      <w:jc w:val="both"/>
    </w:pPr>
    <w:rPr>
      <w:rFonts w:ascii="Arial" w:hAnsi="Arial"/>
      <w:sz w:val="18"/>
      <w:szCs w:val="20"/>
    </w:rPr>
  </w:style>
  <w:style w:type="paragraph" w:customStyle="1" w:styleId="BoxSource">
    <w:name w:val="Box Source"/>
    <w:basedOn w:val="Source"/>
    <w:next w:val="BodyText"/>
    <w:rsid w:val="0013679F"/>
    <w:pPr>
      <w:spacing w:before="120"/>
    </w:pPr>
  </w:style>
  <w:style w:type="paragraph" w:customStyle="1" w:styleId="BoxSpaceAbove">
    <w:name w:val="Box Space Above"/>
    <w:basedOn w:val="BodyText"/>
    <w:rsid w:val="0013679F"/>
    <w:pPr>
      <w:keepNext/>
      <w:spacing w:before="360" w:line="80" w:lineRule="exact"/>
      <w:jc w:val="left"/>
    </w:pPr>
  </w:style>
  <w:style w:type="paragraph" w:styleId="Caption">
    <w:name w:val="caption"/>
    <w:basedOn w:val="Normal"/>
    <w:next w:val="BodyText"/>
    <w:rsid w:val="0013679F"/>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13679F"/>
    <w:pPr>
      <w:spacing w:before="120" w:after="0"/>
    </w:pPr>
  </w:style>
  <w:style w:type="paragraph" w:customStyle="1" w:styleId="BoxSubtitle">
    <w:name w:val="Box Subtitle"/>
    <w:basedOn w:val="BoxTitle"/>
    <w:next w:val="Normal"/>
    <w:rsid w:val="0013679F"/>
    <w:pPr>
      <w:spacing w:after="80" w:line="200" w:lineRule="exact"/>
      <w:ind w:firstLine="0"/>
    </w:pPr>
    <w:rPr>
      <w:b w:val="0"/>
      <w:sz w:val="20"/>
    </w:rPr>
  </w:style>
  <w:style w:type="paragraph" w:customStyle="1" w:styleId="Chapter">
    <w:name w:val="Chapter"/>
    <w:basedOn w:val="Heading1"/>
    <w:next w:val="BodyText"/>
    <w:semiHidden/>
    <w:rsid w:val="0013679F"/>
    <w:pPr>
      <w:ind w:left="0" w:firstLine="0"/>
      <w:outlineLvl w:val="9"/>
    </w:pPr>
  </w:style>
  <w:style w:type="paragraph" w:customStyle="1" w:styleId="ChapterSummary">
    <w:name w:val="Chapter Summary"/>
    <w:basedOn w:val="BodyText"/>
    <w:rsid w:val="0013679F"/>
    <w:pPr>
      <w:spacing w:line="280" w:lineRule="atLeast"/>
      <w:ind w:left="907"/>
    </w:pPr>
    <w:rPr>
      <w:rFonts w:ascii="Arial" w:hAnsi="Arial"/>
      <w:b/>
      <w:sz w:val="20"/>
    </w:rPr>
  </w:style>
  <w:style w:type="character" w:styleId="CommentReference">
    <w:name w:val="annotation reference"/>
    <w:basedOn w:val="DefaultParagraphFont"/>
    <w:semiHidden/>
    <w:rsid w:val="0013679F"/>
    <w:rPr>
      <w:b/>
      <w:vanish/>
      <w:color w:val="FF00FF"/>
      <w:sz w:val="20"/>
    </w:rPr>
  </w:style>
  <w:style w:type="paragraph" w:styleId="CommentText">
    <w:name w:val="annotation text"/>
    <w:basedOn w:val="Normal"/>
    <w:link w:val="CommentTextChar"/>
    <w:semiHidden/>
    <w:rsid w:val="0013679F"/>
    <w:pPr>
      <w:spacing w:before="120" w:line="240" w:lineRule="atLeast"/>
      <w:ind w:left="567" w:hanging="567"/>
    </w:pPr>
    <w:rPr>
      <w:sz w:val="20"/>
    </w:rPr>
  </w:style>
  <w:style w:type="paragraph" w:customStyle="1" w:styleId="Continued">
    <w:name w:val="Continued"/>
    <w:basedOn w:val="BoxContinued"/>
    <w:next w:val="BodyText"/>
    <w:rsid w:val="0013679F"/>
  </w:style>
  <w:style w:type="character" w:customStyle="1" w:styleId="DocumentInfo">
    <w:name w:val="Document Info"/>
    <w:basedOn w:val="DefaultParagraphFont"/>
    <w:semiHidden/>
    <w:rsid w:val="0013679F"/>
    <w:rPr>
      <w:rFonts w:ascii="Arial" w:hAnsi="Arial"/>
      <w:sz w:val="14"/>
    </w:rPr>
  </w:style>
  <w:style w:type="character" w:customStyle="1" w:styleId="DraftingNote">
    <w:name w:val="Drafting Note"/>
    <w:basedOn w:val="DefaultParagraphFont"/>
    <w:rsid w:val="0013679F"/>
    <w:rPr>
      <w:b/>
      <w:color w:val="FF0000"/>
      <w:sz w:val="24"/>
      <w:u w:val="dotted"/>
    </w:rPr>
  </w:style>
  <w:style w:type="paragraph" w:customStyle="1" w:styleId="Figure">
    <w:name w:val="Figure"/>
    <w:basedOn w:val="BodyText"/>
    <w:rsid w:val="0013679F"/>
    <w:pPr>
      <w:keepNext/>
      <w:spacing w:before="120" w:after="120" w:line="240" w:lineRule="atLeast"/>
      <w:jc w:val="center"/>
    </w:pPr>
  </w:style>
  <w:style w:type="paragraph" w:customStyle="1" w:styleId="FigureTitle">
    <w:name w:val="Figure Title"/>
    <w:basedOn w:val="Caption"/>
    <w:next w:val="Subtitle"/>
    <w:rsid w:val="0013679F"/>
    <w:pPr>
      <w:spacing w:before="120"/>
    </w:pPr>
  </w:style>
  <w:style w:type="paragraph" w:styleId="Subtitle">
    <w:name w:val="Subtitle"/>
    <w:basedOn w:val="Caption"/>
    <w:link w:val="SubtitleChar"/>
    <w:qFormat/>
    <w:rsid w:val="0013679F"/>
    <w:pPr>
      <w:spacing w:before="0" w:line="200" w:lineRule="exact"/>
      <w:ind w:firstLine="0"/>
    </w:pPr>
    <w:rPr>
      <w:b w:val="0"/>
      <w:sz w:val="20"/>
    </w:rPr>
  </w:style>
  <w:style w:type="paragraph" w:customStyle="1" w:styleId="Finding">
    <w:name w:val="Finding"/>
    <w:basedOn w:val="BodyText"/>
    <w:rsid w:val="0013679F"/>
    <w:pPr>
      <w:keepLines/>
      <w:spacing w:before="120" w:line="280" w:lineRule="atLeast"/>
    </w:pPr>
    <w:rPr>
      <w:rFonts w:ascii="Arial" w:hAnsi="Arial"/>
      <w:sz w:val="22"/>
    </w:rPr>
  </w:style>
  <w:style w:type="paragraph" w:customStyle="1" w:styleId="FindingBullet">
    <w:name w:val="Finding Bullet"/>
    <w:basedOn w:val="Finding"/>
    <w:rsid w:val="0013679F"/>
    <w:pPr>
      <w:numPr>
        <w:numId w:val="2"/>
      </w:numPr>
      <w:spacing w:before="80"/>
    </w:pPr>
  </w:style>
  <w:style w:type="paragraph" w:customStyle="1" w:styleId="FindingNoTitle">
    <w:name w:val="Finding NoTitle"/>
    <w:basedOn w:val="Finding"/>
    <w:semiHidden/>
    <w:rsid w:val="0013679F"/>
    <w:pPr>
      <w:spacing w:before="240"/>
    </w:pPr>
  </w:style>
  <w:style w:type="paragraph" w:customStyle="1" w:styleId="RecTitle">
    <w:name w:val="Rec Title"/>
    <w:basedOn w:val="BodyText"/>
    <w:next w:val="Rec"/>
    <w:qFormat/>
    <w:rsid w:val="0013679F"/>
    <w:pPr>
      <w:keepNext/>
      <w:keepLines/>
      <w:spacing w:line="280" w:lineRule="atLeast"/>
    </w:pPr>
    <w:rPr>
      <w:rFonts w:ascii="Arial" w:hAnsi="Arial"/>
      <w:caps/>
      <w:sz w:val="18"/>
    </w:rPr>
  </w:style>
  <w:style w:type="paragraph" w:customStyle="1" w:styleId="FindingTitle">
    <w:name w:val="Finding Title"/>
    <w:basedOn w:val="RecTitle"/>
    <w:next w:val="Finding"/>
    <w:rsid w:val="0013679F"/>
  </w:style>
  <w:style w:type="character" w:styleId="FootnoteReference">
    <w:name w:val="footnote reference"/>
    <w:basedOn w:val="DefaultParagraphFont"/>
    <w:semiHidden/>
    <w:rsid w:val="0013679F"/>
    <w:rPr>
      <w:rFonts w:ascii="Times New Roman" w:hAnsi="Times New Roman"/>
      <w:position w:val="6"/>
      <w:sz w:val="20"/>
      <w:vertAlign w:val="baseline"/>
    </w:rPr>
  </w:style>
  <w:style w:type="paragraph" w:styleId="FootnoteText">
    <w:name w:val="footnote text"/>
    <w:basedOn w:val="BodyText"/>
    <w:rsid w:val="0013679F"/>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13679F"/>
    <w:rPr>
      <w:i/>
    </w:rPr>
  </w:style>
  <w:style w:type="paragraph" w:customStyle="1" w:styleId="Jurisdictioncommentsbodytext">
    <w:name w:val="Jurisdiction comments body text"/>
    <w:rsid w:val="0013679F"/>
    <w:pPr>
      <w:spacing w:after="140"/>
      <w:jc w:val="both"/>
    </w:pPr>
    <w:rPr>
      <w:rFonts w:ascii="Arial" w:hAnsi="Arial"/>
      <w:sz w:val="24"/>
      <w:lang w:eastAsia="en-US"/>
    </w:rPr>
  </w:style>
  <w:style w:type="paragraph" w:customStyle="1" w:styleId="Jurisdictioncommentsheading">
    <w:name w:val="Jurisdiction comments heading"/>
    <w:rsid w:val="0013679F"/>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13679F"/>
    <w:pPr>
      <w:numPr>
        <w:numId w:val="3"/>
      </w:numPr>
      <w:spacing w:after="140"/>
      <w:jc w:val="both"/>
    </w:pPr>
    <w:rPr>
      <w:rFonts w:ascii="Arial" w:hAnsi="Arial"/>
      <w:sz w:val="24"/>
      <w:lang w:eastAsia="en-US"/>
    </w:rPr>
  </w:style>
  <w:style w:type="paragraph" w:styleId="ListBullet">
    <w:name w:val="List Bullet"/>
    <w:basedOn w:val="BodyText"/>
    <w:rsid w:val="0013679F"/>
    <w:pPr>
      <w:numPr>
        <w:numId w:val="4"/>
      </w:numPr>
      <w:spacing w:before="120"/>
    </w:pPr>
  </w:style>
  <w:style w:type="paragraph" w:styleId="ListBullet2">
    <w:name w:val="List Bullet 2"/>
    <w:basedOn w:val="BodyText"/>
    <w:rsid w:val="0013679F"/>
    <w:pPr>
      <w:numPr>
        <w:numId w:val="5"/>
      </w:numPr>
      <w:spacing w:before="120"/>
    </w:pPr>
  </w:style>
  <w:style w:type="paragraph" w:styleId="ListBullet3">
    <w:name w:val="List Bullet 3"/>
    <w:basedOn w:val="BodyText"/>
    <w:rsid w:val="0013679F"/>
    <w:pPr>
      <w:numPr>
        <w:numId w:val="6"/>
      </w:numPr>
      <w:spacing w:before="120"/>
      <w:ind w:left="1020" w:hanging="340"/>
    </w:pPr>
  </w:style>
  <w:style w:type="paragraph" w:styleId="ListNumber">
    <w:name w:val="List Number"/>
    <w:basedOn w:val="BodyText"/>
    <w:rsid w:val="0013679F"/>
    <w:pPr>
      <w:numPr>
        <w:numId w:val="11"/>
      </w:numPr>
      <w:spacing w:before="120"/>
    </w:pPr>
  </w:style>
  <w:style w:type="paragraph" w:styleId="ListNumber2">
    <w:name w:val="List Number 2"/>
    <w:basedOn w:val="ListNumber"/>
    <w:rsid w:val="0013679F"/>
    <w:pPr>
      <w:numPr>
        <w:ilvl w:val="1"/>
      </w:numPr>
    </w:pPr>
  </w:style>
  <w:style w:type="paragraph" w:styleId="ListNumber3">
    <w:name w:val="List Number 3"/>
    <w:basedOn w:val="ListNumber2"/>
    <w:rsid w:val="0013679F"/>
    <w:pPr>
      <w:numPr>
        <w:ilvl w:val="2"/>
      </w:numPr>
    </w:pPr>
  </w:style>
  <w:style w:type="character" w:customStyle="1" w:styleId="NoteLabel">
    <w:name w:val="Note Label"/>
    <w:basedOn w:val="DefaultParagraphFont"/>
    <w:rsid w:val="0013679F"/>
    <w:rPr>
      <w:rFonts w:ascii="Arial" w:hAnsi="Arial"/>
      <w:b/>
      <w:position w:val="6"/>
      <w:sz w:val="18"/>
    </w:rPr>
  </w:style>
  <w:style w:type="paragraph" w:customStyle="1" w:styleId="PartDivider">
    <w:name w:val="Part Divider"/>
    <w:basedOn w:val="BodyText"/>
    <w:next w:val="BodyText"/>
    <w:semiHidden/>
    <w:rsid w:val="0013679F"/>
    <w:pPr>
      <w:spacing w:before="0" w:line="40" w:lineRule="exact"/>
      <w:jc w:val="right"/>
    </w:pPr>
    <w:rPr>
      <w:smallCaps/>
      <w:sz w:val="16"/>
    </w:rPr>
  </w:style>
  <w:style w:type="paragraph" w:customStyle="1" w:styleId="PartNumber">
    <w:name w:val="Part Number"/>
    <w:basedOn w:val="BodyText"/>
    <w:next w:val="BodyText"/>
    <w:semiHidden/>
    <w:rsid w:val="0013679F"/>
    <w:pPr>
      <w:spacing w:before="4000" w:line="320" w:lineRule="exact"/>
      <w:ind w:left="6634"/>
      <w:jc w:val="right"/>
    </w:pPr>
    <w:rPr>
      <w:smallCaps/>
      <w:spacing w:val="60"/>
      <w:sz w:val="32"/>
    </w:rPr>
  </w:style>
  <w:style w:type="paragraph" w:customStyle="1" w:styleId="PartTitle">
    <w:name w:val="Part Title"/>
    <w:basedOn w:val="BodyText"/>
    <w:semiHidden/>
    <w:rsid w:val="0013679F"/>
    <w:pPr>
      <w:spacing w:before="160" w:after="1360" w:line="520" w:lineRule="exact"/>
      <w:ind w:right="2381"/>
      <w:jc w:val="right"/>
    </w:pPr>
    <w:rPr>
      <w:smallCaps/>
      <w:sz w:val="52"/>
    </w:rPr>
  </w:style>
  <w:style w:type="paragraph" w:styleId="Quote">
    <w:name w:val="Quote"/>
    <w:basedOn w:val="BodyText"/>
    <w:next w:val="BodyText"/>
    <w:qFormat/>
    <w:rsid w:val="0013679F"/>
    <w:pPr>
      <w:spacing w:before="120" w:line="280" w:lineRule="exact"/>
      <w:ind w:left="340"/>
    </w:pPr>
    <w:rPr>
      <w:sz w:val="22"/>
    </w:rPr>
  </w:style>
  <w:style w:type="paragraph" w:customStyle="1" w:styleId="QuoteBullet">
    <w:name w:val="Quote Bullet"/>
    <w:basedOn w:val="Quote"/>
    <w:rsid w:val="0013679F"/>
    <w:pPr>
      <w:numPr>
        <w:numId w:val="7"/>
      </w:numPr>
    </w:pPr>
  </w:style>
  <w:style w:type="paragraph" w:customStyle="1" w:styleId="Rec">
    <w:name w:val="Rec"/>
    <w:basedOn w:val="BodyText"/>
    <w:qFormat/>
    <w:rsid w:val="0013679F"/>
    <w:pPr>
      <w:keepLines/>
      <w:spacing w:before="120" w:line="280" w:lineRule="atLeast"/>
    </w:pPr>
    <w:rPr>
      <w:rFonts w:ascii="Arial" w:hAnsi="Arial"/>
      <w:sz w:val="22"/>
    </w:rPr>
  </w:style>
  <w:style w:type="paragraph" w:customStyle="1" w:styleId="RecBullet">
    <w:name w:val="Rec Bullet"/>
    <w:basedOn w:val="Rec"/>
    <w:rsid w:val="0013679F"/>
    <w:pPr>
      <w:numPr>
        <w:numId w:val="8"/>
      </w:numPr>
      <w:spacing w:before="80"/>
    </w:pPr>
  </w:style>
  <w:style w:type="paragraph" w:customStyle="1" w:styleId="RecB">
    <w:name w:val="RecB"/>
    <w:basedOn w:val="Normal"/>
    <w:semiHidden/>
    <w:rsid w:val="0013679F"/>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13679F"/>
    <w:pPr>
      <w:numPr>
        <w:numId w:val="13"/>
      </w:numPr>
      <w:spacing w:before="80"/>
    </w:pPr>
  </w:style>
  <w:style w:type="paragraph" w:customStyle="1" w:styleId="RecBNoTitle">
    <w:name w:val="RecB NoTitle"/>
    <w:basedOn w:val="RecB"/>
    <w:semiHidden/>
    <w:rsid w:val="0013679F"/>
    <w:pPr>
      <w:spacing w:before="240"/>
    </w:pPr>
  </w:style>
  <w:style w:type="paragraph" w:customStyle="1" w:styleId="Reference">
    <w:name w:val="Reference"/>
    <w:basedOn w:val="BodyText"/>
    <w:rsid w:val="0013679F"/>
    <w:pPr>
      <w:spacing w:before="120"/>
      <w:ind w:left="340" w:hanging="340"/>
    </w:pPr>
  </w:style>
  <w:style w:type="paragraph" w:customStyle="1" w:styleId="SequenceInfo">
    <w:name w:val="Sequence Info"/>
    <w:basedOn w:val="BodyText"/>
    <w:semiHidden/>
    <w:rsid w:val="0013679F"/>
    <w:rPr>
      <w:vanish/>
      <w:sz w:val="16"/>
    </w:rPr>
  </w:style>
  <w:style w:type="paragraph" w:customStyle="1" w:styleId="SideNote">
    <w:name w:val="Side Note"/>
    <w:basedOn w:val="BodyText"/>
    <w:next w:val="BodyText"/>
    <w:semiHidden/>
    <w:rsid w:val="0013679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13679F"/>
    <w:pPr>
      <w:framePr w:wrap="around"/>
      <w:numPr>
        <w:numId w:val="9"/>
      </w:numPr>
      <w:tabs>
        <w:tab w:val="left" w:pos="227"/>
      </w:tabs>
    </w:pPr>
  </w:style>
  <w:style w:type="paragraph" w:customStyle="1" w:styleId="SideNoteGraphic">
    <w:name w:val="Side Note Graphic"/>
    <w:basedOn w:val="SideNote"/>
    <w:next w:val="BodyText"/>
    <w:semiHidden/>
    <w:rsid w:val="0013679F"/>
    <w:pPr>
      <w:framePr w:wrap="around"/>
    </w:pPr>
  </w:style>
  <w:style w:type="paragraph" w:customStyle="1" w:styleId="TableBodyText">
    <w:name w:val="Table Body Text"/>
    <w:basedOn w:val="BodyText"/>
    <w:rsid w:val="0013679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13679F"/>
    <w:pPr>
      <w:numPr>
        <w:numId w:val="10"/>
      </w:numPr>
      <w:jc w:val="left"/>
    </w:pPr>
  </w:style>
  <w:style w:type="paragraph" w:customStyle="1" w:styleId="TableColumnHeading">
    <w:name w:val="Table Column Heading"/>
    <w:basedOn w:val="TableBodyText"/>
    <w:rsid w:val="0013679F"/>
    <w:pPr>
      <w:spacing w:before="80" w:after="80"/>
    </w:pPr>
    <w:rPr>
      <w:i/>
    </w:rPr>
  </w:style>
  <w:style w:type="paragraph" w:styleId="TOC2">
    <w:name w:val="toc 2"/>
    <w:basedOn w:val="TOC1"/>
    <w:rsid w:val="0013679F"/>
    <w:pPr>
      <w:ind w:left="1134" w:hanging="624"/>
    </w:pPr>
    <w:rPr>
      <w:b w:val="0"/>
    </w:rPr>
  </w:style>
  <w:style w:type="paragraph" w:styleId="TOC3">
    <w:name w:val="toc 3"/>
    <w:basedOn w:val="TOC2"/>
    <w:rsid w:val="0013679F"/>
    <w:pPr>
      <w:spacing w:before="60"/>
      <w:ind w:left="1190" w:hanging="680"/>
    </w:pPr>
  </w:style>
  <w:style w:type="paragraph" w:styleId="TableofFigures">
    <w:name w:val="table of figures"/>
    <w:basedOn w:val="TOC3"/>
    <w:next w:val="BodyText"/>
    <w:semiHidden/>
    <w:rsid w:val="0013679F"/>
    <w:pPr>
      <w:ind w:left="737" w:hanging="737"/>
    </w:pPr>
  </w:style>
  <w:style w:type="paragraph" w:customStyle="1" w:styleId="TableTitle">
    <w:name w:val="Table Title"/>
    <w:basedOn w:val="Caption"/>
    <w:next w:val="Subtitle"/>
    <w:qFormat/>
    <w:rsid w:val="0013679F"/>
    <w:pPr>
      <w:spacing w:before="120"/>
    </w:pPr>
  </w:style>
  <w:style w:type="paragraph" w:customStyle="1" w:styleId="TableUnitsRow">
    <w:name w:val="Table Units Row"/>
    <w:basedOn w:val="TableBodyText"/>
    <w:rsid w:val="0013679F"/>
    <w:pPr>
      <w:spacing w:before="40"/>
    </w:pPr>
  </w:style>
  <w:style w:type="paragraph" w:styleId="TOC1">
    <w:name w:val="toc 1"/>
    <w:basedOn w:val="Normal"/>
    <w:next w:val="TOC2"/>
    <w:link w:val="TOC1Char"/>
    <w:rsid w:val="0013679F"/>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13679F"/>
    <w:pPr>
      <w:ind w:left="1191" w:firstLine="0"/>
    </w:pPr>
  </w:style>
  <w:style w:type="paragraph" w:customStyle="1" w:styleId="RecBBullet2">
    <w:name w:val="RecB Bullet 2"/>
    <w:basedOn w:val="ListBullet2"/>
    <w:semiHidden/>
    <w:rsid w:val="0013679F"/>
    <w:pPr>
      <w:pBdr>
        <w:left w:val="single" w:sz="24" w:space="29" w:color="C0C0C0"/>
      </w:pBdr>
    </w:pPr>
    <w:rPr>
      <w:b/>
      <w:i/>
    </w:rPr>
  </w:style>
  <w:style w:type="paragraph" w:styleId="BalloonText">
    <w:name w:val="Balloon Text"/>
    <w:basedOn w:val="Normal"/>
    <w:link w:val="BalloonTextChar"/>
    <w:rsid w:val="0013679F"/>
    <w:rPr>
      <w:rFonts w:ascii="Tahoma" w:hAnsi="Tahoma" w:cs="Tahoma"/>
      <w:sz w:val="16"/>
      <w:szCs w:val="16"/>
    </w:rPr>
  </w:style>
  <w:style w:type="character" w:customStyle="1" w:styleId="BalloonTextChar">
    <w:name w:val="Balloon Text Char"/>
    <w:basedOn w:val="DefaultParagraphFont"/>
    <w:link w:val="BalloonText"/>
    <w:rsid w:val="0013679F"/>
    <w:rPr>
      <w:rFonts w:ascii="Tahoma" w:hAnsi="Tahoma" w:cs="Tahoma"/>
      <w:sz w:val="16"/>
      <w:szCs w:val="16"/>
    </w:rPr>
  </w:style>
  <w:style w:type="character" w:customStyle="1" w:styleId="SubtitleChar">
    <w:name w:val="Subtitle Char"/>
    <w:basedOn w:val="DefaultParagraphFont"/>
    <w:link w:val="Subtitle"/>
    <w:rsid w:val="0013679F"/>
    <w:rPr>
      <w:rFonts w:ascii="Arial" w:hAnsi="Arial"/>
      <w:szCs w:val="24"/>
    </w:rPr>
  </w:style>
  <w:style w:type="paragraph" w:customStyle="1" w:styleId="BoxListBullet3">
    <w:name w:val="Box List Bullet 3"/>
    <w:basedOn w:val="ListBullet3"/>
    <w:rsid w:val="0013679F"/>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13679F"/>
    <w:rPr>
      <w:i/>
      <w:iCs/>
    </w:rPr>
  </w:style>
  <w:style w:type="paragraph" w:customStyle="1" w:styleId="BoxQuoteBullet">
    <w:name w:val="Box Quote Bullet"/>
    <w:basedOn w:val="BoxQuote"/>
    <w:next w:val="Box"/>
    <w:rsid w:val="0013679F"/>
    <w:pPr>
      <w:numPr>
        <w:numId w:val="14"/>
      </w:numPr>
      <w:ind w:left="568" w:hanging="284"/>
    </w:pPr>
  </w:style>
  <w:style w:type="paragraph" w:customStyle="1" w:styleId="InformationRequestBullet">
    <w:name w:val="Information Request Bullet"/>
    <w:basedOn w:val="ListBullet"/>
    <w:next w:val="BodyText"/>
    <w:rsid w:val="0013679F"/>
    <w:pPr>
      <w:numPr>
        <w:numId w:val="15"/>
      </w:numPr>
      <w:spacing w:before="80" w:line="280" w:lineRule="atLeast"/>
      <w:ind w:left="357" w:hanging="357"/>
    </w:pPr>
    <w:rPr>
      <w:rFonts w:ascii="Arial" w:hAnsi="Arial"/>
      <w:i/>
      <w:sz w:val="22"/>
    </w:rPr>
  </w:style>
  <w:style w:type="paragraph" w:customStyle="1" w:styleId="BoxSpaceBelow">
    <w:name w:val="Box Space Below"/>
    <w:basedOn w:val="Box"/>
    <w:rsid w:val="0013679F"/>
    <w:pPr>
      <w:keepNext w:val="0"/>
      <w:spacing w:before="60" w:after="60" w:line="80" w:lineRule="exact"/>
    </w:pPr>
    <w:rPr>
      <w:sz w:val="14"/>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13679F"/>
    <w:rPr>
      <w:sz w:val="24"/>
    </w:rPr>
  </w:style>
  <w:style w:type="character" w:customStyle="1" w:styleId="CommentTextChar">
    <w:name w:val="Comment Text Char"/>
    <w:basedOn w:val="DefaultParagraphFont"/>
    <w:link w:val="CommentText"/>
    <w:semiHidden/>
    <w:rsid w:val="00165B0A"/>
    <w:rPr>
      <w:szCs w:val="24"/>
    </w:rPr>
  </w:style>
  <w:style w:type="character" w:customStyle="1" w:styleId="BoxChar">
    <w:name w:val="Box Char"/>
    <w:link w:val="Box"/>
    <w:rsid w:val="006F1A6F"/>
    <w:rPr>
      <w:rFonts w:ascii="Arial" w:hAnsi="Arial"/>
    </w:rPr>
  </w:style>
  <w:style w:type="paragraph" w:customStyle="1" w:styleId="Bullet">
    <w:name w:val="Bullet"/>
    <w:basedOn w:val="BoxListBullet"/>
    <w:rsid w:val="00467204"/>
  </w:style>
  <w:style w:type="table" w:styleId="TableGrid">
    <w:name w:val="Table Grid"/>
    <w:basedOn w:val="TableNormal"/>
    <w:rsid w:val="001367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3E760F"/>
    <w:rPr>
      <w:vertAlign w:val="superscript"/>
    </w:rPr>
  </w:style>
  <w:style w:type="paragraph" w:customStyle="1" w:styleId="Table">
    <w:name w:val="Table"/>
    <w:basedOn w:val="BodyText"/>
    <w:rsid w:val="00D215F9"/>
  </w:style>
  <w:style w:type="paragraph" w:customStyle="1" w:styleId="KeyPointsListBullet">
    <w:name w:val="Key Points List Bullet"/>
    <w:basedOn w:val="Normal"/>
    <w:qFormat/>
    <w:rsid w:val="0013679F"/>
    <w:pPr>
      <w:keepNext/>
      <w:numPr>
        <w:numId w:val="49"/>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13679F"/>
    <w:pPr>
      <w:numPr>
        <w:numId w:val="50"/>
      </w:numPr>
      <w:ind w:left="568" w:hanging="284"/>
    </w:pPr>
  </w:style>
  <w:style w:type="paragraph" w:customStyle="1" w:styleId="InformationRequestTitle">
    <w:name w:val="Information Request Title"/>
    <w:basedOn w:val="FindingTitle"/>
    <w:next w:val="InformationRequest"/>
    <w:rsid w:val="0013679F"/>
    <w:rPr>
      <w:i/>
    </w:rPr>
  </w:style>
  <w:style w:type="paragraph" w:customStyle="1" w:styleId="Space">
    <w:name w:val="Space"/>
    <w:basedOn w:val="Normal"/>
    <w:rsid w:val="0013679F"/>
    <w:pPr>
      <w:keepNext/>
      <w:spacing w:line="120" w:lineRule="exact"/>
      <w:jc w:val="both"/>
    </w:pPr>
    <w:rPr>
      <w:rFonts w:ascii="Arial" w:hAnsi="Arial"/>
      <w:sz w:val="20"/>
      <w:szCs w:val="20"/>
    </w:rPr>
  </w:style>
  <w:style w:type="paragraph" w:customStyle="1" w:styleId="Heading1nochapterno">
    <w:name w:val="Heading 1 (no chapter no.)"/>
    <w:basedOn w:val="Heading1"/>
    <w:rsid w:val="0013679F"/>
    <w:pPr>
      <w:spacing w:before="0"/>
      <w:ind w:left="0" w:firstLine="0"/>
    </w:pPr>
  </w:style>
  <w:style w:type="paragraph" w:customStyle="1" w:styleId="Heading2nosectionno">
    <w:name w:val="Heading 2 (no section no.)"/>
    <w:basedOn w:val="Heading2"/>
    <w:rsid w:val="0013679F"/>
    <w:pPr>
      <w:ind w:left="0" w:firstLine="0"/>
    </w:pPr>
  </w:style>
  <w:style w:type="character" w:customStyle="1" w:styleId="Heading5Char">
    <w:name w:val="Heading 5 Char"/>
    <w:basedOn w:val="DefaultParagraphFont"/>
    <w:link w:val="Heading5"/>
    <w:rsid w:val="0013679F"/>
    <w:rPr>
      <w:rFonts w:ascii="Arial" w:hAnsi="Arial"/>
      <w:i/>
      <w:sz w:val="22"/>
    </w:rPr>
  </w:style>
  <w:style w:type="paragraph" w:customStyle="1" w:styleId="Figurespace">
    <w:name w:val="Figure space"/>
    <w:basedOn w:val="Box"/>
    <w:rsid w:val="0013679F"/>
    <w:pPr>
      <w:spacing w:before="0" w:line="120" w:lineRule="exact"/>
    </w:pPr>
  </w:style>
  <w:style w:type="paragraph" w:customStyle="1" w:styleId="FooterDraftReport">
    <w:name w:val="FooterDraftReport"/>
    <w:basedOn w:val="Footer"/>
    <w:link w:val="FooterDraftReportChar"/>
    <w:rsid w:val="0013679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13679F"/>
    <w:rPr>
      <w:rFonts w:ascii="Arial" w:hAnsi="Arial"/>
      <w:caps/>
      <w:spacing w:val="-4"/>
      <w:sz w:val="16"/>
    </w:rPr>
  </w:style>
  <w:style w:type="character" w:customStyle="1" w:styleId="FooterDraftReportChar">
    <w:name w:val="FooterDraftReport Char"/>
    <w:basedOn w:val="FooterChar"/>
    <w:link w:val="FooterDraftReport"/>
    <w:rsid w:val="0013679F"/>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13679F"/>
    <w:rPr>
      <w:rFonts w:ascii="Arial" w:hAnsi="Arial"/>
      <w:b/>
      <w:sz w:val="26"/>
      <w:szCs w:val="26"/>
      <w:lang w:eastAsia="en-US"/>
    </w:rPr>
  </w:style>
  <w:style w:type="paragraph" w:styleId="CommentSubject">
    <w:name w:val="annotation subject"/>
    <w:basedOn w:val="CommentText"/>
    <w:next w:val="CommentText"/>
    <w:link w:val="CommentSubjectChar"/>
    <w:rsid w:val="005D65D5"/>
    <w:pPr>
      <w:spacing w:before="0" w:line="240" w:lineRule="auto"/>
      <w:ind w:left="0" w:firstLine="0"/>
    </w:pPr>
    <w:rPr>
      <w:b/>
      <w:bCs/>
      <w:szCs w:val="20"/>
    </w:rPr>
  </w:style>
  <w:style w:type="character" w:customStyle="1" w:styleId="CommentSubjectChar">
    <w:name w:val="Comment Subject Char"/>
    <w:basedOn w:val="CommentTextChar"/>
    <w:link w:val="CommentSubject"/>
    <w:rsid w:val="005D65D5"/>
    <w:rPr>
      <w:b/>
      <w:bCs/>
      <w:szCs w:val="24"/>
    </w:rPr>
  </w:style>
  <w:style w:type="paragraph" w:styleId="Revision">
    <w:name w:val="Revision"/>
    <w:hidden/>
    <w:uiPriority w:val="99"/>
    <w:semiHidden/>
    <w:rsid w:val="00F304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3679F"/>
    <w:rPr>
      <w:sz w:val="24"/>
      <w:szCs w:val="24"/>
    </w:rPr>
  </w:style>
  <w:style w:type="paragraph" w:styleId="Heading1">
    <w:name w:val="heading 1"/>
    <w:basedOn w:val="BodyText"/>
    <w:next w:val="BodyText"/>
    <w:rsid w:val="0013679F"/>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13679F"/>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13679F"/>
    <w:pPr>
      <w:spacing w:before="560" w:line="320" w:lineRule="exact"/>
      <w:ind w:left="0" w:firstLine="0"/>
      <w:outlineLvl w:val="2"/>
    </w:pPr>
    <w:rPr>
      <w:sz w:val="26"/>
    </w:rPr>
  </w:style>
  <w:style w:type="paragraph" w:styleId="Heading4">
    <w:name w:val="heading 4"/>
    <w:basedOn w:val="Heading3"/>
    <w:next w:val="BodyText"/>
    <w:qFormat/>
    <w:rsid w:val="0013679F"/>
    <w:pPr>
      <w:spacing w:before="480"/>
      <w:outlineLvl w:val="3"/>
    </w:pPr>
    <w:rPr>
      <w:b w:val="0"/>
      <w:sz w:val="24"/>
    </w:rPr>
  </w:style>
  <w:style w:type="paragraph" w:styleId="Heading5">
    <w:name w:val="heading 5"/>
    <w:basedOn w:val="Heading4"/>
    <w:next w:val="BodyText"/>
    <w:link w:val="Heading5Char"/>
    <w:qFormat/>
    <w:rsid w:val="0013679F"/>
    <w:pPr>
      <w:outlineLvl w:val="4"/>
    </w:pPr>
    <w:rPr>
      <w:i/>
      <w:sz w:val="22"/>
    </w:rPr>
  </w:style>
  <w:style w:type="paragraph" w:styleId="Heading6">
    <w:name w:val="heading 6"/>
    <w:basedOn w:val="BodyText"/>
    <w:next w:val="BodyText"/>
    <w:rsid w:val="0013679F"/>
    <w:pPr>
      <w:spacing w:after="60"/>
      <w:jc w:val="left"/>
      <w:outlineLvl w:val="5"/>
    </w:pPr>
    <w:rPr>
      <w:i/>
      <w:sz w:val="22"/>
    </w:rPr>
  </w:style>
  <w:style w:type="paragraph" w:styleId="Heading7">
    <w:name w:val="heading 7"/>
    <w:basedOn w:val="BodyText"/>
    <w:next w:val="BodyText"/>
    <w:rsid w:val="0013679F"/>
    <w:pPr>
      <w:spacing w:after="60" w:line="240" w:lineRule="auto"/>
      <w:jc w:val="left"/>
      <w:outlineLvl w:val="6"/>
    </w:pPr>
    <w:rPr>
      <w:rFonts w:ascii="Arial" w:hAnsi="Arial"/>
      <w:sz w:val="20"/>
    </w:rPr>
  </w:style>
  <w:style w:type="paragraph" w:styleId="Heading8">
    <w:name w:val="heading 8"/>
    <w:basedOn w:val="BodyText"/>
    <w:next w:val="BodyText"/>
    <w:rsid w:val="0013679F"/>
    <w:pPr>
      <w:spacing w:after="60" w:line="240" w:lineRule="auto"/>
      <w:jc w:val="left"/>
      <w:outlineLvl w:val="7"/>
    </w:pPr>
    <w:rPr>
      <w:rFonts w:ascii="Arial" w:hAnsi="Arial"/>
      <w:i/>
      <w:sz w:val="20"/>
    </w:rPr>
  </w:style>
  <w:style w:type="paragraph" w:styleId="Heading9">
    <w:name w:val="heading 9"/>
    <w:basedOn w:val="BodyText"/>
    <w:next w:val="BodyText"/>
    <w:rsid w:val="0013679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1367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679F"/>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13679F"/>
    <w:pPr>
      <w:spacing w:before="240" w:line="300" w:lineRule="atLeast"/>
      <w:jc w:val="both"/>
    </w:pPr>
    <w:rPr>
      <w:sz w:val="24"/>
    </w:rPr>
  </w:style>
  <w:style w:type="paragraph" w:styleId="Footer">
    <w:name w:val="footer"/>
    <w:basedOn w:val="BodyText"/>
    <w:link w:val="FooterChar"/>
    <w:rsid w:val="0013679F"/>
    <w:pPr>
      <w:spacing w:before="80" w:line="200" w:lineRule="exact"/>
      <w:ind w:right="6"/>
      <w:jc w:val="left"/>
    </w:pPr>
    <w:rPr>
      <w:rFonts w:ascii="Arial" w:hAnsi="Arial"/>
      <w:caps/>
      <w:spacing w:val="-4"/>
      <w:sz w:val="16"/>
    </w:rPr>
  </w:style>
  <w:style w:type="paragraph" w:customStyle="1" w:styleId="FooterEnd">
    <w:name w:val="Footer End"/>
    <w:basedOn w:val="Footer"/>
    <w:rsid w:val="0013679F"/>
    <w:pPr>
      <w:spacing w:before="0" w:line="20" w:lineRule="exact"/>
    </w:pPr>
  </w:style>
  <w:style w:type="paragraph" w:styleId="Header">
    <w:name w:val="header"/>
    <w:basedOn w:val="BodyText"/>
    <w:rsid w:val="0013679F"/>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13679F"/>
    <w:pPr>
      <w:spacing w:line="20" w:lineRule="exact"/>
    </w:pPr>
    <w:rPr>
      <w:sz w:val="16"/>
    </w:rPr>
  </w:style>
  <w:style w:type="paragraph" w:customStyle="1" w:styleId="HeaderEven">
    <w:name w:val="Header Even"/>
    <w:basedOn w:val="Header"/>
    <w:semiHidden/>
    <w:rsid w:val="0013679F"/>
  </w:style>
  <w:style w:type="paragraph" w:customStyle="1" w:styleId="HeaderOdd">
    <w:name w:val="Header Odd"/>
    <w:basedOn w:val="Header"/>
    <w:semiHidden/>
    <w:rsid w:val="0013679F"/>
  </w:style>
  <w:style w:type="character" w:styleId="PageNumber">
    <w:name w:val="page number"/>
    <w:basedOn w:val="DefaultParagraphFont"/>
    <w:rsid w:val="0013679F"/>
    <w:rPr>
      <w:rFonts w:ascii="Arial" w:hAnsi="Arial"/>
      <w:b/>
      <w:sz w:val="16"/>
    </w:rPr>
  </w:style>
  <w:style w:type="paragraph" w:customStyle="1" w:styleId="Abbreviation">
    <w:name w:val="Abbreviation"/>
    <w:basedOn w:val="BodyText"/>
    <w:rsid w:val="0013679F"/>
    <w:pPr>
      <w:spacing w:before="120"/>
      <w:ind w:left="2381" w:hanging="2381"/>
      <w:jc w:val="left"/>
    </w:pPr>
  </w:style>
  <w:style w:type="paragraph" w:customStyle="1" w:styleId="Box">
    <w:name w:val="Box"/>
    <w:basedOn w:val="BodyText"/>
    <w:link w:val="BoxChar"/>
    <w:qFormat/>
    <w:rsid w:val="0013679F"/>
    <w:pPr>
      <w:keepNext/>
      <w:spacing w:before="120" w:line="260" w:lineRule="atLeast"/>
    </w:pPr>
    <w:rPr>
      <w:rFonts w:ascii="Arial" w:hAnsi="Arial"/>
      <w:sz w:val="20"/>
    </w:rPr>
  </w:style>
  <w:style w:type="paragraph" w:customStyle="1" w:styleId="BoxContinued">
    <w:name w:val="Box Continued"/>
    <w:basedOn w:val="BodyText"/>
    <w:next w:val="BodyText"/>
    <w:semiHidden/>
    <w:rsid w:val="0013679F"/>
    <w:pPr>
      <w:spacing w:before="180" w:line="220" w:lineRule="exact"/>
      <w:jc w:val="right"/>
    </w:pPr>
    <w:rPr>
      <w:rFonts w:ascii="Arial" w:hAnsi="Arial"/>
      <w:sz w:val="18"/>
    </w:rPr>
  </w:style>
  <w:style w:type="paragraph" w:customStyle="1" w:styleId="BoxHeading1">
    <w:name w:val="Box Heading 1"/>
    <w:basedOn w:val="BodyText"/>
    <w:next w:val="Box"/>
    <w:rsid w:val="0013679F"/>
    <w:pPr>
      <w:keepNext/>
      <w:spacing w:before="200" w:line="280" w:lineRule="atLeast"/>
    </w:pPr>
    <w:rPr>
      <w:rFonts w:ascii="Arial" w:hAnsi="Arial"/>
      <w:b/>
      <w:sz w:val="22"/>
    </w:rPr>
  </w:style>
  <w:style w:type="paragraph" w:customStyle="1" w:styleId="BoxHeading2">
    <w:name w:val="Box Heading 2"/>
    <w:basedOn w:val="BoxHeading1"/>
    <w:next w:val="Normal"/>
    <w:rsid w:val="0013679F"/>
    <w:rPr>
      <w:b w:val="0"/>
      <w:i/>
    </w:rPr>
  </w:style>
  <w:style w:type="paragraph" w:customStyle="1" w:styleId="BoxListBullet">
    <w:name w:val="Box List Bullet"/>
    <w:basedOn w:val="BodyText"/>
    <w:rsid w:val="0013679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13679F"/>
    <w:pPr>
      <w:numPr>
        <w:numId w:val="16"/>
      </w:numPr>
      <w:ind w:left="568" w:hanging="284"/>
    </w:pPr>
  </w:style>
  <w:style w:type="paragraph" w:customStyle="1" w:styleId="BoxListNumber">
    <w:name w:val="Box List Number"/>
    <w:basedOn w:val="BodyText"/>
    <w:rsid w:val="0013679F"/>
    <w:pPr>
      <w:keepNext/>
      <w:numPr>
        <w:numId w:val="12"/>
      </w:numPr>
      <w:spacing w:before="100" w:line="260" w:lineRule="atLeast"/>
    </w:pPr>
    <w:rPr>
      <w:rFonts w:ascii="Arial" w:hAnsi="Arial"/>
      <w:sz w:val="20"/>
    </w:rPr>
  </w:style>
  <w:style w:type="paragraph" w:customStyle="1" w:styleId="BoxListNumber2">
    <w:name w:val="Box List Number 2"/>
    <w:basedOn w:val="BoxListNumber"/>
    <w:rsid w:val="0013679F"/>
    <w:pPr>
      <w:numPr>
        <w:ilvl w:val="1"/>
      </w:numPr>
      <w:ind w:left="681" w:hanging="397"/>
    </w:pPr>
  </w:style>
  <w:style w:type="paragraph" w:customStyle="1" w:styleId="BoxQuote">
    <w:name w:val="Box Quote"/>
    <w:basedOn w:val="BodyText"/>
    <w:next w:val="Box"/>
    <w:qFormat/>
    <w:rsid w:val="0013679F"/>
    <w:pPr>
      <w:keepNext/>
      <w:spacing w:before="60" w:line="240" w:lineRule="exact"/>
      <w:ind w:left="284"/>
    </w:pPr>
    <w:rPr>
      <w:rFonts w:ascii="Arial" w:hAnsi="Arial"/>
      <w:sz w:val="18"/>
    </w:rPr>
  </w:style>
  <w:style w:type="paragraph" w:customStyle="1" w:styleId="Note">
    <w:name w:val="Note"/>
    <w:basedOn w:val="BodyText"/>
    <w:next w:val="BodyText"/>
    <w:rsid w:val="0013679F"/>
    <w:pPr>
      <w:keepLines/>
      <w:spacing w:before="80" w:line="220" w:lineRule="exact"/>
    </w:pPr>
    <w:rPr>
      <w:rFonts w:ascii="Arial" w:hAnsi="Arial"/>
      <w:sz w:val="18"/>
    </w:rPr>
  </w:style>
  <w:style w:type="paragraph" w:customStyle="1" w:styleId="Source">
    <w:name w:val="Source"/>
    <w:basedOn w:val="Normal"/>
    <w:next w:val="BodyText"/>
    <w:rsid w:val="0013679F"/>
    <w:pPr>
      <w:keepLines/>
      <w:spacing w:before="80" w:line="220" w:lineRule="exact"/>
      <w:jc w:val="both"/>
    </w:pPr>
    <w:rPr>
      <w:rFonts w:ascii="Arial" w:hAnsi="Arial"/>
      <w:sz w:val="18"/>
      <w:szCs w:val="20"/>
    </w:rPr>
  </w:style>
  <w:style w:type="paragraph" w:customStyle="1" w:styleId="BoxSource">
    <w:name w:val="Box Source"/>
    <w:basedOn w:val="Source"/>
    <w:next w:val="BodyText"/>
    <w:rsid w:val="0013679F"/>
    <w:pPr>
      <w:spacing w:before="120"/>
    </w:pPr>
  </w:style>
  <w:style w:type="paragraph" w:customStyle="1" w:styleId="BoxSpaceAbove">
    <w:name w:val="Box Space Above"/>
    <w:basedOn w:val="BodyText"/>
    <w:rsid w:val="0013679F"/>
    <w:pPr>
      <w:keepNext/>
      <w:spacing w:before="360" w:line="80" w:lineRule="exact"/>
      <w:jc w:val="left"/>
    </w:pPr>
  </w:style>
  <w:style w:type="paragraph" w:styleId="Caption">
    <w:name w:val="caption"/>
    <w:basedOn w:val="Normal"/>
    <w:next w:val="BodyText"/>
    <w:rsid w:val="0013679F"/>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13679F"/>
    <w:pPr>
      <w:spacing w:before="120" w:after="0"/>
    </w:pPr>
  </w:style>
  <w:style w:type="paragraph" w:customStyle="1" w:styleId="BoxSubtitle">
    <w:name w:val="Box Subtitle"/>
    <w:basedOn w:val="BoxTitle"/>
    <w:next w:val="Normal"/>
    <w:rsid w:val="0013679F"/>
    <w:pPr>
      <w:spacing w:after="80" w:line="200" w:lineRule="exact"/>
      <w:ind w:firstLine="0"/>
    </w:pPr>
    <w:rPr>
      <w:b w:val="0"/>
      <w:sz w:val="20"/>
    </w:rPr>
  </w:style>
  <w:style w:type="paragraph" w:customStyle="1" w:styleId="Chapter">
    <w:name w:val="Chapter"/>
    <w:basedOn w:val="Heading1"/>
    <w:next w:val="BodyText"/>
    <w:semiHidden/>
    <w:rsid w:val="0013679F"/>
    <w:pPr>
      <w:ind w:left="0" w:firstLine="0"/>
      <w:outlineLvl w:val="9"/>
    </w:pPr>
  </w:style>
  <w:style w:type="paragraph" w:customStyle="1" w:styleId="ChapterSummary">
    <w:name w:val="Chapter Summary"/>
    <w:basedOn w:val="BodyText"/>
    <w:rsid w:val="0013679F"/>
    <w:pPr>
      <w:spacing w:line="280" w:lineRule="atLeast"/>
      <w:ind w:left="907"/>
    </w:pPr>
    <w:rPr>
      <w:rFonts w:ascii="Arial" w:hAnsi="Arial"/>
      <w:b/>
      <w:sz w:val="20"/>
    </w:rPr>
  </w:style>
  <w:style w:type="character" w:styleId="CommentReference">
    <w:name w:val="annotation reference"/>
    <w:basedOn w:val="DefaultParagraphFont"/>
    <w:semiHidden/>
    <w:rsid w:val="0013679F"/>
    <w:rPr>
      <w:b/>
      <w:vanish/>
      <w:color w:val="FF00FF"/>
      <w:sz w:val="20"/>
    </w:rPr>
  </w:style>
  <w:style w:type="paragraph" w:styleId="CommentText">
    <w:name w:val="annotation text"/>
    <w:basedOn w:val="Normal"/>
    <w:link w:val="CommentTextChar"/>
    <w:semiHidden/>
    <w:rsid w:val="0013679F"/>
    <w:pPr>
      <w:spacing w:before="120" w:line="240" w:lineRule="atLeast"/>
      <w:ind w:left="567" w:hanging="567"/>
    </w:pPr>
    <w:rPr>
      <w:sz w:val="20"/>
    </w:rPr>
  </w:style>
  <w:style w:type="paragraph" w:customStyle="1" w:styleId="Continued">
    <w:name w:val="Continued"/>
    <w:basedOn w:val="BoxContinued"/>
    <w:next w:val="BodyText"/>
    <w:rsid w:val="0013679F"/>
  </w:style>
  <w:style w:type="character" w:customStyle="1" w:styleId="DocumentInfo">
    <w:name w:val="Document Info"/>
    <w:basedOn w:val="DefaultParagraphFont"/>
    <w:semiHidden/>
    <w:rsid w:val="0013679F"/>
    <w:rPr>
      <w:rFonts w:ascii="Arial" w:hAnsi="Arial"/>
      <w:sz w:val="14"/>
    </w:rPr>
  </w:style>
  <w:style w:type="character" w:customStyle="1" w:styleId="DraftingNote">
    <w:name w:val="Drafting Note"/>
    <w:basedOn w:val="DefaultParagraphFont"/>
    <w:rsid w:val="0013679F"/>
    <w:rPr>
      <w:b/>
      <w:color w:val="FF0000"/>
      <w:sz w:val="24"/>
      <w:u w:val="dotted"/>
    </w:rPr>
  </w:style>
  <w:style w:type="paragraph" w:customStyle="1" w:styleId="Figure">
    <w:name w:val="Figure"/>
    <w:basedOn w:val="BodyText"/>
    <w:rsid w:val="0013679F"/>
    <w:pPr>
      <w:keepNext/>
      <w:spacing w:before="120" w:after="120" w:line="240" w:lineRule="atLeast"/>
      <w:jc w:val="center"/>
    </w:pPr>
  </w:style>
  <w:style w:type="paragraph" w:customStyle="1" w:styleId="FigureTitle">
    <w:name w:val="Figure Title"/>
    <w:basedOn w:val="Caption"/>
    <w:next w:val="Subtitle"/>
    <w:rsid w:val="0013679F"/>
    <w:pPr>
      <w:spacing w:before="120"/>
    </w:pPr>
  </w:style>
  <w:style w:type="paragraph" w:styleId="Subtitle">
    <w:name w:val="Subtitle"/>
    <w:basedOn w:val="Caption"/>
    <w:link w:val="SubtitleChar"/>
    <w:qFormat/>
    <w:rsid w:val="0013679F"/>
    <w:pPr>
      <w:spacing w:before="0" w:line="200" w:lineRule="exact"/>
      <w:ind w:firstLine="0"/>
    </w:pPr>
    <w:rPr>
      <w:b w:val="0"/>
      <w:sz w:val="20"/>
    </w:rPr>
  </w:style>
  <w:style w:type="paragraph" w:customStyle="1" w:styleId="Finding">
    <w:name w:val="Finding"/>
    <w:basedOn w:val="BodyText"/>
    <w:rsid w:val="0013679F"/>
    <w:pPr>
      <w:keepLines/>
      <w:spacing w:before="120" w:line="280" w:lineRule="atLeast"/>
    </w:pPr>
    <w:rPr>
      <w:rFonts w:ascii="Arial" w:hAnsi="Arial"/>
      <w:sz w:val="22"/>
    </w:rPr>
  </w:style>
  <w:style w:type="paragraph" w:customStyle="1" w:styleId="FindingBullet">
    <w:name w:val="Finding Bullet"/>
    <w:basedOn w:val="Finding"/>
    <w:rsid w:val="0013679F"/>
    <w:pPr>
      <w:numPr>
        <w:numId w:val="2"/>
      </w:numPr>
      <w:spacing w:before="80"/>
    </w:pPr>
  </w:style>
  <w:style w:type="paragraph" w:customStyle="1" w:styleId="FindingNoTitle">
    <w:name w:val="Finding NoTitle"/>
    <w:basedOn w:val="Finding"/>
    <w:semiHidden/>
    <w:rsid w:val="0013679F"/>
    <w:pPr>
      <w:spacing w:before="240"/>
    </w:pPr>
  </w:style>
  <w:style w:type="paragraph" w:customStyle="1" w:styleId="RecTitle">
    <w:name w:val="Rec Title"/>
    <w:basedOn w:val="BodyText"/>
    <w:next w:val="Rec"/>
    <w:qFormat/>
    <w:rsid w:val="0013679F"/>
    <w:pPr>
      <w:keepNext/>
      <w:keepLines/>
      <w:spacing w:line="280" w:lineRule="atLeast"/>
    </w:pPr>
    <w:rPr>
      <w:rFonts w:ascii="Arial" w:hAnsi="Arial"/>
      <w:caps/>
      <w:sz w:val="18"/>
    </w:rPr>
  </w:style>
  <w:style w:type="paragraph" w:customStyle="1" w:styleId="FindingTitle">
    <w:name w:val="Finding Title"/>
    <w:basedOn w:val="RecTitle"/>
    <w:next w:val="Finding"/>
    <w:rsid w:val="0013679F"/>
  </w:style>
  <w:style w:type="character" w:styleId="FootnoteReference">
    <w:name w:val="footnote reference"/>
    <w:basedOn w:val="DefaultParagraphFont"/>
    <w:semiHidden/>
    <w:rsid w:val="0013679F"/>
    <w:rPr>
      <w:rFonts w:ascii="Times New Roman" w:hAnsi="Times New Roman"/>
      <w:position w:val="6"/>
      <w:sz w:val="20"/>
      <w:vertAlign w:val="baseline"/>
    </w:rPr>
  </w:style>
  <w:style w:type="paragraph" w:styleId="FootnoteText">
    <w:name w:val="footnote text"/>
    <w:basedOn w:val="BodyText"/>
    <w:rsid w:val="0013679F"/>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13679F"/>
    <w:rPr>
      <w:i/>
    </w:rPr>
  </w:style>
  <w:style w:type="paragraph" w:customStyle="1" w:styleId="Jurisdictioncommentsbodytext">
    <w:name w:val="Jurisdiction comments body text"/>
    <w:rsid w:val="0013679F"/>
    <w:pPr>
      <w:spacing w:after="140"/>
      <w:jc w:val="both"/>
    </w:pPr>
    <w:rPr>
      <w:rFonts w:ascii="Arial" w:hAnsi="Arial"/>
      <w:sz w:val="24"/>
      <w:lang w:eastAsia="en-US"/>
    </w:rPr>
  </w:style>
  <w:style w:type="paragraph" w:customStyle="1" w:styleId="Jurisdictioncommentsheading">
    <w:name w:val="Jurisdiction comments heading"/>
    <w:rsid w:val="0013679F"/>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13679F"/>
    <w:pPr>
      <w:numPr>
        <w:numId w:val="3"/>
      </w:numPr>
      <w:spacing w:after="140"/>
      <w:jc w:val="both"/>
    </w:pPr>
    <w:rPr>
      <w:rFonts w:ascii="Arial" w:hAnsi="Arial"/>
      <w:sz w:val="24"/>
      <w:lang w:eastAsia="en-US"/>
    </w:rPr>
  </w:style>
  <w:style w:type="paragraph" w:styleId="ListBullet">
    <w:name w:val="List Bullet"/>
    <w:basedOn w:val="BodyText"/>
    <w:rsid w:val="0013679F"/>
    <w:pPr>
      <w:numPr>
        <w:numId w:val="4"/>
      </w:numPr>
      <w:spacing w:before="120"/>
    </w:pPr>
  </w:style>
  <w:style w:type="paragraph" w:styleId="ListBullet2">
    <w:name w:val="List Bullet 2"/>
    <w:basedOn w:val="BodyText"/>
    <w:rsid w:val="0013679F"/>
    <w:pPr>
      <w:numPr>
        <w:numId w:val="5"/>
      </w:numPr>
      <w:spacing w:before="120"/>
    </w:pPr>
  </w:style>
  <w:style w:type="paragraph" w:styleId="ListBullet3">
    <w:name w:val="List Bullet 3"/>
    <w:basedOn w:val="BodyText"/>
    <w:rsid w:val="0013679F"/>
    <w:pPr>
      <w:numPr>
        <w:numId w:val="6"/>
      </w:numPr>
      <w:spacing w:before="120"/>
      <w:ind w:left="1020" w:hanging="340"/>
    </w:pPr>
  </w:style>
  <w:style w:type="paragraph" w:styleId="ListNumber">
    <w:name w:val="List Number"/>
    <w:basedOn w:val="BodyText"/>
    <w:rsid w:val="0013679F"/>
    <w:pPr>
      <w:numPr>
        <w:numId w:val="11"/>
      </w:numPr>
      <w:spacing w:before="120"/>
    </w:pPr>
  </w:style>
  <w:style w:type="paragraph" w:styleId="ListNumber2">
    <w:name w:val="List Number 2"/>
    <w:basedOn w:val="ListNumber"/>
    <w:rsid w:val="0013679F"/>
    <w:pPr>
      <w:numPr>
        <w:ilvl w:val="1"/>
      </w:numPr>
    </w:pPr>
  </w:style>
  <w:style w:type="paragraph" w:styleId="ListNumber3">
    <w:name w:val="List Number 3"/>
    <w:basedOn w:val="ListNumber2"/>
    <w:rsid w:val="0013679F"/>
    <w:pPr>
      <w:numPr>
        <w:ilvl w:val="2"/>
      </w:numPr>
    </w:pPr>
  </w:style>
  <w:style w:type="character" w:customStyle="1" w:styleId="NoteLabel">
    <w:name w:val="Note Label"/>
    <w:basedOn w:val="DefaultParagraphFont"/>
    <w:rsid w:val="0013679F"/>
    <w:rPr>
      <w:rFonts w:ascii="Arial" w:hAnsi="Arial"/>
      <w:b/>
      <w:position w:val="6"/>
      <w:sz w:val="18"/>
    </w:rPr>
  </w:style>
  <w:style w:type="paragraph" w:customStyle="1" w:styleId="PartDivider">
    <w:name w:val="Part Divider"/>
    <w:basedOn w:val="BodyText"/>
    <w:next w:val="BodyText"/>
    <w:semiHidden/>
    <w:rsid w:val="0013679F"/>
    <w:pPr>
      <w:spacing w:before="0" w:line="40" w:lineRule="exact"/>
      <w:jc w:val="right"/>
    </w:pPr>
    <w:rPr>
      <w:smallCaps/>
      <w:sz w:val="16"/>
    </w:rPr>
  </w:style>
  <w:style w:type="paragraph" w:customStyle="1" w:styleId="PartNumber">
    <w:name w:val="Part Number"/>
    <w:basedOn w:val="BodyText"/>
    <w:next w:val="BodyText"/>
    <w:semiHidden/>
    <w:rsid w:val="0013679F"/>
    <w:pPr>
      <w:spacing w:before="4000" w:line="320" w:lineRule="exact"/>
      <w:ind w:left="6634"/>
      <w:jc w:val="right"/>
    </w:pPr>
    <w:rPr>
      <w:smallCaps/>
      <w:spacing w:val="60"/>
      <w:sz w:val="32"/>
    </w:rPr>
  </w:style>
  <w:style w:type="paragraph" w:customStyle="1" w:styleId="PartTitle">
    <w:name w:val="Part Title"/>
    <w:basedOn w:val="BodyText"/>
    <w:semiHidden/>
    <w:rsid w:val="0013679F"/>
    <w:pPr>
      <w:spacing w:before="160" w:after="1360" w:line="520" w:lineRule="exact"/>
      <w:ind w:right="2381"/>
      <w:jc w:val="right"/>
    </w:pPr>
    <w:rPr>
      <w:smallCaps/>
      <w:sz w:val="52"/>
    </w:rPr>
  </w:style>
  <w:style w:type="paragraph" w:styleId="Quote">
    <w:name w:val="Quote"/>
    <w:basedOn w:val="BodyText"/>
    <w:next w:val="BodyText"/>
    <w:qFormat/>
    <w:rsid w:val="0013679F"/>
    <w:pPr>
      <w:spacing w:before="120" w:line="280" w:lineRule="exact"/>
      <w:ind w:left="340"/>
    </w:pPr>
    <w:rPr>
      <w:sz w:val="22"/>
    </w:rPr>
  </w:style>
  <w:style w:type="paragraph" w:customStyle="1" w:styleId="QuoteBullet">
    <w:name w:val="Quote Bullet"/>
    <w:basedOn w:val="Quote"/>
    <w:rsid w:val="0013679F"/>
    <w:pPr>
      <w:numPr>
        <w:numId w:val="7"/>
      </w:numPr>
    </w:pPr>
  </w:style>
  <w:style w:type="paragraph" w:customStyle="1" w:styleId="Rec">
    <w:name w:val="Rec"/>
    <w:basedOn w:val="BodyText"/>
    <w:qFormat/>
    <w:rsid w:val="0013679F"/>
    <w:pPr>
      <w:keepLines/>
      <w:spacing w:before="120" w:line="280" w:lineRule="atLeast"/>
    </w:pPr>
    <w:rPr>
      <w:rFonts w:ascii="Arial" w:hAnsi="Arial"/>
      <w:sz w:val="22"/>
    </w:rPr>
  </w:style>
  <w:style w:type="paragraph" w:customStyle="1" w:styleId="RecBullet">
    <w:name w:val="Rec Bullet"/>
    <w:basedOn w:val="Rec"/>
    <w:rsid w:val="0013679F"/>
    <w:pPr>
      <w:numPr>
        <w:numId w:val="8"/>
      </w:numPr>
      <w:spacing w:before="80"/>
    </w:pPr>
  </w:style>
  <w:style w:type="paragraph" w:customStyle="1" w:styleId="RecB">
    <w:name w:val="RecB"/>
    <w:basedOn w:val="Normal"/>
    <w:semiHidden/>
    <w:rsid w:val="0013679F"/>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13679F"/>
    <w:pPr>
      <w:numPr>
        <w:numId w:val="13"/>
      </w:numPr>
      <w:spacing w:before="80"/>
    </w:pPr>
  </w:style>
  <w:style w:type="paragraph" w:customStyle="1" w:styleId="RecBNoTitle">
    <w:name w:val="RecB NoTitle"/>
    <w:basedOn w:val="RecB"/>
    <w:semiHidden/>
    <w:rsid w:val="0013679F"/>
    <w:pPr>
      <w:spacing w:before="240"/>
    </w:pPr>
  </w:style>
  <w:style w:type="paragraph" w:customStyle="1" w:styleId="Reference">
    <w:name w:val="Reference"/>
    <w:basedOn w:val="BodyText"/>
    <w:rsid w:val="0013679F"/>
    <w:pPr>
      <w:spacing w:before="120"/>
      <w:ind w:left="340" w:hanging="340"/>
    </w:pPr>
  </w:style>
  <w:style w:type="paragraph" w:customStyle="1" w:styleId="SequenceInfo">
    <w:name w:val="Sequence Info"/>
    <w:basedOn w:val="BodyText"/>
    <w:semiHidden/>
    <w:rsid w:val="0013679F"/>
    <w:rPr>
      <w:vanish/>
      <w:sz w:val="16"/>
    </w:rPr>
  </w:style>
  <w:style w:type="paragraph" w:customStyle="1" w:styleId="SideNote">
    <w:name w:val="Side Note"/>
    <w:basedOn w:val="BodyText"/>
    <w:next w:val="BodyText"/>
    <w:semiHidden/>
    <w:rsid w:val="0013679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13679F"/>
    <w:pPr>
      <w:framePr w:wrap="around"/>
      <w:numPr>
        <w:numId w:val="9"/>
      </w:numPr>
      <w:tabs>
        <w:tab w:val="left" w:pos="227"/>
      </w:tabs>
    </w:pPr>
  </w:style>
  <w:style w:type="paragraph" w:customStyle="1" w:styleId="SideNoteGraphic">
    <w:name w:val="Side Note Graphic"/>
    <w:basedOn w:val="SideNote"/>
    <w:next w:val="BodyText"/>
    <w:semiHidden/>
    <w:rsid w:val="0013679F"/>
    <w:pPr>
      <w:framePr w:wrap="around"/>
    </w:pPr>
  </w:style>
  <w:style w:type="paragraph" w:customStyle="1" w:styleId="TableBodyText">
    <w:name w:val="Table Body Text"/>
    <w:basedOn w:val="BodyText"/>
    <w:rsid w:val="0013679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13679F"/>
    <w:pPr>
      <w:numPr>
        <w:numId w:val="10"/>
      </w:numPr>
      <w:jc w:val="left"/>
    </w:pPr>
  </w:style>
  <w:style w:type="paragraph" w:customStyle="1" w:styleId="TableColumnHeading">
    <w:name w:val="Table Column Heading"/>
    <w:basedOn w:val="TableBodyText"/>
    <w:rsid w:val="0013679F"/>
    <w:pPr>
      <w:spacing w:before="80" w:after="80"/>
    </w:pPr>
    <w:rPr>
      <w:i/>
    </w:rPr>
  </w:style>
  <w:style w:type="paragraph" w:styleId="TOC2">
    <w:name w:val="toc 2"/>
    <w:basedOn w:val="TOC1"/>
    <w:rsid w:val="0013679F"/>
    <w:pPr>
      <w:ind w:left="1134" w:hanging="624"/>
    </w:pPr>
    <w:rPr>
      <w:b w:val="0"/>
    </w:rPr>
  </w:style>
  <w:style w:type="paragraph" w:styleId="TOC3">
    <w:name w:val="toc 3"/>
    <w:basedOn w:val="TOC2"/>
    <w:rsid w:val="0013679F"/>
    <w:pPr>
      <w:spacing w:before="60"/>
      <w:ind w:left="1190" w:hanging="680"/>
    </w:pPr>
  </w:style>
  <w:style w:type="paragraph" w:styleId="TableofFigures">
    <w:name w:val="table of figures"/>
    <w:basedOn w:val="TOC3"/>
    <w:next w:val="BodyText"/>
    <w:semiHidden/>
    <w:rsid w:val="0013679F"/>
    <w:pPr>
      <w:ind w:left="737" w:hanging="737"/>
    </w:pPr>
  </w:style>
  <w:style w:type="paragraph" w:customStyle="1" w:styleId="TableTitle">
    <w:name w:val="Table Title"/>
    <w:basedOn w:val="Caption"/>
    <w:next w:val="Subtitle"/>
    <w:qFormat/>
    <w:rsid w:val="0013679F"/>
    <w:pPr>
      <w:spacing w:before="120"/>
    </w:pPr>
  </w:style>
  <w:style w:type="paragraph" w:customStyle="1" w:styleId="TableUnitsRow">
    <w:name w:val="Table Units Row"/>
    <w:basedOn w:val="TableBodyText"/>
    <w:rsid w:val="0013679F"/>
    <w:pPr>
      <w:spacing w:before="40"/>
    </w:pPr>
  </w:style>
  <w:style w:type="paragraph" w:styleId="TOC1">
    <w:name w:val="toc 1"/>
    <w:basedOn w:val="Normal"/>
    <w:next w:val="TOC2"/>
    <w:link w:val="TOC1Char"/>
    <w:rsid w:val="0013679F"/>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13679F"/>
    <w:pPr>
      <w:ind w:left="1191" w:firstLine="0"/>
    </w:pPr>
  </w:style>
  <w:style w:type="paragraph" w:customStyle="1" w:styleId="RecBBullet2">
    <w:name w:val="RecB Bullet 2"/>
    <w:basedOn w:val="ListBullet2"/>
    <w:semiHidden/>
    <w:rsid w:val="0013679F"/>
    <w:pPr>
      <w:pBdr>
        <w:left w:val="single" w:sz="24" w:space="29" w:color="C0C0C0"/>
      </w:pBdr>
    </w:pPr>
    <w:rPr>
      <w:b/>
      <w:i/>
    </w:rPr>
  </w:style>
  <w:style w:type="paragraph" w:styleId="BalloonText">
    <w:name w:val="Balloon Text"/>
    <w:basedOn w:val="Normal"/>
    <w:link w:val="BalloonTextChar"/>
    <w:rsid w:val="0013679F"/>
    <w:rPr>
      <w:rFonts w:ascii="Tahoma" w:hAnsi="Tahoma" w:cs="Tahoma"/>
      <w:sz w:val="16"/>
      <w:szCs w:val="16"/>
    </w:rPr>
  </w:style>
  <w:style w:type="character" w:customStyle="1" w:styleId="BalloonTextChar">
    <w:name w:val="Balloon Text Char"/>
    <w:basedOn w:val="DefaultParagraphFont"/>
    <w:link w:val="BalloonText"/>
    <w:rsid w:val="0013679F"/>
    <w:rPr>
      <w:rFonts w:ascii="Tahoma" w:hAnsi="Tahoma" w:cs="Tahoma"/>
      <w:sz w:val="16"/>
      <w:szCs w:val="16"/>
    </w:rPr>
  </w:style>
  <w:style w:type="character" w:customStyle="1" w:styleId="SubtitleChar">
    <w:name w:val="Subtitle Char"/>
    <w:basedOn w:val="DefaultParagraphFont"/>
    <w:link w:val="Subtitle"/>
    <w:rsid w:val="0013679F"/>
    <w:rPr>
      <w:rFonts w:ascii="Arial" w:hAnsi="Arial"/>
      <w:szCs w:val="24"/>
    </w:rPr>
  </w:style>
  <w:style w:type="paragraph" w:customStyle="1" w:styleId="BoxListBullet3">
    <w:name w:val="Box List Bullet 3"/>
    <w:basedOn w:val="ListBullet3"/>
    <w:rsid w:val="0013679F"/>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13679F"/>
    <w:rPr>
      <w:i/>
      <w:iCs/>
    </w:rPr>
  </w:style>
  <w:style w:type="paragraph" w:customStyle="1" w:styleId="BoxQuoteBullet">
    <w:name w:val="Box Quote Bullet"/>
    <w:basedOn w:val="BoxQuote"/>
    <w:next w:val="Box"/>
    <w:rsid w:val="0013679F"/>
    <w:pPr>
      <w:numPr>
        <w:numId w:val="14"/>
      </w:numPr>
      <w:ind w:left="568" w:hanging="284"/>
    </w:pPr>
  </w:style>
  <w:style w:type="paragraph" w:customStyle="1" w:styleId="InformationRequestBullet">
    <w:name w:val="Information Request Bullet"/>
    <w:basedOn w:val="ListBullet"/>
    <w:next w:val="BodyText"/>
    <w:rsid w:val="0013679F"/>
    <w:pPr>
      <w:numPr>
        <w:numId w:val="15"/>
      </w:numPr>
      <w:spacing w:before="80" w:line="280" w:lineRule="atLeast"/>
      <w:ind w:left="357" w:hanging="357"/>
    </w:pPr>
    <w:rPr>
      <w:rFonts w:ascii="Arial" w:hAnsi="Arial"/>
      <w:i/>
      <w:sz w:val="22"/>
    </w:rPr>
  </w:style>
  <w:style w:type="paragraph" w:customStyle="1" w:styleId="BoxSpaceBelow">
    <w:name w:val="Box Space Below"/>
    <w:basedOn w:val="Box"/>
    <w:rsid w:val="0013679F"/>
    <w:pPr>
      <w:keepNext w:val="0"/>
      <w:spacing w:before="60" w:after="60" w:line="80" w:lineRule="exact"/>
    </w:pPr>
    <w:rPr>
      <w:sz w:val="14"/>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13679F"/>
    <w:rPr>
      <w:sz w:val="24"/>
    </w:rPr>
  </w:style>
  <w:style w:type="character" w:customStyle="1" w:styleId="CommentTextChar">
    <w:name w:val="Comment Text Char"/>
    <w:basedOn w:val="DefaultParagraphFont"/>
    <w:link w:val="CommentText"/>
    <w:semiHidden/>
    <w:rsid w:val="00165B0A"/>
    <w:rPr>
      <w:szCs w:val="24"/>
    </w:rPr>
  </w:style>
  <w:style w:type="character" w:customStyle="1" w:styleId="BoxChar">
    <w:name w:val="Box Char"/>
    <w:link w:val="Box"/>
    <w:rsid w:val="006F1A6F"/>
    <w:rPr>
      <w:rFonts w:ascii="Arial" w:hAnsi="Arial"/>
    </w:rPr>
  </w:style>
  <w:style w:type="paragraph" w:customStyle="1" w:styleId="Bullet">
    <w:name w:val="Bullet"/>
    <w:basedOn w:val="BoxListBullet"/>
    <w:rsid w:val="00467204"/>
  </w:style>
  <w:style w:type="table" w:styleId="TableGrid">
    <w:name w:val="Table Grid"/>
    <w:basedOn w:val="TableNormal"/>
    <w:rsid w:val="001367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3E760F"/>
    <w:rPr>
      <w:vertAlign w:val="superscript"/>
    </w:rPr>
  </w:style>
  <w:style w:type="paragraph" w:customStyle="1" w:styleId="Table">
    <w:name w:val="Table"/>
    <w:basedOn w:val="BodyText"/>
    <w:rsid w:val="00D215F9"/>
  </w:style>
  <w:style w:type="paragraph" w:customStyle="1" w:styleId="KeyPointsListBullet">
    <w:name w:val="Key Points List Bullet"/>
    <w:basedOn w:val="Normal"/>
    <w:qFormat/>
    <w:rsid w:val="0013679F"/>
    <w:pPr>
      <w:keepNext/>
      <w:numPr>
        <w:numId w:val="49"/>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13679F"/>
    <w:pPr>
      <w:numPr>
        <w:numId w:val="50"/>
      </w:numPr>
      <w:ind w:left="568" w:hanging="284"/>
    </w:pPr>
  </w:style>
  <w:style w:type="paragraph" w:customStyle="1" w:styleId="InformationRequestTitle">
    <w:name w:val="Information Request Title"/>
    <w:basedOn w:val="FindingTitle"/>
    <w:next w:val="InformationRequest"/>
    <w:rsid w:val="0013679F"/>
    <w:rPr>
      <w:i/>
    </w:rPr>
  </w:style>
  <w:style w:type="paragraph" w:customStyle="1" w:styleId="Space">
    <w:name w:val="Space"/>
    <w:basedOn w:val="Normal"/>
    <w:rsid w:val="0013679F"/>
    <w:pPr>
      <w:keepNext/>
      <w:spacing w:line="120" w:lineRule="exact"/>
      <w:jc w:val="both"/>
    </w:pPr>
    <w:rPr>
      <w:rFonts w:ascii="Arial" w:hAnsi="Arial"/>
      <w:sz w:val="20"/>
      <w:szCs w:val="20"/>
    </w:rPr>
  </w:style>
  <w:style w:type="paragraph" w:customStyle="1" w:styleId="Heading1nochapterno">
    <w:name w:val="Heading 1 (no chapter no.)"/>
    <w:basedOn w:val="Heading1"/>
    <w:rsid w:val="0013679F"/>
    <w:pPr>
      <w:spacing w:before="0"/>
      <w:ind w:left="0" w:firstLine="0"/>
    </w:pPr>
  </w:style>
  <w:style w:type="paragraph" w:customStyle="1" w:styleId="Heading2nosectionno">
    <w:name w:val="Heading 2 (no section no.)"/>
    <w:basedOn w:val="Heading2"/>
    <w:rsid w:val="0013679F"/>
    <w:pPr>
      <w:ind w:left="0" w:firstLine="0"/>
    </w:pPr>
  </w:style>
  <w:style w:type="character" w:customStyle="1" w:styleId="Heading5Char">
    <w:name w:val="Heading 5 Char"/>
    <w:basedOn w:val="DefaultParagraphFont"/>
    <w:link w:val="Heading5"/>
    <w:rsid w:val="0013679F"/>
    <w:rPr>
      <w:rFonts w:ascii="Arial" w:hAnsi="Arial"/>
      <w:i/>
      <w:sz w:val="22"/>
    </w:rPr>
  </w:style>
  <w:style w:type="paragraph" w:customStyle="1" w:styleId="Figurespace">
    <w:name w:val="Figure space"/>
    <w:basedOn w:val="Box"/>
    <w:rsid w:val="0013679F"/>
    <w:pPr>
      <w:spacing w:before="0" w:line="120" w:lineRule="exact"/>
    </w:pPr>
  </w:style>
  <w:style w:type="paragraph" w:customStyle="1" w:styleId="FooterDraftReport">
    <w:name w:val="FooterDraftReport"/>
    <w:basedOn w:val="Footer"/>
    <w:link w:val="FooterDraftReportChar"/>
    <w:rsid w:val="0013679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13679F"/>
    <w:rPr>
      <w:rFonts w:ascii="Arial" w:hAnsi="Arial"/>
      <w:caps/>
      <w:spacing w:val="-4"/>
      <w:sz w:val="16"/>
    </w:rPr>
  </w:style>
  <w:style w:type="character" w:customStyle="1" w:styleId="FooterDraftReportChar">
    <w:name w:val="FooterDraftReport Char"/>
    <w:basedOn w:val="FooterChar"/>
    <w:link w:val="FooterDraftReport"/>
    <w:rsid w:val="0013679F"/>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13679F"/>
    <w:rPr>
      <w:rFonts w:ascii="Arial" w:hAnsi="Arial"/>
      <w:b/>
      <w:sz w:val="26"/>
      <w:szCs w:val="26"/>
      <w:lang w:eastAsia="en-US"/>
    </w:rPr>
  </w:style>
  <w:style w:type="paragraph" w:styleId="CommentSubject">
    <w:name w:val="annotation subject"/>
    <w:basedOn w:val="CommentText"/>
    <w:next w:val="CommentText"/>
    <w:link w:val="CommentSubjectChar"/>
    <w:rsid w:val="005D65D5"/>
    <w:pPr>
      <w:spacing w:before="0" w:line="240" w:lineRule="auto"/>
      <w:ind w:left="0" w:firstLine="0"/>
    </w:pPr>
    <w:rPr>
      <w:b/>
      <w:bCs/>
      <w:szCs w:val="20"/>
    </w:rPr>
  </w:style>
  <w:style w:type="character" w:customStyle="1" w:styleId="CommentSubjectChar">
    <w:name w:val="Comment Subject Char"/>
    <w:basedOn w:val="CommentTextChar"/>
    <w:link w:val="CommentSubject"/>
    <w:rsid w:val="005D65D5"/>
    <w:rPr>
      <w:b/>
      <w:bCs/>
      <w:szCs w:val="24"/>
    </w:rPr>
  </w:style>
  <w:style w:type="paragraph" w:styleId="Revision">
    <w:name w:val="Revision"/>
    <w:hidden/>
    <w:uiPriority w:val="99"/>
    <w:semiHidden/>
    <w:rsid w:val="00F304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4A6BB-544C-41B9-831C-88E6CD65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20</Pages>
  <Words>5590</Words>
  <Characters>30687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National Quality Framework</vt:lpstr>
    </vt:vector>
  </TitlesOfParts>
  <Company>Productivity Commission</Company>
  <LinksUpToDate>false</LinksUpToDate>
  <CharactersWithSpaces>36205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Quality Framework</dc:title>
  <dc:subject>Childcare and Early childhood Learning</dc:subject>
  <dc:creator>Productivity Commission</dc:creator>
  <dc:description>F.</dc:description>
  <cp:lastModifiedBy>Productivity Commission</cp:lastModifiedBy>
  <cp:revision>2</cp:revision>
  <cp:lastPrinted>2014-11-11T04:11:00Z</cp:lastPrinted>
  <dcterms:created xsi:type="dcterms:W3CDTF">2015-02-19T00:04:00Z</dcterms:created>
  <dcterms:modified xsi:type="dcterms:W3CDTF">2015-02-19T00:04:00Z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id="tNx8zHe5"/&gt;&lt;style id="http://www.zotero.org/styles/unisa-harvard" hasBibliography="1" bibliographyStyleHasBeenSet="0"/&gt;&lt;prefs&gt;&lt;pref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