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DFF" w:rsidRDefault="00D27B1D" w:rsidP="00D27B1D">
      <w:pPr>
        <w:pStyle w:val="Heading1"/>
        <w:spacing w:before="0"/>
      </w:pPr>
      <w:bookmarkStart w:id="0" w:name="ChapterTitle"/>
      <w:r>
        <w:t>Errata</w:t>
      </w:r>
      <w:bookmarkStart w:id="1" w:name="_GoBack"/>
      <w:bookmarkEnd w:id="0"/>
      <w:bookmarkEnd w:id="1"/>
    </w:p>
    <w:p w:rsidR="00D27B1D" w:rsidRDefault="00D27B1D" w:rsidP="00D27B1D">
      <w:pPr>
        <w:pStyle w:val="BodyText"/>
      </w:pPr>
      <w:bookmarkStart w:id="2" w:name="begin"/>
      <w:bookmarkEnd w:id="2"/>
      <w:r>
        <w:t xml:space="preserve">The Commission has identified an inaccuracy in </w:t>
      </w:r>
      <w:r w:rsidR="00EB0CCB">
        <w:t>its</w:t>
      </w:r>
      <w:r>
        <w:t xml:space="preserve"> calculation of effective marginal tax rates for single parent families. This inaccuracy lies with the tax treatment and access to tax offsets of families eligible for Parenting Payment. These changes do not alter the </w:t>
      </w:r>
      <w:r w:rsidR="00C20C23">
        <w:t xml:space="preserve">conclusions </w:t>
      </w:r>
      <w:r>
        <w:t>of the report.</w:t>
      </w:r>
    </w:p>
    <w:p w:rsidR="00D27B1D" w:rsidRDefault="00D27B1D" w:rsidP="00D27B1D">
      <w:pPr>
        <w:pStyle w:val="BodyText"/>
      </w:pPr>
      <w:r>
        <w:t>The following figures have been changed and are reproduced below.</w:t>
      </w:r>
    </w:p>
    <w:p w:rsidR="00D27B1D" w:rsidRDefault="00D27B1D" w:rsidP="00D27B1D">
      <w:pPr>
        <w:pStyle w:val="ListBullet"/>
      </w:pPr>
      <w:r>
        <w:t>figure 4 in the overview, figure 6.9</w:t>
      </w:r>
      <w:r w:rsidR="00CC04D1">
        <w:t>,</w:t>
      </w:r>
      <w:r>
        <w:t xml:space="preserve"> the figures in </w:t>
      </w:r>
      <w:r w:rsidR="00CC04D1">
        <w:t xml:space="preserve">box </w:t>
      </w:r>
      <w:r>
        <w:t>E.3</w:t>
      </w:r>
      <w:r w:rsidR="00CC04D1">
        <w:t>, figure E.10 and the text description of figures 6.9</w:t>
      </w:r>
      <w:r w:rsidR="004A7743">
        <w:t>, figure E.10</w:t>
      </w:r>
      <w:r w:rsidR="00CC04D1">
        <w:t xml:space="preserve"> and box E.3 </w:t>
      </w:r>
      <w:r>
        <w:t>(all of which are based on the same representative family).</w:t>
      </w:r>
    </w:p>
    <w:p w:rsidR="00D27B1D" w:rsidRDefault="00D27B1D" w:rsidP="00D27B1D">
      <w:pPr>
        <w:pStyle w:val="ListBullet"/>
      </w:pPr>
      <w:proofErr w:type="gramStart"/>
      <w:r>
        <w:t>the</w:t>
      </w:r>
      <w:proofErr w:type="gramEnd"/>
      <w:r>
        <w:t xml:space="preserve"> figures in </w:t>
      </w:r>
      <w:r w:rsidR="00CC04D1">
        <w:t xml:space="preserve">box </w:t>
      </w:r>
      <w:r>
        <w:t>E.7 (which are based on another representative family).</w:t>
      </w:r>
    </w:p>
    <w:p w:rsidR="00666E02" w:rsidRDefault="008A325B" w:rsidP="00707227">
      <w:pPr>
        <w:pStyle w:val="Heading4"/>
        <w:spacing w:after="120"/>
      </w:pPr>
      <w:r>
        <w:t xml:space="preserve">Amended figure </w:t>
      </w:r>
      <w:r w:rsidR="00C20C23">
        <w:t>i</w:t>
      </w:r>
      <w:r>
        <w:t>n final report</w:t>
      </w:r>
      <w:r w:rsidR="00C20C23">
        <w:t xml:space="preserve">, </w:t>
      </w:r>
      <w:r>
        <w:t>page 12</w:t>
      </w: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8A325B" w:rsidRPr="008A325B" w:rsidTr="005E2CFA">
        <w:tc>
          <w:tcPr>
            <w:tcW w:w="8771" w:type="dxa"/>
            <w:tcBorders>
              <w:top w:val="single" w:sz="6" w:space="0" w:color="78A22F"/>
              <w:left w:val="nil"/>
              <w:bottom w:val="nil"/>
              <w:right w:val="nil"/>
            </w:tcBorders>
            <w:shd w:val="clear" w:color="auto" w:fill="auto"/>
          </w:tcPr>
          <w:p w:rsidR="008A325B" w:rsidRPr="008A325B" w:rsidRDefault="008A325B" w:rsidP="008A325B">
            <w:pPr>
              <w:pStyle w:val="BodyText"/>
              <w:rPr>
                <w:b/>
              </w:rPr>
            </w:pPr>
            <w:r w:rsidRPr="008A325B">
              <w:rPr>
                <w:rFonts w:asciiTheme="minorHAnsi" w:hAnsiTheme="minorHAnsi" w:cstheme="minorHAnsi"/>
              </w:rPr>
              <w:t>Figure 4</w:t>
            </w:r>
            <w:r w:rsidRPr="008A325B">
              <w:rPr>
                <w:b/>
              </w:rPr>
              <w:tab/>
            </w:r>
            <w:r w:rsidRPr="008A325B">
              <w:rPr>
                <w:rFonts w:asciiTheme="majorHAnsi" w:hAnsiTheme="majorHAnsi" w:cstheme="majorHAnsi"/>
                <w:b/>
              </w:rPr>
              <w:t>Example of effective marginal tax rates</w:t>
            </w:r>
            <w:r w:rsidRPr="008A325B">
              <w:rPr>
                <w:rStyle w:val="NoteLabel"/>
              </w:rPr>
              <w:t>a</w:t>
            </w:r>
          </w:p>
        </w:tc>
      </w:tr>
      <w:tr w:rsidR="008A325B" w:rsidRPr="008A325B" w:rsidTr="005E2CFA">
        <w:tc>
          <w:tcPr>
            <w:tcW w:w="8771" w:type="dxa"/>
            <w:tcBorders>
              <w:top w:val="nil"/>
              <w:left w:val="nil"/>
              <w:bottom w:val="nil"/>
              <w:right w:val="nil"/>
            </w:tcBorders>
            <w:shd w:val="clear" w:color="auto" w:fill="auto"/>
            <w:tcMar>
              <w:top w:w="28" w:type="dxa"/>
              <w:bottom w:w="28" w:type="dxa"/>
            </w:tcMar>
          </w:tcPr>
          <w:p w:rsidR="008A325B" w:rsidRPr="008A325B" w:rsidRDefault="00FF33B5" w:rsidP="001E1202">
            <w:pPr>
              <w:pStyle w:val="BodyText"/>
            </w:pPr>
            <w:r>
              <w:rPr>
                <w:noProof/>
              </w:rPr>
              <w:drawing>
                <wp:inline distT="0" distB="0" distL="0" distR="0" wp14:anchorId="06DFCAE9" wp14:editId="5277EDE9">
                  <wp:extent cx="5253355" cy="2880995"/>
                  <wp:effectExtent l="0" t="0" r="0" b="0"/>
                  <wp:docPr id="17" name="Picture 17" descr="EMTR for single parent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3355" cy="2880995"/>
                          </a:xfrm>
                          <a:prstGeom prst="rect">
                            <a:avLst/>
                          </a:prstGeom>
                          <a:noFill/>
                          <a:ln>
                            <a:noFill/>
                          </a:ln>
                        </pic:spPr>
                      </pic:pic>
                    </a:graphicData>
                  </a:graphic>
                </wp:inline>
              </w:drawing>
            </w:r>
          </w:p>
        </w:tc>
      </w:tr>
      <w:tr w:rsidR="008A325B" w:rsidRPr="008A325B" w:rsidTr="005E2CFA">
        <w:tc>
          <w:tcPr>
            <w:tcW w:w="8771" w:type="dxa"/>
            <w:tcBorders>
              <w:top w:val="nil"/>
              <w:left w:val="nil"/>
              <w:bottom w:val="nil"/>
              <w:right w:val="nil"/>
            </w:tcBorders>
            <w:shd w:val="clear" w:color="auto" w:fill="auto"/>
          </w:tcPr>
          <w:p w:rsidR="008A325B" w:rsidRPr="008A325B" w:rsidRDefault="008A325B" w:rsidP="008A325B">
            <w:pPr>
              <w:pStyle w:val="BodyText"/>
            </w:pPr>
            <w:proofErr w:type="gramStart"/>
            <w:r w:rsidRPr="00FF33B5">
              <w:rPr>
                <w:rStyle w:val="NoteLabel"/>
              </w:rPr>
              <w:t>a</w:t>
            </w:r>
            <w:proofErr w:type="gramEnd"/>
            <w:r w:rsidRPr="008A325B">
              <w:t xml:space="preserve"> </w:t>
            </w:r>
            <w:r w:rsidRPr="008A325B">
              <w:rPr>
                <w:rFonts w:asciiTheme="minorHAnsi" w:hAnsiTheme="minorHAnsi" w:cstheme="minorHAnsi"/>
                <w:sz w:val="18"/>
                <w:szCs w:val="18"/>
              </w:rPr>
              <w:t>Represents a single parent family with two children in long day care, as per ‘family 1’ in Box 5.</w:t>
            </w:r>
          </w:p>
        </w:tc>
      </w:tr>
      <w:tr w:rsidR="008A325B" w:rsidRPr="008A325B" w:rsidTr="005E2CFA">
        <w:tc>
          <w:tcPr>
            <w:tcW w:w="8771" w:type="dxa"/>
            <w:tcBorders>
              <w:top w:val="nil"/>
              <w:left w:val="nil"/>
              <w:bottom w:val="single" w:sz="6" w:space="0" w:color="78A22F"/>
              <w:right w:val="nil"/>
            </w:tcBorders>
            <w:shd w:val="clear" w:color="auto" w:fill="auto"/>
          </w:tcPr>
          <w:p w:rsidR="008A325B" w:rsidRPr="008A325B" w:rsidRDefault="008A325B" w:rsidP="008A325B">
            <w:pPr>
              <w:pStyle w:val="BodyText"/>
              <w:spacing w:before="0" w:line="80" w:lineRule="exact"/>
            </w:pPr>
          </w:p>
        </w:tc>
      </w:tr>
      <w:tr w:rsidR="008A325B" w:rsidRPr="008A325B" w:rsidTr="005E2CFA">
        <w:tc>
          <w:tcPr>
            <w:tcW w:w="8771" w:type="dxa"/>
            <w:tcBorders>
              <w:top w:val="single" w:sz="6" w:space="0" w:color="78A22F"/>
              <w:left w:val="nil"/>
              <w:bottom w:val="nil"/>
              <w:right w:val="nil"/>
            </w:tcBorders>
          </w:tcPr>
          <w:p w:rsidR="008A325B" w:rsidRPr="008A325B" w:rsidRDefault="008A325B" w:rsidP="008A325B">
            <w:pPr>
              <w:pStyle w:val="BodyText"/>
              <w:spacing w:before="0" w:line="80" w:lineRule="exact"/>
            </w:pPr>
          </w:p>
        </w:tc>
      </w:tr>
    </w:tbl>
    <w:p w:rsidR="00C20C23" w:rsidRDefault="00C20C23" w:rsidP="00C20C23">
      <w:pPr>
        <w:pStyle w:val="BodyText"/>
      </w:pPr>
      <w:r>
        <w:br w:type="page"/>
      </w:r>
    </w:p>
    <w:p w:rsidR="00CC04D1" w:rsidRDefault="00CC04D1" w:rsidP="00CC04D1">
      <w:pPr>
        <w:pStyle w:val="Heading4"/>
      </w:pPr>
      <w:r>
        <w:lastRenderedPageBreak/>
        <w:t>Amended text in final report, page 218</w:t>
      </w:r>
    </w:p>
    <w:p w:rsidR="00CC04D1" w:rsidRDefault="00FF33B5" w:rsidP="00CC04D1">
      <w:pPr>
        <w:pStyle w:val="BodyText"/>
      </w:pPr>
      <w:r>
        <w:t>The first dot point should be amended to read:</w:t>
      </w:r>
    </w:p>
    <w:p w:rsidR="00FF33B5" w:rsidRDefault="00FF33B5" w:rsidP="00FF33B5">
      <w:pPr>
        <w:pStyle w:val="ListBullet"/>
      </w:pPr>
      <w:r>
        <w:t xml:space="preserve">A single parent family with two children aged </w:t>
      </w:r>
      <w:proofErr w:type="gramStart"/>
      <w:r>
        <w:t>under</w:t>
      </w:r>
      <w:proofErr w:type="gramEnd"/>
      <w:r>
        <w:t xml:space="preserve"> 5 years with the parent earning $31.54 an hour (cameo family 1) could face an EMTR approaching 100 per cent if the parent worked four days.</w:t>
      </w:r>
    </w:p>
    <w:p w:rsidR="008A325B" w:rsidRDefault="008A325B" w:rsidP="00C20C23">
      <w:pPr>
        <w:pStyle w:val="Heading4"/>
      </w:pPr>
      <w:r>
        <w:t xml:space="preserve">Amended figure </w:t>
      </w:r>
      <w:r w:rsidR="00C20C23">
        <w:t>in final report, page 219</w:t>
      </w:r>
    </w:p>
    <w:p w:rsidR="00FF33B5" w:rsidRPr="00FF33B5" w:rsidRDefault="00FF33B5" w:rsidP="00FF33B5">
      <w:pPr>
        <w:pStyle w:val="BodyText"/>
      </w:pPr>
      <w:r>
        <w:t>The first of three charts in figure 6.9 is amended to be:</w:t>
      </w:r>
    </w:p>
    <w:p w:rsidR="008A325B" w:rsidRPr="008A325B" w:rsidRDefault="008A325B" w:rsidP="008A325B">
      <w:pPr>
        <w:keepNext/>
        <w:spacing w:line="0" w:lineRule="atLeast"/>
        <w:jc w:val="both"/>
        <w:rPr>
          <w:rFonts w:ascii="Times New Roman" w:hAnsi="Times New Roman"/>
          <w:b/>
          <w:sz w:val="14"/>
          <w:szCs w:val="20"/>
          <w:lang w:eastAsia="en-AU"/>
        </w:rPr>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8A325B" w:rsidRPr="008A325B" w:rsidTr="005E2CFA">
        <w:tc>
          <w:tcPr>
            <w:tcW w:w="8771" w:type="dxa"/>
            <w:tcBorders>
              <w:top w:val="single" w:sz="6" w:space="0" w:color="78A22F"/>
              <w:left w:val="nil"/>
              <w:bottom w:val="nil"/>
              <w:right w:val="nil"/>
            </w:tcBorders>
            <w:shd w:val="clear" w:color="auto" w:fill="auto"/>
          </w:tcPr>
          <w:p w:rsidR="008A325B" w:rsidRPr="008A325B" w:rsidRDefault="008A325B" w:rsidP="003A272E">
            <w:pPr>
              <w:keepNext/>
              <w:keepLines/>
              <w:spacing w:before="120" w:after="80" w:line="280" w:lineRule="exact"/>
              <w:ind w:left="1474" w:hanging="1474"/>
              <w:rPr>
                <w:rFonts w:ascii="Arial" w:hAnsi="Arial"/>
                <w:b/>
                <w:sz w:val="24"/>
                <w:szCs w:val="24"/>
                <w:lang w:eastAsia="en-AU"/>
              </w:rPr>
            </w:pPr>
            <w:r w:rsidRPr="008A325B">
              <w:rPr>
                <w:rFonts w:ascii="Arial" w:hAnsi="Arial"/>
                <w:sz w:val="24"/>
                <w:szCs w:val="24"/>
                <w:lang w:eastAsia="en-AU"/>
              </w:rPr>
              <w:t xml:space="preserve">Figure </w:t>
            </w:r>
            <w:r w:rsidR="003A272E">
              <w:rPr>
                <w:rFonts w:ascii="Arial" w:hAnsi="Arial"/>
                <w:sz w:val="24"/>
                <w:szCs w:val="24"/>
                <w:lang w:eastAsia="en-AU"/>
              </w:rPr>
              <w:t>6.9</w:t>
            </w:r>
            <w:r w:rsidRPr="008A325B">
              <w:rPr>
                <w:rFonts w:ascii="Arial" w:hAnsi="Arial"/>
                <w:b/>
                <w:sz w:val="24"/>
                <w:szCs w:val="24"/>
                <w:lang w:eastAsia="en-AU"/>
              </w:rPr>
              <w:tab/>
              <w:t xml:space="preserve">Effective marginal tax rates for second income earners </w:t>
            </w:r>
            <w:r w:rsidRPr="008A325B">
              <w:rPr>
                <w:rFonts w:ascii="Arial" w:hAnsi="Arial"/>
                <w:b/>
                <w:sz w:val="24"/>
                <w:szCs w:val="24"/>
                <w:lang w:eastAsia="en-AU"/>
              </w:rPr>
              <w:br/>
              <w:t>in 3 cameo families</w:t>
            </w:r>
          </w:p>
        </w:tc>
      </w:tr>
      <w:tr w:rsidR="008A325B" w:rsidRPr="008A325B" w:rsidTr="005E2CFA">
        <w:tc>
          <w:tcPr>
            <w:tcW w:w="8771" w:type="dxa"/>
            <w:tcBorders>
              <w:top w:val="nil"/>
              <w:left w:val="nil"/>
              <w:bottom w:val="nil"/>
              <w:right w:val="nil"/>
            </w:tcBorders>
            <w:shd w:val="clear" w:color="auto" w:fill="auto"/>
            <w:tcMar>
              <w:top w:w="28" w:type="dxa"/>
              <w:bottom w:w="28" w:type="dxa"/>
            </w:tcMar>
          </w:tcPr>
          <w:tbl>
            <w:tblPr>
              <w:tblW w:w="8778" w:type="dxa"/>
              <w:tblInd w:w="10" w:type="dxa"/>
              <w:tblBorders>
                <w:top w:val="single" w:sz="4" w:space="0" w:color="BFBFBF"/>
                <w:bottom w:val="single" w:sz="6" w:space="0" w:color="auto"/>
              </w:tblBorders>
              <w:tblLayout w:type="fixed"/>
              <w:tblLook w:val="0000" w:firstRow="0" w:lastRow="0" w:firstColumn="0" w:lastColumn="0" w:noHBand="0" w:noVBand="0"/>
            </w:tblPr>
            <w:tblGrid>
              <w:gridCol w:w="8778"/>
            </w:tblGrid>
            <w:tr w:rsidR="008A325B" w:rsidRPr="008A325B" w:rsidTr="005E2CFA">
              <w:tc>
                <w:tcPr>
                  <w:tcW w:w="5000" w:type="pct"/>
                  <w:tcBorders>
                    <w:top w:val="nil"/>
                    <w:bottom w:val="nil"/>
                  </w:tcBorders>
                </w:tcPr>
                <w:p w:rsidR="008A325B" w:rsidRPr="008A325B" w:rsidRDefault="008A325B" w:rsidP="008A325B">
                  <w:pPr>
                    <w:keepNext/>
                    <w:spacing w:before="120" w:line="240" w:lineRule="atLeast"/>
                    <w:jc w:val="center"/>
                    <w:rPr>
                      <w:rFonts w:ascii="Arial" w:hAnsi="Arial" w:cs="Arial"/>
                      <w:i/>
                      <w:sz w:val="20"/>
                      <w:szCs w:val="20"/>
                      <w:lang w:eastAsia="en-AU"/>
                    </w:rPr>
                  </w:pPr>
                  <w:r w:rsidRPr="008A325B">
                    <w:rPr>
                      <w:rFonts w:ascii="Arial" w:hAnsi="Arial" w:cs="Arial"/>
                      <w:i/>
                      <w:sz w:val="20"/>
                      <w:szCs w:val="20"/>
                      <w:lang w:eastAsia="en-AU"/>
                    </w:rPr>
                    <w:t>Cameo family 1</w:t>
                  </w:r>
                </w:p>
              </w:tc>
            </w:tr>
            <w:tr w:rsidR="008A325B" w:rsidRPr="008A325B" w:rsidTr="005E2CFA">
              <w:tc>
                <w:tcPr>
                  <w:tcW w:w="5000" w:type="pct"/>
                  <w:tcBorders>
                    <w:top w:val="nil"/>
                    <w:bottom w:val="nil"/>
                  </w:tcBorders>
                </w:tcPr>
                <w:p w:rsidR="008A325B" w:rsidRPr="008A325B" w:rsidRDefault="00FF33B5" w:rsidP="008A325B">
                  <w:pPr>
                    <w:keepNext/>
                    <w:spacing w:line="240" w:lineRule="atLeast"/>
                    <w:jc w:val="center"/>
                    <w:rPr>
                      <w:rFonts w:ascii="Times New Roman" w:hAnsi="Times New Roman"/>
                      <w:sz w:val="24"/>
                      <w:szCs w:val="20"/>
                      <w:lang w:eastAsia="en-AU"/>
                    </w:rPr>
                  </w:pPr>
                  <w:r>
                    <w:rPr>
                      <w:noProof/>
                      <w:lang w:eastAsia="en-AU"/>
                    </w:rPr>
                    <w:drawing>
                      <wp:inline distT="0" distB="0" distL="0" distR="0" wp14:anchorId="5DEEF65C" wp14:editId="336E04C9">
                        <wp:extent cx="5132705" cy="2587625"/>
                        <wp:effectExtent l="0" t="0" r="0" b="3175"/>
                        <wp:docPr id="1" name="Picture 1" descr="example effective marginal tax rate of a single parent with two children in long day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32705" cy="2587625"/>
                                </a:xfrm>
                                <a:prstGeom prst="rect">
                                  <a:avLst/>
                                </a:prstGeom>
                                <a:noFill/>
                                <a:ln>
                                  <a:noFill/>
                                </a:ln>
                              </pic:spPr>
                            </pic:pic>
                          </a:graphicData>
                        </a:graphic>
                      </wp:inline>
                    </w:drawing>
                  </w:r>
                </w:p>
              </w:tc>
            </w:tr>
          </w:tbl>
          <w:p w:rsidR="008A325B" w:rsidRPr="008A325B" w:rsidRDefault="008A325B" w:rsidP="008A325B">
            <w:pPr>
              <w:keepNext/>
              <w:spacing w:before="120" w:after="120" w:line="240" w:lineRule="atLeast"/>
              <w:jc w:val="center"/>
              <w:rPr>
                <w:rFonts w:ascii="Times New Roman" w:hAnsi="Times New Roman"/>
                <w:sz w:val="24"/>
                <w:szCs w:val="20"/>
                <w:lang w:eastAsia="en-AU"/>
              </w:rPr>
            </w:pPr>
          </w:p>
        </w:tc>
      </w:tr>
      <w:tr w:rsidR="008A325B" w:rsidRPr="008A325B" w:rsidTr="005E2CFA">
        <w:tc>
          <w:tcPr>
            <w:tcW w:w="8771" w:type="dxa"/>
            <w:tcBorders>
              <w:top w:val="nil"/>
              <w:left w:val="nil"/>
              <w:bottom w:val="single" w:sz="6" w:space="0" w:color="78A22F"/>
              <w:right w:val="nil"/>
            </w:tcBorders>
            <w:shd w:val="clear" w:color="auto" w:fill="auto"/>
          </w:tcPr>
          <w:p w:rsidR="008A325B" w:rsidRPr="008A325B" w:rsidRDefault="008A325B" w:rsidP="008A325B">
            <w:pPr>
              <w:keepNext/>
              <w:spacing w:line="120" w:lineRule="exact"/>
              <w:jc w:val="both"/>
              <w:rPr>
                <w:rFonts w:ascii="Arial" w:hAnsi="Arial"/>
                <w:sz w:val="20"/>
                <w:szCs w:val="20"/>
                <w:lang w:eastAsia="en-AU"/>
              </w:rPr>
            </w:pPr>
          </w:p>
        </w:tc>
      </w:tr>
      <w:tr w:rsidR="008A325B" w:rsidRPr="008A325B" w:rsidTr="005E2CFA">
        <w:tc>
          <w:tcPr>
            <w:tcW w:w="8771" w:type="dxa"/>
            <w:tcBorders>
              <w:top w:val="single" w:sz="6" w:space="0" w:color="78A22F"/>
              <w:left w:val="nil"/>
              <w:bottom w:val="nil"/>
              <w:right w:val="nil"/>
            </w:tcBorders>
          </w:tcPr>
          <w:p w:rsidR="008A325B" w:rsidRPr="008A325B" w:rsidRDefault="008A325B" w:rsidP="008A325B">
            <w:pPr>
              <w:spacing w:before="60" w:after="60" w:line="80" w:lineRule="exact"/>
              <w:jc w:val="both"/>
              <w:rPr>
                <w:rFonts w:ascii="Arial" w:hAnsi="Arial"/>
                <w:sz w:val="14"/>
                <w:szCs w:val="20"/>
                <w:lang w:eastAsia="en-AU"/>
              </w:rPr>
            </w:pPr>
          </w:p>
        </w:tc>
      </w:tr>
    </w:tbl>
    <w:p w:rsidR="00666E02" w:rsidRDefault="00666E02" w:rsidP="00120072">
      <w:pPr>
        <w:pStyle w:val="BodyText"/>
      </w:pPr>
    </w:p>
    <w:p w:rsidR="001C0AED" w:rsidRDefault="00C20C23" w:rsidP="00C20C23">
      <w:pPr>
        <w:pStyle w:val="Heading4"/>
      </w:pPr>
      <w:r>
        <w:lastRenderedPageBreak/>
        <w:t xml:space="preserve">Amended box </w:t>
      </w:r>
      <w:r w:rsidR="00052A1E">
        <w:t xml:space="preserve">figures </w:t>
      </w:r>
      <w:r>
        <w:t>in final report, page 891</w:t>
      </w:r>
    </w:p>
    <w:p w:rsidR="00C20C23" w:rsidRDefault="00C20C23" w:rsidP="00052A1E">
      <w:pPr>
        <w:pStyle w:val="BoxSpaceAbove"/>
        <w:spacing w:before="240"/>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C20C23" w:rsidTr="005E2CFA">
        <w:tc>
          <w:tcPr>
            <w:tcW w:w="8771" w:type="dxa"/>
            <w:tcBorders>
              <w:top w:val="single" w:sz="6" w:space="0" w:color="78A22F"/>
              <w:left w:val="nil"/>
              <w:bottom w:val="nil"/>
              <w:right w:val="nil"/>
            </w:tcBorders>
            <w:shd w:val="clear" w:color="auto" w:fill="F2F2F2"/>
          </w:tcPr>
          <w:p w:rsidR="00C20C23" w:rsidRDefault="00C20C23" w:rsidP="003A272E">
            <w:pPr>
              <w:pStyle w:val="BoxTitle"/>
            </w:pPr>
            <w:r>
              <w:rPr>
                <w:b w:val="0"/>
              </w:rPr>
              <w:t xml:space="preserve">Box </w:t>
            </w:r>
            <w:r w:rsidR="003A272E">
              <w:rPr>
                <w:b w:val="0"/>
              </w:rPr>
              <w:t>E.3</w:t>
            </w:r>
            <w:r>
              <w:tab/>
              <w:t>Cameo 1</w:t>
            </w:r>
          </w:p>
        </w:tc>
      </w:tr>
      <w:tr w:rsidR="00C20C23" w:rsidTr="005E2CFA">
        <w:trPr>
          <w:cantSplit/>
        </w:trPr>
        <w:tc>
          <w:tcPr>
            <w:tcW w:w="8771" w:type="dxa"/>
            <w:tcBorders>
              <w:top w:val="nil"/>
              <w:left w:val="nil"/>
              <w:bottom w:val="nil"/>
              <w:right w:val="nil"/>
            </w:tcBorders>
            <w:shd w:val="clear" w:color="auto" w:fill="F2F2F2"/>
          </w:tcPr>
          <w:p w:rsidR="00C20C23" w:rsidRPr="00EF0EA9" w:rsidRDefault="00C20C23" w:rsidP="005E2CFA">
            <w:pPr>
              <w:pStyle w:val="Box"/>
              <w:spacing w:before="0" w:line="120" w:lineRule="atLeast"/>
              <w:rPr>
                <w:sz w:val="16"/>
                <w:szCs w:val="16"/>
              </w:rPr>
            </w:pPr>
          </w:p>
          <w:tbl>
            <w:tblPr>
              <w:tblW w:w="5000" w:type="pct"/>
              <w:tblLayout w:type="fixed"/>
              <w:tblCellMar>
                <w:top w:w="28" w:type="dxa"/>
                <w:left w:w="0" w:type="dxa"/>
                <w:right w:w="0" w:type="dxa"/>
              </w:tblCellMar>
              <w:tblLook w:val="0000" w:firstRow="0" w:lastRow="0" w:firstColumn="0" w:lastColumn="0" w:noHBand="0" w:noVBand="0"/>
            </w:tblPr>
            <w:tblGrid>
              <w:gridCol w:w="1213"/>
              <w:gridCol w:w="1214"/>
              <w:gridCol w:w="1212"/>
              <w:gridCol w:w="1212"/>
              <w:gridCol w:w="1212"/>
              <w:gridCol w:w="1212"/>
              <w:gridCol w:w="1212"/>
            </w:tblGrid>
            <w:tr w:rsidR="00C20C23" w:rsidTr="005E2CFA">
              <w:tc>
                <w:tcPr>
                  <w:tcW w:w="715" w:type="pct"/>
                  <w:tcBorders>
                    <w:top w:val="single" w:sz="6" w:space="0" w:color="C8C8C8"/>
                    <w:bottom w:val="single" w:sz="6" w:space="0" w:color="C8C8C8"/>
                  </w:tcBorders>
                  <w:shd w:val="clear" w:color="auto" w:fill="auto"/>
                  <w:tcMar>
                    <w:top w:w="28" w:type="dxa"/>
                  </w:tcMar>
                  <w:vAlign w:val="bottom"/>
                </w:tcPr>
                <w:p w:rsidR="00C20C23" w:rsidRDefault="00C20C23" w:rsidP="005E2CFA">
                  <w:pPr>
                    <w:pStyle w:val="TableColumnHeading"/>
                    <w:jc w:val="left"/>
                  </w:pPr>
                  <w:r>
                    <w:t>Family structure</w:t>
                  </w:r>
                </w:p>
              </w:tc>
              <w:tc>
                <w:tcPr>
                  <w:tcW w:w="715" w:type="pct"/>
                  <w:tcBorders>
                    <w:top w:val="single" w:sz="6" w:space="0" w:color="C8C8C8"/>
                    <w:bottom w:val="single" w:sz="6" w:space="0" w:color="C8C8C8"/>
                  </w:tcBorders>
                  <w:shd w:val="clear" w:color="auto" w:fill="auto"/>
                  <w:tcMar>
                    <w:top w:w="28" w:type="dxa"/>
                  </w:tcMar>
                  <w:vAlign w:val="bottom"/>
                </w:tcPr>
                <w:p w:rsidR="00C20C23" w:rsidRDefault="00C20C23" w:rsidP="005E2CFA">
                  <w:pPr>
                    <w:pStyle w:val="TableColumnHeading"/>
                  </w:pPr>
                  <w:r>
                    <w:t>Number of children (ages)</w:t>
                  </w:r>
                </w:p>
              </w:tc>
              <w:tc>
                <w:tcPr>
                  <w:tcW w:w="714" w:type="pct"/>
                  <w:tcBorders>
                    <w:top w:val="single" w:sz="6" w:space="0" w:color="C8C8C8"/>
                    <w:bottom w:val="single" w:sz="6" w:space="0" w:color="C8C8C8"/>
                  </w:tcBorders>
                  <w:shd w:val="clear" w:color="auto" w:fill="auto"/>
                  <w:tcMar>
                    <w:top w:w="28" w:type="dxa"/>
                  </w:tcMar>
                  <w:vAlign w:val="bottom"/>
                </w:tcPr>
                <w:p w:rsidR="00C20C23" w:rsidRDefault="00C20C23" w:rsidP="005E2CFA">
                  <w:pPr>
                    <w:pStyle w:val="TableColumnHeading"/>
                    <w:ind w:right="28"/>
                  </w:pPr>
                  <w:r>
                    <w:t xml:space="preserve">Type of </w:t>
                  </w:r>
                  <w:r>
                    <w:br/>
                    <w:t>ECEC used</w:t>
                  </w:r>
                </w:p>
              </w:tc>
              <w:tc>
                <w:tcPr>
                  <w:tcW w:w="714" w:type="pct"/>
                  <w:tcBorders>
                    <w:top w:val="single" w:sz="6" w:space="0" w:color="C8C8C8"/>
                    <w:bottom w:val="single" w:sz="6" w:space="0" w:color="C8C8C8"/>
                  </w:tcBorders>
                  <w:vAlign w:val="bottom"/>
                </w:tcPr>
                <w:p w:rsidR="00C20C23" w:rsidRDefault="00C20C23" w:rsidP="005E2CFA">
                  <w:pPr>
                    <w:pStyle w:val="TableColumnHeading"/>
                    <w:ind w:right="28"/>
                  </w:pPr>
                  <w:r>
                    <w:t>ECEC fees</w:t>
                  </w:r>
                </w:p>
              </w:tc>
              <w:tc>
                <w:tcPr>
                  <w:tcW w:w="714" w:type="pct"/>
                  <w:tcBorders>
                    <w:top w:val="single" w:sz="6" w:space="0" w:color="C8C8C8"/>
                    <w:bottom w:val="single" w:sz="6" w:space="0" w:color="C8C8C8"/>
                  </w:tcBorders>
                  <w:vAlign w:val="bottom"/>
                </w:tcPr>
                <w:p w:rsidR="00C20C23" w:rsidRDefault="00C20C23" w:rsidP="005E2CFA">
                  <w:pPr>
                    <w:pStyle w:val="TableColumnHeading"/>
                    <w:ind w:right="28"/>
                  </w:pPr>
                  <w:r>
                    <w:t xml:space="preserve">Wage rate </w:t>
                  </w:r>
                  <w:r>
                    <w:br/>
                    <w:t>of mother</w:t>
                  </w:r>
                </w:p>
              </w:tc>
              <w:tc>
                <w:tcPr>
                  <w:tcW w:w="714" w:type="pct"/>
                  <w:tcBorders>
                    <w:top w:val="single" w:sz="6" w:space="0" w:color="C8C8C8"/>
                    <w:bottom w:val="single" w:sz="6" w:space="0" w:color="C8C8C8"/>
                  </w:tcBorders>
                  <w:vAlign w:val="bottom"/>
                </w:tcPr>
                <w:p w:rsidR="00C20C23" w:rsidRDefault="00C20C23" w:rsidP="005E2CFA">
                  <w:pPr>
                    <w:pStyle w:val="TableColumnHeading"/>
                    <w:ind w:right="28"/>
                  </w:pPr>
                  <w:r>
                    <w:t xml:space="preserve">Partners income </w:t>
                  </w:r>
                  <w:r>
                    <w:br/>
                    <w:t>(per annum)</w:t>
                  </w:r>
                </w:p>
              </w:tc>
              <w:tc>
                <w:tcPr>
                  <w:tcW w:w="714" w:type="pct"/>
                  <w:tcBorders>
                    <w:top w:val="single" w:sz="6" w:space="0" w:color="C8C8C8"/>
                    <w:bottom w:val="single" w:sz="6" w:space="0" w:color="C8C8C8"/>
                  </w:tcBorders>
                  <w:vAlign w:val="bottom"/>
                </w:tcPr>
                <w:p w:rsidR="00C20C23" w:rsidRDefault="00C20C23" w:rsidP="005E2CFA">
                  <w:pPr>
                    <w:pStyle w:val="TableColumnHeading"/>
                    <w:ind w:right="28"/>
                  </w:pPr>
                  <w:r>
                    <w:t>Other factors</w:t>
                  </w:r>
                </w:p>
              </w:tc>
            </w:tr>
            <w:tr w:rsidR="00C20C23" w:rsidTr="005E2CFA">
              <w:tc>
                <w:tcPr>
                  <w:tcW w:w="715" w:type="pct"/>
                  <w:tcBorders>
                    <w:bottom w:val="single" w:sz="6" w:space="0" w:color="C8C8C8"/>
                  </w:tcBorders>
                  <w:shd w:val="clear" w:color="auto" w:fill="auto"/>
                </w:tcPr>
                <w:p w:rsidR="00C20C23" w:rsidRDefault="00C20C23" w:rsidP="005E2CFA">
                  <w:pPr>
                    <w:pStyle w:val="TableUnitsRow"/>
                    <w:jc w:val="left"/>
                  </w:pPr>
                </w:p>
              </w:tc>
              <w:tc>
                <w:tcPr>
                  <w:tcW w:w="715" w:type="pct"/>
                  <w:tcBorders>
                    <w:bottom w:val="single" w:sz="6" w:space="0" w:color="C8C8C8"/>
                  </w:tcBorders>
                  <w:shd w:val="clear" w:color="auto" w:fill="auto"/>
                </w:tcPr>
                <w:p w:rsidR="00C20C23" w:rsidRDefault="00C20C23" w:rsidP="005E2CFA">
                  <w:pPr>
                    <w:pStyle w:val="TableUnitsRow"/>
                  </w:pPr>
                </w:p>
              </w:tc>
              <w:tc>
                <w:tcPr>
                  <w:tcW w:w="714" w:type="pct"/>
                  <w:tcBorders>
                    <w:bottom w:val="single" w:sz="6" w:space="0" w:color="C8C8C8"/>
                  </w:tcBorders>
                  <w:shd w:val="clear" w:color="auto" w:fill="auto"/>
                </w:tcPr>
                <w:p w:rsidR="00C20C23" w:rsidRDefault="00C20C23" w:rsidP="005E2CFA">
                  <w:pPr>
                    <w:pStyle w:val="TableUnitsRow"/>
                    <w:ind w:right="28"/>
                  </w:pPr>
                </w:p>
              </w:tc>
              <w:tc>
                <w:tcPr>
                  <w:tcW w:w="714" w:type="pct"/>
                  <w:tcBorders>
                    <w:bottom w:val="single" w:sz="6" w:space="0" w:color="C8C8C8"/>
                  </w:tcBorders>
                </w:tcPr>
                <w:p w:rsidR="00C20C23" w:rsidRDefault="00C20C23" w:rsidP="005E2CFA">
                  <w:pPr>
                    <w:pStyle w:val="TableUnitsRow"/>
                    <w:ind w:right="28"/>
                  </w:pPr>
                  <w:r>
                    <w:t>$/hour/child</w:t>
                  </w:r>
                </w:p>
              </w:tc>
              <w:tc>
                <w:tcPr>
                  <w:tcW w:w="714" w:type="pct"/>
                  <w:tcBorders>
                    <w:bottom w:val="single" w:sz="6" w:space="0" w:color="C8C8C8"/>
                  </w:tcBorders>
                </w:tcPr>
                <w:p w:rsidR="00C20C23" w:rsidRDefault="00C20C23" w:rsidP="005E2CFA">
                  <w:pPr>
                    <w:pStyle w:val="TableUnitsRow"/>
                    <w:ind w:right="28"/>
                  </w:pPr>
                  <w:r>
                    <w:t>$/hour</w:t>
                  </w:r>
                </w:p>
              </w:tc>
              <w:tc>
                <w:tcPr>
                  <w:tcW w:w="714" w:type="pct"/>
                  <w:tcBorders>
                    <w:bottom w:val="single" w:sz="6" w:space="0" w:color="C8C8C8"/>
                  </w:tcBorders>
                </w:tcPr>
                <w:p w:rsidR="00C20C23" w:rsidRDefault="00C20C23" w:rsidP="005E2CFA">
                  <w:pPr>
                    <w:pStyle w:val="TableUnitsRow"/>
                    <w:ind w:right="28"/>
                  </w:pPr>
                  <w:r>
                    <w:t>$</w:t>
                  </w:r>
                </w:p>
              </w:tc>
              <w:tc>
                <w:tcPr>
                  <w:tcW w:w="714" w:type="pct"/>
                  <w:tcBorders>
                    <w:bottom w:val="single" w:sz="6" w:space="0" w:color="C8C8C8"/>
                  </w:tcBorders>
                </w:tcPr>
                <w:p w:rsidR="00C20C23" w:rsidRDefault="00C20C23" w:rsidP="005E2CFA">
                  <w:pPr>
                    <w:pStyle w:val="TableUnitsRow"/>
                    <w:ind w:right="28"/>
                  </w:pPr>
                </w:p>
              </w:tc>
            </w:tr>
            <w:tr w:rsidR="00C20C23" w:rsidTr="005E2CFA">
              <w:tc>
                <w:tcPr>
                  <w:tcW w:w="715" w:type="pct"/>
                  <w:tcBorders>
                    <w:top w:val="single" w:sz="6" w:space="0" w:color="C8C8C8"/>
                    <w:bottom w:val="single" w:sz="6" w:space="0" w:color="C8C8C8"/>
                  </w:tcBorders>
                  <w:shd w:val="clear" w:color="auto" w:fill="auto"/>
                </w:tcPr>
                <w:p w:rsidR="00C20C23" w:rsidRDefault="00C20C23" w:rsidP="005E2CFA">
                  <w:pPr>
                    <w:pStyle w:val="TableBodyText"/>
                    <w:jc w:val="left"/>
                  </w:pPr>
                  <w:r>
                    <w:t>Single</w:t>
                  </w:r>
                </w:p>
              </w:tc>
              <w:tc>
                <w:tcPr>
                  <w:tcW w:w="715" w:type="pct"/>
                  <w:tcBorders>
                    <w:top w:val="single" w:sz="6" w:space="0" w:color="C8C8C8"/>
                    <w:bottom w:val="single" w:sz="6" w:space="0" w:color="C8C8C8"/>
                  </w:tcBorders>
                  <w:shd w:val="clear" w:color="auto" w:fill="auto"/>
                </w:tcPr>
                <w:p w:rsidR="00C20C23" w:rsidRDefault="00C20C23" w:rsidP="005E2CFA">
                  <w:pPr>
                    <w:pStyle w:val="TableBodyText"/>
                  </w:pPr>
                  <w:r>
                    <w:t>2</w:t>
                  </w:r>
                </w:p>
                <w:p w:rsidR="00C20C23" w:rsidRDefault="00C20C23" w:rsidP="005E2CFA">
                  <w:pPr>
                    <w:pStyle w:val="TableBodyText"/>
                  </w:pPr>
                  <w:r>
                    <w:t>(2 and 3)</w:t>
                  </w:r>
                </w:p>
              </w:tc>
              <w:tc>
                <w:tcPr>
                  <w:tcW w:w="714" w:type="pct"/>
                  <w:tcBorders>
                    <w:top w:val="single" w:sz="6" w:space="0" w:color="C8C8C8"/>
                    <w:bottom w:val="single" w:sz="6" w:space="0" w:color="C8C8C8"/>
                  </w:tcBorders>
                  <w:shd w:val="clear" w:color="auto" w:fill="auto"/>
                </w:tcPr>
                <w:p w:rsidR="00C20C23" w:rsidRDefault="00C20C23" w:rsidP="005E2CFA">
                  <w:pPr>
                    <w:pStyle w:val="TableBodyText"/>
                    <w:ind w:right="28"/>
                  </w:pPr>
                  <w:r>
                    <w:t>LDC</w:t>
                  </w:r>
                </w:p>
              </w:tc>
              <w:tc>
                <w:tcPr>
                  <w:tcW w:w="714" w:type="pct"/>
                  <w:tcBorders>
                    <w:top w:val="single" w:sz="6" w:space="0" w:color="C8C8C8"/>
                    <w:bottom w:val="single" w:sz="6" w:space="0" w:color="C8C8C8"/>
                  </w:tcBorders>
                  <w:shd w:val="clear" w:color="auto" w:fill="auto"/>
                </w:tcPr>
                <w:p w:rsidR="00C20C23" w:rsidRDefault="00C20C23" w:rsidP="005E2CFA">
                  <w:pPr>
                    <w:pStyle w:val="TableBodyText"/>
                    <w:ind w:right="28"/>
                  </w:pPr>
                  <w:r>
                    <w:t>$7.27</w:t>
                  </w:r>
                </w:p>
              </w:tc>
              <w:tc>
                <w:tcPr>
                  <w:tcW w:w="714" w:type="pct"/>
                  <w:tcBorders>
                    <w:top w:val="single" w:sz="6" w:space="0" w:color="C8C8C8"/>
                    <w:bottom w:val="single" w:sz="6" w:space="0" w:color="C8C8C8"/>
                  </w:tcBorders>
                  <w:shd w:val="clear" w:color="auto" w:fill="auto"/>
                </w:tcPr>
                <w:p w:rsidR="00C20C23" w:rsidRDefault="00C20C23" w:rsidP="005E2CFA">
                  <w:pPr>
                    <w:pStyle w:val="TableBodyText"/>
                    <w:ind w:right="28"/>
                  </w:pPr>
                  <w:r>
                    <w:t>$31.54</w:t>
                  </w:r>
                </w:p>
              </w:tc>
              <w:tc>
                <w:tcPr>
                  <w:tcW w:w="714" w:type="pct"/>
                  <w:tcBorders>
                    <w:top w:val="single" w:sz="6" w:space="0" w:color="C8C8C8"/>
                    <w:bottom w:val="single" w:sz="6" w:space="0" w:color="C8C8C8"/>
                  </w:tcBorders>
                  <w:shd w:val="clear" w:color="auto" w:fill="auto"/>
                </w:tcPr>
                <w:p w:rsidR="00C20C23" w:rsidRDefault="00C20C23" w:rsidP="005E2CFA">
                  <w:pPr>
                    <w:pStyle w:val="TableBodyText"/>
                    <w:ind w:right="28"/>
                  </w:pPr>
                  <w:proofErr w:type="spellStart"/>
                  <w:r>
                    <w:t>na</w:t>
                  </w:r>
                  <w:proofErr w:type="spellEnd"/>
                </w:p>
              </w:tc>
              <w:tc>
                <w:tcPr>
                  <w:tcW w:w="714" w:type="pct"/>
                  <w:tcBorders>
                    <w:top w:val="single" w:sz="6" w:space="0" w:color="C8C8C8"/>
                    <w:bottom w:val="single" w:sz="6" w:space="0" w:color="C8C8C8"/>
                  </w:tcBorders>
                  <w:shd w:val="clear" w:color="auto" w:fill="auto"/>
                </w:tcPr>
                <w:p w:rsidR="00C20C23" w:rsidRDefault="00C20C23" w:rsidP="005E2CFA">
                  <w:pPr>
                    <w:pStyle w:val="TableBodyText"/>
                    <w:ind w:right="28"/>
                  </w:pPr>
                  <w:r>
                    <w:t>none</w:t>
                  </w:r>
                </w:p>
              </w:tc>
            </w:tr>
          </w:tbl>
          <w:p w:rsidR="00C20C23" w:rsidRDefault="00C20C23" w:rsidP="005E2CFA"/>
          <w:tbl>
            <w:tblPr>
              <w:tblW w:w="4988" w:type="pct"/>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4233"/>
              <w:gridCol w:w="4234"/>
            </w:tblGrid>
            <w:tr w:rsidR="00C20C23" w:rsidTr="005E2CFA">
              <w:trPr>
                <w:trHeight w:val="140"/>
              </w:trPr>
              <w:tc>
                <w:tcPr>
                  <w:tcW w:w="5000" w:type="pct"/>
                  <w:gridSpan w:val="2"/>
                  <w:tcBorders>
                    <w:top w:val="nil"/>
                    <w:bottom w:val="nil"/>
                  </w:tcBorders>
                </w:tcPr>
                <w:p w:rsidR="00C20C23" w:rsidRPr="008709BF" w:rsidRDefault="00C20C23" w:rsidP="005E2CFA">
                  <w:pPr>
                    <w:pStyle w:val="Figure"/>
                    <w:spacing w:before="60" w:after="60"/>
                    <w:rPr>
                      <w:rFonts w:ascii="Arial" w:hAnsi="Arial" w:cs="Arial"/>
                      <w:i/>
                      <w:sz w:val="20"/>
                    </w:rPr>
                  </w:pPr>
                  <w:r w:rsidRPr="008709BF">
                    <w:rPr>
                      <w:rFonts w:ascii="Arial" w:hAnsi="Arial" w:cs="Arial"/>
                      <w:b/>
                      <w:i/>
                      <w:sz w:val="18"/>
                      <w:szCs w:val="18"/>
                    </w:rPr>
                    <w:t>Effective marginal tax rates</w:t>
                  </w:r>
                </w:p>
              </w:tc>
            </w:tr>
            <w:tr w:rsidR="00C20C23" w:rsidTr="005E2CFA">
              <w:trPr>
                <w:trHeight w:val="140"/>
              </w:trPr>
              <w:tc>
                <w:tcPr>
                  <w:tcW w:w="2500" w:type="pct"/>
                  <w:tcBorders>
                    <w:top w:val="nil"/>
                    <w:bottom w:val="nil"/>
                  </w:tcBorders>
                </w:tcPr>
                <w:p w:rsidR="00C20C23" w:rsidRDefault="00C20C23" w:rsidP="005E2CFA">
                  <w:pPr>
                    <w:pStyle w:val="Figure"/>
                    <w:spacing w:before="60" w:after="60"/>
                    <w:rPr>
                      <w:noProof/>
                    </w:rPr>
                  </w:pPr>
                  <w:r w:rsidRPr="00F35A42">
                    <w:rPr>
                      <w:rFonts w:ascii="Arial" w:hAnsi="Arial" w:cs="Arial"/>
                      <w:i/>
                      <w:sz w:val="20"/>
                    </w:rPr>
                    <w:t>Current</w:t>
                  </w:r>
                </w:p>
              </w:tc>
              <w:tc>
                <w:tcPr>
                  <w:tcW w:w="2500" w:type="pct"/>
                  <w:tcBorders>
                    <w:top w:val="nil"/>
                    <w:bottom w:val="nil"/>
                  </w:tcBorders>
                </w:tcPr>
                <w:p w:rsidR="00C20C23" w:rsidRDefault="00C20C23" w:rsidP="005E2CFA">
                  <w:pPr>
                    <w:pStyle w:val="Figure"/>
                    <w:spacing w:before="60" w:after="60"/>
                    <w:rPr>
                      <w:noProof/>
                    </w:rPr>
                  </w:pPr>
                  <w:r>
                    <w:rPr>
                      <w:rFonts w:ascii="Arial" w:hAnsi="Arial" w:cs="Arial"/>
                      <w:i/>
                      <w:sz w:val="20"/>
                    </w:rPr>
                    <w:t>Recommended reform</w:t>
                  </w:r>
                </w:p>
              </w:tc>
            </w:tr>
            <w:tr w:rsidR="00C20C23" w:rsidTr="005E2CFA">
              <w:trPr>
                <w:trHeight w:val="140"/>
              </w:trPr>
              <w:tc>
                <w:tcPr>
                  <w:tcW w:w="2500" w:type="pct"/>
                  <w:tcBorders>
                    <w:top w:val="nil"/>
                    <w:bottom w:val="nil"/>
                  </w:tcBorders>
                </w:tcPr>
                <w:p w:rsidR="00C20C23" w:rsidRDefault="00FF33B5" w:rsidP="005E2CFA">
                  <w:pPr>
                    <w:pStyle w:val="Figure"/>
                    <w:spacing w:before="60" w:after="60"/>
                    <w:rPr>
                      <w:noProof/>
                    </w:rPr>
                  </w:pPr>
                  <w:r>
                    <w:rPr>
                      <w:noProof/>
                    </w:rPr>
                    <w:drawing>
                      <wp:inline distT="0" distB="0" distL="0" distR="0" wp14:anchorId="1EBA52F0" wp14:editId="6D0C7257">
                        <wp:extent cx="2519680" cy="2041525"/>
                        <wp:effectExtent l="0" t="0" r="0" b="0"/>
                        <wp:docPr id="12" name="Picture 12" descr="Indicates the effective marginal tax rates that our first cameo family faces under current tax, transfer and ECEC subsidies. The resulting EMTRs are discussed in th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9680" cy="2041525"/>
                                </a:xfrm>
                                <a:prstGeom prst="rect">
                                  <a:avLst/>
                                </a:prstGeom>
                                <a:noFill/>
                                <a:ln>
                                  <a:noFill/>
                                </a:ln>
                              </pic:spPr>
                            </pic:pic>
                          </a:graphicData>
                        </a:graphic>
                      </wp:inline>
                    </w:drawing>
                  </w:r>
                </w:p>
              </w:tc>
              <w:tc>
                <w:tcPr>
                  <w:tcW w:w="2500" w:type="pct"/>
                  <w:tcBorders>
                    <w:top w:val="nil"/>
                    <w:bottom w:val="nil"/>
                  </w:tcBorders>
                </w:tcPr>
                <w:p w:rsidR="00C20C23" w:rsidRDefault="00FF33B5" w:rsidP="005E2CFA">
                  <w:pPr>
                    <w:pStyle w:val="Figure"/>
                    <w:spacing w:before="60" w:after="60"/>
                    <w:rPr>
                      <w:noProof/>
                    </w:rPr>
                  </w:pPr>
                  <w:r>
                    <w:rPr>
                      <w:noProof/>
                    </w:rPr>
                    <w:drawing>
                      <wp:inline distT="0" distB="0" distL="0" distR="0" wp14:anchorId="118B5371" wp14:editId="290CD5D1">
                        <wp:extent cx="2519680" cy="2009775"/>
                        <wp:effectExtent l="0" t="0" r="0" b="0"/>
                        <wp:docPr id="13" name="Picture 13" descr="Indicates the effective marginal tax rates that our first cameo family faces under current tax, transfer and the Commission’s policy scenario for a replacement ECEC subsidy. The resulting EMTRs are discussed in th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9680" cy="2009775"/>
                                </a:xfrm>
                                <a:prstGeom prst="rect">
                                  <a:avLst/>
                                </a:prstGeom>
                                <a:noFill/>
                                <a:ln>
                                  <a:noFill/>
                                </a:ln>
                              </pic:spPr>
                            </pic:pic>
                          </a:graphicData>
                        </a:graphic>
                      </wp:inline>
                    </w:drawing>
                  </w:r>
                </w:p>
              </w:tc>
            </w:tr>
            <w:tr w:rsidR="00C20C23" w:rsidTr="005E2CFA">
              <w:trPr>
                <w:trHeight w:val="140"/>
              </w:trPr>
              <w:tc>
                <w:tcPr>
                  <w:tcW w:w="5000" w:type="pct"/>
                  <w:gridSpan w:val="2"/>
                  <w:tcBorders>
                    <w:top w:val="nil"/>
                    <w:bottom w:val="nil"/>
                  </w:tcBorders>
                </w:tcPr>
                <w:p w:rsidR="00C20C23" w:rsidRDefault="005722D7" w:rsidP="005E2CFA">
                  <w:pPr>
                    <w:pStyle w:val="Figure"/>
                    <w:spacing w:before="60" w:after="6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egend for Effective marginal tax rates charts Box E.3" style="width:397.65pt;height:38.5pt">
                        <v:imagedata r:id="rId13" o:title=""/>
                      </v:shape>
                    </w:pict>
                  </w:r>
                </w:p>
              </w:tc>
            </w:tr>
          </w:tbl>
          <w:p w:rsidR="00C20C23" w:rsidRDefault="00C20C23" w:rsidP="005E2CFA">
            <w:pPr>
              <w:pStyle w:val="Box"/>
            </w:pPr>
          </w:p>
        </w:tc>
      </w:tr>
      <w:tr w:rsidR="00C20C23" w:rsidTr="005E2CFA">
        <w:trPr>
          <w:cantSplit/>
        </w:trPr>
        <w:tc>
          <w:tcPr>
            <w:tcW w:w="8771" w:type="dxa"/>
            <w:tcBorders>
              <w:top w:val="nil"/>
              <w:left w:val="nil"/>
              <w:bottom w:val="nil"/>
              <w:right w:val="nil"/>
            </w:tcBorders>
            <w:shd w:val="clear" w:color="auto" w:fill="F2F2F2"/>
          </w:tcPr>
          <w:p w:rsidR="00C20C23" w:rsidRDefault="00C20C23" w:rsidP="005E2CFA">
            <w:pPr>
              <w:pStyle w:val="BoxSource"/>
            </w:pPr>
            <w:r>
              <w:rPr>
                <w:i/>
              </w:rPr>
              <w:t>Source</w:t>
            </w:r>
            <w:r w:rsidRPr="00167F06">
              <w:t xml:space="preserve">: </w:t>
            </w:r>
            <w:r>
              <w:t>Productivity Commission calculations.</w:t>
            </w:r>
          </w:p>
        </w:tc>
      </w:tr>
      <w:tr w:rsidR="00C20C23" w:rsidTr="005E2CFA">
        <w:trPr>
          <w:cantSplit/>
        </w:trPr>
        <w:tc>
          <w:tcPr>
            <w:tcW w:w="8771" w:type="dxa"/>
            <w:tcBorders>
              <w:top w:val="nil"/>
              <w:left w:val="nil"/>
              <w:bottom w:val="single" w:sz="6" w:space="0" w:color="78A22F"/>
              <w:right w:val="nil"/>
            </w:tcBorders>
            <w:shd w:val="clear" w:color="auto" w:fill="F2F2F2"/>
          </w:tcPr>
          <w:p w:rsidR="00C20C23" w:rsidRDefault="00C20C23" w:rsidP="005E2CFA">
            <w:pPr>
              <w:pStyle w:val="Box"/>
              <w:spacing w:before="0" w:line="120" w:lineRule="exact"/>
            </w:pPr>
          </w:p>
        </w:tc>
      </w:tr>
      <w:tr w:rsidR="00C20C23" w:rsidRPr="000863A5" w:rsidTr="005E2CFA">
        <w:tc>
          <w:tcPr>
            <w:tcW w:w="8771" w:type="dxa"/>
            <w:tcBorders>
              <w:top w:val="single" w:sz="6" w:space="0" w:color="78A22F"/>
              <w:left w:val="nil"/>
              <w:bottom w:val="nil"/>
              <w:right w:val="nil"/>
            </w:tcBorders>
          </w:tcPr>
          <w:p w:rsidR="00C20C23" w:rsidRPr="00626D32" w:rsidRDefault="00C20C23" w:rsidP="005E2CFA">
            <w:pPr>
              <w:pStyle w:val="BoxSpaceBelow"/>
            </w:pPr>
          </w:p>
        </w:tc>
      </w:tr>
    </w:tbl>
    <w:p w:rsidR="002B73C1" w:rsidRDefault="002B73C1" w:rsidP="002B73C1">
      <w:pPr>
        <w:pStyle w:val="Heading4"/>
      </w:pPr>
      <w:r>
        <w:t>Amended text in final report, page 891</w:t>
      </w:r>
    </w:p>
    <w:p w:rsidR="002B73C1" w:rsidRDefault="002B73C1" w:rsidP="002B73C1">
      <w:pPr>
        <w:pStyle w:val="BodyText"/>
      </w:pPr>
      <w:r>
        <w:t>The final paragraph is amended to read:</w:t>
      </w:r>
    </w:p>
    <w:p w:rsidR="002B73C1" w:rsidRDefault="002B73C1" w:rsidP="002B73C1">
      <w:pPr>
        <w:pStyle w:val="BodyText"/>
      </w:pPr>
      <w:r>
        <w:t xml:space="preserve">Under the Commission’s recommended reforms, the mother would still face high EMTRs, but the EMTRs no longer approach 100 cents in the dollar for her fourth day at work because the effect of the withdrawal of childcare assistance on her EMTR is lessened. Her childcare assistance gets taken away more slowly — and consequently, her overall EMTRs are lower. </w:t>
      </w:r>
    </w:p>
    <w:p w:rsidR="00E60E70" w:rsidRDefault="00E60E70">
      <w:pPr>
        <w:rPr>
          <w:rFonts w:ascii="Arial" w:hAnsi="Arial"/>
          <w:sz w:val="24"/>
          <w:szCs w:val="20"/>
          <w:lang w:eastAsia="en-AU"/>
        </w:rPr>
      </w:pPr>
      <w:r>
        <w:br w:type="page"/>
      </w:r>
    </w:p>
    <w:p w:rsidR="00E60E70" w:rsidRDefault="00E60E70" w:rsidP="00E60E70">
      <w:pPr>
        <w:pStyle w:val="Heading4"/>
      </w:pPr>
      <w:r>
        <w:lastRenderedPageBreak/>
        <w:t>Amended text in final report, page 892</w:t>
      </w:r>
    </w:p>
    <w:p w:rsidR="00E60E70" w:rsidRDefault="00E60E70" w:rsidP="00E60E70">
      <w:pPr>
        <w:pStyle w:val="BodyText"/>
      </w:pPr>
      <w:r>
        <w:t>The first paragraph is amended to read:</w:t>
      </w:r>
    </w:p>
    <w:p w:rsidR="00E60E70" w:rsidRDefault="00E60E70" w:rsidP="00E60E70">
      <w:pPr>
        <w:pStyle w:val="BodyText"/>
      </w:pPr>
      <w:r>
        <w:t>It is not possible to determine if the Commission’s recommended changes would entice the mother to work more hours. However, it is clear that the proposals would increase the likelihood of her working four or five days a week. Under current arrangements, her weekly disposable income would increase by less than $70 if she increased her work from three to five days a week (where disposable income is what remains after tax, changes in social security benefits and after deducting net childcare costs). Under the Commission’s proposals, she would be able to increase her disposable income by just under $110 by changing her work arrangements from three to five days a week (figure E.10).</w:t>
      </w:r>
    </w:p>
    <w:p w:rsidR="00E60E70" w:rsidRDefault="00E60E70" w:rsidP="00E60E70">
      <w:pPr>
        <w:pStyle w:val="Heading4"/>
      </w:pPr>
      <w:r>
        <w:t>Amended figure in final report, page 892</w:t>
      </w:r>
    </w:p>
    <w:p w:rsidR="00E60E70" w:rsidRPr="00E60E70" w:rsidRDefault="00E60E70" w:rsidP="00E60E70">
      <w:pPr>
        <w:pStyle w:val="BodyText"/>
        <w:spacing w:before="120" w:line="200" w:lineRule="exact"/>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E60E70" w:rsidTr="00426F9D">
        <w:tc>
          <w:tcPr>
            <w:tcW w:w="8771" w:type="dxa"/>
            <w:tcBorders>
              <w:top w:val="single" w:sz="6" w:space="0" w:color="78A22F"/>
              <w:left w:val="nil"/>
              <w:bottom w:val="nil"/>
              <w:right w:val="nil"/>
            </w:tcBorders>
            <w:shd w:val="clear" w:color="auto" w:fill="auto"/>
          </w:tcPr>
          <w:p w:rsidR="00E60E70" w:rsidRPr="00176D3F" w:rsidRDefault="00E60E70" w:rsidP="003A272E">
            <w:pPr>
              <w:pStyle w:val="FigureTitle"/>
            </w:pPr>
            <w:r w:rsidRPr="00784A05">
              <w:rPr>
                <w:b w:val="0"/>
              </w:rPr>
              <w:t xml:space="preserve">Figure </w:t>
            </w:r>
            <w:r w:rsidR="003A272E">
              <w:rPr>
                <w:b w:val="0"/>
              </w:rPr>
              <w:t>E.10</w:t>
            </w:r>
            <w:r>
              <w:tab/>
              <w:t>Increase in disposable income</w:t>
            </w:r>
          </w:p>
        </w:tc>
      </w:tr>
      <w:tr w:rsidR="00E60E70" w:rsidTr="00426F9D">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8504"/>
            </w:tblGrid>
            <w:tr w:rsidR="00E60E70" w:rsidTr="00426F9D">
              <w:trPr>
                <w:jc w:val="center"/>
              </w:trPr>
              <w:tc>
                <w:tcPr>
                  <w:tcW w:w="8504" w:type="dxa"/>
                  <w:tcBorders>
                    <w:top w:val="nil"/>
                    <w:bottom w:val="nil"/>
                  </w:tcBorders>
                </w:tcPr>
                <w:p w:rsidR="00E60E70" w:rsidRDefault="00E60E70" w:rsidP="00426F9D">
                  <w:pPr>
                    <w:pStyle w:val="Figure"/>
                    <w:spacing w:before="60" w:after="60"/>
                    <w:rPr>
                      <w:noProof/>
                    </w:rPr>
                  </w:pPr>
                  <w:r>
                    <w:rPr>
                      <w:noProof/>
                    </w:rPr>
                    <w:drawing>
                      <wp:inline distT="0" distB="0" distL="0" distR="0" wp14:anchorId="6C737C81" wp14:editId="257C48F1">
                        <wp:extent cx="5210175" cy="2867025"/>
                        <wp:effectExtent l="0" t="0" r="9525" b="9525"/>
                        <wp:docPr id="27" name="Picture 27" descr="Shows the increase in disposable income for cameo 1 for each day worked under the recommended and current ECEC support arrang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0175" cy="2867025"/>
                                </a:xfrm>
                                <a:prstGeom prst="rect">
                                  <a:avLst/>
                                </a:prstGeom>
                                <a:noFill/>
                                <a:ln>
                                  <a:noFill/>
                                </a:ln>
                              </pic:spPr>
                            </pic:pic>
                          </a:graphicData>
                        </a:graphic>
                      </wp:inline>
                    </w:drawing>
                  </w:r>
                </w:p>
              </w:tc>
            </w:tr>
          </w:tbl>
          <w:p w:rsidR="00E60E70" w:rsidRDefault="00E60E70" w:rsidP="00426F9D">
            <w:pPr>
              <w:pStyle w:val="Figure"/>
            </w:pPr>
          </w:p>
        </w:tc>
      </w:tr>
      <w:tr w:rsidR="00E60E70" w:rsidTr="00426F9D">
        <w:tc>
          <w:tcPr>
            <w:tcW w:w="8771" w:type="dxa"/>
            <w:tcBorders>
              <w:top w:val="nil"/>
              <w:left w:val="nil"/>
              <w:bottom w:val="single" w:sz="6" w:space="0" w:color="78A22F"/>
              <w:right w:val="nil"/>
            </w:tcBorders>
            <w:shd w:val="clear" w:color="auto" w:fill="auto"/>
          </w:tcPr>
          <w:p w:rsidR="00E60E70" w:rsidRDefault="00E60E70" w:rsidP="00426F9D">
            <w:pPr>
              <w:pStyle w:val="Figurespace"/>
            </w:pPr>
          </w:p>
        </w:tc>
      </w:tr>
      <w:tr w:rsidR="00E60E70" w:rsidRPr="000863A5" w:rsidTr="00426F9D">
        <w:tc>
          <w:tcPr>
            <w:tcW w:w="8771" w:type="dxa"/>
            <w:tcBorders>
              <w:top w:val="single" w:sz="6" w:space="0" w:color="78A22F"/>
              <w:left w:val="nil"/>
              <w:bottom w:val="nil"/>
              <w:right w:val="nil"/>
            </w:tcBorders>
          </w:tcPr>
          <w:p w:rsidR="00E60E70" w:rsidRPr="00626D32" w:rsidRDefault="00E60E70" w:rsidP="00426F9D">
            <w:pPr>
              <w:pStyle w:val="BoxSpaceBelow"/>
            </w:pPr>
          </w:p>
        </w:tc>
      </w:tr>
    </w:tbl>
    <w:p w:rsidR="00C20C23" w:rsidRDefault="00C20C23" w:rsidP="00C20C23">
      <w:pPr>
        <w:pStyle w:val="Heading4"/>
      </w:pPr>
      <w:r>
        <w:lastRenderedPageBreak/>
        <w:t xml:space="preserve">Amended box </w:t>
      </w:r>
      <w:r w:rsidR="00052A1E">
        <w:t xml:space="preserve">figures </w:t>
      </w:r>
      <w:r>
        <w:t>in final report, page 896</w:t>
      </w:r>
    </w:p>
    <w:p w:rsidR="00C20C23" w:rsidRDefault="00C20C23" w:rsidP="00052A1E">
      <w:pPr>
        <w:pStyle w:val="BoxSpaceAbove"/>
        <w:spacing w:before="240"/>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C20C23" w:rsidTr="005E2CFA">
        <w:tc>
          <w:tcPr>
            <w:tcW w:w="8771" w:type="dxa"/>
            <w:tcBorders>
              <w:top w:val="single" w:sz="6" w:space="0" w:color="78A22F"/>
              <w:left w:val="nil"/>
              <w:bottom w:val="nil"/>
              <w:right w:val="nil"/>
            </w:tcBorders>
            <w:shd w:val="clear" w:color="auto" w:fill="F2F2F2"/>
          </w:tcPr>
          <w:p w:rsidR="00C20C23" w:rsidRDefault="00C20C23" w:rsidP="003A272E">
            <w:pPr>
              <w:pStyle w:val="BoxTitle"/>
            </w:pPr>
            <w:r>
              <w:rPr>
                <w:b w:val="0"/>
              </w:rPr>
              <w:t xml:space="preserve">Box </w:t>
            </w:r>
            <w:r w:rsidR="003A272E">
              <w:rPr>
                <w:b w:val="0"/>
              </w:rPr>
              <w:t>E.7</w:t>
            </w:r>
            <w:r>
              <w:tab/>
              <w:t>Cameo 5</w:t>
            </w:r>
          </w:p>
        </w:tc>
      </w:tr>
      <w:tr w:rsidR="00C20C23" w:rsidTr="005E2CFA">
        <w:trPr>
          <w:cantSplit/>
        </w:trPr>
        <w:tc>
          <w:tcPr>
            <w:tcW w:w="8771" w:type="dxa"/>
            <w:tcBorders>
              <w:top w:val="nil"/>
              <w:left w:val="nil"/>
              <w:bottom w:val="nil"/>
              <w:right w:val="nil"/>
            </w:tcBorders>
            <w:shd w:val="clear" w:color="auto" w:fill="F2F2F2"/>
          </w:tcPr>
          <w:p w:rsidR="00C20C23" w:rsidRPr="00EF0EA9" w:rsidRDefault="00C20C23" w:rsidP="005E2CFA">
            <w:pPr>
              <w:pStyle w:val="Box"/>
              <w:spacing w:before="0" w:line="120" w:lineRule="atLeast"/>
              <w:rPr>
                <w:sz w:val="16"/>
                <w:szCs w:val="16"/>
              </w:rPr>
            </w:pPr>
          </w:p>
          <w:tbl>
            <w:tblPr>
              <w:tblW w:w="5000" w:type="pct"/>
              <w:tblLayout w:type="fixed"/>
              <w:tblCellMar>
                <w:top w:w="28" w:type="dxa"/>
                <w:left w:w="0" w:type="dxa"/>
                <w:right w:w="0" w:type="dxa"/>
              </w:tblCellMar>
              <w:tblLook w:val="0000" w:firstRow="0" w:lastRow="0" w:firstColumn="0" w:lastColumn="0" w:noHBand="0" w:noVBand="0"/>
            </w:tblPr>
            <w:tblGrid>
              <w:gridCol w:w="1213"/>
              <w:gridCol w:w="1214"/>
              <w:gridCol w:w="1212"/>
              <w:gridCol w:w="1212"/>
              <w:gridCol w:w="1212"/>
              <w:gridCol w:w="1212"/>
              <w:gridCol w:w="1212"/>
            </w:tblGrid>
            <w:tr w:rsidR="00C20C23" w:rsidTr="005E2CFA">
              <w:tc>
                <w:tcPr>
                  <w:tcW w:w="715" w:type="pct"/>
                  <w:tcBorders>
                    <w:top w:val="single" w:sz="6" w:space="0" w:color="C8C8C8"/>
                    <w:bottom w:val="single" w:sz="6" w:space="0" w:color="C8C8C8"/>
                  </w:tcBorders>
                  <w:shd w:val="clear" w:color="auto" w:fill="auto"/>
                  <w:tcMar>
                    <w:top w:w="28" w:type="dxa"/>
                  </w:tcMar>
                  <w:vAlign w:val="bottom"/>
                </w:tcPr>
                <w:p w:rsidR="00C20C23" w:rsidRDefault="00C20C23" w:rsidP="005E2CFA">
                  <w:pPr>
                    <w:pStyle w:val="TableColumnHeading"/>
                    <w:jc w:val="left"/>
                  </w:pPr>
                  <w:r>
                    <w:t>Family structure</w:t>
                  </w:r>
                </w:p>
              </w:tc>
              <w:tc>
                <w:tcPr>
                  <w:tcW w:w="715" w:type="pct"/>
                  <w:tcBorders>
                    <w:top w:val="single" w:sz="6" w:space="0" w:color="C8C8C8"/>
                    <w:bottom w:val="single" w:sz="6" w:space="0" w:color="C8C8C8"/>
                  </w:tcBorders>
                  <w:shd w:val="clear" w:color="auto" w:fill="auto"/>
                  <w:tcMar>
                    <w:top w:w="28" w:type="dxa"/>
                  </w:tcMar>
                  <w:vAlign w:val="bottom"/>
                </w:tcPr>
                <w:p w:rsidR="00C20C23" w:rsidRDefault="00C20C23" w:rsidP="005E2CFA">
                  <w:pPr>
                    <w:pStyle w:val="TableColumnHeading"/>
                  </w:pPr>
                  <w:r>
                    <w:t>Number of children (ages)</w:t>
                  </w:r>
                </w:p>
              </w:tc>
              <w:tc>
                <w:tcPr>
                  <w:tcW w:w="714" w:type="pct"/>
                  <w:tcBorders>
                    <w:top w:val="single" w:sz="6" w:space="0" w:color="C8C8C8"/>
                    <w:bottom w:val="single" w:sz="6" w:space="0" w:color="C8C8C8"/>
                  </w:tcBorders>
                  <w:shd w:val="clear" w:color="auto" w:fill="auto"/>
                  <w:tcMar>
                    <w:top w:w="28" w:type="dxa"/>
                  </w:tcMar>
                  <w:vAlign w:val="bottom"/>
                </w:tcPr>
                <w:p w:rsidR="00C20C23" w:rsidRDefault="00C20C23" w:rsidP="005E2CFA">
                  <w:pPr>
                    <w:pStyle w:val="TableColumnHeading"/>
                    <w:ind w:right="28"/>
                  </w:pPr>
                  <w:r>
                    <w:t xml:space="preserve">Type of </w:t>
                  </w:r>
                  <w:r>
                    <w:br/>
                    <w:t>ECEC used</w:t>
                  </w:r>
                </w:p>
              </w:tc>
              <w:tc>
                <w:tcPr>
                  <w:tcW w:w="714" w:type="pct"/>
                  <w:tcBorders>
                    <w:top w:val="single" w:sz="6" w:space="0" w:color="C8C8C8"/>
                    <w:bottom w:val="single" w:sz="6" w:space="0" w:color="C8C8C8"/>
                  </w:tcBorders>
                  <w:vAlign w:val="bottom"/>
                </w:tcPr>
                <w:p w:rsidR="00C20C23" w:rsidRDefault="00C20C23" w:rsidP="005E2CFA">
                  <w:pPr>
                    <w:pStyle w:val="TableColumnHeading"/>
                    <w:ind w:right="28"/>
                  </w:pPr>
                  <w:r>
                    <w:t>ECEC fees</w:t>
                  </w:r>
                </w:p>
              </w:tc>
              <w:tc>
                <w:tcPr>
                  <w:tcW w:w="714" w:type="pct"/>
                  <w:tcBorders>
                    <w:top w:val="single" w:sz="6" w:space="0" w:color="C8C8C8"/>
                    <w:bottom w:val="single" w:sz="6" w:space="0" w:color="C8C8C8"/>
                  </w:tcBorders>
                  <w:vAlign w:val="bottom"/>
                </w:tcPr>
                <w:p w:rsidR="00C20C23" w:rsidRDefault="00C20C23" w:rsidP="005E2CFA">
                  <w:pPr>
                    <w:pStyle w:val="TableColumnHeading"/>
                    <w:ind w:right="28"/>
                  </w:pPr>
                  <w:r>
                    <w:t xml:space="preserve">Wage rate </w:t>
                  </w:r>
                  <w:r>
                    <w:br/>
                    <w:t>of mother</w:t>
                  </w:r>
                </w:p>
              </w:tc>
              <w:tc>
                <w:tcPr>
                  <w:tcW w:w="714" w:type="pct"/>
                  <w:tcBorders>
                    <w:top w:val="single" w:sz="6" w:space="0" w:color="C8C8C8"/>
                    <w:bottom w:val="single" w:sz="6" w:space="0" w:color="C8C8C8"/>
                  </w:tcBorders>
                  <w:vAlign w:val="bottom"/>
                </w:tcPr>
                <w:p w:rsidR="00C20C23" w:rsidRDefault="00C20C23" w:rsidP="005E2CFA">
                  <w:pPr>
                    <w:pStyle w:val="TableColumnHeading"/>
                    <w:ind w:right="28"/>
                  </w:pPr>
                  <w:r>
                    <w:t xml:space="preserve">Partners income </w:t>
                  </w:r>
                  <w:r>
                    <w:br/>
                    <w:t>(per annum)</w:t>
                  </w:r>
                </w:p>
              </w:tc>
              <w:tc>
                <w:tcPr>
                  <w:tcW w:w="714" w:type="pct"/>
                  <w:tcBorders>
                    <w:top w:val="single" w:sz="6" w:space="0" w:color="C8C8C8"/>
                    <w:bottom w:val="single" w:sz="6" w:space="0" w:color="C8C8C8"/>
                  </w:tcBorders>
                  <w:vAlign w:val="bottom"/>
                </w:tcPr>
                <w:p w:rsidR="00C20C23" w:rsidRDefault="00C20C23" w:rsidP="005E2CFA">
                  <w:pPr>
                    <w:pStyle w:val="TableColumnHeading"/>
                    <w:ind w:right="28"/>
                  </w:pPr>
                  <w:r>
                    <w:t>Other factors</w:t>
                  </w:r>
                </w:p>
              </w:tc>
            </w:tr>
            <w:tr w:rsidR="00C20C23" w:rsidTr="005E2CFA">
              <w:tc>
                <w:tcPr>
                  <w:tcW w:w="715" w:type="pct"/>
                  <w:tcBorders>
                    <w:bottom w:val="single" w:sz="6" w:space="0" w:color="C8C8C8"/>
                  </w:tcBorders>
                  <w:shd w:val="clear" w:color="auto" w:fill="auto"/>
                </w:tcPr>
                <w:p w:rsidR="00C20C23" w:rsidRDefault="00C20C23" w:rsidP="005E2CFA">
                  <w:pPr>
                    <w:pStyle w:val="TableUnitsRow"/>
                    <w:jc w:val="left"/>
                  </w:pPr>
                </w:p>
              </w:tc>
              <w:tc>
                <w:tcPr>
                  <w:tcW w:w="715" w:type="pct"/>
                  <w:tcBorders>
                    <w:bottom w:val="single" w:sz="6" w:space="0" w:color="C8C8C8"/>
                  </w:tcBorders>
                  <w:shd w:val="clear" w:color="auto" w:fill="auto"/>
                </w:tcPr>
                <w:p w:rsidR="00C20C23" w:rsidRDefault="00C20C23" w:rsidP="005E2CFA">
                  <w:pPr>
                    <w:pStyle w:val="TableUnitsRow"/>
                  </w:pPr>
                </w:p>
              </w:tc>
              <w:tc>
                <w:tcPr>
                  <w:tcW w:w="714" w:type="pct"/>
                  <w:tcBorders>
                    <w:bottom w:val="single" w:sz="6" w:space="0" w:color="C8C8C8"/>
                  </w:tcBorders>
                  <w:shd w:val="clear" w:color="auto" w:fill="auto"/>
                </w:tcPr>
                <w:p w:rsidR="00C20C23" w:rsidRDefault="00C20C23" w:rsidP="005E2CFA">
                  <w:pPr>
                    <w:pStyle w:val="TableUnitsRow"/>
                    <w:ind w:right="28"/>
                  </w:pPr>
                </w:p>
              </w:tc>
              <w:tc>
                <w:tcPr>
                  <w:tcW w:w="714" w:type="pct"/>
                  <w:tcBorders>
                    <w:bottom w:val="single" w:sz="6" w:space="0" w:color="C8C8C8"/>
                  </w:tcBorders>
                </w:tcPr>
                <w:p w:rsidR="00C20C23" w:rsidRDefault="00C20C23" w:rsidP="005E2CFA">
                  <w:pPr>
                    <w:pStyle w:val="TableUnitsRow"/>
                    <w:ind w:right="28"/>
                  </w:pPr>
                  <w:r>
                    <w:t>$/hour/child</w:t>
                  </w:r>
                </w:p>
              </w:tc>
              <w:tc>
                <w:tcPr>
                  <w:tcW w:w="714" w:type="pct"/>
                  <w:tcBorders>
                    <w:bottom w:val="single" w:sz="6" w:space="0" w:color="C8C8C8"/>
                  </w:tcBorders>
                </w:tcPr>
                <w:p w:rsidR="00C20C23" w:rsidRDefault="00C20C23" w:rsidP="005E2CFA">
                  <w:pPr>
                    <w:pStyle w:val="TableUnitsRow"/>
                    <w:ind w:right="28"/>
                  </w:pPr>
                  <w:r>
                    <w:t>$/hour</w:t>
                  </w:r>
                </w:p>
              </w:tc>
              <w:tc>
                <w:tcPr>
                  <w:tcW w:w="714" w:type="pct"/>
                  <w:tcBorders>
                    <w:bottom w:val="single" w:sz="6" w:space="0" w:color="C8C8C8"/>
                  </w:tcBorders>
                </w:tcPr>
                <w:p w:rsidR="00C20C23" w:rsidRDefault="00C20C23" w:rsidP="005E2CFA">
                  <w:pPr>
                    <w:pStyle w:val="TableUnitsRow"/>
                    <w:ind w:right="28"/>
                  </w:pPr>
                  <w:r>
                    <w:t>$</w:t>
                  </w:r>
                </w:p>
              </w:tc>
              <w:tc>
                <w:tcPr>
                  <w:tcW w:w="714" w:type="pct"/>
                  <w:tcBorders>
                    <w:bottom w:val="single" w:sz="6" w:space="0" w:color="C8C8C8"/>
                  </w:tcBorders>
                </w:tcPr>
                <w:p w:rsidR="00C20C23" w:rsidRDefault="00C20C23" w:rsidP="005E2CFA">
                  <w:pPr>
                    <w:pStyle w:val="TableUnitsRow"/>
                    <w:ind w:right="28"/>
                  </w:pPr>
                </w:p>
              </w:tc>
            </w:tr>
            <w:tr w:rsidR="00C20C23" w:rsidTr="005E2CFA">
              <w:tc>
                <w:tcPr>
                  <w:tcW w:w="715" w:type="pct"/>
                  <w:tcBorders>
                    <w:bottom w:val="single" w:sz="6" w:space="0" w:color="C8C8C8"/>
                  </w:tcBorders>
                  <w:shd w:val="clear" w:color="auto" w:fill="auto"/>
                </w:tcPr>
                <w:p w:rsidR="00C20C23" w:rsidRDefault="00C20C23" w:rsidP="005E2CFA">
                  <w:pPr>
                    <w:pStyle w:val="TableBodyText"/>
                    <w:jc w:val="left"/>
                  </w:pPr>
                  <w:r>
                    <w:t>Single</w:t>
                  </w:r>
                </w:p>
              </w:tc>
              <w:tc>
                <w:tcPr>
                  <w:tcW w:w="715" w:type="pct"/>
                  <w:tcBorders>
                    <w:bottom w:val="single" w:sz="6" w:space="0" w:color="C8C8C8"/>
                  </w:tcBorders>
                  <w:shd w:val="clear" w:color="auto" w:fill="auto"/>
                </w:tcPr>
                <w:p w:rsidR="00C20C23" w:rsidRDefault="00C20C23" w:rsidP="005E2CFA">
                  <w:pPr>
                    <w:pStyle w:val="TableBodyText"/>
                  </w:pPr>
                  <w:r>
                    <w:t xml:space="preserve">2 </w:t>
                  </w:r>
                </w:p>
                <w:p w:rsidR="00C20C23" w:rsidRDefault="00C20C23" w:rsidP="005E2CFA">
                  <w:pPr>
                    <w:pStyle w:val="TableBodyText"/>
                  </w:pPr>
                  <w:r>
                    <w:t>(2 and 4)</w:t>
                  </w:r>
                </w:p>
              </w:tc>
              <w:tc>
                <w:tcPr>
                  <w:tcW w:w="714" w:type="pct"/>
                  <w:tcBorders>
                    <w:bottom w:val="single" w:sz="6" w:space="0" w:color="C8C8C8"/>
                  </w:tcBorders>
                  <w:shd w:val="clear" w:color="auto" w:fill="auto"/>
                </w:tcPr>
                <w:p w:rsidR="00C20C23" w:rsidRDefault="00C20C23" w:rsidP="005E2CFA">
                  <w:pPr>
                    <w:pStyle w:val="TableBodyText"/>
                  </w:pPr>
                  <w:r>
                    <w:t>LDC</w:t>
                  </w:r>
                </w:p>
              </w:tc>
              <w:tc>
                <w:tcPr>
                  <w:tcW w:w="714" w:type="pct"/>
                  <w:tcBorders>
                    <w:bottom w:val="single" w:sz="6" w:space="0" w:color="C8C8C8"/>
                  </w:tcBorders>
                </w:tcPr>
                <w:p w:rsidR="00C20C23" w:rsidRDefault="00C20C23" w:rsidP="005E2CFA">
                  <w:pPr>
                    <w:pStyle w:val="TableBodyText"/>
                  </w:pPr>
                  <w:r>
                    <w:t>$7.46</w:t>
                  </w:r>
                </w:p>
              </w:tc>
              <w:tc>
                <w:tcPr>
                  <w:tcW w:w="714" w:type="pct"/>
                  <w:tcBorders>
                    <w:bottom w:val="single" w:sz="6" w:space="0" w:color="C8C8C8"/>
                  </w:tcBorders>
                </w:tcPr>
                <w:p w:rsidR="00C20C23" w:rsidRDefault="00C20C23" w:rsidP="005E2CFA">
                  <w:pPr>
                    <w:pStyle w:val="TableBodyText"/>
                  </w:pPr>
                  <w:r>
                    <w:t>$23</w:t>
                  </w:r>
                </w:p>
              </w:tc>
              <w:tc>
                <w:tcPr>
                  <w:tcW w:w="714" w:type="pct"/>
                  <w:tcBorders>
                    <w:bottom w:val="single" w:sz="6" w:space="0" w:color="C8C8C8"/>
                  </w:tcBorders>
                </w:tcPr>
                <w:p w:rsidR="00C20C23" w:rsidRDefault="00C20C23" w:rsidP="005E2CFA">
                  <w:pPr>
                    <w:pStyle w:val="TableBodyText"/>
                  </w:pPr>
                  <w:proofErr w:type="spellStart"/>
                  <w:r>
                    <w:t>na</w:t>
                  </w:r>
                  <w:proofErr w:type="spellEnd"/>
                </w:p>
              </w:tc>
              <w:tc>
                <w:tcPr>
                  <w:tcW w:w="714" w:type="pct"/>
                  <w:tcBorders>
                    <w:bottom w:val="single" w:sz="6" w:space="0" w:color="C8C8C8"/>
                  </w:tcBorders>
                </w:tcPr>
                <w:p w:rsidR="00C20C23" w:rsidRDefault="00C20C23" w:rsidP="005E2CFA">
                  <w:pPr>
                    <w:pStyle w:val="TableBodyText"/>
                  </w:pPr>
                  <w:r>
                    <w:t>none</w:t>
                  </w:r>
                </w:p>
              </w:tc>
            </w:tr>
          </w:tbl>
          <w:p w:rsidR="00C20C23" w:rsidRDefault="00C20C23" w:rsidP="005E2CFA">
            <w:pPr>
              <w:pStyle w:val="Box"/>
              <w:spacing w:before="0" w:line="120" w:lineRule="atLeast"/>
              <w:rPr>
                <w:sz w:val="16"/>
                <w:szCs w:val="16"/>
              </w:rPr>
            </w:pPr>
          </w:p>
          <w:tbl>
            <w:tblPr>
              <w:tblW w:w="4988" w:type="pct"/>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4233"/>
              <w:gridCol w:w="4234"/>
            </w:tblGrid>
            <w:tr w:rsidR="00C20C23" w:rsidTr="005E2CFA">
              <w:trPr>
                <w:trHeight w:val="140"/>
              </w:trPr>
              <w:tc>
                <w:tcPr>
                  <w:tcW w:w="5000" w:type="pct"/>
                  <w:gridSpan w:val="2"/>
                  <w:tcBorders>
                    <w:top w:val="nil"/>
                    <w:bottom w:val="nil"/>
                  </w:tcBorders>
                </w:tcPr>
                <w:p w:rsidR="00C20C23" w:rsidRPr="008709BF" w:rsidRDefault="00C20C23" w:rsidP="005E2CFA">
                  <w:pPr>
                    <w:pStyle w:val="Figure"/>
                    <w:spacing w:before="60" w:after="60"/>
                    <w:rPr>
                      <w:rFonts w:ascii="Arial" w:hAnsi="Arial" w:cs="Arial"/>
                      <w:i/>
                      <w:sz w:val="20"/>
                    </w:rPr>
                  </w:pPr>
                  <w:r w:rsidRPr="008709BF">
                    <w:rPr>
                      <w:rFonts w:ascii="Arial" w:hAnsi="Arial" w:cs="Arial"/>
                      <w:b/>
                      <w:i/>
                      <w:sz w:val="18"/>
                      <w:szCs w:val="18"/>
                    </w:rPr>
                    <w:t>Effective marginal tax rates</w:t>
                  </w:r>
                </w:p>
              </w:tc>
            </w:tr>
            <w:tr w:rsidR="00C20C23" w:rsidTr="005E2CFA">
              <w:trPr>
                <w:trHeight w:val="140"/>
              </w:trPr>
              <w:tc>
                <w:tcPr>
                  <w:tcW w:w="2500" w:type="pct"/>
                  <w:tcBorders>
                    <w:top w:val="nil"/>
                    <w:bottom w:val="nil"/>
                  </w:tcBorders>
                </w:tcPr>
                <w:p w:rsidR="00C20C23" w:rsidRDefault="00C20C23" w:rsidP="005E2CFA">
                  <w:pPr>
                    <w:pStyle w:val="Figure"/>
                    <w:spacing w:before="60" w:after="60"/>
                    <w:rPr>
                      <w:noProof/>
                    </w:rPr>
                  </w:pPr>
                  <w:r w:rsidRPr="00F35A42">
                    <w:rPr>
                      <w:rFonts w:ascii="Arial" w:hAnsi="Arial" w:cs="Arial"/>
                      <w:i/>
                      <w:sz w:val="20"/>
                    </w:rPr>
                    <w:t>Current</w:t>
                  </w:r>
                </w:p>
              </w:tc>
              <w:tc>
                <w:tcPr>
                  <w:tcW w:w="2500" w:type="pct"/>
                  <w:tcBorders>
                    <w:top w:val="nil"/>
                    <w:bottom w:val="nil"/>
                  </w:tcBorders>
                </w:tcPr>
                <w:p w:rsidR="00C20C23" w:rsidRDefault="00C20C23" w:rsidP="005E2CFA">
                  <w:pPr>
                    <w:pStyle w:val="Figure"/>
                    <w:spacing w:before="60" w:after="60"/>
                    <w:rPr>
                      <w:noProof/>
                    </w:rPr>
                  </w:pPr>
                  <w:r>
                    <w:rPr>
                      <w:rFonts w:ascii="Arial" w:hAnsi="Arial" w:cs="Arial"/>
                      <w:i/>
                      <w:sz w:val="20"/>
                    </w:rPr>
                    <w:t>Recommended reform</w:t>
                  </w:r>
                </w:p>
              </w:tc>
            </w:tr>
            <w:tr w:rsidR="00C20C23" w:rsidTr="005E2CFA">
              <w:trPr>
                <w:trHeight w:val="140"/>
              </w:trPr>
              <w:tc>
                <w:tcPr>
                  <w:tcW w:w="2500" w:type="pct"/>
                  <w:tcBorders>
                    <w:top w:val="nil"/>
                    <w:bottom w:val="nil"/>
                  </w:tcBorders>
                </w:tcPr>
                <w:p w:rsidR="00C20C23" w:rsidRDefault="004A7743" w:rsidP="005E2CFA">
                  <w:pPr>
                    <w:pStyle w:val="Figure"/>
                    <w:spacing w:before="60" w:after="60"/>
                    <w:rPr>
                      <w:noProof/>
                    </w:rPr>
                  </w:pPr>
                  <w:r>
                    <w:rPr>
                      <w:noProof/>
                    </w:rPr>
                    <w:drawing>
                      <wp:inline distT="0" distB="0" distL="0" distR="0" wp14:anchorId="2C070491" wp14:editId="2446FF4D">
                        <wp:extent cx="2519680" cy="2073275"/>
                        <wp:effectExtent l="0" t="0" r="0" b="0"/>
                        <wp:docPr id="30" name="Picture 30" descr="Indicates the effective marginal tax rates that our fifth cameo family faces under current tax, transfer and ECEC subsidies. The resulting EMTRs are discussed in th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19680" cy="2073275"/>
                                </a:xfrm>
                                <a:prstGeom prst="rect">
                                  <a:avLst/>
                                </a:prstGeom>
                                <a:noFill/>
                                <a:ln>
                                  <a:noFill/>
                                </a:ln>
                              </pic:spPr>
                            </pic:pic>
                          </a:graphicData>
                        </a:graphic>
                      </wp:inline>
                    </w:drawing>
                  </w:r>
                </w:p>
              </w:tc>
              <w:tc>
                <w:tcPr>
                  <w:tcW w:w="2500" w:type="pct"/>
                  <w:tcBorders>
                    <w:top w:val="nil"/>
                    <w:bottom w:val="nil"/>
                  </w:tcBorders>
                </w:tcPr>
                <w:p w:rsidR="00C20C23" w:rsidRDefault="004A7743" w:rsidP="005E2CFA">
                  <w:pPr>
                    <w:pStyle w:val="Figure"/>
                    <w:spacing w:before="60" w:after="60"/>
                    <w:rPr>
                      <w:noProof/>
                    </w:rPr>
                  </w:pPr>
                  <w:r>
                    <w:rPr>
                      <w:noProof/>
                    </w:rPr>
                    <w:drawing>
                      <wp:inline distT="0" distB="0" distL="0" distR="0" wp14:anchorId="52BCF188" wp14:editId="358ACFF7">
                        <wp:extent cx="2519680" cy="2073275"/>
                        <wp:effectExtent l="0" t="0" r="0" b="0"/>
                        <wp:docPr id="31" name="Picture 31" descr="Indicates the effective marginal tax rates that our fifth cameo family faces under current tax, transfer and the Commission’s policy scenario for a replacement ECEC subsidy. The resulting EMTRs are discussed in th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19680" cy="2073275"/>
                                </a:xfrm>
                                <a:prstGeom prst="rect">
                                  <a:avLst/>
                                </a:prstGeom>
                                <a:noFill/>
                                <a:ln>
                                  <a:noFill/>
                                </a:ln>
                              </pic:spPr>
                            </pic:pic>
                          </a:graphicData>
                        </a:graphic>
                      </wp:inline>
                    </w:drawing>
                  </w:r>
                </w:p>
              </w:tc>
            </w:tr>
            <w:tr w:rsidR="00C20C23" w:rsidTr="005E2CFA">
              <w:trPr>
                <w:trHeight w:val="140"/>
              </w:trPr>
              <w:tc>
                <w:tcPr>
                  <w:tcW w:w="5000" w:type="pct"/>
                  <w:gridSpan w:val="2"/>
                  <w:tcBorders>
                    <w:top w:val="nil"/>
                    <w:bottom w:val="nil"/>
                  </w:tcBorders>
                </w:tcPr>
                <w:p w:rsidR="00C20C23" w:rsidRDefault="005722D7" w:rsidP="005E2CFA">
                  <w:pPr>
                    <w:pStyle w:val="Figure"/>
                    <w:spacing w:before="60" w:after="60"/>
                    <w:rPr>
                      <w:noProof/>
                    </w:rPr>
                  </w:pPr>
                  <w:r>
                    <w:rPr>
                      <w:noProof/>
                    </w:rPr>
                    <w:pict>
                      <v:shape id="_x0000_i1026" type="#_x0000_t75" alt="Legend for Effective marginal tax rates charts Box E.7" style="width:396.85pt;height:38.5pt">
                        <v:imagedata r:id="rId17" o:title=""/>
                      </v:shape>
                    </w:pict>
                  </w:r>
                </w:p>
              </w:tc>
            </w:tr>
          </w:tbl>
          <w:p w:rsidR="00C20C23" w:rsidRDefault="00C20C23" w:rsidP="005E2CFA">
            <w:pPr>
              <w:pStyle w:val="Box"/>
            </w:pPr>
          </w:p>
        </w:tc>
      </w:tr>
      <w:tr w:rsidR="00C20C23" w:rsidTr="005E2CFA">
        <w:trPr>
          <w:cantSplit/>
        </w:trPr>
        <w:tc>
          <w:tcPr>
            <w:tcW w:w="8771" w:type="dxa"/>
            <w:tcBorders>
              <w:top w:val="nil"/>
              <w:left w:val="nil"/>
              <w:bottom w:val="nil"/>
              <w:right w:val="nil"/>
            </w:tcBorders>
            <w:shd w:val="clear" w:color="auto" w:fill="F2F2F2"/>
          </w:tcPr>
          <w:p w:rsidR="00C20C23" w:rsidRDefault="00C20C23" w:rsidP="005E2CFA">
            <w:pPr>
              <w:pStyle w:val="BoxSource"/>
            </w:pPr>
            <w:r>
              <w:rPr>
                <w:i/>
              </w:rPr>
              <w:t>Source</w:t>
            </w:r>
            <w:r w:rsidRPr="00167F06">
              <w:t xml:space="preserve">: </w:t>
            </w:r>
            <w:r>
              <w:t>Productivity Commission calculations.</w:t>
            </w:r>
          </w:p>
        </w:tc>
      </w:tr>
      <w:tr w:rsidR="00C20C23" w:rsidTr="005E2CFA">
        <w:trPr>
          <w:cantSplit/>
        </w:trPr>
        <w:tc>
          <w:tcPr>
            <w:tcW w:w="8771" w:type="dxa"/>
            <w:tcBorders>
              <w:top w:val="nil"/>
              <w:left w:val="nil"/>
              <w:bottom w:val="single" w:sz="6" w:space="0" w:color="78A22F"/>
              <w:right w:val="nil"/>
            </w:tcBorders>
            <w:shd w:val="clear" w:color="auto" w:fill="F2F2F2"/>
          </w:tcPr>
          <w:p w:rsidR="00C20C23" w:rsidRDefault="00C20C23" w:rsidP="005E2CFA">
            <w:pPr>
              <w:pStyle w:val="Box"/>
              <w:spacing w:before="0" w:line="120" w:lineRule="exact"/>
            </w:pPr>
          </w:p>
        </w:tc>
      </w:tr>
      <w:tr w:rsidR="00C20C23" w:rsidRPr="000863A5" w:rsidTr="005E2CFA">
        <w:tc>
          <w:tcPr>
            <w:tcW w:w="8771" w:type="dxa"/>
            <w:tcBorders>
              <w:top w:val="single" w:sz="6" w:space="0" w:color="78A22F"/>
              <w:left w:val="nil"/>
              <w:bottom w:val="nil"/>
              <w:right w:val="nil"/>
            </w:tcBorders>
          </w:tcPr>
          <w:p w:rsidR="00C20C23" w:rsidRPr="00626D32" w:rsidRDefault="00C20C23" w:rsidP="005E2CFA">
            <w:pPr>
              <w:pStyle w:val="BoxSpaceBelow"/>
            </w:pPr>
          </w:p>
        </w:tc>
      </w:tr>
    </w:tbl>
    <w:p w:rsidR="00BE4305" w:rsidRDefault="00BE4305" w:rsidP="00120072">
      <w:pPr>
        <w:pStyle w:val="BodyText"/>
      </w:pPr>
    </w:p>
    <w:sectPr w:rsidR="00BE4305" w:rsidSect="00606E78">
      <w:headerReference w:type="even" r:id="rId18"/>
      <w:headerReference w:type="default" r:id="rId19"/>
      <w:footerReference w:type="even" r:id="rId20"/>
      <w:footerReference w:type="default" r:id="rId21"/>
      <w:pgSz w:w="11907" w:h="16840" w:code="9"/>
      <w:pgMar w:top="1985" w:right="1304" w:bottom="1247" w:left="1814" w:header="1701" w:footer="397" w:gutter="0"/>
      <w:pgNumType w:start="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B1D" w:rsidRDefault="00D27B1D">
      <w:r>
        <w:separator/>
      </w:r>
    </w:p>
  </w:endnote>
  <w:endnote w:type="continuationSeparator" w:id="0">
    <w:p w:rsidR="00D27B1D" w:rsidRDefault="00D2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72909" w:rsidTr="005F48ED">
      <w:trPr>
        <w:trHeight w:hRule="exact" w:val="567"/>
      </w:trPr>
      <w:tc>
        <w:tcPr>
          <w:tcW w:w="510" w:type="dxa"/>
        </w:tcPr>
        <w:p w:rsidR="00772909" w:rsidRPr="00A24443" w:rsidRDefault="00772909"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5722D7">
            <w:rPr>
              <w:rStyle w:val="PageNumber"/>
              <w:caps w:val="0"/>
              <w:noProof/>
            </w:rPr>
            <w:t>4</w:t>
          </w:r>
          <w:r w:rsidRPr="00A24443">
            <w:rPr>
              <w:rStyle w:val="PageNumber"/>
              <w:caps w:val="0"/>
            </w:rPr>
            <w:fldChar w:fldCharType="end"/>
          </w:r>
        </w:p>
      </w:tc>
      <w:tc>
        <w:tcPr>
          <w:tcW w:w="7767" w:type="dxa"/>
        </w:tcPr>
        <w:p w:rsidR="00772909" w:rsidRPr="0013739A" w:rsidRDefault="00772909" w:rsidP="0013739A">
          <w:pPr>
            <w:pStyle w:val="Footer"/>
            <w:rPr>
              <w:rFonts w:cs="Arial"/>
            </w:rPr>
          </w:pPr>
          <w:r w:rsidRPr="00BA5B14">
            <w:rPr>
              <w:rFonts w:cs="Arial"/>
            </w:rPr>
            <w:fldChar w:fldCharType="begin"/>
          </w:r>
          <w:r w:rsidRPr="00BA5B14">
            <w:rPr>
              <w:rFonts w:cs="Arial"/>
            </w:rPr>
            <w:instrText xml:space="preserve"> SUBJECT  \* MERGEFORMAT </w:instrText>
          </w:r>
          <w:r w:rsidRPr="00BA5B14">
            <w:rPr>
              <w:rFonts w:cs="Arial"/>
            </w:rPr>
            <w:fldChar w:fldCharType="separate"/>
          </w:r>
          <w:r w:rsidR="00D55264">
            <w:rPr>
              <w:rFonts w:cs="Arial"/>
            </w:rPr>
            <w:t>childcare and early childhood learning</w:t>
          </w:r>
          <w:r w:rsidRPr="00BA5B14">
            <w:rPr>
              <w:rFonts w:cs="Arial"/>
            </w:rPr>
            <w:fldChar w:fldCharType="end"/>
          </w:r>
          <w:bookmarkStart w:id="3" w:name="DraftReportEven"/>
          <w:bookmarkEnd w:id="3"/>
        </w:p>
      </w:tc>
      <w:tc>
        <w:tcPr>
          <w:tcW w:w="510" w:type="dxa"/>
        </w:tcPr>
        <w:p w:rsidR="00772909" w:rsidRDefault="00772909" w:rsidP="0019293B">
          <w:pPr>
            <w:pStyle w:val="Footer"/>
          </w:pPr>
        </w:p>
      </w:tc>
    </w:tr>
  </w:tbl>
  <w:p w:rsidR="00772909" w:rsidRDefault="00772909"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72909" w:rsidTr="005F48ED">
      <w:trPr>
        <w:trHeight w:hRule="exact" w:val="567"/>
      </w:trPr>
      <w:tc>
        <w:tcPr>
          <w:tcW w:w="510" w:type="dxa"/>
        </w:tcPr>
        <w:p w:rsidR="00772909" w:rsidRDefault="00772909">
          <w:pPr>
            <w:pStyle w:val="Footer"/>
            <w:ind w:right="360" w:firstLine="360"/>
          </w:pPr>
        </w:p>
      </w:tc>
      <w:tc>
        <w:tcPr>
          <w:tcW w:w="7767" w:type="dxa"/>
        </w:tcPr>
        <w:p w:rsidR="00772909" w:rsidRPr="00BA5B14" w:rsidRDefault="00772909"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sidR="00D55264">
            <w:rPr>
              <w:rFonts w:cs="Arial"/>
            </w:rPr>
            <w:t>Errata</w:t>
          </w:r>
          <w:r w:rsidRPr="00BA5B14">
            <w:rPr>
              <w:rFonts w:cs="Arial"/>
            </w:rPr>
            <w:fldChar w:fldCharType="end"/>
          </w:r>
          <w:bookmarkStart w:id="4" w:name="DraftReportOdd"/>
          <w:bookmarkEnd w:id="4"/>
        </w:p>
      </w:tc>
      <w:tc>
        <w:tcPr>
          <w:tcW w:w="510" w:type="dxa"/>
        </w:tcPr>
        <w:p w:rsidR="00772909" w:rsidRPr="00A24443" w:rsidRDefault="00772909">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5722D7">
            <w:rPr>
              <w:rStyle w:val="PageNumber"/>
              <w:caps w:val="0"/>
              <w:noProof/>
            </w:rPr>
            <w:t>1</w:t>
          </w:r>
          <w:r w:rsidRPr="00A24443">
            <w:rPr>
              <w:rStyle w:val="PageNumber"/>
              <w:caps w:val="0"/>
            </w:rPr>
            <w:fldChar w:fldCharType="end"/>
          </w:r>
        </w:p>
      </w:tc>
    </w:tr>
  </w:tbl>
  <w:p w:rsidR="00772909" w:rsidRDefault="00772909">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B1D" w:rsidRDefault="00D27B1D">
      <w:r>
        <w:separator/>
      </w:r>
    </w:p>
  </w:footnote>
  <w:footnote w:type="continuationSeparator" w:id="0">
    <w:p w:rsidR="00D27B1D" w:rsidRDefault="00D27B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772909">
      <w:tc>
        <w:tcPr>
          <w:tcW w:w="2155" w:type="dxa"/>
          <w:tcBorders>
            <w:top w:val="single" w:sz="24" w:space="0" w:color="auto"/>
          </w:tcBorders>
        </w:tcPr>
        <w:p w:rsidR="00772909" w:rsidRDefault="00772909" w:rsidP="0019293B">
          <w:pPr>
            <w:pStyle w:val="HeaderEven"/>
          </w:pPr>
        </w:p>
      </w:tc>
      <w:tc>
        <w:tcPr>
          <w:tcW w:w="6634" w:type="dxa"/>
          <w:tcBorders>
            <w:top w:val="single" w:sz="6" w:space="0" w:color="auto"/>
          </w:tcBorders>
        </w:tcPr>
        <w:p w:rsidR="00772909" w:rsidRDefault="00772909" w:rsidP="0019293B">
          <w:pPr>
            <w:pStyle w:val="HeaderEven"/>
          </w:pPr>
        </w:p>
      </w:tc>
    </w:tr>
  </w:tbl>
  <w:p w:rsidR="00772909" w:rsidRDefault="00772909"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772909">
      <w:tc>
        <w:tcPr>
          <w:tcW w:w="6634" w:type="dxa"/>
          <w:tcBorders>
            <w:top w:val="single" w:sz="6" w:space="0" w:color="auto"/>
          </w:tcBorders>
        </w:tcPr>
        <w:p w:rsidR="00772909" w:rsidRDefault="00772909" w:rsidP="00E669E2">
          <w:pPr>
            <w:pStyle w:val="HeaderOdd"/>
          </w:pPr>
        </w:p>
      </w:tc>
      <w:tc>
        <w:tcPr>
          <w:tcW w:w="2155" w:type="dxa"/>
          <w:tcBorders>
            <w:top w:val="single" w:sz="24" w:space="0" w:color="auto"/>
          </w:tcBorders>
        </w:tcPr>
        <w:p w:rsidR="00772909" w:rsidRDefault="00772909" w:rsidP="00E669E2">
          <w:pPr>
            <w:pStyle w:val="HeaderOdd"/>
          </w:pPr>
        </w:p>
      </w:tc>
    </w:tr>
  </w:tbl>
  <w:p w:rsidR="00772909" w:rsidRDefault="00772909"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nsid w:val="2D222178"/>
    <w:multiLevelType w:val="hybridMultilevel"/>
    <w:tmpl w:val="795299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12">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3">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0117503"/>
    <w:multiLevelType w:val="singleLevel"/>
    <w:tmpl w:val="AB185BC4"/>
    <w:lvl w:ilvl="0">
      <w:numFmt w:val="bullet"/>
      <w:lvlText w:val="–"/>
      <w:lvlJc w:val="left"/>
      <w:pPr>
        <w:tabs>
          <w:tab w:val="num" w:pos="567"/>
        </w:tabs>
        <w:ind w:left="567" w:hanging="283"/>
      </w:pPr>
      <w:rPr>
        <w:rFonts w:ascii="Times New Roman" w:hAnsi="Times New Roman"/>
      </w:rPr>
    </w:lvl>
  </w:abstractNum>
  <w:abstractNum w:abstractNumId="15">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6">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7">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8">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2D84EB8"/>
    <w:multiLevelType w:val="singleLevel"/>
    <w:tmpl w:val="B4C476FC"/>
    <w:lvl w:ilvl="0">
      <w:start w:val="1"/>
      <w:numFmt w:val="bullet"/>
      <w:lvlText w:val=""/>
      <w:lvlJc w:val="left"/>
      <w:pPr>
        <w:tabs>
          <w:tab w:val="num" w:pos="340"/>
        </w:tabs>
        <w:ind w:left="340" w:hanging="340"/>
      </w:pPr>
      <w:rPr>
        <w:rFonts w:ascii="Symbol" w:hAnsi="Symbol"/>
        <w:b w:val="0"/>
        <w:i w:val="0"/>
        <w:sz w:val="18"/>
      </w:rPr>
    </w:lvl>
  </w:abstractNum>
  <w:abstractNum w:abstractNumId="21">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2">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3">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2"/>
  </w:num>
  <w:num w:numId="2">
    <w:abstractNumId w:val="2"/>
  </w:num>
  <w:num w:numId="3">
    <w:abstractNumId w:val="15"/>
  </w:num>
  <w:num w:numId="4">
    <w:abstractNumId w:val="3"/>
  </w:num>
  <w:num w:numId="5">
    <w:abstractNumId w:val="21"/>
  </w:num>
  <w:num w:numId="6">
    <w:abstractNumId w:val="17"/>
  </w:num>
  <w:num w:numId="7">
    <w:abstractNumId w:val="7"/>
  </w:num>
  <w:num w:numId="8">
    <w:abstractNumId w:val="16"/>
  </w:num>
  <w:num w:numId="9">
    <w:abstractNumId w:val="6"/>
  </w:num>
  <w:num w:numId="10">
    <w:abstractNumId w:val="5"/>
  </w:num>
  <w:num w:numId="11">
    <w:abstractNumId w:val="9"/>
  </w:num>
  <w:num w:numId="12">
    <w:abstractNumId w:val="10"/>
  </w:num>
  <w:num w:numId="13">
    <w:abstractNumId w:val="4"/>
  </w:num>
  <w:num w:numId="14">
    <w:abstractNumId w:val="18"/>
  </w:num>
  <w:num w:numId="15">
    <w:abstractNumId w:val="22"/>
  </w:num>
  <w:num w:numId="16">
    <w:abstractNumId w:val="13"/>
  </w:num>
  <w:num w:numId="17">
    <w:abstractNumId w:val="23"/>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9"/>
  </w:num>
  <w:num w:numId="21">
    <w:abstractNumId w:val="8"/>
  </w:num>
  <w:num w:numId="22">
    <w:abstractNumId w:val="11"/>
  </w:num>
  <w:num w:numId="23">
    <w:abstractNumId w:val="15"/>
  </w:num>
  <w:num w:numId="24">
    <w:abstractNumId w:val="15"/>
  </w:num>
  <w:num w:numId="25">
    <w:abstractNumId w:val="15"/>
  </w:num>
  <w:num w:numId="26">
    <w:abstractNumId w:val="3"/>
  </w:num>
  <w:num w:numId="27">
    <w:abstractNumId w:val="3"/>
  </w:num>
  <w:num w:numId="28">
    <w:abstractNumId w:val="3"/>
  </w:num>
  <w:num w:numId="29">
    <w:abstractNumId w:val="20"/>
  </w:num>
  <w:num w:numId="30">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Errata"/>
    <w:docVar w:name="ShortReportTitle" w:val="childcare and early childhood learning"/>
  </w:docVars>
  <w:rsids>
    <w:rsidRoot w:val="00D27B1D"/>
    <w:rsid w:val="00016D6A"/>
    <w:rsid w:val="000227D5"/>
    <w:rsid w:val="000245AA"/>
    <w:rsid w:val="0003664B"/>
    <w:rsid w:val="0004111F"/>
    <w:rsid w:val="00052A1E"/>
    <w:rsid w:val="00055077"/>
    <w:rsid w:val="000565B3"/>
    <w:rsid w:val="0007150B"/>
    <w:rsid w:val="000938F5"/>
    <w:rsid w:val="00095663"/>
    <w:rsid w:val="00096E55"/>
    <w:rsid w:val="0009783E"/>
    <w:rsid w:val="000B1022"/>
    <w:rsid w:val="000B601B"/>
    <w:rsid w:val="000C207E"/>
    <w:rsid w:val="000D41E9"/>
    <w:rsid w:val="000F0035"/>
    <w:rsid w:val="000F04E7"/>
    <w:rsid w:val="000F060A"/>
    <w:rsid w:val="000F420B"/>
    <w:rsid w:val="00110116"/>
    <w:rsid w:val="00120072"/>
    <w:rsid w:val="00126EB8"/>
    <w:rsid w:val="001274D4"/>
    <w:rsid w:val="001363AA"/>
    <w:rsid w:val="0013739A"/>
    <w:rsid w:val="00142165"/>
    <w:rsid w:val="00162434"/>
    <w:rsid w:val="00183E82"/>
    <w:rsid w:val="001878BB"/>
    <w:rsid w:val="00191AE0"/>
    <w:rsid w:val="0019293B"/>
    <w:rsid w:val="0019426B"/>
    <w:rsid w:val="001A6A4B"/>
    <w:rsid w:val="001C0865"/>
    <w:rsid w:val="001C0AED"/>
    <w:rsid w:val="001C3ABA"/>
    <w:rsid w:val="001C5111"/>
    <w:rsid w:val="001E1202"/>
    <w:rsid w:val="001E7BE8"/>
    <w:rsid w:val="001F0248"/>
    <w:rsid w:val="001F3EB3"/>
    <w:rsid w:val="001F4F86"/>
    <w:rsid w:val="00202C2C"/>
    <w:rsid w:val="00203050"/>
    <w:rsid w:val="002135AB"/>
    <w:rsid w:val="002144BE"/>
    <w:rsid w:val="00233AAC"/>
    <w:rsid w:val="00242279"/>
    <w:rsid w:val="00243997"/>
    <w:rsid w:val="0024516C"/>
    <w:rsid w:val="00245C82"/>
    <w:rsid w:val="002724BA"/>
    <w:rsid w:val="00291B40"/>
    <w:rsid w:val="002B4008"/>
    <w:rsid w:val="002B73C1"/>
    <w:rsid w:val="002C439F"/>
    <w:rsid w:val="002D0C42"/>
    <w:rsid w:val="002D0E8E"/>
    <w:rsid w:val="00301189"/>
    <w:rsid w:val="00301E4A"/>
    <w:rsid w:val="003168B8"/>
    <w:rsid w:val="00322D64"/>
    <w:rsid w:val="00323E09"/>
    <w:rsid w:val="00333932"/>
    <w:rsid w:val="003518AA"/>
    <w:rsid w:val="00352165"/>
    <w:rsid w:val="00353182"/>
    <w:rsid w:val="003565D9"/>
    <w:rsid w:val="003602E1"/>
    <w:rsid w:val="00360F6D"/>
    <w:rsid w:val="0037026F"/>
    <w:rsid w:val="00371240"/>
    <w:rsid w:val="00374731"/>
    <w:rsid w:val="00376E59"/>
    <w:rsid w:val="00377EC1"/>
    <w:rsid w:val="00380340"/>
    <w:rsid w:val="003919F9"/>
    <w:rsid w:val="003920CF"/>
    <w:rsid w:val="003A272E"/>
    <w:rsid w:val="003B23C2"/>
    <w:rsid w:val="003C38B5"/>
    <w:rsid w:val="003C5D99"/>
    <w:rsid w:val="003D1087"/>
    <w:rsid w:val="003E2F59"/>
    <w:rsid w:val="003E746B"/>
    <w:rsid w:val="003F0789"/>
    <w:rsid w:val="00401882"/>
    <w:rsid w:val="004100C8"/>
    <w:rsid w:val="00411DBD"/>
    <w:rsid w:val="00412ACE"/>
    <w:rsid w:val="004145D2"/>
    <w:rsid w:val="00426CB4"/>
    <w:rsid w:val="00431249"/>
    <w:rsid w:val="00434C19"/>
    <w:rsid w:val="00450810"/>
    <w:rsid w:val="00462C59"/>
    <w:rsid w:val="00470737"/>
    <w:rsid w:val="00477144"/>
    <w:rsid w:val="00491380"/>
    <w:rsid w:val="0049459F"/>
    <w:rsid w:val="004A38DD"/>
    <w:rsid w:val="004A7743"/>
    <w:rsid w:val="004B43AE"/>
    <w:rsid w:val="004C30ED"/>
    <w:rsid w:val="004D5675"/>
    <w:rsid w:val="00517795"/>
    <w:rsid w:val="00523639"/>
    <w:rsid w:val="00531FE5"/>
    <w:rsid w:val="005402FA"/>
    <w:rsid w:val="00565F84"/>
    <w:rsid w:val="005722D7"/>
    <w:rsid w:val="005729BD"/>
    <w:rsid w:val="00580154"/>
    <w:rsid w:val="00583C39"/>
    <w:rsid w:val="00586A90"/>
    <w:rsid w:val="00587F28"/>
    <w:rsid w:val="005909CF"/>
    <w:rsid w:val="00591E71"/>
    <w:rsid w:val="005A0D41"/>
    <w:rsid w:val="005C22DE"/>
    <w:rsid w:val="005D329F"/>
    <w:rsid w:val="005E2248"/>
    <w:rsid w:val="005F48ED"/>
    <w:rsid w:val="00606E78"/>
    <w:rsid w:val="00607BF1"/>
    <w:rsid w:val="00610F14"/>
    <w:rsid w:val="00630D4D"/>
    <w:rsid w:val="00632A74"/>
    <w:rsid w:val="00654D42"/>
    <w:rsid w:val="00666E02"/>
    <w:rsid w:val="006A4655"/>
    <w:rsid w:val="006B2B3C"/>
    <w:rsid w:val="006C1D81"/>
    <w:rsid w:val="006C7038"/>
    <w:rsid w:val="006E73EF"/>
    <w:rsid w:val="00707227"/>
    <w:rsid w:val="007079C9"/>
    <w:rsid w:val="00714D4D"/>
    <w:rsid w:val="007266D3"/>
    <w:rsid w:val="00732029"/>
    <w:rsid w:val="007604BB"/>
    <w:rsid w:val="00772909"/>
    <w:rsid w:val="00781E4B"/>
    <w:rsid w:val="00785232"/>
    <w:rsid w:val="0079701E"/>
    <w:rsid w:val="007A21EB"/>
    <w:rsid w:val="007B1A93"/>
    <w:rsid w:val="007C36C9"/>
    <w:rsid w:val="007D6401"/>
    <w:rsid w:val="007E01E4"/>
    <w:rsid w:val="007E7A12"/>
    <w:rsid w:val="007F7107"/>
    <w:rsid w:val="00800D4C"/>
    <w:rsid w:val="0081030F"/>
    <w:rsid w:val="00812F4A"/>
    <w:rsid w:val="0082087D"/>
    <w:rsid w:val="00835771"/>
    <w:rsid w:val="00842933"/>
    <w:rsid w:val="0086082C"/>
    <w:rsid w:val="008612F1"/>
    <w:rsid w:val="00864ADC"/>
    <w:rsid w:val="00880153"/>
    <w:rsid w:val="00880F97"/>
    <w:rsid w:val="0088133A"/>
    <w:rsid w:val="0089285E"/>
    <w:rsid w:val="0089436C"/>
    <w:rsid w:val="008A325B"/>
    <w:rsid w:val="008D365C"/>
    <w:rsid w:val="008D7622"/>
    <w:rsid w:val="008E71F4"/>
    <w:rsid w:val="009021A6"/>
    <w:rsid w:val="009030BF"/>
    <w:rsid w:val="00903B52"/>
    <w:rsid w:val="00904552"/>
    <w:rsid w:val="0091032F"/>
    <w:rsid w:val="00914368"/>
    <w:rsid w:val="00931076"/>
    <w:rsid w:val="009345D9"/>
    <w:rsid w:val="00934B15"/>
    <w:rsid w:val="00940C87"/>
    <w:rsid w:val="00942B62"/>
    <w:rsid w:val="0095323B"/>
    <w:rsid w:val="00956A0C"/>
    <w:rsid w:val="00956BD9"/>
    <w:rsid w:val="00962489"/>
    <w:rsid w:val="00967CD3"/>
    <w:rsid w:val="00990C2C"/>
    <w:rsid w:val="009A5171"/>
    <w:rsid w:val="009E1844"/>
    <w:rsid w:val="009F0D1B"/>
    <w:rsid w:val="009F5BBD"/>
    <w:rsid w:val="009F696D"/>
    <w:rsid w:val="009F6BC6"/>
    <w:rsid w:val="009F74EF"/>
    <w:rsid w:val="00A02826"/>
    <w:rsid w:val="00A15D5A"/>
    <w:rsid w:val="00A17328"/>
    <w:rsid w:val="00A23A20"/>
    <w:rsid w:val="00A24443"/>
    <w:rsid w:val="00A268B9"/>
    <w:rsid w:val="00A2703A"/>
    <w:rsid w:val="00A33DFF"/>
    <w:rsid w:val="00A35115"/>
    <w:rsid w:val="00A36D9A"/>
    <w:rsid w:val="00A451DC"/>
    <w:rsid w:val="00A554AB"/>
    <w:rsid w:val="00A57062"/>
    <w:rsid w:val="00A67781"/>
    <w:rsid w:val="00A761F9"/>
    <w:rsid w:val="00A92B53"/>
    <w:rsid w:val="00A94FA6"/>
    <w:rsid w:val="00AA49A0"/>
    <w:rsid w:val="00AA6710"/>
    <w:rsid w:val="00AB0681"/>
    <w:rsid w:val="00AC3A15"/>
    <w:rsid w:val="00AD520B"/>
    <w:rsid w:val="00AE3BCC"/>
    <w:rsid w:val="00B425C3"/>
    <w:rsid w:val="00B440AD"/>
    <w:rsid w:val="00B479BB"/>
    <w:rsid w:val="00B53E7E"/>
    <w:rsid w:val="00B6342E"/>
    <w:rsid w:val="00B7113F"/>
    <w:rsid w:val="00B767D7"/>
    <w:rsid w:val="00BA2BCF"/>
    <w:rsid w:val="00BA5B14"/>
    <w:rsid w:val="00BA73B6"/>
    <w:rsid w:val="00BA7E27"/>
    <w:rsid w:val="00BB2603"/>
    <w:rsid w:val="00BB4FCD"/>
    <w:rsid w:val="00BC04E9"/>
    <w:rsid w:val="00BD13EA"/>
    <w:rsid w:val="00BE3808"/>
    <w:rsid w:val="00BE4305"/>
    <w:rsid w:val="00C03B88"/>
    <w:rsid w:val="00C062E9"/>
    <w:rsid w:val="00C07B64"/>
    <w:rsid w:val="00C13721"/>
    <w:rsid w:val="00C14FE4"/>
    <w:rsid w:val="00C20C23"/>
    <w:rsid w:val="00C3066D"/>
    <w:rsid w:val="00C52416"/>
    <w:rsid w:val="00C543F4"/>
    <w:rsid w:val="00C6291C"/>
    <w:rsid w:val="00C633CB"/>
    <w:rsid w:val="00C664CD"/>
    <w:rsid w:val="00C736B7"/>
    <w:rsid w:val="00C81D4A"/>
    <w:rsid w:val="00C8762C"/>
    <w:rsid w:val="00CA00F9"/>
    <w:rsid w:val="00CA2961"/>
    <w:rsid w:val="00CB50D7"/>
    <w:rsid w:val="00CB7177"/>
    <w:rsid w:val="00CB7CED"/>
    <w:rsid w:val="00CC04D1"/>
    <w:rsid w:val="00CC070F"/>
    <w:rsid w:val="00CC1998"/>
    <w:rsid w:val="00CC4946"/>
    <w:rsid w:val="00CC64A1"/>
    <w:rsid w:val="00CF3B11"/>
    <w:rsid w:val="00D270A4"/>
    <w:rsid w:val="00D27B1D"/>
    <w:rsid w:val="00D31FE9"/>
    <w:rsid w:val="00D34E1B"/>
    <w:rsid w:val="00D376BA"/>
    <w:rsid w:val="00D434A0"/>
    <w:rsid w:val="00D45634"/>
    <w:rsid w:val="00D55264"/>
    <w:rsid w:val="00D5568A"/>
    <w:rsid w:val="00D63D73"/>
    <w:rsid w:val="00D64452"/>
    <w:rsid w:val="00D66E1E"/>
    <w:rsid w:val="00D70696"/>
    <w:rsid w:val="00D75722"/>
    <w:rsid w:val="00D80CF5"/>
    <w:rsid w:val="00DA5BBA"/>
    <w:rsid w:val="00DB26D2"/>
    <w:rsid w:val="00DB67C9"/>
    <w:rsid w:val="00DC0C95"/>
    <w:rsid w:val="00DC4F0B"/>
    <w:rsid w:val="00DD6580"/>
    <w:rsid w:val="00E01D7F"/>
    <w:rsid w:val="00E05C03"/>
    <w:rsid w:val="00E17C72"/>
    <w:rsid w:val="00E21FC6"/>
    <w:rsid w:val="00E339CA"/>
    <w:rsid w:val="00E431A9"/>
    <w:rsid w:val="00E60E70"/>
    <w:rsid w:val="00E669E2"/>
    <w:rsid w:val="00E7481C"/>
    <w:rsid w:val="00E76135"/>
    <w:rsid w:val="00E82F4F"/>
    <w:rsid w:val="00E864DF"/>
    <w:rsid w:val="00E959FA"/>
    <w:rsid w:val="00EB0CCB"/>
    <w:rsid w:val="00EB2CC3"/>
    <w:rsid w:val="00EC2844"/>
    <w:rsid w:val="00EC5500"/>
    <w:rsid w:val="00ED18F8"/>
    <w:rsid w:val="00EE0318"/>
    <w:rsid w:val="00EE6EDA"/>
    <w:rsid w:val="00EE778E"/>
    <w:rsid w:val="00EF6719"/>
    <w:rsid w:val="00EF6C6C"/>
    <w:rsid w:val="00F056FC"/>
    <w:rsid w:val="00F0632F"/>
    <w:rsid w:val="00F069AE"/>
    <w:rsid w:val="00F10476"/>
    <w:rsid w:val="00F135D8"/>
    <w:rsid w:val="00F31299"/>
    <w:rsid w:val="00F3534A"/>
    <w:rsid w:val="00F35BFB"/>
    <w:rsid w:val="00F36ACC"/>
    <w:rsid w:val="00F51609"/>
    <w:rsid w:val="00F55C25"/>
    <w:rsid w:val="00F73727"/>
    <w:rsid w:val="00F766A7"/>
    <w:rsid w:val="00F81006"/>
    <w:rsid w:val="00F85325"/>
    <w:rsid w:val="00FD22B1"/>
    <w:rsid w:val="00FD33F1"/>
    <w:rsid w:val="00FD3566"/>
    <w:rsid w:val="00FE5397"/>
    <w:rsid w:val="00FF33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Body Text" w:qFormat="1"/>
    <w:lsdException w:name="Subtitl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D27B1D"/>
    <w:rPr>
      <w:rFonts w:ascii="Calibri" w:hAnsi="Calibri"/>
      <w:sz w:val="22"/>
      <w:szCs w:val="22"/>
      <w:lang w:eastAsia="en-US"/>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new legislation style,Body Text Char1 Char2,Body Text Char Char Char,Body Text Char Char Char Char Char1,new legislation style Char Char1 Char Char Char,Body Text Char2 Char Char Char Char Char,Body Text Char1 Char1 Char Char Char Char Char"/>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link w:val="ListBulletChar"/>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aliases w:val="new legislation style Char,Body Text Char1 Char2 Char,Body Text Char Char Char Char,Body Text Char Char Char Char Char1 Char,new legislation style Char Char1 Char Char Char Char,Body Text Char2 Char Char Char Char Char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F73727"/>
    <w:rPr>
      <w:rFonts w:ascii="Arial" w:hAnsi="Arial"/>
      <w:b/>
      <w:sz w:val="26"/>
      <w:szCs w:val="26"/>
      <w:lang w:eastAsia="en-US"/>
    </w:rPr>
  </w:style>
  <w:style w:type="paragraph" w:styleId="ListParagraph">
    <w:name w:val="List Paragraph"/>
    <w:basedOn w:val="Normal"/>
    <w:uiPriority w:val="34"/>
    <w:qFormat/>
    <w:rsid w:val="00D27B1D"/>
    <w:pPr>
      <w:ind w:left="720"/>
      <w:contextualSpacing/>
    </w:pPr>
    <w:rPr>
      <w:rFonts w:ascii="Times New Roman" w:hAnsi="Times New Roman"/>
      <w:sz w:val="24"/>
      <w:szCs w:val="24"/>
      <w:lang w:eastAsia="en-AU"/>
    </w:rPr>
  </w:style>
  <w:style w:type="character" w:customStyle="1" w:styleId="ListBulletChar">
    <w:name w:val="List Bullet Char"/>
    <w:link w:val="ListBullet"/>
    <w:rsid w:val="00FF33B5"/>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Body Text" w:qFormat="1"/>
    <w:lsdException w:name="Subtitl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D27B1D"/>
    <w:rPr>
      <w:rFonts w:ascii="Calibri" w:hAnsi="Calibri"/>
      <w:sz w:val="22"/>
      <w:szCs w:val="22"/>
      <w:lang w:eastAsia="en-US"/>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new legislation style,Body Text Char1 Char2,Body Text Char Char Char,Body Text Char Char Char Char Char1,new legislation style Char Char1 Char Char Char,Body Text Char2 Char Char Char Char Char,Body Text Char1 Char1 Char Char Char Char Char"/>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link w:val="ListBulletChar"/>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aliases w:val="new legislation style Char,Body Text Char1 Char2 Char,Body Text Char Char Char Char,Body Text Char Char Char Char Char1 Char,new legislation style Char Char1 Char Char Char Char,Body Text Char2 Char Char Char Char Char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F73727"/>
    <w:rPr>
      <w:rFonts w:ascii="Arial" w:hAnsi="Arial"/>
      <w:b/>
      <w:sz w:val="26"/>
      <w:szCs w:val="26"/>
      <w:lang w:eastAsia="en-US"/>
    </w:rPr>
  </w:style>
  <w:style w:type="paragraph" w:styleId="ListParagraph">
    <w:name w:val="List Paragraph"/>
    <w:basedOn w:val="Normal"/>
    <w:uiPriority w:val="34"/>
    <w:qFormat/>
    <w:rsid w:val="00D27B1D"/>
    <w:pPr>
      <w:ind w:left="720"/>
      <w:contextualSpacing/>
    </w:pPr>
    <w:rPr>
      <w:rFonts w:ascii="Times New Roman" w:hAnsi="Times New Roman"/>
      <w:sz w:val="24"/>
      <w:szCs w:val="24"/>
      <w:lang w:eastAsia="en-AU"/>
    </w:rPr>
  </w:style>
  <w:style w:type="character" w:customStyle="1" w:styleId="ListBulletChar">
    <w:name w:val="List Bullet Char"/>
    <w:link w:val="ListBullet"/>
    <w:rsid w:val="00FF33B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130059">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chapter.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115CA-9D4D-4DD4-9B0A-0185F5449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67</TotalTime>
  <Pages>5</Pages>
  <Words>556</Words>
  <Characters>2865</Characters>
  <Application>Microsoft Office Word</Application>
  <DocSecurity>0</DocSecurity>
  <Lines>159</Lines>
  <Paragraphs>85</Paragraphs>
  <ScaleCrop>false</ScaleCrop>
  <HeadingPairs>
    <vt:vector size="2" baseType="variant">
      <vt:variant>
        <vt:lpstr>Title</vt:lpstr>
      </vt:variant>
      <vt:variant>
        <vt:i4>1</vt:i4>
      </vt:variant>
    </vt:vector>
  </HeadingPairs>
  <TitlesOfParts>
    <vt:vector size="1" baseType="lpstr">
      <vt:lpstr>Erratum - Childcare and Early Childhood Learning</vt:lpstr>
    </vt:vector>
  </TitlesOfParts>
  <Company>Productivity Commission</Company>
  <LinksUpToDate>false</LinksUpToDate>
  <CharactersWithSpaces>3336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Erratum - Childcare and Early Childhood Learning</dc:title>
  <dc:subject/>
  <dc:creator>Productivity Commission</dc:creator>
  <dc:description>1.</dc:description>
  <cp:lastModifiedBy>Mark Pimperl</cp:lastModifiedBy>
  <cp:revision>19</cp:revision>
  <cp:lastPrinted>2015-04-08T01:35:00Z</cp:lastPrinted>
  <dcterms:created xsi:type="dcterms:W3CDTF">2015-04-02T03:28:00Z</dcterms:created>
  <dcterms:modified xsi:type="dcterms:W3CDTF">2015-04-09T02:11:00Z</dcterms:modified>
</cp:coreProperties>
</file>