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C4" w:rsidRPr="006A10C4" w:rsidRDefault="00B36AF1" w:rsidP="00BF738A">
      <w:pPr>
        <w:spacing w:after="240"/>
        <w:jc w:val="center"/>
        <w:rPr>
          <w:rFonts w:ascii="Arial" w:hAnsi="Arial" w:cs="Arial"/>
          <w:caps/>
        </w:rPr>
      </w:pPr>
      <w:bookmarkStart w:id="0" w:name="_GoBack"/>
      <w:bookmarkEnd w:id="0"/>
      <w:r>
        <w:rPr>
          <w:rFonts w:ascii="Arial" w:hAnsi="Arial" w:cs="Arial"/>
          <w:caps/>
        </w:rPr>
        <w:t>intellectual property arrangements</w:t>
      </w:r>
    </w:p>
    <w:p w:rsidR="00BF738A" w:rsidRPr="002A300B" w:rsidRDefault="00B36AF1" w:rsidP="00BF738A">
      <w:pPr>
        <w:spacing w:after="240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 xml:space="preserve">how does </w:t>
      </w:r>
      <w:r w:rsidR="008A0383">
        <w:rPr>
          <w:rFonts w:ascii="Arial" w:hAnsi="Arial" w:cs="Arial"/>
          <w:caps/>
          <w:sz w:val="28"/>
          <w:szCs w:val="28"/>
        </w:rPr>
        <w:t xml:space="preserve">australia’s ip </w:t>
      </w:r>
      <w:r>
        <w:rPr>
          <w:rFonts w:ascii="Arial" w:hAnsi="Arial" w:cs="Arial"/>
          <w:caps/>
          <w:sz w:val="28"/>
          <w:szCs w:val="28"/>
        </w:rPr>
        <w:t>system fare</w:t>
      </w:r>
      <w:r w:rsidR="008A0383">
        <w:rPr>
          <w:rFonts w:ascii="Arial" w:hAnsi="Arial" w:cs="Arial"/>
          <w:caps/>
          <w:sz w:val="28"/>
          <w:szCs w:val="28"/>
        </w:rPr>
        <w:t>?</w:t>
      </w:r>
    </w:p>
    <w:p w:rsidR="00D97FAA" w:rsidRDefault="001F0B92" w:rsidP="0096019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Productivity Commission has </w:t>
      </w:r>
      <w:r w:rsidR="00E6152C">
        <w:rPr>
          <w:rFonts w:ascii="Arial" w:hAnsi="Arial" w:cs="Arial"/>
        </w:rPr>
        <w:t xml:space="preserve">assessed </w:t>
      </w:r>
      <w:r w:rsidR="00F35EDD">
        <w:rPr>
          <w:rFonts w:ascii="Arial" w:hAnsi="Arial" w:cs="Arial"/>
        </w:rPr>
        <w:t>the performance of</w:t>
      </w:r>
      <w:r w:rsidR="00E6152C">
        <w:rPr>
          <w:rFonts w:ascii="Arial" w:hAnsi="Arial" w:cs="Arial"/>
        </w:rPr>
        <w:t xml:space="preserve"> Australia’s </w:t>
      </w:r>
      <w:r w:rsidR="00B46405">
        <w:rPr>
          <w:rFonts w:ascii="Arial" w:hAnsi="Arial" w:cs="Arial"/>
        </w:rPr>
        <w:t>IP</w:t>
      </w:r>
      <w:r>
        <w:rPr>
          <w:rFonts w:ascii="Arial" w:hAnsi="Arial" w:cs="Arial"/>
        </w:rPr>
        <w:t xml:space="preserve"> system </w:t>
      </w:r>
      <w:r w:rsidR="00E6152C">
        <w:rPr>
          <w:rFonts w:ascii="Arial" w:hAnsi="Arial" w:cs="Arial"/>
        </w:rPr>
        <w:t xml:space="preserve">against a framework </w:t>
      </w:r>
      <w:r w:rsidR="000C4442" w:rsidRPr="00A51068">
        <w:rPr>
          <w:rFonts w:ascii="Arial" w:hAnsi="Arial" w:cs="Arial"/>
        </w:rPr>
        <w:t>underpinn</w:t>
      </w:r>
      <w:r w:rsidR="008A2E0C">
        <w:rPr>
          <w:rFonts w:ascii="Arial" w:hAnsi="Arial" w:cs="Arial"/>
        </w:rPr>
        <w:t>ed by four</w:t>
      </w:r>
      <w:r w:rsidR="000C4442" w:rsidRPr="00A51068">
        <w:rPr>
          <w:rFonts w:ascii="Arial" w:hAnsi="Arial" w:cs="Arial"/>
        </w:rPr>
        <w:t xml:space="preserve"> </w:t>
      </w:r>
      <w:r w:rsidR="00A51068" w:rsidRPr="00A51068">
        <w:rPr>
          <w:rFonts w:ascii="Arial" w:hAnsi="Arial" w:cs="Arial"/>
        </w:rPr>
        <w:t>principles</w:t>
      </w:r>
      <w:r w:rsidR="000C4442">
        <w:rPr>
          <w:rFonts w:ascii="Arial" w:hAnsi="Arial" w:cs="Arial"/>
        </w:rPr>
        <w:t xml:space="preserve"> </w:t>
      </w:r>
      <w:r w:rsidR="00FE43A4">
        <w:rPr>
          <w:rFonts w:ascii="Arial" w:hAnsi="Arial" w:cs="Arial"/>
        </w:rPr>
        <w:t>—</w:t>
      </w:r>
      <w:r w:rsidR="00FE43A4" w:rsidRPr="00A51068">
        <w:rPr>
          <w:rFonts w:ascii="Arial" w:hAnsi="Arial" w:cs="Arial"/>
        </w:rPr>
        <w:t xml:space="preserve"> </w:t>
      </w:r>
      <w:r w:rsidR="00A51068" w:rsidRPr="00A51068">
        <w:rPr>
          <w:rFonts w:ascii="Arial" w:hAnsi="Arial" w:cs="Arial"/>
        </w:rPr>
        <w:t>effectiveness, efficiency, adaptability and account</w:t>
      </w:r>
      <w:r w:rsidR="000C4442">
        <w:rPr>
          <w:rFonts w:ascii="Arial" w:hAnsi="Arial" w:cs="Arial"/>
        </w:rPr>
        <w:t>ability</w:t>
      </w:r>
      <w:r w:rsidR="00A51068">
        <w:rPr>
          <w:rFonts w:ascii="Arial" w:hAnsi="Arial" w:cs="Arial"/>
        </w:rPr>
        <w:t>.</w:t>
      </w:r>
      <w:r w:rsidR="00D97FAA">
        <w:rPr>
          <w:rFonts w:ascii="Arial" w:hAnsi="Arial" w:cs="Arial"/>
        </w:rPr>
        <w:t xml:space="preserve"> </w:t>
      </w:r>
    </w:p>
    <w:p w:rsidR="00981E3A" w:rsidRPr="00C64870" w:rsidRDefault="001F0B92" w:rsidP="00981E3A">
      <w:pPr>
        <w:spacing w:after="240"/>
        <w:rPr>
          <w:rFonts w:ascii="Arial" w:hAnsi="Arial" w:cs="Arial"/>
          <w:b/>
        </w:rPr>
      </w:pPr>
      <w:r w:rsidRPr="00C64870">
        <w:rPr>
          <w:rFonts w:ascii="Arial" w:hAnsi="Arial" w:cs="Arial"/>
          <w:b/>
        </w:rPr>
        <w:t>Australia’s IP</w:t>
      </w:r>
      <w:r w:rsidR="00981E3A" w:rsidRPr="00C64870">
        <w:rPr>
          <w:rFonts w:ascii="Arial" w:hAnsi="Arial" w:cs="Arial"/>
          <w:b/>
        </w:rPr>
        <w:t xml:space="preserve"> arrangements are not as effective as they could be</w:t>
      </w:r>
    </w:p>
    <w:p w:rsidR="00D543A0" w:rsidRDefault="00C817B5" w:rsidP="0096019C">
      <w:pPr>
        <w:spacing w:after="240"/>
        <w:jc w:val="both"/>
        <w:rPr>
          <w:rFonts w:ascii="Arial" w:hAnsi="Arial" w:cs="Arial"/>
        </w:rPr>
      </w:pPr>
      <w:r w:rsidRPr="00C817B5">
        <w:rPr>
          <w:rFonts w:ascii="Arial" w:hAnsi="Arial" w:cs="Arial"/>
        </w:rPr>
        <w:t xml:space="preserve">Improvements are needed so Australia’s patent </w:t>
      </w:r>
      <w:r>
        <w:rPr>
          <w:rFonts w:ascii="Arial" w:hAnsi="Arial" w:cs="Arial"/>
        </w:rPr>
        <w:t xml:space="preserve">and </w:t>
      </w:r>
      <w:r w:rsidRPr="00C817B5">
        <w:rPr>
          <w:rFonts w:ascii="Arial" w:hAnsi="Arial" w:cs="Arial"/>
        </w:rPr>
        <w:t xml:space="preserve">copyright arrangements function </w:t>
      </w:r>
      <w:r>
        <w:rPr>
          <w:rFonts w:ascii="Arial" w:hAnsi="Arial" w:cs="Arial"/>
        </w:rPr>
        <w:t>more effectively.</w:t>
      </w:r>
      <w:r w:rsidR="008D5EE5">
        <w:rPr>
          <w:rFonts w:ascii="Arial" w:hAnsi="Arial" w:cs="Arial"/>
        </w:rPr>
        <w:t xml:space="preserve"> </w:t>
      </w:r>
    </w:p>
    <w:p w:rsidR="00DF4748" w:rsidRDefault="0039045E" w:rsidP="0096019C">
      <w:pPr>
        <w:spacing w:after="240"/>
        <w:jc w:val="both"/>
        <w:rPr>
          <w:rFonts w:ascii="Arial" w:hAnsi="Arial" w:cs="Arial"/>
        </w:rPr>
      </w:pPr>
      <w:r w:rsidRPr="0039045E">
        <w:rPr>
          <w:rFonts w:ascii="Arial" w:hAnsi="Arial" w:cs="Arial"/>
        </w:rPr>
        <w:t>Australia’s patent system grants protection too easily, allowing low</w:t>
      </w:r>
      <w:r w:rsidR="00DF4748" w:rsidRPr="00DF4748">
        <w:rPr>
          <w:rFonts w:ascii="Arial" w:hAnsi="Arial" w:cs="Arial"/>
        </w:rPr>
        <w:t>–value patents</w:t>
      </w:r>
      <w:r w:rsidR="00D543A0">
        <w:rPr>
          <w:rFonts w:ascii="Arial" w:hAnsi="Arial" w:cs="Arial"/>
        </w:rPr>
        <w:t>, which</w:t>
      </w:r>
      <w:r w:rsidR="00DF4748" w:rsidRPr="00DF4748">
        <w:rPr>
          <w:rFonts w:ascii="Arial" w:hAnsi="Arial" w:cs="Arial"/>
        </w:rPr>
        <w:t xml:space="preserve"> can impede innovation </w:t>
      </w:r>
      <w:r w:rsidR="008A0383">
        <w:rPr>
          <w:rFonts w:ascii="Arial" w:hAnsi="Arial" w:cs="Arial"/>
        </w:rPr>
        <w:t>and perversely undermine the commercial value of patents, especially for small and medium enterprises</w:t>
      </w:r>
      <w:r w:rsidR="00DF4748" w:rsidRPr="00DF4748">
        <w:rPr>
          <w:rFonts w:ascii="Arial" w:hAnsi="Arial" w:cs="Arial"/>
        </w:rPr>
        <w:t xml:space="preserve">. With more </w:t>
      </w:r>
      <w:r w:rsidR="008A0383">
        <w:rPr>
          <w:rFonts w:ascii="Arial" w:hAnsi="Arial" w:cs="Arial"/>
        </w:rPr>
        <w:t xml:space="preserve">and lower value </w:t>
      </w:r>
      <w:r w:rsidR="00DF4748" w:rsidRPr="00DF4748">
        <w:rPr>
          <w:rFonts w:ascii="Arial" w:hAnsi="Arial" w:cs="Arial"/>
        </w:rPr>
        <w:t xml:space="preserve">patents, it is </w:t>
      </w:r>
      <w:r w:rsidR="00D543A0">
        <w:rPr>
          <w:rFonts w:ascii="Arial" w:hAnsi="Arial" w:cs="Arial"/>
        </w:rPr>
        <w:t>difficult for a follow</w:t>
      </w:r>
      <w:r w:rsidR="00D543A0">
        <w:rPr>
          <w:rFonts w:ascii="Arial" w:hAnsi="Arial" w:cs="Arial"/>
        </w:rPr>
        <w:noBreakHyphen/>
      </w:r>
      <w:r w:rsidR="00DF4748" w:rsidRPr="00DF4748">
        <w:rPr>
          <w:rFonts w:ascii="Arial" w:hAnsi="Arial" w:cs="Arial"/>
        </w:rPr>
        <w:t xml:space="preserve">on innovator to be sure that </w:t>
      </w:r>
      <w:r w:rsidR="00DF4748">
        <w:rPr>
          <w:rFonts w:ascii="Arial" w:hAnsi="Arial" w:cs="Arial"/>
        </w:rPr>
        <w:t>they are</w:t>
      </w:r>
      <w:r w:rsidR="00DF4748" w:rsidRPr="00DF4748">
        <w:rPr>
          <w:rFonts w:ascii="Arial" w:hAnsi="Arial" w:cs="Arial"/>
        </w:rPr>
        <w:t xml:space="preserve"> not infringing someone else’s patent, and to identify and build on true advances in human knowledge.</w:t>
      </w:r>
    </w:p>
    <w:p w:rsidR="00035D0D" w:rsidRPr="0039293F" w:rsidRDefault="008A0383" w:rsidP="0096019C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While c</w:t>
      </w:r>
      <w:r w:rsidR="008D5EE5" w:rsidRPr="00F63987">
        <w:rPr>
          <w:rFonts w:ascii="Arial" w:hAnsi="Arial" w:cs="Arial"/>
        </w:rPr>
        <w:t>opyright</w:t>
      </w:r>
      <w:r w:rsidR="008D5EE5" w:rsidRPr="00392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important for rewarding creative endeavour, it does </w:t>
      </w:r>
      <w:r w:rsidR="008D5EE5">
        <w:rPr>
          <w:rFonts w:ascii="Arial" w:hAnsi="Arial" w:cs="Arial"/>
        </w:rPr>
        <w:t>protect m</w:t>
      </w:r>
      <w:r w:rsidR="00CC31DF" w:rsidRPr="0096019C">
        <w:rPr>
          <w:rFonts w:ascii="Arial" w:hAnsi="Arial" w:cs="Arial"/>
        </w:rPr>
        <w:t xml:space="preserve">any types of works, </w:t>
      </w:r>
      <w:r w:rsidR="008D5EE5">
        <w:rPr>
          <w:rFonts w:ascii="Arial" w:hAnsi="Arial" w:cs="Arial"/>
        </w:rPr>
        <w:t>including those that</w:t>
      </w:r>
      <w:r w:rsidR="00CC31DF" w:rsidRPr="0096019C">
        <w:rPr>
          <w:rFonts w:ascii="Arial" w:hAnsi="Arial" w:cs="Arial"/>
        </w:rPr>
        <w:t xml:space="preserve"> would </w:t>
      </w:r>
      <w:r w:rsidR="008D5EE5">
        <w:rPr>
          <w:rFonts w:ascii="Arial" w:hAnsi="Arial" w:cs="Arial"/>
        </w:rPr>
        <w:t>have been created anyway</w:t>
      </w:r>
      <w:r w:rsidR="0039045E">
        <w:rPr>
          <w:rFonts w:ascii="Arial" w:hAnsi="Arial" w:cs="Arial"/>
        </w:rPr>
        <w:t>.</w:t>
      </w:r>
      <w:r w:rsidR="00D543A0">
        <w:rPr>
          <w:rFonts w:ascii="Arial" w:hAnsi="Arial" w:cs="Arial"/>
        </w:rPr>
        <w:t xml:space="preserve"> As one inquiry participant remarked, ‘</w:t>
      </w:r>
      <w:r w:rsidR="00D543A0" w:rsidRPr="00D543A0">
        <w:rPr>
          <w:rFonts w:ascii="Arial" w:hAnsi="Arial" w:cs="Arial"/>
        </w:rPr>
        <w:t>a doodle or text message receives the same protection as an oil painting</w:t>
      </w:r>
      <w:r w:rsidR="00D543A0">
        <w:rPr>
          <w:rFonts w:ascii="Arial" w:hAnsi="Arial" w:cs="Arial"/>
        </w:rPr>
        <w:t>’.</w:t>
      </w:r>
    </w:p>
    <w:p w:rsidR="00981E3A" w:rsidRPr="00C64870" w:rsidRDefault="00981E3A" w:rsidP="00981E3A">
      <w:pPr>
        <w:spacing w:after="240"/>
        <w:rPr>
          <w:rFonts w:ascii="Arial" w:hAnsi="Arial" w:cs="Arial"/>
          <w:b/>
        </w:rPr>
      </w:pPr>
      <w:r w:rsidRPr="00C64870">
        <w:rPr>
          <w:rFonts w:ascii="Arial" w:hAnsi="Arial" w:cs="Arial"/>
          <w:b/>
        </w:rPr>
        <w:t xml:space="preserve">Australia’s IP arrangements fail to strike an efficient balance between incentives for creators </w:t>
      </w:r>
      <w:r w:rsidR="008A0383">
        <w:rPr>
          <w:rFonts w:ascii="Arial" w:hAnsi="Arial" w:cs="Arial"/>
          <w:b/>
        </w:rPr>
        <w:t xml:space="preserve">and innovators </w:t>
      </w:r>
      <w:r w:rsidRPr="00C64870">
        <w:rPr>
          <w:rFonts w:ascii="Arial" w:hAnsi="Arial" w:cs="Arial"/>
          <w:b/>
        </w:rPr>
        <w:t>and costs to users</w:t>
      </w:r>
    </w:p>
    <w:p w:rsidR="00981E3A" w:rsidRPr="007917BD" w:rsidRDefault="007917BD" w:rsidP="0096019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6019C">
        <w:rPr>
          <w:rFonts w:ascii="Arial" w:hAnsi="Arial" w:cs="Arial"/>
        </w:rPr>
        <w:t>deally</w:t>
      </w:r>
      <w:r>
        <w:rPr>
          <w:rFonts w:ascii="Arial" w:hAnsi="Arial" w:cs="Arial"/>
        </w:rPr>
        <w:t>,</w:t>
      </w:r>
      <w:r w:rsidRPr="0096019C">
        <w:rPr>
          <w:rFonts w:ascii="Arial" w:hAnsi="Arial" w:cs="Arial"/>
        </w:rPr>
        <w:t xml:space="preserve"> </w:t>
      </w:r>
      <w:r w:rsidR="000C4442" w:rsidRPr="0096019C">
        <w:rPr>
          <w:rFonts w:ascii="Arial" w:hAnsi="Arial" w:cs="Arial"/>
        </w:rPr>
        <w:t xml:space="preserve">Australia’s IP system would balance the incentives for creators </w:t>
      </w:r>
      <w:r w:rsidR="008A0383">
        <w:rPr>
          <w:rFonts w:ascii="Arial" w:hAnsi="Arial" w:cs="Arial"/>
        </w:rPr>
        <w:t xml:space="preserve">and innovators </w:t>
      </w:r>
      <w:r w:rsidR="000C4442" w:rsidRPr="0096019C">
        <w:rPr>
          <w:rFonts w:ascii="Arial" w:hAnsi="Arial" w:cs="Arial"/>
        </w:rPr>
        <w:t>and the costs to users</w:t>
      </w:r>
      <w:r w:rsidR="008A0383">
        <w:rPr>
          <w:rFonts w:ascii="Arial" w:hAnsi="Arial" w:cs="Arial"/>
        </w:rPr>
        <w:t xml:space="preserve"> (including follow on innovators)</w:t>
      </w:r>
      <w:r>
        <w:rPr>
          <w:rFonts w:ascii="Arial" w:hAnsi="Arial" w:cs="Arial"/>
        </w:rPr>
        <w:t>.</w:t>
      </w:r>
      <w:r w:rsidR="000C4442" w:rsidRPr="0096019C">
        <w:rPr>
          <w:rFonts w:ascii="Arial" w:hAnsi="Arial" w:cs="Arial"/>
        </w:rPr>
        <w:t xml:space="preserve"> </w:t>
      </w:r>
      <w:r w:rsidRPr="0096019C">
        <w:rPr>
          <w:rFonts w:ascii="Arial" w:hAnsi="Arial" w:cs="Arial"/>
        </w:rPr>
        <w:t>However</w:t>
      </w:r>
      <w:r>
        <w:rPr>
          <w:rFonts w:ascii="Arial" w:hAnsi="Arial" w:cs="Arial"/>
        </w:rPr>
        <w:t>,</w:t>
      </w:r>
      <w:r w:rsidR="000C4442" w:rsidRPr="0096019C">
        <w:rPr>
          <w:rFonts w:ascii="Arial" w:hAnsi="Arial" w:cs="Arial"/>
        </w:rPr>
        <w:t xml:space="preserve"> evidence suggests that IP</w:t>
      </w:r>
      <w:r>
        <w:rPr>
          <w:rFonts w:ascii="Arial" w:hAnsi="Arial" w:cs="Arial"/>
        </w:rPr>
        <w:t> </w:t>
      </w:r>
      <w:r w:rsidR="000C4442" w:rsidRPr="0096019C">
        <w:rPr>
          <w:rFonts w:ascii="Arial" w:hAnsi="Arial" w:cs="Arial"/>
        </w:rPr>
        <w:t>arrangements fail to strike this balance and as a result, greater costs are being born</w:t>
      </w:r>
      <w:r w:rsidR="0096019C">
        <w:rPr>
          <w:rFonts w:ascii="Arial" w:hAnsi="Arial" w:cs="Arial"/>
        </w:rPr>
        <w:t>e</w:t>
      </w:r>
      <w:r w:rsidR="000C4442" w:rsidRPr="0096019C">
        <w:rPr>
          <w:rFonts w:ascii="Arial" w:hAnsi="Arial" w:cs="Arial"/>
        </w:rPr>
        <w:t xml:space="preserve"> by Australian</w:t>
      </w:r>
      <w:r w:rsidR="008A0383">
        <w:rPr>
          <w:rFonts w:ascii="Arial" w:hAnsi="Arial" w:cs="Arial"/>
        </w:rPr>
        <w:t>s</w:t>
      </w:r>
      <w:r w:rsidR="000C4442" w:rsidRPr="0096019C">
        <w:rPr>
          <w:rFonts w:ascii="Arial" w:hAnsi="Arial" w:cs="Arial"/>
        </w:rPr>
        <w:t xml:space="preserve"> than is necessary. </w:t>
      </w:r>
    </w:p>
    <w:p w:rsidR="00F61687" w:rsidRDefault="00E6152C" w:rsidP="0096019C">
      <w:pPr>
        <w:spacing w:after="240"/>
        <w:jc w:val="both"/>
        <w:rPr>
          <w:rFonts w:ascii="Arial" w:hAnsi="Arial" w:cs="Arial"/>
        </w:rPr>
      </w:pPr>
      <w:r w:rsidRPr="0096019C">
        <w:rPr>
          <w:rFonts w:ascii="Arial" w:hAnsi="Arial" w:cs="Arial"/>
        </w:rPr>
        <w:t xml:space="preserve">The duration of copyright protection is a striking example of </w:t>
      </w:r>
      <w:r w:rsidR="008A0383">
        <w:rPr>
          <w:rFonts w:ascii="Arial" w:hAnsi="Arial" w:cs="Arial"/>
        </w:rPr>
        <w:t xml:space="preserve">excessive </w:t>
      </w:r>
      <w:r w:rsidRPr="0096019C">
        <w:rPr>
          <w:rFonts w:ascii="Arial" w:hAnsi="Arial" w:cs="Arial"/>
        </w:rPr>
        <w:t xml:space="preserve">protection. </w:t>
      </w:r>
      <w:r w:rsidR="00D543A0">
        <w:rPr>
          <w:rFonts w:ascii="Arial" w:hAnsi="Arial" w:cs="Arial"/>
        </w:rPr>
        <w:t>A</w:t>
      </w:r>
      <w:r w:rsidRPr="0096019C">
        <w:rPr>
          <w:rFonts w:ascii="Arial" w:hAnsi="Arial" w:cs="Arial"/>
        </w:rPr>
        <w:t xml:space="preserve"> commercial life of a few years suggests most works are granted </w:t>
      </w:r>
      <w:r w:rsidR="00957302">
        <w:rPr>
          <w:rFonts w:ascii="Arial" w:hAnsi="Arial" w:cs="Arial"/>
        </w:rPr>
        <w:t xml:space="preserve">copyright </w:t>
      </w:r>
      <w:r w:rsidRPr="0096019C">
        <w:rPr>
          <w:rFonts w:ascii="Arial" w:hAnsi="Arial" w:cs="Arial"/>
        </w:rPr>
        <w:t xml:space="preserve">protection for decades longer than </w:t>
      </w:r>
      <w:r w:rsidR="007917BD">
        <w:rPr>
          <w:rFonts w:ascii="Arial" w:hAnsi="Arial" w:cs="Arial"/>
        </w:rPr>
        <w:t>required</w:t>
      </w:r>
      <w:r w:rsidR="00F35EDD" w:rsidRPr="0096019C">
        <w:rPr>
          <w:rFonts w:ascii="Arial" w:hAnsi="Arial" w:cs="Arial"/>
        </w:rPr>
        <w:t>.</w:t>
      </w:r>
      <w:r w:rsidRPr="007917BD">
        <w:rPr>
          <w:rFonts w:ascii="Arial" w:hAnsi="Arial" w:cs="Arial"/>
        </w:rPr>
        <w:t xml:space="preserve"> </w:t>
      </w:r>
      <w:r w:rsidR="00D543A0">
        <w:rPr>
          <w:rFonts w:ascii="Arial" w:hAnsi="Arial" w:cs="Arial"/>
        </w:rPr>
        <w:t>L</w:t>
      </w:r>
      <w:r w:rsidR="00D543A0" w:rsidRPr="00D543A0">
        <w:rPr>
          <w:rFonts w:ascii="Arial" w:hAnsi="Arial" w:cs="Arial"/>
        </w:rPr>
        <w:t xml:space="preserve">ong periods of </w:t>
      </w:r>
      <w:r w:rsidR="00957302">
        <w:rPr>
          <w:rFonts w:ascii="Arial" w:hAnsi="Arial" w:cs="Arial"/>
        </w:rPr>
        <w:t>copyright</w:t>
      </w:r>
      <w:r w:rsidR="00D543A0">
        <w:rPr>
          <w:rFonts w:ascii="Arial" w:hAnsi="Arial" w:cs="Arial"/>
        </w:rPr>
        <w:t>,</w:t>
      </w:r>
      <w:r w:rsidR="00D543A0" w:rsidRPr="00D543A0">
        <w:rPr>
          <w:rFonts w:ascii="Arial" w:hAnsi="Arial" w:cs="Arial"/>
        </w:rPr>
        <w:t xml:space="preserve"> coupled with </w:t>
      </w:r>
      <w:r w:rsidR="00957302">
        <w:rPr>
          <w:rFonts w:ascii="Arial" w:hAnsi="Arial" w:cs="Arial"/>
        </w:rPr>
        <w:t xml:space="preserve">no form </w:t>
      </w:r>
      <w:r w:rsidR="00D543A0" w:rsidRPr="00D543A0">
        <w:rPr>
          <w:rFonts w:ascii="Arial" w:hAnsi="Arial" w:cs="Arial"/>
        </w:rPr>
        <w:t xml:space="preserve">of registration, results in </w:t>
      </w:r>
      <w:r w:rsidR="00957302">
        <w:rPr>
          <w:rFonts w:ascii="Arial" w:hAnsi="Arial" w:cs="Arial"/>
        </w:rPr>
        <w:t xml:space="preserve">excessive search costs for users wishing to identify the copyright </w:t>
      </w:r>
      <w:r w:rsidR="00D543A0" w:rsidRPr="00D543A0">
        <w:rPr>
          <w:rFonts w:ascii="Arial" w:hAnsi="Arial" w:cs="Arial"/>
        </w:rPr>
        <w:t>own</w:t>
      </w:r>
      <w:r w:rsidR="00957302">
        <w:rPr>
          <w:rFonts w:ascii="Arial" w:hAnsi="Arial" w:cs="Arial"/>
        </w:rPr>
        <w:t>er</w:t>
      </w:r>
      <w:r w:rsidR="00D543A0" w:rsidRPr="00D543A0">
        <w:rPr>
          <w:rFonts w:ascii="Arial" w:hAnsi="Arial" w:cs="Arial"/>
        </w:rPr>
        <w:t xml:space="preserve">, </w:t>
      </w:r>
      <w:r w:rsidR="00957302">
        <w:rPr>
          <w:rFonts w:ascii="Arial" w:hAnsi="Arial" w:cs="Arial"/>
        </w:rPr>
        <w:t xml:space="preserve">and the common extreme of </w:t>
      </w:r>
      <w:r w:rsidR="00D543A0" w:rsidRPr="00D543A0">
        <w:rPr>
          <w:rFonts w:ascii="Arial" w:hAnsi="Arial" w:cs="Arial"/>
        </w:rPr>
        <w:t xml:space="preserve">causing </w:t>
      </w:r>
      <w:proofErr w:type="gramStart"/>
      <w:r w:rsidR="00D543A0" w:rsidRPr="00D543A0">
        <w:rPr>
          <w:rFonts w:ascii="Arial" w:hAnsi="Arial" w:cs="Arial"/>
        </w:rPr>
        <w:t>works</w:t>
      </w:r>
      <w:proofErr w:type="gramEnd"/>
      <w:r w:rsidR="00D543A0" w:rsidRPr="00D543A0">
        <w:rPr>
          <w:rFonts w:ascii="Arial" w:hAnsi="Arial" w:cs="Arial"/>
        </w:rPr>
        <w:t xml:space="preserve"> to be ‘orphaned.’</w:t>
      </w:r>
    </w:p>
    <w:p w:rsidR="00F61687" w:rsidRDefault="00F61687" w:rsidP="0096019C">
      <w:pPr>
        <w:spacing w:after="240"/>
        <w:jc w:val="both"/>
        <w:rPr>
          <w:rFonts w:ascii="Arial" w:hAnsi="Arial" w:cs="Arial"/>
        </w:rPr>
      </w:pPr>
    </w:p>
    <w:p w:rsidR="00F61687" w:rsidRDefault="00F61687" w:rsidP="0096019C">
      <w:pPr>
        <w:spacing w:after="240"/>
        <w:jc w:val="both"/>
        <w:rPr>
          <w:rFonts w:ascii="Arial" w:hAnsi="Arial" w:cs="Arial"/>
        </w:rPr>
      </w:pPr>
    </w:p>
    <w:p w:rsidR="00F61687" w:rsidRDefault="00F61687" w:rsidP="0096019C">
      <w:pPr>
        <w:spacing w:after="240"/>
        <w:jc w:val="both"/>
        <w:rPr>
          <w:rFonts w:ascii="Arial" w:hAnsi="Arial" w:cs="Arial"/>
        </w:rPr>
      </w:pPr>
    </w:p>
    <w:p w:rsidR="00981E3A" w:rsidRPr="007917BD" w:rsidRDefault="00F61687" w:rsidP="00F61687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[MORE]</w:t>
      </w:r>
    </w:p>
    <w:p w:rsidR="00B46405" w:rsidRDefault="00B46405" w:rsidP="00B46405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B46405" w:rsidTr="00957302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:rsidR="00B46405" w:rsidRPr="00176D3F" w:rsidRDefault="00B46405" w:rsidP="00957302">
            <w:pPr>
              <w:pStyle w:val="FigureTitle"/>
              <w:jc w:val="center"/>
            </w:pPr>
            <w:r>
              <w:t>Copyright protection far exceeds the commercial life of works</w:t>
            </w:r>
            <w:r w:rsidRPr="0018274C">
              <w:rPr>
                <w:rStyle w:val="NoteLabel"/>
                <w:b/>
              </w:rPr>
              <w:t>a</w:t>
            </w:r>
          </w:p>
        </w:tc>
      </w:tr>
      <w:tr w:rsidR="00B46405" w:rsidTr="00957302"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tbl>
            <w:tblPr>
              <w:tblW w:w="8504" w:type="dxa"/>
              <w:jc w:val="center"/>
              <w:tblBorders>
                <w:top w:val="single" w:sz="6" w:space="0" w:color="8064A2" w:themeColor="accent4"/>
                <w:bottom w:val="single" w:sz="6" w:space="0" w:color="8064A2" w:themeColor="accent4"/>
              </w:tblBorders>
              <w:tblLayout w:type="fixed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4"/>
            </w:tblGrid>
            <w:tr w:rsidR="00B46405" w:rsidTr="00957302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</w:tcPr>
                <w:tbl>
                  <w:tblPr>
                    <w:tblW w:w="0" w:type="auto"/>
                    <w:tblInd w:w="164" w:type="dxa"/>
                    <w:tblBorders>
                      <w:top w:val="single" w:sz="6" w:space="0" w:color="78A22F"/>
                      <w:left w:val="single" w:sz="6" w:space="0" w:color="78A22F"/>
                      <w:bottom w:val="single" w:sz="6" w:space="0" w:color="78A22F"/>
                      <w:right w:val="single" w:sz="6" w:space="0" w:color="78A22F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771"/>
                  </w:tblGrid>
                  <w:tr w:rsidR="00B46405" w:rsidTr="00957302">
                    <w:tc>
                      <w:tcPr>
                        <w:tcW w:w="8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46405" w:rsidRDefault="00B46405" w:rsidP="00957302">
                        <w:pPr>
                          <w:pStyle w:val="Figur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51303E" wp14:editId="22B45E1E">
                              <wp:extent cx="4965424" cy="2641146"/>
                              <wp:effectExtent l="0" t="0" r="6985" b="6985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69359" cy="26432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46405" w:rsidRDefault="00B46405" w:rsidP="00957302">
                  <w:pPr>
                    <w:pStyle w:val="Figure"/>
                    <w:spacing w:before="60" w:after="60"/>
                  </w:pPr>
                </w:p>
              </w:tc>
            </w:tr>
          </w:tbl>
          <w:p w:rsidR="00B46405" w:rsidRDefault="00B46405" w:rsidP="00957302">
            <w:pPr>
              <w:pStyle w:val="Figure"/>
            </w:pPr>
          </w:p>
        </w:tc>
      </w:tr>
      <w:tr w:rsidR="00B46405" w:rsidRPr="00176D3F" w:rsidTr="00957302"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405" w:rsidRPr="00176D3F" w:rsidRDefault="00B46405" w:rsidP="00957302">
            <w:pPr>
              <w:pStyle w:val="Note"/>
            </w:pPr>
            <w:proofErr w:type="gramStart"/>
            <w:r>
              <w:rPr>
                <w:rStyle w:val="NoteLabel"/>
              </w:rPr>
              <w:t>a</w:t>
            </w:r>
            <w:proofErr w:type="gramEnd"/>
            <w:r>
              <w:t xml:space="preserve"> Based on an example where </w:t>
            </w:r>
            <w:r w:rsidRPr="00375D3C">
              <w:t xml:space="preserve">a new work </w:t>
            </w:r>
            <w:r>
              <w:t xml:space="preserve">is </w:t>
            </w:r>
            <w:r w:rsidRPr="00375D3C">
              <w:t xml:space="preserve">produced by </w:t>
            </w:r>
            <w:r>
              <w:t>an</w:t>
            </w:r>
            <w:r w:rsidRPr="00375D3C">
              <w:t xml:space="preserve"> author who lives </w:t>
            </w:r>
            <w:r>
              <w:t>a further 50 years.</w:t>
            </w:r>
          </w:p>
        </w:tc>
      </w:tr>
      <w:tr w:rsidR="00B46405" w:rsidRPr="00176D3F" w:rsidTr="00957302"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405" w:rsidRDefault="00B46405" w:rsidP="00957302">
            <w:pPr>
              <w:pStyle w:val="Note"/>
              <w:rPr>
                <w:rStyle w:val="NoteLabel"/>
              </w:rPr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Pr="00176D3F">
              <w:t xml:space="preserve">: </w:t>
            </w:r>
            <w:r>
              <w:t xml:space="preserve">The Productivity Commission’s draft report on Intellectual Property Arrangements, p. 84. </w:t>
            </w:r>
          </w:p>
        </w:tc>
      </w:tr>
      <w:tr w:rsidR="00B46405" w:rsidRPr="000863A5" w:rsidTr="00957302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:rsidR="00B46405" w:rsidRPr="00626D32" w:rsidRDefault="00B46405" w:rsidP="00957302">
            <w:pPr>
              <w:pStyle w:val="BoxSpaceBelow"/>
            </w:pPr>
          </w:p>
        </w:tc>
      </w:tr>
    </w:tbl>
    <w:p w:rsidR="00B46405" w:rsidRDefault="00B46405" w:rsidP="00B46405">
      <w:pPr>
        <w:spacing w:after="240"/>
        <w:rPr>
          <w:rFonts w:ascii="Arial" w:hAnsi="Arial" w:cs="Arial"/>
        </w:rPr>
      </w:pPr>
    </w:p>
    <w:p w:rsidR="0017470F" w:rsidRDefault="00F00D1D" w:rsidP="0096019C">
      <w:pPr>
        <w:keepNext/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>Binding international rules limit</w:t>
      </w:r>
      <w:r w:rsidR="0017470F" w:rsidRPr="00C64870">
        <w:rPr>
          <w:rFonts w:ascii="Arial" w:hAnsi="Arial" w:cs="Arial"/>
          <w:b/>
        </w:rPr>
        <w:t xml:space="preserve"> the adaptability of Australia’s IP arrangements</w:t>
      </w:r>
    </w:p>
    <w:p w:rsidR="000A74E4" w:rsidRPr="0096019C" w:rsidRDefault="00F35EDD" w:rsidP="0096019C">
      <w:pPr>
        <w:spacing w:after="240"/>
        <w:jc w:val="both"/>
        <w:rPr>
          <w:rFonts w:ascii="Arial" w:hAnsi="Arial" w:cs="Arial"/>
        </w:rPr>
      </w:pPr>
      <w:r w:rsidRPr="0096019C">
        <w:rPr>
          <w:rFonts w:ascii="Arial" w:hAnsi="Arial" w:cs="Arial"/>
        </w:rPr>
        <w:t xml:space="preserve">Many aspects of Australia’s </w:t>
      </w:r>
      <w:r w:rsidR="005C4930">
        <w:rPr>
          <w:rFonts w:ascii="Arial" w:hAnsi="Arial" w:cs="Arial"/>
        </w:rPr>
        <w:t>IP</w:t>
      </w:r>
      <w:r w:rsidR="00272D38" w:rsidRPr="0096019C">
        <w:rPr>
          <w:rFonts w:ascii="Arial" w:hAnsi="Arial" w:cs="Arial"/>
        </w:rPr>
        <w:t xml:space="preserve"> </w:t>
      </w:r>
      <w:r w:rsidRPr="0096019C">
        <w:rPr>
          <w:rFonts w:ascii="Arial" w:hAnsi="Arial" w:cs="Arial"/>
        </w:rPr>
        <w:t>arrangements are embodied in international agreements</w:t>
      </w:r>
      <w:r w:rsidR="00C9214E">
        <w:rPr>
          <w:rFonts w:ascii="Arial" w:hAnsi="Arial" w:cs="Arial"/>
        </w:rPr>
        <w:t>, including trade agreements</w:t>
      </w:r>
      <w:r w:rsidR="00272D38" w:rsidRPr="00272D38">
        <w:rPr>
          <w:rFonts w:ascii="Arial" w:hAnsi="Arial" w:cs="Arial"/>
        </w:rPr>
        <w:t>. These obligations limit Australia’s capacity to tailor rights to suit local circumstances and to accommodate change</w:t>
      </w:r>
      <w:r w:rsidR="00144A3B">
        <w:rPr>
          <w:rFonts w:ascii="Arial" w:hAnsi="Arial" w:cs="Arial"/>
        </w:rPr>
        <w:t xml:space="preserve"> over time</w:t>
      </w:r>
      <w:r w:rsidR="00272D38" w:rsidRPr="00272D38">
        <w:rPr>
          <w:rFonts w:ascii="Arial" w:hAnsi="Arial" w:cs="Arial"/>
        </w:rPr>
        <w:t xml:space="preserve">. </w:t>
      </w:r>
      <w:r w:rsidR="00272D38" w:rsidRPr="00AB36DC">
        <w:rPr>
          <w:rFonts w:ascii="Arial" w:hAnsi="Arial" w:cs="Arial"/>
        </w:rPr>
        <w:t xml:space="preserve">For example, Australia </w:t>
      </w:r>
      <w:r w:rsidR="00272D38">
        <w:rPr>
          <w:rFonts w:ascii="Arial" w:hAnsi="Arial" w:cs="Arial"/>
        </w:rPr>
        <w:t xml:space="preserve">has limited scope </w:t>
      </w:r>
      <w:r w:rsidR="00272D38" w:rsidRPr="00AB36DC">
        <w:rPr>
          <w:rFonts w:ascii="Arial" w:hAnsi="Arial" w:cs="Arial"/>
        </w:rPr>
        <w:t xml:space="preserve">to </w:t>
      </w:r>
      <w:r w:rsidR="00272D38">
        <w:rPr>
          <w:rFonts w:ascii="Arial" w:hAnsi="Arial" w:cs="Arial"/>
        </w:rPr>
        <w:t>reduce the</w:t>
      </w:r>
      <w:r w:rsidR="00272D38" w:rsidRPr="00AB36DC">
        <w:rPr>
          <w:rFonts w:ascii="Arial" w:hAnsi="Arial" w:cs="Arial"/>
        </w:rPr>
        <w:t xml:space="preserve"> duration of patent or copyright protection</w:t>
      </w:r>
      <w:r w:rsidR="00272D38">
        <w:rPr>
          <w:rFonts w:ascii="Arial" w:hAnsi="Arial" w:cs="Arial"/>
        </w:rPr>
        <w:t xml:space="preserve"> or to dispense with little used or redundant rights, such as circuit layout rights.</w:t>
      </w:r>
    </w:p>
    <w:p w:rsidR="00C95BEF" w:rsidRPr="00C64870" w:rsidRDefault="005C4930" w:rsidP="0096019C">
      <w:pPr>
        <w:keepNext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is room to improve accountability</w:t>
      </w:r>
    </w:p>
    <w:p w:rsidR="004D7361" w:rsidRDefault="00A51068" w:rsidP="0096019C">
      <w:pPr>
        <w:spacing w:after="240"/>
        <w:jc w:val="both"/>
        <w:rPr>
          <w:rFonts w:ascii="Arial" w:hAnsi="Arial" w:cs="Arial"/>
        </w:rPr>
      </w:pPr>
      <w:r w:rsidRPr="0096019C">
        <w:rPr>
          <w:rFonts w:ascii="Arial" w:hAnsi="Arial" w:cs="Arial"/>
        </w:rPr>
        <w:t xml:space="preserve">In some areas, </w:t>
      </w:r>
      <w:r w:rsidR="005C4930">
        <w:rPr>
          <w:rFonts w:ascii="Arial" w:hAnsi="Arial" w:cs="Arial"/>
        </w:rPr>
        <w:t>IP</w:t>
      </w:r>
      <w:r w:rsidRPr="0096019C">
        <w:rPr>
          <w:rFonts w:ascii="Arial" w:hAnsi="Arial" w:cs="Arial"/>
        </w:rPr>
        <w:t xml:space="preserve"> policy development has suffered from both a lack of transparency and a weak evidence base, especially for IP arrangements in trade agreements</w:t>
      </w:r>
      <w:r w:rsidR="008A2E0C" w:rsidRPr="0096019C">
        <w:rPr>
          <w:rFonts w:ascii="Arial" w:hAnsi="Arial" w:cs="Arial"/>
        </w:rPr>
        <w:t>.</w:t>
      </w:r>
      <w:r w:rsidRPr="0096019C">
        <w:rPr>
          <w:rFonts w:ascii="Arial" w:hAnsi="Arial" w:cs="Arial"/>
        </w:rPr>
        <w:t xml:space="preserve"> </w:t>
      </w:r>
      <w:r w:rsidR="005C4930" w:rsidRPr="005C4930">
        <w:rPr>
          <w:rFonts w:ascii="Arial" w:hAnsi="Arial" w:cs="Arial"/>
        </w:rPr>
        <w:t xml:space="preserve">Many inquiry participants, </w:t>
      </w:r>
      <w:r w:rsidR="005C4930">
        <w:rPr>
          <w:rFonts w:ascii="Arial" w:hAnsi="Arial" w:cs="Arial"/>
        </w:rPr>
        <w:t>expressed</w:t>
      </w:r>
      <w:r w:rsidR="005C4930" w:rsidRPr="005C4930">
        <w:rPr>
          <w:rFonts w:ascii="Arial" w:hAnsi="Arial" w:cs="Arial"/>
        </w:rPr>
        <w:t xml:space="preserve"> concerns about Australia’s approach to negotiating IP provisions in international agreements, and the absence of what they see as meaningful stakeholder consultation. </w:t>
      </w:r>
    </w:p>
    <w:p w:rsidR="00F61687" w:rsidRDefault="00F61687" w:rsidP="0096019C">
      <w:pPr>
        <w:spacing w:after="240"/>
        <w:jc w:val="both"/>
        <w:rPr>
          <w:rFonts w:ascii="Arial" w:hAnsi="Arial" w:cs="Arial"/>
        </w:rPr>
      </w:pPr>
    </w:p>
    <w:p w:rsidR="00F61687" w:rsidRDefault="00F61687" w:rsidP="0096019C">
      <w:pPr>
        <w:spacing w:after="240"/>
        <w:jc w:val="both"/>
        <w:rPr>
          <w:rFonts w:ascii="Arial" w:hAnsi="Arial" w:cs="Arial"/>
        </w:rPr>
      </w:pPr>
    </w:p>
    <w:p w:rsidR="00F61687" w:rsidRDefault="00F61687" w:rsidP="00F61687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[MORE]</w:t>
      </w:r>
    </w:p>
    <w:p w:rsidR="00C9214E" w:rsidRDefault="00C921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D7361" w:rsidRPr="0096019C" w:rsidRDefault="004D7361" w:rsidP="0096019C">
      <w:pPr>
        <w:keepNext/>
        <w:spacing w:after="240"/>
        <w:rPr>
          <w:rFonts w:ascii="Arial" w:hAnsi="Arial" w:cs="Arial"/>
          <w:b/>
        </w:rPr>
      </w:pPr>
      <w:r w:rsidRPr="0096019C">
        <w:rPr>
          <w:rFonts w:ascii="Arial" w:hAnsi="Arial" w:cs="Arial"/>
          <w:b/>
        </w:rPr>
        <w:lastRenderedPageBreak/>
        <w:t xml:space="preserve">Australia’s stance on IP rights is out of kilter with its position as a net importer of IP </w:t>
      </w:r>
    </w:p>
    <w:p w:rsidR="004D7361" w:rsidRPr="0039293F" w:rsidRDefault="004D7361" w:rsidP="0096019C">
      <w:pPr>
        <w:spacing w:after="240"/>
        <w:jc w:val="both"/>
        <w:rPr>
          <w:rFonts w:ascii="Arial" w:hAnsi="Arial" w:cs="Arial"/>
        </w:rPr>
      </w:pPr>
      <w:r w:rsidRPr="000F4E47">
        <w:rPr>
          <w:rFonts w:ascii="Arial" w:hAnsi="Arial" w:cs="Arial"/>
        </w:rPr>
        <w:t>Australia is a large net importer of IP protected goods and s</w:t>
      </w:r>
      <w:r w:rsidR="007917BD">
        <w:rPr>
          <w:rFonts w:ascii="Arial" w:hAnsi="Arial" w:cs="Arial"/>
        </w:rPr>
        <w:t>ervices, and the gap between IP </w:t>
      </w:r>
      <w:r w:rsidRPr="000F4E47">
        <w:rPr>
          <w:rFonts w:ascii="Arial" w:hAnsi="Arial" w:cs="Arial"/>
        </w:rPr>
        <w:t xml:space="preserve">imports and IP exports </w:t>
      </w:r>
      <w:r w:rsidR="00144A3B">
        <w:rPr>
          <w:rFonts w:ascii="Arial" w:hAnsi="Arial" w:cs="Arial"/>
        </w:rPr>
        <w:t>continues to expand</w:t>
      </w:r>
      <w:r w:rsidRPr="000F4E47">
        <w:rPr>
          <w:rFonts w:ascii="Arial" w:hAnsi="Arial" w:cs="Arial"/>
        </w:rPr>
        <w:t>.</w:t>
      </w:r>
      <w:r w:rsidRPr="0039293F">
        <w:rPr>
          <w:rFonts w:ascii="Arial" w:hAnsi="Arial" w:cs="Arial"/>
        </w:rPr>
        <w:t xml:space="preserve"> </w:t>
      </w:r>
      <w:r w:rsidR="00D543A0">
        <w:rPr>
          <w:rFonts w:ascii="Arial" w:hAnsi="Arial" w:cs="Arial"/>
        </w:rPr>
        <w:t>Put simply, t</w:t>
      </w:r>
      <w:r w:rsidRPr="007F5C3B">
        <w:rPr>
          <w:rFonts w:ascii="Arial" w:hAnsi="Arial" w:cs="Arial"/>
        </w:rPr>
        <w:t xml:space="preserve">he costs associated with Australia’s </w:t>
      </w:r>
      <w:r w:rsidR="00C63E7D">
        <w:rPr>
          <w:rFonts w:ascii="Arial" w:hAnsi="Arial" w:cs="Arial"/>
        </w:rPr>
        <w:t xml:space="preserve">subpar </w:t>
      </w:r>
      <w:r w:rsidRPr="007F5C3B">
        <w:rPr>
          <w:rFonts w:ascii="Arial" w:hAnsi="Arial" w:cs="Arial"/>
        </w:rPr>
        <w:t>IP arrangements are borne by Australian consumers</w:t>
      </w:r>
      <w:r w:rsidR="00144A3B">
        <w:rPr>
          <w:rFonts w:ascii="Arial" w:hAnsi="Arial" w:cs="Arial"/>
        </w:rPr>
        <w:t>, taxpayers and follow on innovators</w:t>
      </w:r>
      <w:r w:rsidRPr="007F5C3B">
        <w:rPr>
          <w:rFonts w:ascii="Arial" w:hAnsi="Arial" w:cs="Arial"/>
        </w:rPr>
        <w:t>, largely to the benefit of overseas rights holders.</w:t>
      </w:r>
    </w:p>
    <w:p w:rsidR="00B46405" w:rsidRDefault="00B46405" w:rsidP="00B46405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B46405" w:rsidTr="00957302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:rsidR="00B46405" w:rsidRDefault="00B46405" w:rsidP="0096019C">
            <w:pPr>
              <w:pStyle w:val="FigureTitle"/>
            </w:pPr>
            <w:r>
              <w:t>Trade in intellectual property</w:t>
            </w:r>
          </w:p>
          <w:p w:rsidR="00B46405" w:rsidRPr="0018274C" w:rsidRDefault="00B46405" w:rsidP="0096019C">
            <w:pPr>
              <w:pStyle w:val="Subtitle"/>
              <w:rPr>
                <w:b/>
              </w:rPr>
            </w:pPr>
            <w:r w:rsidRPr="0018274C">
              <w:t xml:space="preserve">$ </w:t>
            </w:r>
            <w:proofErr w:type="gramStart"/>
            <w:r w:rsidRPr="0018274C">
              <w:t>billion</w:t>
            </w:r>
            <w:proofErr w:type="gramEnd"/>
            <w:r w:rsidRPr="0018274C">
              <w:t xml:space="preserve"> (2014</w:t>
            </w:r>
            <w:r w:rsidRPr="0018274C">
              <w:noBreakHyphen/>
              <w:t>15)</w:t>
            </w:r>
          </w:p>
        </w:tc>
      </w:tr>
      <w:tr w:rsidR="00B46405" w:rsidTr="00957302"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tbl>
            <w:tblPr>
              <w:tblW w:w="8504" w:type="dxa"/>
              <w:jc w:val="center"/>
              <w:tblBorders>
                <w:top w:val="single" w:sz="6" w:space="0" w:color="8064A2" w:themeColor="accent4"/>
                <w:bottom w:val="single" w:sz="6" w:space="0" w:color="8064A2" w:themeColor="accent4"/>
              </w:tblBorders>
              <w:tblLayout w:type="fixed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2"/>
              <w:gridCol w:w="4252"/>
            </w:tblGrid>
            <w:tr w:rsidR="00B46405" w:rsidTr="00957302">
              <w:trPr>
                <w:trHeight w:val="195"/>
                <w:jc w:val="center"/>
              </w:trPr>
              <w:tc>
                <w:tcPr>
                  <w:tcW w:w="2500" w:type="pct"/>
                  <w:tcBorders>
                    <w:top w:val="nil"/>
                    <w:bottom w:val="nil"/>
                  </w:tcBorders>
                </w:tcPr>
                <w:p w:rsidR="00B46405" w:rsidRPr="000F4E47" w:rsidRDefault="00B46405" w:rsidP="00957302">
                  <w:pPr>
                    <w:pStyle w:val="Figure"/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4E47">
                    <w:rPr>
                      <w:rFonts w:ascii="Arial" w:hAnsi="Arial" w:cs="Arial"/>
                      <w:b/>
                      <w:sz w:val="18"/>
                      <w:szCs w:val="18"/>
                    </w:rPr>
                    <w:t>Charges for the use of IP</w:t>
                  </w:r>
                </w:p>
              </w:tc>
              <w:tc>
                <w:tcPr>
                  <w:tcW w:w="2500" w:type="pct"/>
                  <w:tcBorders>
                    <w:top w:val="nil"/>
                    <w:bottom w:val="nil"/>
                  </w:tcBorders>
                </w:tcPr>
                <w:p w:rsidR="00B46405" w:rsidRPr="000F4E47" w:rsidRDefault="00B46405" w:rsidP="00957302">
                  <w:pPr>
                    <w:pStyle w:val="Figure"/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0F4E47">
                    <w:rPr>
                      <w:rFonts w:ascii="Arial" w:hAnsi="Arial" w:cs="Arial"/>
                      <w:b/>
                      <w:sz w:val="18"/>
                      <w:szCs w:val="18"/>
                    </w:rPr>
                    <w:t>IP</w:t>
                  </w:r>
                  <w:r w:rsidRPr="000F4E47">
                    <w:rPr>
                      <w:rFonts w:ascii="Arial" w:hAnsi="Arial" w:cs="Arial"/>
                      <w:b/>
                      <w:sz w:val="18"/>
                      <w:szCs w:val="18"/>
                    </w:rPr>
                    <w:noBreakHyphen/>
                    <w:t>intensive goods</w:t>
                  </w:r>
                </w:p>
              </w:tc>
            </w:tr>
            <w:tr w:rsidR="00B46405" w:rsidTr="00957302">
              <w:trPr>
                <w:trHeight w:val="195"/>
                <w:jc w:val="center"/>
              </w:trPr>
              <w:tc>
                <w:tcPr>
                  <w:tcW w:w="2500" w:type="pct"/>
                  <w:tcBorders>
                    <w:top w:val="nil"/>
                    <w:bottom w:val="nil"/>
                  </w:tcBorders>
                </w:tcPr>
                <w:p w:rsidR="00B46405" w:rsidRDefault="00B46405" w:rsidP="00957302">
                  <w:pPr>
                    <w:pStyle w:val="Figure"/>
                    <w:spacing w:before="60" w:after="60"/>
                  </w:pPr>
                  <w:r>
                    <w:rPr>
                      <w:noProof/>
                    </w:rPr>
                    <w:drawing>
                      <wp:inline distT="0" distB="0" distL="0" distR="0" wp14:anchorId="4B3913EA" wp14:editId="67BDE5B3">
                        <wp:extent cx="2517775" cy="2517775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7775" cy="251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nil"/>
                    <w:bottom w:val="nil"/>
                  </w:tcBorders>
                </w:tcPr>
                <w:p w:rsidR="00B46405" w:rsidRDefault="00B46405" w:rsidP="00957302">
                  <w:pPr>
                    <w:pStyle w:val="Figure"/>
                    <w:spacing w:before="60" w:after="60"/>
                  </w:pPr>
                  <w:r>
                    <w:rPr>
                      <w:noProof/>
                    </w:rPr>
                    <w:drawing>
                      <wp:inline distT="0" distB="0" distL="0" distR="0" wp14:anchorId="7B22013B" wp14:editId="62962247">
                        <wp:extent cx="2517775" cy="251777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7775" cy="251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6405" w:rsidRDefault="00B46405" w:rsidP="00957302">
            <w:pPr>
              <w:pStyle w:val="Figure"/>
            </w:pPr>
          </w:p>
        </w:tc>
      </w:tr>
      <w:tr w:rsidR="00B46405" w:rsidRPr="00176D3F" w:rsidTr="00957302"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405" w:rsidRDefault="00B46405" w:rsidP="00957302">
            <w:pPr>
              <w:pStyle w:val="Note"/>
              <w:rPr>
                <w:rStyle w:val="NoteLabel"/>
              </w:rPr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Pr="00176D3F">
              <w:t xml:space="preserve">: </w:t>
            </w:r>
            <w:r>
              <w:t xml:space="preserve">The Productivity Commission’s draft report on Intellectual Property Arrangements, p. 91. </w:t>
            </w:r>
          </w:p>
        </w:tc>
      </w:tr>
      <w:tr w:rsidR="00B46405" w:rsidRPr="000863A5" w:rsidTr="00957302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:rsidR="00B46405" w:rsidRPr="00626D32" w:rsidRDefault="00B46405" w:rsidP="00957302">
            <w:pPr>
              <w:pStyle w:val="BoxSpaceBelow"/>
            </w:pPr>
          </w:p>
        </w:tc>
      </w:tr>
    </w:tbl>
    <w:p w:rsidR="00B46405" w:rsidRPr="0039293F" w:rsidRDefault="00B46405" w:rsidP="00B46405">
      <w:pPr>
        <w:spacing w:after="240"/>
        <w:jc w:val="both"/>
        <w:rPr>
          <w:rFonts w:ascii="Arial" w:hAnsi="Arial" w:cs="Arial"/>
        </w:rPr>
      </w:pPr>
    </w:p>
    <w:p w:rsidR="00F61687" w:rsidRDefault="00F61687" w:rsidP="004D7361">
      <w:pPr>
        <w:spacing w:after="240"/>
        <w:jc w:val="center"/>
        <w:rPr>
          <w:rFonts w:ascii="Arial" w:hAnsi="Arial" w:cs="Arial"/>
        </w:rPr>
      </w:pPr>
    </w:p>
    <w:p w:rsidR="00F61687" w:rsidRDefault="00F61687" w:rsidP="004D7361">
      <w:pPr>
        <w:spacing w:after="240"/>
        <w:jc w:val="center"/>
        <w:rPr>
          <w:rFonts w:ascii="Arial" w:hAnsi="Arial" w:cs="Arial"/>
        </w:rPr>
      </w:pPr>
    </w:p>
    <w:p w:rsidR="00F61687" w:rsidRDefault="00F61687" w:rsidP="004D7361">
      <w:pPr>
        <w:spacing w:after="240"/>
        <w:jc w:val="center"/>
        <w:rPr>
          <w:rFonts w:ascii="Arial" w:hAnsi="Arial" w:cs="Arial"/>
        </w:rPr>
      </w:pPr>
    </w:p>
    <w:p w:rsidR="00F61687" w:rsidRDefault="00F61687" w:rsidP="004D7361">
      <w:pPr>
        <w:spacing w:after="240"/>
        <w:jc w:val="center"/>
        <w:rPr>
          <w:rFonts w:ascii="Arial" w:hAnsi="Arial" w:cs="Arial"/>
        </w:rPr>
      </w:pPr>
    </w:p>
    <w:p w:rsidR="00F61687" w:rsidRDefault="00F61687" w:rsidP="004D7361">
      <w:pPr>
        <w:spacing w:after="240"/>
        <w:jc w:val="center"/>
        <w:rPr>
          <w:rFonts w:ascii="Arial" w:hAnsi="Arial" w:cs="Arial"/>
        </w:rPr>
      </w:pPr>
    </w:p>
    <w:p w:rsidR="00F61687" w:rsidRDefault="00F61687" w:rsidP="004D7361">
      <w:pPr>
        <w:spacing w:after="240"/>
        <w:jc w:val="center"/>
        <w:rPr>
          <w:rFonts w:ascii="Arial" w:hAnsi="Arial" w:cs="Arial"/>
        </w:rPr>
      </w:pPr>
    </w:p>
    <w:p w:rsidR="004D7361" w:rsidRPr="00BF738A" w:rsidRDefault="004D7361" w:rsidP="004D7361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[MORE]</w:t>
      </w:r>
    </w:p>
    <w:p w:rsidR="00651CCD" w:rsidRDefault="004D7361" w:rsidP="00651CCD">
      <w:pPr>
        <w:pStyle w:val="BoxSpaceAbove"/>
      </w:pPr>
      <w:r w:rsidRPr="007E4B48" w:rsidDel="007E4B48">
        <w:rPr>
          <w:rFonts w:ascii="Arial" w:hAnsi="Arial" w:cs="Arial"/>
        </w:rPr>
        <w:lastRenderedPageBreak/>
        <w:t xml:space="preserve"> </w:t>
      </w:r>
    </w:p>
    <w:tbl>
      <w:tblPr>
        <w:tblW w:w="0" w:type="auto"/>
        <w:tblInd w:w="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1"/>
      </w:tblGrid>
      <w:tr w:rsidR="00651CCD" w:rsidTr="00651CCD">
        <w:tc>
          <w:tcPr>
            <w:tcW w:w="8771" w:type="dxa"/>
            <w:tcBorders>
              <w:top w:val="single" w:sz="8" w:space="0" w:color="78A22F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651CCD" w:rsidRDefault="00651CCD" w:rsidP="00651CCD">
            <w:pPr>
              <w:pStyle w:val="TableTitle"/>
              <w:rPr>
                <w:lang w:eastAsia="en-US"/>
              </w:rPr>
            </w:pPr>
            <w:r>
              <w:rPr>
                <w:lang w:eastAsia="en-US"/>
              </w:rPr>
              <w:t>Want to know more about what the Commission said on IP arrangements?</w:t>
            </w:r>
          </w:p>
        </w:tc>
      </w:tr>
      <w:tr w:rsidR="00651CCD" w:rsidTr="0096019C">
        <w:trPr>
          <w:cantSplit/>
          <w:trHeight w:val="6764"/>
        </w:trPr>
        <w:tc>
          <w:tcPr>
            <w:tcW w:w="8771" w:type="dxa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2"/>
              <w:gridCol w:w="4965"/>
            </w:tblGrid>
            <w:tr w:rsidR="00651CCD">
              <w:tc>
                <w:tcPr>
                  <w:tcW w:w="2075" w:type="pct"/>
                  <w:tcBorders>
                    <w:top w:val="single" w:sz="8" w:space="0" w:color="BFBFBF"/>
                    <w:left w:val="nil"/>
                    <w:bottom w:val="single" w:sz="8" w:space="0" w:color="BFBFBF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>
                  <w:pPr>
                    <w:pStyle w:val="TableColumnHeading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Issue</w:t>
                  </w:r>
                </w:p>
              </w:tc>
              <w:tc>
                <w:tcPr>
                  <w:tcW w:w="2925" w:type="pct"/>
                  <w:tcBorders>
                    <w:top w:val="single" w:sz="8" w:space="0" w:color="BFBFBF"/>
                    <w:left w:val="nil"/>
                    <w:bottom w:val="single" w:sz="8" w:space="0" w:color="BFBFBF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>
                  <w:pPr>
                    <w:pStyle w:val="TableColumnHeading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For more details and the Commission’s </w:t>
                  </w:r>
                  <w:r w:rsidR="00DA047D">
                    <w:rPr>
                      <w:lang w:eastAsia="en-US"/>
                    </w:rPr>
                    <w:t>draft recommendation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>
                  <w:pPr>
                    <w:pStyle w:val="TableUnitsRow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The analytical framework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B4826" w:rsidRDefault="00651CCD">
                  <w:pPr>
                    <w:pStyle w:val="TableUnitsRow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Chapter 2, </w:t>
                  </w:r>
                  <w:r w:rsidR="00DA047D">
                    <w:rPr>
                      <w:lang w:eastAsia="en-US"/>
                    </w:rPr>
                    <w:t>draft recommendation</w:t>
                  </w:r>
                  <w:r>
                    <w:rPr>
                      <w:lang w:eastAsia="en-US"/>
                    </w:rPr>
                    <w:t xml:space="preserve"> 2.1</w:t>
                  </w:r>
                </w:p>
              </w:tc>
            </w:tr>
            <w:tr w:rsidR="00272D38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272D38" w:rsidRDefault="00272D38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How the system fares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272D38" w:rsidRDefault="00272D38" w:rsidP="00DA047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3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Copyright term and scope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 w:rsidP="00DA047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Chapter 4, </w:t>
                  </w:r>
                  <w:r w:rsidR="00DA047D">
                    <w:rPr>
                      <w:lang w:eastAsia="en-US"/>
                    </w:rPr>
                    <w:t>draft findings 4.1 and 4.2, draft recommendation </w:t>
                  </w:r>
                  <w:r>
                    <w:rPr>
                      <w:lang w:eastAsia="en-US"/>
                    </w:rPr>
                    <w:t>4.1</w:t>
                  </w:r>
                  <w:r w:rsidR="00DA047D">
                    <w:rPr>
                      <w:lang w:eastAsia="en-US"/>
                    </w:rPr>
                    <w:t xml:space="preserve"> 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651CCD" w:rsidRDefault="00651CC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Copyright accessibility: licencing and exceptions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Chapter 5, </w:t>
                  </w:r>
                  <w:r w:rsidR="00DA047D">
                    <w:rPr>
                      <w:lang w:eastAsia="en-US"/>
                    </w:rPr>
                    <w:t>draft recommendation</w:t>
                  </w:r>
                  <w:r>
                    <w:rPr>
                      <w:lang w:eastAsia="en-US"/>
                    </w:rPr>
                    <w:t>s 5.1</w:t>
                  </w:r>
                  <w:r w:rsidR="007E13BD">
                    <w:rPr>
                      <w:lang w:eastAsia="en-US"/>
                    </w:rPr>
                    <w:t xml:space="preserve"> to</w:t>
                  </w:r>
                  <w:r>
                    <w:rPr>
                      <w:lang w:eastAsia="en-US"/>
                    </w:rPr>
                    <w:t xml:space="preserve"> 5.3</w:t>
                  </w:r>
                  <w:r w:rsidR="00DA047D">
                    <w:rPr>
                      <w:lang w:eastAsia="en-US"/>
                    </w:rPr>
                    <w:t>, information requests 5.1 to 5.3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651CCD" w:rsidRDefault="00651CC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Patent system fundamentals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651CCD" w:rsidP="00651CC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Chapter 6, </w:t>
                  </w:r>
                  <w:r w:rsidR="00DA047D">
                    <w:rPr>
                      <w:lang w:eastAsia="en-US"/>
                    </w:rPr>
                    <w:t>draft recommendation</w:t>
                  </w:r>
                  <w:r>
                    <w:rPr>
                      <w:lang w:eastAsia="en-US"/>
                    </w:rPr>
                    <w:t>s 6.1, 6.2 and 6.3</w:t>
                  </w:r>
                  <w:r w:rsidR="00DA047D">
                    <w:rPr>
                      <w:lang w:eastAsia="en-US"/>
                    </w:rPr>
                    <w:t>, information requests 6.1 and 6.2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651CCD" w:rsidRDefault="00651CC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Innovation patents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B4826" w:rsidRDefault="00651CCD" w:rsidP="003B4826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Chapter 7, </w:t>
                  </w:r>
                  <w:r w:rsidR="00DA047D">
                    <w:rPr>
                      <w:lang w:eastAsia="en-US"/>
                    </w:rPr>
                    <w:t>draft recommendation</w:t>
                  </w:r>
                  <w:r>
                    <w:rPr>
                      <w:lang w:eastAsia="en-US"/>
                    </w:rPr>
                    <w:t xml:space="preserve"> 7.1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651CCD" w:rsidRDefault="007E13B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Business method and software patents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B4826" w:rsidRDefault="007E13BD" w:rsidP="003B4826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8</w:t>
                  </w:r>
                  <w:r w:rsidR="00651CCD">
                    <w:rPr>
                      <w:lang w:eastAsia="en-US"/>
                    </w:rPr>
                    <w:t xml:space="preserve">, </w:t>
                  </w:r>
                  <w:r w:rsidR="00DA047D">
                    <w:rPr>
                      <w:lang w:eastAsia="en-US"/>
                    </w:rPr>
                    <w:t>draft recommendation</w:t>
                  </w:r>
                  <w:r>
                    <w:rPr>
                      <w:lang w:eastAsia="en-US"/>
                    </w:rPr>
                    <w:t xml:space="preserve"> 8.1</w:t>
                  </w:r>
                  <w:r w:rsidR="00DA047D">
                    <w:rPr>
                      <w:lang w:eastAsia="en-US"/>
                    </w:rPr>
                    <w:t>, information request 8.1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651CCD" w:rsidRDefault="007E13B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Pharmaceutical patents</w:t>
                  </w:r>
                </w:p>
              </w:tc>
              <w:tc>
                <w:tcPr>
                  <w:tcW w:w="2925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51CCD" w:rsidRDefault="007E13B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Chapter 9, </w:t>
                  </w:r>
                  <w:r w:rsidR="00DA047D">
                    <w:rPr>
                      <w:lang w:eastAsia="en-US"/>
                    </w:rPr>
                    <w:t>draft recommendation</w:t>
                  </w:r>
                  <w:r>
                    <w:rPr>
                      <w:lang w:eastAsia="en-US"/>
                    </w:rPr>
                    <w:t>s 9.1 to 9.5</w:t>
                  </w:r>
                  <w:r w:rsidR="00DA047D">
                    <w:rPr>
                      <w:lang w:eastAsia="en-US"/>
                    </w:rPr>
                    <w:t>, information request 9.1</w:t>
                  </w:r>
                </w:p>
              </w:tc>
            </w:tr>
            <w:tr w:rsidR="00651CCD" w:rsidTr="003B4826">
              <w:trPr>
                <w:trHeight w:val="454"/>
              </w:trPr>
              <w:tc>
                <w:tcPr>
                  <w:tcW w:w="207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651CCD" w:rsidRDefault="007E13B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Registered designs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B4826" w:rsidRDefault="007E13BD" w:rsidP="003B4826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10</w:t>
                  </w:r>
                  <w:r w:rsidR="00651CCD">
                    <w:rPr>
                      <w:lang w:eastAsia="en-US"/>
                    </w:rPr>
                    <w:t xml:space="preserve">, </w:t>
                  </w:r>
                  <w:r w:rsidR="00DA047D">
                    <w:rPr>
                      <w:lang w:eastAsia="en-US"/>
                    </w:rPr>
                    <w:t>draft finding 10.1, draft recommendation</w:t>
                  </w:r>
                  <w:r w:rsidR="00651CCD">
                    <w:rPr>
                      <w:lang w:eastAsia="en-US"/>
                    </w:rPr>
                    <w:t xml:space="preserve"> 1</w:t>
                  </w:r>
                  <w:r>
                    <w:rPr>
                      <w:lang w:eastAsia="en-US"/>
                    </w:rPr>
                    <w:t>0</w:t>
                  </w:r>
                  <w:r w:rsidR="00651CCD">
                    <w:rPr>
                      <w:lang w:eastAsia="en-US"/>
                    </w:rPr>
                    <w:t>.1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</w:tr>
            <w:tr w:rsidR="007E13BD" w:rsidTr="003B4826">
              <w:trPr>
                <w:trHeight w:val="454"/>
              </w:trPr>
              <w:tc>
                <w:tcPr>
                  <w:tcW w:w="207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7E13BD" w:rsidRDefault="00DA047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Trade marks and geographical indications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7E13BD" w:rsidRDefault="00DA047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11, draft recommendations 11.1 and 11.2</w:t>
                  </w:r>
                  <w:r w:rsidR="003B4826">
                    <w:rPr>
                      <w:lang w:eastAsia="en-US"/>
                    </w:rPr>
                    <w:t>, information requests</w:t>
                  </w:r>
                  <w:r w:rsidR="00827AAE">
                    <w:rPr>
                      <w:lang w:eastAsia="en-US"/>
                    </w:rPr>
                    <w:t xml:space="preserve"> </w:t>
                  </w:r>
                  <w:r w:rsidR="003B4826">
                    <w:rPr>
                      <w:lang w:eastAsia="en-US"/>
                    </w:rPr>
                    <w:t>11.1 and 11.2</w:t>
                  </w:r>
                </w:p>
              </w:tc>
            </w:tr>
            <w:tr w:rsidR="007E13BD" w:rsidTr="003B4826">
              <w:trPr>
                <w:trHeight w:val="454"/>
              </w:trPr>
              <w:tc>
                <w:tcPr>
                  <w:tcW w:w="207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7E13BD" w:rsidRDefault="00DA047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Plant Breeder’s Rights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7E13BD" w:rsidRDefault="00DA047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12, draft recommendation 12.1</w:t>
                  </w:r>
                  <w:r w:rsidR="003B4826">
                    <w:rPr>
                      <w:lang w:eastAsia="en-US"/>
                    </w:rPr>
                    <w:t>, information request 12.1</w:t>
                  </w:r>
                </w:p>
              </w:tc>
            </w:tr>
            <w:tr w:rsidR="003B4826" w:rsidTr="003B4826">
              <w:trPr>
                <w:trHeight w:val="454"/>
              </w:trPr>
              <w:tc>
                <w:tcPr>
                  <w:tcW w:w="207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3B4826" w:rsidRDefault="003B4826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Circuit layout rights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3B4826" w:rsidRDefault="003B4826" w:rsidP="003B4826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13, information request 13.1</w:t>
                  </w:r>
                </w:p>
              </w:tc>
            </w:tr>
            <w:tr w:rsidR="007E13BD" w:rsidTr="003B4826">
              <w:trPr>
                <w:trHeight w:val="454"/>
              </w:trPr>
              <w:tc>
                <w:tcPr>
                  <w:tcW w:w="207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7E13BD" w:rsidRDefault="00DA047D">
                  <w:pPr>
                    <w:pStyle w:val="TableBodyText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Institutional and governance arrangements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7E13BD" w:rsidRDefault="00DA047D">
                  <w:pPr>
                    <w:pStyle w:val="TableBodyText"/>
                    <w:ind w:right="28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Chapter 16, draft finding 16.1</w:t>
                  </w:r>
                  <w:r w:rsidR="003B4826">
                    <w:rPr>
                      <w:lang w:eastAsia="en-US"/>
                    </w:rPr>
                    <w:t>, information requests 16.1 and 16.2</w:t>
                  </w:r>
                </w:p>
              </w:tc>
            </w:tr>
          </w:tbl>
          <w:p w:rsidR="00651CCD" w:rsidRDefault="00651CCD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651CCD" w:rsidTr="003B4826">
        <w:trPr>
          <w:cantSplit/>
          <w:trHeight w:val="95"/>
        </w:trPr>
        <w:tc>
          <w:tcPr>
            <w:tcW w:w="8771" w:type="dxa"/>
            <w:tcBorders>
              <w:top w:val="nil"/>
              <w:left w:val="nil"/>
              <w:bottom w:val="single" w:sz="8" w:space="0" w:color="78A22F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:rsidR="00651CCD" w:rsidRDefault="00651CCD">
            <w:pPr>
              <w:pStyle w:val="Box"/>
              <w:spacing w:before="0" w:line="120" w:lineRule="exact"/>
              <w:rPr>
                <w:lang w:eastAsia="en-US"/>
              </w:rPr>
            </w:pPr>
          </w:p>
        </w:tc>
      </w:tr>
      <w:tr w:rsidR="00651CCD" w:rsidTr="00651CCD">
        <w:tc>
          <w:tcPr>
            <w:tcW w:w="8771" w:type="dxa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651CCD" w:rsidRDefault="00651CCD" w:rsidP="0096446C">
            <w:pPr>
              <w:pStyle w:val="BoxSpaceBelow"/>
              <w:rPr>
                <w:lang w:eastAsia="en-US"/>
              </w:rPr>
            </w:pPr>
          </w:p>
        </w:tc>
      </w:tr>
    </w:tbl>
    <w:p w:rsidR="00F778CC" w:rsidRDefault="00F778CC" w:rsidP="00F778CC"/>
    <w:tbl>
      <w:tblPr>
        <w:tblW w:w="0" w:type="auto"/>
        <w:tblInd w:w="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7"/>
      </w:tblGrid>
      <w:tr w:rsidR="00F778CC" w:rsidTr="00F778CC">
        <w:tc>
          <w:tcPr>
            <w:tcW w:w="9617" w:type="dxa"/>
            <w:tcBorders>
              <w:top w:val="single" w:sz="8" w:space="0" w:color="78A22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F778CC" w:rsidRDefault="00F778CC">
            <w:pPr>
              <w:pStyle w:val="BoxTitle"/>
              <w:rPr>
                <w:lang w:eastAsia="en-US"/>
              </w:rPr>
            </w:pPr>
            <w:r>
              <w:rPr>
                <w:lang w:eastAsia="en-US"/>
              </w:rPr>
              <w:t>Having your say</w:t>
            </w:r>
          </w:p>
        </w:tc>
      </w:tr>
      <w:tr w:rsidR="00F778CC" w:rsidTr="00F778CC">
        <w:trPr>
          <w:cantSplit/>
        </w:trPr>
        <w:tc>
          <w:tcPr>
            <w:tcW w:w="9617" w:type="dxa"/>
            <w:shd w:val="clear" w:color="auto" w:fill="F2F2F2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F778CC" w:rsidRDefault="00F778CC">
            <w:pPr>
              <w:pStyle w:val="Box"/>
              <w:rPr>
                <w:lang w:eastAsia="en-US"/>
              </w:rPr>
            </w:pPr>
            <w:r>
              <w:rPr>
                <w:lang w:eastAsia="en-US"/>
              </w:rPr>
              <w:t xml:space="preserve">The Productivity Commission is keen to hear your feedback on this draft report. You are welcome to make a written submission to the Commission, preferably in electronic format, by </w:t>
            </w:r>
            <w:r>
              <w:rPr>
                <w:b/>
                <w:bCs/>
                <w:lang w:eastAsia="en-US"/>
              </w:rPr>
              <w:t>3 June 2016</w:t>
            </w:r>
            <w:r>
              <w:rPr>
                <w:lang w:eastAsia="en-US"/>
              </w:rPr>
              <w:t xml:space="preserve">. More information on making a submission can be found on the inquiry website at </w:t>
            </w:r>
            <w:hyperlink r:id="rId12" w:history="1">
              <w:r>
                <w:rPr>
                  <w:rStyle w:val="Hyperlink"/>
                  <w:lang w:eastAsia="en-US"/>
                </w:rPr>
                <w:t>http://www.pc.gov.au/inquiries/current/intellectual-property/make-submission</w:t>
              </w:r>
            </w:hyperlink>
          </w:p>
          <w:p w:rsidR="00F778CC" w:rsidRDefault="00F778CC">
            <w:pPr>
              <w:pStyle w:val="Box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Public hearings will be held in mid</w:t>
            </w:r>
            <w:r>
              <w:rPr>
                <w:lang w:eastAsia="en-US"/>
              </w:rPr>
              <w:noBreakHyphen/>
              <w:t xml:space="preserve">June 2016 — likely locations are Canberra, Melbourne and Sydney (to be determined by participant demand). Information on hearing dates and venues will be available on the inquiry website </w:t>
            </w:r>
            <w:hyperlink r:id="rId13" w:anchor="draft" w:history="1">
              <w:r>
                <w:rPr>
                  <w:rStyle w:val="Hyperlink"/>
                  <w:lang w:eastAsia="en-US"/>
                </w:rPr>
                <w:t>http://www.pc.gov.au/inquiries/current/intellectual-property#draft</w:t>
              </w:r>
            </w:hyperlink>
            <w:r>
              <w:rPr>
                <w:lang w:eastAsia="en-US"/>
              </w:rPr>
              <w:t>.</w:t>
            </w:r>
          </w:p>
          <w:p w:rsidR="00F778CC" w:rsidRDefault="00F778CC">
            <w:pPr>
              <w:pStyle w:val="Box"/>
              <w:rPr>
                <w:lang w:eastAsia="en-US"/>
              </w:rPr>
            </w:pPr>
            <w:r>
              <w:rPr>
                <w:lang w:eastAsia="en-US"/>
              </w:rPr>
              <w:t>The final report will be provided to the Australian Government on 18 August 2016.</w:t>
            </w:r>
          </w:p>
        </w:tc>
      </w:tr>
      <w:tr w:rsidR="00F778CC" w:rsidTr="00F778CC">
        <w:trPr>
          <w:cantSplit/>
        </w:trPr>
        <w:tc>
          <w:tcPr>
            <w:tcW w:w="9617" w:type="dxa"/>
            <w:tcBorders>
              <w:top w:val="nil"/>
              <w:left w:val="nil"/>
              <w:bottom w:val="single" w:sz="8" w:space="0" w:color="78A22F"/>
              <w:right w:val="nil"/>
            </w:tcBorders>
            <w:shd w:val="clear" w:color="auto" w:fill="F2F2F2"/>
            <w:tcMar>
              <w:top w:w="0" w:type="dxa"/>
              <w:left w:w="142" w:type="dxa"/>
              <w:bottom w:w="0" w:type="dxa"/>
              <w:right w:w="142" w:type="dxa"/>
            </w:tcMar>
          </w:tcPr>
          <w:p w:rsidR="00F778CC" w:rsidRDefault="00F778CC">
            <w:pPr>
              <w:pStyle w:val="Box"/>
              <w:spacing w:before="0" w:line="120" w:lineRule="exact"/>
              <w:rPr>
                <w:lang w:eastAsia="en-US"/>
              </w:rPr>
            </w:pPr>
          </w:p>
        </w:tc>
      </w:tr>
      <w:tr w:rsidR="00F778CC" w:rsidTr="00F778CC">
        <w:tc>
          <w:tcPr>
            <w:tcW w:w="9617" w:type="dxa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F778CC" w:rsidRDefault="0096446C">
            <w:pPr>
              <w:pStyle w:val="BoxSpaceBelow"/>
              <w:rPr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FF"/>
                <w:lang w:eastAsia="en-US"/>
              </w:rPr>
              <w:t xml:space="preserve"> </w:t>
            </w:r>
          </w:p>
        </w:tc>
      </w:tr>
    </w:tbl>
    <w:p w:rsidR="00BF738A" w:rsidRPr="00BF738A" w:rsidRDefault="00FC0C14" w:rsidP="0017470F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[END]</w:t>
      </w:r>
    </w:p>
    <w:sectPr w:rsidR="00BF738A" w:rsidRPr="00BF738A" w:rsidSect="006A10C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2693" w:right="1134" w:bottom="1701" w:left="1134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02" w:rsidRDefault="00957302" w:rsidP="00BF738A">
      <w:pPr>
        <w:spacing w:after="0" w:line="240" w:lineRule="auto"/>
      </w:pPr>
      <w:r>
        <w:separator/>
      </w:r>
    </w:p>
  </w:endnote>
  <w:endnote w:type="continuationSeparator" w:id="0">
    <w:p w:rsidR="00957302" w:rsidRDefault="00957302" w:rsidP="00BF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9657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957302" w:rsidRPr="00FD6A55" w:rsidRDefault="00957302" w:rsidP="006A10C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D6A55">
          <w:rPr>
            <w:rFonts w:ascii="Arial" w:eastAsia="Times New Roman" w:hAnsi="Arial" w:cs="Arial"/>
            <w:noProof/>
            <w:kern w:val="16"/>
            <w:sz w:val="18"/>
            <w:szCs w:val="18"/>
            <w:lang w:eastAsia="en-AU"/>
          </w:rPr>
          <w:drawing>
            <wp:anchor distT="0" distB="0" distL="114300" distR="114300" simplePos="0" relativeHeight="251662336" behindDoc="1" locked="0" layoutInCell="1" allowOverlap="1" wp14:anchorId="25FCAD4F" wp14:editId="699182B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961200"/>
              <wp:effectExtent l="0" t="0" r="3175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472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D6A55">
          <w:rPr>
            <w:rFonts w:ascii="Arial" w:hAnsi="Arial" w:cs="Arial"/>
            <w:sz w:val="18"/>
            <w:szCs w:val="18"/>
          </w:rPr>
          <w:fldChar w:fldCharType="begin"/>
        </w:r>
        <w:r w:rsidRPr="00FD6A5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D6A55">
          <w:rPr>
            <w:rFonts w:ascii="Arial" w:hAnsi="Arial" w:cs="Arial"/>
            <w:sz w:val="18"/>
            <w:szCs w:val="18"/>
          </w:rPr>
          <w:fldChar w:fldCharType="separate"/>
        </w:r>
        <w:r w:rsidR="00C60820">
          <w:rPr>
            <w:rFonts w:ascii="Arial" w:hAnsi="Arial" w:cs="Arial"/>
            <w:noProof/>
            <w:sz w:val="18"/>
            <w:szCs w:val="18"/>
          </w:rPr>
          <w:t>4</w:t>
        </w:r>
        <w:r w:rsidRPr="00FD6A5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02" w:rsidRDefault="00957302" w:rsidP="00BF738A">
      <w:pPr>
        <w:spacing w:after="0" w:line="240" w:lineRule="auto"/>
      </w:pPr>
      <w:r>
        <w:separator/>
      </w:r>
    </w:p>
  </w:footnote>
  <w:footnote w:type="continuationSeparator" w:id="0">
    <w:p w:rsidR="00957302" w:rsidRDefault="00957302" w:rsidP="00BF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7" w:rsidRDefault="00F61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02" w:rsidRPr="002A300B" w:rsidRDefault="00957302" w:rsidP="00BF738A">
    <w:pPr>
      <w:spacing w:before="120" w:after="0" w:line="240" w:lineRule="auto"/>
      <w:ind w:right="-46"/>
      <w:jc w:val="right"/>
      <w:rPr>
        <w:rFonts w:ascii="Verdana" w:eastAsia="Times New Roman" w:hAnsi="Verdana" w:cs="Arial"/>
        <w:b/>
        <w:color w:val="FFFFFF" w:themeColor="background1"/>
        <w:sz w:val="28"/>
        <w:szCs w:val="28"/>
        <w:lang w:eastAsia="en-AU"/>
      </w:rPr>
    </w:pP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drawing>
        <wp:anchor distT="0" distB="0" distL="114300" distR="114300" simplePos="0" relativeHeight="251660288" behindDoc="1" locked="0" layoutInCell="1" allowOverlap="1" wp14:anchorId="6107FC2D" wp14:editId="0A623679">
          <wp:simplePos x="752475" y="523875"/>
          <wp:positionH relativeFrom="page">
            <wp:align>center</wp:align>
          </wp:positionH>
          <wp:positionV relativeFrom="page">
            <wp:posOffset>-9525</wp:posOffset>
          </wp:positionV>
          <wp:extent cx="7561921" cy="15811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53"/>
                  <a:stretch/>
                </pic:blipFill>
                <pic:spPr bwMode="auto">
                  <a:xfrm>
                    <a:off x="0" y="0"/>
                    <a:ext cx="7560000" cy="1580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>FACT SHEET</w:t>
    </w:r>
  </w:p>
  <w:p w:rsidR="00957302" w:rsidRDefault="009573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7" w:rsidRDefault="00F61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AED"/>
    <w:multiLevelType w:val="hybridMultilevel"/>
    <w:tmpl w:val="7504BA8C"/>
    <w:lvl w:ilvl="0" w:tplc="A8FEA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34E44"/>
    <w:multiLevelType w:val="hybridMultilevel"/>
    <w:tmpl w:val="AFEEDE84"/>
    <w:lvl w:ilvl="0" w:tplc="A8FEADB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C7277"/>
    <w:multiLevelType w:val="hybridMultilevel"/>
    <w:tmpl w:val="BBAAEB48"/>
    <w:lvl w:ilvl="0" w:tplc="A8FEA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4253C"/>
    <w:multiLevelType w:val="hybridMultilevel"/>
    <w:tmpl w:val="BA086564"/>
    <w:lvl w:ilvl="0" w:tplc="A8FEADB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D1097"/>
    <w:multiLevelType w:val="hybridMultilevel"/>
    <w:tmpl w:val="5EC411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84BCC"/>
    <w:multiLevelType w:val="hybridMultilevel"/>
    <w:tmpl w:val="40BCF894"/>
    <w:lvl w:ilvl="0" w:tplc="A8FEA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964AC"/>
    <w:multiLevelType w:val="hybridMultilevel"/>
    <w:tmpl w:val="DA6AB1B0"/>
    <w:lvl w:ilvl="0" w:tplc="A8FEA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F7275"/>
    <w:multiLevelType w:val="hybridMultilevel"/>
    <w:tmpl w:val="3D38EDE0"/>
    <w:lvl w:ilvl="0" w:tplc="A8FEADB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BB0977"/>
    <w:multiLevelType w:val="hybridMultilevel"/>
    <w:tmpl w:val="AB568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5F5C"/>
    <w:multiLevelType w:val="hybridMultilevel"/>
    <w:tmpl w:val="03A88C14"/>
    <w:lvl w:ilvl="0" w:tplc="A8FEA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34071"/>
    <w:multiLevelType w:val="hybridMultilevel"/>
    <w:tmpl w:val="15420856"/>
    <w:lvl w:ilvl="0" w:tplc="E58CE4C8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27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0A"/>
    <w:rsid w:val="00035D0D"/>
    <w:rsid w:val="00055F92"/>
    <w:rsid w:val="00057037"/>
    <w:rsid w:val="000A74E4"/>
    <w:rsid w:val="000C4442"/>
    <w:rsid w:val="001442D3"/>
    <w:rsid w:val="00144A3B"/>
    <w:rsid w:val="0017470F"/>
    <w:rsid w:val="001F0B92"/>
    <w:rsid w:val="001F2213"/>
    <w:rsid w:val="00220817"/>
    <w:rsid w:val="0027125B"/>
    <w:rsid w:val="00272D38"/>
    <w:rsid w:val="0039045E"/>
    <w:rsid w:val="0039293F"/>
    <w:rsid w:val="003B4826"/>
    <w:rsid w:val="00477718"/>
    <w:rsid w:val="004D7361"/>
    <w:rsid w:val="005046A9"/>
    <w:rsid w:val="005C4930"/>
    <w:rsid w:val="00625FD8"/>
    <w:rsid w:val="00627952"/>
    <w:rsid w:val="0063097F"/>
    <w:rsid w:val="00651CCD"/>
    <w:rsid w:val="006A10C4"/>
    <w:rsid w:val="006E3100"/>
    <w:rsid w:val="007917BD"/>
    <w:rsid w:val="007E13BD"/>
    <w:rsid w:val="007E4B48"/>
    <w:rsid w:val="00827AAE"/>
    <w:rsid w:val="00855468"/>
    <w:rsid w:val="0085589F"/>
    <w:rsid w:val="00877B20"/>
    <w:rsid w:val="008A0383"/>
    <w:rsid w:val="008A2E0C"/>
    <w:rsid w:val="008D5EE5"/>
    <w:rsid w:val="009060CC"/>
    <w:rsid w:val="009370AC"/>
    <w:rsid w:val="00957302"/>
    <w:rsid w:val="0096019C"/>
    <w:rsid w:val="0096446C"/>
    <w:rsid w:val="00977B68"/>
    <w:rsid w:val="00981E3A"/>
    <w:rsid w:val="009D2D41"/>
    <w:rsid w:val="009F696C"/>
    <w:rsid w:val="00A1398D"/>
    <w:rsid w:val="00A40B57"/>
    <w:rsid w:val="00A51068"/>
    <w:rsid w:val="00AF5C1A"/>
    <w:rsid w:val="00B36AF1"/>
    <w:rsid w:val="00B46405"/>
    <w:rsid w:val="00B8598E"/>
    <w:rsid w:val="00BF738A"/>
    <w:rsid w:val="00C0533B"/>
    <w:rsid w:val="00C15DB0"/>
    <w:rsid w:val="00C51B0A"/>
    <w:rsid w:val="00C60820"/>
    <w:rsid w:val="00C63A5F"/>
    <w:rsid w:val="00C63E7D"/>
    <w:rsid w:val="00C64870"/>
    <w:rsid w:val="00C817B5"/>
    <w:rsid w:val="00C9214E"/>
    <w:rsid w:val="00C95BEF"/>
    <w:rsid w:val="00C97B72"/>
    <w:rsid w:val="00CC31DF"/>
    <w:rsid w:val="00D543A0"/>
    <w:rsid w:val="00D672BE"/>
    <w:rsid w:val="00D84793"/>
    <w:rsid w:val="00D97FAA"/>
    <w:rsid w:val="00DA047D"/>
    <w:rsid w:val="00DB0E00"/>
    <w:rsid w:val="00DE6D2A"/>
    <w:rsid w:val="00DF4748"/>
    <w:rsid w:val="00E6152C"/>
    <w:rsid w:val="00E74C42"/>
    <w:rsid w:val="00E808C7"/>
    <w:rsid w:val="00ED137A"/>
    <w:rsid w:val="00F00D1D"/>
    <w:rsid w:val="00F01632"/>
    <w:rsid w:val="00F20EBA"/>
    <w:rsid w:val="00F35EDD"/>
    <w:rsid w:val="00F61687"/>
    <w:rsid w:val="00F778CC"/>
    <w:rsid w:val="00FB67D8"/>
    <w:rsid w:val="00FC0C14"/>
    <w:rsid w:val="00FD6A55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89F"/>
    <w:pPr>
      <w:ind w:left="720"/>
      <w:contextualSpacing/>
    </w:pPr>
  </w:style>
  <w:style w:type="paragraph" w:customStyle="1" w:styleId="Source">
    <w:name w:val="Source"/>
    <w:basedOn w:val="Normal"/>
    <w:next w:val="BodyText"/>
    <w:rsid w:val="00625FD8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BoxSpaceAbove">
    <w:name w:val="Box Space Above"/>
    <w:basedOn w:val="BodyText"/>
    <w:rsid w:val="00625FD8"/>
    <w:pPr>
      <w:keepNext/>
      <w:spacing w:before="360" w:after="0" w:line="80" w:lineRule="exact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Figure">
    <w:name w:val="Figure"/>
    <w:basedOn w:val="BodyText"/>
    <w:rsid w:val="00625FD8"/>
    <w:pPr>
      <w:keepNext/>
      <w:spacing w:before="12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FigureTitle">
    <w:name w:val="Figure Title"/>
    <w:basedOn w:val="Caption"/>
    <w:next w:val="Subtitle"/>
    <w:rsid w:val="00625FD8"/>
    <w:pPr>
      <w:keepNext/>
      <w:keepLines/>
      <w:spacing w:before="120" w:after="8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paragraph" w:styleId="Subtitle">
    <w:name w:val="Subtitle"/>
    <w:basedOn w:val="Caption"/>
    <w:link w:val="SubtitleChar"/>
    <w:qFormat/>
    <w:rsid w:val="00625FD8"/>
    <w:pPr>
      <w:keepNext/>
      <w:keepLines/>
      <w:spacing w:after="80" w:line="200" w:lineRule="exact"/>
      <w:ind w:left="1474"/>
    </w:pPr>
    <w:rPr>
      <w:rFonts w:ascii="Arial" w:eastAsia="Times New Roman" w:hAnsi="Arial" w:cs="Times New Roman"/>
      <w:b w:val="0"/>
      <w:bCs w:val="0"/>
      <w:color w:val="auto"/>
      <w:sz w:val="20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rsid w:val="00625FD8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BoxSpaceBelow">
    <w:name w:val="Box Space Below"/>
    <w:basedOn w:val="Normal"/>
    <w:rsid w:val="00625FD8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eastAsia="en-AU"/>
    </w:rPr>
  </w:style>
  <w:style w:type="paragraph" w:customStyle="1" w:styleId="Figurespace">
    <w:name w:val="Figure space"/>
    <w:basedOn w:val="Normal"/>
    <w:rsid w:val="00625FD8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FD8"/>
  </w:style>
  <w:style w:type="paragraph" w:styleId="Caption">
    <w:name w:val="caption"/>
    <w:basedOn w:val="Normal"/>
    <w:next w:val="Normal"/>
    <w:uiPriority w:val="35"/>
    <w:unhideWhenUsed/>
    <w:qFormat/>
    <w:rsid w:val="00625F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te">
    <w:name w:val="Note"/>
    <w:basedOn w:val="BodyText"/>
    <w:next w:val="BodyText"/>
    <w:rsid w:val="00F00D1D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character" w:customStyle="1" w:styleId="NoteLabel">
    <w:name w:val="Note Label"/>
    <w:basedOn w:val="DefaultParagraphFont"/>
    <w:rsid w:val="00F00D1D"/>
    <w:rPr>
      <w:rFonts w:ascii="Arial" w:hAnsi="Arial"/>
      <w:b/>
      <w:position w:val="6"/>
      <w:sz w:val="18"/>
    </w:rPr>
  </w:style>
  <w:style w:type="paragraph" w:customStyle="1" w:styleId="Box">
    <w:name w:val="Box"/>
    <w:basedOn w:val="Normal"/>
    <w:link w:val="BoxChar"/>
    <w:rsid w:val="00651CCD"/>
    <w:pPr>
      <w:keepNext/>
      <w:spacing w:before="120" w:after="0" w:line="260" w:lineRule="atLeast"/>
      <w:jc w:val="both"/>
    </w:pPr>
    <w:rPr>
      <w:rFonts w:ascii="Arial" w:hAnsi="Arial" w:cs="Arial"/>
      <w:sz w:val="20"/>
      <w:szCs w:val="20"/>
      <w:lang w:eastAsia="en-AU"/>
    </w:rPr>
  </w:style>
  <w:style w:type="paragraph" w:customStyle="1" w:styleId="TableBodyText">
    <w:name w:val="Table Body Text"/>
    <w:basedOn w:val="Normal"/>
    <w:rsid w:val="00651CCD"/>
    <w:pPr>
      <w:keepNext/>
      <w:spacing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paragraph" w:customStyle="1" w:styleId="TableColumnHeading">
    <w:name w:val="Table Column Heading"/>
    <w:basedOn w:val="Normal"/>
    <w:rsid w:val="00651CCD"/>
    <w:pPr>
      <w:keepNext/>
      <w:spacing w:before="80" w:after="80" w:line="200" w:lineRule="atLeast"/>
      <w:ind w:left="6" w:right="113"/>
      <w:jc w:val="right"/>
    </w:pPr>
    <w:rPr>
      <w:rFonts w:ascii="Arial" w:hAnsi="Arial" w:cs="Arial"/>
      <w:i/>
      <w:iCs/>
      <w:sz w:val="18"/>
      <w:szCs w:val="18"/>
      <w:lang w:eastAsia="en-AU"/>
    </w:rPr>
  </w:style>
  <w:style w:type="paragraph" w:customStyle="1" w:styleId="TableTitle">
    <w:name w:val="Table Title"/>
    <w:basedOn w:val="Normal"/>
    <w:rsid w:val="00651CCD"/>
    <w:pPr>
      <w:keepNext/>
      <w:spacing w:before="120" w:after="80" w:line="280" w:lineRule="exact"/>
      <w:ind w:left="1474" w:hanging="1474"/>
    </w:pPr>
    <w:rPr>
      <w:rFonts w:ascii="Arial" w:hAnsi="Arial" w:cs="Arial"/>
      <w:b/>
      <w:bCs/>
      <w:sz w:val="24"/>
      <w:szCs w:val="24"/>
      <w:lang w:eastAsia="en-AU"/>
    </w:rPr>
  </w:style>
  <w:style w:type="paragraph" w:customStyle="1" w:styleId="TableUnitsRow">
    <w:name w:val="Table Units Row"/>
    <w:basedOn w:val="Normal"/>
    <w:rsid w:val="00651CCD"/>
    <w:pPr>
      <w:keepNext/>
      <w:spacing w:before="40"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E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43A4"/>
    <w:pPr>
      <w:spacing w:after="0" w:line="240" w:lineRule="auto"/>
    </w:pPr>
  </w:style>
  <w:style w:type="character" w:customStyle="1" w:styleId="BoxChar">
    <w:name w:val="Box Char"/>
    <w:basedOn w:val="DefaultParagraphFont"/>
    <w:link w:val="Box"/>
    <w:locked/>
    <w:rsid w:val="00F778CC"/>
    <w:rPr>
      <w:rFonts w:ascii="Arial" w:hAnsi="Arial" w:cs="Arial"/>
      <w:sz w:val="20"/>
      <w:szCs w:val="20"/>
      <w:lang w:eastAsia="en-AU"/>
    </w:rPr>
  </w:style>
  <w:style w:type="paragraph" w:customStyle="1" w:styleId="BoxTitle">
    <w:name w:val="Box Title"/>
    <w:basedOn w:val="Normal"/>
    <w:rsid w:val="00F778CC"/>
    <w:pPr>
      <w:keepNext/>
      <w:spacing w:before="120" w:after="0" w:line="280" w:lineRule="exact"/>
      <w:ind w:left="1474" w:hanging="1474"/>
    </w:pPr>
    <w:rPr>
      <w:rFonts w:ascii="Arial" w:hAnsi="Arial" w:cs="Arial"/>
      <w:b/>
      <w:bCs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89F"/>
    <w:pPr>
      <w:ind w:left="720"/>
      <w:contextualSpacing/>
    </w:pPr>
  </w:style>
  <w:style w:type="paragraph" w:customStyle="1" w:styleId="Source">
    <w:name w:val="Source"/>
    <w:basedOn w:val="Normal"/>
    <w:next w:val="BodyText"/>
    <w:rsid w:val="00625FD8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BoxSpaceAbove">
    <w:name w:val="Box Space Above"/>
    <w:basedOn w:val="BodyText"/>
    <w:rsid w:val="00625FD8"/>
    <w:pPr>
      <w:keepNext/>
      <w:spacing w:before="360" w:after="0" w:line="80" w:lineRule="exact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Figure">
    <w:name w:val="Figure"/>
    <w:basedOn w:val="BodyText"/>
    <w:rsid w:val="00625FD8"/>
    <w:pPr>
      <w:keepNext/>
      <w:spacing w:before="12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FigureTitle">
    <w:name w:val="Figure Title"/>
    <w:basedOn w:val="Caption"/>
    <w:next w:val="Subtitle"/>
    <w:rsid w:val="00625FD8"/>
    <w:pPr>
      <w:keepNext/>
      <w:keepLines/>
      <w:spacing w:before="120" w:after="8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paragraph" w:styleId="Subtitle">
    <w:name w:val="Subtitle"/>
    <w:basedOn w:val="Caption"/>
    <w:link w:val="SubtitleChar"/>
    <w:qFormat/>
    <w:rsid w:val="00625FD8"/>
    <w:pPr>
      <w:keepNext/>
      <w:keepLines/>
      <w:spacing w:after="80" w:line="200" w:lineRule="exact"/>
      <w:ind w:left="1474"/>
    </w:pPr>
    <w:rPr>
      <w:rFonts w:ascii="Arial" w:eastAsia="Times New Roman" w:hAnsi="Arial" w:cs="Times New Roman"/>
      <w:b w:val="0"/>
      <w:bCs w:val="0"/>
      <w:color w:val="auto"/>
      <w:sz w:val="20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rsid w:val="00625FD8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BoxSpaceBelow">
    <w:name w:val="Box Space Below"/>
    <w:basedOn w:val="Normal"/>
    <w:rsid w:val="00625FD8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eastAsia="en-AU"/>
    </w:rPr>
  </w:style>
  <w:style w:type="paragraph" w:customStyle="1" w:styleId="Figurespace">
    <w:name w:val="Figure space"/>
    <w:basedOn w:val="Normal"/>
    <w:rsid w:val="00625FD8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FD8"/>
  </w:style>
  <w:style w:type="paragraph" w:styleId="Caption">
    <w:name w:val="caption"/>
    <w:basedOn w:val="Normal"/>
    <w:next w:val="Normal"/>
    <w:uiPriority w:val="35"/>
    <w:unhideWhenUsed/>
    <w:qFormat/>
    <w:rsid w:val="00625F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te">
    <w:name w:val="Note"/>
    <w:basedOn w:val="BodyText"/>
    <w:next w:val="BodyText"/>
    <w:rsid w:val="00F00D1D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character" w:customStyle="1" w:styleId="NoteLabel">
    <w:name w:val="Note Label"/>
    <w:basedOn w:val="DefaultParagraphFont"/>
    <w:rsid w:val="00F00D1D"/>
    <w:rPr>
      <w:rFonts w:ascii="Arial" w:hAnsi="Arial"/>
      <w:b/>
      <w:position w:val="6"/>
      <w:sz w:val="18"/>
    </w:rPr>
  </w:style>
  <w:style w:type="paragraph" w:customStyle="1" w:styleId="Box">
    <w:name w:val="Box"/>
    <w:basedOn w:val="Normal"/>
    <w:link w:val="BoxChar"/>
    <w:rsid w:val="00651CCD"/>
    <w:pPr>
      <w:keepNext/>
      <w:spacing w:before="120" w:after="0" w:line="260" w:lineRule="atLeast"/>
      <w:jc w:val="both"/>
    </w:pPr>
    <w:rPr>
      <w:rFonts w:ascii="Arial" w:hAnsi="Arial" w:cs="Arial"/>
      <w:sz w:val="20"/>
      <w:szCs w:val="20"/>
      <w:lang w:eastAsia="en-AU"/>
    </w:rPr>
  </w:style>
  <w:style w:type="paragraph" w:customStyle="1" w:styleId="TableBodyText">
    <w:name w:val="Table Body Text"/>
    <w:basedOn w:val="Normal"/>
    <w:rsid w:val="00651CCD"/>
    <w:pPr>
      <w:keepNext/>
      <w:spacing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paragraph" w:customStyle="1" w:styleId="TableColumnHeading">
    <w:name w:val="Table Column Heading"/>
    <w:basedOn w:val="Normal"/>
    <w:rsid w:val="00651CCD"/>
    <w:pPr>
      <w:keepNext/>
      <w:spacing w:before="80" w:after="80" w:line="200" w:lineRule="atLeast"/>
      <w:ind w:left="6" w:right="113"/>
      <w:jc w:val="right"/>
    </w:pPr>
    <w:rPr>
      <w:rFonts w:ascii="Arial" w:hAnsi="Arial" w:cs="Arial"/>
      <w:i/>
      <w:iCs/>
      <w:sz w:val="18"/>
      <w:szCs w:val="18"/>
      <w:lang w:eastAsia="en-AU"/>
    </w:rPr>
  </w:style>
  <w:style w:type="paragraph" w:customStyle="1" w:styleId="TableTitle">
    <w:name w:val="Table Title"/>
    <w:basedOn w:val="Normal"/>
    <w:rsid w:val="00651CCD"/>
    <w:pPr>
      <w:keepNext/>
      <w:spacing w:before="120" w:after="80" w:line="280" w:lineRule="exact"/>
      <w:ind w:left="1474" w:hanging="1474"/>
    </w:pPr>
    <w:rPr>
      <w:rFonts w:ascii="Arial" w:hAnsi="Arial" w:cs="Arial"/>
      <w:b/>
      <w:bCs/>
      <w:sz w:val="24"/>
      <w:szCs w:val="24"/>
      <w:lang w:eastAsia="en-AU"/>
    </w:rPr>
  </w:style>
  <w:style w:type="paragraph" w:customStyle="1" w:styleId="TableUnitsRow">
    <w:name w:val="Table Units Row"/>
    <w:basedOn w:val="Normal"/>
    <w:rsid w:val="00651CCD"/>
    <w:pPr>
      <w:keepNext/>
      <w:spacing w:before="40"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E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43A4"/>
    <w:pPr>
      <w:spacing w:after="0" w:line="240" w:lineRule="auto"/>
    </w:pPr>
  </w:style>
  <w:style w:type="character" w:customStyle="1" w:styleId="BoxChar">
    <w:name w:val="Box Char"/>
    <w:basedOn w:val="DefaultParagraphFont"/>
    <w:link w:val="Box"/>
    <w:locked/>
    <w:rsid w:val="00F778CC"/>
    <w:rPr>
      <w:rFonts w:ascii="Arial" w:hAnsi="Arial" w:cs="Arial"/>
      <w:sz w:val="20"/>
      <w:szCs w:val="20"/>
      <w:lang w:eastAsia="en-AU"/>
    </w:rPr>
  </w:style>
  <w:style w:type="paragraph" w:customStyle="1" w:styleId="BoxTitle">
    <w:name w:val="Box Title"/>
    <w:basedOn w:val="Normal"/>
    <w:rsid w:val="00F778CC"/>
    <w:pPr>
      <w:keepNext/>
      <w:spacing w:before="120" w:after="0" w:line="280" w:lineRule="exact"/>
      <w:ind w:left="1474" w:hanging="1474"/>
    </w:pPr>
    <w:rPr>
      <w:rFonts w:ascii="Arial" w:hAnsi="Arial" w:cs="Arial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c.gov.au/inquiries/current/intellectual-propert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c.gov.au/inquiries/current/intellectual-property/make-submiss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6B4B-72DB-4504-8487-A1FD145C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does Australia's IP system fare? - Fact sheet - Intellectual Property Arrangements</vt:lpstr>
    </vt:vector>
  </TitlesOfParts>
  <Company>Productivity Commission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Australia's IP system fare? - Fact sheet - Intellectual Property Arrangements</dc:title>
  <dc:creator>Productivity Commission</dc:creator>
  <cp:lastModifiedBy>Pimperl, Mark</cp:lastModifiedBy>
  <cp:revision>9</cp:revision>
  <dcterms:created xsi:type="dcterms:W3CDTF">2016-04-26T00:23:00Z</dcterms:created>
  <dcterms:modified xsi:type="dcterms:W3CDTF">2016-04-27T05:29:00Z</dcterms:modified>
</cp:coreProperties>
</file>