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0C4" w:rsidRPr="006A10C4" w:rsidRDefault="00007F18" w:rsidP="00BF738A">
      <w:pPr>
        <w:spacing w:after="240"/>
        <w:jc w:val="center"/>
        <w:rPr>
          <w:rFonts w:ascii="Arial" w:hAnsi="Arial" w:cs="Arial"/>
          <w:caps/>
        </w:rPr>
      </w:pPr>
      <w:bookmarkStart w:id="0" w:name="_GoBack"/>
      <w:bookmarkEnd w:id="0"/>
      <w:r>
        <w:rPr>
          <w:rFonts w:ascii="Arial" w:hAnsi="Arial" w:cs="Arial"/>
          <w:caps/>
        </w:rPr>
        <w:t>Intellectual property arrangements</w:t>
      </w:r>
    </w:p>
    <w:p w:rsidR="00BF738A" w:rsidRPr="002A300B" w:rsidRDefault="00E06555" w:rsidP="00BF738A">
      <w:pPr>
        <w:spacing w:after="240"/>
        <w:jc w:val="center"/>
        <w:rPr>
          <w:rFonts w:ascii="Arial" w:hAnsi="Arial" w:cs="Arial"/>
          <w:caps/>
          <w:sz w:val="28"/>
          <w:szCs w:val="28"/>
        </w:rPr>
      </w:pPr>
      <w:r>
        <w:rPr>
          <w:rFonts w:ascii="Arial" w:hAnsi="Arial" w:cs="Arial"/>
          <w:caps/>
          <w:sz w:val="28"/>
          <w:szCs w:val="28"/>
        </w:rPr>
        <w:t>Pharmaceutical patents – a targeted policy prescription</w:t>
      </w:r>
    </w:p>
    <w:p w:rsidR="006B7B1A" w:rsidRPr="00007F18" w:rsidRDefault="005F7E79" w:rsidP="006B7B1A">
      <w:pPr>
        <w:spacing w:before="240" w:after="120"/>
        <w:rPr>
          <w:rFonts w:ascii="Arial" w:hAnsi="Arial" w:cs="Arial"/>
          <w:b/>
          <w:caps/>
        </w:rPr>
      </w:pPr>
      <w:r>
        <w:rPr>
          <w:rFonts w:ascii="Arial" w:hAnsi="Arial" w:cs="Arial"/>
          <w:b/>
          <w:caps/>
        </w:rPr>
        <w:t xml:space="preserve">redesign </w:t>
      </w:r>
      <w:r w:rsidR="006B7B1A" w:rsidRPr="00007F18">
        <w:rPr>
          <w:rFonts w:ascii="Arial" w:hAnsi="Arial" w:cs="Arial"/>
          <w:b/>
          <w:caps/>
        </w:rPr>
        <w:t xml:space="preserve">Extensions of term for Pharmaceutical patents </w:t>
      </w:r>
    </w:p>
    <w:p w:rsidR="00702878" w:rsidRDefault="00702878" w:rsidP="00702878">
      <w:pPr>
        <w:pStyle w:val="BodyText"/>
        <w:spacing w:before="120"/>
        <w:rPr>
          <w:rFonts w:ascii="Arial" w:eastAsiaTheme="minorHAnsi" w:hAnsi="Arial" w:cs="Arial"/>
          <w:sz w:val="22"/>
          <w:szCs w:val="22"/>
          <w:lang w:eastAsia="en-US"/>
        </w:rPr>
      </w:pPr>
      <w:r w:rsidRPr="00007F18">
        <w:rPr>
          <w:rFonts w:ascii="Arial" w:eastAsiaTheme="minorHAnsi" w:hAnsi="Arial" w:cs="Arial"/>
          <w:sz w:val="22"/>
          <w:szCs w:val="22"/>
          <w:lang w:eastAsia="en-US"/>
        </w:rPr>
        <w:t xml:space="preserve">The pharmaceutical industry relies on patents more than most. </w:t>
      </w:r>
      <w:r>
        <w:rPr>
          <w:rFonts w:ascii="Arial" w:eastAsiaTheme="minorHAnsi" w:hAnsi="Arial" w:cs="Arial"/>
          <w:sz w:val="22"/>
          <w:szCs w:val="22"/>
          <w:lang w:eastAsia="en-US"/>
        </w:rPr>
        <w:t xml:space="preserve">In addition to </w:t>
      </w:r>
      <w:r w:rsidR="00545F23">
        <w:rPr>
          <w:rFonts w:ascii="Arial" w:eastAsiaTheme="minorHAnsi" w:hAnsi="Arial" w:cs="Arial"/>
          <w:sz w:val="22"/>
          <w:szCs w:val="22"/>
          <w:lang w:eastAsia="en-US"/>
        </w:rPr>
        <w:t xml:space="preserve">the </w:t>
      </w:r>
      <w:r w:rsidRPr="00007F18">
        <w:rPr>
          <w:rFonts w:ascii="Arial" w:eastAsiaTheme="minorHAnsi" w:hAnsi="Arial" w:cs="Arial"/>
          <w:sz w:val="22"/>
          <w:szCs w:val="22"/>
          <w:lang w:eastAsia="en-US"/>
        </w:rPr>
        <w:t xml:space="preserve">standard patent </w:t>
      </w:r>
      <w:r>
        <w:rPr>
          <w:rFonts w:ascii="Arial" w:eastAsiaTheme="minorHAnsi" w:hAnsi="Arial" w:cs="Arial"/>
          <w:sz w:val="22"/>
          <w:szCs w:val="22"/>
          <w:lang w:eastAsia="en-US"/>
        </w:rPr>
        <w:t>20 </w:t>
      </w:r>
      <w:r w:rsidRPr="00007F18">
        <w:rPr>
          <w:rFonts w:ascii="Arial" w:eastAsiaTheme="minorHAnsi" w:hAnsi="Arial" w:cs="Arial"/>
          <w:sz w:val="22"/>
          <w:szCs w:val="22"/>
          <w:lang w:eastAsia="en-US"/>
        </w:rPr>
        <w:t xml:space="preserve">year term applying to all patent protection, pharmaceutical patents can qualify for a </w:t>
      </w:r>
      <w:r w:rsidR="009C2217">
        <w:rPr>
          <w:rFonts w:ascii="Arial" w:eastAsiaTheme="minorHAnsi" w:hAnsi="Arial" w:cs="Arial"/>
          <w:sz w:val="22"/>
          <w:szCs w:val="22"/>
          <w:lang w:eastAsia="en-US"/>
        </w:rPr>
        <w:t xml:space="preserve">further </w:t>
      </w:r>
      <w:r w:rsidRPr="00007F18">
        <w:rPr>
          <w:rFonts w:ascii="Arial" w:eastAsiaTheme="minorHAnsi" w:hAnsi="Arial" w:cs="Arial"/>
          <w:sz w:val="22"/>
          <w:szCs w:val="22"/>
          <w:lang w:eastAsia="en-US"/>
        </w:rPr>
        <w:t>five year</w:t>
      </w:r>
      <w:r w:rsidR="009C2217">
        <w:rPr>
          <w:rFonts w:ascii="Arial" w:eastAsiaTheme="minorHAnsi" w:hAnsi="Arial" w:cs="Arial"/>
          <w:sz w:val="22"/>
          <w:szCs w:val="22"/>
          <w:lang w:eastAsia="en-US"/>
        </w:rPr>
        <w:t xml:space="preserve"> extension of their term</w:t>
      </w:r>
      <w:r w:rsidR="007B3945">
        <w:rPr>
          <w:rFonts w:ascii="Arial" w:eastAsiaTheme="minorHAnsi" w:hAnsi="Arial" w:cs="Arial"/>
          <w:sz w:val="22"/>
          <w:szCs w:val="22"/>
          <w:lang w:eastAsia="en-US"/>
        </w:rPr>
        <w:t>.</w:t>
      </w:r>
      <w:r w:rsidRPr="00007F18">
        <w:rPr>
          <w:rFonts w:ascii="Arial" w:eastAsiaTheme="minorHAnsi" w:hAnsi="Arial" w:cs="Arial"/>
          <w:sz w:val="22"/>
          <w:szCs w:val="22"/>
          <w:lang w:eastAsia="en-US"/>
        </w:rPr>
        <w:t xml:space="preserve"> </w:t>
      </w:r>
    </w:p>
    <w:p w:rsidR="00B80212" w:rsidRDefault="00007F18" w:rsidP="00700C0C">
      <w:pPr>
        <w:pStyle w:val="BodyText"/>
        <w:spacing w:before="120"/>
        <w:rPr>
          <w:rFonts w:ascii="Arial" w:hAnsi="Arial" w:cs="Arial"/>
          <w:sz w:val="22"/>
          <w:szCs w:val="22"/>
        </w:rPr>
      </w:pPr>
      <w:r>
        <w:rPr>
          <w:rFonts w:ascii="Arial" w:hAnsi="Arial" w:cs="Arial"/>
          <w:sz w:val="22"/>
          <w:szCs w:val="22"/>
        </w:rPr>
        <w:t>Extensions of term for pharmaceuticals were</w:t>
      </w:r>
      <w:r w:rsidRPr="00007F18">
        <w:rPr>
          <w:rFonts w:ascii="Arial" w:hAnsi="Arial" w:cs="Arial"/>
          <w:sz w:val="22"/>
          <w:szCs w:val="22"/>
        </w:rPr>
        <w:t xml:space="preserve"> intended to attract </w:t>
      </w:r>
      <w:r>
        <w:rPr>
          <w:rFonts w:ascii="Arial" w:hAnsi="Arial" w:cs="Arial"/>
          <w:sz w:val="22"/>
          <w:szCs w:val="22"/>
        </w:rPr>
        <w:t>investment in R&amp;D</w:t>
      </w:r>
      <w:r w:rsidRPr="00007F18">
        <w:rPr>
          <w:rFonts w:ascii="Arial" w:hAnsi="Arial" w:cs="Arial"/>
          <w:sz w:val="22"/>
          <w:szCs w:val="22"/>
        </w:rPr>
        <w:t xml:space="preserve"> </w:t>
      </w:r>
      <w:r w:rsidR="00B80212" w:rsidRPr="00B80212">
        <w:rPr>
          <w:rFonts w:ascii="Arial" w:hAnsi="Arial" w:cs="Arial"/>
          <w:sz w:val="22"/>
          <w:szCs w:val="22"/>
        </w:rPr>
        <w:t xml:space="preserve">and to provide an effective market life for pharmaceuticals more in line with other technologies. (The latter objective reflects the fact that pharmaceuticals must go through extensive regulatory approval processes that can be subject to delay.) </w:t>
      </w:r>
    </w:p>
    <w:p w:rsidR="00007F18" w:rsidRDefault="00B80212" w:rsidP="00700C0C">
      <w:pPr>
        <w:pStyle w:val="BodyText"/>
        <w:spacing w:before="120"/>
        <w:rPr>
          <w:rFonts w:ascii="Arial" w:hAnsi="Arial" w:cs="Arial"/>
          <w:sz w:val="22"/>
          <w:szCs w:val="22"/>
        </w:rPr>
      </w:pPr>
      <w:r>
        <w:rPr>
          <w:rFonts w:ascii="Arial" w:hAnsi="Arial" w:cs="Arial"/>
          <w:sz w:val="22"/>
          <w:szCs w:val="22"/>
        </w:rPr>
        <w:t>But extensions of term for pharmaceuticals have been ineffective</w:t>
      </w:r>
      <w:r w:rsidR="00702878">
        <w:rPr>
          <w:rFonts w:ascii="Arial" w:hAnsi="Arial" w:cs="Arial"/>
          <w:sz w:val="22"/>
          <w:szCs w:val="22"/>
        </w:rPr>
        <w:t xml:space="preserve"> in attracting investment</w:t>
      </w:r>
      <w:r>
        <w:rPr>
          <w:rFonts w:ascii="Arial" w:hAnsi="Arial" w:cs="Arial"/>
          <w:sz w:val="22"/>
          <w:szCs w:val="22"/>
        </w:rPr>
        <w:t>.</w:t>
      </w:r>
      <w:r w:rsidR="00007F18" w:rsidRPr="00007F18">
        <w:rPr>
          <w:rFonts w:ascii="Arial" w:hAnsi="Arial" w:cs="Arial"/>
          <w:sz w:val="22"/>
          <w:szCs w:val="22"/>
        </w:rPr>
        <w:t xml:space="preserve"> Australia represents only 2 per cent of the global pharmaceutical market and a meagre 0.3 per cent of global pharmaceutical </w:t>
      </w:r>
      <w:r>
        <w:rPr>
          <w:rFonts w:ascii="Arial" w:hAnsi="Arial" w:cs="Arial"/>
          <w:sz w:val="22"/>
          <w:szCs w:val="22"/>
        </w:rPr>
        <w:t>R&amp;D</w:t>
      </w:r>
      <w:r w:rsidR="00007F18" w:rsidRPr="00007F18">
        <w:rPr>
          <w:rFonts w:ascii="Arial" w:hAnsi="Arial" w:cs="Arial"/>
          <w:sz w:val="22"/>
          <w:szCs w:val="22"/>
        </w:rPr>
        <w:t>.</w:t>
      </w:r>
      <w:r w:rsidR="00702878">
        <w:rPr>
          <w:rFonts w:ascii="Arial" w:hAnsi="Arial" w:cs="Arial"/>
          <w:sz w:val="22"/>
          <w:szCs w:val="22"/>
        </w:rPr>
        <w:t xml:space="preserve"> And </w:t>
      </w:r>
      <w:r w:rsidR="00702878" w:rsidRPr="00702878">
        <w:rPr>
          <w:rFonts w:ascii="Arial" w:hAnsi="Arial" w:cs="Arial"/>
          <w:sz w:val="22"/>
          <w:szCs w:val="22"/>
        </w:rPr>
        <w:t xml:space="preserve">rather than focussing on delay caused by the regulator, </w:t>
      </w:r>
      <w:r w:rsidR="00702878">
        <w:rPr>
          <w:rFonts w:ascii="Arial" w:hAnsi="Arial" w:cs="Arial"/>
          <w:sz w:val="22"/>
          <w:szCs w:val="22"/>
        </w:rPr>
        <w:t xml:space="preserve">extensions are </w:t>
      </w:r>
      <w:r w:rsidR="00702878" w:rsidRPr="00702878">
        <w:rPr>
          <w:rFonts w:ascii="Arial" w:hAnsi="Arial" w:cs="Arial"/>
          <w:sz w:val="22"/>
          <w:szCs w:val="22"/>
        </w:rPr>
        <w:t xml:space="preserve">calculated </w:t>
      </w:r>
      <w:r w:rsidR="00702878">
        <w:rPr>
          <w:rFonts w:ascii="Arial" w:hAnsi="Arial" w:cs="Arial"/>
          <w:sz w:val="22"/>
          <w:szCs w:val="22"/>
        </w:rPr>
        <w:t>in a way that</w:t>
      </w:r>
      <w:r w:rsidR="00702878" w:rsidRPr="00702878">
        <w:rPr>
          <w:rFonts w:ascii="Arial" w:hAnsi="Arial" w:cs="Arial"/>
          <w:sz w:val="22"/>
          <w:szCs w:val="22"/>
        </w:rPr>
        <w:t xml:space="preserve"> compensate</w:t>
      </w:r>
      <w:r w:rsidR="00702878">
        <w:rPr>
          <w:rFonts w:ascii="Arial" w:hAnsi="Arial" w:cs="Arial"/>
          <w:sz w:val="22"/>
          <w:szCs w:val="22"/>
        </w:rPr>
        <w:t>s</w:t>
      </w:r>
      <w:r w:rsidR="00702878" w:rsidRPr="00702878">
        <w:rPr>
          <w:rFonts w:ascii="Arial" w:hAnsi="Arial" w:cs="Arial"/>
          <w:sz w:val="22"/>
          <w:szCs w:val="22"/>
        </w:rPr>
        <w:t xml:space="preserve"> firms for being slow to introduce drugs to the Australian market</w:t>
      </w:r>
      <w:r w:rsidR="00702878">
        <w:rPr>
          <w:rFonts w:ascii="Arial" w:hAnsi="Arial" w:cs="Arial"/>
          <w:sz w:val="22"/>
          <w:szCs w:val="22"/>
        </w:rPr>
        <w:t>.</w:t>
      </w:r>
    </w:p>
    <w:p w:rsidR="00B80212" w:rsidRDefault="00702878" w:rsidP="00700C0C">
      <w:pPr>
        <w:pStyle w:val="BodyText"/>
        <w:spacing w:before="120"/>
        <w:rPr>
          <w:rFonts w:ascii="Arial" w:hAnsi="Arial" w:cs="Arial"/>
          <w:sz w:val="22"/>
          <w:szCs w:val="22"/>
        </w:rPr>
      </w:pPr>
      <w:r>
        <w:rPr>
          <w:rFonts w:ascii="Arial" w:hAnsi="Arial" w:cs="Arial"/>
          <w:sz w:val="22"/>
          <w:szCs w:val="22"/>
        </w:rPr>
        <w:t>Not only have extensions of term been ineffective in encouraging pharmaceutical R&amp;D, they co</w:t>
      </w:r>
      <w:r w:rsidR="00007F18" w:rsidRPr="00007F18">
        <w:rPr>
          <w:rFonts w:ascii="Arial" w:hAnsi="Arial" w:cs="Arial"/>
          <w:sz w:val="22"/>
          <w:szCs w:val="22"/>
        </w:rPr>
        <w:t>st the Australian Government and consumers over a quarter</w:t>
      </w:r>
      <w:r w:rsidR="00B80212">
        <w:rPr>
          <w:rFonts w:ascii="Arial" w:hAnsi="Arial" w:cs="Arial"/>
          <w:sz w:val="22"/>
          <w:szCs w:val="22"/>
        </w:rPr>
        <w:t xml:space="preserve"> of a billion dollars each year.</w:t>
      </w:r>
    </w:p>
    <w:p w:rsidR="00B80212" w:rsidRDefault="00B80212" w:rsidP="00B80212">
      <w:pPr>
        <w:pStyle w:val="BodyText"/>
        <w:spacing w:before="120"/>
        <w:rPr>
          <w:rFonts w:ascii="Arial" w:hAnsi="Arial" w:cs="Arial"/>
        </w:rPr>
      </w:pPr>
      <w:r>
        <w:rPr>
          <w:rFonts w:ascii="Arial" w:hAnsi="Arial" w:cs="Arial"/>
          <w:sz w:val="22"/>
          <w:szCs w:val="22"/>
        </w:rPr>
        <w:t>Australia is bound, under its international obligations</w:t>
      </w:r>
      <w:r w:rsidR="006B55DD">
        <w:rPr>
          <w:rFonts w:ascii="Arial" w:hAnsi="Arial" w:cs="Arial"/>
          <w:sz w:val="22"/>
          <w:szCs w:val="22"/>
        </w:rPr>
        <w:t>,</w:t>
      </w:r>
      <w:r>
        <w:rPr>
          <w:rFonts w:ascii="Arial" w:hAnsi="Arial" w:cs="Arial"/>
          <w:sz w:val="22"/>
          <w:szCs w:val="22"/>
        </w:rPr>
        <w:t xml:space="preserve"> to offer some adjustment of patent term for pharmaceuticals. But even within these constraints, there is scope to take a more sophisticated approach. Extending protection </w:t>
      </w:r>
      <w:r w:rsidR="00702878">
        <w:rPr>
          <w:rFonts w:ascii="Arial" w:hAnsi="Arial" w:cs="Arial"/>
          <w:sz w:val="22"/>
          <w:szCs w:val="22"/>
        </w:rPr>
        <w:t xml:space="preserve">for pharmaceuticals </w:t>
      </w:r>
      <w:r>
        <w:rPr>
          <w:rFonts w:ascii="Arial" w:hAnsi="Arial" w:cs="Arial"/>
          <w:sz w:val="22"/>
          <w:szCs w:val="22"/>
        </w:rPr>
        <w:t xml:space="preserve">should only occur where there have been </w:t>
      </w:r>
      <w:r w:rsidRPr="00B80212">
        <w:rPr>
          <w:rFonts w:ascii="Arial" w:hAnsi="Arial" w:cs="Arial"/>
          <w:i/>
          <w:sz w:val="22"/>
          <w:szCs w:val="22"/>
        </w:rPr>
        <w:t>unreasonable</w:t>
      </w:r>
      <w:r>
        <w:rPr>
          <w:rFonts w:ascii="Arial" w:hAnsi="Arial" w:cs="Arial"/>
          <w:sz w:val="22"/>
          <w:szCs w:val="22"/>
        </w:rPr>
        <w:t xml:space="preserve"> delays caused by the </w:t>
      </w:r>
      <w:r w:rsidRPr="00B80212">
        <w:rPr>
          <w:rFonts w:ascii="Arial" w:hAnsi="Arial" w:cs="Arial"/>
          <w:sz w:val="22"/>
          <w:szCs w:val="22"/>
        </w:rPr>
        <w:t>Therapeutic Goods Administration</w:t>
      </w:r>
      <w:r>
        <w:rPr>
          <w:rFonts w:ascii="Arial" w:hAnsi="Arial" w:cs="Arial"/>
          <w:sz w:val="22"/>
          <w:szCs w:val="22"/>
        </w:rPr>
        <w:t>.</w:t>
      </w:r>
    </w:p>
    <w:p w:rsidR="00A16C2D" w:rsidRPr="00BE3E58" w:rsidRDefault="006B7B1A" w:rsidP="00660838">
      <w:pPr>
        <w:pStyle w:val="BodyText"/>
        <w:rPr>
          <w:b/>
        </w:rPr>
      </w:pPr>
      <w:r>
        <w:rPr>
          <w:rFonts w:ascii="Arial" w:hAnsi="Arial" w:cs="Arial"/>
          <w:b/>
          <w:caps/>
        </w:rPr>
        <w:t>DATA Protection</w:t>
      </w:r>
      <w:r w:rsidR="005F7E79">
        <w:rPr>
          <w:rFonts w:ascii="Arial" w:hAnsi="Arial" w:cs="Arial"/>
          <w:b/>
          <w:caps/>
        </w:rPr>
        <w:t xml:space="preserve"> drawbacks</w:t>
      </w:r>
    </w:p>
    <w:p w:rsidR="00702878" w:rsidRPr="00007F18" w:rsidRDefault="00D01815" w:rsidP="00702878">
      <w:pPr>
        <w:pStyle w:val="BodyText"/>
        <w:spacing w:before="120"/>
        <w:rPr>
          <w:rFonts w:ascii="Arial" w:hAnsi="Arial" w:cs="Arial"/>
          <w:sz w:val="22"/>
          <w:szCs w:val="22"/>
        </w:rPr>
      </w:pPr>
      <w:r>
        <w:rPr>
          <w:rFonts w:ascii="Arial" w:eastAsiaTheme="minorHAnsi" w:hAnsi="Arial" w:cs="Arial"/>
          <w:sz w:val="22"/>
          <w:szCs w:val="22"/>
          <w:lang w:eastAsia="en-US"/>
        </w:rPr>
        <w:t>In addition to the patent protection afforded to pharmaceuticals, t</w:t>
      </w:r>
      <w:r w:rsidR="00702878" w:rsidRPr="00007F18">
        <w:rPr>
          <w:rFonts w:ascii="Arial" w:eastAsiaTheme="minorHAnsi" w:hAnsi="Arial" w:cs="Arial"/>
          <w:sz w:val="22"/>
          <w:szCs w:val="22"/>
          <w:lang w:eastAsia="en-US"/>
        </w:rPr>
        <w:t xml:space="preserve">he data submitted in support of regulatory approval processes are also protected for a period of five years. Manufacturers of generic pharmaceuticals seeking to enter the market during the period of data exclusivity must independently test and prove that their pharmaceuticals are safe. </w:t>
      </w:r>
    </w:p>
    <w:p w:rsidR="00660838" w:rsidRPr="006B7B1A" w:rsidRDefault="00D01815" w:rsidP="00660838">
      <w:pPr>
        <w:pStyle w:val="BodyText"/>
        <w:spacing w:before="120"/>
        <w:rPr>
          <w:rFonts w:ascii="Arial" w:hAnsi="Arial" w:cs="Arial"/>
          <w:sz w:val="22"/>
          <w:szCs w:val="22"/>
        </w:rPr>
      </w:pPr>
      <w:r>
        <w:rPr>
          <w:rFonts w:ascii="Arial" w:hAnsi="Arial" w:cs="Arial"/>
          <w:sz w:val="22"/>
          <w:szCs w:val="22"/>
        </w:rPr>
        <w:t xml:space="preserve">While </w:t>
      </w:r>
      <w:r w:rsidR="00702878" w:rsidRPr="00702878">
        <w:rPr>
          <w:rFonts w:ascii="Arial" w:hAnsi="Arial" w:cs="Arial"/>
          <w:sz w:val="22"/>
          <w:szCs w:val="22"/>
        </w:rPr>
        <w:t>data protection arrangements are intended to protect the investment in the test data</w:t>
      </w:r>
      <w:r>
        <w:rPr>
          <w:rFonts w:ascii="Arial" w:hAnsi="Arial" w:cs="Arial"/>
          <w:sz w:val="22"/>
          <w:szCs w:val="22"/>
        </w:rPr>
        <w:t>,</w:t>
      </w:r>
      <w:r w:rsidR="00702878" w:rsidRPr="00702878">
        <w:rPr>
          <w:rFonts w:ascii="Arial" w:hAnsi="Arial" w:cs="Arial"/>
          <w:sz w:val="22"/>
          <w:szCs w:val="22"/>
        </w:rPr>
        <w:t xml:space="preserve"> </w:t>
      </w:r>
      <w:r>
        <w:rPr>
          <w:rFonts w:ascii="Arial" w:hAnsi="Arial" w:cs="Arial"/>
          <w:sz w:val="22"/>
          <w:szCs w:val="22"/>
        </w:rPr>
        <w:t>some in</w:t>
      </w:r>
      <w:r w:rsidR="00AF6C00">
        <w:rPr>
          <w:rFonts w:ascii="Arial" w:hAnsi="Arial" w:cs="Arial"/>
          <w:sz w:val="22"/>
          <w:szCs w:val="22"/>
        </w:rPr>
        <w:t xml:space="preserve"> </w:t>
      </w:r>
      <w:r w:rsidR="006B55DD">
        <w:rPr>
          <w:rFonts w:ascii="Arial" w:hAnsi="Arial" w:cs="Arial"/>
          <w:sz w:val="22"/>
          <w:szCs w:val="22"/>
        </w:rPr>
        <w:t xml:space="preserve">the </w:t>
      </w:r>
      <w:r w:rsidR="00AF6C00">
        <w:rPr>
          <w:rFonts w:ascii="Arial" w:hAnsi="Arial" w:cs="Arial"/>
          <w:sz w:val="22"/>
          <w:szCs w:val="22"/>
        </w:rPr>
        <w:t xml:space="preserve">industry </w:t>
      </w:r>
      <w:r>
        <w:rPr>
          <w:rFonts w:ascii="Arial" w:hAnsi="Arial" w:cs="Arial"/>
          <w:sz w:val="22"/>
          <w:szCs w:val="22"/>
        </w:rPr>
        <w:t xml:space="preserve">see patent protection as inadequate and regard data protection as an ‘insurance policy’. </w:t>
      </w:r>
    </w:p>
    <w:p w:rsidR="00D01815" w:rsidRDefault="00700C0C" w:rsidP="006B7B1A">
      <w:pPr>
        <w:pStyle w:val="BodyText"/>
        <w:spacing w:before="120"/>
        <w:rPr>
          <w:rFonts w:ascii="Arial" w:hAnsi="Arial" w:cs="Arial"/>
          <w:sz w:val="22"/>
          <w:szCs w:val="22"/>
        </w:rPr>
      </w:pPr>
      <w:r w:rsidRPr="006B7B1A">
        <w:rPr>
          <w:rFonts w:ascii="Arial" w:hAnsi="Arial" w:cs="Arial"/>
          <w:sz w:val="22"/>
          <w:szCs w:val="22"/>
        </w:rPr>
        <w:t>Not only is there a lack of evidence that patents are</w:t>
      </w:r>
      <w:r w:rsidR="009C2217">
        <w:rPr>
          <w:rFonts w:ascii="Arial" w:hAnsi="Arial" w:cs="Arial"/>
          <w:sz w:val="22"/>
          <w:szCs w:val="22"/>
        </w:rPr>
        <w:t xml:space="preserve"> not</w:t>
      </w:r>
      <w:r w:rsidRPr="006B7B1A">
        <w:rPr>
          <w:rFonts w:ascii="Arial" w:hAnsi="Arial" w:cs="Arial"/>
          <w:sz w:val="22"/>
          <w:szCs w:val="22"/>
        </w:rPr>
        <w:t xml:space="preserve"> doing the job, using data protection</w:t>
      </w:r>
      <w:r w:rsidR="00AF6C00">
        <w:rPr>
          <w:rFonts w:ascii="Arial" w:hAnsi="Arial" w:cs="Arial"/>
          <w:sz w:val="22"/>
          <w:szCs w:val="22"/>
        </w:rPr>
        <w:t xml:space="preserve"> in their place</w:t>
      </w:r>
      <w:r w:rsidRPr="006B7B1A">
        <w:rPr>
          <w:rFonts w:ascii="Arial" w:hAnsi="Arial" w:cs="Arial"/>
          <w:sz w:val="22"/>
          <w:szCs w:val="22"/>
        </w:rPr>
        <w:t xml:space="preserve"> has drawbacks. </w:t>
      </w:r>
      <w:r w:rsidR="00D01815">
        <w:rPr>
          <w:rFonts w:ascii="Arial" w:hAnsi="Arial" w:cs="Arial"/>
          <w:sz w:val="22"/>
          <w:szCs w:val="22"/>
        </w:rPr>
        <w:t>Data protection does</w:t>
      </w:r>
      <w:r w:rsidR="009C2217">
        <w:rPr>
          <w:rFonts w:ascii="Arial" w:hAnsi="Arial" w:cs="Arial"/>
          <w:sz w:val="22"/>
          <w:szCs w:val="22"/>
        </w:rPr>
        <w:t xml:space="preserve"> not</w:t>
      </w:r>
      <w:r w:rsidR="00D01815">
        <w:rPr>
          <w:rFonts w:ascii="Arial" w:hAnsi="Arial" w:cs="Arial"/>
          <w:sz w:val="22"/>
          <w:szCs w:val="22"/>
        </w:rPr>
        <w:t xml:space="preserve"> have the checks and balances that apply to patents and locks up valuable information.</w:t>
      </w:r>
    </w:p>
    <w:p w:rsidR="006B55DD" w:rsidRDefault="006B55DD" w:rsidP="00152E1B">
      <w:pPr>
        <w:pStyle w:val="BodyText"/>
        <w:spacing w:before="120"/>
        <w:jc w:val="center"/>
        <w:rPr>
          <w:rFonts w:ascii="Arial" w:hAnsi="Arial" w:cs="Arial"/>
          <w:sz w:val="22"/>
          <w:szCs w:val="22"/>
        </w:rPr>
      </w:pPr>
      <w:r>
        <w:rPr>
          <w:rFonts w:ascii="Arial" w:hAnsi="Arial" w:cs="Arial"/>
          <w:sz w:val="22"/>
          <w:szCs w:val="22"/>
        </w:rPr>
        <w:t>[MORE]</w:t>
      </w:r>
    </w:p>
    <w:p w:rsidR="00A16C2D" w:rsidRDefault="00AF6C00" w:rsidP="006B7B1A">
      <w:pPr>
        <w:pStyle w:val="BodyText"/>
        <w:spacing w:before="120"/>
        <w:rPr>
          <w:rFonts w:ascii="Arial" w:hAnsi="Arial" w:cs="Arial"/>
          <w:sz w:val="22"/>
          <w:szCs w:val="22"/>
        </w:rPr>
      </w:pPr>
      <w:r w:rsidRPr="00AF6C00">
        <w:rPr>
          <w:rFonts w:ascii="Arial" w:hAnsi="Arial" w:cs="Arial"/>
          <w:sz w:val="22"/>
          <w:szCs w:val="22"/>
        </w:rPr>
        <w:lastRenderedPageBreak/>
        <w:t>Rather than restrict the availability of data, there is a case for making data more widely available</w:t>
      </w:r>
      <w:r w:rsidR="004F23E4">
        <w:rPr>
          <w:rFonts w:ascii="Arial" w:hAnsi="Arial" w:cs="Arial"/>
          <w:sz w:val="22"/>
          <w:szCs w:val="22"/>
        </w:rPr>
        <w:t>. A</w:t>
      </w:r>
      <w:r w:rsidRPr="00AF6C00">
        <w:rPr>
          <w:rFonts w:ascii="Arial" w:hAnsi="Arial" w:cs="Arial"/>
          <w:sz w:val="22"/>
          <w:szCs w:val="22"/>
        </w:rPr>
        <w:t xml:space="preserve">llowing researchers access to </w:t>
      </w:r>
      <w:r w:rsidR="004F23E4">
        <w:rPr>
          <w:rFonts w:ascii="Arial" w:hAnsi="Arial" w:cs="Arial"/>
          <w:sz w:val="22"/>
          <w:szCs w:val="22"/>
        </w:rPr>
        <w:t>test</w:t>
      </w:r>
      <w:r w:rsidRPr="00AF6C00">
        <w:rPr>
          <w:rFonts w:ascii="Arial" w:hAnsi="Arial" w:cs="Arial"/>
          <w:sz w:val="22"/>
          <w:szCs w:val="22"/>
        </w:rPr>
        <w:t xml:space="preserve"> data could provide substantial public health benefits, while avoiding the substantial costs (and ethical concerns) </w:t>
      </w:r>
      <w:r>
        <w:rPr>
          <w:rFonts w:ascii="Arial" w:hAnsi="Arial" w:cs="Arial"/>
          <w:sz w:val="22"/>
          <w:szCs w:val="22"/>
        </w:rPr>
        <w:t>of rehashing pre</w:t>
      </w:r>
      <w:r w:rsidR="006B55DD">
        <w:rPr>
          <w:rFonts w:ascii="Arial" w:hAnsi="Arial" w:cs="Arial"/>
          <w:sz w:val="22"/>
          <w:szCs w:val="22"/>
        </w:rPr>
        <w:t>–</w:t>
      </w:r>
      <w:r>
        <w:rPr>
          <w:rFonts w:ascii="Arial" w:hAnsi="Arial" w:cs="Arial"/>
          <w:sz w:val="22"/>
          <w:szCs w:val="22"/>
        </w:rPr>
        <w:t xml:space="preserve">existing trials. </w:t>
      </w:r>
      <w:r w:rsidR="00D01815">
        <w:rPr>
          <w:rFonts w:ascii="Arial" w:hAnsi="Arial" w:cs="Arial"/>
          <w:sz w:val="22"/>
          <w:szCs w:val="22"/>
        </w:rPr>
        <w:t>Efforts to unlock test data are best pursued through international cooperation.</w:t>
      </w:r>
    </w:p>
    <w:p w:rsidR="00BE3E58" w:rsidRDefault="006B7B1A" w:rsidP="00A16C2D">
      <w:pPr>
        <w:pStyle w:val="BodyText"/>
        <w:rPr>
          <w:rFonts w:ascii="Arial" w:hAnsi="Arial" w:cs="Arial"/>
          <w:b/>
          <w:sz w:val="22"/>
          <w:szCs w:val="22"/>
        </w:rPr>
      </w:pPr>
      <w:r>
        <w:rPr>
          <w:rFonts w:ascii="Arial" w:hAnsi="Arial" w:cs="Arial"/>
          <w:b/>
          <w:sz w:val="22"/>
          <w:szCs w:val="22"/>
        </w:rPr>
        <w:t xml:space="preserve">STRATEGIC </w:t>
      </w:r>
      <w:r w:rsidR="005F7E79">
        <w:rPr>
          <w:rFonts w:ascii="Arial" w:hAnsi="Arial" w:cs="Arial"/>
          <w:b/>
          <w:sz w:val="22"/>
          <w:szCs w:val="22"/>
        </w:rPr>
        <w:t>(MIS</w:t>
      </w:r>
      <w:proofErr w:type="gramStart"/>
      <w:r w:rsidR="005F7E79">
        <w:rPr>
          <w:rFonts w:ascii="Arial" w:hAnsi="Arial" w:cs="Arial"/>
          <w:b/>
          <w:sz w:val="22"/>
          <w:szCs w:val="22"/>
        </w:rPr>
        <w:t>)</w:t>
      </w:r>
      <w:r>
        <w:rPr>
          <w:rFonts w:ascii="Arial" w:hAnsi="Arial" w:cs="Arial"/>
          <w:b/>
          <w:sz w:val="22"/>
          <w:szCs w:val="22"/>
        </w:rPr>
        <w:t>BEHAVIOUR</w:t>
      </w:r>
      <w:proofErr w:type="gramEnd"/>
      <w:r>
        <w:rPr>
          <w:rFonts w:ascii="Arial" w:hAnsi="Arial" w:cs="Arial"/>
          <w:b/>
          <w:sz w:val="22"/>
          <w:szCs w:val="22"/>
        </w:rPr>
        <w:t xml:space="preserve"> </w:t>
      </w:r>
      <w:r w:rsidR="006A0595">
        <w:rPr>
          <w:rFonts w:ascii="Arial" w:hAnsi="Arial" w:cs="Arial"/>
          <w:b/>
          <w:sz w:val="22"/>
          <w:szCs w:val="22"/>
        </w:rPr>
        <w:t xml:space="preserve">— </w:t>
      </w:r>
      <w:r>
        <w:rPr>
          <w:rFonts w:ascii="Arial" w:hAnsi="Arial" w:cs="Arial"/>
          <w:b/>
          <w:sz w:val="22"/>
          <w:szCs w:val="22"/>
        </w:rPr>
        <w:t>EVERGREENING AND PAY</w:t>
      </w:r>
      <w:r w:rsidR="006A0595">
        <w:rPr>
          <w:rFonts w:ascii="Arial" w:hAnsi="Arial" w:cs="Arial"/>
          <w:b/>
          <w:sz w:val="22"/>
          <w:szCs w:val="22"/>
        </w:rPr>
        <w:t>–</w:t>
      </w:r>
      <w:r>
        <w:rPr>
          <w:rFonts w:ascii="Arial" w:hAnsi="Arial" w:cs="Arial"/>
          <w:b/>
          <w:sz w:val="22"/>
          <w:szCs w:val="22"/>
        </w:rPr>
        <w:t>FOR</w:t>
      </w:r>
      <w:r w:rsidR="006A0595">
        <w:rPr>
          <w:rFonts w:ascii="Arial" w:hAnsi="Arial" w:cs="Arial"/>
          <w:b/>
          <w:sz w:val="22"/>
          <w:szCs w:val="22"/>
        </w:rPr>
        <w:t>–</w:t>
      </w:r>
      <w:r>
        <w:rPr>
          <w:rFonts w:ascii="Arial" w:hAnsi="Arial" w:cs="Arial"/>
          <w:b/>
          <w:sz w:val="22"/>
          <w:szCs w:val="22"/>
        </w:rPr>
        <w:t>DEL</w:t>
      </w:r>
      <w:r w:rsidR="00B11623">
        <w:rPr>
          <w:rFonts w:ascii="Arial" w:hAnsi="Arial" w:cs="Arial"/>
          <w:b/>
          <w:sz w:val="22"/>
          <w:szCs w:val="22"/>
        </w:rPr>
        <w:t>A</w:t>
      </w:r>
      <w:r>
        <w:rPr>
          <w:rFonts w:ascii="Arial" w:hAnsi="Arial" w:cs="Arial"/>
          <w:b/>
          <w:sz w:val="22"/>
          <w:szCs w:val="22"/>
        </w:rPr>
        <w:t>Y</w:t>
      </w:r>
    </w:p>
    <w:p w:rsidR="00AF6C00" w:rsidRDefault="00BE3E58" w:rsidP="00A16C2D">
      <w:pPr>
        <w:pStyle w:val="BodyText"/>
        <w:rPr>
          <w:rFonts w:ascii="Arial" w:hAnsi="Arial" w:cs="Arial"/>
          <w:sz w:val="22"/>
          <w:szCs w:val="22"/>
        </w:rPr>
      </w:pPr>
      <w:r w:rsidRPr="00700C0C">
        <w:rPr>
          <w:rFonts w:ascii="Arial" w:hAnsi="Arial" w:cs="Arial"/>
          <w:sz w:val="22"/>
          <w:szCs w:val="22"/>
        </w:rPr>
        <w:t xml:space="preserve">Pharmaceutical patents are valuable assets. The ability of companies to leverage their </w:t>
      </w:r>
      <w:r w:rsidR="006A0595">
        <w:rPr>
          <w:rFonts w:ascii="Arial" w:hAnsi="Arial" w:cs="Arial"/>
          <w:sz w:val="22"/>
          <w:szCs w:val="22"/>
        </w:rPr>
        <w:t>intellectual property</w:t>
      </w:r>
      <w:r w:rsidR="006A0595" w:rsidRPr="00700C0C">
        <w:rPr>
          <w:rFonts w:ascii="Arial" w:hAnsi="Arial" w:cs="Arial"/>
          <w:sz w:val="22"/>
          <w:szCs w:val="22"/>
        </w:rPr>
        <w:t xml:space="preserve"> </w:t>
      </w:r>
      <w:r w:rsidRPr="00700C0C">
        <w:rPr>
          <w:rFonts w:ascii="Arial" w:hAnsi="Arial" w:cs="Arial"/>
          <w:sz w:val="22"/>
          <w:szCs w:val="22"/>
        </w:rPr>
        <w:t>rights to forestall entry by generics has a direct and significant impact on their profitability</w:t>
      </w:r>
      <w:r w:rsidR="00AF6C00">
        <w:rPr>
          <w:rFonts w:ascii="Arial" w:hAnsi="Arial" w:cs="Arial"/>
          <w:sz w:val="22"/>
          <w:szCs w:val="22"/>
        </w:rPr>
        <w:t xml:space="preserve">. Evidence from Australia and overseas suggests that firms use a range of strategies to extend the </w:t>
      </w:r>
      <w:r w:rsidR="009C2217">
        <w:rPr>
          <w:rFonts w:ascii="Arial" w:hAnsi="Arial" w:cs="Arial"/>
          <w:sz w:val="22"/>
          <w:szCs w:val="22"/>
        </w:rPr>
        <w:t xml:space="preserve">(protected) </w:t>
      </w:r>
      <w:r w:rsidR="00AF6C00">
        <w:rPr>
          <w:rFonts w:ascii="Arial" w:hAnsi="Arial" w:cs="Arial"/>
          <w:sz w:val="22"/>
          <w:szCs w:val="22"/>
        </w:rPr>
        <w:t>commercial life of th</w:t>
      </w:r>
      <w:r w:rsidR="004F23E4">
        <w:rPr>
          <w:rFonts w:ascii="Arial" w:hAnsi="Arial" w:cs="Arial"/>
          <w:sz w:val="22"/>
          <w:szCs w:val="22"/>
        </w:rPr>
        <w:t xml:space="preserve">eir products. </w:t>
      </w:r>
      <w:r w:rsidR="004C1717">
        <w:rPr>
          <w:rFonts w:ascii="Arial" w:hAnsi="Arial" w:cs="Arial"/>
          <w:sz w:val="22"/>
          <w:szCs w:val="22"/>
        </w:rPr>
        <w:t>Two</w:t>
      </w:r>
      <w:r w:rsidR="004F23E4">
        <w:rPr>
          <w:rFonts w:ascii="Arial" w:hAnsi="Arial" w:cs="Arial"/>
          <w:sz w:val="22"/>
          <w:szCs w:val="22"/>
        </w:rPr>
        <w:t xml:space="preserve"> strategies </w:t>
      </w:r>
      <w:r w:rsidR="006A0595">
        <w:rPr>
          <w:rFonts w:ascii="Arial" w:hAnsi="Arial" w:cs="Arial"/>
          <w:sz w:val="22"/>
          <w:szCs w:val="22"/>
        </w:rPr>
        <w:t xml:space="preserve">that </w:t>
      </w:r>
      <w:r w:rsidR="004C1717">
        <w:rPr>
          <w:rFonts w:ascii="Arial" w:hAnsi="Arial" w:cs="Arial"/>
          <w:sz w:val="22"/>
          <w:szCs w:val="22"/>
        </w:rPr>
        <w:t xml:space="preserve">firms can employ </w:t>
      </w:r>
      <w:r w:rsidR="004F23E4">
        <w:rPr>
          <w:rFonts w:ascii="Arial" w:hAnsi="Arial" w:cs="Arial"/>
          <w:sz w:val="22"/>
          <w:szCs w:val="22"/>
        </w:rPr>
        <w:t xml:space="preserve">are </w:t>
      </w:r>
      <w:r w:rsidR="00AF6C00">
        <w:rPr>
          <w:rFonts w:ascii="Arial" w:hAnsi="Arial" w:cs="Arial"/>
          <w:sz w:val="22"/>
          <w:szCs w:val="22"/>
        </w:rPr>
        <w:t>so</w:t>
      </w:r>
      <w:r w:rsidR="006A0595">
        <w:rPr>
          <w:rFonts w:ascii="Arial" w:hAnsi="Arial" w:cs="Arial"/>
          <w:sz w:val="22"/>
          <w:szCs w:val="22"/>
        </w:rPr>
        <w:t>–</w:t>
      </w:r>
      <w:r w:rsidR="00AF6C00">
        <w:rPr>
          <w:rFonts w:ascii="Arial" w:hAnsi="Arial" w:cs="Arial"/>
          <w:sz w:val="22"/>
          <w:szCs w:val="22"/>
        </w:rPr>
        <w:t>called evergreening and pay</w:t>
      </w:r>
      <w:r w:rsidR="006A0595">
        <w:rPr>
          <w:rFonts w:ascii="Arial" w:hAnsi="Arial" w:cs="Arial"/>
          <w:sz w:val="22"/>
          <w:szCs w:val="22"/>
        </w:rPr>
        <w:t>–</w:t>
      </w:r>
      <w:r w:rsidR="00AF6C00">
        <w:rPr>
          <w:rFonts w:ascii="Arial" w:hAnsi="Arial" w:cs="Arial"/>
          <w:sz w:val="22"/>
          <w:szCs w:val="22"/>
        </w:rPr>
        <w:t>for</w:t>
      </w:r>
      <w:r w:rsidR="006A0595">
        <w:rPr>
          <w:rFonts w:ascii="Arial" w:hAnsi="Arial" w:cs="Arial"/>
          <w:sz w:val="22"/>
          <w:szCs w:val="22"/>
        </w:rPr>
        <w:t>–</w:t>
      </w:r>
      <w:r w:rsidR="00AF6C00">
        <w:rPr>
          <w:rFonts w:ascii="Arial" w:hAnsi="Arial" w:cs="Arial"/>
          <w:sz w:val="22"/>
          <w:szCs w:val="22"/>
        </w:rPr>
        <w:t>delay.</w:t>
      </w:r>
    </w:p>
    <w:p w:rsidR="00AF6C00" w:rsidRPr="002401F8" w:rsidRDefault="00AF6C00" w:rsidP="00A16C2D">
      <w:pPr>
        <w:pStyle w:val="BodyText"/>
        <w:rPr>
          <w:rFonts w:ascii="Arial" w:hAnsi="Arial" w:cs="Arial"/>
          <w:sz w:val="22"/>
          <w:szCs w:val="22"/>
        </w:rPr>
      </w:pPr>
      <w:r w:rsidRPr="002401F8">
        <w:rPr>
          <w:rFonts w:ascii="Arial" w:hAnsi="Arial" w:cs="Arial"/>
          <w:sz w:val="22"/>
          <w:szCs w:val="22"/>
        </w:rPr>
        <w:t xml:space="preserve">Evergreening </w:t>
      </w:r>
      <w:r w:rsidR="009C2217">
        <w:rPr>
          <w:rFonts w:ascii="Arial" w:hAnsi="Arial" w:cs="Arial"/>
          <w:sz w:val="22"/>
          <w:szCs w:val="22"/>
        </w:rPr>
        <w:t xml:space="preserve">is where a patent holder </w:t>
      </w:r>
      <w:r w:rsidRPr="002401F8">
        <w:rPr>
          <w:rFonts w:ascii="Arial" w:hAnsi="Arial" w:cs="Arial"/>
          <w:sz w:val="22"/>
          <w:szCs w:val="22"/>
        </w:rPr>
        <w:t>seek</w:t>
      </w:r>
      <w:r w:rsidR="009C2217">
        <w:rPr>
          <w:rFonts w:ascii="Arial" w:hAnsi="Arial" w:cs="Arial"/>
          <w:sz w:val="22"/>
          <w:szCs w:val="22"/>
        </w:rPr>
        <w:t>s</w:t>
      </w:r>
      <w:r w:rsidRPr="002401F8">
        <w:rPr>
          <w:rFonts w:ascii="Arial" w:hAnsi="Arial" w:cs="Arial"/>
          <w:sz w:val="22"/>
          <w:szCs w:val="22"/>
        </w:rPr>
        <w:t xml:space="preserve"> multiple patents that cover different aspects of the same product.</w:t>
      </w:r>
      <w:r w:rsidRPr="00AF6C00">
        <w:rPr>
          <w:rFonts w:ascii="Arial" w:hAnsi="Arial" w:cs="Arial"/>
          <w:sz w:val="22"/>
          <w:szCs w:val="22"/>
        </w:rPr>
        <w:t xml:space="preserve"> </w:t>
      </w:r>
      <w:r w:rsidRPr="00520CD1">
        <w:rPr>
          <w:rFonts w:ascii="Arial" w:hAnsi="Arial" w:cs="Arial"/>
          <w:sz w:val="22"/>
          <w:szCs w:val="22"/>
        </w:rPr>
        <w:t xml:space="preserve">Some of these patents relate to genuine improvements that increase consumer wellbeing </w:t>
      </w:r>
      <w:r w:rsidR="000D4928">
        <w:rPr>
          <w:rFonts w:ascii="Arial" w:hAnsi="Arial" w:cs="Arial"/>
          <w:sz w:val="22"/>
          <w:szCs w:val="22"/>
        </w:rPr>
        <w:t>(</w:t>
      </w:r>
      <w:r w:rsidRPr="00520CD1">
        <w:rPr>
          <w:rFonts w:ascii="Arial" w:hAnsi="Arial" w:cs="Arial"/>
          <w:sz w:val="22"/>
          <w:szCs w:val="22"/>
        </w:rPr>
        <w:t>such as significantly reducing side effects</w:t>
      </w:r>
      <w:r w:rsidR="000D4928">
        <w:rPr>
          <w:rFonts w:ascii="Arial" w:hAnsi="Arial" w:cs="Arial"/>
          <w:sz w:val="22"/>
          <w:szCs w:val="22"/>
        </w:rPr>
        <w:t>)</w:t>
      </w:r>
      <w:r w:rsidRPr="00520CD1">
        <w:rPr>
          <w:rFonts w:ascii="Arial" w:hAnsi="Arial" w:cs="Arial"/>
          <w:sz w:val="22"/>
          <w:szCs w:val="22"/>
        </w:rPr>
        <w:t xml:space="preserve">. </w:t>
      </w:r>
      <w:r w:rsidR="000D4928">
        <w:rPr>
          <w:rFonts w:ascii="Arial" w:hAnsi="Arial" w:cs="Arial"/>
          <w:sz w:val="22"/>
          <w:szCs w:val="22"/>
        </w:rPr>
        <w:t xml:space="preserve">But some </w:t>
      </w:r>
      <w:r w:rsidRPr="00520CD1">
        <w:rPr>
          <w:rFonts w:ascii="Arial" w:hAnsi="Arial" w:cs="Arial"/>
          <w:sz w:val="22"/>
          <w:szCs w:val="22"/>
        </w:rPr>
        <w:t xml:space="preserve">improvements may </w:t>
      </w:r>
      <w:r w:rsidR="000D4928">
        <w:rPr>
          <w:rFonts w:ascii="Arial" w:hAnsi="Arial" w:cs="Arial"/>
          <w:sz w:val="22"/>
          <w:szCs w:val="22"/>
        </w:rPr>
        <w:t xml:space="preserve">only </w:t>
      </w:r>
      <w:r w:rsidRPr="00520CD1">
        <w:rPr>
          <w:rFonts w:ascii="Arial" w:hAnsi="Arial" w:cs="Arial"/>
          <w:sz w:val="22"/>
          <w:szCs w:val="22"/>
        </w:rPr>
        <w:t>involve slightly different chemical combinations or production</w:t>
      </w:r>
      <w:r w:rsidR="000D4928">
        <w:rPr>
          <w:rFonts w:ascii="Arial" w:hAnsi="Arial" w:cs="Arial"/>
          <w:sz w:val="22"/>
          <w:szCs w:val="22"/>
        </w:rPr>
        <w:t xml:space="preserve"> processes</w:t>
      </w:r>
      <w:r w:rsidRPr="00520CD1">
        <w:rPr>
          <w:rFonts w:ascii="Arial" w:hAnsi="Arial" w:cs="Arial"/>
          <w:sz w:val="22"/>
          <w:szCs w:val="22"/>
        </w:rPr>
        <w:t xml:space="preserve">, </w:t>
      </w:r>
      <w:r w:rsidR="000D4928">
        <w:rPr>
          <w:rFonts w:ascii="Arial" w:hAnsi="Arial" w:cs="Arial"/>
          <w:sz w:val="22"/>
          <w:szCs w:val="22"/>
        </w:rPr>
        <w:t>with</w:t>
      </w:r>
      <w:r w:rsidRPr="00520CD1">
        <w:rPr>
          <w:rFonts w:ascii="Arial" w:hAnsi="Arial" w:cs="Arial"/>
          <w:sz w:val="22"/>
          <w:szCs w:val="22"/>
        </w:rPr>
        <w:t xml:space="preserve"> no appreciab</w:t>
      </w:r>
      <w:r>
        <w:rPr>
          <w:rFonts w:ascii="Arial" w:hAnsi="Arial" w:cs="Arial"/>
          <w:sz w:val="22"/>
          <w:szCs w:val="22"/>
        </w:rPr>
        <w:t xml:space="preserve">le difference to </w:t>
      </w:r>
      <w:r w:rsidR="000D4928">
        <w:rPr>
          <w:rFonts w:ascii="Arial" w:hAnsi="Arial" w:cs="Arial"/>
          <w:sz w:val="22"/>
          <w:szCs w:val="22"/>
        </w:rPr>
        <w:t xml:space="preserve">end </w:t>
      </w:r>
      <w:r>
        <w:rPr>
          <w:rFonts w:ascii="Arial" w:hAnsi="Arial" w:cs="Arial"/>
          <w:sz w:val="22"/>
          <w:szCs w:val="22"/>
        </w:rPr>
        <w:t>user</w:t>
      </w:r>
      <w:r w:rsidR="000D4928">
        <w:rPr>
          <w:rFonts w:ascii="Arial" w:hAnsi="Arial" w:cs="Arial"/>
          <w:sz w:val="22"/>
          <w:szCs w:val="22"/>
        </w:rPr>
        <w:t>s</w:t>
      </w:r>
      <w:r>
        <w:rPr>
          <w:rFonts w:ascii="Arial" w:hAnsi="Arial" w:cs="Arial"/>
          <w:sz w:val="22"/>
          <w:szCs w:val="22"/>
        </w:rPr>
        <w:t>.</w:t>
      </w:r>
    </w:p>
    <w:p w:rsidR="00BE3E58" w:rsidRDefault="00A33375" w:rsidP="00A16C2D">
      <w:pPr>
        <w:pStyle w:val="BodyText"/>
        <w:rPr>
          <w:rFonts w:ascii="Arial" w:hAnsi="Arial" w:cs="Arial"/>
          <w:sz w:val="22"/>
          <w:szCs w:val="22"/>
        </w:rPr>
      </w:pPr>
      <w:r>
        <w:rPr>
          <w:rFonts w:ascii="Arial" w:hAnsi="Arial" w:cs="Arial"/>
          <w:sz w:val="22"/>
          <w:szCs w:val="22"/>
        </w:rPr>
        <w:t>While i</w:t>
      </w:r>
      <w:r w:rsidR="00AF1DBF">
        <w:rPr>
          <w:rFonts w:ascii="Arial" w:hAnsi="Arial" w:cs="Arial"/>
          <w:sz w:val="22"/>
          <w:szCs w:val="22"/>
        </w:rPr>
        <w:t>t is</w:t>
      </w:r>
      <w:r w:rsidR="00AF6C00">
        <w:rPr>
          <w:rFonts w:ascii="Arial" w:hAnsi="Arial" w:cs="Arial"/>
          <w:sz w:val="22"/>
          <w:szCs w:val="22"/>
        </w:rPr>
        <w:t xml:space="preserve"> difficult to </w:t>
      </w:r>
      <w:r w:rsidR="00AF1DBF">
        <w:rPr>
          <w:rFonts w:ascii="Arial" w:hAnsi="Arial" w:cs="Arial"/>
          <w:sz w:val="22"/>
          <w:szCs w:val="22"/>
        </w:rPr>
        <w:t xml:space="preserve">differentiate </w:t>
      </w:r>
      <w:r w:rsidR="00AF6C00">
        <w:rPr>
          <w:rFonts w:ascii="Arial" w:hAnsi="Arial" w:cs="Arial"/>
          <w:sz w:val="22"/>
          <w:szCs w:val="22"/>
        </w:rPr>
        <w:t>strategic</w:t>
      </w:r>
      <w:r w:rsidR="00AF1DBF">
        <w:rPr>
          <w:rFonts w:ascii="Arial" w:hAnsi="Arial" w:cs="Arial"/>
          <w:sz w:val="22"/>
          <w:szCs w:val="22"/>
        </w:rPr>
        <w:t xml:space="preserve"> behaviour from</w:t>
      </w:r>
      <w:r w:rsidR="00AF6C00">
        <w:rPr>
          <w:rFonts w:ascii="Arial" w:hAnsi="Arial" w:cs="Arial"/>
          <w:sz w:val="22"/>
          <w:szCs w:val="22"/>
        </w:rPr>
        <w:t xml:space="preserve"> genuine</w:t>
      </w:r>
      <w:r w:rsidR="00AF1DBF">
        <w:rPr>
          <w:rFonts w:ascii="Arial" w:hAnsi="Arial" w:cs="Arial"/>
          <w:sz w:val="22"/>
          <w:szCs w:val="22"/>
        </w:rPr>
        <w:t xml:space="preserve"> innovation</w:t>
      </w:r>
      <w:r>
        <w:rPr>
          <w:rFonts w:ascii="Arial" w:hAnsi="Arial" w:cs="Arial"/>
          <w:sz w:val="22"/>
          <w:szCs w:val="22"/>
        </w:rPr>
        <w:t>, follow</w:t>
      </w:r>
      <w:r w:rsidR="00DC5C40">
        <w:rPr>
          <w:rFonts w:ascii="Arial" w:hAnsi="Arial" w:cs="Arial"/>
          <w:sz w:val="22"/>
          <w:szCs w:val="22"/>
        </w:rPr>
        <w:t>–</w:t>
      </w:r>
      <w:r>
        <w:rPr>
          <w:rFonts w:ascii="Arial" w:hAnsi="Arial" w:cs="Arial"/>
          <w:sz w:val="22"/>
          <w:szCs w:val="22"/>
        </w:rPr>
        <w:t>on patenting is common. A</w:t>
      </w:r>
      <w:r w:rsidR="000D4928">
        <w:rPr>
          <w:rFonts w:ascii="Arial" w:hAnsi="Arial" w:cs="Arial"/>
          <w:sz w:val="22"/>
          <w:szCs w:val="22"/>
        </w:rPr>
        <w:t>n analysis of the 15 </w:t>
      </w:r>
      <w:r w:rsidR="00BE3E58">
        <w:rPr>
          <w:rFonts w:ascii="Arial" w:hAnsi="Arial" w:cs="Arial"/>
          <w:sz w:val="22"/>
          <w:szCs w:val="22"/>
        </w:rPr>
        <w:t>costliest drugs under the P</w:t>
      </w:r>
      <w:r w:rsidR="000D4928">
        <w:rPr>
          <w:rFonts w:ascii="Arial" w:hAnsi="Arial" w:cs="Arial"/>
          <w:sz w:val="22"/>
          <w:szCs w:val="22"/>
        </w:rPr>
        <w:t>harmaceutical Benefits Scheme</w:t>
      </w:r>
      <w:r w:rsidR="00BE3E58">
        <w:rPr>
          <w:rFonts w:ascii="Arial" w:hAnsi="Arial" w:cs="Arial"/>
          <w:sz w:val="22"/>
          <w:szCs w:val="22"/>
        </w:rPr>
        <w:t xml:space="preserve"> </w:t>
      </w:r>
      <w:r w:rsidR="00BE3E58" w:rsidRPr="00700C0C">
        <w:rPr>
          <w:rFonts w:ascii="Arial" w:hAnsi="Arial" w:cs="Arial"/>
          <w:sz w:val="22"/>
          <w:szCs w:val="22"/>
        </w:rPr>
        <w:t>found that the number of patents associated with each drug varied between 22 and 121 per drug</w:t>
      </w:r>
      <w:r w:rsidR="00AF6C00">
        <w:rPr>
          <w:rFonts w:ascii="Arial" w:hAnsi="Arial" w:cs="Arial"/>
          <w:sz w:val="22"/>
          <w:szCs w:val="22"/>
        </w:rPr>
        <w:t>.</w:t>
      </w:r>
    </w:p>
    <w:p w:rsidR="00BE3E58" w:rsidRPr="00700C0C" w:rsidRDefault="00B05299" w:rsidP="00A16C2D">
      <w:pPr>
        <w:pStyle w:val="BodyText"/>
        <w:rPr>
          <w:rFonts w:ascii="Arial" w:hAnsi="Arial" w:cs="Arial"/>
          <w:sz w:val="22"/>
          <w:szCs w:val="22"/>
        </w:rPr>
      </w:pPr>
      <w:r>
        <w:rPr>
          <w:rFonts w:ascii="Arial" w:hAnsi="Arial" w:cs="Arial"/>
          <w:sz w:val="22"/>
          <w:szCs w:val="22"/>
        </w:rPr>
        <w:t xml:space="preserve">To the extent that evergreening occurs, the Commission’s broader recommendation to </w:t>
      </w:r>
      <w:r w:rsidR="00BE3E58" w:rsidRPr="00700C0C">
        <w:rPr>
          <w:rFonts w:ascii="Arial" w:hAnsi="Arial" w:cs="Arial"/>
          <w:sz w:val="22"/>
          <w:szCs w:val="22"/>
        </w:rPr>
        <w:t>raise the inventive step</w:t>
      </w:r>
      <w:r>
        <w:rPr>
          <w:rFonts w:ascii="Arial" w:hAnsi="Arial" w:cs="Arial"/>
          <w:sz w:val="22"/>
          <w:szCs w:val="22"/>
        </w:rPr>
        <w:t xml:space="preserve"> for patents, should </w:t>
      </w:r>
      <w:r w:rsidR="009C2217">
        <w:rPr>
          <w:rFonts w:ascii="Arial" w:hAnsi="Arial" w:cs="Arial"/>
          <w:sz w:val="22"/>
          <w:szCs w:val="22"/>
        </w:rPr>
        <w:t xml:space="preserve">directly </w:t>
      </w:r>
      <w:r>
        <w:rPr>
          <w:rFonts w:ascii="Arial" w:hAnsi="Arial" w:cs="Arial"/>
          <w:sz w:val="22"/>
          <w:szCs w:val="22"/>
        </w:rPr>
        <w:t xml:space="preserve">address </w:t>
      </w:r>
      <w:r w:rsidR="009C2217">
        <w:rPr>
          <w:rFonts w:ascii="Arial" w:hAnsi="Arial" w:cs="Arial"/>
          <w:sz w:val="22"/>
          <w:szCs w:val="22"/>
        </w:rPr>
        <w:t>the</w:t>
      </w:r>
      <w:r>
        <w:rPr>
          <w:rFonts w:ascii="Arial" w:hAnsi="Arial" w:cs="Arial"/>
          <w:sz w:val="22"/>
          <w:szCs w:val="22"/>
        </w:rPr>
        <w:t xml:space="preserve"> problem</w:t>
      </w:r>
      <w:r w:rsidR="009C2217">
        <w:rPr>
          <w:rFonts w:ascii="Arial" w:hAnsi="Arial" w:cs="Arial"/>
          <w:sz w:val="22"/>
          <w:szCs w:val="22"/>
        </w:rPr>
        <w:t>atic behaviour</w:t>
      </w:r>
      <w:r>
        <w:rPr>
          <w:rFonts w:ascii="Arial" w:hAnsi="Arial" w:cs="Arial"/>
          <w:sz w:val="22"/>
          <w:szCs w:val="22"/>
        </w:rPr>
        <w:t>s.</w:t>
      </w:r>
    </w:p>
    <w:p w:rsidR="004F23E4" w:rsidRDefault="00AF6C00" w:rsidP="00F908FC">
      <w:pPr>
        <w:pStyle w:val="BodyText"/>
        <w:rPr>
          <w:rFonts w:ascii="Arial" w:hAnsi="Arial" w:cs="Arial"/>
          <w:sz w:val="22"/>
          <w:szCs w:val="22"/>
        </w:rPr>
      </w:pPr>
      <w:r>
        <w:rPr>
          <w:rFonts w:ascii="Arial" w:hAnsi="Arial" w:cs="Arial"/>
          <w:sz w:val="22"/>
          <w:szCs w:val="22"/>
        </w:rPr>
        <w:t>P</w:t>
      </w:r>
      <w:r w:rsidR="00F908FC" w:rsidRPr="00700C0C">
        <w:rPr>
          <w:rFonts w:ascii="Arial" w:hAnsi="Arial" w:cs="Arial"/>
          <w:sz w:val="22"/>
          <w:szCs w:val="22"/>
        </w:rPr>
        <w:t>ay</w:t>
      </w:r>
      <w:r w:rsidR="00DC5C40">
        <w:rPr>
          <w:rFonts w:ascii="Arial" w:hAnsi="Arial" w:cs="Arial"/>
          <w:sz w:val="22"/>
          <w:szCs w:val="22"/>
        </w:rPr>
        <w:t>–</w:t>
      </w:r>
      <w:r w:rsidR="00F908FC" w:rsidRPr="00700C0C">
        <w:rPr>
          <w:rFonts w:ascii="Arial" w:hAnsi="Arial" w:cs="Arial"/>
          <w:sz w:val="22"/>
          <w:szCs w:val="22"/>
        </w:rPr>
        <w:t>for</w:t>
      </w:r>
      <w:r w:rsidR="00DC5C40">
        <w:rPr>
          <w:rFonts w:ascii="Arial" w:hAnsi="Arial" w:cs="Arial"/>
          <w:sz w:val="22"/>
          <w:szCs w:val="22"/>
        </w:rPr>
        <w:t>–</w:t>
      </w:r>
      <w:r w:rsidR="00F908FC" w:rsidRPr="00700C0C">
        <w:rPr>
          <w:rFonts w:ascii="Arial" w:hAnsi="Arial" w:cs="Arial"/>
          <w:sz w:val="22"/>
          <w:szCs w:val="22"/>
        </w:rPr>
        <w:t xml:space="preserve">delay </w:t>
      </w:r>
      <w:r w:rsidR="009C2217">
        <w:rPr>
          <w:rFonts w:ascii="Arial" w:hAnsi="Arial" w:cs="Arial"/>
          <w:sz w:val="22"/>
          <w:szCs w:val="22"/>
        </w:rPr>
        <w:t xml:space="preserve">is where </w:t>
      </w:r>
      <w:r w:rsidR="00F908FC" w:rsidRPr="00700C0C">
        <w:rPr>
          <w:rFonts w:ascii="Arial" w:hAnsi="Arial" w:cs="Arial"/>
          <w:sz w:val="22"/>
          <w:szCs w:val="22"/>
        </w:rPr>
        <w:t>patent holders pay</w:t>
      </w:r>
      <w:r w:rsidR="004C1717">
        <w:rPr>
          <w:rFonts w:ascii="Arial" w:hAnsi="Arial" w:cs="Arial"/>
          <w:sz w:val="22"/>
          <w:szCs w:val="22"/>
        </w:rPr>
        <w:t xml:space="preserve"> </w:t>
      </w:r>
      <w:r w:rsidR="00F908FC" w:rsidRPr="00700C0C">
        <w:rPr>
          <w:rFonts w:ascii="Arial" w:hAnsi="Arial" w:cs="Arial"/>
          <w:sz w:val="22"/>
          <w:szCs w:val="22"/>
        </w:rPr>
        <w:t>generic manufacturers to keep the</w:t>
      </w:r>
      <w:r w:rsidR="004C1717">
        <w:rPr>
          <w:rFonts w:ascii="Arial" w:hAnsi="Arial" w:cs="Arial"/>
          <w:sz w:val="22"/>
          <w:szCs w:val="22"/>
        </w:rPr>
        <w:t>ir</w:t>
      </w:r>
      <w:r w:rsidR="00F908FC" w:rsidRPr="00700C0C">
        <w:rPr>
          <w:rFonts w:ascii="Arial" w:hAnsi="Arial" w:cs="Arial"/>
          <w:sz w:val="22"/>
          <w:szCs w:val="22"/>
        </w:rPr>
        <w:t xml:space="preserve"> product</w:t>
      </w:r>
      <w:r w:rsidR="004C1717">
        <w:rPr>
          <w:rFonts w:ascii="Arial" w:hAnsi="Arial" w:cs="Arial"/>
          <w:sz w:val="22"/>
          <w:szCs w:val="22"/>
        </w:rPr>
        <w:t>s</w:t>
      </w:r>
      <w:r w:rsidR="00F908FC" w:rsidRPr="00700C0C">
        <w:rPr>
          <w:rFonts w:ascii="Arial" w:hAnsi="Arial" w:cs="Arial"/>
          <w:sz w:val="22"/>
          <w:szCs w:val="22"/>
        </w:rPr>
        <w:t xml:space="preserve"> off the market</w:t>
      </w:r>
      <w:r w:rsidR="004C1717">
        <w:rPr>
          <w:rFonts w:ascii="Arial" w:hAnsi="Arial" w:cs="Arial"/>
          <w:sz w:val="22"/>
          <w:szCs w:val="22"/>
        </w:rPr>
        <w:t xml:space="preserve"> for longer</w:t>
      </w:r>
      <w:r w:rsidR="002401F8">
        <w:rPr>
          <w:rFonts w:ascii="Arial" w:hAnsi="Arial" w:cs="Arial"/>
          <w:sz w:val="22"/>
          <w:szCs w:val="22"/>
        </w:rPr>
        <w:t>.</w:t>
      </w:r>
      <w:r w:rsidR="00F908FC" w:rsidRPr="00700C0C">
        <w:rPr>
          <w:rFonts w:ascii="Arial" w:hAnsi="Arial" w:cs="Arial"/>
          <w:sz w:val="22"/>
          <w:szCs w:val="22"/>
        </w:rPr>
        <w:t xml:space="preserve"> </w:t>
      </w:r>
      <w:r w:rsidR="004C1717">
        <w:rPr>
          <w:rFonts w:ascii="Arial" w:hAnsi="Arial" w:cs="Arial"/>
          <w:sz w:val="22"/>
          <w:szCs w:val="22"/>
        </w:rPr>
        <w:t>By delaying price reductions for pharmaceuticals</w:t>
      </w:r>
      <w:r w:rsidR="007B3945">
        <w:rPr>
          <w:rFonts w:ascii="Arial" w:hAnsi="Arial" w:cs="Arial"/>
          <w:sz w:val="22"/>
          <w:szCs w:val="22"/>
        </w:rPr>
        <w:t xml:space="preserve"> (that come with the availability of generics)</w:t>
      </w:r>
      <w:r w:rsidR="004C1717">
        <w:rPr>
          <w:rFonts w:ascii="Arial" w:hAnsi="Arial" w:cs="Arial"/>
          <w:sz w:val="22"/>
          <w:szCs w:val="22"/>
        </w:rPr>
        <w:t>, these practices harm taxpayers and consumers.</w:t>
      </w:r>
    </w:p>
    <w:p w:rsidR="00520CD1" w:rsidRDefault="00F908FC" w:rsidP="003E28F7">
      <w:pPr>
        <w:pStyle w:val="BodyText"/>
        <w:rPr>
          <w:rFonts w:ascii="Arial" w:hAnsi="Arial" w:cs="Arial"/>
          <w:sz w:val="22"/>
          <w:szCs w:val="22"/>
        </w:rPr>
      </w:pPr>
      <w:r w:rsidRPr="00700C0C">
        <w:rPr>
          <w:rFonts w:ascii="Arial" w:hAnsi="Arial" w:cs="Arial"/>
          <w:sz w:val="22"/>
          <w:szCs w:val="22"/>
        </w:rPr>
        <w:t>Pay</w:t>
      </w:r>
      <w:r w:rsidR="00DC5C40">
        <w:rPr>
          <w:rFonts w:ascii="Arial" w:hAnsi="Arial" w:cs="Arial"/>
          <w:sz w:val="22"/>
          <w:szCs w:val="22"/>
        </w:rPr>
        <w:t>–</w:t>
      </w:r>
      <w:r w:rsidRPr="00700C0C">
        <w:rPr>
          <w:rFonts w:ascii="Arial" w:hAnsi="Arial" w:cs="Arial"/>
          <w:sz w:val="22"/>
          <w:szCs w:val="22"/>
        </w:rPr>
        <w:t>for</w:t>
      </w:r>
      <w:r w:rsidR="00DC5C40">
        <w:rPr>
          <w:rFonts w:ascii="Arial" w:hAnsi="Arial" w:cs="Arial"/>
          <w:sz w:val="22"/>
          <w:szCs w:val="22"/>
        </w:rPr>
        <w:t>–</w:t>
      </w:r>
      <w:r w:rsidRPr="00700C0C">
        <w:rPr>
          <w:rFonts w:ascii="Arial" w:hAnsi="Arial" w:cs="Arial"/>
          <w:sz w:val="22"/>
          <w:szCs w:val="22"/>
        </w:rPr>
        <w:t>delay settlements are well known within the U</w:t>
      </w:r>
      <w:r w:rsidR="00DC5C40">
        <w:rPr>
          <w:rFonts w:ascii="Arial" w:hAnsi="Arial" w:cs="Arial"/>
          <w:sz w:val="22"/>
          <w:szCs w:val="22"/>
        </w:rPr>
        <w:t xml:space="preserve">nited </w:t>
      </w:r>
      <w:r w:rsidRPr="00700C0C">
        <w:rPr>
          <w:rFonts w:ascii="Arial" w:hAnsi="Arial" w:cs="Arial"/>
          <w:sz w:val="22"/>
          <w:szCs w:val="22"/>
        </w:rPr>
        <w:t>S</w:t>
      </w:r>
      <w:r w:rsidR="00DC5C40">
        <w:rPr>
          <w:rFonts w:ascii="Arial" w:hAnsi="Arial" w:cs="Arial"/>
          <w:sz w:val="22"/>
          <w:szCs w:val="22"/>
        </w:rPr>
        <w:t>tates</w:t>
      </w:r>
      <w:r w:rsidRPr="00700C0C">
        <w:rPr>
          <w:rFonts w:ascii="Arial" w:hAnsi="Arial" w:cs="Arial"/>
          <w:sz w:val="22"/>
          <w:szCs w:val="22"/>
        </w:rPr>
        <w:t xml:space="preserve"> and Europe</w:t>
      </w:r>
      <w:r w:rsidR="00DC5C40">
        <w:rPr>
          <w:rFonts w:ascii="Arial" w:hAnsi="Arial" w:cs="Arial"/>
          <w:sz w:val="22"/>
          <w:szCs w:val="22"/>
        </w:rPr>
        <w:t>an Union</w:t>
      </w:r>
      <w:r w:rsidRPr="00700C0C">
        <w:rPr>
          <w:rFonts w:ascii="Arial" w:hAnsi="Arial" w:cs="Arial"/>
          <w:sz w:val="22"/>
          <w:szCs w:val="22"/>
        </w:rPr>
        <w:t xml:space="preserve">. To date, there is scant evidence of such agreements in Australia </w:t>
      </w:r>
      <w:r w:rsidR="00DC5C40">
        <w:rPr>
          <w:rFonts w:ascii="Arial" w:hAnsi="Arial" w:cs="Arial"/>
          <w:sz w:val="22"/>
          <w:szCs w:val="22"/>
        </w:rPr>
        <w:t>—</w:t>
      </w:r>
      <w:r w:rsidR="00DC5C40" w:rsidRPr="00700C0C">
        <w:rPr>
          <w:rFonts w:ascii="Arial" w:hAnsi="Arial" w:cs="Arial"/>
          <w:sz w:val="22"/>
          <w:szCs w:val="22"/>
        </w:rPr>
        <w:t xml:space="preserve"> </w:t>
      </w:r>
      <w:r w:rsidRPr="00700C0C">
        <w:rPr>
          <w:rFonts w:ascii="Arial" w:hAnsi="Arial" w:cs="Arial"/>
          <w:sz w:val="22"/>
          <w:szCs w:val="22"/>
        </w:rPr>
        <w:t xml:space="preserve">although this may in part be due to the difficulty of detecting suspect transactions, and assigning anticompetitive intent to them. </w:t>
      </w:r>
      <w:r w:rsidR="002401F8">
        <w:rPr>
          <w:rFonts w:ascii="Arial" w:hAnsi="Arial" w:cs="Arial"/>
          <w:sz w:val="22"/>
          <w:szCs w:val="22"/>
        </w:rPr>
        <w:t xml:space="preserve">Australia should </w:t>
      </w:r>
      <w:r w:rsidR="009C2217">
        <w:rPr>
          <w:rFonts w:ascii="Arial" w:hAnsi="Arial" w:cs="Arial"/>
          <w:sz w:val="22"/>
          <w:szCs w:val="22"/>
        </w:rPr>
        <w:t xml:space="preserve">follow overseas initiatives and </w:t>
      </w:r>
      <w:r w:rsidR="002401F8">
        <w:rPr>
          <w:rFonts w:ascii="Arial" w:hAnsi="Arial" w:cs="Arial"/>
          <w:sz w:val="22"/>
          <w:szCs w:val="22"/>
        </w:rPr>
        <w:t>introduce</w:t>
      </w:r>
      <w:r w:rsidRPr="00700C0C">
        <w:rPr>
          <w:rFonts w:ascii="Arial" w:hAnsi="Arial" w:cs="Arial"/>
          <w:sz w:val="22"/>
          <w:szCs w:val="22"/>
        </w:rPr>
        <w:t xml:space="preserve"> monitoring </w:t>
      </w:r>
      <w:r w:rsidR="004C1717">
        <w:rPr>
          <w:rFonts w:ascii="Arial" w:hAnsi="Arial" w:cs="Arial"/>
          <w:sz w:val="22"/>
          <w:szCs w:val="22"/>
        </w:rPr>
        <w:t>arrangements to detect</w:t>
      </w:r>
      <w:r w:rsidRPr="00700C0C">
        <w:rPr>
          <w:rFonts w:ascii="Arial" w:hAnsi="Arial" w:cs="Arial"/>
          <w:sz w:val="22"/>
          <w:szCs w:val="22"/>
        </w:rPr>
        <w:t xml:space="preserve"> pay</w:t>
      </w:r>
      <w:r w:rsidR="00DC5C40">
        <w:rPr>
          <w:rFonts w:ascii="Arial" w:hAnsi="Arial" w:cs="Arial"/>
          <w:sz w:val="22"/>
          <w:szCs w:val="22"/>
        </w:rPr>
        <w:t>–</w:t>
      </w:r>
      <w:r w:rsidRPr="00700C0C">
        <w:rPr>
          <w:rFonts w:ascii="Arial" w:hAnsi="Arial" w:cs="Arial"/>
          <w:sz w:val="22"/>
          <w:szCs w:val="22"/>
        </w:rPr>
        <w:t>for</w:t>
      </w:r>
      <w:r w:rsidR="00DC5C40">
        <w:rPr>
          <w:rFonts w:ascii="Arial" w:hAnsi="Arial" w:cs="Arial"/>
          <w:sz w:val="22"/>
          <w:szCs w:val="22"/>
        </w:rPr>
        <w:t>–</w:t>
      </w:r>
      <w:r w:rsidRPr="00700C0C">
        <w:rPr>
          <w:rFonts w:ascii="Arial" w:hAnsi="Arial" w:cs="Arial"/>
          <w:sz w:val="22"/>
          <w:szCs w:val="22"/>
        </w:rPr>
        <w:t xml:space="preserve">delay agreements. </w:t>
      </w:r>
    </w:p>
    <w:p w:rsidR="0000373A" w:rsidRDefault="0000373A" w:rsidP="00152E1B">
      <w:pPr>
        <w:pStyle w:val="BodyText"/>
        <w:jc w:val="center"/>
        <w:rPr>
          <w:rFonts w:ascii="Arial" w:hAnsi="Arial" w:cs="Arial"/>
        </w:rPr>
      </w:pPr>
      <w:r>
        <w:rPr>
          <w:rFonts w:ascii="Arial" w:hAnsi="Arial" w:cs="Arial"/>
          <w:sz w:val="22"/>
          <w:szCs w:val="22"/>
        </w:rPr>
        <w:t>[MORE]</w:t>
      </w:r>
    </w:p>
    <w:p w:rsidR="006B7B1A" w:rsidRDefault="006B7B1A" w:rsidP="006B7B1A">
      <w:pPr>
        <w:pStyle w:val="BoxSpaceAbove"/>
      </w:pPr>
      <w:r>
        <w:rPr>
          <w:b/>
          <w:vanish/>
          <w:color w:val="FF00FF"/>
          <w:sz w:val="14"/>
        </w:rPr>
        <w:lastRenderedPageBreak/>
        <w:t>Do not delete this RETURN as it gives space between the table and what precedes it.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6B7B1A" w:rsidTr="00452D9E">
        <w:tc>
          <w:tcPr>
            <w:tcW w:w="8771" w:type="dxa"/>
            <w:tcBorders>
              <w:top w:val="single" w:sz="6" w:space="0" w:color="78A22F"/>
              <w:left w:val="nil"/>
              <w:bottom w:val="nil"/>
              <w:right w:val="nil"/>
            </w:tcBorders>
            <w:shd w:val="clear" w:color="auto" w:fill="auto"/>
          </w:tcPr>
          <w:p w:rsidR="006B7B1A" w:rsidRPr="004F23E4" w:rsidRDefault="004F23E4" w:rsidP="004F23E4">
            <w:pPr>
              <w:pStyle w:val="TableTitle"/>
              <w:rPr>
                <w:sz w:val="22"/>
                <w:szCs w:val="22"/>
              </w:rPr>
            </w:pPr>
            <w:r w:rsidRPr="004F23E4">
              <w:rPr>
                <w:sz w:val="22"/>
                <w:szCs w:val="22"/>
              </w:rPr>
              <w:t>Want to know m</w:t>
            </w:r>
            <w:r w:rsidR="006B7B1A" w:rsidRPr="004F23E4">
              <w:rPr>
                <w:sz w:val="22"/>
                <w:szCs w:val="22"/>
              </w:rPr>
              <w:t>ore about what the Commission said on pharmaceuticals</w:t>
            </w:r>
            <w:r w:rsidRPr="004F23E4">
              <w:rPr>
                <w:sz w:val="22"/>
                <w:szCs w:val="22"/>
              </w:rPr>
              <w:t>?</w:t>
            </w:r>
          </w:p>
        </w:tc>
      </w:tr>
      <w:tr w:rsidR="006B7B1A" w:rsidTr="00452D9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522"/>
              <w:gridCol w:w="4965"/>
            </w:tblGrid>
            <w:tr w:rsidR="006B7B1A" w:rsidTr="00452D9E">
              <w:tc>
                <w:tcPr>
                  <w:tcW w:w="2075" w:type="pct"/>
                  <w:tcBorders>
                    <w:top w:val="single" w:sz="6" w:space="0" w:color="BFBFBF"/>
                    <w:bottom w:val="single" w:sz="6" w:space="0" w:color="BFBFBF"/>
                  </w:tcBorders>
                  <w:shd w:val="clear" w:color="auto" w:fill="auto"/>
                  <w:tcMar>
                    <w:top w:w="28" w:type="dxa"/>
                  </w:tcMar>
                </w:tcPr>
                <w:p w:rsidR="006B7B1A" w:rsidRDefault="006B7B1A" w:rsidP="00452D9E">
                  <w:pPr>
                    <w:pStyle w:val="TableColumnHeading"/>
                    <w:jc w:val="left"/>
                  </w:pPr>
                  <w:r>
                    <w:t>Issue</w:t>
                  </w:r>
                </w:p>
              </w:tc>
              <w:tc>
                <w:tcPr>
                  <w:tcW w:w="2925" w:type="pct"/>
                  <w:tcBorders>
                    <w:top w:val="single" w:sz="6" w:space="0" w:color="BFBFBF"/>
                    <w:bottom w:val="single" w:sz="6" w:space="0" w:color="BFBFBF"/>
                  </w:tcBorders>
                  <w:shd w:val="clear" w:color="auto" w:fill="auto"/>
                  <w:tcMar>
                    <w:top w:w="28" w:type="dxa"/>
                  </w:tcMar>
                </w:tcPr>
                <w:p w:rsidR="006B7B1A" w:rsidRDefault="006B7B1A" w:rsidP="00452D9E">
                  <w:pPr>
                    <w:pStyle w:val="TableColumnHeading"/>
                    <w:ind w:right="28"/>
                    <w:jc w:val="left"/>
                  </w:pPr>
                  <w:r>
                    <w:t>For more details and the Commission’s recommendation</w:t>
                  </w:r>
                </w:p>
              </w:tc>
            </w:tr>
            <w:tr w:rsidR="006B7B1A" w:rsidTr="00DB56D7">
              <w:tc>
                <w:tcPr>
                  <w:tcW w:w="2075" w:type="pct"/>
                  <w:tcBorders>
                    <w:top w:val="single" w:sz="6" w:space="0" w:color="BFBFBF"/>
                  </w:tcBorders>
                  <w:vAlign w:val="bottom"/>
                </w:tcPr>
                <w:p w:rsidR="006B7B1A" w:rsidRDefault="006B7B1A" w:rsidP="00DB56D7">
                  <w:pPr>
                    <w:pStyle w:val="TableUnitsRow"/>
                    <w:jc w:val="left"/>
                  </w:pPr>
                  <w:r>
                    <w:t>Extensions of term</w:t>
                  </w:r>
                </w:p>
              </w:tc>
              <w:tc>
                <w:tcPr>
                  <w:tcW w:w="2925" w:type="pct"/>
                  <w:tcBorders>
                    <w:top w:val="single" w:sz="6" w:space="0" w:color="BFBFBF"/>
                  </w:tcBorders>
                </w:tcPr>
                <w:p w:rsidR="006B7B1A" w:rsidRDefault="00E0163A" w:rsidP="00E0163A">
                  <w:pPr>
                    <w:pStyle w:val="TableUnitsRow"/>
                    <w:ind w:right="28"/>
                    <w:jc w:val="left"/>
                  </w:pPr>
                  <w:r>
                    <w:t>Pages 261</w:t>
                  </w:r>
                  <w:r w:rsidR="006B7B1A">
                    <w:noBreakHyphen/>
                  </w:r>
                  <w:r>
                    <w:t>271</w:t>
                  </w:r>
                  <w:r w:rsidR="006B7B1A">
                    <w:t xml:space="preserve">, </w:t>
                  </w:r>
                  <w:r w:rsidR="00DB56D7">
                    <w:t xml:space="preserve">draft </w:t>
                  </w:r>
                  <w:r w:rsidR="006B7B1A">
                    <w:t>recommendation 9.1</w:t>
                  </w:r>
                </w:p>
              </w:tc>
            </w:tr>
            <w:tr w:rsidR="006B7B1A" w:rsidTr="00DB56D7">
              <w:tc>
                <w:tcPr>
                  <w:tcW w:w="2075" w:type="pct"/>
                  <w:vAlign w:val="bottom"/>
                </w:tcPr>
                <w:p w:rsidR="006B7B1A" w:rsidRDefault="006B7B1A" w:rsidP="00DB56D7">
                  <w:pPr>
                    <w:pStyle w:val="TableBodyText"/>
                    <w:jc w:val="left"/>
                  </w:pPr>
                  <w:r>
                    <w:t>Manufacture for export</w:t>
                  </w:r>
                </w:p>
              </w:tc>
              <w:tc>
                <w:tcPr>
                  <w:tcW w:w="2925" w:type="pct"/>
                </w:tcPr>
                <w:p w:rsidR="006B7B1A" w:rsidRDefault="00E0163A" w:rsidP="00E0163A">
                  <w:pPr>
                    <w:pStyle w:val="TableBodyText"/>
                    <w:ind w:right="28"/>
                    <w:jc w:val="left"/>
                  </w:pPr>
                  <w:r>
                    <w:t>Pages 271</w:t>
                  </w:r>
                  <w:r w:rsidR="006B7B1A">
                    <w:noBreakHyphen/>
                  </w:r>
                  <w:r>
                    <w:t>273</w:t>
                  </w:r>
                  <w:r w:rsidR="006B7B1A">
                    <w:t xml:space="preserve">, </w:t>
                  </w:r>
                  <w:r w:rsidR="00DB56D7">
                    <w:t xml:space="preserve">draft </w:t>
                  </w:r>
                  <w:r w:rsidR="00A72F56">
                    <w:t>recommendation 9.2</w:t>
                  </w:r>
                </w:p>
              </w:tc>
            </w:tr>
            <w:tr w:rsidR="006B7B1A" w:rsidTr="00DB56D7">
              <w:tc>
                <w:tcPr>
                  <w:tcW w:w="2075" w:type="pct"/>
                  <w:vAlign w:val="bottom"/>
                </w:tcPr>
                <w:p w:rsidR="006B7B1A" w:rsidRDefault="00A72F56" w:rsidP="00DB56D7">
                  <w:pPr>
                    <w:pStyle w:val="TableBodyText"/>
                    <w:jc w:val="left"/>
                  </w:pPr>
                  <w:r>
                    <w:t>Protection for test data</w:t>
                  </w:r>
                </w:p>
              </w:tc>
              <w:tc>
                <w:tcPr>
                  <w:tcW w:w="2925" w:type="pct"/>
                </w:tcPr>
                <w:p w:rsidR="006B7B1A" w:rsidRDefault="00E0163A" w:rsidP="00E0163A">
                  <w:pPr>
                    <w:pStyle w:val="TableBodyText"/>
                    <w:ind w:right="28"/>
                    <w:jc w:val="left"/>
                  </w:pPr>
                  <w:r>
                    <w:t>Pages 274</w:t>
                  </w:r>
                  <w:r w:rsidR="006B7B1A">
                    <w:noBreakHyphen/>
                  </w:r>
                  <w:r>
                    <w:t>280</w:t>
                  </w:r>
                  <w:r w:rsidR="006B7B1A">
                    <w:t xml:space="preserve">, </w:t>
                  </w:r>
                  <w:r w:rsidR="00DB56D7">
                    <w:t xml:space="preserve">draft </w:t>
                  </w:r>
                  <w:r w:rsidR="006B7B1A">
                    <w:t xml:space="preserve">recommendation </w:t>
                  </w:r>
                  <w:r w:rsidR="00A72F56">
                    <w:t>9.3</w:t>
                  </w:r>
                </w:p>
              </w:tc>
            </w:tr>
            <w:tr w:rsidR="006B7B1A" w:rsidTr="00DB56D7">
              <w:tc>
                <w:tcPr>
                  <w:tcW w:w="2075" w:type="pct"/>
                  <w:vAlign w:val="bottom"/>
                </w:tcPr>
                <w:p w:rsidR="006B7B1A" w:rsidRDefault="00B11623" w:rsidP="00DA3DFA">
                  <w:pPr>
                    <w:pStyle w:val="TableBodyText"/>
                    <w:jc w:val="left"/>
                  </w:pPr>
                  <w:r>
                    <w:t xml:space="preserve">Strategic behaviour: </w:t>
                  </w:r>
                  <w:r w:rsidR="00DA3DFA">
                    <w:t>e</w:t>
                  </w:r>
                  <w:r>
                    <w:t>vergreening</w:t>
                  </w:r>
                </w:p>
              </w:tc>
              <w:tc>
                <w:tcPr>
                  <w:tcW w:w="2925" w:type="pct"/>
                </w:tcPr>
                <w:p w:rsidR="006B7B1A" w:rsidRDefault="00E0163A" w:rsidP="00E0163A">
                  <w:pPr>
                    <w:pStyle w:val="TableBodyText"/>
                    <w:ind w:right="28"/>
                    <w:jc w:val="left"/>
                  </w:pPr>
                  <w:r>
                    <w:t>Pages 281</w:t>
                  </w:r>
                  <w:r w:rsidR="006B7B1A">
                    <w:noBreakHyphen/>
                  </w:r>
                  <w:r>
                    <w:t>284</w:t>
                  </w:r>
                  <w:r w:rsidR="006B7B1A">
                    <w:t xml:space="preserve">, </w:t>
                  </w:r>
                  <w:r w:rsidR="00DB56D7">
                    <w:t xml:space="preserve">draft </w:t>
                  </w:r>
                  <w:r w:rsidR="006B7B1A">
                    <w:t xml:space="preserve">recommendation </w:t>
                  </w:r>
                  <w:r w:rsidR="00B11623">
                    <w:t>6.1</w:t>
                  </w:r>
                </w:p>
              </w:tc>
            </w:tr>
            <w:tr w:rsidR="006B7B1A" w:rsidTr="00E0163A">
              <w:tc>
                <w:tcPr>
                  <w:tcW w:w="2075" w:type="pct"/>
                </w:tcPr>
                <w:p w:rsidR="006B7B1A" w:rsidRDefault="00B11623" w:rsidP="00E0163A">
                  <w:pPr>
                    <w:pStyle w:val="TableBodyText"/>
                    <w:jc w:val="left"/>
                  </w:pPr>
                  <w:r>
                    <w:t>Strategic behaviour: pay-for-delay</w:t>
                  </w:r>
                </w:p>
              </w:tc>
              <w:tc>
                <w:tcPr>
                  <w:tcW w:w="2925" w:type="pct"/>
                </w:tcPr>
                <w:p w:rsidR="006B7B1A" w:rsidRDefault="00E0163A" w:rsidP="00E0163A">
                  <w:pPr>
                    <w:pStyle w:val="TableBodyText"/>
                    <w:ind w:right="28"/>
                    <w:jc w:val="left"/>
                  </w:pPr>
                  <w:r>
                    <w:t>Pages 285</w:t>
                  </w:r>
                  <w:r w:rsidR="006B7B1A">
                    <w:noBreakHyphen/>
                  </w:r>
                  <w:r>
                    <w:t>289</w:t>
                  </w:r>
                  <w:r w:rsidR="006B7B1A">
                    <w:t xml:space="preserve">, </w:t>
                  </w:r>
                  <w:r w:rsidR="00DB56D7">
                    <w:t xml:space="preserve">draft </w:t>
                  </w:r>
                  <w:r w:rsidR="00B11623">
                    <w:t xml:space="preserve">recommendation 9.4, </w:t>
                  </w:r>
                  <w:r w:rsidR="006B7B1A">
                    <w:t>information request</w:t>
                  </w:r>
                  <w:r w:rsidR="00DB56D7">
                    <w:t> </w:t>
                  </w:r>
                  <w:r w:rsidR="00B11623">
                    <w:t>9</w:t>
                  </w:r>
                  <w:r w:rsidR="006B7B1A">
                    <w:t>.</w:t>
                  </w:r>
                  <w:r w:rsidR="00B11623">
                    <w:t>1</w:t>
                  </w:r>
                </w:p>
              </w:tc>
            </w:tr>
            <w:tr w:rsidR="006B7B1A" w:rsidTr="00DB56D7">
              <w:tc>
                <w:tcPr>
                  <w:tcW w:w="2075" w:type="pct"/>
                  <w:vAlign w:val="bottom"/>
                </w:tcPr>
                <w:p w:rsidR="006B7B1A" w:rsidRDefault="00B11623" w:rsidP="00DB56D7">
                  <w:pPr>
                    <w:pStyle w:val="TableBodyText"/>
                    <w:jc w:val="left"/>
                  </w:pPr>
                  <w:r>
                    <w:t>Data collection for policy analysis</w:t>
                  </w:r>
                </w:p>
              </w:tc>
              <w:tc>
                <w:tcPr>
                  <w:tcW w:w="2925" w:type="pct"/>
                </w:tcPr>
                <w:p w:rsidR="006B7B1A" w:rsidRDefault="006B7B1A" w:rsidP="00E0163A">
                  <w:pPr>
                    <w:pStyle w:val="TableBodyText"/>
                    <w:ind w:right="28"/>
                    <w:jc w:val="left"/>
                  </w:pPr>
                  <w:r>
                    <w:t xml:space="preserve">Pages </w:t>
                  </w:r>
                  <w:r w:rsidR="00E0163A">
                    <w:t>289</w:t>
                  </w:r>
                  <w:r>
                    <w:noBreakHyphen/>
                  </w:r>
                  <w:r w:rsidR="00E0163A">
                    <w:t>292</w:t>
                  </w:r>
                  <w:r>
                    <w:t xml:space="preserve">, </w:t>
                  </w:r>
                  <w:r w:rsidR="00DB56D7">
                    <w:t xml:space="preserve">draft </w:t>
                  </w:r>
                  <w:r w:rsidR="00B11623">
                    <w:t>recommendation 9.5</w:t>
                  </w:r>
                </w:p>
              </w:tc>
            </w:tr>
          </w:tbl>
          <w:p w:rsidR="006B7B1A" w:rsidRDefault="006B7B1A" w:rsidP="00452D9E">
            <w:pPr>
              <w:pStyle w:val="Box"/>
            </w:pPr>
          </w:p>
        </w:tc>
      </w:tr>
      <w:tr w:rsidR="006B7B1A" w:rsidTr="00452D9E">
        <w:trPr>
          <w:cantSplit/>
        </w:trPr>
        <w:tc>
          <w:tcPr>
            <w:tcW w:w="8771" w:type="dxa"/>
            <w:tcBorders>
              <w:top w:val="nil"/>
              <w:left w:val="nil"/>
              <w:bottom w:val="single" w:sz="6" w:space="0" w:color="78A22F"/>
              <w:right w:val="nil"/>
            </w:tcBorders>
            <w:shd w:val="clear" w:color="auto" w:fill="auto"/>
          </w:tcPr>
          <w:p w:rsidR="006B7B1A" w:rsidRDefault="006B7B1A" w:rsidP="00452D9E">
            <w:pPr>
              <w:pStyle w:val="Box"/>
              <w:spacing w:before="0" w:line="120" w:lineRule="exact"/>
            </w:pPr>
          </w:p>
        </w:tc>
      </w:tr>
      <w:tr w:rsidR="006B7B1A" w:rsidRPr="000863A5" w:rsidTr="00452D9E">
        <w:trPr>
          <w:hidden/>
        </w:trPr>
        <w:tc>
          <w:tcPr>
            <w:tcW w:w="8771" w:type="dxa"/>
            <w:tcBorders>
              <w:top w:val="single" w:sz="6" w:space="0" w:color="78A22F"/>
              <w:left w:val="nil"/>
              <w:bottom w:val="nil"/>
              <w:right w:val="nil"/>
            </w:tcBorders>
          </w:tcPr>
          <w:p w:rsidR="006B7B1A" w:rsidRPr="00626D32" w:rsidRDefault="006B7B1A" w:rsidP="00452D9E">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table </w:t>
            </w:r>
            <w:r w:rsidRPr="00626D32">
              <w:rPr>
                <w:rFonts w:ascii="Times New Roman" w:hAnsi="Times New Roman"/>
                <w:b/>
                <w:vanish/>
                <w:color w:val="FF00FF"/>
              </w:rPr>
              <w:t>and what follows it.</w:t>
            </w:r>
          </w:p>
        </w:tc>
      </w:tr>
    </w:tbl>
    <w:p w:rsidR="0000373A" w:rsidRPr="00152E1B" w:rsidRDefault="0000373A" w:rsidP="00152E1B">
      <w:pPr>
        <w:pStyle w:val="BoxSpaceAbove"/>
      </w:pPr>
      <w:r>
        <w:rPr>
          <w:b/>
          <w:vanish/>
          <w:color w:val="FF00FF"/>
          <w:sz w:val="14"/>
        </w:rPr>
        <w:t>Do not delete this RETURN as it gives space between the table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9617"/>
      </w:tblGrid>
      <w:tr w:rsidR="00B72E10" w:rsidTr="00452D9E">
        <w:tc>
          <w:tcPr>
            <w:tcW w:w="9617" w:type="dxa"/>
            <w:tcBorders>
              <w:top w:val="single" w:sz="6" w:space="0" w:color="78A22F"/>
              <w:left w:val="nil"/>
              <w:bottom w:val="nil"/>
              <w:right w:val="nil"/>
            </w:tcBorders>
            <w:shd w:val="clear" w:color="auto" w:fill="F2F2F2"/>
          </w:tcPr>
          <w:p w:rsidR="00B72E10" w:rsidRDefault="00B72E10" w:rsidP="00452D9E">
            <w:pPr>
              <w:pStyle w:val="BoxTitle"/>
            </w:pPr>
            <w:r>
              <w:t>Having your say</w:t>
            </w:r>
          </w:p>
        </w:tc>
      </w:tr>
      <w:tr w:rsidR="00B72E10" w:rsidTr="00452D9E">
        <w:trPr>
          <w:cantSplit/>
        </w:trPr>
        <w:tc>
          <w:tcPr>
            <w:tcW w:w="9617" w:type="dxa"/>
            <w:tcBorders>
              <w:top w:val="nil"/>
              <w:left w:val="nil"/>
              <w:bottom w:val="nil"/>
              <w:right w:val="nil"/>
            </w:tcBorders>
            <w:shd w:val="clear" w:color="auto" w:fill="F2F2F2"/>
          </w:tcPr>
          <w:p w:rsidR="00B72E10" w:rsidRPr="00D66699" w:rsidRDefault="00B72E10" w:rsidP="00452D9E">
            <w:pPr>
              <w:pStyle w:val="Box"/>
            </w:pPr>
            <w:r w:rsidRPr="00D66699">
              <w:t xml:space="preserve">The </w:t>
            </w:r>
            <w:r w:rsidRPr="00AA4229">
              <w:t xml:space="preserve">Productivity </w:t>
            </w:r>
            <w:r w:rsidRPr="00D66699">
              <w:t xml:space="preserve">Commission is keen to hear your feedback on this draft report. You are welcome to make a written submission to the Commission, preferably in electronic format, by </w:t>
            </w:r>
            <w:r w:rsidRPr="003C17C7">
              <w:rPr>
                <w:b/>
              </w:rPr>
              <w:t>3 June 2016</w:t>
            </w:r>
            <w:r w:rsidRPr="00D66699">
              <w:t xml:space="preserve">. </w:t>
            </w:r>
            <w:r>
              <w:t>More</w:t>
            </w:r>
            <w:r w:rsidRPr="00D66699">
              <w:t xml:space="preserve"> </w:t>
            </w:r>
            <w:r>
              <w:t>information on making a</w:t>
            </w:r>
            <w:r w:rsidRPr="00D66699">
              <w:t xml:space="preserve"> submission </w:t>
            </w:r>
            <w:r>
              <w:t>can be found</w:t>
            </w:r>
            <w:r w:rsidRPr="00D66699">
              <w:t xml:space="preserve"> on the inquiry website </w:t>
            </w:r>
            <w:r>
              <w:t xml:space="preserve">at </w:t>
            </w:r>
            <w:hyperlink r:id="rId7" w:history="1">
              <w:r w:rsidRPr="00D66699">
                <w:rPr>
                  <w:rStyle w:val="Hyperlink"/>
                </w:rPr>
                <w:t>http://www.pc.gov.au/inquiries/current/intellectual-property/make-submission</w:t>
              </w:r>
            </w:hyperlink>
          </w:p>
          <w:p w:rsidR="00B72E10" w:rsidRPr="003C17C7" w:rsidRDefault="00B72E10" w:rsidP="00452D9E">
            <w:pPr>
              <w:pStyle w:val="Box"/>
            </w:pPr>
            <w:r w:rsidRPr="003C17C7">
              <w:t xml:space="preserve">Public hearings will be held in mid June 2016 — likely locations are Canberra, Melbourne and Sydney (to be determined by participant demand). Information on hearing dates and venues will be available on the inquiry website </w:t>
            </w:r>
            <w:hyperlink r:id="rId8" w:anchor="draft" w:history="1">
              <w:r w:rsidRPr="003C17C7">
                <w:rPr>
                  <w:rStyle w:val="Hyperlink"/>
                </w:rPr>
                <w:t>http://www.pc.gov.au/inquiries/current/intellectual-property#draft</w:t>
              </w:r>
            </w:hyperlink>
            <w:r w:rsidRPr="003C17C7">
              <w:t>.</w:t>
            </w:r>
          </w:p>
          <w:p w:rsidR="00B72E10" w:rsidRPr="003C17C7" w:rsidRDefault="00B72E10" w:rsidP="00452D9E">
            <w:pPr>
              <w:pStyle w:val="Box"/>
            </w:pPr>
            <w:r w:rsidRPr="003C17C7">
              <w:t>The final report will be provided to the Australian Government on 18 August 2016.</w:t>
            </w:r>
          </w:p>
        </w:tc>
      </w:tr>
      <w:tr w:rsidR="0000373A" w:rsidTr="00452D9E">
        <w:trPr>
          <w:cantSplit/>
        </w:trPr>
        <w:tc>
          <w:tcPr>
            <w:tcW w:w="9617" w:type="dxa"/>
            <w:tcBorders>
              <w:top w:val="nil"/>
              <w:left w:val="nil"/>
              <w:bottom w:val="single" w:sz="6" w:space="0" w:color="78A22F"/>
              <w:right w:val="nil"/>
            </w:tcBorders>
            <w:shd w:val="clear" w:color="auto" w:fill="F2F2F2"/>
          </w:tcPr>
          <w:p w:rsidR="0000373A" w:rsidRDefault="0000373A" w:rsidP="00452D9E">
            <w:pPr>
              <w:pStyle w:val="Box"/>
              <w:spacing w:before="0" w:line="120" w:lineRule="exact"/>
            </w:pPr>
          </w:p>
        </w:tc>
      </w:tr>
      <w:tr w:rsidR="0000373A" w:rsidRPr="000863A5" w:rsidTr="00452D9E">
        <w:trPr>
          <w:hidden/>
        </w:trPr>
        <w:tc>
          <w:tcPr>
            <w:tcW w:w="9617" w:type="dxa"/>
            <w:tcBorders>
              <w:top w:val="single" w:sz="6" w:space="0" w:color="78A22F"/>
              <w:left w:val="nil"/>
              <w:bottom w:val="nil"/>
              <w:right w:val="nil"/>
            </w:tcBorders>
          </w:tcPr>
          <w:p w:rsidR="0000373A" w:rsidRPr="00626D32" w:rsidRDefault="0000373A" w:rsidP="00452D9E">
            <w:pPr>
              <w:pStyle w:val="BoxSpaceBelow"/>
            </w:pPr>
            <w:r w:rsidRPr="00626D32">
              <w:rPr>
                <w:rFonts w:ascii="Times New Roman" w:hAnsi="Times New Roman"/>
                <w:b/>
                <w:vanish/>
                <w:color w:val="FF00FF"/>
              </w:rPr>
              <w:t>Do not delete this ROW as it gives space between the box and what follows it.</w:t>
            </w:r>
          </w:p>
        </w:tc>
      </w:tr>
    </w:tbl>
    <w:p w:rsidR="006B7B1A" w:rsidRDefault="006B7B1A" w:rsidP="006B7B1A">
      <w:pPr>
        <w:spacing w:after="240"/>
        <w:jc w:val="center"/>
        <w:rPr>
          <w:rFonts w:ascii="Arial" w:hAnsi="Arial" w:cs="Arial"/>
        </w:rPr>
      </w:pPr>
      <w:r>
        <w:rPr>
          <w:rFonts w:ascii="Arial" w:hAnsi="Arial" w:cs="Arial"/>
        </w:rPr>
        <w:t xml:space="preserve">[END] </w:t>
      </w:r>
    </w:p>
    <w:p w:rsidR="006B7B1A" w:rsidRPr="00BF738A" w:rsidRDefault="006B7B1A" w:rsidP="00BF738A">
      <w:pPr>
        <w:spacing w:after="240"/>
        <w:jc w:val="center"/>
        <w:rPr>
          <w:rFonts w:ascii="Arial" w:hAnsi="Arial" w:cs="Arial"/>
        </w:rPr>
      </w:pPr>
    </w:p>
    <w:sectPr w:rsidR="006B7B1A" w:rsidRPr="00BF738A" w:rsidSect="006A10C4">
      <w:headerReference w:type="even" r:id="rId9"/>
      <w:headerReference w:type="default" r:id="rId10"/>
      <w:footerReference w:type="default" r:id="rId11"/>
      <w:headerReference w:type="first" r:id="rId12"/>
      <w:pgSz w:w="11906" w:h="16838"/>
      <w:pgMar w:top="2693" w:right="1134" w:bottom="1701" w:left="1134" w:header="709" w:footer="9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D9E" w:rsidRDefault="00452D9E" w:rsidP="00BF738A">
      <w:pPr>
        <w:spacing w:after="0" w:line="240" w:lineRule="auto"/>
      </w:pPr>
      <w:r>
        <w:separator/>
      </w:r>
    </w:p>
  </w:endnote>
  <w:endnote w:type="continuationSeparator" w:id="0">
    <w:p w:rsidR="00452D9E" w:rsidRDefault="00452D9E" w:rsidP="00BF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965784"/>
      <w:docPartObj>
        <w:docPartGallery w:val="Page Numbers (Bottom of Page)"/>
        <w:docPartUnique/>
      </w:docPartObj>
    </w:sdtPr>
    <w:sdtEndPr>
      <w:rPr>
        <w:rFonts w:ascii="Arial" w:hAnsi="Arial" w:cs="Arial"/>
        <w:noProof/>
        <w:sz w:val="18"/>
        <w:szCs w:val="18"/>
      </w:rPr>
    </w:sdtEndPr>
    <w:sdtContent>
      <w:p w:rsidR="00452D9E" w:rsidRPr="00FD6A55" w:rsidRDefault="00452D9E" w:rsidP="006A10C4">
        <w:pPr>
          <w:pStyle w:val="Footer"/>
          <w:jc w:val="center"/>
          <w:rPr>
            <w:rFonts w:ascii="Arial" w:hAnsi="Arial" w:cs="Arial"/>
            <w:sz w:val="18"/>
            <w:szCs w:val="18"/>
          </w:rPr>
        </w:pPr>
        <w:r w:rsidRPr="00FD6A55">
          <w:rPr>
            <w:rFonts w:ascii="Arial" w:eastAsia="Times New Roman" w:hAnsi="Arial" w:cs="Arial"/>
            <w:noProof/>
            <w:kern w:val="16"/>
            <w:sz w:val="18"/>
            <w:szCs w:val="18"/>
            <w:lang w:eastAsia="en-AU"/>
          </w:rPr>
          <w:drawing>
            <wp:anchor distT="0" distB="0" distL="114300" distR="114300" simplePos="0" relativeHeight="251662336" behindDoc="1" locked="0" layoutInCell="1" allowOverlap="1" wp14:anchorId="764E1456" wp14:editId="2C6F1E28">
              <wp:simplePos x="0" y="0"/>
              <wp:positionH relativeFrom="page">
                <wp:align>center</wp:align>
              </wp:positionH>
              <wp:positionV relativeFrom="page">
                <wp:align>bottom</wp:align>
              </wp:positionV>
              <wp:extent cx="7560000" cy="9612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cstate="print">
                        <a:extLst>
                          <a:ext uri="{28A0092B-C50C-407E-A947-70E740481C1C}">
                            <a14:useLocalDpi xmlns:a14="http://schemas.microsoft.com/office/drawing/2010/main" val="0"/>
                          </a:ext>
                        </a:extLst>
                      </a:blip>
                      <a:srcRect t="20472"/>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D6A55">
          <w:rPr>
            <w:rFonts w:ascii="Arial" w:hAnsi="Arial" w:cs="Arial"/>
            <w:sz w:val="18"/>
            <w:szCs w:val="18"/>
          </w:rPr>
          <w:fldChar w:fldCharType="begin"/>
        </w:r>
        <w:r w:rsidRPr="00FD6A55">
          <w:rPr>
            <w:rFonts w:ascii="Arial" w:hAnsi="Arial" w:cs="Arial"/>
            <w:sz w:val="18"/>
            <w:szCs w:val="18"/>
          </w:rPr>
          <w:instrText xml:space="preserve"> PAGE   \* MERGEFORMAT </w:instrText>
        </w:r>
        <w:r w:rsidRPr="00FD6A55">
          <w:rPr>
            <w:rFonts w:ascii="Arial" w:hAnsi="Arial" w:cs="Arial"/>
            <w:sz w:val="18"/>
            <w:szCs w:val="18"/>
          </w:rPr>
          <w:fldChar w:fldCharType="separate"/>
        </w:r>
        <w:r w:rsidR="00F44CEC">
          <w:rPr>
            <w:rFonts w:ascii="Arial" w:hAnsi="Arial" w:cs="Arial"/>
            <w:noProof/>
            <w:sz w:val="18"/>
            <w:szCs w:val="18"/>
          </w:rPr>
          <w:t>1</w:t>
        </w:r>
        <w:r w:rsidRPr="00FD6A55">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D9E" w:rsidRDefault="00452D9E" w:rsidP="00BF738A">
      <w:pPr>
        <w:spacing w:after="0" w:line="240" w:lineRule="auto"/>
      </w:pPr>
      <w:r>
        <w:separator/>
      </w:r>
    </w:p>
  </w:footnote>
  <w:footnote w:type="continuationSeparator" w:id="0">
    <w:p w:rsidR="00452D9E" w:rsidRDefault="00452D9E" w:rsidP="00BF7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D9E" w:rsidRDefault="00452D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D9E" w:rsidRPr="002A300B" w:rsidRDefault="00452D9E" w:rsidP="00BF738A">
    <w:pPr>
      <w:spacing w:before="120" w:after="0" w:line="240" w:lineRule="auto"/>
      <w:ind w:right="-46"/>
      <w:jc w:val="right"/>
      <w:rPr>
        <w:rFonts w:ascii="Verdana" w:eastAsia="Times New Roman" w:hAnsi="Verdana" w:cs="Arial"/>
        <w:b/>
        <w:color w:val="FFFFFF" w:themeColor="background1"/>
        <w:sz w:val="28"/>
        <w:szCs w:val="28"/>
        <w:lang w:eastAsia="en-AU"/>
      </w:rPr>
    </w:pPr>
    <w:r>
      <w:rPr>
        <w:rFonts w:ascii="Verdana" w:eastAsia="Times New Roman" w:hAnsi="Verdana" w:cs="Arial"/>
        <w:b/>
        <w:noProof/>
        <w:color w:val="FFFFFF" w:themeColor="background1"/>
        <w:sz w:val="28"/>
        <w:szCs w:val="28"/>
        <w:lang w:eastAsia="en-AU"/>
      </w:rPr>
      <w:drawing>
        <wp:anchor distT="0" distB="0" distL="114300" distR="114300" simplePos="0" relativeHeight="251660288" behindDoc="1" locked="0" layoutInCell="1" allowOverlap="1" wp14:anchorId="000F4051" wp14:editId="64230E0F">
          <wp:simplePos x="752475" y="523875"/>
          <wp:positionH relativeFrom="page">
            <wp:align>center</wp:align>
          </wp:positionH>
          <wp:positionV relativeFrom="page">
            <wp:posOffset>-9525</wp:posOffset>
          </wp:positionV>
          <wp:extent cx="7561921" cy="158115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1.jpg"/>
                  <pic:cNvPicPr/>
                </pic:nvPicPr>
                <pic:blipFill rotWithShape="1">
                  <a:blip r:embed="rId1" cstate="print">
                    <a:extLst>
                      <a:ext uri="{28A0092B-C50C-407E-A947-70E740481C1C}">
                        <a14:useLocalDpi xmlns:a14="http://schemas.microsoft.com/office/drawing/2010/main" val="0"/>
                      </a:ext>
                    </a:extLst>
                  </a:blip>
                  <a:srcRect t="10753"/>
                  <a:stretch/>
                </pic:blipFill>
                <pic:spPr bwMode="auto">
                  <a:xfrm>
                    <a:off x="0" y="0"/>
                    <a:ext cx="7560000" cy="15807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764A">
      <w:rPr>
        <w:rFonts w:ascii="Verdana" w:eastAsia="Times New Roman" w:hAnsi="Verdana" w:cs="Arial"/>
        <w:b/>
        <w:noProof/>
        <w:color w:val="FFFFFF" w:themeColor="background1"/>
        <w:sz w:val="28"/>
        <w:szCs w:val="28"/>
        <w:lang w:eastAsia="en-AU"/>
      </w:rPr>
      <w:t>FACT SHEET</w:t>
    </w:r>
  </w:p>
  <w:p w:rsidR="00452D9E" w:rsidRDefault="00452D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D9E" w:rsidRDefault="00452D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B0A"/>
    <w:rsid w:val="0000373A"/>
    <w:rsid w:val="00007F18"/>
    <w:rsid w:val="00041A6A"/>
    <w:rsid w:val="00057037"/>
    <w:rsid w:val="00080E04"/>
    <w:rsid w:val="000A7235"/>
    <w:rsid w:val="000D4928"/>
    <w:rsid w:val="000E654F"/>
    <w:rsid w:val="00152E1B"/>
    <w:rsid w:val="002401F8"/>
    <w:rsid w:val="002D56F9"/>
    <w:rsid w:val="002F4F85"/>
    <w:rsid w:val="0039764A"/>
    <w:rsid w:val="003A76F0"/>
    <w:rsid w:val="003E28F7"/>
    <w:rsid w:val="00452D9E"/>
    <w:rsid w:val="004C1717"/>
    <w:rsid w:val="004F23E4"/>
    <w:rsid w:val="00503A0B"/>
    <w:rsid w:val="00520CD1"/>
    <w:rsid w:val="00545F23"/>
    <w:rsid w:val="005F7E79"/>
    <w:rsid w:val="0063097F"/>
    <w:rsid w:val="00660838"/>
    <w:rsid w:val="0067513B"/>
    <w:rsid w:val="006A0595"/>
    <w:rsid w:val="006A10C4"/>
    <w:rsid w:val="006A5408"/>
    <w:rsid w:val="006B55DD"/>
    <w:rsid w:val="006B7B1A"/>
    <w:rsid w:val="006E1148"/>
    <w:rsid w:val="00700C0C"/>
    <w:rsid w:val="00702878"/>
    <w:rsid w:val="0076020E"/>
    <w:rsid w:val="007B3945"/>
    <w:rsid w:val="009A34A6"/>
    <w:rsid w:val="009C2217"/>
    <w:rsid w:val="009F696C"/>
    <w:rsid w:val="00A16C2D"/>
    <w:rsid w:val="00A33375"/>
    <w:rsid w:val="00A72F56"/>
    <w:rsid w:val="00AF1DBF"/>
    <w:rsid w:val="00AF5C1A"/>
    <w:rsid w:val="00AF6C00"/>
    <w:rsid w:val="00B05299"/>
    <w:rsid w:val="00B11623"/>
    <w:rsid w:val="00B72E10"/>
    <w:rsid w:val="00B80212"/>
    <w:rsid w:val="00BE3E58"/>
    <w:rsid w:val="00BF738A"/>
    <w:rsid w:val="00C264C5"/>
    <w:rsid w:val="00C51B0A"/>
    <w:rsid w:val="00C63A5F"/>
    <w:rsid w:val="00CE7E71"/>
    <w:rsid w:val="00D01815"/>
    <w:rsid w:val="00DA3DFA"/>
    <w:rsid w:val="00DB56D7"/>
    <w:rsid w:val="00DC5C40"/>
    <w:rsid w:val="00E0163A"/>
    <w:rsid w:val="00E06555"/>
    <w:rsid w:val="00E74C42"/>
    <w:rsid w:val="00EF6531"/>
    <w:rsid w:val="00F44CEC"/>
    <w:rsid w:val="00F908FC"/>
    <w:rsid w:val="00FD6A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3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38A"/>
  </w:style>
  <w:style w:type="paragraph" w:styleId="Footer">
    <w:name w:val="footer"/>
    <w:basedOn w:val="Normal"/>
    <w:link w:val="FooterChar"/>
    <w:uiPriority w:val="99"/>
    <w:unhideWhenUsed/>
    <w:rsid w:val="00BF7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38A"/>
  </w:style>
  <w:style w:type="character" w:styleId="Hyperlink">
    <w:name w:val="Hyperlink"/>
    <w:basedOn w:val="DefaultParagraphFont"/>
    <w:uiPriority w:val="99"/>
    <w:unhideWhenUsed/>
    <w:rsid w:val="00BF738A"/>
    <w:rPr>
      <w:color w:val="0000FF" w:themeColor="hyperlink"/>
      <w:u w:val="single"/>
    </w:rPr>
  </w:style>
  <w:style w:type="paragraph" w:styleId="BalloonText">
    <w:name w:val="Balloon Text"/>
    <w:basedOn w:val="Normal"/>
    <w:link w:val="BalloonTextChar"/>
    <w:uiPriority w:val="99"/>
    <w:semiHidden/>
    <w:unhideWhenUsed/>
    <w:rsid w:val="00057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037"/>
    <w:rPr>
      <w:rFonts w:ascii="Tahoma" w:hAnsi="Tahoma" w:cs="Tahoma"/>
      <w:sz w:val="16"/>
      <w:szCs w:val="16"/>
    </w:rPr>
  </w:style>
  <w:style w:type="paragraph" w:styleId="BodyText">
    <w:name w:val="Body Text"/>
    <w:aliases w:val="Body Text1,new legislation style,new legislation style1,new legislation style Ch"/>
    <w:link w:val="BodyTextChar"/>
    <w:qFormat/>
    <w:rsid w:val="00A16C2D"/>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aliases w:val="Body Text1 Char,new legislation style Char,new legislation style1 Char,new legislation style Ch Char"/>
    <w:basedOn w:val="DefaultParagraphFont"/>
    <w:link w:val="BodyText"/>
    <w:rsid w:val="00A16C2D"/>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A16C2D"/>
    <w:rPr>
      <w:sz w:val="16"/>
      <w:szCs w:val="16"/>
    </w:rPr>
  </w:style>
  <w:style w:type="paragraph" w:styleId="CommentText">
    <w:name w:val="annotation text"/>
    <w:basedOn w:val="Normal"/>
    <w:link w:val="CommentTextChar"/>
    <w:uiPriority w:val="99"/>
    <w:semiHidden/>
    <w:unhideWhenUsed/>
    <w:rsid w:val="00A16C2D"/>
    <w:pPr>
      <w:spacing w:line="240" w:lineRule="auto"/>
    </w:pPr>
    <w:rPr>
      <w:sz w:val="20"/>
      <w:szCs w:val="20"/>
    </w:rPr>
  </w:style>
  <w:style w:type="character" w:customStyle="1" w:styleId="CommentTextChar">
    <w:name w:val="Comment Text Char"/>
    <w:basedOn w:val="DefaultParagraphFont"/>
    <w:link w:val="CommentText"/>
    <w:uiPriority w:val="99"/>
    <w:semiHidden/>
    <w:rsid w:val="00A16C2D"/>
    <w:rPr>
      <w:sz w:val="20"/>
      <w:szCs w:val="20"/>
    </w:rPr>
  </w:style>
  <w:style w:type="paragraph" w:styleId="CommentSubject">
    <w:name w:val="annotation subject"/>
    <w:basedOn w:val="CommentText"/>
    <w:next w:val="CommentText"/>
    <w:link w:val="CommentSubjectChar"/>
    <w:uiPriority w:val="99"/>
    <w:semiHidden/>
    <w:unhideWhenUsed/>
    <w:rsid w:val="00A16C2D"/>
    <w:rPr>
      <w:b/>
      <w:bCs/>
    </w:rPr>
  </w:style>
  <w:style w:type="character" w:customStyle="1" w:styleId="CommentSubjectChar">
    <w:name w:val="Comment Subject Char"/>
    <w:basedOn w:val="CommentTextChar"/>
    <w:link w:val="CommentSubject"/>
    <w:uiPriority w:val="99"/>
    <w:semiHidden/>
    <w:rsid w:val="00A16C2D"/>
    <w:rPr>
      <w:b/>
      <w:bCs/>
      <w:sz w:val="20"/>
      <w:szCs w:val="20"/>
    </w:rPr>
  </w:style>
  <w:style w:type="paragraph" w:customStyle="1" w:styleId="BoxSpaceBelow">
    <w:name w:val="Box Space Below"/>
    <w:basedOn w:val="Normal"/>
    <w:rsid w:val="006B7B1A"/>
    <w:pPr>
      <w:spacing w:before="60" w:after="60" w:line="80" w:lineRule="exact"/>
      <w:jc w:val="both"/>
    </w:pPr>
    <w:rPr>
      <w:rFonts w:ascii="Arial" w:eastAsia="Times New Roman" w:hAnsi="Arial" w:cs="Times New Roman"/>
      <w:sz w:val="14"/>
      <w:szCs w:val="20"/>
      <w:lang w:eastAsia="en-AU"/>
    </w:rPr>
  </w:style>
  <w:style w:type="paragraph" w:customStyle="1" w:styleId="Box">
    <w:name w:val="Box"/>
    <w:basedOn w:val="BodyText"/>
    <w:link w:val="BoxChar"/>
    <w:qFormat/>
    <w:rsid w:val="006B7B1A"/>
    <w:pPr>
      <w:keepNext/>
      <w:spacing w:before="120" w:line="260" w:lineRule="atLeast"/>
    </w:pPr>
    <w:rPr>
      <w:rFonts w:ascii="Arial" w:hAnsi="Arial"/>
      <w:sz w:val="20"/>
    </w:rPr>
  </w:style>
  <w:style w:type="paragraph" w:customStyle="1" w:styleId="TableBodyText">
    <w:name w:val="Table Body Text"/>
    <w:basedOn w:val="BodyText"/>
    <w:rsid w:val="006B7B1A"/>
    <w:pPr>
      <w:keepNext/>
      <w:keepLines/>
      <w:spacing w:before="0" w:after="40" w:line="200" w:lineRule="atLeast"/>
      <w:ind w:left="6" w:right="113"/>
      <w:jc w:val="right"/>
    </w:pPr>
    <w:rPr>
      <w:rFonts w:ascii="Arial" w:hAnsi="Arial"/>
      <w:sz w:val="18"/>
    </w:rPr>
  </w:style>
  <w:style w:type="paragraph" w:customStyle="1" w:styleId="TableColumnHeading">
    <w:name w:val="Table Column Heading"/>
    <w:basedOn w:val="TableBodyText"/>
    <w:rsid w:val="006B7B1A"/>
    <w:pPr>
      <w:spacing w:before="80" w:after="80"/>
    </w:pPr>
    <w:rPr>
      <w:i/>
    </w:rPr>
  </w:style>
  <w:style w:type="paragraph" w:customStyle="1" w:styleId="TableTitle">
    <w:name w:val="Table Title"/>
    <w:basedOn w:val="Caption"/>
    <w:next w:val="Subtitle"/>
    <w:qFormat/>
    <w:rsid w:val="006B7B1A"/>
    <w:pPr>
      <w:keepNext/>
      <w:keepLines/>
      <w:spacing w:before="120" w:after="80" w:line="280" w:lineRule="exact"/>
      <w:ind w:left="1474" w:hanging="1474"/>
    </w:pPr>
    <w:rPr>
      <w:rFonts w:ascii="Arial" w:eastAsia="Times New Roman" w:hAnsi="Arial" w:cs="Times New Roman"/>
      <w:bCs w:val="0"/>
      <w:color w:val="auto"/>
      <w:sz w:val="24"/>
      <w:szCs w:val="24"/>
      <w:lang w:eastAsia="en-AU"/>
    </w:rPr>
  </w:style>
  <w:style w:type="paragraph" w:customStyle="1" w:styleId="BoxSpaceAbove">
    <w:name w:val="Box Space Above"/>
    <w:basedOn w:val="BodyText"/>
    <w:rsid w:val="006B7B1A"/>
    <w:pPr>
      <w:keepNext/>
      <w:spacing w:before="360" w:line="80" w:lineRule="exact"/>
      <w:jc w:val="left"/>
    </w:pPr>
  </w:style>
  <w:style w:type="paragraph" w:customStyle="1" w:styleId="TableUnitsRow">
    <w:name w:val="Table Units Row"/>
    <w:basedOn w:val="TableBodyText"/>
    <w:rsid w:val="006B7B1A"/>
    <w:pPr>
      <w:spacing w:before="40"/>
    </w:pPr>
  </w:style>
  <w:style w:type="paragraph" w:styleId="Caption">
    <w:name w:val="caption"/>
    <w:basedOn w:val="Normal"/>
    <w:next w:val="Normal"/>
    <w:uiPriority w:val="35"/>
    <w:semiHidden/>
    <w:unhideWhenUsed/>
    <w:qFormat/>
    <w:rsid w:val="006B7B1A"/>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6B7B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B7B1A"/>
    <w:rPr>
      <w:rFonts w:asciiTheme="majorHAnsi" w:eastAsiaTheme="majorEastAsia" w:hAnsiTheme="majorHAnsi" w:cstheme="majorBidi"/>
      <w:i/>
      <w:iCs/>
      <w:color w:val="4F81BD" w:themeColor="accent1"/>
      <w:spacing w:val="15"/>
      <w:sz w:val="24"/>
      <w:szCs w:val="24"/>
    </w:rPr>
  </w:style>
  <w:style w:type="paragraph" w:customStyle="1" w:styleId="BoxTitle">
    <w:name w:val="Box Title"/>
    <w:basedOn w:val="Caption"/>
    <w:next w:val="Normal"/>
    <w:rsid w:val="0000373A"/>
    <w:pPr>
      <w:keepNext/>
      <w:keepLines/>
      <w:spacing w:before="120" w:after="0" w:line="280" w:lineRule="exact"/>
      <w:ind w:left="1474" w:hanging="1474"/>
    </w:pPr>
    <w:rPr>
      <w:rFonts w:ascii="Arial" w:eastAsia="Times New Roman" w:hAnsi="Arial" w:cs="Times New Roman"/>
      <w:bCs w:val="0"/>
      <w:color w:val="auto"/>
      <w:sz w:val="24"/>
      <w:szCs w:val="24"/>
      <w:lang w:eastAsia="en-AU"/>
    </w:rPr>
  </w:style>
  <w:style w:type="character" w:customStyle="1" w:styleId="BoxChar">
    <w:name w:val="Box Char"/>
    <w:link w:val="Box"/>
    <w:locked/>
    <w:rsid w:val="0000373A"/>
    <w:rPr>
      <w:rFonts w:ascii="Arial" w:eastAsia="Times New Roman" w:hAnsi="Arial" w:cs="Times New Roman"/>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3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38A"/>
  </w:style>
  <w:style w:type="paragraph" w:styleId="Footer">
    <w:name w:val="footer"/>
    <w:basedOn w:val="Normal"/>
    <w:link w:val="FooterChar"/>
    <w:uiPriority w:val="99"/>
    <w:unhideWhenUsed/>
    <w:rsid w:val="00BF7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38A"/>
  </w:style>
  <w:style w:type="character" w:styleId="Hyperlink">
    <w:name w:val="Hyperlink"/>
    <w:basedOn w:val="DefaultParagraphFont"/>
    <w:uiPriority w:val="99"/>
    <w:unhideWhenUsed/>
    <w:rsid w:val="00BF738A"/>
    <w:rPr>
      <w:color w:val="0000FF" w:themeColor="hyperlink"/>
      <w:u w:val="single"/>
    </w:rPr>
  </w:style>
  <w:style w:type="paragraph" w:styleId="BalloonText">
    <w:name w:val="Balloon Text"/>
    <w:basedOn w:val="Normal"/>
    <w:link w:val="BalloonTextChar"/>
    <w:uiPriority w:val="99"/>
    <w:semiHidden/>
    <w:unhideWhenUsed/>
    <w:rsid w:val="00057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037"/>
    <w:rPr>
      <w:rFonts w:ascii="Tahoma" w:hAnsi="Tahoma" w:cs="Tahoma"/>
      <w:sz w:val="16"/>
      <w:szCs w:val="16"/>
    </w:rPr>
  </w:style>
  <w:style w:type="paragraph" w:styleId="BodyText">
    <w:name w:val="Body Text"/>
    <w:aliases w:val="Body Text1,new legislation style,new legislation style1,new legislation style Ch"/>
    <w:link w:val="BodyTextChar"/>
    <w:qFormat/>
    <w:rsid w:val="00A16C2D"/>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aliases w:val="Body Text1 Char,new legislation style Char,new legislation style1 Char,new legislation style Ch Char"/>
    <w:basedOn w:val="DefaultParagraphFont"/>
    <w:link w:val="BodyText"/>
    <w:rsid w:val="00A16C2D"/>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A16C2D"/>
    <w:rPr>
      <w:sz w:val="16"/>
      <w:szCs w:val="16"/>
    </w:rPr>
  </w:style>
  <w:style w:type="paragraph" w:styleId="CommentText">
    <w:name w:val="annotation text"/>
    <w:basedOn w:val="Normal"/>
    <w:link w:val="CommentTextChar"/>
    <w:uiPriority w:val="99"/>
    <w:semiHidden/>
    <w:unhideWhenUsed/>
    <w:rsid w:val="00A16C2D"/>
    <w:pPr>
      <w:spacing w:line="240" w:lineRule="auto"/>
    </w:pPr>
    <w:rPr>
      <w:sz w:val="20"/>
      <w:szCs w:val="20"/>
    </w:rPr>
  </w:style>
  <w:style w:type="character" w:customStyle="1" w:styleId="CommentTextChar">
    <w:name w:val="Comment Text Char"/>
    <w:basedOn w:val="DefaultParagraphFont"/>
    <w:link w:val="CommentText"/>
    <w:uiPriority w:val="99"/>
    <w:semiHidden/>
    <w:rsid w:val="00A16C2D"/>
    <w:rPr>
      <w:sz w:val="20"/>
      <w:szCs w:val="20"/>
    </w:rPr>
  </w:style>
  <w:style w:type="paragraph" w:styleId="CommentSubject">
    <w:name w:val="annotation subject"/>
    <w:basedOn w:val="CommentText"/>
    <w:next w:val="CommentText"/>
    <w:link w:val="CommentSubjectChar"/>
    <w:uiPriority w:val="99"/>
    <w:semiHidden/>
    <w:unhideWhenUsed/>
    <w:rsid w:val="00A16C2D"/>
    <w:rPr>
      <w:b/>
      <w:bCs/>
    </w:rPr>
  </w:style>
  <w:style w:type="character" w:customStyle="1" w:styleId="CommentSubjectChar">
    <w:name w:val="Comment Subject Char"/>
    <w:basedOn w:val="CommentTextChar"/>
    <w:link w:val="CommentSubject"/>
    <w:uiPriority w:val="99"/>
    <w:semiHidden/>
    <w:rsid w:val="00A16C2D"/>
    <w:rPr>
      <w:b/>
      <w:bCs/>
      <w:sz w:val="20"/>
      <w:szCs w:val="20"/>
    </w:rPr>
  </w:style>
  <w:style w:type="paragraph" w:customStyle="1" w:styleId="BoxSpaceBelow">
    <w:name w:val="Box Space Below"/>
    <w:basedOn w:val="Normal"/>
    <w:rsid w:val="006B7B1A"/>
    <w:pPr>
      <w:spacing w:before="60" w:after="60" w:line="80" w:lineRule="exact"/>
      <w:jc w:val="both"/>
    </w:pPr>
    <w:rPr>
      <w:rFonts w:ascii="Arial" w:eastAsia="Times New Roman" w:hAnsi="Arial" w:cs="Times New Roman"/>
      <w:sz w:val="14"/>
      <w:szCs w:val="20"/>
      <w:lang w:eastAsia="en-AU"/>
    </w:rPr>
  </w:style>
  <w:style w:type="paragraph" w:customStyle="1" w:styleId="Box">
    <w:name w:val="Box"/>
    <w:basedOn w:val="BodyText"/>
    <w:link w:val="BoxChar"/>
    <w:qFormat/>
    <w:rsid w:val="006B7B1A"/>
    <w:pPr>
      <w:keepNext/>
      <w:spacing w:before="120" w:line="260" w:lineRule="atLeast"/>
    </w:pPr>
    <w:rPr>
      <w:rFonts w:ascii="Arial" w:hAnsi="Arial"/>
      <w:sz w:val="20"/>
    </w:rPr>
  </w:style>
  <w:style w:type="paragraph" w:customStyle="1" w:styleId="TableBodyText">
    <w:name w:val="Table Body Text"/>
    <w:basedOn w:val="BodyText"/>
    <w:rsid w:val="006B7B1A"/>
    <w:pPr>
      <w:keepNext/>
      <w:keepLines/>
      <w:spacing w:before="0" w:after="40" w:line="200" w:lineRule="atLeast"/>
      <w:ind w:left="6" w:right="113"/>
      <w:jc w:val="right"/>
    </w:pPr>
    <w:rPr>
      <w:rFonts w:ascii="Arial" w:hAnsi="Arial"/>
      <w:sz w:val="18"/>
    </w:rPr>
  </w:style>
  <w:style w:type="paragraph" w:customStyle="1" w:styleId="TableColumnHeading">
    <w:name w:val="Table Column Heading"/>
    <w:basedOn w:val="TableBodyText"/>
    <w:rsid w:val="006B7B1A"/>
    <w:pPr>
      <w:spacing w:before="80" w:after="80"/>
    </w:pPr>
    <w:rPr>
      <w:i/>
    </w:rPr>
  </w:style>
  <w:style w:type="paragraph" w:customStyle="1" w:styleId="TableTitle">
    <w:name w:val="Table Title"/>
    <w:basedOn w:val="Caption"/>
    <w:next w:val="Subtitle"/>
    <w:qFormat/>
    <w:rsid w:val="006B7B1A"/>
    <w:pPr>
      <w:keepNext/>
      <w:keepLines/>
      <w:spacing w:before="120" w:after="80" w:line="280" w:lineRule="exact"/>
      <w:ind w:left="1474" w:hanging="1474"/>
    </w:pPr>
    <w:rPr>
      <w:rFonts w:ascii="Arial" w:eastAsia="Times New Roman" w:hAnsi="Arial" w:cs="Times New Roman"/>
      <w:bCs w:val="0"/>
      <w:color w:val="auto"/>
      <w:sz w:val="24"/>
      <w:szCs w:val="24"/>
      <w:lang w:eastAsia="en-AU"/>
    </w:rPr>
  </w:style>
  <w:style w:type="paragraph" w:customStyle="1" w:styleId="BoxSpaceAbove">
    <w:name w:val="Box Space Above"/>
    <w:basedOn w:val="BodyText"/>
    <w:rsid w:val="006B7B1A"/>
    <w:pPr>
      <w:keepNext/>
      <w:spacing w:before="360" w:line="80" w:lineRule="exact"/>
      <w:jc w:val="left"/>
    </w:pPr>
  </w:style>
  <w:style w:type="paragraph" w:customStyle="1" w:styleId="TableUnitsRow">
    <w:name w:val="Table Units Row"/>
    <w:basedOn w:val="TableBodyText"/>
    <w:rsid w:val="006B7B1A"/>
    <w:pPr>
      <w:spacing w:before="40"/>
    </w:pPr>
  </w:style>
  <w:style w:type="paragraph" w:styleId="Caption">
    <w:name w:val="caption"/>
    <w:basedOn w:val="Normal"/>
    <w:next w:val="Normal"/>
    <w:uiPriority w:val="35"/>
    <w:semiHidden/>
    <w:unhideWhenUsed/>
    <w:qFormat/>
    <w:rsid w:val="006B7B1A"/>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6B7B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B7B1A"/>
    <w:rPr>
      <w:rFonts w:asciiTheme="majorHAnsi" w:eastAsiaTheme="majorEastAsia" w:hAnsiTheme="majorHAnsi" w:cstheme="majorBidi"/>
      <w:i/>
      <w:iCs/>
      <w:color w:val="4F81BD" w:themeColor="accent1"/>
      <w:spacing w:val="15"/>
      <w:sz w:val="24"/>
      <w:szCs w:val="24"/>
    </w:rPr>
  </w:style>
  <w:style w:type="paragraph" w:customStyle="1" w:styleId="BoxTitle">
    <w:name w:val="Box Title"/>
    <w:basedOn w:val="Caption"/>
    <w:next w:val="Normal"/>
    <w:rsid w:val="0000373A"/>
    <w:pPr>
      <w:keepNext/>
      <w:keepLines/>
      <w:spacing w:before="120" w:after="0" w:line="280" w:lineRule="exact"/>
      <w:ind w:left="1474" w:hanging="1474"/>
    </w:pPr>
    <w:rPr>
      <w:rFonts w:ascii="Arial" w:eastAsia="Times New Roman" w:hAnsi="Arial" w:cs="Times New Roman"/>
      <w:bCs w:val="0"/>
      <w:color w:val="auto"/>
      <w:sz w:val="24"/>
      <w:szCs w:val="24"/>
      <w:lang w:eastAsia="en-AU"/>
    </w:rPr>
  </w:style>
  <w:style w:type="character" w:customStyle="1" w:styleId="BoxChar">
    <w:name w:val="Box Char"/>
    <w:link w:val="Box"/>
    <w:locked/>
    <w:rsid w:val="0000373A"/>
    <w:rPr>
      <w:rFonts w:ascii="Arial" w:eastAsia="Times New Roman" w:hAnsi="Arial"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9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gov.au/inquiries/current/intellectual-proper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c.gov.au/inquiries/current/intellectual-property/make-submission"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Pharmaceutical patents-a targeted policy prescription - Fact sheet - Intellectual Property Arrangements</vt:lpstr>
    </vt:vector>
  </TitlesOfParts>
  <Company>Productivity Commission</Company>
  <LinksUpToDate>false</LinksUpToDate>
  <CharactersWithSpaces>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Pharmaceutical patents-a targeted policy prescription - Fact sheet - Intellectual Property Arrangements</dc:title>
  <dc:creator>Productivity Commission</dc:creator>
  <cp:lastModifiedBy>Pimperl, Mark</cp:lastModifiedBy>
  <cp:revision>6</cp:revision>
  <dcterms:created xsi:type="dcterms:W3CDTF">2016-04-25T23:34:00Z</dcterms:created>
  <dcterms:modified xsi:type="dcterms:W3CDTF">2016-04-27T05:34:00Z</dcterms:modified>
</cp:coreProperties>
</file>