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D2D2B" w14:textId="5B3951C6" w:rsidR="00A33DFF" w:rsidRDefault="00526644" w:rsidP="00526644">
      <w:pPr>
        <w:pStyle w:val="Chapter"/>
        <w:ind w:left="907" w:hanging="907"/>
      </w:pPr>
      <w:bookmarkStart w:id="0" w:name="_AppendixNotByChapter"/>
      <w:bookmarkStart w:id="1" w:name="ChapterNumber"/>
      <w:bookmarkEnd w:id="0"/>
      <w:r>
        <w:t>F</w:t>
      </w:r>
      <w:bookmarkEnd w:id="1"/>
      <w:r>
        <w:tab/>
      </w:r>
      <w:bookmarkStart w:id="2" w:name="ChapterTitle"/>
      <w:r>
        <w:t>Benefits of improved mental health</w:t>
      </w:r>
      <w:bookmarkEnd w:id="2"/>
    </w:p>
    <w:p w14:paraId="6BE386A6" w14:textId="204519AF" w:rsidR="00575A9C" w:rsidRPr="00C95C34" w:rsidRDefault="00575A9C" w:rsidP="00575A9C">
      <w:pPr>
        <w:pStyle w:val="BodyText"/>
        <w:rPr>
          <w:spacing w:val="2"/>
        </w:rPr>
      </w:pPr>
      <w:bookmarkStart w:id="3" w:name="begin"/>
      <w:bookmarkEnd w:id="3"/>
      <w:r w:rsidRPr="00C95C34">
        <w:rPr>
          <w:spacing w:val="2"/>
        </w:rPr>
        <w:t>This appendix outlines how the possible economic and health-rel</w:t>
      </w:r>
      <w:r w:rsidR="00D95FED" w:rsidRPr="00C95C34">
        <w:rPr>
          <w:spacing w:val="2"/>
        </w:rPr>
        <w:t>ated quality of life benefits from</w:t>
      </w:r>
      <w:r w:rsidRPr="00C95C34">
        <w:rPr>
          <w:spacing w:val="2"/>
        </w:rPr>
        <w:t xml:space="preserve"> improved mental health are estimated. Broadly, the estimation process involves</w:t>
      </w:r>
      <w:r w:rsidR="001A2C5F" w:rsidRPr="00C95C34">
        <w:rPr>
          <w:spacing w:val="2"/>
        </w:rPr>
        <w:t xml:space="preserve"> two steps.</w:t>
      </w:r>
    </w:p>
    <w:p w14:paraId="603CC6F9" w14:textId="0EA22F42" w:rsidR="00575A9C" w:rsidRDefault="00B06E52" w:rsidP="001B06EA">
      <w:pPr>
        <w:pStyle w:val="ListBullet"/>
      </w:pPr>
      <w:r>
        <w:t xml:space="preserve">Estimating the </w:t>
      </w:r>
      <w:r w:rsidR="00575A9C">
        <w:t xml:space="preserve">statistical </w:t>
      </w:r>
      <w:r w:rsidR="00575A9C" w:rsidRPr="00575A9C">
        <w:t>relationship between mental health and wages, labour market outcomes</w:t>
      </w:r>
      <w:r w:rsidR="00D95FED">
        <w:t>,</w:t>
      </w:r>
      <w:r w:rsidR="007376B8">
        <w:t xml:space="preserve"> and health-related </w:t>
      </w:r>
      <w:r w:rsidR="00575A9C" w:rsidRPr="00575A9C">
        <w:t>quality of life</w:t>
      </w:r>
      <w:r w:rsidR="00AC7480">
        <w:t xml:space="preserve"> (</w:t>
      </w:r>
      <w:r w:rsidR="00526644">
        <w:t>section F</w:t>
      </w:r>
      <w:r w:rsidR="00575A9C" w:rsidRPr="00575A9C">
        <w:t>.</w:t>
      </w:r>
      <w:r w:rsidR="00314C71">
        <w:t>1</w:t>
      </w:r>
      <w:r w:rsidR="00AC7480">
        <w:t>)</w:t>
      </w:r>
      <w:r w:rsidR="00575A9C">
        <w:t xml:space="preserve"> using </w:t>
      </w:r>
      <w:r w:rsidR="001B06EA">
        <w:t>detailed longitudinal data that is broad</w:t>
      </w:r>
      <w:r w:rsidR="00E17F63">
        <w:t>ly representative of the Austral</w:t>
      </w:r>
      <w:r w:rsidR="00526644">
        <w:t>ian population (section F</w:t>
      </w:r>
      <w:r w:rsidR="001B06EA">
        <w:t>.</w:t>
      </w:r>
      <w:r w:rsidR="00314C71">
        <w:t xml:space="preserve">2). </w:t>
      </w:r>
      <w:r w:rsidR="009B04A2">
        <w:t>The estimation</w:t>
      </w:r>
      <w:r w:rsidR="00277227">
        <w:t xml:space="preserve"> procedure is outline</w:t>
      </w:r>
      <w:r w:rsidR="009B04A2">
        <w:t>d</w:t>
      </w:r>
      <w:r w:rsidR="00314C71">
        <w:t xml:space="preserve"> in section</w:t>
      </w:r>
      <w:r w:rsidR="00FD2826">
        <w:t> </w:t>
      </w:r>
      <w:r w:rsidR="00526644">
        <w:t>F</w:t>
      </w:r>
      <w:r w:rsidR="00314C71">
        <w:t>.3.</w:t>
      </w:r>
    </w:p>
    <w:p w14:paraId="3B7CB6B4" w14:textId="4EBFE697" w:rsidR="001B06EA" w:rsidRDefault="00FC5858" w:rsidP="001B06EA">
      <w:pPr>
        <w:pStyle w:val="ListBullet"/>
      </w:pPr>
      <w:r>
        <w:t xml:space="preserve">Combining this information about people’s mental health and their wages, employment and health-related quality of life with </w:t>
      </w:r>
      <w:r w:rsidR="00FC28DC">
        <w:t>existing research that describe</w:t>
      </w:r>
      <w:r w:rsidR="001B06EA">
        <w:t xml:space="preserve"> the possible effect </w:t>
      </w:r>
      <w:r w:rsidR="00FC28DC">
        <w:t xml:space="preserve">of </w:t>
      </w:r>
      <w:r w:rsidR="001B06EA">
        <w:t>policy changes on the mental health of the</w:t>
      </w:r>
      <w:r w:rsidR="00314C71">
        <w:t xml:space="preserve"> target populations</w:t>
      </w:r>
      <w:r w:rsidR="007F19A7">
        <w:t xml:space="preserve">. </w:t>
      </w:r>
      <w:r w:rsidR="00CB000C">
        <w:t>The proposed reforms and e</w:t>
      </w:r>
      <w:r w:rsidR="007F19A7">
        <w:t xml:space="preserve">stimates of the possible benefits of these </w:t>
      </w:r>
      <w:r w:rsidR="00CB000C">
        <w:t>reforms</w:t>
      </w:r>
      <w:r w:rsidR="007F19A7">
        <w:t xml:space="preserve"> are presented in section</w:t>
      </w:r>
      <w:r w:rsidR="00526644">
        <w:t> F</w:t>
      </w:r>
      <w:r w:rsidR="00314C71">
        <w:t>.4</w:t>
      </w:r>
      <w:r w:rsidR="007F19A7">
        <w:t>.</w:t>
      </w:r>
    </w:p>
    <w:p w14:paraId="4A71D7C5" w14:textId="4368CDAD" w:rsidR="001B06EA" w:rsidRDefault="001B06EA" w:rsidP="001B06EA">
      <w:pPr>
        <w:pStyle w:val="BodyText"/>
      </w:pPr>
      <w:r>
        <w:t>Ov</w:t>
      </w:r>
      <w:r w:rsidR="00CB000C">
        <w:t>erall, when the effects of the reforms</w:t>
      </w:r>
      <w:r>
        <w:t xml:space="preserve"> modelled are fully realised, this might result in $</w:t>
      </w:r>
      <w:r w:rsidR="009E0748">
        <w:t>8.8</w:t>
      </w:r>
      <w:r w:rsidR="009E0748" w:rsidRPr="00591406">
        <w:t xml:space="preserve"> to $</w:t>
      </w:r>
      <w:r w:rsidR="009E0748">
        <w:t>11.5</w:t>
      </w:r>
      <w:r>
        <w:t xml:space="preserve"> b</w:t>
      </w:r>
      <w:r w:rsidR="004C0D4A">
        <w:t>illion</w:t>
      </w:r>
      <w:r>
        <w:t xml:space="preserve"> </w:t>
      </w:r>
      <w:r w:rsidR="00AB5954">
        <w:t xml:space="preserve">in </w:t>
      </w:r>
      <w:r w:rsidR="00976D91">
        <w:t xml:space="preserve">additional income </w:t>
      </w:r>
      <w:r>
        <w:t xml:space="preserve">per year, an additional </w:t>
      </w:r>
      <w:r w:rsidR="009E0748">
        <w:t>112 000</w:t>
      </w:r>
      <w:r w:rsidR="00AB5954">
        <w:softHyphen/>
      </w:r>
      <w:r w:rsidR="00443729">
        <w:t xml:space="preserve"> - </w:t>
      </w:r>
      <w:r w:rsidR="009E0748">
        <w:t>145 000</w:t>
      </w:r>
      <w:r>
        <w:t xml:space="preserve"> workers in employment</w:t>
      </w:r>
      <w:r w:rsidR="00976D91">
        <w:t>,</w:t>
      </w:r>
      <w:r>
        <w:t xml:space="preserve"> and </w:t>
      </w:r>
      <w:r w:rsidR="00AB5954">
        <w:t>a further</w:t>
      </w:r>
      <w:r>
        <w:t xml:space="preserve"> </w:t>
      </w:r>
      <w:r w:rsidR="009E0748">
        <w:t>69 000</w:t>
      </w:r>
      <w:r w:rsidR="00AB5954">
        <w:softHyphen/>
      </w:r>
      <w:r w:rsidR="00443729">
        <w:t xml:space="preserve"> - </w:t>
      </w:r>
      <w:bookmarkStart w:id="4" w:name="_GoBack"/>
      <w:bookmarkEnd w:id="4"/>
      <w:r w:rsidR="009E0748">
        <w:t>89 000</w:t>
      </w:r>
      <w:r w:rsidR="001F4FD8">
        <w:t xml:space="preserve"> quality-adjusted life years (QALYs). </w:t>
      </w:r>
    </w:p>
    <w:p w14:paraId="1A593D8F" w14:textId="1BE59F5A" w:rsidR="00DF0927" w:rsidRDefault="00526644" w:rsidP="00DF0927">
      <w:pPr>
        <w:pStyle w:val="Heading2"/>
      </w:pPr>
      <w:r>
        <w:t>F.</w:t>
      </w:r>
      <w:r w:rsidR="00D7423F">
        <w:rPr>
          <w:noProof/>
        </w:rPr>
        <w:t>1</w:t>
      </w:r>
      <w:r w:rsidR="00DF0927">
        <w:tab/>
      </w:r>
      <w:r w:rsidR="00AC7480">
        <w:t>M</w:t>
      </w:r>
      <w:r w:rsidR="00390FC9">
        <w:t xml:space="preserve">ental health, labour market outcomes and </w:t>
      </w:r>
      <w:r w:rsidR="00AC7480">
        <w:t xml:space="preserve">health-related </w:t>
      </w:r>
      <w:r w:rsidR="00390FC9">
        <w:t>quality of life</w:t>
      </w:r>
    </w:p>
    <w:p w14:paraId="4D8B03D6" w14:textId="21097D32" w:rsidR="00855329" w:rsidRDefault="00855329" w:rsidP="00855329">
      <w:pPr>
        <w:pStyle w:val="BodyText"/>
      </w:pPr>
      <w:r>
        <w:t xml:space="preserve">Mental health is </w:t>
      </w:r>
      <w:r w:rsidR="00B00F47">
        <w:t xml:space="preserve">an important aspect of an individual’s ‘human capital’ — the individual attributes that affect people’s productivity, and the wages they may expect </w:t>
      </w:r>
      <w:r w:rsidR="00147786">
        <w:t xml:space="preserve">to earn </w:t>
      </w:r>
      <w:r w:rsidR="00B00F47">
        <w:t xml:space="preserve">if they were employed. </w:t>
      </w:r>
      <w:r>
        <w:t xml:space="preserve">For </w:t>
      </w:r>
      <w:r w:rsidR="00390FC9">
        <w:t>people already employed</w:t>
      </w:r>
      <w:r w:rsidR="00B72880">
        <w:t xml:space="preserve">, improvements in mental health </w:t>
      </w:r>
      <w:r>
        <w:t xml:space="preserve">are likely to </w:t>
      </w:r>
      <w:r w:rsidR="00390FC9">
        <w:t>result in an</w:t>
      </w:r>
      <w:r w:rsidR="007376B8">
        <w:t xml:space="preserve"> increase in their expected wage</w:t>
      </w:r>
      <w:r>
        <w:t xml:space="preserve">. For </w:t>
      </w:r>
      <w:r w:rsidR="00390FC9">
        <w:t xml:space="preserve">people who are unemployed or not in the labour force, </w:t>
      </w:r>
      <w:r w:rsidR="00B00F47">
        <w:t xml:space="preserve">improved </w:t>
      </w:r>
      <w:r w:rsidR="00B72880">
        <w:t xml:space="preserve">mental health is likely to increase </w:t>
      </w:r>
      <w:r>
        <w:t xml:space="preserve">their </w:t>
      </w:r>
      <w:r w:rsidR="00D14FB8">
        <w:t>probability</w:t>
      </w:r>
      <w:r w:rsidR="00AC7480">
        <w:t xml:space="preserve"> of employment, as well as their </w:t>
      </w:r>
      <w:r>
        <w:t>expected wage if they were to be employed. Labour demand is assumed to be perfectly elastic — that is, it perfectly accommodates changes in the labour supply.</w:t>
      </w:r>
    </w:p>
    <w:p w14:paraId="6509476E" w14:textId="531DBE45" w:rsidR="00855329" w:rsidRDefault="00855329" w:rsidP="00855329">
      <w:pPr>
        <w:pStyle w:val="BodyText"/>
      </w:pPr>
      <w:r>
        <w:t xml:space="preserve">Individuals are also likely to experience an improvement in their health-related quality of life as their mental health improves. </w:t>
      </w:r>
      <w:r w:rsidR="00D6741B">
        <w:t>The Commission has</w:t>
      </w:r>
      <w:r>
        <w:t xml:space="preserve"> also estimated how improvements in mental health </w:t>
      </w:r>
      <w:r w:rsidR="00B72880">
        <w:t xml:space="preserve">are likely to </w:t>
      </w:r>
      <w:r>
        <w:t>result in increased quality of life across the population</w:t>
      </w:r>
      <w:r w:rsidR="00E93CF9">
        <w:t>. measured in QALYs</w:t>
      </w:r>
      <w:r>
        <w:t>.</w:t>
      </w:r>
    </w:p>
    <w:p w14:paraId="3BBFBAF6" w14:textId="34CEB370" w:rsidR="007D413B" w:rsidRDefault="00EF2376" w:rsidP="007D413B">
      <w:pPr>
        <w:pStyle w:val="Heading3"/>
      </w:pPr>
      <w:r>
        <w:lastRenderedPageBreak/>
        <w:t>Estimating t</w:t>
      </w:r>
      <w:r w:rsidR="00B72880">
        <w:t>he effect of mental health on employment and wages</w:t>
      </w:r>
    </w:p>
    <w:p w14:paraId="0E69DC49" w14:textId="1B461614" w:rsidR="00397BF5" w:rsidRDefault="00B72880" w:rsidP="0070533B">
      <w:pPr>
        <w:pStyle w:val="BodyText"/>
      </w:pPr>
      <w:r>
        <w:t>Mental health is associated with labour market outcomes such as employment and wages</w:t>
      </w:r>
      <w:r w:rsidR="00397BF5">
        <w:t xml:space="preserve"> </w:t>
      </w:r>
      <w:r w:rsidR="00397BF5" w:rsidRPr="00397BF5">
        <w:rPr>
          <w:szCs w:val="24"/>
        </w:rPr>
        <w:t>(Forbes, Barker and Turner 2010)</w:t>
      </w:r>
      <w:r>
        <w:t>. People with mental ill-health are less likely to be employed, and if they are empl</w:t>
      </w:r>
      <w:r w:rsidR="00A71179">
        <w:t xml:space="preserve">oyed they are likely </w:t>
      </w:r>
      <w:r w:rsidR="007376B8">
        <w:t xml:space="preserve">to </w:t>
      </w:r>
      <w:r w:rsidR="00A71179">
        <w:t xml:space="preserve">earn less (figure </w:t>
      </w:r>
      <w:r w:rsidR="00526644">
        <w:t>F.1</w:t>
      </w:r>
      <w:r w:rsidR="00A71179">
        <w:t>).</w:t>
      </w:r>
      <w:r w:rsidR="0034045D">
        <w:t xml:space="preserve"> </w:t>
      </w:r>
      <w:r w:rsidR="004C1AF0">
        <w:t>For example, depression can lead to absenteeism an</w:t>
      </w:r>
      <w:r w:rsidR="000011C0">
        <w:t xml:space="preserve">d reduced productivity </w:t>
      </w:r>
      <w:r w:rsidR="000011C0" w:rsidRPr="000011C0">
        <w:rPr>
          <w:szCs w:val="24"/>
        </w:rPr>
        <w:t>(</w:t>
      </w:r>
      <w:proofErr w:type="spellStart"/>
      <w:r w:rsidR="000011C0" w:rsidRPr="000011C0">
        <w:rPr>
          <w:szCs w:val="24"/>
        </w:rPr>
        <w:t>Waghorn</w:t>
      </w:r>
      <w:proofErr w:type="spellEnd"/>
      <w:r w:rsidR="000011C0" w:rsidRPr="000011C0">
        <w:rPr>
          <w:szCs w:val="24"/>
        </w:rPr>
        <w:t xml:space="preserve"> and Lloyd 2005)</w:t>
      </w:r>
      <w:r w:rsidR="004C1AF0">
        <w:t>, and prolonged absenteeism can lead to a complete withdrawal from the labour market. It is also possible that employers can be biased and are less likely to hire someone with poor mental health.</w:t>
      </w:r>
    </w:p>
    <w:p w14:paraId="79DB999F" w14:textId="1EAA4245" w:rsidR="00CA426A" w:rsidRDefault="00CA426A" w:rsidP="00CA426A">
      <w:pPr>
        <w:pStyle w:val="BodyText"/>
      </w:pPr>
      <w:proofErr w:type="spellStart"/>
      <w:r>
        <w:t>Frijters</w:t>
      </w:r>
      <w:proofErr w:type="spellEnd"/>
      <w:r>
        <w:t xml:space="preserve"> et al. </w:t>
      </w:r>
      <w:r w:rsidRPr="000011C0">
        <w:t>(2014)</w:t>
      </w:r>
      <w:r>
        <w:t xml:space="preserve"> provide examples of studies </w:t>
      </w:r>
      <w:r w:rsidR="00C2695F">
        <w:t xml:space="preserve">that </w:t>
      </w:r>
      <w:r>
        <w:t xml:space="preserve">have attempted to establish causal relationships between mental health and employment </w:t>
      </w:r>
      <w:r w:rsidRPr="00CA05AF">
        <w:rPr>
          <w:szCs w:val="24"/>
        </w:rPr>
        <w:t xml:space="preserve">(Alexandre and French 2001; </w:t>
      </w:r>
      <w:proofErr w:type="spellStart"/>
      <w:r w:rsidRPr="00CA05AF">
        <w:rPr>
          <w:szCs w:val="24"/>
        </w:rPr>
        <w:t>Chatterji</w:t>
      </w:r>
      <w:proofErr w:type="spellEnd"/>
      <w:r w:rsidRPr="00CA05AF">
        <w:rPr>
          <w:szCs w:val="24"/>
        </w:rPr>
        <w:t xml:space="preserve"> et al. 2007; </w:t>
      </w:r>
      <w:proofErr w:type="spellStart"/>
      <w:r w:rsidRPr="00CA05AF">
        <w:rPr>
          <w:szCs w:val="24"/>
        </w:rPr>
        <w:t>Ettner</w:t>
      </w:r>
      <w:proofErr w:type="spellEnd"/>
      <w:r w:rsidRPr="00CA05AF">
        <w:rPr>
          <w:szCs w:val="24"/>
        </w:rPr>
        <w:t>, Frank and Kessler 1997)</w:t>
      </w:r>
      <w:r>
        <w:t>. These studies find that diagnoses of psychiatric disorders and depression can reduce the probability of employment by 13</w:t>
      </w:r>
      <w:r w:rsidR="00132A45">
        <w:t>–</w:t>
      </w:r>
      <w:r>
        <w:t>26% across different cohorts.</w:t>
      </w:r>
    </w:p>
    <w:p w14:paraId="6104A8DC" w14:textId="6B7B2375" w:rsidR="00397BF5" w:rsidRDefault="00CA426A" w:rsidP="0070533B">
      <w:pPr>
        <w:pStyle w:val="BodyText"/>
        <w:rPr>
          <w:rStyle w:val="BodyTextChar"/>
        </w:rPr>
      </w:pPr>
      <w:r>
        <w:rPr>
          <w:rStyle w:val="BodyTextChar"/>
        </w:rPr>
        <w:t xml:space="preserve">In addition to mental health, there are a range of </w:t>
      </w:r>
      <w:r w:rsidRPr="00A71179">
        <w:rPr>
          <w:rStyle w:val="BodyTextChar"/>
        </w:rPr>
        <w:t xml:space="preserve">other </w:t>
      </w:r>
      <w:r>
        <w:rPr>
          <w:rStyle w:val="BodyTextChar"/>
        </w:rPr>
        <w:t xml:space="preserve">human capital and sociodemographic </w:t>
      </w:r>
      <w:r w:rsidRPr="00A71179">
        <w:rPr>
          <w:rStyle w:val="BodyTextChar"/>
        </w:rPr>
        <w:t xml:space="preserve">factors </w:t>
      </w:r>
      <w:r w:rsidR="00D621BD">
        <w:rPr>
          <w:rStyle w:val="BodyTextChar"/>
        </w:rPr>
        <w:t xml:space="preserve">that </w:t>
      </w:r>
      <w:r>
        <w:rPr>
          <w:rStyle w:val="BodyTextChar"/>
        </w:rPr>
        <w:t xml:space="preserve">are likely to affect an individual’s labour force status and the wages they can expect. </w:t>
      </w:r>
      <w:r w:rsidR="005F6162">
        <w:rPr>
          <w:rStyle w:val="BodyTextChar"/>
        </w:rPr>
        <w:t>These include</w:t>
      </w:r>
      <w:r>
        <w:rPr>
          <w:rStyle w:val="BodyTextChar"/>
        </w:rPr>
        <w:t xml:space="preserve"> age, gender, education, marital status, work history, language and cultural background</w:t>
      </w:r>
      <w:r w:rsidR="005F6162">
        <w:rPr>
          <w:rStyle w:val="BodyTextChar"/>
        </w:rPr>
        <w:t xml:space="preserve">, geographical location and family composition </w:t>
      </w:r>
      <w:r w:rsidR="005F6162" w:rsidRPr="005F6162">
        <w:rPr>
          <w:szCs w:val="24"/>
        </w:rPr>
        <w:t>(</w:t>
      </w:r>
      <w:proofErr w:type="spellStart"/>
      <w:r w:rsidR="005F6162" w:rsidRPr="005F6162">
        <w:rPr>
          <w:szCs w:val="24"/>
        </w:rPr>
        <w:t>Cai</w:t>
      </w:r>
      <w:proofErr w:type="spellEnd"/>
      <w:r w:rsidR="005F6162" w:rsidRPr="005F6162">
        <w:rPr>
          <w:szCs w:val="24"/>
        </w:rPr>
        <w:t> 2010; Forbes, Barker and Turner</w:t>
      </w:r>
      <w:r w:rsidR="005F6162" w:rsidRPr="005F6162">
        <w:t xml:space="preserve"> 2010; </w:t>
      </w:r>
      <w:proofErr w:type="spellStart"/>
      <w:r w:rsidR="005F6162" w:rsidRPr="005F6162">
        <w:t>Frijters</w:t>
      </w:r>
      <w:proofErr w:type="spellEnd"/>
      <w:r w:rsidR="005F6162" w:rsidRPr="005F6162">
        <w:t>, Johnston and Shields 2014)</w:t>
      </w:r>
      <w:r w:rsidR="005F6162">
        <w:rPr>
          <w:rStyle w:val="BodyTextChar"/>
        </w:rPr>
        <w:t xml:space="preserve">. </w:t>
      </w:r>
    </w:p>
    <w:p w14:paraId="718C2F3A" w14:textId="77777777" w:rsidR="008520A8" w:rsidRDefault="008520A8" w:rsidP="008520A8">
      <w:pPr>
        <w:pStyle w:val="Heading4"/>
      </w:pPr>
      <w:r>
        <w:t>Reverse causality is a problem</w:t>
      </w:r>
    </w:p>
    <w:p w14:paraId="29FCC0FA" w14:textId="3C3A2D79" w:rsidR="008520A8" w:rsidRDefault="008520A8" w:rsidP="008520A8">
      <w:pPr>
        <w:pStyle w:val="BodyText"/>
      </w:pPr>
      <w:r>
        <w:t xml:space="preserve">While the correlation between mental health and labour market outcomes is clear, it can be difficult to demonstrate the </w:t>
      </w:r>
      <w:r w:rsidRPr="00B72880">
        <w:rPr>
          <w:i/>
        </w:rPr>
        <w:t>causal</w:t>
      </w:r>
      <w:r>
        <w:t xml:space="preserve"> effects of mental health on labour market outcomes — mental health not only influences people’s ability to work,</w:t>
      </w:r>
      <w:r w:rsidR="00A46B06">
        <w:t xml:space="preserve"> but</w:t>
      </w:r>
      <w:r>
        <w:t xml:space="preserve"> their experiences at work </w:t>
      </w:r>
      <w:r w:rsidR="00A46B06">
        <w:t xml:space="preserve">can also </w:t>
      </w:r>
      <w:r>
        <w:t>influence their mental health. This is known as a ‘reverse causality’ or ‘endogeneity’ problem.</w:t>
      </w:r>
    </w:p>
    <w:p w14:paraId="608408DD" w14:textId="3E9318B0" w:rsidR="008520A8" w:rsidRDefault="008520A8" w:rsidP="008520A8">
      <w:pPr>
        <w:pStyle w:val="BodyText"/>
      </w:pPr>
      <w:r>
        <w:t xml:space="preserve">The model used in this analysis draws on the work by </w:t>
      </w:r>
      <w:proofErr w:type="spellStart"/>
      <w:r>
        <w:t>Frijters</w:t>
      </w:r>
      <w:proofErr w:type="spellEnd"/>
      <w:r>
        <w:t xml:space="preserve"> et al. </w:t>
      </w:r>
      <w:r w:rsidRPr="005A4A4E">
        <w:t>(2014)</w:t>
      </w:r>
      <w:r>
        <w:t>, who studied the effects of mental health on employment using an instrumental variable model</w:t>
      </w:r>
      <w:r w:rsidR="00132A45">
        <w:t xml:space="preserve"> (box F.1)</w:t>
      </w:r>
      <w:r>
        <w:t>. They address the problem of reverse causality between employment and mental health by using ‘the death of a close friend in the last 3 years’ as an instrumental variable to control for the endogeneity between employment status, wages, and mental health.</w:t>
      </w:r>
    </w:p>
    <w:p w14:paraId="70889CD3" w14:textId="70E9FB9E" w:rsidR="004C1AF0" w:rsidRDefault="004C1AF0" w:rsidP="004C1AF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C1AF0" w14:paraId="3040739B" w14:textId="77777777" w:rsidTr="0004104D">
        <w:trPr>
          <w:tblHeader/>
        </w:trPr>
        <w:tc>
          <w:tcPr>
            <w:tcW w:w="5000" w:type="pct"/>
            <w:tcBorders>
              <w:top w:val="single" w:sz="6" w:space="0" w:color="78A22F"/>
              <w:left w:val="nil"/>
              <w:bottom w:val="nil"/>
              <w:right w:val="nil"/>
            </w:tcBorders>
            <w:shd w:val="clear" w:color="auto" w:fill="auto"/>
          </w:tcPr>
          <w:p w14:paraId="43F53008" w14:textId="32322FD8" w:rsidR="004C1AF0" w:rsidRPr="00474A85" w:rsidRDefault="004C1AF0">
            <w:pPr>
              <w:pStyle w:val="FigureTitle"/>
              <w:rPr>
                <w:vertAlign w:val="superscript"/>
              </w:rPr>
            </w:pPr>
            <w:r w:rsidRPr="00784A05">
              <w:rPr>
                <w:b w:val="0"/>
              </w:rPr>
              <w:t xml:space="preserve">Figure </w:t>
            </w:r>
            <w:r w:rsidR="00526644">
              <w:rPr>
                <w:b w:val="0"/>
              </w:rPr>
              <w:t>F.1</w:t>
            </w:r>
            <w:r>
              <w:tab/>
              <w:t>People with poor mental health are more likely to be unemployed or not in the labour force</w:t>
            </w:r>
            <w:r w:rsidR="00C95C34">
              <w:t xml:space="preserve"> </w:t>
            </w:r>
            <w:r w:rsidR="00397BF5">
              <w:t>…</w:t>
            </w:r>
          </w:p>
        </w:tc>
      </w:tr>
      <w:tr w:rsidR="004C1AF0" w14:paraId="2CC1D33F" w14:textId="77777777" w:rsidTr="0004104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97BF5" w:rsidRPr="00B1465D" w14:paraId="2FDFF324" w14:textId="77777777" w:rsidTr="0004104D">
              <w:trPr>
                <w:tblHeader/>
                <w:jc w:val="center"/>
              </w:trPr>
              <w:tc>
                <w:tcPr>
                  <w:tcW w:w="5000" w:type="pct"/>
                  <w:tcBorders>
                    <w:top w:val="nil"/>
                    <w:bottom w:val="nil"/>
                  </w:tcBorders>
                </w:tcPr>
                <w:p w14:paraId="5669B209" w14:textId="6974DDC1" w:rsidR="00397BF5" w:rsidRDefault="007376B8" w:rsidP="0004104D">
                  <w:pPr>
                    <w:pStyle w:val="Figure"/>
                    <w:spacing w:before="60" w:after="60"/>
                    <w:rPr>
                      <w:rFonts w:ascii="Arial" w:hAnsi="Arial" w:cs="Arial"/>
                      <w:noProof/>
                      <w:sz w:val="18"/>
                      <w:szCs w:val="18"/>
                    </w:rPr>
                  </w:pPr>
                  <w:r>
                    <w:rPr>
                      <w:rFonts w:ascii="Arial" w:hAnsi="Arial" w:cs="Arial"/>
                      <w:noProof/>
                      <w:sz w:val="18"/>
                      <w:szCs w:val="18"/>
                    </w:rPr>
                    <w:drawing>
                      <wp:inline distT="0" distB="0" distL="0" distR="0" wp14:anchorId="436C31DE" wp14:editId="583C0DD6">
                        <wp:extent cx="5377884" cy="2689860"/>
                        <wp:effectExtent l="0" t="0" r="0" b="0"/>
                        <wp:docPr id="3" name="Picture 3" descr="This figure shows how employment outcomes differ between people with and without poor mental health. People with poor mental health are more likely to be employed or not in the labour force, whereas people with good mental health are more likely to be employed (both full-time or par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S_Employment.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8676" cy="2690256"/>
                                </a:xfrm>
                                <a:prstGeom prst="rect">
                                  <a:avLst/>
                                </a:prstGeom>
                              </pic:spPr>
                            </pic:pic>
                          </a:graphicData>
                        </a:graphic>
                      </wp:inline>
                    </w:drawing>
                  </w:r>
                </w:p>
              </w:tc>
            </w:tr>
            <w:tr w:rsidR="00397BF5" w:rsidRPr="00B1465D" w14:paraId="22FAD3EC" w14:textId="77777777" w:rsidTr="0004104D">
              <w:trPr>
                <w:tblHeader/>
                <w:jc w:val="center"/>
              </w:trPr>
              <w:tc>
                <w:tcPr>
                  <w:tcW w:w="5000" w:type="pct"/>
                  <w:tcBorders>
                    <w:top w:val="nil"/>
                    <w:bottom w:val="nil"/>
                  </w:tcBorders>
                </w:tcPr>
                <w:p w14:paraId="58E34C81" w14:textId="3866803C" w:rsidR="00397BF5" w:rsidRDefault="00397BF5" w:rsidP="0070533B">
                  <w:pPr>
                    <w:pStyle w:val="TableTitle"/>
                    <w:jc w:val="center"/>
                    <w:rPr>
                      <w:noProof/>
                    </w:rPr>
                  </w:pPr>
                  <w:r>
                    <w:rPr>
                      <w:noProof/>
                    </w:rPr>
                    <w:t>… and if they are employed they are likely to earn lower wages</w:t>
                  </w:r>
                  <w:proofErr w:type="spellStart"/>
                  <w:r w:rsidR="00132A45" w:rsidRPr="00A575FF">
                    <w:rPr>
                      <w:rStyle w:val="NoteLabel"/>
                      <w:b/>
                    </w:rPr>
                    <w:t>a</w:t>
                  </w:r>
                  <w:r w:rsidR="00132A45">
                    <w:rPr>
                      <w:rStyle w:val="NoteLabel"/>
                      <w:b/>
                    </w:rPr>
                    <w:t>,</w:t>
                  </w:r>
                  <w:r w:rsidR="00A46B06">
                    <w:rPr>
                      <w:rStyle w:val="NoteLabel"/>
                      <w:b/>
                    </w:rPr>
                    <w:t>b</w:t>
                  </w:r>
                  <w:proofErr w:type="spellEnd"/>
                </w:p>
              </w:tc>
            </w:tr>
            <w:tr w:rsidR="004C1AF0" w:rsidRPr="00B1465D" w14:paraId="5BF3AA97" w14:textId="77777777" w:rsidTr="0004104D">
              <w:trPr>
                <w:tblHeader/>
                <w:jc w:val="center"/>
              </w:trPr>
              <w:tc>
                <w:tcPr>
                  <w:tcW w:w="5000" w:type="pct"/>
                  <w:tcBorders>
                    <w:top w:val="nil"/>
                    <w:bottom w:val="nil"/>
                  </w:tcBorders>
                </w:tcPr>
                <w:p w14:paraId="14820B2E" w14:textId="3CF26E9F" w:rsidR="004C1AF0" w:rsidRPr="00B1465D" w:rsidRDefault="00DD608D" w:rsidP="0004104D">
                  <w:pPr>
                    <w:pStyle w:val="Figure"/>
                    <w:spacing w:before="60" w:after="60"/>
                    <w:rPr>
                      <w:rFonts w:ascii="Arial" w:hAnsi="Arial" w:cs="Arial"/>
                      <w:sz w:val="18"/>
                      <w:szCs w:val="18"/>
                    </w:rPr>
                  </w:pPr>
                  <w:r>
                    <w:rPr>
                      <w:rFonts w:ascii="Arial" w:hAnsi="Arial" w:cs="Arial"/>
                      <w:noProof/>
                      <w:sz w:val="18"/>
                      <w:szCs w:val="18"/>
                    </w:rPr>
                    <w:drawing>
                      <wp:inline distT="0" distB="0" distL="0" distR="0" wp14:anchorId="3B8A8DCC" wp14:editId="14839F76">
                        <wp:extent cx="5377884" cy="2689860"/>
                        <wp:effectExtent l="0" t="0" r="0" b="0"/>
                        <wp:docPr id="6" name="Picture 6" descr="This figure shows how the wage distribution differs between people with and without poor mental health. The distribution is presented as a density plot. People with poor mental health are more likely to have a lower hourly wage compared to those with good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ge_Density.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1384" cy="2691611"/>
                                </a:xfrm>
                                <a:prstGeom prst="rect">
                                  <a:avLst/>
                                </a:prstGeom>
                              </pic:spPr>
                            </pic:pic>
                          </a:graphicData>
                        </a:graphic>
                      </wp:inline>
                    </w:drawing>
                  </w:r>
                </w:p>
              </w:tc>
            </w:tr>
          </w:tbl>
          <w:p w14:paraId="2DE45C9E" w14:textId="77777777" w:rsidR="004C1AF0" w:rsidRDefault="004C1AF0" w:rsidP="0004104D">
            <w:pPr>
              <w:pStyle w:val="Figure"/>
            </w:pPr>
          </w:p>
        </w:tc>
      </w:tr>
      <w:tr w:rsidR="004C1AF0" w:rsidRPr="00176D3F" w14:paraId="66C0F174" w14:textId="77777777" w:rsidTr="0004104D">
        <w:tc>
          <w:tcPr>
            <w:tcW w:w="5000" w:type="pct"/>
            <w:tcBorders>
              <w:top w:val="nil"/>
              <w:left w:val="nil"/>
              <w:bottom w:val="nil"/>
              <w:right w:val="nil"/>
            </w:tcBorders>
            <w:shd w:val="clear" w:color="auto" w:fill="auto"/>
          </w:tcPr>
          <w:p w14:paraId="22D1D40E" w14:textId="32BE76DB" w:rsidR="004C1AF0" w:rsidRPr="00176D3F" w:rsidRDefault="004C1AF0" w:rsidP="00E510ED">
            <w:pPr>
              <w:pStyle w:val="Note"/>
            </w:pPr>
            <w:proofErr w:type="spellStart"/>
            <w:r>
              <w:rPr>
                <w:rStyle w:val="NoteLabel"/>
              </w:rPr>
              <w:t>a</w:t>
            </w:r>
            <w:proofErr w:type="spellEnd"/>
            <w:r>
              <w:t xml:space="preserve"> </w:t>
            </w:r>
            <w:proofErr w:type="spellStart"/>
            <w:r>
              <w:t>A</w:t>
            </w:r>
            <w:proofErr w:type="spellEnd"/>
            <w:r w:rsidR="00A575FF">
              <w:t xml:space="preserve"> mental component summary</w:t>
            </w:r>
            <w:r>
              <w:t xml:space="preserve"> </w:t>
            </w:r>
            <w:r w:rsidR="00A575FF">
              <w:t>(</w:t>
            </w:r>
            <w:r>
              <w:t>MCS</w:t>
            </w:r>
            <w:r w:rsidR="00A575FF">
              <w:t>)</w:t>
            </w:r>
            <w:r>
              <w:t xml:space="preserve"> score below 40 </w:t>
            </w:r>
            <w:r w:rsidR="00A575FF">
              <w:t>can be considered</w:t>
            </w:r>
            <w:r>
              <w:t xml:space="preserve"> indicative of a mental illness</w:t>
            </w:r>
            <w:r w:rsidR="00D70502">
              <w:t xml:space="preserve"> </w:t>
            </w:r>
            <w:r w:rsidR="00D70502" w:rsidRPr="00410C0F">
              <w:rPr>
                <w:rFonts w:cs="Arial"/>
                <w:szCs w:val="24"/>
              </w:rPr>
              <w:t>(Kiely and Butterworth 2015)</w:t>
            </w:r>
            <w:r>
              <w:t>.</w:t>
            </w:r>
            <w:r w:rsidR="00E510ED">
              <w:t xml:space="preserve"> </w:t>
            </w:r>
            <w:r w:rsidR="00E510ED">
              <w:rPr>
                <w:rStyle w:val="NoteLabel"/>
              </w:rPr>
              <w:t>b</w:t>
            </w:r>
            <w:r w:rsidR="00E510ED">
              <w:t xml:space="preserve"> The hourly wage is calculated as current weekly gross wage across all jobs divided by hours per week usually worked across all jobs.</w:t>
            </w:r>
          </w:p>
        </w:tc>
      </w:tr>
      <w:tr w:rsidR="004C1AF0" w:rsidRPr="00176D3F" w14:paraId="636233F0" w14:textId="77777777" w:rsidTr="0004104D">
        <w:tc>
          <w:tcPr>
            <w:tcW w:w="5000" w:type="pct"/>
            <w:tcBorders>
              <w:top w:val="nil"/>
              <w:left w:val="nil"/>
              <w:bottom w:val="nil"/>
              <w:right w:val="nil"/>
            </w:tcBorders>
            <w:shd w:val="clear" w:color="auto" w:fill="auto"/>
          </w:tcPr>
          <w:p w14:paraId="12FBDD37" w14:textId="7ABDC9F3" w:rsidR="004C1AF0" w:rsidRPr="00176D3F" w:rsidRDefault="005239EC" w:rsidP="005239EC">
            <w:pPr>
              <w:pStyle w:val="Source"/>
            </w:pPr>
            <w:r>
              <w:rPr>
                <w:i/>
              </w:rPr>
              <w:t>S</w:t>
            </w:r>
            <w:r w:rsidR="004C1AF0" w:rsidRPr="00784A05">
              <w:rPr>
                <w:i/>
              </w:rPr>
              <w:t>ource</w:t>
            </w:r>
            <w:r w:rsidR="004C1AF0" w:rsidRPr="00176D3F">
              <w:t xml:space="preserve">: </w:t>
            </w:r>
            <w:r w:rsidR="00397BF5">
              <w:t>Housing Income and Labour Dynamics in Australia</w:t>
            </w:r>
            <w:r w:rsidR="004C1AF0">
              <w:t>, wave 17</w:t>
            </w:r>
            <w:r>
              <w:t>.</w:t>
            </w:r>
          </w:p>
        </w:tc>
      </w:tr>
      <w:tr w:rsidR="004C1AF0" w14:paraId="4F79D740" w14:textId="77777777" w:rsidTr="0004104D">
        <w:tc>
          <w:tcPr>
            <w:tcW w:w="5000" w:type="pct"/>
            <w:tcBorders>
              <w:top w:val="nil"/>
              <w:left w:val="nil"/>
              <w:bottom w:val="single" w:sz="6" w:space="0" w:color="78A22F"/>
              <w:right w:val="nil"/>
            </w:tcBorders>
            <w:shd w:val="clear" w:color="auto" w:fill="auto"/>
          </w:tcPr>
          <w:p w14:paraId="496F576D" w14:textId="77777777" w:rsidR="004C1AF0" w:rsidRDefault="004C1AF0" w:rsidP="0004104D">
            <w:pPr>
              <w:pStyle w:val="Figurespace"/>
            </w:pPr>
          </w:p>
        </w:tc>
      </w:tr>
      <w:tr w:rsidR="004C1AF0" w:rsidRPr="000863A5" w14:paraId="0981EA1E" w14:textId="77777777" w:rsidTr="0004104D">
        <w:tc>
          <w:tcPr>
            <w:tcW w:w="5000" w:type="pct"/>
            <w:tcBorders>
              <w:top w:val="single" w:sz="6" w:space="0" w:color="78A22F"/>
              <w:left w:val="nil"/>
              <w:bottom w:val="nil"/>
              <w:right w:val="nil"/>
            </w:tcBorders>
          </w:tcPr>
          <w:p w14:paraId="1043863F" w14:textId="5B66C466" w:rsidR="004C1AF0" w:rsidRPr="00626D32" w:rsidRDefault="004C1AF0" w:rsidP="0004104D">
            <w:pPr>
              <w:pStyle w:val="BoxSpaceBelow"/>
            </w:pPr>
          </w:p>
        </w:tc>
      </w:tr>
    </w:tbl>
    <w:p w14:paraId="02C3A18E" w14:textId="10895B65" w:rsidR="00C726D1" w:rsidRDefault="00C726D1" w:rsidP="00C726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726D1" w14:paraId="387C30BE" w14:textId="77777777" w:rsidTr="0004104D">
        <w:trPr>
          <w:tblHeader/>
        </w:trPr>
        <w:tc>
          <w:tcPr>
            <w:tcW w:w="5000" w:type="pct"/>
            <w:tcBorders>
              <w:top w:val="single" w:sz="6" w:space="0" w:color="78A22F"/>
              <w:left w:val="nil"/>
              <w:bottom w:val="nil"/>
              <w:right w:val="nil"/>
            </w:tcBorders>
            <w:shd w:val="clear" w:color="auto" w:fill="F2F2F2"/>
          </w:tcPr>
          <w:p w14:paraId="26196D20" w14:textId="2C69024C" w:rsidR="00C726D1" w:rsidRDefault="00C726D1" w:rsidP="00F3600D">
            <w:pPr>
              <w:pStyle w:val="BoxTitle"/>
            </w:pPr>
            <w:r>
              <w:rPr>
                <w:b w:val="0"/>
              </w:rPr>
              <w:t xml:space="preserve">Box </w:t>
            </w:r>
            <w:r w:rsidR="00F3600D">
              <w:rPr>
                <w:b w:val="0"/>
              </w:rPr>
              <w:t>F.1</w:t>
            </w:r>
            <w:r>
              <w:tab/>
              <w:t>What is an instrumental variable?</w:t>
            </w:r>
          </w:p>
        </w:tc>
      </w:tr>
      <w:tr w:rsidR="00C726D1" w14:paraId="67523F3E" w14:textId="77777777" w:rsidTr="0004104D">
        <w:tc>
          <w:tcPr>
            <w:tcW w:w="5000" w:type="pct"/>
            <w:tcBorders>
              <w:top w:val="nil"/>
              <w:left w:val="nil"/>
              <w:bottom w:val="nil"/>
              <w:right w:val="nil"/>
            </w:tcBorders>
            <w:shd w:val="clear" w:color="auto" w:fill="F2F2F2"/>
          </w:tcPr>
          <w:p w14:paraId="490171CD" w14:textId="49AA1EE1" w:rsidR="00A575FF" w:rsidRDefault="00C726D1" w:rsidP="00A575FF">
            <w:pPr>
              <w:pStyle w:val="Box"/>
            </w:pPr>
            <w:r>
              <w:t>S</w:t>
            </w:r>
            <w:r w:rsidRPr="00314C71">
              <w:t xml:space="preserve">uppose we have a dependent variable Y and an independent variable </w:t>
            </w:r>
            <w:r w:rsidR="00A46B06">
              <w:t>X, where there is likely to be</w:t>
            </w:r>
            <w:r w:rsidRPr="00314C71">
              <w:t xml:space="preserve"> two-way correlation</w:t>
            </w:r>
            <w:r>
              <w:t xml:space="preserve"> or reverse causality. </w:t>
            </w:r>
            <w:r w:rsidR="00A575FF">
              <w:t xml:space="preserve">It is not possible to establish the size of the effect of X on Y using standard regression approaches. </w:t>
            </w:r>
            <w:r w:rsidR="00A575FF" w:rsidRPr="00314C71">
              <w:t>Instrumental variables are a</w:t>
            </w:r>
            <w:r w:rsidR="00A575FF">
              <w:t>n econometric</w:t>
            </w:r>
            <w:r w:rsidR="00A575FF" w:rsidRPr="00314C71">
              <w:t xml:space="preserve"> method </w:t>
            </w:r>
            <w:r w:rsidR="00C2695F">
              <w:t>that</w:t>
            </w:r>
            <w:r w:rsidR="00A575FF">
              <w:t xml:space="preserve"> can be used </w:t>
            </w:r>
            <w:r w:rsidR="00A575FF" w:rsidRPr="00314C71">
              <w:t xml:space="preserve">to </w:t>
            </w:r>
            <w:r w:rsidR="00A575FF">
              <w:t>resolve problems of reverse causality.</w:t>
            </w:r>
          </w:p>
          <w:p w14:paraId="71B7D7CD" w14:textId="655BCC68" w:rsidR="00C726D1" w:rsidRDefault="00C726D1" w:rsidP="0004104D">
            <w:pPr>
              <w:pStyle w:val="Box"/>
            </w:pPr>
            <w:r>
              <w:t>An instrument</w:t>
            </w:r>
            <w:r w:rsidRPr="00314C71">
              <w:t xml:space="preserve">, Z, is a variable </w:t>
            </w:r>
            <w:r>
              <w:t xml:space="preserve">which is correlated with X, </w:t>
            </w:r>
            <w:r w:rsidRPr="00BE6C19">
              <w:rPr>
                <w:i/>
              </w:rPr>
              <w:t>and</w:t>
            </w:r>
            <w:r>
              <w:t xml:space="preserve"> </w:t>
            </w:r>
            <w:r w:rsidRPr="00314C71">
              <w:t>correlated with Y — but only through its effect on X. In other words, the instrument should</w:t>
            </w:r>
            <w:r>
              <w:t xml:space="preserve"> change X and only change Y </w:t>
            </w:r>
            <w:r w:rsidRPr="00B63EF3">
              <w:rPr>
                <w:i/>
              </w:rPr>
              <w:t>through</w:t>
            </w:r>
            <w:r>
              <w:t xml:space="preserve"> its effect on X,</w:t>
            </w:r>
            <w:r w:rsidRPr="00314C71">
              <w:t xml:space="preserve"> allowing for the identification of a causal effect.</w:t>
            </w:r>
          </w:p>
          <w:p w14:paraId="34DECD88" w14:textId="77777777" w:rsidR="00C726D1" w:rsidRDefault="00C726D1" w:rsidP="0004104D">
            <w:pPr>
              <w:pStyle w:val="Box"/>
              <w:jc w:val="center"/>
            </w:pPr>
            <w:r w:rsidRPr="00D937AE">
              <w:rPr>
                <w:noProof/>
              </w:rPr>
              <w:drawing>
                <wp:inline distT="0" distB="0" distL="0" distR="0" wp14:anchorId="383AEDBA" wp14:editId="65CFC55E">
                  <wp:extent cx="3505200" cy="975360"/>
                  <wp:effectExtent l="0" t="0" r="0" b="0"/>
                  <wp:docPr id="8" name="Picture 8" descr="This figure demonstrates how an instrumental variable can be used to assist in establishing a causal relationship. The figure shows two variables, X and Y, which have bi-directional causality. An instrument, Z, can affect the independent variable, X, which induces a change in the dependent variable, Y, so that the causal effect of X on Y can be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0" cy="975360"/>
                          </a:xfrm>
                          <a:prstGeom prst="rect">
                            <a:avLst/>
                          </a:prstGeom>
                          <a:noFill/>
                          <a:ln>
                            <a:noFill/>
                          </a:ln>
                        </pic:spPr>
                      </pic:pic>
                    </a:graphicData>
                  </a:graphic>
                </wp:inline>
              </w:drawing>
            </w:r>
          </w:p>
          <w:p w14:paraId="627FB033" w14:textId="77777777" w:rsidR="00C726D1" w:rsidRDefault="00C726D1" w:rsidP="0004104D">
            <w:pPr>
              <w:pStyle w:val="Box"/>
            </w:pPr>
            <w:r>
              <w:t>For example, suppose that we are interested in the effect of hours of attendance at a tutoring program (X) on grades (Y). The relationship between these two are likely to exhibit reverse causality — more hours at the tutoring program is likely to lead to higher grades, and students with lower grades may attend for more hours. A potential instrument for the tutoring program could be proximity to the tutoring program (Z), which can be argued to affect the hours of attendance (X) directly, and to only affect grades (Y) through its effect on hours of attendance (X).</w:t>
            </w:r>
          </w:p>
          <w:p w14:paraId="57976D8B" w14:textId="797E2736" w:rsidR="00C726D1" w:rsidRDefault="00C726D1" w:rsidP="004954AC">
            <w:pPr>
              <w:pStyle w:val="Box"/>
            </w:pPr>
            <w:r>
              <w:t>The choice of the instrument, Z, is crucial as it is up to the researcher to argue that the instrument affects X, but is only correlated with Y through its effect on X</w:t>
            </w:r>
            <w:r w:rsidR="004954AC">
              <w:t>.</w:t>
            </w:r>
          </w:p>
        </w:tc>
      </w:tr>
      <w:tr w:rsidR="00C726D1" w14:paraId="158E6135" w14:textId="77777777" w:rsidTr="0004104D">
        <w:tc>
          <w:tcPr>
            <w:tcW w:w="5000" w:type="pct"/>
            <w:tcBorders>
              <w:top w:val="nil"/>
              <w:left w:val="nil"/>
              <w:bottom w:val="single" w:sz="6" w:space="0" w:color="78A22F"/>
              <w:right w:val="nil"/>
            </w:tcBorders>
            <w:shd w:val="clear" w:color="auto" w:fill="F2F2F2"/>
          </w:tcPr>
          <w:p w14:paraId="59510DE1" w14:textId="77777777" w:rsidR="00C726D1" w:rsidRDefault="00C726D1" w:rsidP="0004104D">
            <w:pPr>
              <w:pStyle w:val="Box"/>
              <w:spacing w:before="0" w:line="120" w:lineRule="exact"/>
            </w:pPr>
          </w:p>
        </w:tc>
      </w:tr>
      <w:tr w:rsidR="00C726D1" w:rsidRPr="000863A5" w14:paraId="6F194A0E" w14:textId="77777777" w:rsidTr="0004104D">
        <w:tc>
          <w:tcPr>
            <w:tcW w:w="5000" w:type="pct"/>
            <w:tcBorders>
              <w:top w:val="single" w:sz="6" w:space="0" w:color="78A22F"/>
              <w:left w:val="nil"/>
              <w:bottom w:val="nil"/>
              <w:right w:val="nil"/>
            </w:tcBorders>
          </w:tcPr>
          <w:p w14:paraId="1233FA62" w14:textId="0083D91C" w:rsidR="00C726D1" w:rsidRPr="00626D32" w:rsidRDefault="00C726D1" w:rsidP="0004104D">
            <w:pPr>
              <w:pStyle w:val="BoxSpaceBelow"/>
            </w:pPr>
          </w:p>
        </w:tc>
      </w:tr>
    </w:tbl>
    <w:p w14:paraId="36F9FE45" w14:textId="4FF9FC16" w:rsidR="00FD3EB1" w:rsidRDefault="0030669E" w:rsidP="0030669E">
      <w:pPr>
        <w:pStyle w:val="BodyText"/>
      </w:pPr>
      <w:r>
        <w:t xml:space="preserve">This ‘death of a close friend’ instrument is found to be correlated with mental health, but independent of labour market outcomes. A literature review conducted by </w:t>
      </w:r>
      <w:proofErr w:type="spellStart"/>
      <w:r>
        <w:t>Frijters</w:t>
      </w:r>
      <w:proofErr w:type="spellEnd"/>
      <w:r>
        <w:t xml:space="preserve"> et al. </w:t>
      </w:r>
      <w:r w:rsidR="000011C0" w:rsidRPr="000011C0">
        <w:t>(2014)</w:t>
      </w:r>
      <w:r w:rsidR="000011C0">
        <w:t xml:space="preserve"> </w:t>
      </w:r>
      <w:r>
        <w:t xml:space="preserve">finds that stressful life events can have substantial </w:t>
      </w:r>
      <w:r w:rsidR="007376B8">
        <w:t>impacts on mental health and can</w:t>
      </w:r>
      <w:r>
        <w:t xml:space="preserve"> increase symptoms</w:t>
      </w:r>
      <w:r w:rsidR="00862144">
        <w:t xml:space="preserve"> of depression</w:t>
      </w:r>
      <w:r>
        <w:t xml:space="preserve">. </w:t>
      </w:r>
      <w:r w:rsidR="00862144">
        <w:t>D</w:t>
      </w:r>
      <w:r>
        <w:t xml:space="preserve">ata from </w:t>
      </w:r>
      <w:r w:rsidR="0086642C">
        <w:t>the Housing, Income and Labour Dynamics in Australia (HILDA) survey</w:t>
      </w:r>
      <w:r>
        <w:t xml:space="preserve"> supports these findings</w:t>
      </w:r>
      <w:r w:rsidR="007376B8">
        <w:t xml:space="preserve"> — people who have experienced the</w:t>
      </w:r>
      <w:r>
        <w:t xml:space="preserve"> death of a close friend in the past 3 years ar</w:t>
      </w:r>
      <w:r w:rsidR="00B17D8F">
        <w:t>e more likely to be in the left</w:t>
      </w:r>
      <w:r w:rsidR="00862144">
        <w:noBreakHyphen/>
      </w:r>
      <w:r>
        <w:t xml:space="preserve">tail of the distribution of </w:t>
      </w:r>
      <w:r w:rsidR="004A2F85">
        <w:t xml:space="preserve">mental health </w:t>
      </w:r>
      <w:r>
        <w:t xml:space="preserve">scores (figure </w:t>
      </w:r>
      <w:r w:rsidR="00526644">
        <w:t>F.2</w:t>
      </w:r>
      <w:r>
        <w:t>).</w:t>
      </w:r>
    </w:p>
    <w:p w14:paraId="66AA3A9C" w14:textId="597A4A63" w:rsidR="0030669E" w:rsidRDefault="0030669E" w:rsidP="0030669E">
      <w:pPr>
        <w:pStyle w:val="BodyText"/>
      </w:pPr>
      <w:proofErr w:type="spellStart"/>
      <w:r>
        <w:t>Frijters</w:t>
      </w:r>
      <w:proofErr w:type="spellEnd"/>
      <w:r>
        <w:t xml:space="preserve"> et al. </w:t>
      </w:r>
      <w:r w:rsidR="000011C0" w:rsidRPr="000011C0">
        <w:t>(2014)</w:t>
      </w:r>
      <w:r w:rsidR="000011C0">
        <w:t xml:space="preserve"> </w:t>
      </w:r>
      <w:r>
        <w:t>also argue</w:t>
      </w:r>
      <w:r w:rsidR="005239EC">
        <w:t>d</w:t>
      </w:r>
      <w:r>
        <w:t xml:space="preserve"> that the use of ‘death of a close friend’ as an instrument is more appropriate than using </w:t>
      </w:r>
      <w:r w:rsidR="00B17D8F">
        <w:t xml:space="preserve">the </w:t>
      </w:r>
      <w:r>
        <w:t xml:space="preserve">‘death of a relative’ or </w:t>
      </w:r>
      <w:r w:rsidR="00B17D8F">
        <w:t xml:space="preserve">the </w:t>
      </w:r>
      <w:r>
        <w:t xml:space="preserve">‘death of a spouse or child’. The authors suggest that it is conceivable that a person will take time off </w:t>
      </w:r>
      <w:r w:rsidR="005239EC">
        <w:t>work to look after a terminally</w:t>
      </w:r>
      <w:r w:rsidR="005239EC">
        <w:noBreakHyphen/>
      </w:r>
      <w:r>
        <w:t>ill parent or their spouse/child after these events, whereas it is less likely in the</w:t>
      </w:r>
      <w:r w:rsidR="007376B8">
        <w:t xml:space="preserve"> case of a terminally-ill friend</w:t>
      </w:r>
      <w:r>
        <w:t>.</w:t>
      </w:r>
    </w:p>
    <w:p w14:paraId="58CA97AA" w14:textId="5D2CA91D" w:rsidR="00746BD5" w:rsidRDefault="00746BD5" w:rsidP="00903ED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46BD5" w14:paraId="0A1BFAEC" w14:textId="77777777" w:rsidTr="00903EDE">
        <w:trPr>
          <w:tblHeader/>
        </w:trPr>
        <w:tc>
          <w:tcPr>
            <w:tcW w:w="5000" w:type="pct"/>
            <w:tcBorders>
              <w:top w:val="single" w:sz="6" w:space="0" w:color="78A22F"/>
              <w:left w:val="nil"/>
              <w:bottom w:val="nil"/>
              <w:right w:val="nil"/>
            </w:tcBorders>
            <w:shd w:val="clear" w:color="auto" w:fill="auto"/>
          </w:tcPr>
          <w:p w14:paraId="1D20B066" w14:textId="2E37337D" w:rsidR="00746BD5" w:rsidRPr="00176D3F" w:rsidRDefault="00746BD5" w:rsidP="00526644">
            <w:pPr>
              <w:pStyle w:val="FigureTitle"/>
            </w:pPr>
            <w:r w:rsidRPr="00784A05">
              <w:rPr>
                <w:b w:val="0"/>
              </w:rPr>
              <w:t xml:space="preserve">Figure </w:t>
            </w:r>
            <w:r w:rsidR="00526644">
              <w:rPr>
                <w:b w:val="0"/>
              </w:rPr>
              <w:t>F.2</w:t>
            </w:r>
            <w:r>
              <w:tab/>
              <w:t xml:space="preserve">The </w:t>
            </w:r>
            <w:r w:rsidR="00233A83">
              <w:t xml:space="preserve">‘death of a </w:t>
            </w:r>
            <w:r w:rsidR="001F653D">
              <w:t xml:space="preserve">close </w:t>
            </w:r>
            <w:r w:rsidR="00233A83">
              <w:t>friend’</w:t>
            </w:r>
            <w:r w:rsidR="001F653D">
              <w:t xml:space="preserve"> </w:t>
            </w:r>
            <w:r>
              <w:t>instrument is correlated with poorer mental health</w:t>
            </w:r>
          </w:p>
        </w:tc>
      </w:tr>
      <w:tr w:rsidR="00746BD5" w14:paraId="2AEF8873" w14:textId="77777777" w:rsidTr="00903ED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46BD5" w:rsidRPr="00B1465D" w14:paraId="39A916AA" w14:textId="77777777" w:rsidTr="00903EDE">
              <w:trPr>
                <w:tblHeader/>
                <w:jc w:val="center"/>
              </w:trPr>
              <w:tc>
                <w:tcPr>
                  <w:tcW w:w="5000" w:type="pct"/>
                  <w:tcBorders>
                    <w:top w:val="nil"/>
                    <w:bottom w:val="nil"/>
                  </w:tcBorders>
                </w:tcPr>
                <w:p w14:paraId="6E75D63F" w14:textId="2515249C" w:rsidR="00746BD5" w:rsidRPr="00B1465D" w:rsidRDefault="00DD608D" w:rsidP="00903EDE">
                  <w:pPr>
                    <w:pStyle w:val="Figure"/>
                    <w:spacing w:before="60" w:after="60"/>
                    <w:rPr>
                      <w:rFonts w:ascii="Arial" w:hAnsi="Arial" w:cs="Arial"/>
                      <w:sz w:val="18"/>
                      <w:szCs w:val="18"/>
                    </w:rPr>
                  </w:pPr>
                  <w:r>
                    <w:rPr>
                      <w:rFonts w:ascii="Arial" w:hAnsi="Arial" w:cs="Arial"/>
                      <w:noProof/>
                      <w:sz w:val="18"/>
                      <w:szCs w:val="18"/>
                    </w:rPr>
                    <w:drawing>
                      <wp:inline distT="0" distB="0" distL="0" distR="0" wp14:anchorId="372A302A" wp14:editId="68955D05">
                        <wp:extent cx="5379720" cy="2690778"/>
                        <wp:effectExtent l="0" t="0" r="0" b="0"/>
                        <wp:docPr id="10" name="Picture 10" descr="This figure shows that the instrumental variable used is a strong and valid instrument. The distribution of mental health is shown as a density plot, split by people who have had a friend who has died in the past 3 years and those who have not. It shows that people who have experienced a friend dying in the past three years are more likely to have poor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ath_Friend_Density.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81570" cy="2691703"/>
                                </a:xfrm>
                                <a:prstGeom prst="rect">
                                  <a:avLst/>
                                </a:prstGeom>
                              </pic:spPr>
                            </pic:pic>
                          </a:graphicData>
                        </a:graphic>
                      </wp:inline>
                    </w:drawing>
                  </w:r>
                </w:p>
              </w:tc>
            </w:tr>
          </w:tbl>
          <w:p w14:paraId="26D74144" w14:textId="77777777" w:rsidR="00746BD5" w:rsidRDefault="00746BD5" w:rsidP="00903EDE">
            <w:pPr>
              <w:pStyle w:val="Figure"/>
            </w:pPr>
          </w:p>
        </w:tc>
      </w:tr>
      <w:tr w:rsidR="00746BD5" w:rsidRPr="00176D3F" w14:paraId="1A87E21F" w14:textId="77777777" w:rsidTr="00903EDE">
        <w:tc>
          <w:tcPr>
            <w:tcW w:w="5000" w:type="pct"/>
            <w:tcBorders>
              <w:top w:val="nil"/>
              <w:left w:val="nil"/>
              <w:bottom w:val="nil"/>
              <w:right w:val="nil"/>
            </w:tcBorders>
            <w:shd w:val="clear" w:color="auto" w:fill="auto"/>
          </w:tcPr>
          <w:p w14:paraId="2A9B152B" w14:textId="44F5ACD4" w:rsidR="00746BD5" w:rsidRPr="00176D3F" w:rsidRDefault="005239EC" w:rsidP="005239EC">
            <w:pPr>
              <w:pStyle w:val="Source"/>
            </w:pPr>
            <w:r>
              <w:rPr>
                <w:i/>
              </w:rPr>
              <w:t>S</w:t>
            </w:r>
            <w:r w:rsidR="00746BD5" w:rsidRPr="00784A05">
              <w:rPr>
                <w:i/>
              </w:rPr>
              <w:t>ource</w:t>
            </w:r>
            <w:r w:rsidR="00746BD5" w:rsidRPr="00176D3F">
              <w:t xml:space="preserve">: </w:t>
            </w:r>
            <w:r w:rsidR="00FD3EB1">
              <w:t>Housing, Income and Labour Dynamics in Australia</w:t>
            </w:r>
            <w:r w:rsidR="00F969C0">
              <w:t xml:space="preserve">, waves </w:t>
            </w:r>
            <w:r w:rsidR="00256805">
              <w:t>2</w:t>
            </w:r>
            <w:r w:rsidR="00862144">
              <w:t>–</w:t>
            </w:r>
            <w:r w:rsidR="00F969C0">
              <w:t>17</w:t>
            </w:r>
            <w:r w:rsidR="00FD3EB1">
              <w:t>.</w:t>
            </w:r>
          </w:p>
        </w:tc>
      </w:tr>
      <w:tr w:rsidR="00746BD5" w14:paraId="4C353E9C" w14:textId="77777777" w:rsidTr="00903EDE">
        <w:tc>
          <w:tcPr>
            <w:tcW w:w="5000" w:type="pct"/>
            <w:tcBorders>
              <w:top w:val="nil"/>
              <w:left w:val="nil"/>
              <w:bottom w:val="single" w:sz="6" w:space="0" w:color="78A22F"/>
              <w:right w:val="nil"/>
            </w:tcBorders>
            <w:shd w:val="clear" w:color="auto" w:fill="auto"/>
          </w:tcPr>
          <w:p w14:paraId="69FA8E62" w14:textId="77777777" w:rsidR="00746BD5" w:rsidRDefault="00746BD5" w:rsidP="00903EDE">
            <w:pPr>
              <w:pStyle w:val="Figurespace"/>
            </w:pPr>
          </w:p>
        </w:tc>
      </w:tr>
      <w:tr w:rsidR="00746BD5" w:rsidRPr="000863A5" w14:paraId="407BBC1D" w14:textId="77777777" w:rsidTr="00903EDE">
        <w:tc>
          <w:tcPr>
            <w:tcW w:w="5000" w:type="pct"/>
            <w:tcBorders>
              <w:top w:val="single" w:sz="6" w:space="0" w:color="78A22F"/>
              <w:left w:val="nil"/>
              <w:bottom w:val="nil"/>
              <w:right w:val="nil"/>
            </w:tcBorders>
          </w:tcPr>
          <w:p w14:paraId="31AFCDED" w14:textId="1560A23E" w:rsidR="00746BD5" w:rsidRPr="00626D32" w:rsidRDefault="00746BD5" w:rsidP="00903EDE">
            <w:pPr>
              <w:pStyle w:val="BoxSpaceBelow"/>
            </w:pPr>
          </w:p>
        </w:tc>
      </w:tr>
    </w:tbl>
    <w:p w14:paraId="412D84C5" w14:textId="3A9F94D0" w:rsidR="0002593F" w:rsidRDefault="0002593F" w:rsidP="0002593F">
      <w:pPr>
        <w:pStyle w:val="BodyText"/>
      </w:pPr>
      <w:r>
        <w:t>The first stage equation is a linear regression:</w:t>
      </w:r>
    </w:p>
    <w:p w14:paraId="0A4B5E20" w14:textId="3C405889" w:rsidR="0002593F" w:rsidRDefault="005D64C3" w:rsidP="00DA10DB">
      <w:pPr>
        <w:pStyle w:val="BodyText"/>
        <w:tabs>
          <w:tab w:val="right" w:pos="8505"/>
        </w:tabs>
      </w:pPr>
      <m:oMath>
        <m:r>
          <m:rPr>
            <m:sty m:val="p"/>
          </m:rPr>
          <w:rPr>
            <w:rFonts w:ascii="Cambria Math" w:hAnsi="Cambria Math"/>
          </w:rPr>
          <m:t>MH</m:t>
        </m:r>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γ+δ×</m:t>
        </m:r>
        <m:r>
          <m:rPr>
            <m:sty m:val="p"/>
          </m:rPr>
          <w:rPr>
            <w:rFonts w:ascii="Cambria Math" w:hAnsi="Cambria Math"/>
          </w:rPr>
          <m:t>Death of friend</m:t>
        </m:r>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m:t>
            </m:r>
          </m:sub>
        </m:sSub>
      </m:oMath>
      <w:r w:rsidR="0002593F">
        <w:tab/>
        <w:t>[1]</w:t>
      </w:r>
    </w:p>
    <w:p w14:paraId="0516EA90" w14:textId="681D838C" w:rsidR="00C85A4D" w:rsidRPr="00C85A4D" w:rsidRDefault="00C85A4D" w:rsidP="001C0C55">
      <w:pPr>
        <w:pStyle w:val="BodyText"/>
      </w:pPr>
      <w:r>
        <w:t xml:space="preserve">where </w:t>
      </w:r>
      <m:oMath>
        <m:r>
          <m:rPr>
            <m:sty m:val="p"/>
          </m:rPr>
          <w:rPr>
            <w:rFonts w:ascii="Cambria Math" w:hAnsi="Cambria Math"/>
          </w:rPr>
          <m:t>MH</m:t>
        </m:r>
      </m:oMath>
      <w:r w:rsidR="004A2F85">
        <w:t xml:space="preserve"> represents a measure of mental health,</w:t>
      </w:r>
      <w:r>
        <w:t xml:space="preserve"> </w:t>
      </w:r>
      <m:oMath>
        <m:sSub>
          <m:sSubPr>
            <m:ctrlPr>
              <w:rPr>
                <w:rFonts w:ascii="Cambria Math" w:hAnsi="Cambria Math"/>
                <w:i/>
              </w:rPr>
            </m:ctrlPr>
          </m:sSubPr>
          <m:e>
            <m:r>
              <w:rPr>
                <w:rFonts w:ascii="Cambria Math" w:hAnsi="Cambria Math"/>
              </w:rPr>
              <m:t>α</m:t>
            </m:r>
          </m:e>
          <m:sub>
            <m:r>
              <w:rPr>
                <w:rFonts w:ascii="Cambria Math" w:hAnsi="Cambria Math"/>
              </w:rPr>
              <m:t>1</m:t>
            </m:r>
          </m:sub>
        </m:sSub>
      </m:oMath>
      <w:r>
        <w:t xml:space="preserve"> is the</w:t>
      </w:r>
      <w:r w:rsidR="00293564">
        <w:t xml:space="preserve"> parameter for the intercept</w:t>
      </w:r>
      <w:r>
        <w:t xml:space="preserve">,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 xml:space="preserve"> is a matrix of independent variables, </w:t>
      </w:r>
      <m:oMath>
        <m:r>
          <w:rPr>
            <w:rFonts w:ascii="Cambria Math" w:hAnsi="Cambria Math"/>
          </w:rPr>
          <m:t>γ</m:t>
        </m:r>
      </m:oMath>
      <w:r>
        <w:t xml:space="preserve"> is a </w:t>
      </w:r>
      <w:r w:rsidR="00293564">
        <w:t xml:space="preserve">vector of parameters, </w:t>
      </w:r>
      <m:oMath>
        <m:r>
          <m:rPr>
            <m:sty m:val="p"/>
          </m:rPr>
          <w:rPr>
            <w:rFonts w:ascii="Cambria Math" w:hAnsi="Cambria Math"/>
          </w:rPr>
          <m:t>Death of friend</m:t>
        </m:r>
      </m:oMath>
      <w:r w:rsidR="00293564">
        <w:t xml:space="preserve"> is the instrument, </w:t>
      </w:r>
      <m:oMath>
        <m:r>
          <w:rPr>
            <w:rFonts w:ascii="Cambria Math" w:hAnsi="Cambria Math"/>
          </w:rPr>
          <m:t>δ</m:t>
        </m:r>
      </m:oMath>
      <w:r w:rsidR="00293564">
        <w:t xml:space="preserve"> is the parameter associated with the instrument, and </w:t>
      </w:r>
      <m:oMath>
        <m:sSub>
          <m:sSubPr>
            <m:ctrlPr>
              <w:rPr>
                <w:rFonts w:ascii="Cambria Math" w:hAnsi="Cambria Math"/>
                <w:i/>
              </w:rPr>
            </m:ctrlPr>
          </m:sSubPr>
          <m:e>
            <m:r>
              <w:rPr>
                <w:rFonts w:ascii="Cambria Math" w:hAnsi="Cambria Math"/>
              </w:rPr>
              <m:t>ε</m:t>
            </m:r>
          </m:e>
          <m:sub>
            <m:r>
              <w:rPr>
                <w:rFonts w:ascii="Cambria Math" w:hAnsi="Cambria Math"/>
              </w:rPr>
              <m:t>1</m:t>
            </m:r>
          </m:sub>
        </m:sSub>
      </m:oMath>
      <w:r w:rsidR="00293564">
        <w:t xml:space="preserve"> is a vector of independently and identically normally distributed random variables with variance </w:t>
      </w:r>
      <m:oMath>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oMath>
      <w:r w:rsidR="00293564">
        <w:t>.</w:t>
      </w:r>
    </w:p>
    <w:p w14:paraId="7C0A7F09" w14:textId="46F75706" w:rsidR="00DF0927" w:rsidRDefault="0002593F" w:rsidP="001C0C55">
      <w:pPr>
        <w:pStyle w:val="BodyText"/>
      </w:pPr>
      <w:r>
        <w:t xml:space="preserve">The results of the first stage equation are used in several ways. The residuals are used in the second stage </w:t>
      </w:r>
      <w:r w:rsidR="00A56749">
        <w:t>regression</w:t>
      </w:r>
      <w:r>
        <w:t xml:space="preserve"> (</w:t>
      </w:r>
      <w:r w:rsidR="002E1042">
        <w:t>multinomial logistic</w:t>
      </w:r>
      <w:r w:rsidR="00CA05AF">
        <w:t xml:space="preserve"> regression</w:t>
      </w:r>
      <w:r>
        <w:t xml:space="preserve"> for employment</w:t>
      </w:r>
      <w:r w:rsidR="00B17D8F">
        <w:t xml:space="preserve"> outcomes</w:t>
      </w:r>
      <w:r>
        <w:t>) as part</w:t>
      </w:r>
      <w:r w:rsidR="00724D1C">
        <w:t xml:space="preserve"> of a control function approach,</w:t>
      </w:r>
      <w:r>
        <w:t xml:space="preserve"> and the fitted values a</w:t>
      </w:r>
      <w:r w:rsidR="00A56749">
        <w:t>re used in the third stage wage regression</w:t>
      </w:r>
      <w:r>
        <w:t xml:space="preserve"> (linear regression) and </w:t>
      </w:r>
      <w:r w:rsidR="00A56749">
        <w:t xml:space="preserve">the </w:t>
      </w:r>
      <w:r>
        <w:t xml:space="preserve">QALY </w:t>
      </w:r>
      <w:r w:rsidR="00A56749">
        <w:t>regression</w:t>
      </w:r>
      <w:r>
        <w:t xml:space="preserve"> (line</w:t>
      </w:r>
      <w:r w:rsidR="00F77753">
        <w:t>ar regression) as part of a two</w:t>
      </w:r>
      <w:r w:rsidR="00F77753">
        <w:noBreakHyphen/>
      </w:r>
      <w:r>
        <w:t xml:space="preserve">stage </w:t>
      </w:r>
      <w:r w:rsidR="00B17D8F">
        <w:t xml:space="preserve">least squares </w:t>
      </w:r>
      <w:r>
        <w:t>approach.</w:t>
      </w:r>
    </w:p>
    <w:p w14:paraId="39B86DF0" w14:textId="769D91CB" w:rsidR="00DF0927" w:rsidRPr="002429D4" w:rsidRDefault="00F24D13" w:rsidP="00771F45">
      <w:pPr>
        <w:pStyle w:val="Heading4"/>
      </w:pPr>
      <w:r>
        <w:t>Mental health and</w:t>
      </w:r>
      <w:r w:rsidR="00DF0927">
        <w:t xml:space="preserve"> employment</w:t>
      </w:r>
    </w:p>
    <w:p w14:paraId="58DFC887" w14:textId="44F63FC0" w:rsidR="00B75C99" w:rsidRDefault="00B75C99" w:rsidP="00B75C99">
      <w:pPr>
        <w:pStyle w:val="BodyText"/>
      </w:pPr>
      <w:r>
        <w:t>The second stage equation is a multinomial logistic regression, which controls for the endogenous variable (</w:t>
      </w:r>
      <w:r w:rsidR="005D64C3">
        <w:t>mental health</w:t>
      </w:r>
      <w:r>
        <w:t xml:space="preserve">) by including the residuals from the first stage as an explanatory variable. </w:t>
      </w:r>
      <m:oMath>
        <m:r>
          <w:rPr>
            <w:rFonts w:ascii="Cambria Math" w:hAnsi="Cambria Math"/>
          </w:rPr>
          <m:t>L</m:t>
        </m:r>
      </m:oMath>
      <w:r w:rsidRPr="00B75C99">
        <w:t xml:space="preserve"> is a </w:t>
      </w:r>
      <w:r>
        <w:t xml:space="preserve">categorical </w:t>
      </w:r>
      <w:r w:rsidRPr="00B75C99">
        <w:t xml:space="preserve">variable for </w:t>
      </w:r>
      <w:r w:rsidR="0084712C">
        <w:t>labour force</w:t>
      </w:r>
      <w:r w:rsidRPr="00B75C99">
        <w:t xml:space="preserve"> status</w:t>
      </w:r>
      <w:r>
        <w:t>, where the model assumes that people can either be employed full-time, employed part-time, unemployed, or not in the labour force.</w:t>
      </w:r>
    </w:p>
    <w:p w14:paraId="5B7190F2" w14:textId="269103F1" w:rsidR="00B75C99" w:rsidRDefault="0084712C" w:rsidP="00DA10DB">
      <w:pPr>
        <w:pStyle w:val="BodyText"/>
        <w:tabs>
          <w:tab w:val="right" w:pos="8505"/>
        </w:tabs>
      </w:pPr>
      <m:oMath>
        <m:r>
          <w:rPr>
            <w:rFonts w:ascii="Cambria Math" w:hAnsi="Cambria Math"/>
          </w:rPr>
          <m:t>L=</m:t>
        </m:r>
        <m:r>
          <m:rPr>
            <m:sty m:val="p"/>
          </m:rPr>
          <w:rPr>
            <w:rFonts w:ascii="Cambria Math" w:hAnsi="Cambria Math"/>
          </w:rPr>
          <m:t>Multinomial Logistic</m:t>
        </m:r>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β+τ×</m:t>
            </m:r>
            <m:r>
              <m:rPr>
                <m:sty m:val="p"/>
              </m:rPr>
              <w:rPr>
                <w:rFonts w:ascii="Cambria Math" w:hAnsi="Cambria Math"/>
              </w:rPr>
              <m:t>MH</m:t>
            </m:r>
            <m:r>
              <w:rPr>
                <w:rFonts w:ascii="Cambria Math" w:hAnsi="Cambria Math"/>
              </w:rPr>
              <m:t>+ϕ</m:t>
            </m:r>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1</m:t>
                </m:r>
              </m:sub>
            </m:sSub>
          </m:e>
        </m:d>
      </m:oMath>
      <w:r w:rsidR="00342DEC">
        <w:tab/>
        <w:t>[2]</w:t>
      </w:r>
    </w:p>
    <w:p w14:paraId="06E86808" w14:textId="557C04DF" w:rsidR="00FC47DD" w:rsidRDefault="00FC47DD" w:rsidP="00B75C99">
      <w:pPr>
        <w:pStyle w:val="BodyText"/>
      </w:pPr>
      <w:r>
        <w:lastRenderedPageBreak/>
        <w:t xml:space="preserve">where </w:t>
      </w:r>
      <m:oMath>
        <m:sSub>
          <m:sSubPr>
            <m:ctrlPr>
              <w:rPr>
                <w:rFonts w:ascii="Cambria Math" w:hAnsi="Cambria Math"/>
                <w:i/>
              </w:rPr>
            </m:ctrlPr>
          </m:sSubPr>
          <m:e>
            <m:r>
              <w:rPr>
                <w:rFonts w:ascii="Cambria Math" w:hAnsi="Cambria Math"/>
              </w:rPr>
              <m:t>α</m:t>
            </m:r>
          </m:e>
          <m:sub>
            <m:r>
              <w:rPr>
                <w:rFonts w:ascii="Cambria Math" w:hAnsi="Cambria Math"/>
              </w:rPr>
              <m:t>2</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 xml:space="preserve"> is a matrix of independent variables, </w:t>
      </w:r>
      <m:oMath>
        <m:r>
          <w:rPr>
            <w:rFonts w:ascii="Cambria Math" w:hAnsi="Cambria Math"/>
          </w:rPr>
          <m:t>β</m:t>
        </m:r>
      </m:oMath>
      <w:r>
        <w:t xml:space="preserve"> is a vector of parameters</w:t>
      </w:r>
      <w:r w:rsidR="004C1E1D">
        <w:t>,</w:t>
      </w:r>
      <w:r>
        <w:t xml:space="preserve"> </w:t>
      </w:r>
      <m:oMath>
        <m:r>
          <w:rPr>
            <w:rFonts w:ascii="Cambria Math" w:hAnsi="Cambria Math"/>
          </w:rPr>
          <m:t>τ</m:t>
        </m:r>
      </m:oMath>
      <w:r>
        <w:t xml:space="preserve"> is the parameter associated with </w:t>
      </w:r>
      <w:r w:rsidR="004C1E1D">
        <w:t>M</w:t>
      </w:r>
      <w:r w:rsidR="005D64C3">
        <w:t>H</w:t>
      </w:r>
      <w:r w:rsidR="00B8590D">
        <w:t>,</w:t>
      </w:r>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ε</m:t>
                </m:r>
              </m:e>
            </m:acc>
          </m:e>
          <m:sub>
            <m:r>
              <w:rPr>
                <w:rFonts w:ascii="Cambria Math" w:hAnsi="Cambria Math"/>
              </w:rPr>
              <m:t>1</m:t>
            </m:r>
          </m:sub>
        </m:sSub>
        <m:r>
          <w:rPr>
            <w:rFonts w:ascii="Cambria Math" w:hAnsi="Cambria Math"/>
          </w:rPr>
          <m:t>=</m:t>
        </m:r>
        <m:r>
          <m:rPr>
            <m:sty m:val="p"/>
          </m:rPr>
          <w:rPr>
            <w:rFonts w:ascii="Cambria Math" w:hAnsi="Cambria Math"/>
          </w:rPr>
          <m:t>MH</m:t>
        </m:r>
        <m:r>
          <w:rPr>
            <w:rFonts w:ascii="Cambria Math" w:hAnsi="Cambria Math"/>
          </w:rPr>
          <m:t xml:space="preserve">- </m:t>
        </m:r>
        <m:acc>
          <m:accPr>
            <m:ctrlPr>
              <w:rPr>
                <w:rFonts w:ascii="Cambria Math" w:hAnsi="Cambria Math"/>
                <w:i/>
              </w:rPr>
            </m:ctrlPr>
          </m:accPr>
          <m:e>
            <m:r>
              <m:rPr>
                <m:sty m:val="p"/>
              </m:rPr>
              <w:rPr>
                <w:rFonts w:ascii="Cambria Math" w:hAnsi="Cambria Math"/>
              </w:rPr>
              <m:t>MH</m:t>
            </m:r>
          </m:e>
        </m:acc>
      </m:oMath>
      <w:r>
        <w:t xml:space="preserve"> </w:t>
      </w:r>
      <w:r w:rsidR="00AA74B4">
        <w:t>is</w:t>
      </w:r>
      <w:r w:rsidR="004C1E1D">
        <w:t xml:space="preserve"> the residuals from the first stage equation, and </w:t>
      </w:r>
      <m:oMath>
        <m:r>
          <w:rPr>
            <w:rFonts w:ascii="Cambria Math" w:hAnsi="Cambria Math"/>
          </w:rPr>
          <m:t>ϕ</m:t>
        </m:r>
      </m:oMath>
      <w:r w:rsidR="004C1E1D">
        <w:t xml:space="preserve"> is the parameter associated with the first stage residual</w:t>
      </w:r>
      <w:r>
        <w:t>.</w:t>
      </w:r>
      <w:r w:rsidR="00FB304F">
        <w:t xml:space="preserve"> </w:t>
      </w:r>
      <w:r w:rsidR="009D52C2">
        <w:t>Be</w:t>
      </w:r>
      <w:r w:rsidR="00F241CC">
        <w:t>cause</w:t>
      </w:r>
      <w:r w:rsidR="00FB304F">
        <w:t xml:space="preserve"> there are four </w:t>
      </w:r>
      <w:r w:rsidR="008E5C4B">
        <w:t>categories</w:t>
      </w:r>
      <w:r w:rsidR="00FB304F">
        <w:t>, there are three sets of coefficients estimated.</w:t>
      </w:r>
    </w:p>
    <w:p w14:paraId="0AA3862D" w14:textId="02757440" w:rsidR="00246D9E" w:rsidRDefault="00831DFF" w:rsidP="00B75C99">
      <w:pPr>
        <w:pStyle w:val="BodyText"/>
      </w:pPr>
      <w:r>
        <w:t xml:space="preserve">The </w:t>
      </w:r>
      <w:r w:rsidR="006E38FB">
        <w:t>predicted</w:t>
      </w:r>
      <w:r>
        <w:t xml:space="preserve"> probability of each labour force status can be </w:t>
      </w:r>
      <w:r w:rsidR="004C1E1D">
        <w:t>estimated</w:t>
      </w:r>
      <w:r>
        <w:t xml:space="preserve"> with the results of this regression. Let</w:t>
      </w:r>
      <w:r w:rsidR="009057BB">
        <w:t xml:space="preserve"> </w:t>
      </w:r>
      <m:oMath>
        <m:acc>
          <m:accPr>
            <m:ctrlPr>
              <w:rPr>
                <w:rFonts w:ascii="Cambria Math" w:hAnsi="Cambria Math"/>
                <w:i/>
              </w:rPr>
            </m:ctrlPr>
          </m:accPr>
          <m:e>
            <m:r>
              <w:rPr>
                <w:rFonts w:ascii="Cambria Math" w:hAnsi="Cambria Math"/>
              </w:rPr>
              <m:t>p</m:t>
            </m:r>
          </m:e>
        </m:acc>
      </m:oMath>
      <w:r w:rsidR="009057BB">
        <w:t xml:space="preserve"> be the </w:t>
      </w:r>
      <w:r w:rsidR="006E38FB">
        <w:t>predicted</w:t>
      </w:r>
      <w:r w:rsidR="009057BB">
        <w:t xml:space="preserve"> probability of</w:t>
      </w:r>
      <w:r w:rsidR="006E38FB">
        <w:t xml:space="preserve"> employment (summing up the predicted</w:t>
      </w:r>
      <w:r w:rsidR="009057BB">
        <w:t xml:space="preserve"> probability of working full-time or part-time) and </w:t>
      </w:r>
      <m:oMath>
        <m:acc>
          <m:accPr>
            <m:ctrlPr>
              <w:rPr>
                <w:rFonts w:ascii="Cambria Math" w:hAnsi="Cambria Math"/>
                <w:i/>
              </w:rPr>
            </m:ctrlPr>
          </m:accPr>
          <m:e>
            <m:r>
              <w:rPr>
                <w:rFonts w:ascii="Cambria Math" w:hAnsi="Cambria Math"/>
              </w:rPr>
              <m:t>q</m:t>
            </m:r>
          </m:e>
        </m:acc>
      </m:oMath>
      <w:r w:rsidR="009057BB">
        <w:t xml:space="preserve"> be the probability of not being employed (summing up the </w:t>
      </w:r>
      <w:r w:rsidR="006E38FB">
        <w:t>predicted</w:t>
      </w:r>
      <w:r w:rsidR="009057BB">
        <w:t xml:space="preserve"> probability of being unemployed or not in the labour force).</w:t>
      </w:r>
    </w:p>
    <w:p w14:paraId="4A32D484" w14:textId="1C1CD1DD" w:rsidR="00DF0927" w:rsidRPr="002429D4" w:rsidRDefault="00F24D13" w:rsidP="006A1EF3">
      <w:pPr>
        <w:pStyle w:val="Heading4"/>
      </w:pPr>
      <w:r>
        <w:t>Mental health and wages</w:t>
      </w:r>
    </w:p>
    <w:p w14:paraId="1B0FB71A" w14:textId="2601C875" w:rsidR="00DF0927" w:rsidRDefault="00DF0927" w:rsidP="00B63EF3">
      <w:pPr>
        <w:pStyle w:val="BodyText"/>
      </w:pPr>
      <w:r>
        <w:t xml:space="preserve">The third stage of the model estimates a wage equation. </w:t>
      </w:r>
      <w:r w:rsidR="009D52C2">
        <w:t>Because</w:t>
      </w:r>
      <w:r>
        <w:t xml:space="preserve"> we only observe wages for people who choose to work, this means that there is likely to be bias in the estimation procedure </w:t>
      </w:r>
      <w:r w:rsidR="009D52C2">
        <w:t>because</w:t>
      </w:r>
      <w:r>
        <w:t xml:space="preserve"> those who are </w:t>
      </w:r>
      <w:r w:rsidR="008E5C4B">
        <w:t xml:space="preserve">not </w:t>
      </w:r>
      <w:r>
        <w:t xml:space="preserve">employed are </w:t>
      </w:r>
      <w:r w:rsidR="00571051">
        <w:t xml:space="preserve">likely to be </w:t>
      </w:r>
      <w:r>
        <w:t>systematically different to those who are employed.</w:t>
      </w:r>
      <w:r w:rsidR="00B63EF3">
        <w:t xml:space="preserve"> For example, they tend to have lower levels of education, a greater incidence of chronic illness and a longer experience of unemployment. Human capital theory suggests that given their characteristics, if employed, these people would be expected to be less productive on average than people who are currently working, and earn lower wages.</w:t>
      </w:r>
    </w:p>
    <w:p w14:paraId="25D1ACAB" w14:textId="2D74083F" w:rsidR="00DF0927" w:rsidRDefault="002D7AF6" w:rsidP="00DF0927">
      <w:pPr>
        <w:pStyle w:val="BodyText"/>
      </w:pPr>
      <w:r>
        <w:t xml:space="preserve">One way to control for </w:t>
      </w:r>
      <w:r w:rsidR="008E5C4B">
        <w:t xml:space="preserve">the bias </w:t>
      </w:r>
      <w:r>
        <w:t>is to use a</w:t>
      </w:r>
      <w:r w:rsidR="00DF0927">
        <w:t xml:space="preserve"> </w:t>
      </w:r>
      <w:r>
        <w:t xml:space="preserve">control function </w:t>
      </w:r>
      <w:r w:rsidR="008C6731">
        <w:t xml:space="preserve">approach </w:t>
      </w:r>
      <w:r>
        <w:t xml:space="preserve">(the </w:t>
      </w:r>
      <w:r w:rsidR="00DF0927">
        <w:t xml:space="preserve">Heckman correction is </w:t>
      </w:r>
      <w:r>
        <w:t xml:space="preserve">a prominent example of this). A third order polynomial is constructed from the predicted probability of </w:t>
      </w:r>
      <w:r w:rsidR="00086AEB">
        <w:t>not being employed</w:t>
      </w:r>
      <w:r w:rsidR="008C6731">
        <w:t xml:space="preserve"> (</w:t>
      </w:r>
      <m:oMath>
        <m:acc>
          <m:accPr>
            <m:ctrlPr>
              <w:rPr>
                <w:rFonts w:ascii="Cambria Math" w:hAnsi="Cambria Math"/>
                <w:i/>
              </w:rPr>
            </m:ctrlPr>
          </m:accPr>
          <m:e>
            <m:r>
              <w:rPr>
                <w:rFonts w:ascii="Cambria Math" w:hAnsi="Cambria Math"/>
              </w:rPr>
              <m:t>q</m:t>
            </m:r>
          </m:e>
        </m:acc>
      </m:oMath>
      <w:r w:rsidR="008C6731">
        <w:t>)</w:t>
      </w:r>
      <w:r>
        <w:t xml:space="preserve"> from the second stage equation, taking into </w:t>
      </w:r>
      <w:r w:rsidR="008E5C4B">
        <w:t xml:space="preserve">account </w:t>
      </w:r>
      <w:r>
        <w:t>the possibility of full-time and part-time employment. The polynomial is then included as additional predictors in the wage equation</w:t>
      </w:r>
      <w:r w:rsidR="00DF0927">
        <w:t xml:space="preserve">, alongside the fitted value </w:t>
      </w:r>
      <w:r w:rsidR="00850E25">
        <w:t xml:space="preserve">of the </w:t>
      </w:r>
      <w:r w:rsidR="005D64C3">
        <w:t>measure of mental health</w:t>
      </w:r>
      <w:r w:rsidR="00850E25">
        <w:t xml:space="preserve"> </w:t>
      </w:r>
      <w:r>
        <w:t xml:space="preserve">from the first stage </w:t>
      </w:r>
      <w:r w:rsidR="00F61955">
        <w:t xml:space="preserve">equation </w:t>
      </w:r>
      <w:r>
        <w:t>which controls for the endogeneity between wages and mental health.</w:t>
      </w:r>
    </w:p>
    <w:p w14:paraId="77D9E553" w14:textId="76E8754D" w:rsidR="00DF0927" w:rsidRDefault="00246D9E" w:rsidP="00DA10DB">
      <w:pPr>
        <w:pStyle w:val="BodyText"/>
        <w:tabs>
          <w:tab w:val="right" w:pos="8505"/>
        </w:tabs>
      </w:pPr>
      <m:oMath>
        <m:r>
          <m:rPr>
            <m:sty m:val="p"/>
          </m:rPr>
          <w:rPr>
            <w:rFonts w:ascii="Cambria Math" w:hAnsi="Cambria Math"/>
          </w:rPr>
          <m:t>log</m:t>
        </m:r>
        <m:r>
          <w:rPr>
            <w:rFonts w:ascii="Cambria Math" w:hAnsi="Cambria Math"/>
          </w:rPr>
          <m:t>(</m:t>
        </m:r>
        <m:r>
          <m:rPr>
            <m:sty m:val="p"/>
          </m:rPr>
          <w:rPr>
            <w:rFonts w:ascii="Cambria Math" w:hAnsi="Cambria Math"/>
          </w:rPr>
          <m:t>Wage</m:t>
        </m:r>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θ+f(</m:t>
        </m:r>
        <m:acc>
          <m:accPr>
            <m:ctrlPr>
              <w:rPr>
                <w:rFonts w:ascii="Cambria Math" w:hAnsi="Cambria Math"/>
                <w:i/>
              </w:rPr>
            </m:ctrlPr>
          </m:accPr>
          <m:e>
            <m:r>
              <w:rPr>
                <w:rFonts w:ascii="Cambria Math" w:hAnsi="Cambria Math"/>
              </w:rPr>
              <m:t>q</m:t>
            </m:r>
          </m:e>
        </m:acc>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CF</m:t>
            </m:r>
          </m:sub>
        </m:sSub>
        <m:r>
          <w:rPr>
            <w:rFonts w:ascii="Cambria Math" w:hAnsi="Cambria Math"/>
          </w:rPr>
          <m:t>+ξ×</m:t>
        </m:r>
        <m:acc>
          <m:accPr>
            <m:ctrlPr>
              <w:rPr>
                <w:rFonts w:ascii="Cambria Math" w:hAnsi="Cambria Math"/>
                <w:i/>
              </w:rPr>
            </m:ctrlPr>
          </m:accPr>
          <m:e>
            <m:r>
              <m:rPr>
                <m:sty m:val="p"/>
              </m:rPr>
              <w:rPr>
                <w:rFonts w:ascii="Cambria Math" w:hAnsi="Cambria Math"/>
              </w:rPr>
              <m:t>MH</m:t>
            </m:r>
          </m:e>
        </m:acc>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3</m:t>
            </m:r>
          </m:sub>
        </m:sSub>
      </m:oMath>
      <w:r w:rsidR="00342DEC">
        <w:tab/>
        <w:t>[3</w:t>
      </w:r>
      <w:r w:rsidR="00855329">
        <w:t>]</w:t>
      </w:r>
    </w:p>
    <w:p w14:paraId="40CA302A" w14:textId="68180463" w:rsidR="00D715A1" w:rsidRPr="00C85A4D" w:rsidRDefault="00D715A1" w:rsidP="00D715A1">
      <w:pPr>
        <w:pStyle w:val="BodyText"/>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3</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t xml:space="preserve"> is a matrix of independent variables, </w:t>
      </w:r>
      <m:oMath>
        <m:r>
          <w:rPr>
            <w:rFonts w:ascii="Cambria Math" w:hAnsi="Cambria Math"/>
          </w:rPr>
          <m:t>θ</m:t>
        </m:r>
      </m:oMath>
      <w:r>
        <w:t xml:space="preserve"> is a vector of parameters,</w:t>
      </w:r>
      <w:r w:rsidR="00483CEC">
        <w:t xml:space="preserve"> </w:t>
      </w:r>
      <m:oMath>
        <m:r>
          <w:rPr>
            <w:rFonts w:ascii="Cambria Math" w:hAnsi="Cambria Math"/>
          </w:rPr>
          <m:t>f(</m:t>
        </m:r>
        <m:acc>
          <m:accPr>
            <m:ctrlPr>
              <w:rPr>
                <w:rFonts w:ascii="Cambria Math" w:hAnsi="Cambria Math"/>
                <w:i/>
              </w:rPr>
            </m:ctrlPr>
          </m:accPr>
          <m:e>
            <m:r>
              <w:rPr>
                <w:rFonts w:ascii="Cambria Math" w:hAnsi="Cambria Math"/>
              </w:rPr>
              <m:t>q</m:t>
            </m:r>
          </m:e>
        </m:acc>
        <m:r>
          <w:rPr>
            <w:rFonts w:ascii="Cambria Math" w:hAnsi="Cambria Math"/>
          </w:rPr>
          <m:t>)</m:t>
        </m:r>
      </m:oMath>
      <w:r>
        <w:t xml:space="preserve"> </w:t>
      </w:r>
      <w:r w:rsidR="00483CEC">
        <w:t xml:space="preserve">is a third order polynomial constructed from the fitted probability of not being employed from the second stage, </w:t>
      </w:r>
      <m:oMath>
        <m:sSub>
          <m:sSubPr>
            <m:ctrlPr>
              <w:rPr>
                <w:rFonts w:ascii="Cambria Math" w:hAnsi="Cambria Math"/>
                <w:i/>
              </w:rPr>
            </m:ctrlPr>
          </m:sSubPr>
          <m:e>
            <m:r>
              <w:rPr>
                <w:rFonts w:ascii="Cambria Math" w:hAnsi="Cambria Math"/>
              </w:rPr>
              <m:t>θ</m:t>
            </m:r>
          </m:e>
          <m:sub>
            <m:r>
              <w:rPr>
                <w:rFonts w:ascii="Cambria Math" w:hAnsi="Cambria Math"/>
              </w:rPr>
              <m:t>CF</m:t>
            </m:r>
          </m:sub>
        </m:sSub>
      </m:oMath>
      <w:r>
        <w:t xml:space="preserve"> is </w:t>
      </w:r>
      <w:r w:rsidR="0032408B">
        <w:t>a vector of</w:t>
      </w:r>
      <w:r>
        <w:t xml:space="preserve"> parameter associated with the</w:t>
      </w:r>
      <w:r w:rsidR="00483CEC">
        <w:t xml:space="preserve"> probabilities of not being employed</w:t>
      </w:r>
      <w:r>
        <w:t xml:space="preserve">, </w:t>
      </w:r>
      <m:oMath>
        <m:r>
          <w:rPr>
            <w:rFonts w:ascii="Cambria Math" w:hAnsi="Cambria Math"/>
          </w:rPr>
          <m:t>ξ</m:t>
        </m:r>
      </m:oMath>
      <w:r w:rsidR="00483CEC">
        <w:t xml:space="preserve"> is the parameter associated with the fitted </w:t>
      </w:r>
      <w:r w:rsidR="00B5649C">
        <w:t>value of the measure of mental health</w:t>
      </w:r>
      <w:r w:rsidR="00483CEC">
        <w:t xml:space="preserve">, </w:t>
      </w:r>
      <w:r>
        <w:t xml:space="preserve">and </w:t>
      </w:r>
      <m:oMath>
        <m:sSub>
          <m:sSubPr>
            <m:ctrlPr>
              <w:rPr>
                <w:rFonts w:ascii="Cambria Math" w:hAnsi="Cambria Math"/>
                <w:i/>
              </w:rPr>
            </m:ctrlPr>
          </m:sSubPr>
          <m:e>
            <m:r>
              <w:rPr>
                <w:rFonts w:ascii="Cambria Math" w:hAnsi="Cambria Math"/>
              </w:rPr>
              <m:t>ε</m:t>
            </m:r>
          </m:e>
          <m:sub>
            <m:r>
              <w:rPr>
                <w:rFonts w:ascii="Cambria Math" w:hAnsi="Cambria Math"/>
              </w:rPr>
              <m:t>3</m:t>
            </m:r>
          </m:sub>
        </m:sSub>
      </m:oMath>
      <w:r>
        <w:t xml:space="preserve"> is a vector of independently and identically normally distributed random variables with variance </w:t>
      </w:r>
      <m:oMath>
        <m:sSubSup>
          <m:sSubSupPr>
            <m:ctrlPr>
              <w:rPr>
                <w:rFonts w:ascii="Cambria Math" w:hAnsi="Cambria Math"/>
                <w:i/>
              </w:rPr>
            </m:ctrlPr>
          </m:sSubSupPr>
          <m:e>
            <m:r>
              <w:rPr>
                <w:rFonts w:ascii="Cambria Math" w:hAnsi="Cambria Math"/>
              </w:rPr>
              <m:t>σ</m:t>
            </m:r>
          </m:e>
          <m:sub>
            <m:r>
              <w:rPr>
                <w:rFonts w:ascii="Cambria Math" w:hAnsi="Cambria Math"/>
              </w:rPr>
              <m:t>3</m:t>
            </m:r>
          </m:sub>
          <m:sup>
            <m:r>
              <w:rPr>
                <w:rFonts w:ascii="Cambria Math" w:hAnsi="Cambria Math"/>
              </w:rPr>
              <m:t>2</m:t>
            </m:r>
          </m:sup>
        </m:sSubSup>
      </m:oMath>
      <w:r>
        <w:t>.</w:t>
      </w:r>
      <w:r w:rsidR="00776A6E">
        <w:t xml:space="preserve"> The variable used for the exclusion restriction is unemployment history (the proportion of time spent unemployed since leaving full-time education) — that is, it </w:t>
      </w:r>
      <w:r w:rsidR="00F3662C">
        <w:t xml:space="preserve">is </w:t>
      </w:r>
      <w:r w:rsidR="00776A6E">
        <w:t xml:space="preserve">included in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776A6E">
        <w:t xml:space="preserve"> but not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00776A6E">
        <w:t>.</w:t>
      </w:r>
    </w:p>
    <w:p w14:paraId="7D3F8CBF" w14:textId="6947B494" w:rsidR="00DF0927" w:rsidRDefault="00F24D13" w:rsidP="006A1EF3">
      <w:pPr>
        <w:pStyle w:val="Heading4"/>
      </w:pPr>
      <w:r>
        <w:t xml:space="preserve">Mental health and </w:t>
      </w:r>
      <w:r w:rsidR="008E5C4B">
        <w:t>quality</w:t>
      </w:r>
      <w:r w:rsidR="00EF2376">
        <w:t>-</w:t>
      </w:r>
      <w:r w:rsidR="008E5C4B">
        <w:t>adjusted life years</w:t>
      </w:r>
    </w:p>
    <w:p w14:paraId="5B2BAC77" w14:textId="62A1B5AE" w:rsidR="00DF0927" w:rsidRDefault="00DF0927" w:rsidP="00DF0927">
      <w:pPr>
        <w:pStyle w:val="BodyText"/>
      </w:pPr>
      <w:r>
        <w:t xml:space="preserve">The fourth stage of the model estimates </w:t>
      </w:r>
      <w:r w:rsidR="006F6B4E">
        <w:t xml:space="preserve">the </w:t>
      </w:r>
      <w:r w:rsidR="00587A1C">
        <w:t>relationship between</w:t>
      </w:r>
      <w:r w:rsidR="006F6B4E">
        <w:t xml:space="preserve"> </w:t>
      </w:r>
      <w:r>
        <w:t>QALYs</w:t>
      </w:r>
      <w:r w:rsidR="00587A1C">
        <w:t xml:space="preserve"> and mental health. </w:t>
      </w:r>
      <w:r w:rsidR="00B5649C">
        <w:t>Using the fitted values of</w:t>
      </w:r>
      <w:r>
        <w:t xml:space="preserve"> </w:t>
      </w:r>
      <w:r w:rsidR="005B54D9">
        <w:t xml:space="preserve">the </w:t>
      </w:r>
      <w:r w:rsidR="00B5649C">
        <w:t>measure of mental health</w:t>
      </w:r>
      <w:r w:rsidR="005B54D9">
        <w:t xml:space="preserve"> from</w:t>
      </w:r>
      <w:r w:rsidR="00844989">
        <w:t xml:space="preserve"> the first stage equation</w:t>
      </w:r>
      <w:r>
        <w:t xml:space="preserve">, QALYs are regressed on </w:t>
      </w:r>
      <w:r w:rsidR="00B5649C">
        <w:t>mental health</w:t>
      </w:r>
      <w:r>
        <w:t xml:space="preserve"> and other characteristics.</w:t>
      </w:r>
    </w:p>
    <w:p w14:paraId="3584327D" w14:textId="375760F8" w:rsidR="00DF0927" w:rsidRDefault="00C465AA" w:rsidP="00DA10DB">
      <w:pPr>
        <w:pStyle w:val="BodyText"/>
        <w:tabs>
          <w:tab w:val="right" w:pos="8505"/>
        </w:tabs>
      </w:pPr>
      <m:oMath>
        <m:r>
          <m:rPr>
            <m:sty m:val="p"/>
          </m:rPr>
          <w:rPr>
            <w:rFonts w:ascii="Cambria Math" w:hAnsi="Cambria Math"/>
          </w:rPr>
          <w:lastRenderedPageBreak/>
          <m:t>QALY</m:t>
        </m:r>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ζ+κ×</m:t>
        </m:r>
        <m:acc>
          <m:accPr>
            <m:ctrlPr>
              <w:rPr>
                <w:rFonts w:ascii="Cambria Math" w:hAnsi="Cambria Math"/>
                <w:i/>
              </w:rPr>
            </m:ctrlPr>
          </m:accPr>
          <m:e>
            <m:r>
              <m:rPr>
                <m:sty m:val="p"/>
              </m:rPr>
              <w:rPr>
                <w:rFonts w:ascii="Cambria Math" w:hAnsi="Cambria Math"/>
              </w:rPr>
              <m:t>MH</m:t>
            </m:r>
          </m:e>
        </m:acc>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4</m:t>
            </m:r>
          </m:sub>
        </m:sSub>
      </m:oMath>
      <w:r w:rsidR="00855329">
        <w:tab/>
        <w:t>[</w:t>
      </w:r>
      <w:r w:rsidR="00342DEC">
        <w:t>4</w:t>
      </w:r>
      <w:r w:rsidR="00855329">
        <w:t>]</w:t>
      </w:r>
    </w:p>
    <w:p w14:paraId="3A2ACA79" w14:textId="2522139B" w:rsidR="00D715A1" w:rsidRPr="00C85A4D" w:rsidRDefault="00D715A1" w:rsidP="00D715A1">
      <w:pPr>
        <w:pStyle w:val="BodyText"/>
      </w:pPr>
      <w:r>
        <w:t xml:space="preserve">where </w:t>
      </w:r>
      <m:oMath>
        <m:sSub>
          <m:sSubPr>
            <m:ctrlPr>
              <w:rPr>
                <w:rFonts w:ascii="Cambria Math" w:hAnsi="Cambria Math"/>
                <w:i/>
              </w:rPr>
            </m:ctrlPr>
          </m:sSubPr>
          <m:e>
            <m:r>
              <w:rPr>
                <w:rFonts w:ascii="Cambria Math" w:hAnsi="Cambria Math"/>
              </w:rPr>
              <m:t>α</m:t>
            </m:r>
          </m:e>
          <m:sub>
            <m:r>
              <w:rPr>
                <w:rFonts w:ascii="Cambria Math" w:hAnsi="Cambria Math"/>
              </w:rPr>
              <m:t>4</m:t>
            </m:r>
          </m:sub>
        </m:sSub>
      </m:oMath>
      <w:r>
        <w:t xml:space="preserve"> is the parameter for the intercept, </w:t>
      </w:r>
      <m:oMath>
        <m:sSub>
          <m:sSubPr>
            <m:ctrlPr>
              <w:rPr>
                <w:rFonts w:ascii="Cambria Math" w:hAnsi="Cambria Math"/>
                <w:i/>
              </w:rPr>
            </m:ctrlPr>
          </m:sSubPr>
          <m:e>
            <m:r>
              <w:rPr>
                <w:rFonts w:ascii="Cambria Math" w:hAnsi="Cambria Math"/>
              </w:rPr>
              <m:t>X</m:t>
            </m:r>
          </m:e>
          <m:sub>
            <m:r>
              <w:rPr>
                <w:rFonts w:ascii="Cambria Math" w:hAnsi="Cambria Math"/>
              </w:rPr>
              <m:t>4</m:t>
            </m:r>
          </m:sub>
        </m:sSub>
      </m:oMath>
      <w:r>
        <w:t xml:space="preserve"> is a matrix of independent variables, </w:t>
      </w:r>
      <m:oMath>
        <m:r>
          <w:rPr>
            <w:rFonts w:ascii="Cambria Math" w:hAnsi="Cambria Math"/>
          </w:rPr>
          <m:t>ζ</m:t>
        </m:r>
      </m:oMath>
      <w:r>
        <w:t xml:space="preserve"> is a vector of parameters, </w:t>
      </w:r>
      <m:oMath>
        <m:r>
          <w:rPr>
            <w:rFonts w:ascii="Cambria Math" w:hAnsi="Cambria Math"/>
          </w:rPr>
          <m:t>κ</m:t>
        </m:r>
      </m:oMath>
      <w:r>
        <w:t xml:space="preserve"> is the parameter associated with the </w:t>
      </w:r>
      <w:r w:rsidR="00B5649C">
        <w:t>fitted value of the measure of mental health</w:t>
      </w:r>
      <w:r>
        <w:t xml:space="preserve">, and </w:t>
      </w:r>
      <m:oMath>
        <m:sSub>
          <m:sSubPr>
            <m:ctrlPr>
              <w:rPr>
                <w:rFonts w:ascii="Cambria Math" w:hAnsi="Cambria Math"/>
                <w:i/>
              </w:rPr>
            </m:ctrlPr>
          </m:sSubPr>
          <m:e>
            <m:r>
              <w:rPr>
                <w:rFonts w:ascii="Cambria Math" w:hAnsi="Cambria Math"/>
              </w:rPr>
              <m:t>ε</m:t>
            </m:r>
          </m:e>
          <m:sub>
            <m:r>
              <w:rPr>
                <w:rFonts w:ascii="Cambria Math" w:hAnsi="Cambria Math"/>
              </w:rPr>
              <m:t>4</m:t>
            </m:r>
          </m:sub>
        </m:sSub>
      </m:oMath>
      <w:r>
        <w:t xml:space="preserve"> is a vector of independently and identically normally distributed random variables with variance </w:t>
      </w:r>
      <m:oMath>
        <m:sSubSup>
          <m:sSubSupPr>
            <m:ctrlPr>
              <w:rPr>
                <w:rFonts w:ascii="Cambria Math" w:hAnsi="Cambria Math"/>
                <w:i/>
              </w:rPr>
            </m:ctrlPr>
          </m:sSubSupPr>
          <m:e>
            <m:r>
              <w:rPr>
                <w:rFonts w:ascii="Cambria Math" w:hAnsi="Cambria Math"/>
              </w:rPr>
              <m:t>σ</m:t>
            </m:r>
          </m:e>
          <m:sub>
            <m:r>
              <w:rPr>
                <w:rFonts w:ascii="Cambria Math" w:hAnsi="Cambria Math"/>
              </w:rPr>
              <m:t>4</m:t>
            </m:r>
          </m:sub>
          <m:sup>
            <m:r>
              <w:rPr>
                <w:rFonts w:ascii="Cambria Math" w:hAnsi="Cambria Math"/>
              </w:rPr>
              <m:t>2</m:t>
            </m:r>
          </m:sup>
        </m:sSubSup>
      </m:oMath>
      <w:r>
        <w:t>.</w:t>
      </w:r>
    </w:p>
    <w:p w14:paraId="62DDCB32" w14:textId="3EA994CD" w:rsidR="009F29F5" w:rsidRDefault="009F29F5" w:rsidP="009F29F5">
      <w:pPr>
        <w:pStyle w:val="Heading3"/>
      </w:pPr>
      <w:r>
        <w:t>Bayesian methods</w:t>
      </w:r>
    </w:p>
    <w:p w14:paraId="7A154E91" w14:textId="68E71195" w:rsidR="009F29F5" w:rsidRDefault="009F29F5" w:rsidP="009F29F5">
      <w:pPr>
        <w:pStyle w:val="BodyText"/>
      </w:pPr>
      <w:r>
        <w:t xml:space="preserve">Traditional, or frequentist, approaches to statistical inference </w:t>
      </w:r>
      <w:r w:rsidR="00C806CD">
        <w:t xml:space="preserve">typically </w:t>
      </w:r>
      <w:r>
        <w:t>calculate single ‘point’ estimates for each population parameter and the corresponding confidence intervals. Frequentist</w:t>
      </w:r>
      <w:r w:rsidR="008E5C4B">
        <w:t xml:space="preserve"> approaches</w:t>
      </w:r>
      <w:r w:rsidR="001F653D">
        <w:t xml:space="preserve"> assume that there are</w:t>
      </w:r>
      <w:r>
        <w:t xml:space="preserve"> a ‘true’ set of underlying population parameters, and then construct an estimator, with errors resulting from finite sampling. Conclusions driven by a frequentist interpretation usually have a true/false conclusion resulting from statistical methods for testing hypotheses</w:t>
      </w:r>
      <w:r w:rsidR="0079644E">
        <w:t xml:space="preserve"> </w:t>
      </w:r>
      <w:r w:rsidR="0079644E" w:rsidRPr="0079644E">
        <w:rPr>
          <w:szCs w:val="24"/>
        </w:rPr>
        <w:t>(</w:t>
      </w:r>
      <w:proofErr w:type="spellStart"/>
      <w:r w:rsidR="0079644E" w:rsidRPr="0079644E">
        <w:rPr>
          <w:szCs w:val="24"/>
        </w:rPr>
        <w:t>Wagenmakers</w:t>
      </w:r>
      <w:proofErr w:type="spellEnd"/>
      <w:r w:rsidR="0079644E" w:rsidRPr="0079644E">
        <w:rPr>
          <w:szCs w:val="24"/>
        </w:rPr>
        <w:t xml:space="preserve"> et al. 2008)</w:t>
      </w:r>
      <w:r>
        <w:t>.</w:t>
      </w:r>
      <w:r w:rsidR="00C806CD">
        <w:t xml:space="preserve"> As such, the probability assertions </w:t>
      </w:r>
      <w:r w:rsidR="008E5C4B">
        <w:t>made under a frequentist approach</w:t>
      </w:r>
      <w:r w:rsidR="00C806CD">
        <w:t xml:space="preserve"> are pre-sample. For example, a 95% confidence interval contains the true parameter value with probability 0.95 only before observing the data — after observing the data, the probability is either zero or one. However, confidence intervals are </w:t>
      </w:r>
      <w:r w:rsidR="00ED73BC">
        <w:t xml:space="preserve">often </w:t>
      </w:r>
      <w:r w:rsidR="00C806CD">
        <w:t>incorrectly interpreted by many as a guide to post-sample uncertainty</w:t>
      </w:r>
      <w:r w:rsidR="002A5FB4">
        <w:t xml:space="preserve"> </w:t>
      </w:r>
      <w:r w:rsidR="002A5FB4" w:rsidRPr="002A5FB4">
        <w:rPr>
          <w:szCs w:val="24"/>
        </w:rPr>
        <w:t>(Hoekstra et al. 2014)</w:t>
      </w:r>
      <w:r w:rsidR="00C806CD">
        <w:t>.</w:t>
      </w:r>
    </w:p>
    <w:p w14:paraId="4EFA228D" w14:textId="72788058" w:rsidR="00292C73" w:rsidRDefault="009F29F5" w:rsidP="00292C73">
      <w:pPr>
        <w:pStyle w:val="BodyText"/>
      </w:pPr>
      <w:r>
        <w:t xml:space="preserve">Bayesian inference treats </w:t>
      </w:r>
      <w:r w:rsidR="004B5167">
        <w:t>everything as random before it is observed, and everything observed as no longer random</w:t>
      </w:r>
      <w:r>
        <w:t>.</w:t>
      </w:r>
      <w:r w:rsidR="004B5167">
        <w:t xml:space="preserve"> </w:t>
      </w:r>
      <w:r w:rsidR="00C75DAF">
        <w:t>Unobserved parameters can be therefore be constructed as probabilistic statements that are conditional on observed data.</w:t>
      </w:r>
      <w:r w:rsidR="004B5167">
        <w:t xml:space="preserve"> </w:t>
      </w:r>
      <w:r w:rsidR="007F43C5">
        <w:t xml:space="preserve">This is one of the distinguishing features of a Bayesian approach. </w:t>
      </w:r>
      <w:r>
        <w:t>Bayesian inference attempts to assign probabilities to different sets of parameters, given a higher weight if they are more likely to lead to the observed data</w:t>
      </w:r>
      <w:r w:rsidR="0079644E">
        <w:t xml:space="preserve"> </w:t>
      </w:r>
      <w:r w:rsidR="0079644E" w:rsidRPr="0079644E">
        <w:rPr>
          <w:szCs w:val="24"/>
        </w:rPr>
        <w:t>(</w:t>
      </w:r>
      <w:proofErr w:type="spellStart"/>
      <w:r w:rsidR="0079644E" w:rsidRPr="0079644E">
        <w:rPr>
          <w:szCs w:val="24"/>
        </w:rPr>
        <w:t>McElreath</w:t>
      </w:r>
      <w:proofErr w:type="spellEnd"/>
      <w:r w:rsidR="0079644E" w:rsidRPr="0079644E">
        <w:rPr>
          <w:szCs w:val="24"/>
        </w:rPr>
        <w:t> 2019)</w:t>
      </w:r>
      <w:r>
        <w:t xml:space="preserve">. </w:t>
      </w:r>
      <w:r w:rsidR="00292C73">
        <w:t>Prior probability distributions are first specified and are then updated with information arising from the data, given the assumed model structure. The resultant probability distribution (the posterior probability distribution) can be interpreted as the distribution of possible values that a parameter can take.</w:t>
      </w:r>
    </w:p>
    <w:p w14:paraId="6A2BCC2A" w14:textId="1F1E68DC" w:rsidR="009F29F5" w:rsidRDefault="009F29F5" w:rsidP="009F29F5">
      <w:pPr>
        <w:pStyle w:val="BodyText"/>
      </w:pPr>
      <w:r>
        <w:t>For this analysis</w:t>
      </w:r>
      <w:r w:rsidR="00292C73">
        <w:t>, there is not likely to exist a single ‘true’</w:t>
      </w:r>
      <w:r>
        <w:t xml:space="preserve"> value quantifying the benefits of our </w:t>
      </w:r>
      <w:r w:rsidR="005C7133">
        <w:t>reforms</w:t>
      </w:r>
      <w:r>
        <w:t>. Hence, Bayesian inference is used to evaluate the outcomes for many different scenarios and to assign probabilities to the likelihood of occurrence. The end product is a distribution of potential benefits and their associate</w:t>
      </w:r>
      <w:r w:rsidR="008B527D">
        <w:t>d credibility intervals (</w:t>
      </w:r>
      <w:r w:rsidR="008E5C4B">
        <w:t>for example</w:t>
      </w:r>
      <w:r w:rsidR="008B527D">
        <w:t>, ‘</w:t>
      </w:r>
      <w:r>
        <w:t>f</w:t>
      </w:r>
      <w:r w:rsidR="00FF1F21">
        <w:t xml:space="preserve">or </w:t>
      </w:r>
      <w:r w:rsidR="003E2A83">
        <w:t>reform</w:t>
      </w:r>
      <w:r w:rsidR="00FF1F21">
        <w:t xml:space="preserve"> X, there is a Y% </w:t>
      </w:r>
      <w:r>
        <w:t>chance that the labour force benefits will exceed $Z million</w:t>
      </w:r>
      <w:r w:rsidR="008B527D">
        <w:t>’</w:t>
      </w:r>
      <w:r>
        <w:t>).</w:t>
      </w:r>
    </w:p>
    <w:p w14:paraId="7D90FF93" w14:textId="269DC342" w:rsidR="009F29F5" w:rsidRDefault="00F957A6" w:rsidP="009F29F5">
      <w:pPr>
        <w:pStyle w:val="BodyText"/>
      </w:pPr>
      <w:r>
        <w:t>To allow the analysis to be informed by the data</w:t>
      </w:r>
      <w:r w:rsidR="00AC4BDA">
        <w:t>,</w:t>
      </w:r>
      <w:r>
        <w:t xml:space="preserve"> d</w:t>
      </w:r>
      <w:r w:rsidR="009F29F5">
        <w:t>iffuse priors are used for the parameters in the model</w:t>
      </w:r>
      <w:r>
        <w:t xml:space="preserve"> — that is, prior distributions with a relatively large variance</w:t>
      </w:r>
      <w:r w:rsidR="009F29F5">
        <w:t xml:space="preserve">. The priors for the regression coefficients are distributed </w:t>
      </w:r>
      <m:oMath>
        <m:r>
          <m:rPr>
            <m:sty m:val="p"/>
          </m:rPr>
          <w:rPr>
            <w:rFonts w:ascii="Cambria Math" w:hAnsi="Cambria Math"/>
          </w:rPr>
          <m:t>Normal</m:t>
        </m:r>
        <m:r>
          <w:rPr>
            <w:rFonts w:ascii="Cambria Math" w:hAnsi="Cambria Math"/>
          </w:rPr>
          <m:t>(0, 10)</m:t>
        </m:r>
      </m:oMath>
      <w:r w:rsidR="009F29F5">
        <w:t xml:space="preserve"> and the priors for the standard deviations are distributed </w:t>
      </w:r>
      <m:oMath>
        <m:r>
          <m:rPr>
            <m:sty m:val="p"/>
          </m:rPr>
          <w:rPr>
            <w:rFonts w:ascii="Cambria Math" w:hAnsi="Cambria Math"/>
          </w:rPr>
          <m:t>Inverse Gamma</m:t>
        </m:r>
        <m:r>
          <w:rPr>
            <w:rFonts w:ascii="Cambria Math" w:hAnsi="Cambria Math"/>
          </w:rPr>
          <m:t>(0.5, 5)</m:t>
        </m:r>
      </m:oMath>
      <w:r w:rsidR="009B18CF">
        <w:t>.</w:t>
      </w:r>
    </w:p>
    <w:p w14:paraId="283AB1D9" w14:textId="77777777" w:rsidR="009F29F5" w:rsidRDefault="009F29F5" w:rsidP="009F29F5">
      <w:pPr>
        <w:pStyle w:val="Heading4"/>
      </w:pPr>
      <w:r>
        <w:lastRenderedPageBreak/>
        <w:t xml:space="preserve">How should parameter estimates be interpreted? </w:t>
      </w:r>
    </w:p>
    <w:p w14:paraId="2EEF2A68" w14:textId="6CA98C7F" w:rsidR="009F29F5" w:rsidRDefault="009F29F5" w:rsidP="009F29F5">
      <w:pPr>
        <w:pStyle w:val="BodyText"/>
      </w:pPr>
      <w:r>
        <w:t>The posterior distributions from a Bayesian-estimated model are often simplified for presentation using summary statistics. The uncertainty associated with parameter values is often reported using the 5</w:t>
      </w:r>
      <w:r w:rsidRPr="009F29F5">
        <w:rPr>
          <w:vertAlign w:val="superscript"/>
        </w:rPr>
        <w:t>th</w:t>
      </w:r>
      <w:r>
        <w:t xml:space="preserve"> and 95</w:t>
      </w:r>
      <w:r w:rsidRPr="009F29F5">
        <w:rPr>
          <w:vertAlign w:val="superscript"/>
        </w:rPr>
        <w:t>th</w:t>
      </w:r>
      <w:r>
        <w:t xml:space="preserve"> percentiles of the posterior distribution — sometimes as a shaded area, sometimes as lines that indicate ranges. This can be inter</w:t>
      </w:r>
      <w:r w:rsidR="00FF1F21">
        <w:t xml:space="preserve">preted as saying ‘there is a 90% </w:t>
      </w:r>
      <w:r>
        <w:t>chance that the true parameter value lies in this range’.</w:t>
      </w:r>
    </w:p>
    <w:p w14:paraId="190D2D4A" w14:textId="4B588710" w:rsidR="0051568F" w:rsidRDefault="00526644" w:rsidP="006B61FC">
      <w:pPr>
        <w:pStyle w:val="Heading2"/>
      </w:pPr>
      <w:r>
        <w:t>F.</w:t>
      </w:r>
      <w:r w:rsidR="00D7423F">
        <w:rPr>
          <w:noProof/>
        </w:rPr>
        <w:t>2</w:t>
      </w:r>
      <w:r w:rsidR="0051568F">
        <w:tab/>
      </w:r>
      <w:r w:rsidR="006B61FC">
        <w:t xml:space="preserve">Housing, Income and Labour Dynamics </w:t>
      </w:r>
      <w:r w:rsidR="008E5C4B">
        <w:t>in</w:t>
      </w:r>
      <w:r w:rsidR="006B61FC">
        <w:t xml:space="preserve"> Australia</w:t>
      </w:r>
    </w:p>
    <w:p w14:paraId="190D2D4C" w14:textId="53E2D030" w:rsidR="003A5606" w:rsidRDefault="006B61FC" w:rsidP="003A5606">
      <w:pPr>
        <w:pStyle w:val="BodyText"/>
      </w:pPr>
      <w:r>
        <w:t xml:space="preserve">The </w:t>
      </w:r>
      <w:r w:rsidR="006865CD">
        <w:t>HILDA</w:t>
      </w:r>
      <w:r>
        <w:t xml:space="preserve"> survey</w:t>
      </w:r>
      <w:r w:rsidR="006865CD">
        <w:t xml:space="preserve"> is a nationally representative household panel survey, conducted annually, containing respondents’ information regarding</w:t>
      </w:r>
      <w:r w:rsidR="000011C0">
        <w:t xml:space="preserve"> a range of different areas</w:t>
      </w:r>
      <w:r w:rsidR="008E5C4B">
        <w:t xml:space="preserve"> including</w:t>
      </w:r>
      <w:r w:rsidR="006865CD">
        <w:t xml:space="preserve"> education, health, labour force status, and demographic</w:t>
      </w:r>
      <w:r w:rsidR="008E5C4B">
        <w:t>s</w:t>
      </w:r>
      <w:r w:rsidR="006865CD">
        <w:t xml:space="preserve">. As of </w:t>
      </w:r>
      <w:r w:rsidR="006375C0">
        <w:t>October</w:t>
      </w:r>
      <w:r w:rsidR="006865CD">
        <w:t xml:space="preserve"> 2019, there </w:t>
      </w:r>
      <w:r w:rsidR="008E5C4B">
        <w:t>were</w:t>
      </w:r>
      <w:r w:rsidR="006865CD">
        <w:t xml:space="preserve"> seventeen waves of data available which are used in our analysis.</w:t>
      </w:r>
    </w:p>
    <w:p w14:paraId="1274E6C0" w14:textId="6B2AD524" w:rsidR="007677D3" w:rsidRDefault="007677D3" w:rsidP="003A5606">
      <w:pPr>
        <w:pStyle w:val="BodyText"/>
      </w:pPr>
      <w:r>
        <w:t xml:space="preserve">Following </w:t>
      </w:r>
      <w:proofErr w:type="spellStart"/>
      <w:r>
        <w:t>Frijters</w:t>
      </w:r>
      <w:proofErr w:type="spellEnd"/>
      <w:r>
        <w:t xml:space="preserve"> et. al.</w:t>
      </w:r>
      <w:r w:rsidR="000011C0">
        <w:t xml:space="preserve"> </w:t>
      </w:r>
      <w:r w:rsidR="000011C0" w:rsidRPr="000011C0">
        <w:t>(2014)</w:t>
      </w:r>
      <w:r>
        <w:t>, the analysis is focused on the Austra</w:t>
      </w:r>
      <w:r w:rsidR="000011C0">
        <w:t>lian population aged between 21</w:t>
      </w:r>
      <w:r w:rsidR="008E5C4B">
        <w:t>–</w:t>
      </w:r>
      <w:r>
        <w:t>64</w:t>
      </w:r>
      <w:r w:rsidR="008E5C4B">
        <w:t xml:space="preserve"> years</w:t>
      </w:r>
      <w:r>
        <w:t>.</w:t>
      </w:r>
      <w:r w:rsidR="00A9709D">
        <w:t xml:space="preserve"> Summary statistics for individual level characteristics are presented in table</w:t>
      </w:r>
      <w:r w:rsidR="00526644">
        <w:t xml:space="preserve"> F.1</w:t>
      </w:r>
      <w:r w:rsidR="00A9709D">
        <w:t>.</w:t>
      </w:r>
      <w:r w:rsidR="009E1CF6">
        <w:t xml:space="preserve"> Mental health is measured using the mental component summary (box F.2).</w:t>
      </w:r>
    </w:p>
    <w:p w14:paraId="62979DD6" w14:textId="373CE842" w:rsidR="00A9709D" w:rsidRDefault="00A9709D" w:rsidP="0085532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9709D" w14:paraId="0047ABB9" w14:textId="77777777" w:rsidTr="00855329">
        <w:trPr>
          <w:tblHeader/>
        </w:trPr>
        <w:tc>
          <w:tcPr>
            <w:tcW w:w="5000" w:type="pct"/>
            <w:tcBorders>
              <w:top w:val="single" w:sz="6" w:space="0" w:color="78A22F"/>
              <w:left w:val="nil"/>
              <w:bottom w:val="nil"/>
              <w:right w:val="nil"/>
            </w:tcBorders>
            <w:shd w:val="clear" w:color="auto" w:fill="auto"/>
          </w:tcPr>
          <w:p w14:paraId="244EDB81" w14:textId="64BF6377" w:rsidR="00A9709D" w:rsidRPr="00784A05" w:rsidRDefault="00A9709D" w:rsidP="00526644">
            <w:pPr>
              <w:pStyle w:val="TableTitle"/>
            </w:pPr>
            <w:r>
              <w:rPr>
                <w:b w:val="0"/>
              </w:rPr>
              <w:t xml:space="preserve">Table </w:t>
            </w:r>
            <w:r w:rsidR="00526644">
              <w:rPr>
                <w:b w:val="0"/>
              </w:rPr>
              <w:t>F.1</w:t>
            </w:r>
            <w:r>
              <w:tab/>
              <w:t>Sample means of key variables</w:t>
            </w:r>
            <w:proofErr w:type="spellStart"/>
            <w:r w:rsidR="0004203C" w:rsidRPr="00A575FF">
              <w:rPr>
                <w:rStyle w:val="NoteLabel"/>
                <w:b/>
              </w:rPr>
              <w:t>a</w:t>
            </w:r>
            <w:r w:rsidR="0004203C">
              <w:rPr>
                <w:rStyle w:val="NoteLabel"/>
                <w:b/>
              </w:rPr>
              <w:t>,b</w:t>
            </w:r>
            <w:proofErr w:type="spellEnd"/>
          </w:p>
        </w:tc>
      </w:tr>
      <w:tr w:rsidR="00A9709D" w14:paraId="1E0F096E" w14:textId="77777777" w:rsidTr="0085532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968"/>
              <w:gridCol w:w="1560"/>
              <w:gridCol w:w="1419"/>
              <w:gridCol w:w="1558"/>
            </w:tblGrid>
            <w:tr w:rsidR="00A9709D" w14:paraId="485F761B" w14:textId="77777777" w:rsidTr="001F653D">
              <w:trPr>
                <w:tblHeader/>
              </w:trPr>
              <w:tc>
                <w:tcPr>
                  <w:tcW w:w="2333" w:type="pct"/>
                  <w:tcBorders>
                    <w:top w:val="single" w:sz="6" w:space="0" w:color="BFBFBF"/>
                    <w:bottom w:val="single" w:sz="6" w:space="0" w:color="BFBFBF"/>
                  </w:tcBorders>
                  <w:shd w:val="clear" w:color="auto" w:fill="auto"/>
                  <w:tcMar>
                    <w:top w:w="28" w:type="dxa"/>
                  </w:tcMar>
                </w:tcPr>
                <w:p w14:paraId="58939319" w14:textId="77777777" w:rsidR="00A9709D" w:rsidRDefault="00A9709D" w:rsidP="00855329">
                  <w:pPr>
                    <w:pStyle w:val="TableColumnHeading"/>
                    <w:jc w:val="left"/>
                  </w:pPr>
                </w:p>
              </w:tc>
              <w:tc>
                <w:tcPr>
                  <w:tcW w:w="917" w:type="pct"/>
                  <w:tcBorders>
                    <w:top w:val="single" w:sz="6" w:space="0" w:color="BFBFBF"/>
                    <w:bottom w:val="single" w:sz="6" w:space="0" w:color="BFBFBF"/>
                  </w:tcBorders>
                </w:tcPr>
                <w:p w14:paraId="307F1D72" w14:textId="08EF6469" w:rsidR="00A9709D" w:rsidRDefault="009E73F0" w:rsidP="00855329">
                  <w:pPr>
                    <w:pStyle w:val="TableColumnHeading"/>
                  </w:pPr>
                  <w:r>
                    <w:t>All respondents</w:t>
                  </w:r>
                </w:p>
              </w:tc>
              <w:tc>
                <w:tcPr>
                  <w:tcW w:w="834" w:type="pct"/>
                  <w:tcBorders>
                    <w:top w:val="single" w:sz="6" w:space="0" w:color="BFBFBF"/>
                    <w:bottom w:val="single" w:sz="6" w:space="0" w:color="BFBFBF"/>
                  </w:tcBorders>
                  <w:shd w:val="clear" w:color="auto" w:fill="auto"/>
                  <w:tcMar>
                    <w:top w:w="28" w:type="dxa"/>
                  </w:tcMar>
                </w:tcPr>
                <w:p w14:paraId="17996DD7" w14:textId="1B165D09" w:rsidR="00A9709D" w:rsidRDefault="009542A3" w:rsidP="00855329">
                  <w:pPr>
                    <w:pStyle w:val="TableColumnHeading"/>
                  </w:pPr>
                  <w:r>
                    <w:t xml:space="preserve">MCS </w:t>
                  </w:r>
                  <w:r w:rsidRPr="009542A3">
                    <w:t>≤</w:t>
                  </w:r>
                  <w:r w:rsidR="009E73F0">
                    <w:t xml:space="preserve"> 40</w:t>
                  </w:r>
                </w:p>
              </w:tc>
              <w:tc>
                <w:tcPr>
                  <w:tcW w:w="916" w:type="pct"/>
                  <w:tcBorders>
                    <w:top w:val="single" w:sz="6" w:space="0" w:color="BFBFBF"/>
                    <w:bottom w:val="single" w:sz="6" w:space="0" w:color="BFBFBF"/>
                  </w:tcBorders>
                  <w:shd w:val="clear" w:color="auto" w:fill="auto"/>
                  <w:tcMar>
                    <w:top w:w="28" w:type="dxa"/>
                  </w:tcMar>
                </w:tcPr>
                <w:p w14:paraId="74179942" w14:textId="727972E8" w:rsidR="00A9709D" w:rsidRDefault="009E73F0" w:rsidP="00855329">
                  <w:pPr>
                    <w:pStyle w:val="TableColumnHeading"/>
                    <w:ind w:right="28"/>
                  </w:pPr>
                  <w:r>
                    <w:t>MCS &gt; 40</w:t>
                  </w:r>
                </w:p>
              </w:tc>
            </w:tr>
            <w:tr w:rsidR="0091788E" w14:paraId="30CA990F" w14:textId="77777777" w:rsidTr="001F653D">
              <w:tc>
                <w:tcPr>
                  <w:tcW w:w="2333" w:type="pct"/>
                  <w:tcBorders>
                    <w:top w:val="single" w:sz="6" w:space="0" w:color="BFBFBF"/>
                  </w:tcBorders>
                  <w:shd w:val="clear" w:color="auto" w:fill="auto"/>
                </w:tcPr>
                <w:p w14:paraId="7E37D774" w14:textId="637CC467" w:rsidR="0091788E" w:rsidRPr="00800743" w:rsidRDefault="0091788E" w:rsidP="00F35CA2">
                  <w:pPr>
                    <w:pStyle w:val="TableBodyText"/>
                    <w:jc w:val="left"/>
                  </w:pPr>
                  <w:r>
                    <w:t>Employed</w:t>
                  </w:r>
                </w:p>
              </w:tc>
              <w:tc>
                <w:tcPr>
                  <w:tcW w:w="917" w:type="pct"/>
                  <w:tcBorders>
                    <w:top w:val="single" w:sz="6" w:space="0" w:color="BFBFBF"/>
                  </w:tcBorders>
                  <w:shd w:val="clear" w:color="auto" w:fill="auto"/>
                </w:tcPr>
                <w:p w14:paraId="3F51897B" w14:textId="799BC950" w:rsidR="0091788E" w:rsidRPr="00800743" w:rsidRDefault="0091788E" w:rsidP="00D13F35">
                  <w:pPr>
                    <w:pStyle w:val="TableBodyText"/>
                  </w:pPr>
                  <w:r w:rsidRPr="00800743">
                    <w:t>0.752</w:t>
                  </w:r>
                </w:p>
              </w:tc>
              <w:tc>
                <w:tcPr>
                  <w:tcW w:w="834" w:type="pct"/>
                  <w:tcBorders>
                    <w:top w:val="single" w:sz="6" w:space="0" w:color="BFBFBF"/>
                  </w:tcBorders>
                  <w:shd w:val="clear" w:color="auto" w:fill="auto"/>
                </w:tcPr>
                <w:p w14:paraId="361415C4" w14:textId="6886F107" w:rsidR="0091788E" w:rsidRPr="00800743" w:rsidRDefault="0091788E" w:rsidP="00D13F35">
                  <w:pPr>
                    <w:pStyle w:val="TableBodyText"/>
                  </w:pPr>
                  <w:r w:rsidRPr="00800743">
                    <w:t>0.587</w:t>
                  </w:r>
                </w:p>
              </w:tc>
              <w:tc>
                <w:tcPr>
                  <w:tcW w:w="916" w:type="pct"/>
                  <w:tcBorders>
                    <w:top w:val="single" w:sz="6" w:space="0" w:color="BFBFBF"/>
                  </w:tcBorders>
                  <w:shd w:val="clear" w:color="auto" w:fill="auto"/>
                </w:tcPr>
                <w:p w14:paraId="3B93D120" w14:textId="67E551B7" w:rsidR="0091788E" w:rsidRPr="00800743" w:rsidRDefault="0091788E" w:rsidP="001F653D">
                  <w:pPr>
                    <w:pStyle w:val="TableBodyText"/>
                    <w:ind w:right="28"/>
                  </w:pPr>
                  <w:r w:rsidRPr="00800743">
                    <w:t>0.783</w:t>
                  </w:r>
                </w:p>
              </w:tc>
            </w:tr>
            <w:tr w:rsidR="00520DBA" w14:paraId="66C15A41" w14:textId="77777777" w:rsidTr="001F653D">
              <w:tc>
                <w:tcPr>
                  <w:tcW w:w="2333" w:type="pct"/>
                  <w:shd w:val="clear" w:color="auto" w:fill="auto"/>
                </w:tcPr>
                <w:p w14:paraId="21FDE5DE" w14:textId="48B92021" w:rsidR="00520DBA" w:rsidRDefault="00520DBA" w:rsidP="00520DBA">
                  <w:pPr>
                    <w:pStyle w:val="TableBodyText"/>
                    <w:jc w:val="left"/>
                  </w:pPr>
                  <w:r>
                    <w:t>Full-time employment</w:t>
                  </w:r>
                </w:p>
              </w:tc>
              <w:tc>
                <w:tcPr>
                  <w:tcW w:w="917" w:type="pct"/>
                  <w:shd w:val="clear" w:color="auto" w:fill="auto"/>
                </w:tcPr>
                <w:p w14:paraId="24682F6C" w14:textId="7A5C0249" w:rsidR="00520DBA" w:rsidRPr="00800743" w:rsidRDefault="00520DBA" w:rsidP="00D13F35">
                  <w:pPr>
                    <w:pStyle w:val="TableBodyText"/>
                  </w:pPr>
                  <w:r w:rsidRPr="001A3E24">
                    <w:t>0.551</w:t>
                  </w:r>
                </w:p>
              </w:tc>
              <w:tc>
                <w:tcPr>
                  <w:tcW w:w="834" w:type="pct"/>
                  <w:shd w:val="clear" w:color="auto" w:fill="auto"/>
                </w:tcPr>
                <w:p w14:paraId="4BEFF76F" w14:textId="6431768C" w:rsidR="00520DBA" w:rsidRPr="00800743" w:rsidRDefault="00520DBA" w:rsidP="00D13F35">
                  <w:pPr>
                    <w:pStyle w:val="TableBodyText"/>
                  </w:pPr>
                  <w:r w:rsidRPr="009306A2">
                    <w:t>0.407</w:t>
                  </w:r>
                </w:p>
              </w:tc>
              <w:tc>
                <w:tcPr>
                  <w:tcW w:w="916" w:type="pct"/>
                  <w:shd w:val="clear" w:color="auto" w:fill="auto"/>
                </w:tcPr>
                <w:p w14:paraId="4FF435D0" w14:textId="3D719049" w:rsidR="00520DBA" w:rsidRPr="00800743" w:rsidRDefault="00520DBA" w:rsidP="001F653D">
                  <w:pPr>
                    <w:pStyle w:val="TableBodyText"/>
                    <w:ind w:right="28"/>
                  </w:pPr>
                  <w:r w:rsidRPr="00AD2CBB">
                    <w:t>0.578</w:t>
                  </w:r>
                </w:p>
              </w:tc>
            </w:tr>
            <w:tr w:rsidR="00520DBA" w14:paraId="60DB0891" w14:textId="77777777" w:rsidTr="001F653D">
              <w:tc>
                <w:tcPr>
                  <w:tcW w:w="2333" w:type="pct"/>
                  <w:shd w:val="clear" w:color="auto" w:fill="auto"/>
                </w:tcPr>
                <w:p w14:paraId="22B06CD2" w14:textId="388E12BC" w:rsidR="00520DBA" w:rsidRDefault="00520DBA" w:rsidP="00520DBA">
                  <w:pPr>
                    <w:pStyle w:val="TableBodyText"/>
                    <w:jc w:val="left"/>
                  </w:pPr>
                  <w:r>
                    <w:t>Part-time employment</w:t>
                  </w:r>
                </w:p>
              </w:tc>
              <w:tc>
                <w:tcPr>
                  <w:tcW w:w="917" w:type="pct"/>
                  <w:shd w:val="clear" w:color="auto" w:fill="auto"/>
                </w:tcPr>
                <w:p w14:paraId="654B7BC5" w14:textId="36D0B117" w:rsidR="00520DBA" w:rsidRPr="00800743" w:rsidRDefault="00520DBA" w:rsidP="00D13F35">
                  <w:pPr>
                    <w:pStyle w:val="TableBodyText"/>
                  </w:pPr>
                  <w:r w:rsidRPr="001A3E24">
                    <w:t>0.201</w:t>
                  </w:r>
                </w:p>
              </w:tc>
              <w:tc>
                <w:tcPr>
                  <w:tcW w:w="834" w:type="pct"/>
                  <w:shd w:val="clear" w:color="auto" w:fill="auto"/>
                </w:tcPr>
                <w:p w14:paraId="1BD81959" w14:textId="589DD431" w:rsidR="00520DBA" w:rsidRPr="00800743" w:rsidRDefault="00520DBA" w:rsidP="00D13F35">
                  <w:pPr>
                    <w:pStyle w:val="TableBodyText"/>
                  </w:pPr>
                  <w:r w:rsidRPr="009306A2">
                    <w:t>0.180</w:t>
                  </w:r>
                </w:p>
              </w:tc>
              <w:tc>
                <w:tcPr>
                  <w:tcW w:w="916" w:type="pct"/>
                  <w:shd w:val="clear" w:color="auto" w:fill="auto"/>
                </w:tcPr>
                <w:p w14:paraId="4C512A92" w14:textId="4A3D9BC8" w:rsidR="00520DBA" w:rsidRPr="00800743" w:rsidRDefault="00520DBA" w:rsidP="001F653D">
                  <w:pPr>
                    <w:pStyle w:val="TableBodyText"/>
                    <w:ind w:right="28"/>
                  </w:pPr>
                  <w:r w:rsidRPr="00AD2CBB">
                    <w:t>0.205</w:t>
                  </w:r>
                </w:p>
              </w:tc>
            </w:tr>
            <w:tr w:rsidR="00520DBA" w14:paraId="7A0C12B5" w14:textId="77777777" w:rsidTr="001F653D">
              <w:tc>
                <w:tcPr>
                  <w:tcW w:w="2333" w:type="pct"/>
                  <w:shd w:val="clear" w:color="auto" w:fill="auto"/>
                </w:tcPr>
                <w:p w14:paraId="4DE4813C" w14:textId="427CD67F" w:rsidR="00520DBA" w:rsidRDefault="00520DBA" w:rsidP="00520DBA">
                  <w:pPr>
                    <w:pStyle w:val="TableBodyText"/>
                    <w:jc w:val="left"/>
                  </w:pPr>
                  <w:r>
                    <w:t>Unemployed</w:t>
                  </w:r>
                </w:p>
              </w:tc>
              <w:tc>
                <w:tcPr>
                  <w:tcW w:w="917" w:type="pct"/>
                  <w:shd w:val="clear" w:color="auto" w:fill="auto"/>
                </w:tcPr>
                <w:p w14:paraId="523EBD7A" w14:textId="7F26A1E2" w:rsidR="00520DBA" w:rsidRPr="00800743" w:rsidRDefault="00520DBA" w:rsidP="00D13F35">
                  <w:pPr>
                    <w:pStyle w:val="TableBodyText"/>
                  </w:pPr>
                  <w:r w:rsidRPr="001A3E24">
                    <w:t>0.030</w:t>
                  </w:r>
                </w:p>
              </w:tc>
              <w:tc>
                <w:tcPr>
                  <w:tcW w:w="834" w:type="pct"/>
                  <w:shd w:val="clear" w:color="auto" w:fill="auto"/>
                </w:tcPr>
                <w:p w14:paraId="4BF7D3A0" w14:textId="39E234E4" w:rsidR="00520DBA" w:rsidRPr="00800743" w:rsidRDefault="00520DBA" w:rsidP="00D13F35">
                  <w:pPr>
                    <w:pStyle w:val="TableBodyText"/>
                  </w:pPr>
                  <w:r w:rsidRPr="009306A2">
                    <w:t>0.054</w:t>
                  </w:r>
                </w:p>
              </w:tc>
              <w:tc>
                <w:tcPr>
                  <w:tcW w:w="916" w:type="pct"/>
                  <w:shd w:val="clear" w:color="auto" w:fill="auto"/>
                </w:tcPr>
                <w:p w14:paraId="7D7E86F3" w14:textId="744CD463" w:rsidR="00520DBA" w:rsidRPr="00800743" w:rsidRDefault="00520DBA" w:rsidP="001F653D">
                  <w:pPr>
                    <w:pStyle w:val="TableBodyText"/>
                    <w:ind w:right="28"/>
                  </w:pPr>
                  <w:r w:rsidRPr="00AD2CBB">
                    <w:t>0.026</w:t>
                  </w:r>
                </w:p>
              </w:tc>
            </w:tr>
            <w:tr w:rsidR="00520DBA" w14:paraId="64EED218" w14:textId="77777777" w:rsidTr="001F653D">
              <w:tc>
                <w:tcPr>
                  <w:tcW w:w="2333" w:type="pct"/>
                  <w:shd w:val="clear" w:color="auto" w:fill="auto"/>
                </w:tcPr>
                <w:p w14:paraId="3C36A277" w14:textId="5047F9F4" w:rsidR="00520DBA" w:rsidRDefault="00520DBA" w:rsidP="00520DBA">
                  <w:pPr>
                    <w:pStyle w:val="TableBodyText"/>
                    <w:jc w:val="left"/>
                  </w:pPr>
                  <w:r>
                    <w:t>Not in the labour force</w:t>
                  </w:r>
                </w:p>
              </w:tc>
              <w:tc>
                <w:tcPr>
                  <w:tcW w:w="917" w:type="pct"/>
                  <w:shd w:val="clear" w:color="auto" w:fill="auto"/>
                </w:tcPr>
                <w:p w14:paraId="17037AB0" w14:textId="081D55D6" w:rsidR="00520DBA" w:rsidRPr="00800743" w:rsidRDefault="00520DBA" w:rsidP="00D13F35">
                  <w:pPr>
                    <w:pStyle w:val="TableBodyText"/>
                  </w:pPr>
                  <w:r w:rsidRPr="001A3E24">
                    <w:t>0.218</w:t>
                  </w:r>
                </w:p>
              </w:tc>
              <w:tc>
                <w:tcPr>
                  <w:tcW w:w="834" w:type="pct"/>
                  <w:shd w:val="clear" w:color="auto" w:fill="auto"/>
                </w:tcPr>
                <w:p w14:paraId="7B86620A" w14:textId="3613E78B" w:rsidR="00520DBA" w:rsidRPr="00800743" w:rsidRDefault="00520DBA" w:rsidP="00D13F35">
                  <w:pPr>
                    <w:pStyle w:val="TableBodyText"/>
                  </w:pPr>
                  <w:r w:rsidRPr="009306A2">
                    <w:t>0.360</w:t>
                  </w:r>
                </w:p>
              </w:tc>
              <w:tc>
                <w:tcPr>
                  <w:tcW w:w="916" w:type="pct"/>
                  <w:shd w:val="clear" w:color="auto" w:fill="auto"/>
                </w:tcPr>
                <w:p w14:paraId="6D6C0AFF" w14:textId="41681059" w:rsidR="00520DBA" w:rsidRPr="00800743" w:rsidRDefault="00520DBA" w:rsidP="001F653D">
                  <w:pPr>
                    <w:pStyle w:val="TableBodyText"/>
                    <w:ind w:right="28"/>
                  </w:pPr>
                  <w:r w:rsidRPr="00AD2CBB">
                    <w:t>0.191</w:t>
                  </w:r>
                </w:p>
              </w:tc>
            </w:tr>
            <w:tr w:rsidR="000F7B50" w14:paraId="4E2E66ED" w14:textId="77777777" w:rsidTr="001F653D">
              <w:tc>
                <w:tcPr>
                  <w:tcW w:w="2333" w:type="pct"/>
                  <w:shd w:val="clear" w:color="auto" w:fill="auto"/>
                </w:tcPr>
                <w:p w14:paraId="6F8E1B98" w14:textId="623F8165" w:rsidR="000F7B50" w:rsidRDefault="00B8137A" w:rsidP="00F35CA2">
                  <w:pPr>
                    <w:pStyle w:val="TableBodyText"/>
                    <w:jc w:val="left"/>
                  </w:pPr>
                  <w:r>
                    <w:t>Unemployment history</w:t>
                  </w:r>
                </w:p>
              </w:tc>
              <w:tc>
                <w:tcPr>
                  <w:tcW w:w="917" w:type="pct"/>
                  <w:shd w:val="clear" w:color="auto" w:fill="auto"/>
                </w:tcPr>
                <w:p w14:paraId="39C57959" w14:textId="6911D4E9" w:rsidR="000F7B50" w:rsidRPr="00800743" w:rsidRDefault="00B8137A" w:rsidP="00D13F35">
                  <w:pPr>
                    <w:pStyle w:val="TableBodyText"/>
                  </w:pPr>
                  <w:r>
                    <w:t>0.041</w:t>
                  </w:r>
                </w:p>
              </w:tc>
              <w:tc>
                <w:tcPr>
                  <w:tcW w:w="834" w:type="pct"/>
                  <w:shd w:val="clear" w:color="auto" w:fill="auto"/>
                </w:tcPr>
                <w:p w14:paraId="67CD3128" w14:textId="55DE9404" w:rsidR="000F7B50" w:rsidRPr="00800743" w:rsidRDefault="00B8137A" w:rsidP="00D13F35">
                  <w:pPr>
                    <w:pStyle w:val="TableBodyText"/>
                  </w:pPr>
                  <w:r>
                    <w:t>0.066</w:t>
                  </w:r>
                </w:p>
              </w:tc>
              <w:tc>
                <w:tcPr>
                  <w:tcW w:w="916" w:type="pct"/>
                  <w:shd w:val="clear" w:color="auto" w:fill="auto"/>
                </w:tcPr>
                <w:p w14:paraId="45E3C5F7" w14:textId="1E6DCE9F" w:rsidR="000F7B50" w:rsidRPr="00800743" w:rsidRDefault="00B8137A" w:rsidP="001F653D">
                  <w:pPr>
                    <w:pStyle w:val="TableBodyText"/>
                    <w:ind w:right="28"/>
                  </w:pPr>
                  <w:r>
                    <w:t>0.037</w:t>
                  </w:r>
                </w:p>
              </w:tc>
            </w:tr>
            <w:tr w:rsidR="00B8137A" w14:paraId="31F1B2AB" w14:textId="77777777" w:rsidTr="001F653D">
              <w:tc>
                <w:tcPr>
                  <w:tcW w:w="2333" w:type="pct"/>
                  <w:shd w:val="clear" w:color="auto" w:fill="auto"/>
                </w:tcPr>
                <w:p w14:paraId="16C9014D" w14:textId="77777777" w:rsidR="00B8137A" w:rsidRDefault="00B8137A" w:rsidP="00F35CA2">
                  <w:pPr>
                    <w:pStyle w:val="TableBodyText"/>
                    <w:jc w:val="left"/>
                  </w:pPr>
                </w:p>
              </w:tc>
              <w:tc>
                <w:tcPr>
                  <w:tcW w:w="917" w:type="pct"/>
                  <w:shd w:val="clear" w:color="auto" w:fill="auto"/>
                </w:tcPr>
                <w:p w14:paraId="3843B619" w14:textId="77777777" w:rsidR="00B8137A" w:rsidRPr="00800743" w:rsidRDefault="00B8137A" w:rsidP="00D13F35">
                  <w:pPr>
                    <w:pStyle w:val="TableBodyText"/>
                  </w:pPr>
                </w:p>
              </w:tc>
              <w:tc>
                <w:tcPr>
                  <w:tcW w:w="834" w:type="pct"/>
                  <w:shd w:val="clear" w:color="auto" w:fill="auto"/>
                </w:tcPr>
                <w:p w14:paraId="18ADAFBB" w14:textId="77777777" w:rsidR="00B8137A" w:rsidRPr="00800743" w:rsidRDefault="00B8137A" w:rsidP="00D13F35">
                  <w:pPr>
                    <w:pStyle w:val="TableBodyText"/>
                  </w:pPr>
                </w:p>
              </w:tc>
              <w:tc>
                <w:tcPr>
                  <w:tcW w:w="916" w:type="pct"/>
                  <w:shd w:val="clear" w:color="auto" w:fill="auto"/>
                </w:tcPr>
                <w:p w14:paraId="5A3B59D2" w14:textId="77777777" w:rsidR="00B8137A" w:rsidRPr="00800743" w:rsidRDefault="00B8137A" w:rsidP="001F653D">
                  <w:pPr>
                    <w:pStyle w:val="TableBodyText"/>
                    <w:ind w:right="28"/>
                  </w:pPr>
                </w:p>
              </w:tc>
            </w:tr>
            <w:tr w:rsidR="00520DBA" w14:paraId="64B89E17" w14:textId="77777777" w:rsidTr="001F653D">
              <w:tc>
                <w:tcPr>
                  <w:tcW w:w="2333" w:type="pct"/>
                  <w:shd w:val="clear" w:color="auto" w:fill="auto"/>
                </w:tcPr>
                <w:p w14:paraId="5A9F6739" w14:textId="569D55E1" w:rsidR="00520DBA" w:rsidRDefault="00474A85" w:rsidP="00520DBA">
                  <w:pPr>
                    <w:pStyle w:val="TableBodyText"/>
                    <w:jc w:val="left"/>
                  </w:pPr>
                  <w:r>
                    <w:t>Mental component summary</w:t>
                  </w:r>
                  <w:r w:rsidR="00B8137A">
                    <w:t xml:space="preserve"> (MCS)</w:t>
                  </w:r>
                </w:p>
              </w:tc>
              <w:tc>
                <w:tcPr>
                  <w:tcW w:w="917" w:type="pct"/>
                  <w:shd w:val="clear" w:color="auto" w:fill="auto"/>
                </w:tcPr>
                <w:p w14:paraId="3047EEDE" w14:textId="755CB537" w:rsidR="00520DBA" w:rsidRPr="00800743" w:rsidRDefault="00520DBA" w:rsidP="00D13F35">
                  <w:pPr>
                    <w:pStyle w:val="TableBodyText"/>
                  </w:pPr>
                  <w:r w:rsidRPr="00DD3126">
                    <w:t>49.773</w:t>
                  </w:r>
                </w:p>
              </w:tc>
              <w:tc>
                <w:tcPr>
                  <w:tcW w:w="834" w:type="pct"/>
                  <w:shd w:val="clear" w:color="auto" w:fill="auto"/>
                </w:tcPr>
                <w:p w14:paraId="52A38979" w14:textId="0D2CF313" w:rsidR="00520DBA" w:rsidRPr="00800743" w:rsidRDefault="00520DBA" w:rsidP="00D13F35">
                  <w:pPr>
                    <w:pStyle w:val="TableBodyText"/>
                  </w:pPr>
                  <w:r w:rsidRPr="00074B62">
                    <w:t>31.580</w:t>
                  </w:r>
                </w:p>
              </w:tc>
              <w:tc>
                <w:tcPr>
                  <w:tcW w:w="916" w:type="pct"/>
                  <w:shd w:val="clear" w:color="auto" w:fill="auto"/>
                </w:tcPr>
                <w:p w14:paraId="66DDC417" w14:textId="70474D1F" w:rsidR="00520DBA" w:rsidRDefault="00520DBA" w:rsidP="001F653D">
                  <w:pPr>
                    <w:pStyle w:val="TableBodyText"/>
                    <w:ind w:right="28"/>
                  </w:pPr>
                  <w:r w:rsidRPr="00F22D0A">
                    <w:t>53.222</w:t>
                  </w:r>
                </w:p>
              </w:tc>
            </w:tr>
            <w:tr w:rsidR="00520DBA" w14:paraId="45ADA2F7" w14:textId="77777777" w:rsidTr="001F653D">
              <w:tc>
                <w:tcPr>
                  <w:tcW w:w="2333" w:type="pct"/>
                  <w:shd w:val="clear" w:color="auto" w:fill="auto"/>
                </w:tcPr>
                <w:p w14:paraId="1995BC3D" w14:textId="5CB7CCE7" w:rsidR="00520DBA" w:rsidRDefault="00474A85" w:rsidP="00520DBA">
                  <w:pPr>
                    <w:pStyle w:val="TableBodyText"/>
                    <w:jc w:val="left"/>
                  </w:pPr>
                  <w:r>
                    <w:t>Physical component summary</w:t>
                  </w:r>
                  <w:r w:rsidR="00B8137A">
                    <w:t xml:space="preserve"> (PCS)</w:t>
                  </w:r>
                </w:p>
              </w:tc>
              <w:tc>
                <w:tcPr>
                  <w:tcW w:w="917" w:type="pct"/>
                  <w:shd w:val="clear" w:color="auto" w:fill="auto"/>
                </w:tcPr>
                <w:p w14:paraId="20632882" w14:textId="72663F33" w:rsidR="00520DBA" w:rsidRPr="00800743" w:rsidRDefault="00520DBA" w:rsidP="00D13F35">
                  <w:pPr>
                    <w:pStyle w:val="TableBodyText"/>
                  </w:pPr>
                  <w:r w:rsidRPr="00DD3126">
                    <w:t>51.063</w:t>
                  </w:r>
                </w:p>
              </w:tc>
              <w:tc>
                <w:tcPr>
                  <w:tcW w:w="834" w:type="pct"/>
                  <w:shd w:val="clear" w:color="auto" w:fill="auto"/>
                </w:tcPr>
                <w:p w14:paraId="1715CD7C" w14:textId="1075C7EB" w:rsidR="00520DBA" w:rsidRPr="00800743" w:rsidRDefault="00520DBA" w:rsidP="00D13F35">
                  <w:pPr>
                    <w:pStyle w:val="TableBodyText"/>
                  </w:pPr>
                  <w:r w:rsidRPr="00074B62">
                    <w:t>49.422</w:t>
                  </w:r>
                </w:p>
              </w:tc>
              <w:tc>
                <w:tcPr>
                  <w:tcW w:w="916" w:type="pct"/>
                  <w:shd w:val="clear" w:color="auto" w:fill="auto"/>
                </w:tcPr>
                <w:p w14:paraId="3A78C1C0" w14:textId="32A33F67" w:rsidR="00520DBA" w:rsidRDefault="00520DBA" w:rsidP="001F653D">
                  <w:pPr>
                    <w:pStyle w:val="TableBodyText"/>
                    <w:ind w:right="28"/>
                  </w:pPr>
                  <w:r w:rsidRPr="00F22D0A">
                    <w:t>51.374</w:t>
                  </w:r>
                </w:p>
              </w:tc>
            </w:tr>
            <w:tr w:rsidR="0091788E" w14:paraId="590E8714" w14:textId="77777777" w:rsidTr="001F653D">
              <w:tc>
                <w:tcPr>
                  <w:tcW w:w="2333" w:type="pct"/>
                  <w:shd w:val="clear" w:color="auto" w:fill="auto"/>
                </w:tcPr>
                <w:p w14:paraId="2318B05A" w14:textId="1F7BC57A" w:rsidR="0091788E" w:rsidRDefault="001C0C55" w:rsidP="00F35CA2">
                  <w:pPr>
                    <w:pStyle w:val="TableBodyText"/>
                    <w:jc w:val="left"/>
                  </w:pPr>
                  <w:r>
                    <w:t xml:space="preserve">Quality-adjusted life years </w:t>
                  </w:r>
                </w:p>
              </w:tc>
              <w:tc>
                <w:tcPr>
                  <w:tcW w:w="917" w:type="pct"/>
                  <w:shd w:val="clear" w:color="auto" w:fill="auto"/>
                </w:tcPr>
                <w:p w14:paraId="05322412" w14:textId="10FBB8D9" w:rsidR="0091788E" w:rsidRPr="00800743" w:rsidRDefault="0091788E" w:rsidP="00D13F35">
                  <w:pPr>
                    <w:pStyle w:val="TableBodyText"/>
                  </w:pPr>
                  <w:r w:rsidRPr="00800743">
                    <w:t>0.666</w:t>
                  </w:r>
                </w:p>
              </w:tc>
              <w:tc>
                <w:tcPr>
                  <w:tcW w:w="834" w:type="pct"/>
                  <w:shd w:val="clear" w:color="auto" w:fill="auto"/>
                </w:tcPr>
                <w:p w14:paraId="6F9E82EE" w14:textId="23EF2045" w:rsidR="0091788E" w:rsidRPr="00800743" w:rsidRDefault="0091788E" w:rsidP="00D13F35">
                  <w:pPr>
                    <w:pStyle w:val="TableBodyText"/>
                  </w:pPr>
                  <w:r w:rsidRPr="00800743">
                    <w:t>0.365</w:t>
                  </w:r>
                </w:p>
              </w:tc>
              <w:tc>
                <w:tcPr>
                  <w:tcW w:w="916" w:type="pct"/>
                  <w:shd w:val="clear" w:color="auto" w:fill="auto"/>
                </w:tcPr>
                <w:p w14:paraId="2F11CDBD" w14:textId="1B29E184" w:rsidR="0091788E" w:rsidRPr="00800743" w:rsidRDefault="0091788E" w:rsidP="001F653D">
                  <w:pPr>
                    <w:pStyle w:val="TableBodyText"/>
                    <w:ind w:right="28"/>
                  </w:pPr>
                  <w:r w:rsidRPr="00800743">
                    <w:t>0.723</w:t>
                  </w:r>
                </w:p>
              </w:tc>
            </w:tr>
            <w:tr w:rsidR="001C0C55" w14:paraId="55470393" w14:textId="77777777" w:rsidTr="001F653D">
              <w:tc>
                <w:tcPr>
                  <w:tcW w:w="2333" w:type="pct"/>
                  <w:shd w:val="clear" w:color="auto" w:fill="auto"/>
                  <w:vAlign w:val="bottom"/>
                </w:tcPr>
                <w:p w14:paraId="518A62E3" w14:textId="77777777" w:rsidR="001C0C55" w:rsidRDefault="001C0C55" w:rsidP="00F35CA2">
                  <w:pPr>
                    <w:pStyle w:val="TableBodyText"/>
                    <w:jc w:val="left"/>
                  </w:pPr>
                </w:p>
              </w:tc>
              <w:tc>
                <w:tcPr>
                  <w:tcW w:w="917" w:type="pct"/>
                  <w:shd w:val="clear" w:color="auto" w:fill="auto"/>
                  <w:vAlign w:val="bottom"/>
                </w:tcPr>
                <w:p w14:paraId="45008F62" w14:textId="77777777" w:rsidR="001C0C55" w:rsidRPr="00800743" w:rsidRDefault="001C0C55" w:rsidP="00D13F35">
                  <w:pPr>
                    <w:pStyle w:val="TableBodyText"/>
                  </w:pPr>
                </w:p>
              </w:tc>
              <w:tc>
                <w:tcPr>
                  <w:tcW w:w="834" w:type="pct"/>
                  <w:shd w:val="clear" w:color="auto" w:fill="auto"/>
                  <w:vAlign w:val="bottom"/>
                </w:tcPr>
                <w:p w14:paraId="4189722D" w14:textId="77777777" w:rsidR="001C0C55" w:rsidRPr="00800743" w:rsidRDefault="001C0C55" w:rsidP="00D13F35">
                  <w:pPr>
                    <w:pStyle w:val="TableBodyText"/>
                  </w:pPr>
                </w:p>
              </w:tc>
              <w:tc>
                <w:tcPr>
                  <w:tcW w:w="916" w:type="pct"/>
                  <w:shd w:val="clear" w:color="auto" w:fill="auto"/>
                  <w:vAlign w:val="bottom"/>
                </w:tcPr>
                <w:p w14:paraId="50EDFE71" w14:textId="77777777" w:rsidR="001C0C55" w:rsidRPr="00800743" w:rsidRDefault="001C0C55" w:rsidP="001F653D">
                  <w:pPr>
                    <w:pStyle w:val="TableBodyText"/>
                    <w:ind w:right="28"/>
                  </w:pPr>
                </w:p>
              </w:tc>
            </w:tr>
            <w:tr w:rsidR="0091788E" w14:paraId="3C47107E" w14:textId="77777777" w:rsidTr="001F653D">
              <w:tc>
                <w:tcPr>
                  <w:tcW w:w="2333" w:type="pct"/>
                  <w:shd w:val="clear" w:color="auto" w:fill="auto"/>
                  <w:vAlign w:val="bottom"/>
                </w:tcPr>
                <w:p w14:paraId="1D60E5AE" w14:textId="4DAA591F" w:rsidR="0091788E" w:rsidRDefault="0091788E" w:rsidP="00F35CA2">
                  <w:pPr>
                    <w:pStyle w:val="TableBodyText"/>
                    <w:jc w:val="left"/>
                  </w:pPr>
                  <w:r>
                    <w:t>F</w:t>
                  </w:r>
                  <w:r w:rsidRPr="00800743">
                    <w:t>emale</w:t>
                  </w:r>
                </w:p>
              </w:tc>
              <w:tc>
                <w:tcPr>
                  <w:tcW w:w="917" w:type="pct"/>
                  <w:shd w:val="clear" w:color="auto" w:fill="auto"/>
                  <w:vAlign w:val="bottom"/>
                </w:tcPr>
                <w:p w14:paraId="29580EC4" w14:textId="136FD438" w:rsidR="0091788E" w:rsidRPr="00800743" w:rsidRDefault="0091788E" w:rsidP="00D13F35">
                  <w:pPr>
                    <w:pStyle w:val="TableBodyText"/>
                  </w:pPr>
                  <w:r w:rsidRPr="00800743">
                    <w:t>0.524</w:t>
                  </w:r>
                </w:p>
              </w:tc>
              <w:tc>
                <w:tcPr>
                  <w:tcW w:w="834" w:type="pct"/>
                  <w:shd w:val="clear" w:color="auto" w:fill="auto"/>
                  <w:vAlign w:val="bottom"/>
                </w:tcPr>
                <w:p w14:paraId="323B44C7" w14:textId="442D2928" w:rsidR="0091788E" w:rsidRPr="00800743" w:rsidRDefault="0091788E" w:rsidP="00D13F35">
                  <w:pPr>
                    <w:pStyle w:val="TableBodyText"/>
                  </w:pPr>
                  <w:r w:rsidRPr="00800743">
                    <w:t>0.585</w:t>
                  </w:r>
                </w:p>
              </w:tc>
              <w:tc>
                <w:tcPr>
                  <w:tcW w:w="916" w:type="pct"/>
                  <w:shd w:val="clear" w:color="auto" w:fill="auto"/>
                  <w:vAlign w:val="bottom"/>
                </w:tcPr>
                <w:p w14:paraId="26CA5C63" w14:textId="2D1304C2" w:rsidR="0091788E" w:rsidRPr="00800743" w:rsidRDefault="0091788E" w:rsidP="001F653D">
                  <w:pPr>
                    <w:pStyle w:val="TableBodyText"/>
                    <w:ind w:right="28"/>
                  </w:pPr>
                  <w:r w:rsidRPr="00800743">
                    <w:t>0.512</w:t>
                  </w:r>
                </w:p>
              </w:tc>
            </w:tr>
            <w:tr w:rsidR="0091788E" w14:paraId="634E83D7" w14:textId="77777777" w:rsidTr="001F653D">
              <w:tc>
                <w:tcPr>
                  <w:tcW w:w="2333" w:type="pct"/>
                  <w:shd w:val="clear" w:color="auto" w:fill="auto"/>
                </w:tcPr>
                <w:p w14:paraId="0D50730A" w14:textId="7F4C4C2B" w:rsidR="0091788E" w:rsidRDefault="0091788E" w:rsidP="00F35CA2">
                  <w:pPr>
                    <w:pStyle w:val="TableBodyText"/>
                    <w:jc w:val="left"/>
                  </w:pPr>
                  <w:r>
                    <w:t>Age</w:t>
                  </w:r>
                </w:p>
              </w:tc>
              <w:tc>
                <w:tcPr>
                  <w:tcW w:w="917" w:type="pct"/>
                  <w:shd w:val="clear" w:color="auto" w:fill="auto"/>
                </w:tcPr>
                <w:p w14:paraId="625A0220" w14:textId="2D6373D7" w:rsidR="0091788E" w:rsidRPr="00800743" w:rsidRDefault="0091788E" w:rsidP="00D13F35">
                  <w:pPr>
                    <w:pStyle w:val="TableBodyText"/>
                  </w:pPr>
                  <w:r w:rsidRPr="00800743">
                    <w:t>41.939</w:t>
                  </w:r>
                </w:p>
              </w:tc>
              <w:tc>
                <w:tcPr>
                  <w:tcW w:w="834" w:type="pct"/>
                  <w:shd w:val="clear" w:color="auto" w:fill="auto"/>
                </w:tcPr>
                <w:p w14:paraId="32106802" w14:textId="5B5FDB1E" w:rsidR="0091788E" w:rsidRPr="00800743" w:rsidRDefault="0091788E" w:rsidP="00D13F35">
                  <w:pPr>
                    <w:pStyle w:val="TableBodyText"/>
                  </w:pPr>
                  <w:r w:rsidRPr="00800743">
                    <w:t>41.340</w:t>
                  </w:r>
                </w:p>
              </w:tc>
              <w:tc>
                <w:tcPr>
                  <w:tcW w:w="916" w:type="pct"/>
                  <w:shd w:val="clear" w:color="auto" w:fill="auto"/>
                </w:tcPr>
                <w:p w14:paraId="3A72DB29" w14:textId="1C298126" w:rsidR="0091788E" w:rsidRPr="00800743" w:rsidRDefault="0091788E" w:rsidP="001F653D">
                  <w:pPr>
                    <w:pStyle w:val="TableBodyText"/>
                    <w:ind w:right="28"/>
                  </w:pPr>
                  <w:r w:rsidRPr="00800743">
                    <w:t>42.053</w:t>
                  </w:r>
                </w:p>
              </w:tc>
            </w:tr>
            <w:tr w:rsidR="001C0C55" w14:paraId="13C6CF58" w14:textId="77777777" w:rsidTr="001F653D">
              <w:tc>
                <w:tcPr>
                  <w:tcW w:w="2333" w:type="pct"/>
                  <w:shd w:val="clear" w:color="auto" w:fill="auto"/>
                </w:tcPr>
                <w:p w14:paraId="761DC2B8" w14:textId="77777777" w:rsidR="001C0C55" w:rsidRDefault="001C0C55" w:rsidP="00F35CA2">
                  <w:pPr>
                    <w:pStyle w:val="TableBodyText"/>
                    <w:jc w:val="left"/>
                  </w:pPr>
                </w:p>
              </w:tc>
              <w:tc>
                <w:tcPr>
                  <w:tcW w:w="917" w:type="pct"/>
                  <w:shd w:val="clear" w:color="auto" w:fill="auto"/>
                </w:tcPr>
                <w:p w14:paraId="6EC3F657" w14:textId="77777777" w:rsidR="001C0C55" w:rsidRPr="00800743" w:rsidRDefault="001C0C55" w:rsidP="00D13F35">
                  <w:pPr>
                    <w:pStyle w:val="TableBodyText"/>
                  </w:pPr>
                </w:p>
              </w:tc>
              <w:tc>
                <w:tcPr>
                  <w:tcW w:w="834" w:type="pct"/>
                  <w:shd w:val="clear" w:color="auto" w:fill="auto"/>
                </w:tcPr>
                <w:p w14:paraId="6ECE5E37" w14:textId="77777777" w:rsidR="001C0C55" w:rsidRPr="00800743" w:rsidRDefault="001C0C55" w:rsidP="00D13F35">
                  <w:pPr>
                    <w:pStyle w:val="TableBodyText"/>
                  </w:pPr>
                </w:p>
              </w:tc>
              <w:tc>
                <w:tcPr>
                  <w:tcW w:w="916" w:type="pct"/>
                  <w:shd w:val="clear" w:color="auto" w:fill="auto"/>
                </w:tcPr>
                <w:p w14:paraId="7E01527F" w14:textId="77777777" w:rsidR="001C0C55" w:rsidRPr="00800743" w:rsidRDefault="001C0C55" w:rsidP="001F653D">
                  <w:pPr>
                    <w:pStyle w:val="TableBodyText"/>
                    <w:ind w:right="28"/>
                  </w:pPr>
                </w:p>
              </w:tc>
            </w:tr>
            <w:tr w:rsidR="0091788E" w14:paraId="3A38BC67" w14:textId="77777777" w:rsidTr="001F653D">
              <w:tc>
                <w:tcPr>
                  <w:tcW w:w="2333" w:type="pct"/>
                  <w:shd w:val="clear" w:color="auto" w:fill="auto"/>
                </w:tcPr>
                <w:p w14:paraId="5624C80A" w14:textId="72A3682B" w:rsidR="0091788E" w:rsidRDefault="001C0C55" w:rsidP="00F35CA2">
                  <w:pPr>
                    <w:pStyle w:val="TableBodyText"/>
                    <w:jc w:val="left"/>
                  </w:pPr>
                  <w:r>
                    <w:t xml:space="preserve">Highest qualification – </w:t>
                  </w:r>
                  <w:r w:rsidR="0091788E">
                    <w:t>University degree</w:t>
                  </w:r>
                </w:p>
              </w:tc>
              <w:tc>
                <w:tcPr>
                  <w:tcW w:w="917" w:type="pct"/>
                  <w:shd w:val="clear" w:color="auto" w:fill="auto"/>
                </w:tcPr>
                <w:p w14:paraId="5C1B07EA" w14:textId="727DF933" w:rsidR="0091788E" w:rsidRPr="00800743" w:rsidRDefault="0091788E" w:rsidP="00D13F35">
                  <w:pPr>
                    <w:pStyle w:val="TableBodyText"/>
                  </w:pPr>
                  <w:r w:rsidRPr="00800743">
                    <w:t>0.296</w:t>
                  </w:r>
                </w:p>
              </w:tc>
              <w:tc>
                <w:tcPr>
                  <w:tcW w:w="834" w:type="pct"/>
                  <w:shd w:val="clear" w:color="auto" w:fill="auto"/>
                </w:tcPr>
                <w:p w14:paraId="140B8583" w14:textId="65CE063F" w:rsidR="0091788E" w:rsidRPr="00800743" w:rsidRDefault="0091788E" w:rsidP="00D13F35">
                  <w:pPr>
                    <w:pStyle w:val="TableBodyText"/>
                  </w:pPr>
                  <w:r w:rsidRPr="00800743">
                    <w:t>0.242</w:t>
                  </w:r>
                </w:p>
              </w:tc>
              <w:tc>
                <w:tcPr>
                  <w:tcW w:w="916" w:type="pct"/>
                  <w:shd w:val="clear" w:color="auto" w:fill="auto"/>
                </w:tcPr>
                <w:p w14:paraId="190D9C7A" w14:textId="58F4A82A" w:rsidR="0091788E" w:rsidRPr="00800743" w:rsidRDefault="0091788E" w:rsidP="001F653D">
                  <w:pPr>
                    <w:pStyle w:val="TableBodyText"/>
                    <w:ind w:right="28"/>
                  </w:pPr>
                  <w:r w:rsidRPr="00800743">
                    <w:t>0.306</w:t>
                  </w:r>
                </w:p>
              </w:tc>
            </w:tr>
            <w:tr w:rsidR="0091788E" w14:paraId="7D8B1322" w14:textId="77777777" w:rsidTr="001F653D">
              <w:tc>
                <w:tcPr>
                  <w:tcW w:w="2333" w:type="pct"/>
                  <w:shd w:val="clear" w:color="auto" w:fill="auto"/>
                </w:tcPr>
                <w:p w14:paraId="2DA08B38" w14:textId="1067F8CD" w:rsidR="0091788E" w:rsidRDefault="001C0C55" w:rsidP="00F35CA2">
                  <w:pPr>
                    <w:pStyle w:val="TableBodyText"/>
                    <w:jc w:val="left"/>
                  </w:pPr>
                  <w:r>
                    <w:t xml:space="preserve">Highest qualification – </w:t>
                  </w:r>
                  <w:r w:rsidR="0091788E">
                    <w:t>Diploma/certificate</w:t>
                  </w:r>
                </w:p>
              </w:tc>
              <w:tc>
                <w:tcPr>
                  <w:tcW w:w="917" w:type="pct"/>
                  <w:shd w:val="clear" w:color="auto" w:fill="auto"/>
                </w:tcPr>
                <w:p w14:paraId="0309A7FB" w14:textId="6EEDFED1" w:rsidR="0091788E" w:rsidRPr="00800743" w:rsidRDefault="0091788E" w:rsidP="00D13F35">
                  <w:pPr>
                    <w:pStyle w:val="TableBodyText"/>
                  </w:pPr>
                  <w:r w:rsidRPr="00800743">
                    <w:t>0.322</w:t>
                  </w:r>
                </w:p>
              </w:tc>
              <w:tc>
                <w:tcPr>
                  <w:tcW w:w="834" w:type="pct"/>
                  <w:shd w:val="clear" w:color="auto" w:fill="auto"/>
                </w:tcPr>
                <w:p w14:paraId="247E0A59" w14:textId="3B559641" w:rsidR="0091788E" w:rsidRPr="00800743" w:rsidRDefault="0091788E" w:rsidP="00D13F35">
                  <w:pPr>
                    <w:pStyle w:val="TableBodyText"/>
                  </w:pPr>
                  <w:r w:rsidRPr="00800743">
                    <w:t>0.318</w:t>
                  </w:r>
                </w:p>
              </w:tc>
              <w:tc>
                <w:tcPr>
                  <w:tcW w:w="916" w:type="pct"/>
                  <w:shd w:val="clear" w:color="auto" w:fill="auto"/>
                </w:tcPr>
                <w:p w14:paraId="125FBAB9" w14:textId="0D3B4798" w:rsidR="0091788E" w:rsidRPr="00800743" w:rsidRDefault="0091788E" w:rsidP="001F653D">
                  <w:pPr>
                    <w:pStyle w:val="TableBodyText"/>
                    <w:ind w:right="28"/>
                  </w:pPr>
                  <w:r w:rsidRPr="00800743">
                    <w:t>0.323</w:t>
                  </w:r>
                </w:p>
              </w:tc>
            </w:tr>
            <w:tr w:rsidR="0091788E" w14:paraId="6C5DEAAD" w14:textId="77777777" w:rsidTr="001F653D">
              <w:tc>
                <w:tcPr>
                  <w:tcW w:w="2333" w:type="pct"/>
                  <w:shd w:val="clear" w:color="auto" w:fill="auto"/>
                </w:tcPr>
                <w:p w14:paraId="5B6A0DF0" w14:textId="7EB5BBF2" w:rsidR="0091788E" w:rsidRDefault="001C0C55" w:rsidP="00F35CA2">
                  <w:pPr>
                    <w:pStyle w:val="TableBodyText"/>
                    <w:jc w:val="left"/>
                  </w:pPr>
                  <w:r>
                    <w:t xml:space="preserve">Highest qualification – Year 12 </w:t>
                  </w:r>
                </w:p>
              </w:tc>
              <w:tc>
                <w:tcPr>
                  <w:tcW w:w="917" w:type="pct"/>
                  <w:shd w:val="clear" w:color="auto" w:fill="auto"/>
                </w:tcPr>
                <w:p w14:paraId="0EA5A381" w14:textId="6A080D80" w:rsidR="0091788E" w:rsidRPr="00800743" w:rsidRDefault="0091788E" w:rsidP="00D13F35">
                  <w:pPr>
                    <w:pStyle w:val="TableBodyText"/>
                  </w:pPr>
                  <w:r w:rsidRPr="00800743">
                    <w:t>0.153</w:t>
                  </w:r>
                </w:p>
              </w:tc>
              <w:tc>
                <w:tcPr>
                  <w:tcW w:w="834" w:type="pct"/>
                  <w:shd w:val="clear" w:color="auto" w:fill="auto"/>
                </w:tcPr>
                <w:p w14:paraId="037E543F" w14:textId="51FADF4F" w:rsidR="0091788E" w:rsidRPr="00800743" w:rsidRDefault="0091788E" w:rsidP="00D13F35">
                  <w:pPr>
                    <w:pStyle w:val="TableBodyText"/>
                  </w:pPr>
                  <w:r w:rsidRPr="00800743">
                    <w:t>0.160</w:t>
                  </w:r>
                </w:p>
              </w:tc>
              <w:tc>
                <w:tcPr>
                  <w:tcW w:w="916" w:type="pct"/>
                  <w:shd w:val="clear" w:color="auto" w:fill="auto"/>
                </w:tcPr>
                <w:p w14:paraId="2072BA33" w14:textId="14E18269" w:rsidR="0091788E" w:rsidRPr="00800743" w:rsidRDefault="0091788E" w:rsidP="001F653D">
                  <w:pPr>
                    <w:pStyle w:val="TableBodyText"/>
                    <w:ind w:right="28"/>
                  </w:pPr>
                  <w:r w:rsidRPr="00800743">
                    <w:t>0.151</w:t>
                  </w:r>
                </w:p>
              </w:tc>
            </w:tr>
            <w:tr w:rsidR="001C0C55" w14:paraId="4C0291FA" w14:textId="77777777" w:rsidTr="001F653D">
              <w:tc>
                <w:tcPr>
                  <w:tcW w:w="2333" w:type="pct"/>
                  <w:shd w:val="clear" w:color="auto" w:fill="auto"/>
                </w:tcPr>
                <w:p w14:paraId="2F4A02ED" w14:textId="77777777" w:rsidR="001C0C55" w:rsidRDefault="001C0C55" w:rsidP="00F35CA2">
                  <w:pPr>
                    <w:pStyle w:val="TableBodyText"/>
                    <w:jc w:val="left"/>
                  </w:pPr>
                </w:p>
              </w:tc>
              <w:tc>
                <w:tcPr>
                  <w:tcW w:w="917" w:type="pct"/>
                  <w:shd w:val="clear" w:color="auto" w:fill="auto"/>
                </w:tcPr>
                <w:p w14:paraId="455EF9E4" w14:textId="77777777" w:rsidR="001C0C55" w:rsidRPr="00800743" w:rsidRDefault="001C0C55" w:rsidP="00D13F35">
                  <w:pPr>
                    <w:pStyle w:val="TableBodyText"/>
                  </w:pPr>
                </w:p>
              </w:tc>
              <w:tc>
                <w:tcPr>
                  <w:tcW w:w="834" w:type="pct"/>
                  <w:shd w:val="clear" w:color="auto" w:fill="auto"/>
                </w:tcPr>
                <w:p w14:paraId="67A577B8" w14:textId="77777777" w:rsidR="001C0C55" w:rsidRPr="00800743" w:rsidRDefault="001C0C55" w:rsidP="00D13F35">
                  <w:pPr>
                    <w:pStyle w:val="TableBodyText"/>
                  </w:pPr>
                </w:p>
              </w:tc>
              <w:tc>
                <w:tcPr>
                  <w:tcW w:w="916" w:type="pct"/>
                  <w:shd w:val="clear" w:color="auto" w:fill="auto"/>
                </w:tcPr>
                <w:p w14:paraId="51EEAA28" w14:textId="77777777" w:rsidR="001C0C55" w:rsidRPr="00800743" w:rsidRDefault="001C0C55" w:rsidP="001F653D">
                  <w:pPr>
                    <w:pStyle w:val="TableBodyText"/>
                    <w:ind w:right="28"/>
                  </w:pPr>
                </w:p>
              </w:tc>
            </w:tr>
            <w:tr w:rsidR="0091788E" w14:paraId="04B8FE4C" w14:textId="77777777" w:rsidTr="001F653D">
              <w:tc>
                <w:tcPr>
                  <w:tcW w:w="2333" w:type="pct"/>
                  <w:shd w:val="clear" w:color="auto" w:fill="auto"/>
                </w:tcPr>
                <w:p w14:paraId="6A00D8DE" w14:textId="56F1CA0F" w:rsidR="0091788E" w:rsidRDefault="0091788E" w:rsidP="00F35CA2">
                  <w:pPr>
                    <w:pStyle w:val="TableBodyText"/>
                    <w:jc w:val="left"/>
                  </w:pPr>
                  <w:r>
                    <w:t>Married</w:t>
                  </w:r>
                </w:p>
              </w:tc>
              <w:tc>
                <w:tcPr>
                  <w:tcW w:w="917" w:type="pct"/>
                  <w:shd w:val="clear" w:color="auto" w:fill="auto"/>
                </w:tcPr>
                <w:p w14:paraId="3D8CBDC0" w14:textId="08676134" w:rsidR="0091788E" w:rsidRPr="00800743" w:rsidRDefault="0091788E" w:rsidP="00D13F35">
                  <w:pPr>
                    <w:pStyle w:val="TableBodyText"/>
                  </w:pPr>
                  <w:r w:rsidRPr="00800743">
                    <w:t>0.695</w:t>
                  </w:r>
                </w:p>
              </w:tc>
              <w:tc>
                <w:tcPr>
                  <w:tcW w:w="834" w:type="pct"/>
                  <w:shd w:val="clear" w:color="auto" w:fill="auto"/>
                </w:tcPr>
                <w:p w14:paraId="5B584750" w14:textId="0108B766" w:rsidR="0091788E" w:rsidRPr="00800743" w:rsidRDefault="0091788E" w:rsidP="00D13F35">
                  <w:pPr>
                    <w:pStyle w:val="TableBodyText"/>
                  </w:pPr>
                  <w:r w:rsidRPr="00800743">
                    <w:t>0.570</w:t>
                  </w:r>
                </w:p>
              </w:tc>
              <w:tc>
                <w:tcPr>
                  <w:tcW w:w="916" w:type="pct"/>
                  <w:shd w:val="clear" w:color="auto" w:fill="auto"/>
                </w:tcPr>
                <w:p w14:paraId="64B4BCB9" w14:textId="441E3C08" w:rsidR="0091788E" w:rsidRPr="00800743" w:rsidRDefault="0091788E" w:rsidP="001F653D">
                  <w:pPr>
                    <w:pStyle w:val="TableBodyText"/>
                    <w:ind w:right="28"/>
                  </w:pPr>
                  <w:r w:rsidRPr="00800743">
                    <w:t>0.719</w:t>
                  </w:r>
                </w:p>
              </w:tc>
            </w:tr>
            <w:tr w:rsidR="0091788E" w14:paraId="150A3F1A" w14:textId="77777777" w:rsidTr="001F653D">
              <w:tc>
                <w:tcPr>
                  <w:tcW w:w="2333" w:type="pct"/>
                  <w:shd w:val="clear" w:color="auto" w:fill="auto"/>
                </w:tcPr>
                <w:p w14:paraId="48004B1A" w14:textId="0C3764AF" w:rsidR="0091788E" w:rsidRDefault="0091788E" w:rsidP="00F35CA2">
                  <w:pPr>
                    <w:pStyle w:val="TableBodyText"/>
                    <w:jc w:val="left"/>
                  </w:pPr>
                  <w:r>
                    <w:t>Lives in regional area</w:t>
                  </w:r>
                </w:p>
              </w:tc>
              <w:tc>
                <w:tcPr>
                  <w:tcW w:w="917" w:type="pct"/>
                  <w:shd w:val="clear" w:color="auto" w:fill="auto"/>
                </w:tcPr>
                <w:p w14:paraId="4E4E05B4" w14:textId="5ED7E242" w:rsidR="0091788E" w:rsidRPr="00800743" w:rsidRDefault="0091788E" w:rsidP="00D13F35">
                  <w:pPr>
                    <w:pStyle w:val="TableBodyText"/>
                  </w:pPr>
                  <w:r w:rsidRPr="00800743">
                    <w:t>0.306</w:t>
                  </w:r>
                </w:p>
              </w:tc>
              <w:tc>
                <w:tcPr>
                  <w:tcW w:w="834" w:type="pct"/>
                  <w:shd w:val="clear" w:color="auto" w:fill="auto"/>
                </w:tcPr>
                <w:p w14:paraId="223D9B64" w14:textId="1B0FDB44" w:rsidR="0091788E" w:rsidRPr="00800743" w:rsidRDefault="0091788E" w:rsidP="00D13F35">
                  <w:pPr>
                    <w:pStyle w:val="TableBodyText"/>
                  </w:pPr>
                  <w:r w:rsidRPr="00800743">
                    <w:t>0.311</w:t>
                  </w:r>
                </w:p>
              </w:tc>
              <w:tc>
                <w:tcPr>
                  <w:tcW w:w="916" w:type="pct"/>
                  <w:shd w:val="clear" w:color="auto" w:fill="auto"/>
                </w:tcPr>
                <w:p w14:paraId="307F0C5E" w14:textId="086B01F9" w:rsidR="0091788E" w:rsidRPr="00800743" w:rsidRDefault="0091788E" w:rsidP="001F653D">
                  <w:pPr>
                    <w:pStyle w:val="TableBodyText"/>
                    <w:ind w:right="28"/>
                  </w:pPr>
                  <w:r w:rsidRPr="00800743">
                    <w:t>0.305</w:t>
                  </w:r>
                </w:p>
              </w:tc>
            </w:tr>
            <w:tr w:rsidR="0091788E" w14:paraId="3572F786" w14:textId="77777777" w:rsidTr="001F653D">
              <w:tc>
                <w:tcPr>
                  <w:tcW w:w="2333" w:type="pct"/>
                  <w:shd w:val="clear" w:color="auto" w:fill="auto"/>
                </w:tcPr>
                <w:p w14:paraId="1DA3AFE0" w14:textId="4BEDD3B2" w:rsidR="0091788E" w:rsidRPr="00800743" w:rsidRDefault="008E5C4B" w:rsidP="00F35CA2">
                  <w:pPr>
                    <w:pStyle w:val="TableBodyText"/>
                    <w:jc w:val="left"/>
                  </w:pPr>
                  <w:r>
                    <w:t>Aboriginal or Torres Strait Islander</w:t>
                  </w:r>
                </w:p>
              </w:tc>
              <w:tc>
                <w:tcPr>
                  <w:tcW w:w="917" w:type="pct"/>
                  <w:shd w:val="clear" w:color="auto" w:fill="auto"/>
                </w:tcPr>
                <w:p w14:paraId="2B9ED993" w14:textId="77777777" w:rsidR="0091788E" w:rsidRPr="00800743" w:rsidRDefault="0091788E" w:rsidP="00D13F35">
                  <w:pPr>
                    <w:pStyle w:val="TableBodyText"/>
                  </w:pPr>
                  <w:r w:rsidRPr="00800743">
                    <w:t>0.019</w:t>
                  </w:r>
                </w:p>
              </w:tc>
              <w:tc>
                <w:tcPr>
                  <w:tcW w:w="834" w:type="pct"/>
                  <w:shd w:val="clear" w:color="auto" w:fill="auto"/>
                </w:tcPr>
                <w:p w14:paraId="080DB4E5" w14:textId="77777777" w:rsidR="0091788E" w:rsidRPr="00800743" w:rsidRDefault="0091788E" w:rsidP="00D13F35">
                  <w:pPr>
                    <w:pStyle w:val="TableBodyText"/>
                  </w:pPr>
                  <w:r w:rsidRPr="00800743">
                    <w:t>0.029</w:t>
                  </w:r>
                </w:p>
              </w:tc>
              <w:tc>
                <w:tcPr>
                  <w:tcW w:w="916" w:type="pct"/>
                  <w:shd w:val="clear" w:color="auto" w:fill="auto"/>
                </w:tcPr>
                <w:p w14:paraId="10E17C87" w14:textId="77777777" w:rsidR="0091788E" w:rsidRPr="00800743" w:rsidRDefault="0091788E" w:rsidP="001F653D">
                  <w:pPr>
                    <w:pStyle w:val="TableBodyText"/>
                    <w:ind w:right="28"/>
                  </w:pPr>
                  <w:r w:rsidRPr="00800743">
                    <w:t>0.017</w:t>
                  </w:r>
                </w:p>
              </w:tc>
            </w:tr>
            <w:tr w:rsidR="0091788E" w14:paraId="70DB5D71" w14:textId="77777777" w:rsidTr="001F653D">
              <w:tc>
                <w:tcPr>
                  <w:tcW w:w="2333" w:type="pct"/>
                  <w:shd w:val="clear" w:color="auto" w:fill="auto"/>
                </w:tcPr>
                <w:p w14:paraId="3DE9A2A0" w14:textId="68085C3C" w:rsidR="0091788E" w:rsidRPr="00800743" w:rsidRDefault="0091788E" w:rsidP="00F35CA2">
                  <w:pPr>
                    <w:pStyle w:val="TableBodyText"/>
                    <w:jc w:val="left"/>
                  </w:pPr>
                  <w:r>
                    <w:t>Non-English speaking background</w:t>
                  </w:r>
                </w:p>
              </w:tc>
              <w:tc>
                <w:tcPr>
                  <w:tcW w:w="917" w:type="pct"/>
                  <w:shd w:val="clear" w:color="auto" w:fill="auto"/>
                </w:tcPr>
                <w:p w14:paraId="4710A3A0" w14:textId="77777777" w:rsidR="0091788E" w:rsidRPr="00800743" w:rsidRDefault="0091788E" w:rsidP="00D13F35">
                  <w:pPr>
                    <w:pStyle w:val="TableBodyText"/>
                  </w:pPr>
                  <w:r w:rsidRPr="00800743">
                    <w:t>0.172</w:t>
                  </w:r>
                </w:p>
              </w:tc>
              <w:tc>
                <w:tcPr>
                  <w:tcW w:w="834" w:type="pct"/>
                  <w:shd w:val="clear" w:color="auto" w:fill="auto"/>
                </w:tcPr>
                <w:p w14:paraId="6462003F" w14:textId="77777777" w:rsidR="0091788E" w:rsidRPr="00800743" w:rsidRDefault="0091788E" w:rsidP="00D13F35">
                  <w:pPr>
                    <w:pStyle w:val="TableBodyText"/>
                  </w:pPr>
                  <w:r w:rsidRPr="00800743">
                    <w:t>0.165</w:t>
                  </w:r>
                </w:p>
              </w:tc>
              <w:tc>
                <w:tcPr>
                  <w:tcW w:w="916" w:type="pct"/>
                  <w:shd w:val="clear" w:color="auto" w:fill="auto"/>
                </w:tcPr>
                <w:p w14:paraId="1EB069E6" w14:textId="77777777" w:rsidR="0091788E" w:rsidRPr="00800743" w:rsidRDefault="0091788E" w:rsidP="001F653D">
                  <w:pPr>
                    <w:pStyle w:val="TableBodyText"/>
                    <w:ind w:right="28"/>
                  </w:pPr>
                  <w:r w:rsidRPr="00800743">
                    <w:t>0.174</w:t>
                  </w:r>
                </w:p>
              </w:tc>
            </w:tr>
            <w:tr w:rsidR="0091788E" w14:paraId="776804DD" w14:textId="77777777" w:rsidTr="001F653D">
              <w:tc>
                <w:tcPr>
                  <w:tcW w:w="2333" w:type="pct"/>
                  <w:shd w:val="clear" w:color="auto" w:fill="auto"/>
                </w:tcPr>
                <w:p w14:paraId="2A9C9D6E" w14:textId="78AA275A" w:rsidR="0091788E" w:rsidRPr="00800743" w:rsidRDefault="0091788E" w:rsidP="00F35CA2">
                  <w:pPr>
                    <w:pStyle w:val="TableBodyText"/>
                    <w:jc w:val="left"/>
                  </w:pPr>
                  <w:r>
                    <w:t>Currently studying</w:t>
                  </w:r>
                </w:p>
              </w:tc>
              <w:tc>
                <w:tcPr>
                  <w:tcW w:w="917" w:type="pct"/>
                  <w:shd w:val="clear" w:color="auto" w:fill="auto"/>
                </w:tcPr>
                <w:p w14:paraId="555055A8" w14:textId="77777777" w:rsidR="0091788E" w:rsidRPr="00800743" w:rsidRDefault="0091788E" w:rsidP="00D13F35">
                  <w:pPr>
                    <w:pStyle w:val="TableBodyText"/>
                  </w:pPr>
                  <w:r w:rsidRPr="00800743">
                    <w:t>0.041</w:t>
                  </w:r>
                </w:p>
              </w:tc>
              <w:tc>
                <w:tcPr>
                  <w:tcW w:w="834" w:type="pct"/>
                  <w:shd w:val="clear" w:color="auto" w:fill="auto"/>
                </w:tcPr>
                <w:p w14:paraId="05F2FFED" w14:textId="77777777" w:rsidR="0091788E" w:rsidRPr="00800743" w:rsidRDefault="0091788E" w:rsidP="00D13F35">
                  <w:pPr>
                    <w:pStyle w:val="TableBodyText"/>
                  </w:pPr>
                  <w:r w:rsidRPr="00800743">
                    <w:t>0.047</w:t>
                  </w:r>
                </w:p>
              </w:tc>
              <w:tc>
                <w:tcPr>
                  <w:tcW w:w="916" w:type="pct"/>
                  <w:shd w:val="clear" w:color="auto" w:fill="auto"/>
                </w:tcPr>
                <w:p w14:paraId="5650DE2B" w14:textId="77777777" w:rsidR="0091788E" w:rsidRPr="00800743" w:rsidRDefault="0091788E" w:rsidP="001F653D">
                  <w:pPr>
                    <w:pStyle w:val="TableBodyText"/>
                    <w:ind w:right="28"/>
                  </w:pPr>
                  <w:r w:rsidRPr="00800743">
                    <w:t>0.040</w:t>
                  </w:r>
                </w:p>
              </w:tc>
            </w:tr>
            <w:tr w:rsidR="001C0C55" w14:paraId="0111F650" w14:textId="77777777" w:rsidTr="001F653D">
              <w:tc>
                <w:tcPr>
                  <w:tcW w:w="2333" w:type="pct"/>
                  <w:shd w:val="clear" w:color="auto" w:fill="auto"/>
                </w:tcPr>
                <w:p w14:paraId="736E80CF" w14:textId="77777777" w:rsidR="001C0C55" w:rsidRDefault="001C0C55" w:rsidP="00F35CA2">
                  <w:pPr>
                    <w:pStyle w:val="TableBodyText"/>
                    <w:jc w:val="left"/>
                  </w:pPr>
                </w:p>
              </w:tc>
              <w:tc>
                <w:tcPr>
                  <w:tcW w:w="917" w:type="pct"/>
                  <w:shd w:val="clear" w:color="auto" w:fill="auto"/>
                </w:tcPr>
                <w:p w14:paraId="715078D0" w14:textId="77777777" w:rsidR="001C0C55" w:rsidRPr="00800743" w:rsidRDefault="001C0C55" w:rsidP="00D13F35">
                  <w:pPr>
                    <w:pStyle w:val="TableBodyText"/>
                  </w:pPr>
                </w:p>
              </w:tc>
              <w:tc>
                <w:tcPr>
                  <w:tcW w:w="834" w:type="pct"/>
                  <w:shd w:val="clear" w:color="auto" w:fill="auto"/>
                </w:tcPr>
                <w:p w14:paraId="3737A7E4" w14:textId="77777777" w:rsidR="001C0C55" w:rsidRPr="00800743" w:rsidRDefault="001C0C55" w:rsidP="00D13F35">
                  <w:pPr>
                    <w:pStyle w:val="TableBodyText"/>
                  </w:pPr>
                </w:p>
              </w:tc>
              <w:tc>
                <w:tcPr>
                  <w:tcW w:w="916" w:type="pct"/>
                  <w:shd w:val="clear" w:color="auto" w:fill="auto"/>
                </w:tcPr>
                <w:p w14:paraId="6D30B80F" w14:textId="77777777" w:rsidR="001C0C55" w:rsidRPr="00800743" w:rsidRDefault="001C0C55" w:rsidP="001F653D">
                  <w:pPr>
                    <w:pStyle w:val="TableBodyText"/>
                    <w:ind w:right="28"/>
                  </w:pPr>
                </w:p>
              </w:tc>
            </w:tr>
            <w:tr w:rsidR="0091788E" w14:paraId="0325921D" w14:textId="77777777" w:rsidTr="001F653D">
              <w:tc>
                <w:tcPr>
                  <w:tcW w:w="2333" w:type="pct"/>
                  <w:shd w:val="clear" w:color="auto" w:fill="auto"/>
                </w:tcPr>
                <w:p w14:paraId="6C8F8C0B" w14:textId="5EAC474C" w:rsidR="0091788E" w:rsidRPr="00800743" w:rsidRDefault="0091788E" w:rsidP="00F35CA2">
                  <w:pPr>
                    <w:pStyle w:val="TableBodyText"/>
                    <w:jc w:val="left"/>
                  </w:pPr>
                  <w:r>
                    <w:t xml:space="preserve">Number of children between ages </w:t>
                  </w:r>
                  <w:r w:rsidRPr="00800743">
                    <w:t>0</w:t>
                  </w:r>
                  <w:r w:rsidR="008E5C4B">
                    <w:t>–</w:t>
                  </w:r>
                  <w:r w:rsidRPr="00800743">
                    <w:t>4</w:t>
                  </w:r>
                  <w:r w:rsidR="008E5C4B">
                    <w:t xml:space="preserve"> years</w:t>
                  </w:r>
                </w:p>
              </w:tc>
              <w:tc>
                <w:tcPr>
                  <w:tcW w:w="917" w:type="pct"/>
                  <w:shd w:val="clear" w:color="auto" w:fill="auto"/>
                </w:tcPr>
                <w:p w14:paraId="59FC6247" w14:textId="77777777" w:rsidR="0091788E" w:rsidRPr="00800743" w:rsidRDefault="0091788E" w:rsidP="00D13F35">
                  <w:pPr>
                    <w:pStyle w:val="TableBodyText"/>
                  </w:pPr>
                  <w:r w:rsidRPr="00800743">
                    <w:t>0.209</w:t>
                  </w:r>
                </w:p>
              </w:tc>
              <w:tc>
                <w:tcPr>
                  <w:tcW w:w="834" w:type="pct"/>
                  <w:shd w:val="clear" w:color="auto" w:fill="auto"/>
                </w:tcPr>
                <w:p w14:paraId="4253275E" w14:textId="77777777" w:rsidR="0091788E" w:rsidRPr="00800743" w:rsidRDefault="0091788E" w:rsidP="00D13F35">
                  <w:pPr>
                    <w:pStyle w:val="TableBodyText"/>
                  </w:pPr>
                  <w:r w:rsidRPr="00800743">
                    <w:t>0.183</w:t>
                  </w:r>
                </w:p>
              </w:tc>
              <w:tc>
                <w:tcPr>
                  <w:tcW w:w="916" w:type="pct"/>
                  <w:shd w:val="clear" w:color="auto" w:fill="auto"/>
                </w:tcPr>
                <w:p w14:paraId="0B1A185E" w14:textId="77777777" w:rsidR="0091788E" w:rsidRPr="00800743" w:rsidRDefault="0091788E" w:rsidP="001F653D">
                  <w:pPr>
                    <w:pStyle w:val="TableBodyText"/>
                    <w:ind w:right="28"/>
                  </w:pPr>
                  <w:r w:rsidRPr="00800743">
                    <w:t>0.213</w:t>
                  </w:r>
                </w:p>
              </w:tc>
            </w:tr>
            <w:tr w:rsidR="0091788E" w14:paraId="0358F1FC" w14:textId="77777777" w:rsidTr="001F653D">
              <w:tc>
                <w:tcPr>
                  <w:tcW w:w="2333" w:type="pct"/>
                  <w:shd w:val="clear" w:color="auto" w:fill="auto"/>
                </w:tcPr>
                <w:p w14:paraId="53630C58" w14:textId="068EB864" w:rsidR="0091788E" w:rsidRPr="00800743" w:rsidRDefault="0091788E" w:rsidP="00F35CA2">
                  <w:pPr>
                    <w:pStyle w:val="TableBodyText"/>
                    <w:jc w:val="left"/>
                  </w:pPr>
                  <w:r>
                    <w:t>Number of children between ages 5</w:t>
                  </w:r>
                  <w:r w:rsidR="008E5C4B">
                    <w:t>–</w:t>
                  </w:r>
                  <w:r>
                    <w:t>14</w:t>
                  </w:r>
                  <w:r w:rsidR="008E5C4B">
                    <w:t xml:space="preserve"> years</w:t>
                  </w:r>
                </w:p>
              </w:tc>
              <w:tc>
                <w:tcPr>
                  <w:tcW w:w="917" w:type="pct"/>
                  <w:shd w:val="clear" w:color="auto" w:fill="auto"/>
                </w:tcPr>
                <w:p w14:paraId="19DD7373" w14:textId="77777777" w:rsidR="0091788E" w:rsidRPr="00800743" w:rsidRDefault="0091788E" w:rsidP="00D13F35">
                  <w:pPr>
                    <w:pStyle w:val="TableBodyText"/>
                  </w:pPr>
                  <w:r w:rsidRPr="00800743">
                    <w:t>0.386</w:t>
                  </w:r>
                </w:p>
              </w:tc>
              <w:tc>
                <w:tcPr>
                  <w:tcW w:w="834" w:type="pct"/>
                  <w:shd w:val="clear" w:color="auto" w:fill="auto"/>
                </w:tcPr>
                <w:p w14:paraId="5FA2C756" w14:textId="77777777" w:rsidR="0091788E" w:rsidRPr="00800743" w:rsidRDefault="0091788E" w:rsidP="00D13F35">
                  <w:pPr>
                    <w:pStyle w:val="TableBodyText"/>
                  </w:pPr>
                  <w:r w:rsidRPr="00800743">
                    <w:t>0.374</w:t>
                  </w:r>
                </w:p>
              </w:tc>
              <w:tc>
                <w:tcPr>
                  <w:tcW w:w="916" w:type="pct"/>
                  <w:shd w:val="clear" w:color="auto" w:fill="auto"/>
                </w:tcPr>
                <w:p w14:paraId="02C60FCE" w14:textId="77777777" w:rsidR="0091788E" w:rsidRPr="00800743" w:rsidRDefault="0091788E" w:rsidP="001F653D">
                  <w:pPr>
                    <w:pStyle w:val="TableBodyText"/>
                    <w:ind w:right="28"/>
                  </w:pPr>
                  <w:r w:rsidRPr="00800743">
                    <w:t>0.389</w:t>
                  </w:r>
                </w:p>
              </w:tc>
            </w:tr>
            <w:tr w:rsidR="0091788E" w14:paraId="575687A0" w14:textId="77777777" w:rsidTr="001F653D">
              <w:tc>
                <w:tcPr>
                  <w:tcW w:w="2333" w:type="pct"/>
                  <w:shd w:val="clear" w:color="auto" w:fill="auto"/>
                  <w:vAlign w:val="bottom"/>
                </w:tcPr>
                <w:p w14:paraId="25DAFBBE" w14:textId="35FF8E78" w:rsidR="0091788E" w:rsidRDefault="0091788E" w:rsidP="00F35CA2">
                  <w:pPr>
                    <w:pStyle w:val="TableBodyText"/>
                    <w:jc w:val="left"/>
                  </w:pPr>
                  <w:r>
                    <w:t>Number of children between ages 15</w:t>
                  </w:r>
                  <w:r w:rsidR="008E5C4B">
                    <w:t>–</w:t>
                  </w:r>
                  <w:r>
                    <w:t>24</w:t>
                  </w:r>
                  <w:r w:rsidR="008E5C4B">
                    <w:t xml:space="preserve"> years</w:t>
                  </w:r>
                </w:p>
              </w:tc>
              <w:tc>
                <w:tcPr>
                  <w:tcW w:w="917" w:type="pct"/>
                  <w:vAlign w:val="bottom"/>
                </w:tcPr>
                <w:p w14:paraId="5CF879FE" w14:textId="102CCF00" w:rsidR="0091788E" w:rsidRDefault="0091788E" w:rsidP="00D13F35">
                  <w:pPr>
                    <w:pStyle w:val="TableBodyText"/>
                  </w:pPr>
                  <w:r w:rsidRPr="00800743">
                    <w:t>0.304</w:t>
                  </w:r>
                </w:p>
              </w:tc>
              <w:tc>
                <w:tcPr>
                  <w:tcW w:w="834" w:type="pct"/>
                  <w:shd w:val="clear" w:color="auto" w:fill="auto"/>
                  <w:vAlign w:val="bottom"/>
                </w:tcPr>
                <w:p w14:paraId="436CFA89" w14:textId="220DF52A" w:rsidR="0091788E" w:rsidRDefault="0091788E" w:rsidP="00D13F35">
                  <w:pPr>
                    <w:pStyle w:val="TableBodyText"/>
                  </w:pPr>
                  <w:r w:rsidRPr="00800743">
                    <w:t>0.294</w:t>
                  </w:r>
                </w:p>
              </w:tc>
              <w:tc>
                <w:tcPr>
                  <w:tcW w:w="916" w:type="pct"/>
                  <w:shd w:val="clear" w:color="auto" w:fill="auto"/>
                  <w:vAlign w:val="bottom"/>
                </w:tcPr>
                <w:p w14:paraId="46D43DE0" w14:textId="0C830EA6" w:rsidR="0091788E" w:rsidRDefault="0091788E" w:rsidP="001F653D">
                  <w:pPr>
                    <w:pStyle w:val="TableBodyText"/>
                    <w:ind w:right="28"/>
                  </w:pPr>
                  <w:r w:rsidRPr="00800743">
                    <w:t>0.306</w:t>
                  </w:r>
                </w:p>
              </w:tc>
            </w:tr>
            <w:tr w:rsidR="001C0C55" w14:paraId="493E7A5A" w14:textId="77777777" w:rsidTr="001F653D">
              <w:tc>
                <w:tcPr>
                  <w:tcW w:w="2333" w:type="pct"/>
                  <w:shd w:val="clear" w:color="auto" w:fill="auto"/>
                  <w:vAlign w:val="bottom"/>
                </w:tcPr>
                <w:p w14:paraId="4F39DC06" w14:textId="77777777" w:rsidR="001C0C55" w:rsidRDefault="001C0C55" w:rsidP="00F35CA2">
                  <w:pPr>
                    <w:pStyle w:val="TableBodyText"/>
                    <w:jc w:val="left"/>
                  </w:pPr>
                </w:p>
              </w:tc>
              <w:tc>
                <w:tcPr>
                  <w:tcW w:w="917" w:type="pct"/>
                  <w:vAlign w:val="bottom"/>
                </w:tcPr>
                <w:p w14:paraId="79BABBD3" w14:textId="77777777" w:rsidR="001C0C55" w:rsidRPr="00800743" w:rsidRDefault="001C0C55" w:rsidP="00D13F35">
                  <w:pPr>
                    <w:pStyle w:val="TableBodyText"/>
                  </w:pPr>
                </w:p>
              </w:tc>
              <w:tc>
                <w:tcPr>
                  <w:tcW w:w="834" w:type="pct"/>
                  <w:shd w:val="clear" w:color="auto" w:fill="auto"/>
                  <w:vAlign w:val="bottom"/>
                </w:tcPr>
                <w:p w14:paraId="0BC49234" w14:textId="77777777" w:rsidR="001C0C55" w:rsidRPr="00800743" w:rsidRDefault="001C0C55" w:rsidP="00D13F35">
                  <w:pPr>
                    <w:pStyle w:val="TableBodyText"/>
                  </w:pPr>
                </w:p>
              </w:tc>
              <w:tc>
                <w:tcPr>
                  <w:tcW w:w="916" w:type="pct"/>
                  <w:shd w:val="clear" w:color="auto" w:fill="auto"/>
                  <w:vAlign w:val="bottom"/>
                </w:tcPr>
                <w:p w14:paraId="0F2994CF" w14:textId="77777777" w:rsidR="001C0C55" w:rsidRPr="00800743" w:rsidRDefault="001C0C55" w:rsidP="001F653D">
                  <w:pPr>
                    <w:pStyle w:val="TableBodyText"/>
                    <w:ind w:right="28"/>
                  </w:pPr>
                </w:p>
              </w:tc>
            </w:tr>
            <w:tr w:rsidR="0091788E" w14:paraId="2155F446" w14:textId="77777777" w:rsidTr="001F653D">
              <w:tc>
                <w:tcPr>
                  <w:tcW w:w="2333" w:type="pct"/>
                  <w:shd w:val="clear" w:color="auto" w:fill="auto"/>
                  <w:vAlign w:val="bottom"/>
                </w:tcPr>
                <w:p w14:paraId="34FD12DE" w14:textId="278C422A" w:rsidR="0091788E" w:rsidRDefault="0091788E" w:rsidP="00F35CA2">
                  <w:pPr>
                    <w:pStyle w:val="TableBodyText"/>
                    <w:jc w:val="left"/>
                  </w:pPr>
                  <w:r>
                    <w:t>Windfall income ($000s)</w:t>
                  </w:r>
                </w:p>
              </w:tc>
              <w:tc>
                <w:tcPr>
                  <w:tcW w:w="917" w:type="pct"/>
                  <w:vAlign w:val="bottom"/>
                </w:tcPr>
                <w:p w14:paraId="6BC9AAE2" w14:textId="14CD72A0" w:rsidR="0091788E" w:rsidRDefault="0091788E" w:rsidP="00D13F35">
                  <w:pPr>
                    <w:pStyle w:val="TableBodyText"/>
                  </w:pPr>
                  <w:r w:rsidRPr="00800743">
                    <w:t>0.226</w:t>
                  </w:r>
                </w:p>
              </w:tc>
              <w:tc>
                <w:tcPr>
                  <w:tcW w:w="834" w:type="pct"/>
                  <w:shd w:val="clear" w:color="auto" w:fill="auto"/>
                  <w:vAlign w:val="bottom"/>
                </w:tcPr>
                <w:p w14:paraId="32AD90F2" w14:textId="28B3259D" w:rsidR="0091788E" w:rsidRDefault="0091788E" w:rsidP="00D13F35">
                  <w:pPr>
                    <w:pStyle w:val="TableBodyText"/>
                  </w:pPr>
                  <w:r w:rsidRPr="00800743">
                    <w:t>0.221</w:t>
                  </w:r>
                </w:p>
              </w:tc>
              <w:tc>
                <w:tcPr>
                  <w:tcW w:w="916" w:type="pct"/>
                  <w:shd w:val="clear" w:color="auto" w:fill="auto"/>
                  <w:vAlign w:val="bottom"/>
                </w:tcPr>
                <w:p w14:paraId="479E5CAB" w14:textId="53BF6B8B" w:rsidR="0091788E" w:rsidRDefault="0091788E" w:rsidP="001F653D">
                  <w:pPr>
                    <w:pStyle w:val="TableBodyText"/>
                    <w:ind w:right="28"/>
                  </w:pPr>
                  <w:r w:rsidRPr="00800743">
                    <w:t>0.227</w:t>
                  </w:r>
                </w:p>
              </w:tc>
            </w:tr>
            <w:tr w:rsidR="001C0C55" w14:paraId="6128121D" w14:textId="77777777" w:rsidTr="001F653D">
              <w:tc>
                <w:tcPr>
                  <w:tcW w:w="2333" w:type="pct"/>
                  <w:shd w:val="clear" w:color="auto" w:fill="auto"/>
                  <w:vAlign w:val="bottom"/>
                </w:tcPr>
                <w:p w14:paraId="266588B9" w14:textId="77777777" w:rsidR="001C0C55" w:rsidRDefault="001C0C55" w:rsidP="00F35CA2">
                  <w:pPr>
                    <w:pStyle w:val="TableBodyText"/>
                    <w:jc w:val="left"/>
                  </w:pPr>
                </w:p>
              </w:tc>
              <w:tc>
                <w:tcPr>
                  <w:tcW w:w="917" w:type="pct"/>
                  <w:vAlign w:val="bottom"/>
                </w:tcPr>
                <w:p w14:paraId="203AD74F" w14:textId="77777777" w:rsidR="001C0C55" w:rsidRPr="00800743" w:rsidRDefault="001C0C55" w:rsidP="00D13F35">
                  <w:pPr>
                    <w:pStyle w:val="TableBodyText"/>
                  </w:pPr>
                </w:p>
              </w:tc>
              <w:tc>
                <w:tcPr>
                  <w:tcW w:w="834" w:type="pct"/>
                  <w:shd w:val="clear" w:color="auto" w:fill="auto"/>
                  <w:vAlign w:val="bottom"/>
                </w:tcPr>
                <w:p w14:paraId="0C62AAB9" w14:textId="77777777" w:rsidR="001C0C55" w:rsidRPr="00800743" w:rsidRDefault="001C0C55" w:rsidP="00D13F35">
                  <w:pPr>
                    <w:pStyle w:val="TableBodyText"/>
                  </w:pPr>
                </w:p>
              </w:tc>
              <w:tc>
                <w:tcPr>
                  <w:tcW w:w="916" w:type="pct"/>
                  <w:shd w:val="clear" w:color="auto" w:fill="auto"/>
                  <w:vAlign w:val="bottom"/>
                </w:tcPr>
                <w:p w14:paraId="403C3773" w14:textId="77777777" w:rsidR="001C0C55" w:rsidRPr="00800743" w:rsidRDefault="001C0C55" w:rsidP="001F653D">
                  <w:pPr>
                    <w:pStyle w:val="TableBodyText"/>
                    <w:ind w:right="28"/>
                  </w:pPr>
                </w:p>
              </w:tc>
            </w:tr>
            <w:tr w:rsidR="0091788E" w14:paraId="16426CE1" w14:textId="77777777" w:rsidTr="001F653D">
              <w:tc>
                <w:tcPr>
                  <w:tcW w:w="2333" w:type="pct"/>
                  <w:shd w:val="clear" w:color="auto" w:fill="auto"/>
                  <w:vAlign w:val="bottom"/>
                </w:tcPr>
                <w:p w14:paraId="7988E756" w14:textId="7F6000D2" w:rsidR="0091788E" w:rsidRDefault="0091788E" w:rsidP="00F35CA2">
                  <w:pPr>
                    <w:pStyle w:val="TableBodyText"/>
                    <w:jc w:val="left"/>
                  </w:pPr>
                  <w:r>
                    <w:t>Many friends</w:t>
                  </w:r>
                </w:p>
              </w:tc>
              <w:tc>
                <w:tcPr>
                  <w:tcW w:w="917" w:type="pct"/>
                  <w:vAlign w:val="bottom"/>
                </w:tcPr>
                <w:p w14:paraId="141FBA24" w14:textId="17DCC615" w:rsidR="0091788E" w:rsidRDefault="0091788E" w:rsidP="00D13F35">
                  <w:pPr>
                    <w:pStyle w:val="TableBodyText"/>
                  </w:pPr>
                  <w:r w:rsidRPr="00800743">
                    <w:t>4.413</w:t>
                  </w:r>
                </w:p>
              </w:tc>
              <w:tc>
                <w:tcPr>
                  <w:tcW w:w="834" w:type="pct"/>
                  <w:shd w:val="clear" w:color="auto" w:fill="auto"/>
                  <w:vAlign w:val="bottom"/>
                </w:tcPr>
                <w:p w14:paraId="2034C023" w14:textId="0BA7D33F" w:rsidR="0091788E" w:rsidRDefault="0091788E" w:rsidP="00D13F35">
                  <w:pPr>
                    <w:pStyle w:val="TableBodyText"/>
                  </w:pPr>
                  <w:r w:rsidRPr="00800743">
                    <w:t>3.638</w:t>
                  </w:r>
                </w:p>
              </w:tc>
              <w:tc>
                <w:tcPr>
                  <w:tcW w:w="916" w:type="pct"/>
                  <w:shd w:val="clear" w:color="auto" w:fill="auto"/>
                  <w:vAlign w:val="bottom"/>
                </w:tcPr>
                <w:p w14:paraId="22BBB604" w14:textId="60A57149" w:rsidR="0091788E" w:rsidRDefault="0091788E" w:rsidP="001F653D">
                  <w:pPr>
                    <w:pStyle w:val="TableBodyText"/>
                    <w:ind w:right="28"/>
                  </w:pPr>
                  <w:r w:rsidRPr="00800743">
                    <w:t>4.560</w:t>
                  </w:r>
                </w:p>
              </w:tc>
            </w:tr>
            <w:tr w:rsidR="001C0C55" w14:paraId="45A26E88" w14:textId="77777777" w:rsidTr="001F653D">
              <w:tc>
                <w:tcPr>
                  <w:tcW w:w="2333" w:type="pct"/>
                  <w:shd w:val="clear" w:color="auto" w:fill="auto"/>
                  <w:vAlign w:val="bottom"/>
                </w:tcPr>
                <w:p w14:paraId="2993CED5" w14:textId="77777777" w:rsidR="001C0C55" w:rsidRDefault="001C0C55" w:rsidP="00F35CA2">
                  <w:pPr>
                    <w:pStyle w:val="TableBodyText"/>
                    <w:jc w:val="left"/>
                  </w:pPr>
                </w:p>
              </w:tc>
              <w:tc>
                <w:tcPr>
                  <w:tcW w:w="917" w:type="pct"/>
                  <w:vAlign w:val="bottom"/>
                </w:tcPr>
                <w:p w14:paraId="26727BC0" w14:textId="77777777" w:rsidR="001C0C55" w:rsidRPr="00800743" w:rsidRDefault="001C0C55" w:rsidP="00D13F35">
                  <w:pPr>
                    <w:pStyle w:val="TableBodyText"/>
                  </w:pPr>
                </w:p>
              </w:tc>
              <w:tc>
                <w:tcPr>
                  <w:tcW w:w="834" w:type="pct"/>
                  <w:shd w:val="clear" w:color="auto" w:fill="auto"/>
                  <w:vAlign w:val="bottom"/>
                </w:tcPr>
                <w:p w14:paraId="11023B56" w14:textId="77777777" w:rsidR="001C0C55" w:rsidRPr="00800743" w:rsidRDefault="001C0C55" w:rsidP="00D13F35">
                  <w:pPr>
                    <w:pStyle w:val="TableBodyText"/>
                  </w:pPr>
                </w:p>
              </w:tc>
              <w:tc>
                <w:tcPr>
                  <w:tcW w:w="916" w:type="pct"/>
                  <w:shd w:val="clear" w:color="auto" w:fill="auto"/>
                  <w:vAlign w:val="bottom"/>
                </w:tcPr>
                <w:p w14:paraId="1DAB09C4" w14:textId="77777777" w:rsidR="001C0C55" w:rsidRPr="00800743" w:rsidRDefault="001C0C55" w:rsidP="001F653D">
                  <w:pPr>
                    <w:pStyle w:val="TableBodyText"/>
                    <w:ind w:right="28"/>
                  </w:pPr>
                </w:p>
              </w:tc>
            </w:tr>
            <w:tr w:rsidR="0091788E" w14:paraId="5E50111D" w14:textId="77777777" w:rsidTr="001F653D">
              <w:tc>
                <w:tcPr>
                  <w:tcW w:w="2333" w:type="pct"/>
                  <w:shd w:val="clear" w:color="auto" w:fill="auto"/>
                  <w:vAlign w:val="bottom"/>
                </w:tcPr>
                <w:p w14:paraId="38289709" w14:textId="22FA009E" w:rsidR="0091788E" w:rsidRDefault="0091788E" w:rsidP="00F35CA2">
                  <w:pPr>
                    <w:pStyle w:val="TableBodyText"/>
                    <w:jc w:val="left"/>
                  </w:pPr>
                  <w:r>
                    <w:t>Death of a spouse in the past 3 years</w:t>
                  </w:r>
                </w:p>
              </w:tc>
              <w:tc>
                <w:tcPr>
                  <w:tcW w:w="917" w:type="pct"/>
                  <w:vAlign w:val="bottom"/>
                </w:tcPr>
                <w:p w14:paraId="083707D1" w14:textId="5DF773D8" w:rsidR="0091788E" w:rsidRDefault="0091788E" w:rsidP="00D13F35">
                  <w:pPr>
                    <w:pStyle w:val="TableBodyText"/>
                  </w:pPr>
                  <w:r w:rsidRPr="00800743">
                    <w:t>0.012</w:t>
                  </w:r>
                </w:p>
              </w:tc>
              <w:tc>
                <w:tcPr>
                  <w:tcW w:w="834" w:type="pct"/>
                  <w:shd w:val="clear" w:color="auto" w:fill="auto"/>
                  <w:vAlign w:val="bottom"/>
                </w:tcPr>
                <w:p w14:paraId="4233A4B5" w14:textId="792402E7" w:rsidR="0091788E" w:rsidRDefault="0091788E" w:rsidP="00D13F35">
                  <w:pPr>
                    <w:pStyle w:val="TableBodyText"/>
                  </w:pPr>
                  <w:r w:rsidRPr="00800743">
                    <w:t>0.023</w:t>
                  </w:r>
                </w:p>
              </w:tc>
              <w:tc>
                <w:tcPr>
                  <w:tcW w:w="916" w:type="pct"/>
                  <w:shd w:val="clear" w:color="auto" w:fill="auto"/>
                  <w:vAlign w:val="bottom"/>
                </w:tcPr>
                <w:p w14:paraId="52428E0B" w14:textId="71E24694" w:rsidR="0091788E" w:rsidRDefault="0091788E" w:rsidP="001F653D">
                  <w:pPr>
                    <w:pStyle w:val="TableBodyText"/>
                    <w:ind w:right="28"/>
                  </w:pPr>
                  <w:r w:rsidRPr="00800743">
                    <w:t>0.010</w:t>
                  </w:r>
                </w:p>
              </w:tc>
            </w:tr>
            <w:tr w:rsidR="0091788E" w14:paraId="59D2DD04" w14:textId="77777777" w:rsidTr="001F653D">
              <w:tc>
                <w:tcPr>
                  <w:tcW w:w="2333" w:type="pct"/>
                  <w:shd w:val="clear" w:color="auto" w:fill="auto"/>
                  <w:vAlign w:val="bottom"/>
                </w:tcPr>
                <w:p w14:paraId="40AD6C90" w14:textId="0581B875" w:rsidR="0091788E" w:rsidRDefault="0091788E" w:rsidP="00F35CA2">
                  <w:pPr>
                    <w:pStyle w:val="TableBodyText"/>
                    <w:jc w:val="left"/>
                  </w:pPr>
                  <w:r>
                    <w:t>Death of a relative in the past 3 years</w:t>
                  </w:r>
                </w:p>
              </w:tc>
              <w:tc>
                <w:tcPr>
                  <w:tcW w:w="917" w:type="pct"/>
                  <w:vAlign w:val="bottom"/>
                </w:tcPr>
                <w:p w14:paraId="582AA0C9" w14:textId="11EAEAF3" w:rsidR="0091788E" w:rsidRDefault="0091788E" w:rsidP="00D13F35">
                  <w:pPr>
                    <w:pStyle w:val="TableBodyText"/>
                  </w:pPr>
                  <w:r w:rsidRPr="00800743">
                    <w:t>0.248</w:t>
                  </w:r>
                </w:p>
              </w:tc>
              <w:tc>
                <w:tcPr>
                  <w:tcW w:w="834" w:type="pct"/>
                  <w:shd w:val="clear" w:color="auto" w:fill="auto"/>
                  <w:vAlign w:val="bottom"/>
                </w:tcPr>
                <w:p w14:paraId="76671C01" w14:textId="7C442D50" w:rsidR="0091788E" w:rsidRDefault="0091788E" w:rsidP="00D13F35">
                  <w:pPr>
                    <w:pStyle w:val="TableBodyText"/>
                  </w:pPr>
                  <w:r w:rsidRPr="00800743">
                    <w:t>0.279</w:t>
                  </w:r>
                </w:p>
              </w:tc>
              <w:tc>
                <w:tcPr>
                  <w:tcW w:w="916" w:type="pct"/>
                  <w:shd w:val="clear" w:color="auto" w:fill="auto"/>
                  <w:vAlign w:val="bottom"/>
                </w:tcPr>
                <w:p w14:paraId="6CAA3C29" w14:textId="20F6DFEB" w:rsidR="0091788E" w:rsidRDefault="0091788E" w:rsidP="001F653D">
                  <w:pPr>
                    <w:pStyle w:val="TableBodyText"/>
                    <w:ind w:right="28"/>
                  </w:pPr>
                  <w:r w:rsidRPr="00800743">
                    <w:t>0.242</w:t>
                  </w:r>
                </w:p>
              </w:tc>
            </w:tr>
            <w:tr w:rsidR="0091788E" w14:paraId="62445197" w14:textId="77777777" w:rsidTr="001F653D">
              <w:tc>
                <w:tcPr>
                  <w:tcW w:w="2333" w:type="pct"/>
                  <w:shd w:val="clear" w:color="auto" w:fill="auto"/>
                  <w:vAlign w:val="bottom"/>
                </w:tcPr>
                <w:p w14:paraId="0975C07E" w14:textId="793DD241" w:rsidR="0091788E" w:rsidRDefault="0091788E" w:rsidP="00F35CA2">
                  <w:pPr>
                    <w:pStyle w:val="TableBodyText"/>
                    <w:jc w:val="left"/>
                  </w:pPr>
                  <w:r>
                    <w:t>Death of a friend in the past 3 years</w:t>
                  </w:r>
                </w:p>
              </w:tc>
              <w:tc>
                <w:tcPr>
                  <w:tcW w:w="917" w:type="pct"/>
                  <w:vAlign w:val="bottom"/>
                </w:tcPr>
                <w:p w14:paraId="056653AE" w14:textId="3986B4F3" w:rsidR="0091788E" w:rsidRDefault="0091788E" w:rsidP="00D13F35">
                  <w:pPr>
                    <w:pStyle w:val="TableBodyText"/>
                  </w:pPr>
                  <w:r w:rsidRPr="00800743">
                    <w:t>0.178</w:t>
                  </w:r>
                </w:p>
              </w:tc>
              <w:tc>
                <w:tcPr>
                  <w:tcW w:w="834" w:type="pct"/>
                  <w:shd w:val="clear" w:color="auto" w:fill="auto"/>
                  <w:vAlign w:val="bottom"/>
                </w:tcPr>
                <w:p w14:paraId="41A4ECA3" w14:textId="7FD8A56A" w:rsidR="0091788E" w:rsidRDefault="0091788E" w:rsidP="00D13F35">
                  <w:pPr>
                    <w:pStyle w:val="TableBodyText"/>
                  </w:pPr>
                  <w:r w:rsidRPr="00800743">
                    <w:t>0.214</w:t>
                  </w:r>
                </w:p>
              </w:tc>
              <w:tc>
                <w:tcPr>
                  <w:tcW w:w="916" w:type="pct"/>
                  <w:shd w:val="clear" w:color="auto" w:fill="auto"/>
                  <w:vAlign w:val="bottom"/>
                </w:tcPr>
                <w:p w14:paraId="6F170C6B" w14:textId="5DE1E010" w:rsidR="0091788E" w:rsidRDefault="0091788E" w:rsidP="001F653D">
                  <w:pPr>
                    <w:pStyle w:val="TableBodyText"/>
                    <w:ind w:right="28"/>
                  </w:pPr>
                  <w:r w:rsidRPr="00800743">
                    <w:t>0.171</w:t>
                  </w:r>
                </w:p>
              </w:tc>
            </w:tr>
            <w:tr w:rsidR="001C0C55" w14:paraId="65EEAB44" w14:textId="77777777" w:rsidTr="001F653D">
              <w:tc>
                <w:tcPr>
                  <w:tcW w:w="2333" w:type="pct"/>
                  <w:shd w:val="clear" w:color="auto" w:fill="auto"/>
                  <w:vAlign w:val="bottom"/>
                </w:tcPr>
                <w:p w14:paraId="4BFD163A" w14:textId="77777777" w:rsidR="001C0C55" w:rsidRDefault="001C0C55" w:rsidP="00F35CA2">
                  <w:pPr>
                    <w:pStyle w:val="TableBodyText"/>
                    <w:jc w:val="left"/>
                  </w:pPr>
                </w:p>
              </w:tc>
              <w:tc>
                <w:tcPr>
                  <w:tcW w:w="917" w:type="pct"/>
                  <w:vAlign w:val="bottom"/>
                </w:tcPr>
                <w:p w14:paraId="474A8131" w14:textId="77777777" w:rsidR="001C0C55" w:rsidRPr="00800743" w:rsidRDefault="001C0C55" w:rsidP="00D13F35">
                  <w:pPr>
                    <w:pStyle w:val="TableBodyText"/>
                  </w:pPr>
                </w:p>
              </w:tc>
              <w:tc>
                <w:tcPr>
                  <w:tcW w:w="834" w:type="pct"/>
                  <w:shd w:val="clear" w:color="auto" w:fill="auto"/>
                  <w:vAlign w:val="bottom"/>
                </w:tcPr>
                <w:p w14:paraId="104B11A4" w14:textId="77777777" w:rsidR="001C0C55" w:rsidRPr="00800743" w:rsidRDefault="001C0C55" w:rsidP="00D13F35">
                  <w:pPr>
                    <w:pStyle w:val="TableBodyText"/>
                  </w:pPr>
                </w:p>
              </w:tc>
              <w:tc>
                <w:tcPr>
                  <w:tcW w:w="916" w:type="pct"/>
                  <w:shd w:val="clear" w:color="auto" w:fill="auto"/>
                  <w:vAlign w:val="bottom"/>
                </w:tcPr>
                <w:p w14:paraId="2AF07614" w14:textId="77777777" w:rsidR="001C0C55" w:rsidRPr="00800743" w:rsidRDefault="001C0C55" w:rsidP="001F653D">
                  <w:pPr>
                    <w:pStyle w:val="TableBodyText"/>
                    <w:ind w:right="28"/>
                  </w:pPr>
                </w:p>
              </w:tc>
            </w:tr>
            <w:tr w:rsidR="0091788E" w14:paraId="5EE2B74E" w14:textId="77777777" w:rsidTr="001F653D">
              <w:tc>
                <w:tcPr>
                  <w:tcW w:w="2333" w:type="pct"/>
                  <w:shd w:val="clear" w:color="auto" w:fill="auto"/>
                  <w:vAlign w:val="bottom"/>
                </w:tcPr>
                <w:p w14:paraId="32D86834" w14:textId="62908DE6" w:rsidR="0091788E" w:rsidRDefault="0091788E" w:rsidP="00F35CA2">
                  <w:pPr>
                    <w:pStyle w:val="TableBodyText"/>
                    <w:jc w:val="left"/>
                  </w:pPr>
                  <w:r>
                    <w:t>Sample size</w:t>
                  </w:r>
                </w:p>
              </w:tc>
              <w:tc>
                <w:tcPr>
                  <w:tcW w:w="917" w:type="pct"/>
                  <w:vAlign w:val="bottom"/>
                </w:tcPr>
                <w:p w14:paraId="33226E3B" w14:textId="0BE95238" w:rsidR="0091788E" w:rsidRDefault="0091788E" w:rsidP="00D13F35">
                  <w:pPr>
                    <w:pStyle w:val="TableBodyText"/>
                  </w:pPr>
                  <w:r w:rsidRPr="00800743">
                    <w:t>131</w:t>
                  </w:r>
                  <w:r w:rsidR="001C0C55">
                    <w:t> </w:t>
                  </w:r>
                  <w:r w:rsidRPr="00800743">
                    <w:t>303</w:t>
                  </w:r>
                </w:p>
              </w:tc>
              <w:tc>
                <w:tcPr>
                  <w:tcW w:w="834" w:type="pct"/>
                  <w:shd w:val="clear" w:color="auto" w:fill="auto"/>
                  <w:vAlign w:val="bottom"/>
                </w:tcPr>
                <w:p w14:paraId="4AEB9105" w14:textId="6231F4EA" w:rsidR="0091788E" w:rsidRDefault="0091788E" w:rsidP="00D13F35">
                  <w:pPr>
                    <w:pStyle w:val="TableBodyText"/>
                  </w:pPr>
                  <w:r w:rsidRPr="00800743">
                    <w:t>21</w:t>
                  </w:r>
                  <w:r w:rsidR="001C0C55">
                    <w:t> </w:t>
                  </w:r>
                  <w:r w:rsidRPr="00800743">
                    <w:t>053</w:t>
                  </w:r>
                </w:p>
              </w:tc>
              <w:tc>
                <w:tcPr>
                  <w:tcW w:w="916" w:type="pct"/>
                  <w:shd w:val="clear" w:color="auto" w:fill="auto"/>
                  <w:vAlign w:val="bottom"/>
                </w:tcPr>
                <w:p w14:paraId="4A274083" w14:textId="6309AC6F" w:rsidR="0091788E" w:rsidRDefault="0091788E" w:rsidP="001F653D">
                  <w:pPr>
                    <w:pStyle w:val="TableBodyText"/>
                    <w:ind w:right="28"/>
                  </w:pPr>
                  <w:r w:rsidRPr="00800743">
                    <w:t>110</w:t>
                  </w:r>
                  <w:r w:rsidR="001C0C55">
                    <w:t> </w:t>
                  </w:r>
                  <w:r w:rsidRPr="00800743">
                    <w:t>250</w:t>
                  </w:r>
                </w:p>
              </w:tc>
            </w:tr>
          </w:tbl>
          <w:p w14:paraId="2D9DE961" w14:textId="77777777" w:rsidR="00A9709D" w:rsidRDefault="00A9709D" w:rsidP="00855329">
            <w:pPr>
              <w:pStyle w:val="Box"/>
            </w:pPr>
          </w:p>
        </w:tc>
      </w:tr>
      <w:tr w:rsidR="00A9709D" w14:paraId="34781A9C" w14:textId="77777777" w:rsidTr="00855329">
        <w:tc>
          <w:tcPr>
            <w:tcW w:w="5000" w:type="pct"/>
            <w:tcBorders>
              <w:top w:val="nil"/>
              <w:left w:val="nil"/>
              <w:bottom w:val="nil"/>
              <w:right w:val="nil"/>
            </w:tcBorders>
            <w:shd w:val="clear" w:color="auto" w:fill="auto"/>
          </w:tcPr>
          <w:p w14:paraId="41E9769C" w14:textId="3930C42A" w:rsidR="00A9709D" w:rsidRDefault="00A9709D" w:rsidP="00410C0F">
            <w:pPr>
              <w:pStyle w:val="Note"/>
              <w:rPr>
                <w:i/>
              </w:rPr>
            </w:pPr>
            <w:proofErr w:type="spellStart"/>
            <w:r w:rsidRPr="008E77FE">
              <w:rPr>
                <w:rStyle w:val="NoteLabel"/>
              </w:rPr>
              <w:t>a</w:t>
            </w:r>
            <w:proofErr w:type="spellEnd"/>
            <w:r>
              <w:t xml:space="preserve"> </w:t>
            </w:r>
            <w:proofErr w:type="spellStart"/>
            <w:r w:rsidR="00B5649C">
              <w:t>A</w:t>
            </w:r>
            <w:proofErr w:type="spellEnd"/>
            <w:r w:rsidR="00B5649C">
              <w:t xml:space="preserve"> mental component summary (MCS)</w:t>
            </w:r>
            <w:r w:rsidR="00800743">
              <w:t xml:space="preserve"> score below 40 is</w:t>
            </w:r>
            <w:r w:rsidR="001C0C55">
              <w:t xml:space="preserve"> considered indicative of </w:t>
            </w:r>
            <w:r w:rsidR="00800743">
              <w:t>mental illness</w:t>
            </w:r>
            <w:r w:rsidR="00410C0F">
              <w:t xml:space="preserve"> </w:t>
            </w:r>
            <w:r w:rsidR="00410C0F" w:rsidRPr="00410C0F">
              <w:rPr>
                <w:rFonts w:cs="Arial"/>
                <w:szCs w:val="24"/>
              </w:rPr>
              <w:t>(Kiely and Butterworth 2015)</w:t>
            </w:r>
            <w:r w:rsidR="00B5649C">
              <w:t xml:space="preserve">. </w:t>
            </w:r>
            <w:r w:rsidR="0004203C">
              <w:rPr>
                <w:rStyle w:val="NoteLabel"/>
              </w:rPr>
              <w:t>b</w:t>
            </w:r>
            <w:r w:rsidR="0004203C">
              <w:t xml:space="preserve"> </w:t>
            </w:r>
            <w:r w:rsidR="00B5649C">
              <w:t>Waves 2</w:t>
            </w:r>
            <w:r w:rsidR="006B61FC">
              <w:t xml:space="preserve"> to </w:t>
            </w:r>
            <w:r w:rsidR="00982D01">
              <w:t xml:space="preserve">17 of HILDA are </w:t>
            </w:r>
            <w:r w:rsidR="006B61FC">
              <w:t>pooled for estimation.</w:t>
            </w:r>
          </w:p>
        </w:tc>
      </w:tr>
      <w:tr w:rsidR="00A9709D" w14:paraId="1AA917AC" w14:textId="77777777" w:rsidTr="00855329">
        <w:tc>
          <w:tcPr>
            <w:tcW w:w="5000" w:type="pct"/>
            <w:tcBorders>
              <w:top w:val="nil"/>
              <w:left w:val="nil"/>
              <w:bottom w:val="nil"/>
              <w:right w:val="nil"/>
            </w:tcBorders>
            <w:shd w:val="clear" w:color="auto" w:fill="auto"/>
          </w:tcPr>
          <w:p w14:paraId="7EA1A7A3" w14:textId="3E698493" w:rsidR="00A9709D" w:rsidRDefault="005239EC" w:rsidP="005239EC">
            <w:pPr>
              <w:pStyle w:val="Source"/>
            </w:pPr>
            <w:r>
              <w:rPr>
                <w:i/>
              </w:rPr>
              <w:t>S</w:t>
            </w:r>
            <w:r w:rsidR="00A9709D">
              <w:rPr>
                <w:i/>
              </w:rPr>
              <w:t>ource</w:t>
            </w:r>
            <w:r w:rsidR="00A9709D" w:rsidRPr="00167F06">
              <w:t xml:space="preserve">: </w:t>
            </w:r>
            <w:r w:rsidR="00FD3EB1">
              <w:t>Housing, Income and Labour Dynamics in Australia</w:t>
            </w:r>
            <w:r w:rsidR="00043B16">
              <w:t xml:space="preserve">, waves </w:t>
            </w:r>
            <w:r w:rsidR="00256805">
              <w:t>2</w:t>
            </w:r>
            <w:r w:rsidR="008E5C4B">
              <w:t>–</w:t>
            </w:r>
            <w:r w:rsidR="00043B16">
              <w:t>17</w:t>
            </w:r>
            <w:r>
              <w:t>.</w:t>
            </w:r>
          </w:p>
        </w:tc>
      </w:tr>
      <w:tr w:rsidR="00A9709D" w14:paraId="1BB774DA" w14:textId="77777777" w:rsidTr="00855329">
        <w:tc>
          <w:tcPr>
            <w:tcW w:w="5000" w:type="pct"/>
            <w:tcBorders>
              <w:top w:val="nil"/>
              <w:left w:val="nil"/>
              <w:bottom w:val="single" w:sz="6" w:space="0" w:color="78A22F"/>
              <w:right w:val="nil"/>
            </w:tcBorders>
            <w:shd w:val="clear" w:color="auto" w:fill="auto"/>
          </w:tcPr>
          <w:p w14:paraId="63FDD3E9" w14:textId="77777777" w:rsidR="00A9709D" w:rsidRDefault="00A9709D" w:rsidP="00855329">
            <w:pPr>
              <w:pStyle w:val="Box"/>
              <w:spacing w:before="0" w:line="120" w:lineRule="exact"/>
            </w:pPr>
          </w:p>
        </w:tc>
      </w:tr>
      <w:tr w:rsidR="00A9709D" w:rsidRPr="000863A5" w14:paraId="79183190" w14:textId="77777777" w:rsidTr="00855329">
        <w:tc>
          <w:tcPr>
            <w:tcW w:w="5000" w:type="pct"/>
            <w:tcBorders>
              <w:top w:val="single" w:sz="6" w:space="0" w:color="78A22F"/>
              <w:left w:val="nil"/>
              <w:bottom w:val="nil"/>
              <w:right w:val="nil"/>
            </w:tcBorders>
          </w:tcPr>
          <w:p w14:paraId="680A958D" w14:textId="36A70D9C" w:rsidR="00A9709D" w:rsidRPr="00626D32" w:rsidRDefault="00A9709D" w:rsidP="00855329">
            <w:pPr>
              <w:pStyle w:val="BoxSpaceBelow"/>
            </w:pPr>
          </w:p>
        </w:tc>
      </w:tr>
    </w:tbl>
    <w:p w14:paraId="45406D62" w14:textId="41C1E726" w:rsidR="00D7423F" w:rsidRDefault="00D7423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423F" w14:paraId="4E5D90E5" w14:textId="77777777" w:rsidTr="001238E2">
        <w:trPr>
          <w:tblHeader/>
        </w:trPr>
        <w:tc>
          <w:tcPr>
            <w:tcW w:w="5000" w:type="pct"/>
            <w:tcBorders>
              <w:top w:val="single" w:sz="6" w:space="0" w:color="78A22F"/>
              <w:left w:val="nil"/>
              <w:bottom w:val="nil"/>
              <w:right w:val="nil"/>
            </w:tcBorders>
            <w:shd w:val="clear" w:color="auto" w:fill="F2F2F2"/>
          </w:tcPr>
          <w:p w14:paraId="53B12822" w14:textId="6807319D" w:rsidR="00D7423F" w:rsidRDefault="00D7423F" w:rsidP="00D7423F">
            <w:pPr>
              <w:pStyle w:val="BoxTitle"/>
            </w:pPr>
            <w:r>
              <w:rPr>
                <w:b w:val="0"/>
              </w:rPr>
              <w:t>Box F.2</w:t>
            </w:r>
            <w:r>
              <w:tab/>
            </w:r>
            <w:r w:rsidRPr="00660D08">
              <w:t>Measuring mental health</w:t>
            </w:r>
            <w:r>
              <w:t xml:space="preserve"> using the mental component summary</w:t>
            </w:r>
          </w:p>
        </w:tc>
      </w:tr>
      <w:tr w:rsidR="00D7423F" w14:paraId="0555FF39" w14:textId="77777777" w:rsidTr="001238E2">
        <w:tc>
          <w:tcPr>
            <w:tcW w:w="5000" w:type="pct"/>
            <w:tcBorders>
              <w:top w:val="nil"/>
              <w:left w:val="nil"/>
              <w:bottom w:val="nil"/>
              <w:right w:val="nil"/>
            </w:tcBorders>
            <w:shd w:val="clear" w:color="auto" w:fill="F2F2F2"/>
          </w:tcPr>
          <w:p w14:paraId="5764B90E" w14:textId="0B123E9B" w:rsidR="00D7423F" w:rsidRDefault="00D7423F" w:rsidP="00D7423F">
            <w:pPr>
              <w:pStyle w:val="Box"/>
            </w:pPr>
            <w:r>
              <w:t xml:space="preserve">The measure of mental health used for this analysis is called the mental component summary (MCS). The MCS is derived from responses to the Short Form 36 (SF-36) questionnaire, and transformed into a range from 0 to 100, with a mean of 50 and standard deviation of 10, with higher scores corresponding to better mental health </w:t>
            </w:r>
            <w:r w:rsidRPr="00D7423F">
              <w:rPr>
                <w:rFonts w:cs="Arial"/>
                <w:szCs w:val="24"/>
              </w:rPr>
              <w:t xml:space="preserve">(Ware and </w:t>
            </w:r>
            <w:proofErr w:type="spellStart"/>
            <w:r w:rsidRPr="00D7423F">
              <w:rPr>
                <w:rFonts w:cs="Arial"/>
                <w:szCs w:val="24"/>
              </w:rPr>
              <w:t>Kosinski</w:t>
            </w:r>
            <w:proofErr w:type="spellEnd"/>
            <w:r w:rsidRPr="00D7423F">
              <w:rPr>
                <w:rFonts w:cs="Arial"/>
                <w:szCs w:val="24"/>
              </w:rPr>
              <w:t> 2001)</w:t>
            </w:r>
            <w:r>
              <w:t>.</w:t>
            </w:r>
          </w:p>
          <w:p w14:paraId="4E1C2587" w14:textId="19798375" w:rsidR="00D7423F" w:rsidRDefault="00D7423F" w:rsidP="00D7423F">
            <w:pPr>
              <w:pStyle w:val="Box"/>
            </w:pPr>
            <w:r>
              <w:t>W</w:t>
            </w:r>
            <w:r w:rsidR="000B0411">
              <w:t>hile the SF-36 does not include</w:t>
            </w:r>
            <w:r>
              <w:t xml:space="preserve"> references to symptoms of specific diseases, the measures derived from it have been shown to be highly correlated with the frequency and severity of many health problems. The SF-36 is comprised of 36 questions relating to different aspects of an individual’s health-related quality of life. The 36 questions are used to derive eight subscales of health, each ranging from 0 to 100, and measuring different elements of health: physical functioning; limitations in carrying out usual role due to physical problems; bodily pain; perception of general health; vitality; social functioning; limitations in carrying out usual role due to emotional problems; and mental health. The physical and mental health summary measures are produced by aggregating the most correlated of the subscales.</w:t>
            </w:r>
          </w:p>
          <w:p w14:paraId="28D884E9" w14:textId="7B89B5FF" w:rsidR="00D7423F" w:rsidRDefault="00D7423F" w:rsidP="00D7423F">
            <w:pPr>
              <w:pStyle w:val="Box"/>
            </w:pPr>
            <w:r>
              <w:t>To check the validity of the MCS as a measure of mental health, we compare the distribution of the MCS between those who have been diagnosed with long-term depression</w:t>
            </w:r>
            <w:r w:rsidR="000D50FE">
              <w:t xml:space="preserve"> before</w:t>
            </w:r>
            <w:r>
              <w:t xml:space="preserve"> (where long-term is defined as lasting or expected to last for at least six months), and those who have not been diagnosed with depression. The figure below suggests that the MCS is correlated with the diagnosis of depression, where people with lower MCS scores are </w:t>
            </w:r>
            <w:r w:rsidR="00201AF9">
              <w:t xml:space="preserve">much </w:t>
            </w:r>
            <w:r>
              <w:t>more likely to have been diagnosed with depression. Additionally, the question refers to a lifetime diagnosis of long-term depression and so will also include people in recovery.</w:t>
            </w:r>
          </w:p>
          <w:p w14:paraId="768C7449" w14:textId="495F4CD0" w:rsidR="00D7423F" w:rsidRDefault="00730D8A" w:rsidP="001238E2">
            <w:pPr>
              <w:pStyle w:val="Box"/>
            </w:pPr>
            <w:r>
              <w:rPr>
                <w:noProof/>
              </w:rPr>
              <w:drawing>
                <wp:inline distT="0" distB="0" distL="0" distR="0" wp14:anchorId="13303AC7" wp14:editId="72D00529">
                  <wp:extent cx="5364480" cy="2683156"/>
                  <wp:effectExtent l="0" t="0" r="0" b="0"/>
                  <wp:docPr id="9" name="Picture 9" descr="This figure shows the distribution of the mental component summary as a density plot, split by those who have been diagnosed with depression and those who have not. People who have been diagnosed with depression are more likely to have poor mental health, which demonstrates the validity of the mental component summary as a measure of ment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pression_MCS.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9731" cy="2685782"/>
                          </a:xfrm>
                          <a:prstGeom prst="rect">
                            <a:avLst/>
                          </a:prstGeom>
                        </pic:spPr>
                      </pic:pic>
                    </a:graphicData>
                  </a:graphic>
                </wp:inline>
              </w:drawing>
            </w:r>
          </w:p>
        </w:tc>
      </w:tr>
      <w:tr w:rsidR="00D7423F" w14:paraId="05CDB083" w14:textId="77777777" w:rsidTr="001238E2">
        <w:tc>
          <w:tcPr>
            <w:tcW w:w="5000" w:type="pct"/>
            <w:tcBorders>
              <w:top w:val="nil"/>
              <w:left w:val="nil"/>
              <w:bottom w:val="nil"/>
              <w:right w:val="nil"/>
            </w:tcBorders>
            <w:shd w:val="clear" w:color="auto" w:fill="F2F2F2"/>
          </w:tcPr>
          <w:p w14:paraId="4F2CD3FF" w14:textId="53E3903E" w:rsidR="00D7423F" w:rsidRDefault="00D7423F" w:rsidP="00D7423F">
            <w:pPr>
              <w:pStyle w:val="BoxSource"/>
            </w:pPr>
            <w:r>
              <w:rPr>
                <w:i/>
              </w:rPr>
              <w:t>Sources</w:t>
            </w:r>
            <w:r w:rsidRPr="00167F06">
              <w:t xml:space="preserve">: </w:t>
            </w:r>
            <w:r>
              <w:t xml:space="preserve">Ware and </w:t>
            </w:r>
            <w:proofErr w:type="spellStart"/>
            <w:r>
              <w:t>Kosinski</w:t>
            </w:r>
            <w:proofErr w:type="spellEnd"/>
            <w:r>
              <w:t xml:space="preserve"> </w:t>
            </w:r>
            <w:r w:rsidRPr="00D7423F">
              <w:rPr>
                <w:rFonts w:cs="Arial"/>
              </w:rPr>
              <w:t>(2001)</w:t>
            </w:r>
            <w:r w:rsidR="005239EC">
              <w:t>;</w:t>
            </w:r>
            <w:r>
              <w:t xml:space="preserve"> Housing, Income and Labour Dynamics in Australia, wave 17</w:t>
            </w:r>
            <w:r w:rsidR="005239EC">
              <w:t>.</w:t>
            </w:r>
          </w:p>
        </w:tc>
      </w:tr>
      <w:tr w:rsidR="00D7423F" w14:paraId="7B4035D4" w14:textId="77777777" w:rsidTr="001238E2">
        <w:tc>
          <w:tcPr>
            <w:tcW w:w="5000" w:type="pct"/>
            <w:tcBorders>
              <w:top w:val="nil"/>
              <w:left w:val="nil"/>
              <w:bottom w:val="single" w:sz="6" w:space="0" w:color="78A22F"/>
              <w:right w:val="nil"/>
            </w:tcBorders>
            <w:shd w:val="clear" w:color="auto" w:fill="F2F2F2"/>
          </w:tcPr>
          <w:p w14:paraId="3EF94105" w14:textId="77777777" w:rsidR="00D7423F" w:rsidRDefault="00D7423F">
            <w:pPr>
              <w:pStyle w:val="Box"/>
              <w:spacing w:before="0" w:line="120" w:lineRule="exact"/>
            </w:pPr>
          </w:p>
        </w:tc>
      </w:tr>
      <w:tr w:rsidR="00D7423F" w:rsidRPr="000863A5" w14:paraId="55EAF20F" w14:textId="77777777" w:rsidTr="001238E2">
        <w:tc>
          <w:tcPr>
            <w:tcW w:w="5000" w:type="pct"/>
            <w:tcBorders>
              <w:top w:val="single" w:sz="6" w:space="0" w:color="78A22F"/>
              <w:left w:val="nil"/>
              <w:bottom w:val="nil"/>
              <w:right w:val="nil"/>
            </w:tcBorders>
          </w:tcPr>
          <w:p w14:paraId="695DFE20" w14:textId="46CD6F9A" w:rsidR="00D7423F" w:rsidRPr="00626D32" w:rsidRDefault="00D7423F" w:rsidP="001238E2">
            <w:pPr>
              <w:pStyle w:val="BoxSpaceBelow"/>
            </w:pPr>
          </w:p>
        </w:tc>
      </w:tr>
    </w:tbl>
    <w:p w14:paraId="47A49BBF" w14:textId="6E0B5ECA" w:rsidR="006B61FC" w:rsidRDefault="00DC0696" w:rsidP="006B61FC">
      <w:pPr>
        <w:pStyle w:val="Heading3"/>
      </w:pPr>
      <w:r>
        <w:t>Health-related quality of life</w:t>
      </w:r>
    </w:p>
    <w:p w14:paraId="190D2E0E" w14:textId="26A22F7F" w:rsidR="00595692" w:rsidRDefault="00DC0696" w:rsidP="00595692">
      <w:pPr>
        <w:pStyle w:val="BodyText"/>
      </w:pPr>
      <w:r>
        <w:t xml:space="preserve">Health-related quality of life is measured in terms of QALYs. </w:t>
      </w:r>
      <w:r w:rsidR="00595692">
        <w:t xml:space="preserve">A QALY is the arithmetic product of life expectancy combined with a measure of the quality of life-years remaining. </w:t>
      </w:r>
      <w:r w:rsidR="00595692">
        <w:lastRenderedPageBreak/>
        <w:t xml:space="preserve">The time a person is likely to spend in a particular state of health is weighted by a ‘utility’ score from standard valuations. 1 equates </w:t>
      </w:r>
      <w:r w:rsidR="000011C0">
        <w:t xml:space="preserve">to </w:t>
      </w:r>
      <w:r w:rsidR="00595692">
        <w:t xml:space="preserve">perfect health and 0 equates </w:t>
      </w:r>
      <w:r w:rsidR="000011C0">
        <w:t xml:space="preserve">to </w:t>
      </w:r>
      <w:r w:rsidR="00595692">
        <w:t>death. Certain health states can be assigned a negative value as they may be characterised by severe disability and/or pain that are regarded as worse than death</w:t>
      </w:r>
      <w:r w:rsidR="00CF3696">
        <w:t xml:space="preserve"> </w:t>
      </w:r>
      <w:r w:rsidR="00CF3696" w:rsidRPr="00CF3696">
        <w:rPr>
          <w:szCs w:val="24"/>
        </w:rPr>
        <w:t>(Whitehead and Ali 2010)</w:t>
      </w:r>
      <w:r w:rsidR="00595692">
        <w:t xml:space="preserve">. </w:t>
      </w:r>
      <w:r w:rsidR="00CF3696">
        <w:t>In HILDA, t</w:t>
      </w:r>
      <w:r w:rsidR="00907D86">
        <w:t>he distribution of QALYs is left-skewed, with the majority of people having between 0.6</w:t>
      </w:r>
      <w:r w:rsidR="008E5C4B">
        <w:t>–</w:t>
      </w:r>
      <w:r w:rsidR="00907D86">
        <w:t>0.8 QALYs. (figure F.</w:t>
      </w:r>
      <w:r w:rsidR="00BB2BFB">
        <w:t>3</w:t>
      </w:r>
      <w:r w:rsidR="00907D86">
        <w:t>).</w:t>
      </w:r>
    </w:p>
    <w:p w14:paraId="50727667" w14:textId="5F6A53F3" w:rsidR="00256805" w:rsidRDefault="00595692" w:rsidP="00256805">
      <w:pPr>
        <w:pStyle w:val="BodyText"/>
      </w:pPr>
      <w:r>
        <w:t>If an intervention provided perfect health for one additional year, it would produce one QALY. Likewise, an intervention providing an extra two years of life at a health status of 0.5 woul</w:t>
      </w:r>
      <w:r w:rsidR="002F459F">
        <w:t>d equal one QALY.</w:t>
      </w:r>
    </w:p>
    <w:p w14:paraId="2C12CF57" w14:textId="523F35C5" w:rsidR="00256805" w:rsidRDefault="00256805" w:rsidP="00E302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56805" w14:paraId="2279EEE4" w14:textId="77777777" w:rsidTr="00E30216">
        <w:trPr>
          <w:tblHeader/>
        </w:trPr>
        <w:tc>
          <w:tcPr>
            <w:tcW w:w="5000" w:type="pct"/>
            <w:tcBorders>
              <w:top w:val="single" w:sz="6" w:space="0" w:color="78A22F"/>
              <w:left w:val="nil"/>
              <w:bottom w:val="nil"/>
              <w:right w:val="nil"/>
            </w:tcBorders>
            <w:shd w:val="clear" w:color="auto" w:fill="auto"/>
          </w:tcPr>
          <w:p w14:paraId="36ACE92B" w14:textId="6B38F981" w:rsidR="00256805" w:rsidRPr="00176D3F" w:rsidRDefault="00256805" w:rsidP="003F5BCE">
            <w:pPr>
              <w:pStyle w:val="FigureTitle"/>
            </w:pPr>
            <w:r w:rsidRPr="00784A05">
              <w:rPr>
                <w:b w:val="0"/>
              </w:rPr>
              <w:t xml:space="preserve">Figure </w:t>
            </w:r>
            <w:r>
              <w:rPr>
                <w:b w:val="0"/>
              </w:rPr>
              <w:t>F.</w:t>
            </w:r>
            <w:r w:rsidR="00BB2BFB">
              <w:rPr>
                <w:b w:val="0"/>
              </w:rPr>
              <w:t>3</w:t>
            </w:r>
            <w:r w:rsidR="003F5BCE">
              <w:tab/>
              <w:t>Distribution of quality-adjusted life years</w:t>
            </w:r>
            <w:r>
              <w:t xml:space="preserve"> in HILDA</w:t>
            </w:r>
          </w:p>
        </w:tc>
      </w:tr>
      <w:tr w:rsidR="00256805" w14:paraId="242F6E49" w14:textId="77777777" w:rsidTr="00E3021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256805" w:rsidRPr="00B1465D" w14:paraId="185CC7D2" w14:textId="77777777" w:rsidTr="00E30216">
              <w:trPr>
                <w:tblHeader/>
                <w:jc w:val="center"/>
              </w:trPr>
              <w:tc>
                <w:tcPr>
                  <w:tcW w:w="5000" w:type="pct"/>
                  <w:tcBorders>
                    <w:top w:val="nil"/>
                    <w:bottom w:val="nil"/>
                  </w:tcBorders>
                </w:tcPr>
                <w:p w14:paraId="3ACE5341" w14:textId="150A141B" w:rsidR="00256805" w:rsidRPr="00B1465D" w:rsidRDefault="00474A85" w:rsidP="00E30216">
                  <w:pPr>
                    <w:pStyle w:val="Figure"/>
                    <w:spacing w:before="60" w:after="60"/>
                    <w:rPr>
                      <w:rFonts w:ascii="Arial" w:hAnsi="Arial" w:cs="Arial"/>
                      <w:sz w:val="18"/>
                      <w:szCs w:val="18"/>
                    </w:rPr>
                  </w:pPr>
                  <w:r>
                    <w:rPr>
                      <w:rFonts w:ascii="Arial" w:hAnsi="Arial" w:cs="Arial"/>
                      <w:noProof/>
                      <w:sz w:val="18"/>
                      <w:szCs w:val="18"/>
                    </w:rPr>
                    <w:drawing>
                      <wp:inline distT="0" distB="0" distL="0" distR="0" wp14:anchorId="3EB20861" wp14:editId="2E2408FE">
                        <wp:extent cx="5408354" cy="2705100"/>
                        <wp:effectExtent l="0" t="0" r="0" b="0"/>
                        <wp:docPr id="7" name="Picture 7" descr="This figure shows the distribution of quality-adjusted life years across the HILDA survey sample. The distribution is left-skewed, where most respondents have a quality-adjusted life year between 0.6 and 0.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ALY_Density.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9652" cy="2705749"/>
                                </a:xfrm>
                                <a:prstGeom prst="rect">
                                  <a:avLst/>
                                </a:prstGeom>
                              </pic:spPr>
                            </pic:pic>
                          </a:graphicData>
                        </a:graphic>
                      </wp:inline>
                    </w:drawing>
                  </w:r>
                </w:p>
              </w:tc>
            </w:tr>
          </w:tbl>
          <w:p w14:paraId="3A6A89A6" w14:textId="77777777" w:rsidR="00256805" w:rsidRDefault="00256805" w:rsidP="00E30216">
            <w:pPr>
              <w:pStyle w:val="Figure"/>
            </w:pPr>
          </w:p>
        </w:tc>
      </w:tr>
      <w:tr w:rsidR="00256805" w:rsidRPr="00176D3F" w14:paraId="6305B4F4" w14:textId="77777777" w:rsidTr="00E30216">
        <w:tc>
          <w:tcPr>
            <w:tcW w:w="5000" w:type="pct"/>
            <w:tcBorders>
              <w:top w:val="nil"/>
              <w:left w:val="nil"/>
              <w:bottom w:val="nil"/>
              <w:right w:val="nil"/>
            </w:tcBorders>
            <w:shd w:val="clear" w:color="auto" w:fill="auto"/>
          </w:tcPr>
          <w:p w14:paraId="47DC21B3" w14:textId="3B69F8EA" w:rsidR="00256805" w:rsidRPr="00176D3F" w:rsidRDefault="005239EC" w:rsidP="005239EC">
            <w:pPr>
              <w:pStyle w:val="Source"/>
            </w:pPr>
            <w:r>
              <w:rPr>
                <w:i/>
              </w:rPr>
              <w:t>S</w:t>
            </w:r>
            <w:r w:rsidR="00256805" w:rsidRPr="00784A05">
              <w:rPr>
                <w:i/>
              </w:rPr>
              <w:t>ource</w:t>
            </w:r>
            <w:r w:rsidR="00256805" w:rsidRPr="00176D3F">
              <w:t xml:space="preserve">: </w:t>
            </w:r>
            <w:r w:rsidR="00256805">
              <w:t>Housing, Income and Labour Dynamics in Australia, waves 2</w:t>
            </w:r>
            <w:r w:rsidR="008E5C4B">
              <w:t>–</w:t>
            </w:r>
            <w:r w:rsidR="00256805">
              <w:t>17</w:t>
            </w:r>
            <w:r>
              <w:t>.</w:t>
            </w:r>
          </w:p>
        </w:tc>
      </w:tr>
      <w:tr w:rsidR="00256805" w14:paraId="17070A00" w14:textId="77777777" w:rsidTr="00E30216">
        <w:tc>
          <w:tcPr>
            <w:tcW w:w="5000" w:type="pct"/>
            <w:tcBorders>
              <w:top w:val="nil"/>
              <w:left w:val="nil"/>
              <w:bottom w:val="single" w:sz="6" w:space="0" w:color="78A22F"/>
              <w:right w:val="nil"/>
            </w:tcBorders>
            <w:shd w:val="clear" w:color="auto" w:fill="auto"/>
          </w:tcPr>
          <w:p w14:paraId="6CFBE82D" w14:textId="77777777" w:rsidR="00256805" w:rsidRDefault="00256805" w:rsidP="00E30216">
            <w:pPr>
              <w:pStyle w:val="Figurespace"/>
            </w:pPr>
          </w:p>
        </w:tc>
      </w:tr>
      <w:tr w:rsidR="00256805" w:rsidRPr="000863A5" w14:paraId="0F0BB16D" w14:textId="77777777" w:rsidTr="00E30216">
        <w:tc>
          <w:tcPr>
            <w:tcW w:w="5000" w:type="pct"/>
            <w:tcBorders>
              <w:top w:val="single" w:sz="6" w:space="0" w:color="78A22F"/>
              <w:left w:val="nil"/>
              <w:bottom w:val="nil"/>
              <w:right w:val="nil"/>
            </w:tcBorders>
          </w:tcPr>
          <w:p w14:paraId="04175B06" w14:textId="5DFEA3B3" w:rsidR="00256805" w:rsidRPr="00626D32" w:rsidRDefault="00256805" w:rsidP="00E30216">
            <w:pPr>
              <w:pStyle w:val="BoxSpaceBelow"/>
            </w:pPr>
          </w:p>
        </w:tc>
      </w:tr>
    </w:tbl>
    <w:p w14:paraId="5341E229" w14:textId="61421158" w:rsidR="00666092" w:rsidRDefault="00526644" w:rsidP="00666092">
      <w:pPr>
        <w:pStyle w:val="Heading2"/>
      </w:pPr>
      <w:r>
        <w:t>F.</w:t>
      </w:r>
      <w:r w:rsidR="00D7423F">
        <w:rPr>
          <w:noProof/>
        </w:rPr>
        <w:t>3</w:t>
      </w:r>
      <w:r w:rsidR="00893245">
        <w:tab/>
      </w:r>
      <w:r w:rsidR="00C93896">
        <w:t>Estimating parameters</w:t>
      </w:r>
    </w:p>
    <w:p w14:paraId="7C061614" w14:textId="197983E0" w:rsidR="00050C3F" w:rsidRDefault="00C93896" w:rsidP="00050C3F">
      <w:pPr>
        <w:pStyle w:val="BodyText"/>
      </w:pPr>
      <w:r>
        <w:t>Before estimating the model, continuous variables are rescaled so that the posteri</w:t>
      </w:r>
      <w:r w:rsidR="00D13F35">
        <w:t>or distributions can be</w:t>
      </w:r>
      <w:r>
        <w:t xml:space="preserve"> estimated more efficiently. In most cases, this involves normalising the variables to zero mean and unit standard deviation.</w:t>
      </w:r>
      <w:r w:rsidR="00F65DCF">
        <w:t xml:space="preserve"> </w:t>
      </w:r>
      <w:r w:rsidR="00050C3F">
        <w:t xml:space="preserve">Some variables are </w:t>
      </w:r>
      <w:r w:rsidR="006A02B1">
        <w:t>categorical</w:t>
      </w:r>
      <w:r w:rsidR="00050C3F">
        <w:t xml:space="preserve"> variables </w:t>
      </w:r>
      <w:r w:rsidR="00C2695F">
        <w:t>that</w:t>
      </w:r>
      <w:r w:rsidR="00050C3F">
        <w:t xml:space="preserve"> </w:t>
      </w:r>
      <w:r w:rsidR="00F65DCF">
        <w:t>need to be</w:t>
      </w:r>
      <w:r w:rsidR="00050C3F">
        <w:t xml:space="preserve"> interpreted relative to a baseline</w:t>
      </w:r>
      <w:r w:rsidR="00F65DCF">
        <w:t xml:space="preserve"> (table F.</w:t>
      </w:r>
      <w:r w:rsidR="000C0938">
        <w:t>2</w:t>
      </w:r>
      <w:r w:rsidR="00F65DCF">
        <w:t>)</w:t>
      </w:r>
      <w:r w:rsidR="00050C3F">
        <w:t>.</w:t>
      </w:r>
    </w:p>
    <w:p w14:paraId="1089F6BA" w14:textId="0CDB01C4" w:rsidR="00050C3F" w:rsidRDefault="00050C3F" w:rsidP="00050C3F">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625"/>
      </w:tblGrid>
      <w:tr w:rsidR="00050C3F" w14:paraId="6217CDCD" w14:textId="77777777" w:rsidTr="005E42A7">
        <w:tc>
          <w:tcPr>
            <w:tcW w:w="8625" w:type="dxa"/>
            <w:tcBorders>
              <w:top w:val="single" w:sz="6" w:space="0" w:color="78A22F"/>
              <w:left w:val="nil"/>
              <w:bottom w:val="nil"/>
              <w:right w:val="nil"/>
            </w:tcBorders>
            <w:shd w:val="clear" w:color="auto" w:fill="auto"/>
          </w:tcPr>
          <w:p w14:paraId="17CB01FC" w14:textId="04AE26E3" w:rsidR="00050C3F" w:rsidRPr="00784A05" w:rsidRDefault="00050C3F" w:rsidP="00DF026F">
            <w:pPr>
              <w:pStyle w:val="TableTitle"/>
            </w:pPr>
            <w:r>
              <w:rPr>
                <w:b w:val="0"/>
              </w:rPr>
              <w:t>Table F.</w:t>
            </w:r>
            <w:r w:rsidR="000C0938">
              <w:rPr>
                <w:b w:val="0"/>
              </w:rPr>
              <w:t>2</w:t>
            </w:r>
            <w:r>
              <w:tab/>
            </w:r>
            <w:r w:rsidR="00DF026F">
              <w:t xml:space="preserve">Categorical </w:t>
            </w:r>
            <w:r>
              <w:t>variables — baseline</w:t>
            </w:r>
          </w:p>
        </w:tc>
      </w:tr>
      <w:tr w:rsidR="00050C3F" w14:paraId="36839B80" w14:textId="77777777" w:rsidTr="005E42A7">
        <w:tc>
          <w:tcPr>
            <w:tcW w:w="8625"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798"/>
              <w:gridCol w:w="3543"/>
            </w:tblGrid>
            <w:tr w:rsidR="00050C3F" w14:paraId="557D0EE3" w14:textId="77777777" w:rsidTr="00535BD5">
              <w:trPr>
                <w:tblHeader/>
              </w:trPr>
              <w:tc>
                <w:tcPr>
                  <w:tcW w:w="2876" w:type="pct"/>
                  <w:tcBorders>
                    <w:top w:val="single" w:sz="6" w:space="0" w:color="BFBFBF"/>
                    <w:bottom w:val="single" w:sz="6" w:space="0" w:color="BFBFBF"/>
                  </w:tcBorders>
                  <w:shd w:val="clear" w:color="auto" w:fill="auto"/>
                  <w:tcMar>
                    <w:top w:w="28" w:type="dxa"/>
                  </w:tcMar>
                </w:tcPr>
                <w:p w14:paraId="463F2696" w14:textId="77777777" w:rsidR="00050C3F" w:rsidRDefault="00050C3F" w:rsidP="00535BD5">
                  <w:pPr>
                    <w:pStyle w:val="TableColumnHeading"/>
                    <w:jc w:val="left"/>
                  </w:pPr>
                  <w:r>
                    <w:t>Variable</w:t>
                  </w:r>
                </w:p>
              </w:tc>
              <w:tc>
                <w:tcPr>
                  <w:tcW w:w="2124" w:type="pct"/>
                  <w:tcBorders>
                    <w:top w:val="single" w:sz="6" w:space="0" w:color="BFBFBF"/>
                    <w:bottom w:val="single" w:sz="6" w:space="0" w:color="BFBFBF"/>
                  </w:tcBorders>
                </w:tcPr>
                <w:p w14:paraId="7FB81EA8" w14:textId="77777777" w:rsidR="00050C3F" w:rsidRDefault="00050C3F" w:rsidP="00535BD5">
                  <w:pPr>
                    <w:pStyle w:val="TableColumnHeading"/>
                    <w:jc w:val="left"/>
                  </w:pPr>
                  <w:r>
                    <w:t>Relative to …</w:t>
                  </w:r>
                </w:p>
              </w:tc>
            </w:tr>
            <w:tr w:rsidR="00050C3F" w14:paraId="1215B9E8" w14:textId="77777777" w:rsidTr="00535BD5">
              <w:tc>
                <w:tcPr>
                  <w:tcW w:w="2876" w:type="pct"/>
                  <w:tcBorders>
                    <w:top w:val="single" w:sz="6" w:space="0" w:color="BFBFBF"/>
                  </w:tcBorders>
                </w:tcPr>
                <w:p w14:paraId="39B0FE0C" w14:textId="71428B55" w:rsidR="00050C3F" w:rsidRPr="00474A85" w:rsidRDefault="00474A85" w:rsidP="00535BD5">
                  <w:pPr>
                    <w:pStyle w:val="TableUnitsRow"/>
                    <w:jc w:val="left"/>
                    <w:rPr>
                      <w:b/>
                    </w:rPr>
                  </w:pPr>
                  <w:r w:rsidRPr="00474A85">
                    <w:rPr>
                      <w:b/>
                    </w:rPr>
                    <w:t>Multiple categories</w:t>
                  </w:r>
                </w:p>
              </w:tc>
              <w:tc>
                <w:tcPr>
                  <w:tcW w:w="2124" w:type="pct"/>
                  <w:tcBorders>
                    <w:top w:val="single" w:sz="6" w:space="0" w:color="BFBFBF"/>
                  </w:tcBorders>
                </w:tcPr>
                <w:p w14:paraId="560ED532" w14:textId="6C0A0FE1" w:rsidR="00050C3F" w:rsidRDefault="00050C3F" w:rsidP="00535BD5">
                  <w:pPr>
                    <w:pStyle w:val="TableUnitsRow"/>
                    <w:jc w:val="left"/>
                  </w:pPr>
                </w:p>
              </w:tc>
            </w:tr>
            <w:tr w:rsidR="00474A85" w14:paraId="5889630D" w14:textId="77777777" w:rsidTr="00535BD5">
              <w:tc>
                <w:tcPr>
                  <w:tcW w:w="2876" w:type="pct"/>
                </w:tcPr>
                <w:p w14:paraId="6689AB7B" w14:textId="0DD619B0" w:rsidR="00474A85" w:rsidRDefault="00474A85" w:rsidP="00474A85">
                  <w:pPr>
                    <w:pStyle w:val="TableBodyText"/>
                    <w:jc w:val="left"/>
                  </w:pPr>
                  <w:r>
                    <w:t>Age 21</w:t>
                  </w:r>
                  <w:r w:rsidR="008E5C4B">
                    <w:t>–</w:t>
                  </w:r>
                  <w:r>
                    <w:t>24</w:t>
                  </w:r>
                  <w:r w:rsidR="00D74233">
                    <w:t xml:space="preserve"> years</w:t>
                  </w:r>
                  <w:r>
                    <w:t>, Age 25</w:t>
                  </w:r>
                  <w:r w:rsidR="008E5C4B">
                    <w:t>–</w:t>
                  </w:r>
                  <w:r>
                    <w:t>44</w:t>
                  </w:r>
                  <w:r w:rsidR="00D74233">
                    <w:t xml:space="preserve"> years</w:t>
                  </w:r>
                </w:p>
              </w:tc>
              <w:tc>
                <w:tcPr>
                  <w:tcW w:w="2124" w:type="pct"/>
                </w:tcPr>
                <w:p w14:paraId="4A848259" w14:textId="7B17B1EE" w:rsidR="00474A85" w:rsidRDefault="00474A85" w:rsidP="00474A85">
                  <w:pPr>
                    <w:pStyle w:val="TableBodyText"/>
                    <w:jc w:val="left"/>
                  </w:pPr>
                  <w:r>
                    <w:t>Age 45</w:t>
                  </w:r>
                  <w:r w:rsidR="008E5C4B">
                    <w:t>–</w:t>
                  </w:r>
                  <w:r>
                    <w:t>64</w:t>
                  </w:r>
                  <w:r w:rsidR="00D74233">
                    <w:t xml:space="preserve"> years</w:t>
                  </w:r>
                </w:p>
              </w:tc>
            </w:tr>
            <w:tr w:rsidR="00474A85" w14:paraId="5D3B664D" w14:textId="77777777" w:rsidTr="00535BD5">
              <w:tc>
                <w:tcPr>
                  <w:tcW w:w="2876" w:type="pct"/>
                </w:tcPr>
                <w:p w14:paraId="7FF4302A" w14:textId="0754D608" w:rsidR="00474A85" w:rsidRDefault="00474A85" w:rsidP="00474A85">
                  <w:pPr>
                    <w:pStyle w:val="TableBodyText"/>
                    <w:jc w:val="left"/>
                  </w:pPr>
                  <w:r>
                    <w:t xml:space="preserve">Vic, Qld, SA, WA, </w:t>
                  </w:r>
                  <w:proofErr w:type="spellStart"/>
                  <w:r>
                    <w:t>Tas</w:t>
                  </w:r>
                  <w:proofErr w:type="spellEnd"/>
                  <w:r>
                    <w:t>, NT, ACT</w:t>
                  </w:r>
                </w:p>
              </w:tc>
              <w:tc>
                <w:tcPr>
                  <w:tcW w:w="2124" w:type="pct"/>
                </w:tcPr>
                <w:p w14:paraId="55E8C0DB" w14:textId="3AE1E682" w:rsidR="00474A85" w:rsidRDefault="00474A85" w:rsidP="00474A85">
                  <w:pPr>
                    <w:pStyle w:val="TableBodyText"/>
                    <w:jc w:val="left"/>
                  </w:pPr>
                  <w:r>
                    <w:t>NSW</w:t>
                  </w:r>
                </w:p>
              </w:tc>
            </w:tr>
            <w:tr w:rsidR="00474A85" w14:paraId="44C0EB32" w14:textId="77777777" w:rsidTr="00535BD5">
              <w:tc>
                <w:tcPr>
                  <w:tcW w:w="2876" w:type="pct"/>
                  <w:shd w:val="clear" w:color="auto" w:fill="auto"/>
                </w:tcPr>
                <w:p w14:paraId="29A9D7F2" w14:textId="77777777" w:rsidR="00474A85" w:rsidRDefault="00474A85" w:rsidP="00474A85">
                  <w:pPr>
                    <w:pStyle w:val="TableBodyText"/>
                    <w:jc w:val="left"/>
                  </w:pPr>
                  <w:r>
                    <w:t>University degree, Diploma/certificate, High school</w:t>
                  </w:r>
                </w:p>
              </w:tc>
              <w:tc>
                <w:tcPr>
                  <w:tcW w:w="2124" w:type="pct"/>
                </w:tcPr>
                <w:p w14:paraId="73CE19CE" w14:textId="77777777" w:rsidR="00474A85" w:rsidRDefault="00474A85" w:rsidP="00474A85">
                  <w:pPr>
                    <w:pStyle w:val="TableBodyText"/>
                    <w:jc w:val="left"/>
                  </w:pPr>
                  <w:r>
                    <w:t>Did not graduate high school</w:t>
                  </w:r>
                </w:p>
              </w:tc>
            </w:tr>
            <w:tr w:rsidR="00474A85" w14:paraId="53BA7265" w14:textId="77777777" w:rsidTr="00535BD5">
              <w:tc>
                <w:tcPr>
                  <w:tcW w:w="2876" w:type="pct"/>
                  <w:shd w:val="clear" w:color="auto" w:fill="auto"/>
                </w:tcPr>
                <w:p w14:paraId="13416CC9" w14:textId="77777777" w:rsidR="00474A85" w:rsidRDefault="00474A85" w:rsidP="00474A85">
                  <w:pPr>
                    <w:pStyle w:val="TableBodyText"/>
                    <w:jc w:val="left"/>
                  </w:pPr>
                </w:p>
              </w:tc>
              <w:tc>
                <w:tcPr>
                  <w:tcW w:w="2124" w:type="pct"/>
                </w:tcPr>
                <w:p w14:paraId="4FF70CFF" w14:textId="77777777" w:rsidR="00474A85" w:rsidRDefault="00474A85" w:rsidP="00474A85">
                  <w:pPr>
                    <w:pStyle w:val="TableBodyText"/>
                    <w:jc w:val="left"/>
                  </w:pPr>
                </w:p>
              </w:tc>
            </w:tr>
            <w:tr w:rsidR="00474A85" w14:paraId="204D504C" w14:textId="77777777" w:rsidTr="00535BD5">
              <w:tc>
                <w:tcPr>
                  <w:tcW w:w="2876" w:type="pct"/>
                  <w:shd w:val="clear" w:color="auto" w:fill="auto"/>
                </w:tcPr>
                <w:p w14:paraId="6D43269E" w14:textId="07C62E6A" w:rsidR="00474A85" w:rsidRPr="00474A85" w:rsidRDefault="00474A85" w:rsidP="00474A85">
                  <w:pPr>
                    <w:pStyle w:val="TableBodyText"/>
                    <w:jc w:val="left"/>
                    <w:rPr>
                      <w:b/>
                    </w:rPr>
                  </w:pPr>
                  <w:r w:rsidRPr="00474A85">
                    <w:rPr>
                      <w:b/>
                    </w:rPr>
                    <w:t>Binary categories</w:t>
                  </w:r>
                </w:p>
              </w:tc>
              <w:tc>
                <w:tcPr>
                  <w:tcW w:w="2124" w:type="pct"/>
                </w:tcPr>
                <w:p w14:paraId="442D7E26" w14:textId="77777777" w:rsidR="00474A85" w:rsidRDefault="00474A85" w:rsidP="00474A85">
                  <w:pPr>
                    <w:pStyle w:val="TableBodyText"/>
                    <w:jc w:val="left"/>
                  </w:pPr>
                </w:p>
              </w:tc>
            </w:tr>
            <w:tr w:rsidR="00474A85" w14:paraId="5A1456DE" w14:textId="77777777" w:rsidTr="00535BD5">
              <w:tc>
                <w:tcPr>
                  <w:tcW w:w="2876" w:type="pct"/>
                  <w:shd w:val="clear" w:color="auto" w:fill="auto"/>
                </w:tcPr>
                <w:p w14:paraId="4A7C573B" w14:textId="183F64C9" w:rsidR="00474A85" w:rsidRDefault="00474A85" w:rsidP="00474A85">
                  <w:pPr>
                    <w:pStyle w:val="TableBodyText"/>
                    <w:jc w:val="left"/>
                  </w:pPr>
                  <w:r>
                    <w:t>Female</w:t>
                  </w:r>
                </w:p>
              </w:tc>
              <w:tc>
                <w:tcPr>
                  <w:tcW w:w="2124" w:type="pct"/>
                </w:tcPr>
                <w:p w14:paraId="1F2B4575" w14:textId="77777777" w:rsidR="00474A85" w:rsidRDefault="00474A85" w:rsidP="00474A85">
                  <w:pPr>
                    <w:pStyle w:val="TableBodyText"/>
                    <w:jc w:val="left"/>
                  </w:pPr>
                </w:p>
              </w:tc>
            </w:tr>
            <w:tr w:rsidR="00474A85" w14:paraId="5EF12F44" w14:textId="77777777" w:rsidTr="00535BD5">
              <w:tc>
                <w:tcPr>
                  <w:tcW w:w="2876" w:type="pct"/>
                  <w:shd w:val="clear" w:color="auto" w:fill="auto"/>
                </w:tcPr>
                <w:p w14:paraId="595579C8" w14:textId="3C4B67EF" w:rsidR="00474A85" w:rsidRDefault="00474A85" w:rsidP="00474A85">
                  <w:pPr>
                    <w:pStyle w:val="TableBodyText"/>
                    <w:jc w:val="left"/>
                  </w:pPr>
                  <w:r>
                    <w:t>Married/de facto</w:t>
                  </w:r>
                </w:p>
              </w:tc>
              <w:tc>
                <w:tcPr>
                  <w:tcW w:w="2124" w:type="pct"/>
                </w:tcPr>
                <w:p w14:paraId="3F2DE684" w14:textId="77777777" w:rsidR="00474A85" w:rsidRDefault="00474A85" w:rsidP="00474A85">
                  <w:pPr>
                    <w:pStyle w:val="TableBodyText"/>
                    <w:jc w:val="left"/>
                  </w:pPr>
                </w:p>
              </w:tc>
            </w:tr>
            <w:tr w:rsidR="00474A85" w14:paraId="6DEC7397" w14:textId="77777777" w:rsidTr="00535BD5">
              <w:tc>
                <w:tcPr>
                  <w:tcW w:w="2876" w:type="pct"/>
                  <w:shd w:val="clear" w:color="auto" w:fill="auto"/>
                </w:tcPr>
                <w:p w14:paraId="6F749125" w14:textId="3C7E47EF" w:rsidR="00474A85" w:rsidRDefault="00474A85" w:rsidP="00474A85">
                  <w:pPr>
                    <w:pStyle w:val="TableBodyText"/>
                    <w:jc w:val="left"/>
                  </w:pPr>
                  <w:r>
                    <w:t>Lives in a regional area</w:t>
                  </w:r>
                </w:p>
              </w:tc>
              <w:tc>
                <w:tcPr>
                  <w:tcW w:w="2124" w:type="pct"/>
                </w:tcPr>
                <w:p w14:paraId="65F11CD8" w14:textId="77777777" w:rsidR="00474A85" w:rsidRDefault="00474A85" w:rsidP="00474A85">
                  <w:pPr>
                    <w:pStyle w:val="TableBodyText"/>
                    <w:jc w:val="left"/>
                  </w:pPr>
                </w:p>
              </w:tc>
            </w:tr>
            <w:tr w:rsidR="00474A85" w14:paraId="2C1B9240" w14:textId="77777777" w:rsidTr="00535BD5">
              <w:tc>
                <w:tcPr>
                  <w:tcW w:w="2876" w:type="pct"/>
                  <w:shd w:val="clear" w:color="auto" w:fill="auto"/>
                </w:tcPr>
                <w:p w14:paraId="231B61FE" w14:textId="0D7B753B" w:rsidR="00474A85" w:rsidRDefault="00D74233" w:rsidP="00474A85">
                  <w:pPr>
                    <w:pStyle w:val="TableBodyText"/>
                    <w:jc w:val="left"/>
                  </w:pPr>
                  <w:r>
                    <w:t>Aboriginal and Torres Strait islander</w:t>
                  </w:r>
                </w:p>
              </w:tc>
              <w:tc>
                <w:tcPr>
                  <w:tcW w:w="2124" w:type="pct"/>
                </w:tcPr>
                <w:p w14:paraId="6C8B03BE" w14:textId="77777777" w:rsidR="00474A85" w:rsidRDefault="00474A85" w:rsidP="00474A85">
                  <w:pPr>
                    <w:pStyle w:val="TableBodyText"/>
                    <w:jc w:val="left"/>
                  </w:pPr>
                </w:p>
              </w:tc>
            </w:tr>
            <w:tr w:rsidR="00474A85" w14:paraId="08CBA5FE" w14:textId="77777777" w:rsidTr="00535BD5">
              <w:tc>
                <w:tcPr>
                  <w:tcW w:w="2876" w:type="pct"/>
                  <w:shd w:val="clear" w:color="auto" w:fill="auto"/>
                </w:tcPr>
                <w:p w14:paraId="38C66F67" w14:textId="1DCE2AC4" w:rsidR="00474A85" w:rsidRDefault="00474A85" w:rsidP="00474A85">
                  <w:pPr>
                    <w:pStyle w:val="TableBodyText"/>
                    <w:jc w:val="left"/>
                  </w:pPr>
                  <w:r>
                    <w:t>Non-English speaking background (NESB)</w:t>
                  </w:r>
                </w:p>
              </w:tc>
              <w:tc>
                <w:tcPr>
                  <w:tcW w:w="2124" w:type="pct"/>
                </w:tcPr>
                <w:p w14:paraId="2FAC8734" w14:textId="77777777" w:rsidR="00474A85" w:rsidRDefault="00474A85" w:rsidP="00474A85">
                  <w:pPr>
                    <w:pStyle w:val="TableBodyText"/>
                    <w:jc w:val="left"/>
                  </w:pPr>
                </w:p>
              </w:tc>
            </w:tr>
            <w:tr w:rsidR="00474A85" w14:paraId="2D957F76" w14:textId="77777777" w:rsidTr="00535BD5">
              <w:tc>
                <w:tcPr>
                  <w:tcW w:w="2876" w:type="pct"/>
                  <w:shd w:val="clear" w:color="auto" w:fill="auto"/>
                </w:tcPr>
                <w:p w14:paraId="2F9F190F" w14:textId="238186A0" w:rsidR="00474A85" w:rsidRDefault="00474A85" w:rsidP="00474A85">
                  <w:pPr>
                    <w:pStyle w:val="TableBodyText"/>
                    <w:jc w:val="left"/>
                  </w:pPr>
                  <w:r>
                    <w:t>Currently studying</w:t>
                  </w:r>
                </w:p>
              </w:tc>
              <w:tc>
                <w:tcPr>
                  <w:tcW w:w="2124" w:type="pct"/>
                </w:tcPr>
                <w:p w14:paraId="05912DC5" w14:textId="77777777" w:rsidR="00474A85" w:rsidRDefault="00474A85" w:rsidP="00474A85">
                  <w:pPr>
                    <w:pStyle w:val="TableBodyText"/>
                    <w:jc w:val="left"/>
                  </w:pPr>
                </w:p>
              </w:tc>
            </w:tr>
            <w:tr w:rsidR="00474A85" w14:paraId="4554FB87" w14:textId="77777777" w:rsidTr="00535BD5">
              <w:tc>
                <w:tcPr>
                  <w:tcW w:w="2876" w:type="pct"/>
                  <w:shd w:val="clear" w:color="auto" w:fill="auto"/>
                </w:tcPr>
                <w:p w14:paraId="5B47A1BD" w14:textId="0516879E" w:rsidR="00474A85" w:rsidRDefault="00474A85" w:rsidP="00474A85">
                  <w:pPr>
                    <w:pStyle w:val="TableBodyText"/>
                    <w:jc w:val="left"/>
                  </w:pPr>
                  <w:r>
                    <w:t>Death of a friend/spouse/relative in the past 3 years</w:t>
                  </w:r>
                </w:p>
              </w:tc>
              <w:tc>
                <w:tcPr>
                  <w:tcW w:w="2124" w:type="pct"/>
                </w:tcPr>
                <w:p w14:paraId="6614C1A0" w14:textId="77777777" w:rsidR="00474A85" w:rsidRDefault="00474A85" w:rsidP="00474A85">
                  <w:pPr>
                    <w:pStyle w:val="TableBodyText"/>
                    <w:jc w:val="left"/>
                  </w:pPr>
                </w:p>
              </w:tc>
            </w:tr>
          </w:tbl>
          <w:p w14:paraId="380BC4A4" w14:textId="77777777" w:rsidR="00050C3F" w:rsidRDefault="00050C3F" w:rsidP="00535BD5">
            <w:pPr>
              <w:pStyle w:val="Box"/>
            </w:pPr>
          </w:p>
        </w:tc>
      </w:tr>
      <w:tr w:rsidR="00050C3F" w14:paraId="1D9D0FFA" w14:textId="77777777" w:rsidTr="005E42A7">
        <w:tc>
          <w:tcPr>
            <w:tcW w:w="8625" w:type="dxa"/>
            <w:tcBorders>
              <w:top w:val="nil"/>
              <w:left w:val="nil"/>
              <w:bottom w:val="single" w:sz="6" w:space="0" w:color="78A22F"/>
              <w:right w:val="nil"/>
            </w:tcBorders>
            <w:shd w:val="clear" w:color="auto" w:fill="auto"/>
          </w:tcPr>
          <w:p w14:paraId="667B273C" w14:textId="77777777" w:rsidR="00050C3F" w:rsidRDefault="00050C3F" w:rsidP="00535BD5">
            <w:pPr>
              <w:pStyle w:val="Box"/>
              <w:spacing w:before="0" w:line="120" w:lineRule="exact"/>
            </w:pPr>
          </w:p>
        </w:tc>
      </w:tr>
      <w:tr w:rsidR="00050C3F" w:rsidRPr="000863A5" w14:paraId="54A09664" w14:textId="77777777" w:rsidTr="005E42A7">
        <w:tc>
          <w:tcPr>
            <w:tcW w:w="8625" w:type="dxa"/>
            <w:tcBorders>
              <w:top w:val="single" w:sz="6" w:space="0" w:color="78A22F"/>
              <w:left w:val="nil"/>
              <w:bottom w:val="nil"/>
              <w:right w:val="nil"/>
            </w:tcBorders>
          </w:tcPr>
          <w:p w14:paraId="2D7AA1DE" w14:textId="48DF79B8" w:rsidR="00050C3F" w:rsidRPr="00626D32" w:rsidRDefault="00050C3F" w:rsidP="00535BD5">
            <w:pPr>
              <w:pStyle w:val="BoxSpaceBelow"/>
            </w:pPr>
          </w:p>
        </w:tc>
      </w:tr>
    </w:tbl>
    <w:p w14:paraId="742373BF" w14:textId="77777777" w:rsidR="003E2303" w:rsidRDefault="003E2303" w:rsidP="003E2303">
      <w:pPr>
        <w:pStyle w:val="Heading4"/>
      </w:pPr>
      <w:r>
        <w:t>How were our results estimated?</w:t>
      </w:r>
    </w:p>
    <w:p w14:paraId="0F1C52A9" w14:textId="7AF788BE" w:rsidR="003E2303" w:rsidRDefault="003E2303" w:rsidP="003E2303">
      <w:pPr>
        <w:pStyle w:val="BodyText"/>
      </w:pPr>
      <w:r>
        <w:t xml:space="preserve">The Commission used the statistical package Stan </w:t>
      </w:r>
      <w:r w:rsidRPr="003E2303">
        <w:rPr>
          <w:szCs w:val="24"/>
        </w:rPr>
        <w:t>(Carpenter et al. 2017)</w:t>
      </w:r>
      <w:r>
        <w:t xml:space="preserve"> through an interface to the R programming language.</w:t>
      </w:r>
    </w:p>
    <w:p w14:paraId="4C9BE301" w14:textId="77777777" w:rsidR="003E2303" w:rsidRDefault="003E2303" w:rsidP="003E2303">
      <w:pPr>
        <w:pStyle w:val="BodyText"/>
      </w:pPr>
      <w:r>
        <w:t>For all but the simplest cases there is no mathematical equation that defines the posterior distribution — it needs to be estimated empirically. This estimation can be computationally difficult, indeed it has only been possible to estimate complicated models in recent years, as computing power has increased. Stan uses an algorithm called Hamiltonian Monte Carlo to explore and sample from the posterior probability distribution. Statistical inference about the posterior distribution is conducted using these samples.</w:t>
      </w:r>
    </w:p>
    <w:p w14:paraId="190D2E47" w14:textId="5598D38D" w:rsidR="0051568F" w:rsidRDefault="00526644" w:rsidP="0051568F">
      <w:pPr>
        <w:pStyle w:val="Heading2"/>
      </w:pPr>
      <w:r>
        <w:t>F.</w:t>
      </w:r>
      <w:r w:rsidR="00D7423F">
        <w:rPr>
          <w:noProof/>
        </w:rPr>
        <w:t>4</w:t>
      </w:r>
      <w:r w:rsidR="0051568F">
        <w:tab/>
      </w:r>
      <w:r w:rsidR="00F24D13">
        <w:t>R</w:t>
      </w:r>
      <w:r w:rsidR="0059311C">
        <w:t xml:space="preserve">eforms that will </w:t>
      </w:r>
      <w:r w:rsidR="00F24D13">
        <w:t>improve</w:t>
      </w:r>
      <w:r w:rsidR="0059311C">
        <w:t xml:space="preserve"> mental health</w:t>
      </w:r>
    </w:p>
    <w:p w14:paraId="3467AEC2" w14:textId="584795F0" w:rsidR="00B06E52" w:rsidRDefault="00B06E52" w:rsidP="005239EC">
      <w:pPr>
        <w:pStyle w:val="Heading3"/>
        <w:spacing w:before="280"/>
      </w:pPr>
      <w:r>
        <w:t xml:space="preserve">Calculating the </w:t>
      </w:r>
      <w:r w:rsidR="00F24D13">
        <w:t xml:space="preserve">expected </w:t>
      </w:r>
      <w:r>
        <w:t xml:space="preserve">effects of </w:t>
      </w:r>
      <w:r w:rsidR="00F24D13">
        <w:t>policy changes</w:t>
      </w:r>
    </w:p>
    <w:p w14:paraId="08A81D4D" w14:textId="5B813545" w:rsidR="00B06E52" w:rsidRDefault="00B06E52" w:rsidP="00B06E52">
      <w:pPr>
        <w:pStyle w:val="BodyText"/>
      </w:pPr>
      <w:r>
        <w:t xml:space="preserve">The </w:t>
      </w:r>
      <w:r w:rsidR="00426920">
        <w:t xml:space="preserve">direct </w:t>
      </w:r>
      <w:r>
        <w:t xml:space="preserve">economic benefits of improvements in mental health </w:t>
      </w:r>
      <w:r w:rsidR="00426920">
        <w:t xml:space="preserve">may be thought of as </w:t>
      </w:r>
      <w:r>
        <w:t>consist</w:t>
      </w:r>
      <w:r w:rsidR="00426920">
        <w:t>ing</w:t>
      </w:r>
      <w:r>
        <w:t xml:space="preserve"> of two elements — increases in expected income and increased employment. </w:t>
      </w:r>
    </w:p>
    <w:p w14:paraId="3478B7C3" w14:textId="30B955D8" w:rsidR="00B06E52" w:rsidRDefault="00337D2F" w:rsidP="00B06E52">
      <w:pPr>
        <w:pStyle w:val="BodyText"/>
      </w:pPr>
      <w:r>
        <w:t>The</w:t>
      </w:r>
      <w:r w:rsidR="00B06E52">
        <w:t xml:space="preserve"> </w:t>
      </w:r>
      <w:r w:rsidR="005C7133">
        <w:t>reforms</w:t>
      </w:r>
      <w:r w:rsidR="00B06E52">
        <w:t xml:space="preserve"> are modelled as functions </w:t>
      </w:r>
      <w:r w:rsidR="00C2695F">
        <w:t>that</w:t>
      </w:r>
      <w:r w:rsidR="00B06E52">
        <w:t xml:space="preserve"> transform the relevant pre-</w:t>
      </w:r>
      <w:r w:rsidR="005C7133">
        <w:t>reform</w:t>
      </w:r>
      <w:r w:rsidR="00B06E52">
        <w:t xml:space="preserve"> variables into post-</w:t>
      </w:r>
      <w:r w:rsidR="005C7133">
        <w:t>reform</w:t>
      </w:r>
      <w:r w:rsidR="00B06E52">
        <w:t xml:space="preserve"> variables. This will primarily be the mental health variable.</w:t>
      </w:r>
    </w:p>
    <w:p w14:paraId="162E94CD" w14:textId="21753C4F" w:rsidR="00B06E52" w:rsidRDefault="00443729" w:rsidP="00DA10DB">
      <w:pPr>
        <w:pStyle w:val="BodyText"/>
        <w:tabs>
          <w:tab w:val="right" w:pos="8789"/>
        </w:tabs>
      </w:pPr>
      <m:oMath>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f</m:t>
                </m:r>
              </m:e>
              <m:sub>
                <m:r>
                  <w:rPr>
                    <w:rFonts w:ascii="Cambria Math" w:hAnsi="Cambria Math"/>
                  </w:rPr>
                  <m:t>j</m:t>
                </m:r>
              </m:sub>
            </m:sSub>
            <m:r>
              <w:rPr>
                <w:rFonts w:ascii="Cambria Math" w:hAnsi="Cambria Math"/>
              </w:rPr>
              <m:t>(</m:t>
            </m:r>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r>
          <w:rPr>
            <w:rFonts w:ascii="Cambria Math" w:hAnsi="Cambria Math"/>
          </w:rPr>
          <m:t>)</m:t>
        </m:r>
      </m:oMath>
      <w:r w:rsidR="00B06E52">
        <w:tab/>
        <w:t>[</w:t>
      </w:r>
      <w:r w:rsidR="00D8591B">
        <w:t>5</w:t>
      </w:r>
      <w:r w:rsidR="00B06E52">
        <w:t>]</w:t>
      </w:r>
    </w:p>
    <w:p w14:paraId="140F319A" w14:textId="7DA50F4A" w:rsidR="00B06E52" w:rsidRDefault="00B06E52" w:rsidP="00B06E52">
      <w:pPr>
        <w:pStyle w:val="BodyText"/>
      </w:pPr>
      <w:r>
        <w:lastRenderedPageBreak/>
        <w:t xml:space="preserve">where </w:t>
      </w:r>
      <m:oMath>
        <m:sSub>
          <m:sSubPr>
            <m:ctrlPr>
              <w:rPr>
                <w:rFonts w:ascii="Cambria Math" w:hAnsi="Cambria Math"/>
                <w:i/>
              </w:rPr>
            </m:ctrlPr>
          </m:sSubPr>
          <m:e>
            <m:r>
              <w:rPr>
                <w:rFonts w:ascii="Cambria Math" w:hAnsi="Cambria Math"/>
              </w:rPr>
              <m:t>f</m:t>
            </m:r>
          </m:e>
          <m:sub>
            <m:r>
              <w:rPr>
                <w:rFonts w:ascii="Cambria Math" w:hAnsi="Cambria Math"/>
              </w:rPr>
              <m:t>j</m:t>
            </m:r>
          </m:sub>
        </m:sSub>
      </m:oMath>
      <w:r>
        <w:t xml:space="preserve"> is a function indicating how </w:t>
      </w:r>
      <w:r w:rsidR="00071E62">
        <w:t xml:space="preserve">the </w:t>
      </w:r>
      <w:r>
        <w:t xml:space="preserve">mental health </w:t>
      </w:r>
      <w:r w:rsidR="00071E62">
        <w:t>of</w:t>
      </w:r>
      <w:r w:rsidR="008163E9">
        <w:t xml:space="preserve"> individual </w:t>
      </w:r>
      <w:proofErr w:type="spellStart"/>
      <w:r w:rsidR="008163E9">
        <w:rPr>
          <w:i/>
        </w:rPr>
        <w:t>i</w:t>
      </w:r>
      <w:proofErr w:type="spellEnd"/>
      <w:r w:rsidR="008163E9">
        <w:rPr>
          <w:i/>
        </w:rPr>
        <w:t xml:space="preserve"> </w:t>
      </w:r>
      <w:r>
        <w:t xml:space="preserve">changes as a result of </w:t>
      </w:r>
      <w:r w:rsidR="005C7133">
        <w:t>reform</w:t>
      </w:r>
      <w:r>
        <w:t xml:space="preserve"> </w:t>
      </w:r>
      <m:oMath>
        <m:r>
          <w:rPr>
            <w:rFonts w:ascii="Cambria Math" w:hAnsi="Cambria Math"/>
          </w:rPr>
          <m:t>j</m:t>
        </m:r>
      </m:oMath>
      <w:r>
        <w:t xml:space="preserve">. This function is informed by past research and </w:t>
      </w:r>
      <w:r w:rsidR="008163E9">
        <w:t>a range of necessary assumptions detailed below</w:t>
      </w:r>
      <w:r w:rsidR="00071E62">
        <w:t xml:space="preserve"> in table F.3</w:t>
      </w:r>
      <w:r>
        <w:t>.</w:t>
      </w:r>
    </w:p>
    <w:p w14:paraId="25EE8C1B" w14:textId="0B7DAAB4" w:rsidR="00B06E52" w:rsidRDefault="00B06E52" w:rsidP="00B06E52">
      <w:pPr>
        <w:pStyle w:val="BodyText"/>
      </w:pPr>
      <w:r>
        <w:t>The additional number of workers is the change in the expected aggregate labou</w:t>
      </w:r>
      <w:r w:rsidR="005C7133">
        <w:t xml:space="preserve">r supply </w:t>
      </w:r>
      <w:r w:rsidR="00CE3834">
        <w:t>(which includes both full</w:t>
      </w:r>
      <w:r w:rsidR="00D74233">
        <w:t xml:space="preserve"> </w:t>
      </w:r>
      <w:r w:rsidR="00CE3834">
        <w:t>time and part</w:t>
      </w:r>
      <w:r w:rsidR="00D74233">
        <w:t xml:space="preserve"> </w:t>
      </w:r>
      <w:r w:rsidR="00CE3834">
        <w:t xml:space="preserve">time employment) </w:t>
      </w:r>
      <w:r w:rsidR="005C7133">
        <w:t>between pre- and post-reform</w:t>
      </w:r>
      <w:r>
        <w:t>:</w:t>
      </w:r>
    </w:p>
    <w:p w14:paraId="4B81B343" w14:textId="5F5EEA95" w:rsidR="00B06E52" w:rsidRDefault="00B06E52" w:rsidP="00DA10DB">
      <w:pPr>
        <w:pStyle w:val="BodyText"/>
        <w:tabs>
          <w:tab w:val="right" w:pos="8505"/>
        </w:tabs>
      </w:pPr>
      <m:oMath>
        <m:r>
          <m:rPr>
            <m:sty m:val="p"/>
          </m:rPr>
          <w:rPr>
            <w:rFonts w:ascii="Cambria Math" w:hAnsi="Cambria Math"/>
          </w:rPr>
          <m:t>ΔEmployed</m:t>
        </m:r>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i</m:t>
                </m:r>
              </m:sub>
            </m:sSub>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e>
            </m:d>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r>
              <w:rPr>
                <w:rFonts w:ascii="Cambria Math" w:hAnsi="Cambria Math"/>
              </w:rPr>
              <m:t>)</m:t>
            </m:r>
          </m:e>
        </m:nary>
      </m:oMath>
      <w:r>
        <w:tab/>
        <w:t>[</w:t>
      </w:r>
      <w:r w:rsidR="00D8591B">
        <w:t>6</w:t>
      </w:r>
      <w:r>
        <w:t>]</w:t>
      </w:r>
    </w:p>
    <w:p w14:paraId="49C6E7CF" w14:textId="548A9F2C" w:rsidR="00B06E52" w:rsidRDefault="002211F2" w:rsidP="00B06E52">
      <w:pPr>
        <w:pStyle w:val="BodyText"/>
      </w:pPr>
      <w:r>
        <w:t>T</w:t>
      </w:r>
      <w:r w:rsidR="00B06E52">
        <w:t xml:space="preserve">he labour market benefits </w:t>
      </w:r>
      <w:r w:rsidR="00D13F35">
        <w:t>are</w:t>
      </w:r>
      <w:r>
        <w:t xml:space="preserve"> calculated as the</w:t>
      </w:r>
      <w:r w:rsidR="00B06E52">
        <w:t xml:space="preserve"> change in expected aggregate income between pre- and post-</w:t>
      </w:r>
      <w:r>
        <w:t>re</w:t>
      </w:r>
      <w:r w:rsidR="00486529">
        <w:t>form. In this model, the change in aggregate income can come from either a change in wages attributed to changes in mental health or a change in the probability of working full-time or part-time (and the associated average number of hours worked).</w:t>
      </w:r>
    </w:p>
    <w:p w14:paraId="77B9F187" w14:textId="48AAF2F7" w:rsidR="00E70B82" w:rsidRDefault="00B06E52" w:rsidP="00DA10DB">
      <w:pPr>
        <w:pStyle w:val="BodyText"/>
        <w:tabs>
          <w:tab w:val="right" w:pos="8505"/>
        </w:tabs>
      </w:pPr>
      <m:oMath>
        <m:r>
          <m:rPr>
            <m:sty m:val="p"/>
          </m:rPr>
          <w:rPr>
            <w:rFonts w:ascii="Cambria Math" w:hAnsi="Cambria Math"/>
          </w:rPr>
          <m:t>ΔIncome</m:t>
        </m:r>
        <m:r>
          <w:rPr>
            <w:rFonts w:ascii="Cambria Math" w:hAnsi="Cambria Math"/>
          </w:rPr>
          <m:t>=</m:t>
        </m:r>
        <m:r>
          <m:rPr>
            <m:sty m:val="p"/>
          </m:rPr>
          <w:rPr>
            <w:rFonts w:ascii="Cambria Math" w:hAnsi="Cambria Math"/>
          </w:rPr>
          <m:t>Weeks</m:t>
        </m:r>
        <m:r>
          <w:rPr>
            <w:rFonts w:ascii="Cambria Math" w:hAnsi="Cambria Math"/>
          </w:rPr>
          <m:t>×</m:t>
        </m:r>
        <m:r>
          <m:rPr>
            <m:sty m:val="p"/>
          </m:rPr>
          <w:rPr>
            <w:rFonts w:ascii="Cambria Math" w:hAnsi="Cambria Math"/>
          </w:rPr>
          <m:t>Hour</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FT</m:t>
            </m:r>
          </m:sup>
        </m:sSup>
        <m:r>
          <w:rPr>
            <w:rFonts w:ascii="Cambria Math" w:hAnsi="Cambria Math"/>
          </w:rPr>
          <m:t>×</m:t>
        </m:r>
      </m:oMath>
      <w:r w:rsidR="00D8591B">
        <w:t xml:space="preserve"> </w:t>
      </w:r>
      <w:r w:rsidR="00D8591B">
        <w:tab/>
      </w:r>
      <w:r w:rsidR="00B63CFA">
        <w:t>[</w:t>
      </w:r>
      <w:r w:rsidR="00D8591B">
        <w:t>7</w:t>
      </w:r>
      <w:r w:rsidR="00B63CFA">
        <w:t>]</w:t>
      </w:r>
    </w:p>
    <w:p w14:paraId="55E877E4" w14:textId="2AB699A4" w:rsidR="00E70B82" w:rsidRDefault="00AE231C" w:rsidP="00F35CA2">
      <w:pPr>
        <w:pStyle w:val="BodyText"/>
      </w:pPr>
      <w:r>
        <w:tab/>
      </w:r>
      <w:r w:rsidR="00E70B82">
        <w:tab/>
      </w:r>
      <m:oMath>
        <m:r>
          <w:rPr>
            <w:rFonts w:ascii="Cambria Math" w:hAnsi="Cambria Math"/>
          </w:rPr>
          <m:t xml:space="preserve"> </m:t>
        </m:r>
        <m:d>
          <m:dPr>
            <m:begChr m:val="["/>
            <m:endChr m:val="]"/>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FT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e>
                </m:d>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FT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e>
                </m:d>
              </m:e>
            </m:nary>
            <m:r>
              <w:rPr>
                <w:rFonts w:ascii="Cambria Math" w:hAnsi="Cambria Math"/>
              </w:rPr>
              <m:t xml:space="preserve"> </m:t>
            </m:r>
          </m:e>
        </m:d>
      </m:oMath>
    </w:p>
    <w:p w14:paraId="67D3012A" w14:textId="0E222D97" w:rsidR="00F35CA2" w:rsidRDefault="00E70B82" w:rsidP="00E70B82">
      <w:pPr>
        <w:pStyle w:val="BodyText"/>
      </w:pPr>
      <w:r>
        <w:tab/>
      </w:r>
      <m:oMath>
        <m:r>
          <w:rPr>
            <w:rFonts w:ascii="Cambria Math" w:hAnsi="Cambria Math"/>
          </w:rPr>
          <m:t xml:space="preserve">+ </m:t>
        </m:r>
        <m:r>
          <m:rPr>
            <m:sty m:val="p"/>
          </m:rPr>
          <w:rPr>
            <w:rFonts w:ascii="Cambria Math" w:hAnsi="Cambria Math"/>
          </w:rPr>
          <m:t>Weeks</m:t>
        </m:r>
        <m:r>
          <w:rPr>
            <w:rFonts w:ascii="Cambria Math" w:hAnsi="Cambria Math"/>
          </w:rPr>
          <m:t>×</m:t>
        </m:r>
        <m:r>
          <m:rPr>
            <m:sty m:val="p"/>
          </m:rPr>
          <w:rPr>
            <w:rFonts w:ascii="Cambria Math" w:hAnsi="Cambria Math"/>
          </w:rPr>
          <m:t>Hour</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PT</m:t>
            </m:r>
          </m:sup>
        </m:sSup>
        <m:r>
          <w:rPr>
            <w:rFonts w:ascii="Cambria Math" w:hAnsi="Cambria Math"/>
          </w:rPr>
          <m:t>×</m:t>
        </m:r>
      </m:oMath>
    </w:p>
    <w:p w14:paraId="2039B659" w14:textId="61120489" w:rsidR="00A13A9C" w:rsidRDefault="00AE231C" w:rsidP="00E70B82">
      <w:pPr>
        <w:pStyle w:val="BodyText"/>
      </w:pPr>
      <w:r>
        <w:tab/>
      </w:r>
      <w:r w:rsidR="00A13A9C">
        <w:tab/>
      </w:r>
      <m:oMath>
        <m:r>
          <w:rPr>
            <w:rFonts w:ascii="Cambria Math" w:hAnsi="Cambria Math"/>
          </w:rPr>
          <m:t xml:space="preserve"> </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PT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Wage</m:t>
                    </m:r>
                  </m:e>
                  <m:sub>
                    <m:r>
                      <w:rPr>
                        <w:rFonts w:ascii="Cambria Math" w:hAnsi="Cambria Math"/>
                      </w:rPr>
                      <m:t>i</m:t>
                    </m:r>
                  </m:sub>
                </m:sSub>
                <m:d>
                  <m:dPr>
                    <m:ctrlPr>
                      <w:rPr>
                        <w:rFonts w:ascii="Cambria Math" w:hAnsi="Cambria Math"/>
                        <w:i/>
                      </w:rPr>
                    </m:ctrlPr>
                  </m:dPr>
                  <m:e>
                    <m:sSubSup>
                      <m:sSubSupPr>
                        <m:ctrlPr>
                          <w:rPr>
                            <w:rFonts w:ascii="Cambria Math" w:hAnsi="Cambria Math"/>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ctrlPr>
                      <w:rPr>
                        <w:rFonts w:ascii="Cambria Math" w:hAnsi="Cambria Math"/>
                      </w:rPr>
                    </m:ctrlPr>
                  </m:e>
                </m:d>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i</m:t>
                    </m:r>
                  </m:sub>
                  <m:sup>
                    <m:r>
                      <m:rPr>
                        <m:sty m:val="p"/>
                      </m:rPr>
                      <w:rPr>
                        <w:rFonts w:ascii="Cambria Math" w:hAnsi="Cambria Math"/>
                      </w:rPr>
                      <m:t>PT</m:t>
                    </m:r>
                  </m:sup>
                </m:sSubSup>
                <m:d>
                  <m:dPr>
                    <m:ctrlPr>
                      <w:rPr>
                        <w:rFonts w:ascii="Cambria Math" w:hAnsi="Cambria Math"/>
                        <w:i/>
                      </w:rPr>
                    </m:ctrlPr>
                  </m:dPr>
                  <m:e>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e>
                </m:d>
              </m:e>
            </m:nary>
            <m:r>
              <w:rPr>
                <w:rFonts w:ascii="Cambria Math" w:hAnsi="Cambria Math"/>
              </w:rPr>
              <m:t xml:space="preserve"> </m:t>
            </m:r>
          </m:e>
        </m:d>
      </m:oMath>
    </w:p>
    <w:p w14:paraId="172506E6" w14:textId="1A4D0106" w:rsidR="00F35CA2" w:rsidRDefault="00F35CA2" w:rsidP="00F35CA2">
      <w:pPr>
        <w:pStyle w:val="BodyText"/>
      </w:pPr>
      <w:r>
        <w:t>Si</w:t>
      </w:r>
      <w:r w:rsidR="00962237">
        <w:t>milarly, the change in QALYs is</w:t>
      </w:r>
    </w:p>
    <w:p w14:paraId="6DEF815B" w14:textId="6DE7DD3F" w:rsidR="00F35CA2" w:rsidRPr="00FA700E" w:rsidRDefault="00F35CA2" w:rsidP="00DA10DB">
      <w:pPr>
        <w:pStyle w:val="BodyText"/>
        <w:tabs>
          <w:tab w:val="right" w:pos="8505"/>
        </w:tabs>
      </w:pPr>
      <m:oMath>
        <m:r>
          <m:rPr>
            <m:sty m:val="p"/>
          </m:rPr>
          <w:rPr>
            <w:rFonts w:ascii="Cambria Math" w:hAnsi="Cambria Math"/>
          </w:rPr>
          <m:t>ΔQALY</m:t>
        </m:r>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QALY</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post</m:t>
                </m:r>
              </m:sup>
            </m:sSubSup>
            <m:r>
              <m:rPr>
                <m:sty m:val="p"/>
              </m:rPr>
              <w:rPr>
                <w:rFonts w:ascii="Cambria Math" w:hAnsi="Cambria Math"/>
              </w:rPr>
              <m:t>)</m:t>
            </m:r>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m:rPr>
                    <m:sty m:val="p"/>
                  </m:rPr>
                  <w:rPr>
                    <w:rFonts w:ascii="Cambria Math" w:hAnsi="Cambria Math"/>
                  </w:rPr>
                  <m:t>QALY</m:t>
                </m:r>
              </m:e>
              <m:sub>
                <m:r>
                  <w:rPr>
                    <w:rFonts w:ascii="Cambria Math" w:hAnsi="Cambria Math"/>
                  </w:rPr>
                  <m:t>i</m:t>
                </m:r>
              </m:sub>
            </m:sSub>
            <m:r>
              <w:rPr>
                <w:rFonts w:ascii="Cambria Math" w:hAnsi="Cambria Math"/>
              </w:rPr>
              <m:t>(</m:t>
            </m:r>
            <m:sSubSup>
              <m:sSubSupPr>
                <m:ctrlPr>
                  <w:rPr>
                    <w:rFonts w:ascii="Cambria Math" w:hAnsi="Cambria Math"/>
                    <w:i/>
                  </w:rPr>
                </m:ctrlPr>
              </m:sSubSupPr>
              <m:e>
                <m:r>
                  <m:rPr>
                    <m:sty m:val="p"/>
                  </m:rPr>
                  <w:rPr>
                    <w:rFonts w:ascii="Cambria Math" w:hAnsi="Cambria Math"/>
                  </w:rPr>
                  <m:t>MCS</m:t>
                </m:r>
              </m:e>
              <m:sub>
                <m:r>
                  <w:rPr>
                    <w:rFonts w:ascii="Cambria Math" w:hAnsi="Cambria Math"/>
                  </w:rPr>
                  <m:t>i</m:t>
                </m:r>
              </m:sub>
              <m:sup>
                <m:r>
                  <m:rPr>
                    <m:sty m:val="p"/>
                  </m:rPr>
                  <w:rPr>
                    <w:rFonts w:ascii="Cambria Math" w:hAnsi="Cambria Math"/>
                  </w:rPr>
                  <m:t>pre</m:t>
                </m:r>
              </m:sup>
            </m:sSubSup>
            <m:r>
              <m:rPr>
                <m:sty m:val="p"/>
              </m:rPr>
              <w:rPr>
                <w:rFonts w:ascii="Cambria Math" w:hAnsi="Cambria Math"/>
              </w:rPr>
              <m:t>)</m:t>
            </m:r>
          </m:e>
        </m:nary>
      </m:oMath>
      <w:r w:rsidR="00F0017F">
        <w:tab/>
      </w:r>
      <w:r>
        <w:t>[</w:t>
      </w:r>
      <w:r w:rsidR="00D8591B">
        <w:t>8]</w:t>
      </w:r>
    </w:p>
    <w:p w14:paraId="2446F518" w14:textId="4C362B85" w:rsidR="00FA7138" w:rsidRDefault="00CE3834" w:rsidP="00C363B0">
      <w:pPr>
        <w:pStyle w:val="BodyText"/>
      </w:pPr>
      <w:r>
        <w:t>Waves 2</w:t>
      </w:r>
      <w:r w:rsidR="00D74233">
        <w:t>–</w:t>
      </w:r>
      <w:r>
        <w:t xml:space="preserve">17 of HILDA are used to estimate the parameters of the model following the procedure outlined in section F.1. </w:t>
      </w:r>
      <w:r w:rsidR="00FA7138">
        <w:t>In constructing the dataset used for the analysis, observations are dropped when an individual has not provided</w:t>
      </w:r>
      <w:r w:rsidR="00547F47">
        <w:t xml:space="preserve"> a complete set of responses to the questions u</w:t>
      </w:r>
      <w:r w:rsidR="002B56A9">
        <w:t>sed to construct the variables</w:t>
      </w:r>
      <w:r>
        <w:t xml:space="preserve"> required for estimation</w:t>
      </w:r>
      <w:r w:rsidR="002B56A9">
        <w:t xml:space="preserve">. </w:t>
      </w:r>
      <w:r w:rsidR="00D12137">
        <w:t xml:space="preserve">To estimate the </w:t>
      </w:r>
      <w:r w:rsidR="002B56A9">
        <w:t xml:space="preserve">benefits of </w:t>
      </w:r>
      <w:r w:rsidR="00D12137">
        <w:t>the</w:t>
      </w:r>
      <w:r w:rsidR="002B56A9">
        <w:t xml:space="preserve"> proposed reforms</w:t>
      </w:r>
      <w:r w:rsidR="00D12137">
        <w:t xml:space="preserve">, the latest wave of HILDA is used as it is expected to more closely reflect the current state of the Australian </w:t>
      </w:r>
      <w:r w:rsidR="004B072A">
        <w:t>population</w:t>
      </w:r>
      <w:r w:rsidR="002211F2">
        <w:t>.</w:t>
      </w:r>
    </w:p>
    <w:p w14:paraId="190D2E48" w14:textId="7C914B8B" w:rsidR="00114144" w:rsidRDefault="00C363B0" w:rsidP="00C363B0">
      <w:pPr>
        <w:pStyle w:val="BodyText"/>
      </w:pPr>
      <w:r>
        <w:t xml:space="preserve">Unless otherwise specified, the </w:t>
      </w:r>
      <w:r w:rsidR="002E4DFC">
        <w:t xml:space="preserve">results </w:t>
      </w:r>
      <w:r w:rsidR="00391E92">
        <w:t>are presented for a single year</w:t>
      </w:r>
      <w:r w:rsidR="002E4DFC">
        <w:t xml:space="preserve">, where </w:t>
      </w:r>
      <w:r>
        <w:t xml:space="preserve">aggregate income </w:t>
      </w:r>
      <w:r w:rsidR="00893245">
        <w:t>is calculated assuming that an individual is paid for</w:t>
      </w:r>
      <w:r>
        <w:t xml:space="preserve"> </w:t>
      </w:r>
      <w:r w:rsidR="00893245">
        <w:t xml:space="preserve">52 weeks </w:t>
      </w:r>
      <w:r>
        <w:t xml:space="preserve">per year, </w:t>
      </w:r>
      <w:r w:rsidR="00391E92">
        <w:t>with an average of 43.6</w:t>
      </w:r>
      <w:r w:rsidR="00893245">
        <w:t xml:space="preserve"> hours worked per w</w:t>
      </w:r>
      <w:r w:rsidR="0012693D">
        <w:t>eek</w:t>
      </w:r>
      <w:r w:rsidR="00391E92">
        <w:t xml:space="preserve"> for those employed full</w:t>
      </w:r>
      <w:r w:rsidR="00D74233">
        <w:t xml:space="preserve"> </w:t>
      </w:r>
      <w:r w:rsidR="00391E92">
        <w:t>time, and 21.7 hours worked per week for those employed part</w:t>
      </w:r>
      <w:r w:rsidR="00D74233">
        <w:t xml:space="preserve"> </w:t>
      </w:r>
      <w:r w:rsidR="00391E92">
        <w:t>time</w:t>
      </w:r>
      <w:r w:rsidR="00BC6449">
        <w:t xml:space="preserve"> (using data from HILDA wave 17)</w:t>
      </w:r>
      <w:r w:rsidR="00893245">
        <w:t>.</w:t>
      </w:r>
      <w:r w:rsidR="008969C6">
        <w:t xml:space="preserve"> </w:t>
      </w:r>
    </w:p>
    <w:p w14:paraId="76ABE154" w14:textId="6EC7746E" w:rsidR="00B62C59" w:rsidRDefault="00B62C59" w:rsidP="00B62C59">
      <w:pPr>
        <w:pStyle w:val="BodyText"/>
      </w:pPr>
      <w:r>
        <w:t>The Bayesian approach to estimating the relationships between mental health and wages, labour force participation, health-related quality of life (QALYs)</w:t>
      </w:r>
      <w:r w:rsidR="000011C0">
        <w:t xml:space="preserve"> </w:t>
      </w:r>
      <w:r>
        <w:t xml:space="preserve">produces a </w:t>
      </w:r>
      <w:r w:rsidR="001437A3">
        <w:t>distribution over the parameters</w:t>
      </w:r>
      <w:r>
        <w:t>, rather than a single ‘po</w:t>
      </w:r>
      <w:r w:rsidR="008B5521">
        <w:t>int’ estimate. Using the output</w:t>
      </w:r>
      <w:r>
        <w:t xml:space="preserve"> from the models d</w:t>
      </w:r>
      <w:r w:rsidR="008E3FCE">
        <w:t>escribed in section F.1 combined with a set of reforms</w:t>
      </w:r>
      <w:r>
        <w:t xml:space="preserve"> yields a range </w:t>
      </w:r>
      <w:r w:rsidR="00482588">
        <w:t xml:space="preserve">and distribution </w:t>
      </w:r>
      <w:r>
        <w:t>of possible expected effects</w:t>
      </w:r>
      <w:r w:rsidR="00482588">
        <w:t xml:space="preserve"> (box </w:t>
      </w:r>
      <w:r w:rsidR="008E3FCE">
        <w:t>F</w:t>
      </w:r>
      <w:r w:rsidR="00482588">
        <w:t>.</w:t>
      </w:r>
      <w:r w:rsidR="00BB2BFB">
        <w:t>3</w:t>
      </w:r>
      <w:r w:rsidR="00482588">
        <w:t>).</w:t>
      </w:r>
    </w:p>
    <w:p w14:paraId="44618443" w14:textId="74641FD6" w:rsidR="00482588" w:rsidRDefault="0048258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82588" w14:paraId="040A6555" w14:textId="77777777" w:rsidTr="00482588">
        <w:trPr>
          <w:tblHeader/>
        </w:trPr>
        <w:tc>
          <w:tcPr>
            <w:tcW w:w="5000" w:type="pct"/>
            <w:tcBorders>
              <w:top w:val="single" w:sz="6" w:space="0" w:color="78A22F"/>
              <w:left w:val="nil"/>
              <w:bottom w:val="nil"/>
              <w:right w:val="nil"/>
            </w:tcBorders>
            <w:shd w:val="clear" w:color="auto" w:fill="F2F2F2"/>
          </w:tcPr>
          <w:p w14:paraId="6C1BDD6C" w14:textId="4A508702" w:rsidR="00482588" w:rsidRDefault="00482588" w:rsidP="00BB2BFB">
            <w:pPr>
              <w:pStyle w:val="BoxTitle"/>
            </w:pPr>
            <w:r>
              <w:rPr>
                <w:b w:val="0"/>
              </w:rPr>
              <w:t>Box</w:t>
            </w:r>
            <w:r w:rsidR="008E3FCE">
              <w:rPr>
                <w:b w:val="0"/>
              </w:rPr>
              <w:t xml:space="preserve"> F.</w:t>
            </w:r>
            <w:r w:rsidR="00BB2BFB">
              <w:rPr>
                <w:b w:val="0"/>
              </w:rPr>
              <w:t>3</w:t>
            </w:r>
            <w:r>
              <w:tab/>
              <w:t>Interpreting outputs from Bayesian statistical models</w:t>
            </w:r>
          </w:p>
        </w:tc>
      </w:tr>
      <w:tr w:rsidR="00482588" w14:paraId="706452B1" w14:textId="77777777" w:rsidTr="00482588">
        <w:tc>
          <w:tcPr>
            <w:tcW w:w="5000" w:type="pct"/>
            <w:tcBorders>
              <w:top w:val="nil"/>
              <w:left w:val="nil"/>
              <w:bottom w:val="nil"/>
              <w:right w:val="nil"/>
            </w:tcBorders>
            <w:shd w:val="clear" w:color="auto" w:fill="F2F2F2"/>
          </w:tcPr>
          <w:p w14:paraId="132CC2A4" w14:textId="63A29A46" w:rsidR="00482588" w:rsidRDefault="00482588" w:rsidP="00482588">
            <w:pPr>
              <w:pStyle w:val="Box"/>
            </w:pPr>
            <w:r w:rsidRPr="00482588">
              <w:t xml:space="preserve">Bayesian methods deliver parameter estimates spanning a range of possible values. The choice of which statistic to present </w:t>
            </w:r>
            <w:r>
              <w:t xml:space="preserve">in summarising the outputs </w:t>
            </w:r>
            <w:r w:rsidR="00C2695F">
              <w:t>requires judgment.</w:t>
            </w:r>
          </w:p>
          <w:p w14:paraId="1DDE3357" w14:textId="16DB1024" w:rsidR="00482588" w:rsidRPr="00482588" w:rsidRDefault="00482588" w:rsidP="00935BBF">
            <w:pPr>
              <w:pStyle w:val="Box"/>
            </w:pPr>
            <w:r w:rsidRPr="00482588">
              <w:t xml:space="preserve">In this work, the median (50th percentile) is preferred as it represents outcomes with a reasonable chance of occurring and is not skewed, as the mean can be, by outlier </w:t>
            </w:r>
            <w:r>
              <w:t>results</w:t>
            </w:r>
            <w:r w:rsidRPr="00482588">
              <w:t>. Uncertainty associated with an estimate is often indicated by presenting values from percentiles at the top and bottom of the span. The value at the 90th percentile, for example, can be interpreted as m</w:t>
            </w:r>
            <w:r w:rsidR="00935BBF">
              <w:t xml:space="preserve">eaning that ‘there is only a 10% </w:t>
            </w:r>
            <w:r w:rsidRPr="00482588">
              <w:t xml:space="preserve">probability that the true parameter value is greater than this figure’. Values between the </w:t>
            </w:r>
            <w:r w:rsidR="00127B26">
              <w:t>5</w:t>
            </w:r>
            <w:r w:rsidRPr="00482588">
              <w:t>th and 9</w:t>
            </w:r>
            <w:r w:rsidR="00127B26">
              <w:t>5</w:t>
            </w:r>
            <w:r w:rsidRPr="00482588">
              <w:t>th percentiles can be interpreted as</w:t>
            </w:r>
            <w:r w:rsidR="00935BBF">
              <w:t xml:space="preserve"> indicating that ‘there is a 9</w:t>
            </w:r>
            <w:r w:rsidR="00D74233">
              <w:t>0</w:t>
            </w:r>
            <w:r w:rsidR="00935BBF">
              <w:t xml:space="preserve">% </w:t>
            </w:r>
            <w:r w:rsidRPr="00482588">
              <w:t xml:space="preserve">chance that the true parameter value lies in this range’. This is sometimes referred to as a </w:t>
            </w:r>
            <w:r w:rsidRPr="00127B26">
              <w:rPr>
                <w:i/>
              </w:rPr>
              <w:t>credibility interval</w:t>
            </w:r>
            <w:r w:rsidRPr="00482588">
              <w:t>.</w:t>
            </w:r>
          </w:p>
        </w:tc>
      </w:tr>
      <w:tr w:rsidR="00482588" w14:paraId="397ECDB0" w14:textId="77777777" w:rsidTr="00482588">
        <w:tc>
          <w:tcPr>
            <w:tcW w:w="5000" w:type="pct"/>
            <w:tcBorders>
              <w:top w:val="nil"/>
              <w:left w:val="nil"/>
              <w:bottom w:val="single" w:sz="6" w:space="0" w:color="78A22F"/>
              <w:right w:val="nil"/>
            </w:tcBorders>
            <w:shd w:val="clear" w:color="auto" w:fill="F2F2F2"/>
          </w:tcPr>
          <w:p w14:paraId="79C5EF6B" w14:textId="77777777" w:rsidR="00482588" w:rsidRDefault="00482588">
            <w:pPr>
              <w:pStyle w:val="Box"/>
              <w:spacing w:before="0" w:line="120" w:lineRule="exact"/>
            </w:pPr>
          </w:p>
        </w:tc>
      </w:tr>
      <w:tr w:rsidR="00482588" w:rsidRPr="000863A5" w14:paraId="7F49D3A7" w14:textId="77777777" w:rsidTr="00482588">
        <w:tc>
          <w:tcPr>
            <w:tcW w:w="5000" w:type="pct"/>
            <w:tcBorders>
              <w:top w:val="single" w:sz="6" w:space="0" w:color="78A22F"/>
              <w:left w:val="nil"/>
              <w:bottom w:val="nil"/>
              <w:right w:val="nil"/>
            </w:tcBorders>
          </w:tcPr>
          <w:p w14:paraId="50A5AF7B" w14:textId="4026552B" w:rsidR="00482588" w:rsidRPr="00626D32" w:rsidRDefault="00482588" w:rsidP="00482588">
            <w:pPr>
              <w:pStyle w:val="BoxSpaceBelow"/>
            </w:pPr>
          </w:p>
        </w:tc>
      </w:tr>
    </w:tbl>
    <w:p w14:paraId="190D2FAA" w14:textId="195D46FE" w:rsidR="00681986" w:rsidRDefault="00681986" w:rsidP="00681986">
      <w:pPr>
        <w:pStyle w:val="BodyText"/>
      </w:pPr>
      <w:r>
        <w:t xml:space="preserve">For each </w:t>
      </w:r>
      <w:r w:rsidR="005C7133">
        <w:t>reform</w:t>
      </w:r>
      <w:r>
        <w:t>, there is a probability distribution constructed for the estimated benefits</w:t>
      </w:r>
      <w:r w:rsidR="00482588">
        <w:t>. For example, the changes in early childhood education yield a m</w:t>
      </w:r>
      <w:r w:rsidR="00C3458D">
        <w:t xml:space="preserve">edian increase in employment of 50 700 </w:t>
      </w:r>
      <w:r w:rsidR="00482588">
        <w:t xml:space="preserve">workers. This means that </w:t>
      </w:r>
      <w:r>
        <w:t xml:space="preserve">there is a 50% chance that we will have up to </w:t>
      </w:r>
      <w:r w:rsidR="00C3458D">
        <w:t>50 700</w:t>
      </w:r>
      <w:r w:rsidR="003505FB">
        <w:t xml:space="preserve"> </w:t>
      </w:r>
      <w:r>
        <w:t>additional workers. Similar</w:t>
      </w:r>
      <w:r w:rsidR="00482588">
        <w:t>ly</w:t>
      </w:r>
      <w:r>
        <w:t xml:space="preserve">, the </w:t>
      </w:r>
      <w:r w:rsidR="00812FFB">
        <w:t>95</w:t>
      </w:r>
      <w:r w:rsidRPr="002F06B9">
        <w:rPr>
          <w:vertAlign w:val="superscript"/>
        </w:rPr>
        <w:t>th</w:t>
      </w:r>
      <w:r>
        <w:t xml:space="preserve"> percentile suggests there is a </w:t>
      </w:r>
      <w:r w:rsidR="00812FFB">
        <w:t>95</w:t>
      </w:r>
      <w:r>
        <w:t xml:space="preserve">% </w:t>
      </w:r>
      <w:r w:rsidR="00D6741B">
        <w:t>chance that there</w:t>
      </w:r>
      <w:r w:rsidR="003505FB">
        <w:t xml:space="preserve"> will </w:t>
      </w:r>
      <w:r w:rsidR="00D6741B">
        <w:t xml:space="preserve">be </w:t>
      </w:r>
      <w:r w:rsidR="003505FB">
        <w:t xml:space="preserve">up to </w:t>
      </w:r>
      <w:r w:rsidR="00812FFB" w:rsidRPr="00492984">
        <w:t>58</w:t>
      </w:r>
      <w:r w:rsidR="00812FFB">
        <w:t> 500</w:t>
      </w:r>
      <w:r>
        <w:t xml:space="preserve"> additional workers (and a </w:t>
      </w:r>
      <w:r w:rsidR="00812FFB">
        <w:t>5</w:t>
      </w:r>
      <w:r>
        <w:t>% chance that it will exceed this).</w:t>
      </w:r>
    </w:p>
    <w:p w14:paraId="470F7341" w14:textId="77777777" w:rsidR="00082F30" w:rsidRDefault="00082F30" w:rsidP="00681986">
      <w:pPr>
        <w:pStyle w:val="BodyText"/>
      </w:pPr>
    </w:p>
    <w:p w14:paraId="4F597D72" w14:textId="43726BF8" w:rsidR="000B532B" w:rsidRDefault="000B532B" w:rsidP="000B532B">
      <w:pPr>
        <w:pStyle w:val="BodyText"/>
        <w:sectPr w:rsidR="000B532B" w:rsidSect="00D85242">
          <w:headerReference w:type="even" r:id="rId14"/>
          <w:headerReference w:type="default" r:id="rId15"/>
          <w:footerReference w:type="even" r:id="rId16"/>
          <w:footerReference w:type="default" r:id="rId17"/>
          <w:pgSz w:w="11907" w:h="16840" w:code="9"/>
          <w:pgMar w:top="1985" w:right="1304" w:bottom="1418" w:left="1814" w:header="1701" w:footer="567" w:gutter="0"/>
          <w:pgNumType w:start="1" w:chapStyle="1" w:chapSep="period"/>
          <w:cols w:space="720"/>
        </w:sectPr>
      </w:pPr>
    </w:p>
    <w:p w14:paraId="21740FBB" w14:textId="660AE64B" w:rsidR="000B532B" w:rsidRDefault="000B532B" w:rsidP="000B532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0B532B" w14:paraId="72E78D6A" w14:textId="77777777" w:rsidTr="00F20F17">
        <w:tc>
          <w:tcPr>
            <w:tcW w:w="13444" w:type="dxa"/>
            <w:tcBorders>
              <w:top w:val="single" w:sz="6" w:space="0" w:color="78A22F"/>
              <w:left w:val="nil"/>
              <w:bottom w:val="nil"/>
              <w:right w:val="nil"/>
            </w:tcBorders>
            <w:shd w:val="clear" w:color="auto" w:fill="auto"/>
          </w:tcPr>
          <w:p w14:paraId="2B8A478C" w14:textId="18E00562" w:rsidR="000B532B" w:rsidRPr="00784A05" w:rsidRDefault="000B532B" w:rsidP="005D5215">
            <w:pPr>
              <w:pStyle w:val="TableTitle"/>
            </w:pPr>
            <w:r>
              <w:rPr>
                <w:b w:val="0"/>
              </w:rPr>
              <w:t xml:space="preserve">Table </w:t>
            </w:r>
            <w:r w:rsidR="00285F64">
              <w:rPr>
                <w:b w:val="0"/>
              </w:rPr>
              <w:t>F.</w:t>
            </w:r>
            <w:r w:rsidR="005D5215">
              <w:rPr>
                <w:b w:val="0"/>
              </w:rPr>
              <w:t>3</w:t>
            </w:r>
            <w:r>
              <w:tab/>
            </w:r>
            <w:r w:rsidR="00285F64">
              <w:t>Reforms, populations, and benefits</w:t>
            </w:r>
          </w:p>
        </w:tc>
      </w:tr>
      <w:tr w:rsidR="000B532B" w14:paraId="42633309" w14:textId="77777777" w:rsidTr="00F20F17">
        <w:tc>
          <w:tcPr>
            <w:tcW w:w="13444"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18"/>
              <w:gridCol w:w="4476"/>
              <w:gridCol w:w="4338"/>
              <w:gridCol w:w="979"/>
              <w:gridCol w:w="839"/>
              <w:gridCol w:w="839"/>
            </w:tblGrid>
            <w:tr w:rsidR="00130443" w14:paraId="6092BC9C" w14:textId="77777777" w:rsidTr="00C55C66">
              <w:trPr>
                <w:tblHeader/>
              </w:trPr>
              <w:tc>
                <w:tcPr>
                  <w:tcW w:w="584" w:type="pct"/>
                  <w:tcBorders>
                    <w:top w:val="single" w:sz="6" w:space="0" w:color="BFBFBF"/>
                    <w:bottom w:val="single" w:sz="6" w:space="0" w:color="BFBFBF"/>
                  </w:tcBorders>
                  <w:shd w:val="clear" w:color="auto" w:fill="auto"/>
                  <w:tcMar>
                    <w:top w:w="28" w:type="dxa"/>
                  </w:tcMar>
                </w:tcPr>
                <w:p w14:paraId="17E8191E" w14:textId="77777777" w:rsidR="00130443" w:rsidRDefault="00130443" w:rsidP="00140B00">
                  <w:pPr>
                    <w:pStyle w:val="TableColumnHeading"/>
                    <w:jc w:val="left"/>
                  </w:pPr>
                </w:p>
              </w:tc>
              <w:tc>
                <w:tcPr>
                  <w:tcW w:w="1723" w:type="pct"/>
                  <w:tcBorders>
                    <w:top w:val="single" w:sz="6" w:space="0" w:color="BFBFBF"/>
                    <w:bottom w:val="single" w:sz="6" w:space="0" w:color="BFBFBF"/>
                  </w:tcBorders>
                </w:tcPr>
                <w:p w14:paraId="3E185935" w14:textId="77777777" w:rsidR="00130443" w:rsidRPr="004038C6" w:rsidRDefault="00130443" w:rsidP="00140B00">
                  <w:pPr>
                    <w:pStyle w:val="TableColumnHeading"/>
                    <w:jc w:val="left"/>
                  </w:pPr>
                </w:p>
              </w:tc>
              <w:tc>
                <w:tcPr>
                  <w:tcW w:w="1670" w:type="pct"/>
                  <w:tcBorders>
                    <w:top w:val="single" w:sz="6" w:space="0" w:color="BFBFBF"/>
                    <w:bottom w:val="single" w:sz="6" w:space="0" w:color="BFBFBF"/>
                  </w:tcBorders>
                  <w:shd w:val="clear" w:color="auto" w:fill="auto"/>
                  <w:tcMar>
                    <w:top w:w="28" w:type="dxa"/>
                  </w:tcMar>
                </w:tcPr>
                <w:p w14:paraId="472320C4" w14:textId="77777777" w:rsidR="00130443" w:rsidRPr="004038C6" w:rsidRDefault="00130443" w:rsidP="00140B00">
                  <w:pPr>
                    <w:pStyle w:val="TableColumnHeading"/>
                    <w:jc w:val="left"/>
                  </w:pPr>
                </w:p>
              </w:tc>
              <w:tc>
                <w:tcPr>
                  <w:tcW w:w="1023" w:type="pct"/>
                  <w:gridSpan w:val="3"/>
                  <w:tcBorders>
                    <w:top w:val="single" w:sz="6" w:space="0" w:color="BFBFBF"/>
                    <w:bottom w:val="single" w:sz="6" w:space="0" w:color="BFBFBF"/>
                  </w:tcBorders>
                </w:tcPr>
                <w:p w14:paraId="5C666DE4" w14:textId="53911311" w:rsidR="00130443" w:rsidRDefault="00130443" w:rsidP="00F20F17">
                  <w:pPr>
                    <w:pStyle w:val="TableColumnHeading"/>
                    <w:ind w:right="28"/>
                    <w:jc w:val="center"/>
                  </w:pPr>
                  <w:r>
                    <w:t>Median estimates of</w:t>
                  </w:r>
                  <w:r w:rsidR="00F20F17">
                    <w:t xml:space="preserve"> extra</w:t>
                  </w:r>
                  <w:r w:rsidR="00C95C34">
                    <w:t xml:space="preserve"> </w:t>
                  </w:r>
                  <w:r w:rsidR="00407B61">
                    <w:t>…</w:t>
                  </w:r>
                </w:p>
              </w:tc>
            </w:tr>
            <w:tr w:rsidR="00F20F17" w14:paraId="5ADD1CF4" w14:textId="77777777" w:rsidTr="00C55C66">
              <w:trPr>
                <w:tblHeader/>
              </w:trPr>
              <w:tc>
                <w:tcPr>
                  <w:tcW w:w="584" w:type="pct"/>
                  <w:tcBorders>
                    <w:top w:val="single" w:sz="6" w:space="0" w:color="BFBFBF"/>
                    <w:bottom w:val="single" w:sz="6" w:space="0" w:color="BFBFBF"/>
                  </w:tcBorders>
                  <w:shd w:val="clear" w:color="auto" w:fill="auto"/>
                  <w:tcMar>
                    <w:top w:w="28" w:type="dxa"/>
                  </w:tcMar>
                </w:tcPr>
                <w:p w14:paraId="38290741" w14:textId="393E0921" w:rsidR="00140B00" w:rsidRDefault="005D64C3" w:rsidP="00140B00">
                  <w:pPr>
                    <w:pStyle w:val="TableColumnHeading"/>
                    <w:jc w:val="left"/>
                  </w:pPr>
                  <w:r>
                    <w:t>Reform</w:t>
                  </w:r>
                </w:p>
              </w:tc>
              <w:tc>
                <w:tcPr>
                  <w:tcW w:w="1723" w:type="pct"/>
                  <w:tcBorders>
                    <w:top w:val="single" w:sz="6" w:space="0" w:color="BFBFBF"/>
                    <w:bottom w:val="single" w:sz="6" w:space="0" w:color="BFBFBF"/>
                  </w:tcBorders>
                </w:tcPr>
                <w:p w14:paraId="19082A3F" w14:textId="10388DB7" w:rsidR="00140B00" w:rsidRDefault="00140B00" w:rsidP="00140B00">
                  <w:pPr>
                    <w:pStyle w:val="TableColumnHeading"/>
                    <w:jc w:val="left"/>
                  </w:pPr>
                  <w:r w:rsidRPr="004038C6">
                    <w:t>Population affected</w:t>
                  </w:r>
                  <w:r w:rsidR="005D64C3">
                    <w:t xml:space="preserve"> (coverage)</w:t>
                  </w:r>
                </w:p>
              </w:tc>
              <w:tc>
                <w:tcPr>
                  <w:tcW w:w="1670" w:type="pct"/>
                  <w:tcBorders>
                    <w:top w:val="single" w:sz="6" w:space="0" w:color="BFBFBF"/>
                    <w:bottom w:val="single" w:sz="6" w:space="0" w:color="BFBFBF"/>
                  </w:tcBorders>
                  <w:shd w:val="clear" w:color="auto" w:fill="auto"/>
                  <w:tcMar>
                    <w:top w:w="28" w:type="dxa"/>
                  </w:tcMar>
                </w:tcPr>
                <w:p w14:paraId="6949805C" w14:textId="322CC535" w:rsidR="00140B00" w:rsidRDefault="00140B00" w:rsidP="00140B00">
                  <w:pPr>
                    <w:pStyle w:val="TableColumnHeading"/>
                    <w:jc w:val="left"/>
                  </w:pPr>
                  <w:r w:rsidRPr="004038C6">
                    <w:t>Effect size</w:t>
                  </w:r>
                </w:p>
              </w:tc>
              <w:tc>
                <w:tcPr>
                  <w:tcW w:w="377" w:type="pct"/>
                  <w:tcBorders>
                    <w:top w:val="single" w:sz="6" w:space="0" w:color="BFBFBF"/>
                    <w:bottom w:val="single" w:sz="6" w:space="0" w:color="BFBFBF"/>
                  </w:tcBorders>
                </w:tcPr>
                <w:p w14:paraId="166FF106" w14:textId="2AF46DF3" w:rsidR="00140B00" w:rsidRDefault="00F20F17" w:rsidP="00140B00">
                  <w:pPr>
                    <w:pStyle w:val="TableColumnHeading"/>
                    <w:ind w:right="28"/>
                  </w:pPr>
                  <w:r>
                    <w:t>Employed</w:t>
                  </w:r>
                </w:p>
              </w:tc>
              <w:tc>
                <w:tcPr>
                  <w:tcW w:w="323" w:type="pct"/>
                  <w:tcBorders>
                    <w:top w:val="single" w:sz="6" w:space="0" w:color="BFBFBF"/>
                    <w:bottom w:val="single" w:sz="6" w:space="0" w:color="BFBFBF"/>
                  </w:tcBorders>
                </w:tcPr>
                <w:p w14:paraId="5F7E2AB3" w14:textId="6DC364F2" w:rsidR="00140B00" w:rsidRDefault="00F20F17" w:rsidP="00140B00">
                  <w:pPr>
                    <w:pStyle w:val="TableColumnHeading"/>
                    <w:ind w:right="28"/>
                  </w:pPr>
                  <w:r>
                    <w:t>Income</w:t>
                  </w:r>
                </w:p>
              </w:tc>
              <w:tc>
                <w:tcPr>
                  <w:tcW w:w="323" w:type="pct"/>
                  <w:tcBorders>
                    <w:top w:val="single" w:sz="6" w:space="0" w:color="BFBFBF"/>
                    <w:bottom w:val="single" w:sz="6" w:space="0" w:color="BFBFBF"/>
                  </w:tcBorders>
                  <w:shd w:val="clear" w:color="auto" w:fill="auto"/>
                  <w:tcMar>
                    <w:top w:w="28" w:type="dxa"/>
                  </w:tcMar>
                </w:tcPr>
                <w:p w14:paraId="43CE4295" w14:textId="50992223" w:rsidR="00140B00" w:rsidRDefault="00F20F17" w:rsidP="00140B00">
                  <w:pPr>
                    <w:pStyle w:val="TableColumnHeading"/>
                    <w:ind w:right="28"/>
                  </w:pPr>
                  <w:r>
                    <w:t>QALYs</w:t>
                  </w:r>
                </w:p>
              </w:tc>
            </w:tr>
            <w:tr w:rsidR="00F20F17" w14:paraId="51D87E22" w14:textId="77777777" w:rsidTr="00C55C66">
              <w:tc>
                <w:tcPr>
                  <w:tcW w:w="584" w:type="pct"/>
                  <w:tcBorders>
                    <w:top w:val="single" w:sz="6" w:space="0" w:color="BFBFBF"/>
                  </w:tcBorders>
                </w:tcPr>
                <w:p w14:paraId="6FAC99C6" w14:textId="5A8885A7" w:rsidR="00130443" w:rsidRPr="00130443" w:rsidRDefault="00130443" w:rsidP="00D27BE6">
                  <w:pPr>
                    <w:pStyle w:val="TableUnitsRow"/>
                    <w:jc w:val="left"/>
                    <w:rPr>
                      <w:b/>
                    </w:rPr>
                  </w:pPr>
                  <w:r w:rsidRPr="00130443">
                    <w:rPr>
                      <w:b/>
                    </w:rPr>
                    <w:t xml:space="preserve">Healthcare </w:t>
                  </w:r>
                </w:p>
              </w:tc>
              <w:tc>
                <w:tcPr>
                  <w:tcW w:w="1723" w:type="pct"/>
                  <w:tcBorders>
                    <w:top w:val="single" w:sz="6" w:space="0" w:color="BFBFBF"/>
                  </w:tcBorders>
                </w:tcPr>
                <w:p w14:paraId="4B9438AA" w14:textId="77777777" w:rsidR="00130443" w:rsidRDefault="00130443" w:rsidP="00D27BE6">
                  <w:pPr>
                    <w:pStyle w:val="TableUnitsRow"/>
                    <w:jc w:val="left"/>
                  </w:pPr>
                </w:p>
              </w:tc>
              <w:tc>
                <w:tcPr>
                  <w:tcW w:w="1670" w:type="pct"/>
                  <w:tcBorders>
                    <w:top w:val="single" w:sz="6" w:space="0" w:color="BFBFBF"/>
                  </w:tcBorders>
                </w:tcPr>
                <w:p w14:paraId="104EB5CA" w14:textId="77777777" w:rsidR="00130443" w:rsidRDefault="00130443" w:rsidP="00D27BE6">
                  <w:pPr>
                    <w:pStyle w:val="TableUnitsRow"/>
                    <w:jc w:val="left"/>
                  </w:pPr>
                </w:p>
              </w:tc>
              <w:tc>
                <w:tcPr>
                  <w:tcW w:w="377" w:type="pct"/>
                  <w:tcBorders>
                    <w:top w:val="single" w:sz="6" w:space="0" w:color="BFBFBF"/>
                  </w:tcBorders>
                </w:tcPr>
                <w:p w14:paraId="549D44E0" w14:textId="77777777" w:rsidR="00130443" w:rsidRDefault="00130443" w:rsidP="00130443">
                  <w:pPr>
                    <w:pStyle w:val="TableUnitsRow"/>
                    <w:ind w:right="28"/>
                  </w:pPr>
                </w:p>
              </w:tc>
              <w:tc>
                <w:tcPr>
                  <w:tcW w:w="323" w:type="pct"/>
                  <w:tcBorders>
                    <w:top w:val="single" w:sz="6" w:space="0" w:color="BFBFBF"/>
                  </w:tcBorders>
                </w:tcPr>
                <w:p w14:paraId="306827D5" w14:textId="77777777" w:rsidR="00130443" w:rsidRDefault="00130443" w:rsidP="00130443">
                  <w:pPr>
                    <w:pStyle w:val="TableUnitsRow"/>
                    <w:ind w:right="28"/>
                  </w:pPr>
                </w:p>
              </w:tc>
              <w:tc>
                <w:tcPr>
                  <w:tcW w:w="323" w:type="pct"/>
                  <w:tcBorders>
                    <w:top w:val="single" w:sz="6" w:space="0" w:color="BFBFBF"/>
                  </w:tcBorders>
                </w:tcPr>
                <w:p w14:paraId="36A0CCAB" w14:textId="063905B9" w:rsidR="00130443" w:rsidRDefault="00130443" w:rsidP="00130443">
                  <w:pPr>
                    <w:pStyle w:val="TableUnitsRow"/>
                    <w:ind w:right="28"/>
                  </w:pPr>
                </w:p>
              </w:tc>
            </w:tr>
            <w:tr w:rsidR="000A2302" w14:paraId="1372BF64" w14:textId="77777777" w:rsidTr="001F653D">
              <w:tc>
                <w:tcPr>
                  <w:tcW w:w="584" w:type="pct"/>
                  <w:shd w:val="clear" w:color="auto" w:fill="F2F2F2" w:themeFill="background1" w:themeFillShade="F2"/>
                </w:tcPr>
                <w:p w14:paraId="796BB929" w14:textId="2CB02196" w:rsidR="000A2302" w:rsidRPr="00FF2F14" w:rsidRDefault="000A2302" w:rsidP="00D27BE6">
                  <w:pPr>
                    <w:pStyle w:val="TableBodyText"/>
                    <w:jc w:val="left"/>
                    <w:rPr>
                      <w:i/>
                    </w:rPr>
                  </w:pPr>
                  <w:r w:rsidRPr="00FF2F14">
                    <w:rPr>
                      <w:i/>
                    </w:rPr>
                    <w:t>Expanded use of supported online treatment</w:t>
                  </w:r>
                </w:p>
              </w:tc>
              <w:tc>
                <w:tcPr>
                  <w:tcW w:w="1723" w:type="pct"/>
                  <w:shd w:val="clear" w:color="auto" w:fill="F2F2F2" w:themeFill="background1" w:themeFillShade="F2"/>
                </w:tcPr>
                <w:p w14:paraId="250B399F" w14:textId="4A0918F8" w:rsidR="000A2302" w:rsidRDefault="000A2302" w:rsidP="00D27BE6">
                  <w:pPr>
                    <w:pStyle w:val="TableBodyText"/>
                    <w:jc w:val="left"/>
                  </w:pPr>
                  <w:r w:rsidRPr="000B532B">
                    <w:t>People with a mild mental illness (MCS between 31 and 40) who are not curren</w:t>
                  </w:r>
                  <w:r>
                    <w:t>tly seeing a psychologist.</w:t>
                  </w:r>
                </w:p>
                <w:p w14:paraId="34AB5FCB" w14:textId="16B4094F" w:rsidR="000A2302" w:rsidRDefault="000A2302" w:rsidP="00D27BE6">
                  <w:pPr>
                    <w:pStyle w:val="TableBodyText"/>
                    <w:jc w:val="left"/>
                  </w:pPr>
                  <w:r w:rsidRPr="000B532B">
                    <w:t>Initial uptake is assumed to be 50 000</w:t>
                  </w:r>
                  <w:r w:rsidR="00D74233">
                    <w:t xml:space="preserve"> people</w:t>
                  </w:r>
                  <w:r w:rsidRPr="000B532B">
                    <w:t>.</w:t>
                  </w:r>
                </w:p>
              </w:tc>
              <w:tc>
                <w:tcPr>
                  <w:tcW w:w="1670" w:type="pct"/>
                  <w:shd w:val="clear" w:color="auto" w:fill="F2F2F2" w:themeFill="background1" w:themeFillShade="F2"/>
                </w:tcPr>
                <w:p w14:paraId="2D86B900" w14:textId="33B1A504" w:rsidR="000A2302" w:rsidRDefault="000A2302" w:rsidP="001E4A71">
                  <w:pPr>
                    <w:pStyle w:val="TableBodyText"/>
                    <w:jc w:val="left"/>
                  </w:pPr>
                  <w:r w:rsidRPr="000066A6">
                    <w:t xml:space="preserve">0.22 SD improvement in mental health (2.2 point increase in MCS) based on Andrews et al. </w:t>
                  </w:r>
                  <w:r w:rsidR="001E4A71" w:rsidRPr="001E4A71">
                    <w:rPr>
                      <w:rFonts w:cs="Arial"/>
                    </w:rPr>
                    <w:t>(2018)</w:t>
                  </w:r>
                  <w:r w:rsidR="001E4A71">
                    <w:t>.</w:t>
                  </w:r>
                </w:p>
              </w:tc>
              <w:tc>
                <w:tcPr>
                  <w:tcW w:w="377" w:type="pct"/>
                  <w:shd w:val="clear" w:color="auto" w:fill="F2F2F2" w:themeFill="background1" w:themeFillShade="F2"/>
                </w:tcPr>
                <w:p w14:paraId="1D4B3B7C" w14:textId="25FEB77D" w:rsidR="000A2302" w:rsidRDefault="000A2302" w:rsidP="000A2302">
                  <w:pPr>
                    <w:pStyle w:val="TableBodyText"/>
                    <w:ind w:right="28"/>
                  </w:pPr>
                  <w:r w:rsidRPr="00C469EE">
                    <w:t>2365</w:t>
                  </w:r>
                </w:p>
              </w:tc>
              <w:tc>
                <w:tcPr>
                  <w:tcW w:w="323" w:type="pct"/>
                  <w:shd w:val="clear" w:color="auto" w:fill="F2F2F2" w:themeFill="background1" w:themeFillShade="F2"/>
                </w:tcPr>
                <w:p w14:paraId="6A35D6FE" w14:textId="37D1F4FA" w:rsidR="000A2302" w:rsidRDefault="000A2302" w:rsidP="000A2302">
                  <w:pPr>
                    <w:pStyle w:val="TableBodyText"/>
                    <w:ind w:right="28"/>
                  </w:pPr>
                  <w:r w:rsidRPr="00C469EE">
                    <w:t>226.9</w:t>
                  </w:r>
                </w:p>
              </w:tc>
              <w:tc>
                <w:tcPr>
                  <w:tcW w:w="323" w:type="pct"/>
                  <w:shd w:val="clear" w:color="auto" w:fill="F2F2F2" w:themeFill="background1" w:themeFillShade="F2"/>
                </w:tcPr>
                <w:p w14:paraId="24740F11" w14:textId="0CAFE800" w:rsidR="000A2302" w:rsidRDefault="000A2302" w:rsidP="000A2302">
                  <w:pPr>
                    <w:pStyle w:val="TableBodyText"/>
                    <w:ind w:right="28"/>
                  </w:pPr>
                  <w:r w:rsidRPr="00C469EE">
                    <w:t>1683</w:t>
                  </w:r>
                </w:p>
              </w:tc>
            </w:tr>
            <w:tr w:rsidR="000A2302" w14:paraId="02286BB6" w14:textId="77777777" w:rsidTr="00C55C66">
              <w:tc>
                <w:tcPr>
                  <w:tcW w:w="584" w:type="pct"/>
                  <w:shd w:val="clear" w:color="auto" w:fill="auto"/>
                </w:tcPr>
                <w:p w14:paraId="34252C5B" w14:textId="68B33017" w:rsidR="000A2302" w:rsidRPr="00FF2F14" w:rsidRDefault="000A2302" w:rsidP="00D27BE6">
                  <w:pPr>
                    <w:pStyle w:val="TableBodyText"/>
                    <w:jc w:val="left"/>
                    <w:rPr>
                      <w:i/>
                    </w:rPr>
                  </w:pPr>
                  <w:r w:rsidRPr="00FF2F14">
                    <w:rPr>
                      <w:i/>
                    </w:rPr>
                    <w:t>Additional community ambulatory mental health services</w:t>
                  </w:r>
                </w:p>
              </w:tc>
              <w:tc>
                <w:tcPr>
                  <w:tcW w:w="1723" w:type="pct"/>
                </w:tcPr>
                <w:p w14:paraId="44837F85" w14:textId="77777777" w:rsidR="000A2302" w:rsidRDefault="000A2302" w:rsidP="00D27BE6">
                  <w:pPr>
                    <w:pStyle w:val="TableBodyText"/>
                    <w:jc w:val="left"/>
                  </w:pPr>
                  <w:r w:rsidRPr="000B532B">
                    <w:t>People with a moderate mental illness (MCS score between 25 and 31) who have seen a psych</w:t>
                  </w:r>
                  <w:r>
                    <w:t>ologist in the past 12 months.</w:t>
                  </w:r>
                </w:p>
                <w:p w14:paraId="11236E69" w14:textId="1D256A48" w:rsidR="000A2302" w:rsidRDefault="000A2302" w:rsidP="006B6E7E">
                  <w:pPr>
                    <w:pStyle w:val="TableBodyText"/>
                    <w:jc w:val="left"/>
                  </w:pPr>
                  <w:r w:rsidRPr="000B532B">
                    <w:t xml:space="preserve">Assume an additional 75 000 </w:t>
                  </w:r>
                  <w:r w:rsidR="00D74233">
                    <w:t>people</w:t>
                  </w:r>
                  <w:r w:rsidR="00D74233" w:rsidRPr="000B532B">
                    <w:t xml:space="preserve"> </w:t>
                  </w:r>
                  <w:r w:rsidRPr="000B532B">
                    <w:t>will be treated each year.</w:t>
                  </w:r>
                </w:p>
              </w:tc>
              <w:tc>
                <w:tcPr>
                  <w:tcW w:w="1670" w:type="pct"/>
                  <w:shd w:val="clear" w:color="auto" w:fill="auto"/>
                </w:tcPr>
                <w:p w14:paraId="174F7356" w14:textId="7D6B234A" w:rsidR="000A2302" w:rsidRDefault="000A2302" w:rsidP="0095034B">
                  <w:pPr>
                    <w:pStyle w:val="TableBodyText"/>
                    <w:jc w:val="left"/>
                  </w:pPr>
                  <w:r w:rsidRPr="000066A6">
                    <w:t>Average change in the K10 between admission and discharge for amb</w:t>
                  </w:r>
                  <w:r w:rsidR="0095034B">
                    <w:t xml:space="preserve">ulatory services is 8.4 points </w:t>
                  </w:r>
                  <w:r w:rsidR="0095034B" w:rsidRPr="0095034B">
                    <w:rPr>
                      <w:rFonts w:cs="Arial"/>
                      <w:szCs w:val="24"/>
                    </w:rPr>
                    <w:t>(AMHOCN 2019)</w:t>
                  </w:r>
                  <w:r w:rsidRPr="000066A6">
                    <w:t>, which is approximately a 10.1 point increase in MCS.</w:t>
                  </w:r>
                </w:p>
              </w:tc>
              <w:tc>
                <w:tcPr>
                  <w:tcW w:w="377" w:type="pct"/>
                </w:tcPr>
                <w:p w14:paraId="58FF4D29" w14:textId="205C797B" w:rsidR="000A2302" w:rsidRDefault="000A2302" w:rsidP="000A2302">
                  <w:pPr>
                    <w:pStyle w:val="TableBodyText"/>
                    <w:ind w:right="28"/>
                  </w:pPr>
                  <w:r w:rsidRPr="00C469EE">
                    <w:t>14</w:t>
                  </w:r>
                  <w:r w:rsidR="005D64C3">
                    <w:t xml:space="preserve"> </w:t>
                  </w:r>
                  <w:r w:rsidRPr="00C469EE">
                    <w:t>242</w:t>
                  </w:r>
                </w:p>
              </w:tc>
              <w:tc>
                <w:tcPr>
                  <w:tcW w:w="323" w:type="pct"/>
                </w:tcPr>
                <w:p w14:paraId="55401661" w14:textId="3E37830B" w:rsidR="000A2302" w:rsidRDefault="000A2302" w:rsidP="000A2302">
                  <w:pPr>
                    <w:pStyle w:val="TableBodyText"/>
                    <w:ind w:right="28"/>
                  </w:pPr>
                  <w:r w:rsidRPr="00C469EE">
                    <w:t>1313.2</w:t>
                  </w:r>
                </w:p>
              </w:tc>
              <w:tc>
                <w:tcPr>
                  <w:tcW w:w="323" w:type="pct"/>
                  <w:shd w:val="clear" w:color="auto" w:fill="auto"/>
                </w:tcPr>
                <w:p w14:paraId="5E085EC4" w14:textId="2499A28F" w:rsidR="000A2302" w:rsidRDefault="000A2302" w:rsidP="000A2302">
                  <w:pPr>
                    <w:pStyle w:val="TableBodyText"/>
                    <w:ind w:right="28"/>
                  </w:pPr>
                  <w:r w:rsidRPr="00C469EE">
                    <w:t>11</w:t>
                  </w:r>
                  <w:r w:rsidR="005D64C3">
                    <w:t xml:space="preserve"> </w:t>
                  </w:r>
                  <w:r w:rsidRPr="00C469EE">
                    <w:t>514</w:t>
                  </w:r>
                </w:p>
              </w:tc>
            </w:tr>
            <w:tr w:rsidR="000A2302" w14:paraId="3447839E" w14:textId="77777777" w:rsidTr="00C95C34">
              <w:tc>
                <w:tcPr>
                  <w:tcW w:w="584" w:type="pct"/>
                  <w:shd w:val="clear" w:color="auto" w:fill="F2F2F2" w:themeFill="background1" w:themeFillShade="F2"/>
                </w:tcPr>
                <w:p w14:paraId="50AA5DD6" w14:textId="46A86281" w:rsidR="000A2302" w:rsidRPr="00FF2F14" w:rsidRDefault="00CE3834" w:rsidP="00D27BE6">
                  <w:pPr>
                    <w:pStyle w:val="TableBodyText"/>
                    <w:jc w:val="left"/>
                    <w:rPr>
                      <w:i/>
                    </w:rPr>
                  </w:pPr>
                  <w:r>
                    <w:rPr>
                      <w:i/>
                    </w:rPr>
                    <w:t>Additional non</w:t>
                  </w:r>
                  <w:r>
                    <w:rPr>
                      <w:i/>
                    </w:rPr>
                    <w:noBreakHyphen/>
                  </w:r>
                  <w:r w:rsidR="000A2302" w:rsidRPr="00FF2F14">
                    <w:rPr>
                      <w:i/>
                    </w:rPr>
                    <w:t>acute beds</w:t>
                  </w:r>
                </w:p>
              </w:tc>
              <w:tc>
                <w:tcPr>
                  <w:tcW w:w="1723" w:type="pct"/>
                  <w:shd w:val="clear" w:color="auto" w:fill="F2F2F2" w:themeFill="background1" w:themeFillShade="F2"/>
                </w:tcPr>
                <w:p w14:paraId="4083CC67" w14:textId="77777777" w:rsidR="000A2302" w:rsidRDefault="000A2302" w:rsidP="00D27BE6">
                  <w:pPr>
                    <w:pStyle w:val="TableBodyText"/>
                    <w:jc w:val="left"/>
                  </w:pPr>
                  <w:r w:rsidRPr="000B532B">
                    <w:t>People with a severe mental illness (MCS score between 17 and 24). This omits people with the most severe mental illness, whose needs wil</w:t>
                  </w:r>
                  <w:r>
                    <w:t>l not be met by non-acute beds.</w:t>
                  </w:r>
                </w:p>
                <w:p w14:paraId="32DEB209" w14:textId="3B30F50B" w:rsidR="000A2302" w:rsidRDefault="000A2302" w:rsidP="00D27BE6">
                  <w:pPr>
                    <w:pStyle w:val="TableBodyText"/>
                    <w:jc w:val="left"/>
                  </w:pPr>
                  <w:r w:rsidRPr="000B532B">
                    <w:t xml:space="preserve">Assume an additional 20 000 </w:t>
                  </w:r>
                  <w:r w:rsidR="00D74233">
                    <w:t>people</w:t>
                  </w:r>
                  <w:r w:rsidR="00D74233" w:rsidRPr="000B532B">
                    <w:t xml:space="preserve"> </w:t>
                  </w:r>
                  <w:r w:rsidRPr="000B532B">
                    <w:t>will be treated each year.</w:t>
                  </w:r>
                </w:p>
              </w:tc>
              <w:tc>
                <w:tcPr>
                  <w:tcW w:w="1670" w:type="pct"/>
                  <w:shd w:val="clear" w:color="auto" w:fill="F2F2F2" w:themeFill="background1" w:themeFillShade="F2"/>
                </w:tcPr>
                <w:p w14:paraId="628BF447" w14:textId="1543E4BD" w:rsidR="000A2302" w:rsidRDefault="000A2302" w:rsidP="00D27BE6">
                  <w:pPr>
                    <w:pStyle w:val="TableBodyText"/>
                    <w:jc w:val="left"/>
                  </w:pPr>
                  <w:r w:rsidRPr="000066A6">
                    <w:t>Average change in the K10 betwee</w:t>
                  </w:r>
                  <w:r>
                    <w:t>n admission and discharge for</w:t>
                  </w:r>
                  <w:r w:rsidRPr="000066A6">
                    <w:t xml:space="preserve"> resid</w:t>
                  </w:r>
                  <w:r w:rsidR="0095034B">
                    <w:t xml:space="preserve">ential treatment is 5.7 points </w:t>
                  </w:r>
                  <w:r w:rsidR="0095034B" w:rsidRPr="0095034B">
                    <w:rPr>
                      <w:rFonts w:cs="Arial"/>
                      <w:szCs w:val="24"/>
                    </w:rPr>
                    <w:t>(AMHOCN 2019)</w:t>
                  </w:r>
                  <w:r w:rsidRPr="000066A6">
                    <w:t>, which is approximately a</w:t>
                  </w:r>
                  <w:r>
                    <w:t xml:space="preserve"> 6.8 point increase in the MCS.</w:t>
                  </w:r>
                </w:p>
                <w:p w14:paraId="2460CE33" w14:textId="78AA5E12" w:rsidR="000A2302" w:rsidRDefault="000A2302" w:rsidP="00D27BE6">
                  <w:pPr>
                    <w:pStyle w:val="TableBodyText"/>
                    <w:jc w:val="left"/>
                  </w:pPr>
                  <w:r w:rsidRPr="000066A6">
                    <w:t>As many of the people benefiting from these services will already be receiving treatment (they have severe mental illness, and may be in acute care) it is assumed that the average effect is half this (a 2.85 point improvement in K10,</w:t>
                  </w:r>
                  <w:r>
                    <w:t xml:space="preserve"> or 3.4 point increase in MCS).</w:t>
                  </w:r>
                </w:p>
              </w:tc>
              <w:tc>
                <w:tcPr>
                  <w:tcW w:w="377" w:type="pct"/>
                  <w:shd w:val="clear" w:color="auto" w:fill="F2F2F2" w:themeFill="background1" w:themeFillShade="F2"/>
                </w:tcPr>
                <w:p w14:paraId="2EB708C4" w14:textId="28DCDE50" w:rsidR="000A2302" w:rsidRDefault="000A2302" w:rsidP="000A2302">
                  <w:pPr>
                    <w:pStyle w:val="TableBodyText"/>
                    <w:ind w:right="28"/>
                  </w:pPr>
                  <w:r w:rsidRPr="00C469EE">
                    <w:t>1472</w:t>
                  </w:r>
                </w:p>
              </w:tc>
              <w:tc>
                <w:tcPr>
                  <w:tcW w:w="323" w:type="pct"/>
                  <w:shd w:val="clear" w:color="auto" w:fill="F2F2F2" w:themeFill="background1" w:themeFillShade="F2"/>
                </w:tcPr>
                <w:p w14:paraId="3ED81534" w14:textId="3C49666C" w:rsidR="000A2302" w:rsidRDefault="000A2302" w:rsidP="000A2302">
                  <w:pPr>
                    <w:pStyle w:val="TableBodyText"/>
                    <w:ind w:right="28"/>
                  </w:pPr>
                  <w:r w:rsidRPr="00C469EE">
                    <w:t>125.5</w:t>
                  </w:r>
                </w:p>
              </w:tc>
              <w:tc>
                <w:tcPr>
                  <w:tcW w:w="323" w:type="pct"/>
                  <w:shd w:val="clear" w:color="auto" w:fill="F2F2F2" w:themeFill="background1" w:themeFillShade="F2"/>
                </w:tcPr>
                <w:p w14:paraId="30D34695" w14:textId="66EB2263" w:rsidR="000A2302" w:rsidRDefault="000A2302" w:rsidP="000A2302">
                  <w:pPr>
                    <w:pStyle w:val="TableBodyText"/>
                    <w:ind w:right="28"/>
                  </w:pPr>
                  <w:r w:rsidRPr="00C469EE">
                    <w:t>1052</w:t>
                  </w:r>
                </w:p>
              </w:tc>
            </w:tr>
            <w:tr w:rsidR="000A2302" w14:paraId="6AF168E0" w14:textId="77777777" w:rsidTr="00C95C34">
              <w:tc>
                <w:tcPr>
                  <w:tcW w:w="584" w:type="pct"/>
                  <w:tcBorders>
                    <w:bottom w:val="single" w:sz="4" w:space="0" w:color="BFBFBF"/>
                  </w:tcBorders>
                  <w:shd w:val="clear" w:color="auto" w:fill="auto"/>
                </w:tcPr>
                <w:p w14:paraId="369114CC" w14:textId="7DC4BB73" w:rsidR="000A2302" w:rsidRPr="00130443" w:rsidRDefault="000A2302" w:rsidP="00D27BE6">
                  <w:pPr>
                    <w:pStyle w:val="TableBodyText"/>
                    <w:jc w:val="left"/>
                    <w:rPr>
                      <w:b/>
                    </w:rPr>
                  </w:pPr>
                  <w:r w:rsidRPr="000A2302">
                    <w:rPr>
                      <w:b/>
                    </w:rPr>
                    <w:t>Improved social and emotional learning in early childhood and school education</w:t>
                  </w:r>
                </w:p>
              </w:tc>
              <w:tc>
                <w:tcPr>
                  <w:tcW w:w="1723" w:type="pct"/>
                  <w:tcBorders>
                    <w:bottom w:val="single" w:sz="4" w:space="0" w:color="BFBFBF"/>
                  </w:tcBorders>
                </w:tcPr>
                <w:p w14:paraId="76D7AC20" w14:textId="16D20E03" w:rsidR="000A2302" w:rsidRDefault="000A2302" w:rsidP="00D27BE6">
                  <w:pPr>
                    <w:pStyle w:val="TableBodyText"/>
                    <w:jc w:val="left"/>
                  </w:pPr>
                  <w:r w:rsidRPr="000B532B">
                    <w:t>Everyone who is of working age (in terms of the 2017 population, this equates to 14.6 million people). However, only 6.3 million people are expected to benefit (those with below average mental health)</w:t>
                  </w:r>
                  <w:r>
                    <w:t>.</w:t>
                  </w:r>
                </w:p>
              </w:tc>
              <w:tc>
                <w:tcPr>
                  <w:tcW w:w="1670" w:type="pct"/>
                  <w:tcBorders>
                    <w:bottom w:val="single" w:sz="4" w:space="0" w:color="BFBFBF"/>
                  </w:tcBorders>
                  <w:shd w:val="clear" w:color="auto" w:fill="auto"/>
                </w:tcPr>
                <w:p w14:paraId="4AF3358B" w14:textId="2A851F57" w:rsidR="000A2302" w:rsidRDefault="000A2302" w:rsidP="008B6DB0">
                  <w:pPr>
                    <w:pStyle w:val="TableBodyText"/>
                    <w:jc w:val="left"/>
                  </w:pPr>
                  <w:r w:rsidRPr="00140B00">
                    <w:t xml:space="preserve">0.04 SD improvement in mental health (0.4 point increase in MCS), taken from the lower bound of </w:t>
                  </w:r>
                  <w:proofErr w:type="spellStart"/>
                  <w:r w:rsidRPr="00140B00">
                    <w:t>Sklad</w:t>
                  </w:r>
                  <w:proofErr w:type="spellEnd"/>
                  <w:r w:rsidRPr="00140B00">
                    <w:t xml:space="preserve"> et al. </w:t>
                  </w:r>
                  <w:r w:rsidR="008B6DB0" w:rsidRPr="008B6DB0">
                    <w:rPr>
                      <w:rFonts w:cs="Arial"/>
                    </w:rPr>
                    <w:t>(2012)</w:t>
                  </w:r>
                  <w:r w:rsidRPr="00140B00">
                    <w:t>.</w:t>
                  </w:r>
                </w:p>
              </w:tc>
              <w:tc>
                <w:tcPr>
                  <w:tcW w:w="377" w:type="pct"/>
                  <w:tcBorders>
                    <w:bottom w:val="single" w:sz="4" w:space="0" w:color="BFBFBF"/>
                  </w:tcBorders>
                </w:tcPr>
                <w:p w14:paraId="0CAB42CA" w14:textId="534B5CB4" w:rsidR="000A2302" w:rsidRDefault="000A2302" w:rsidP="000A2302">
                  <w:pPr>
                    <w:pStyle w:val="TableBodyText"/>
                    <w:ind w:right="28"/>
                  </w:pPr>
                  <w:r w:rsidRPr="00C469EE">
                    <w:t>50</w:t>
                  </w:r>
                  <w:r w:rsidR="005D64C3">
                    <w:t xml:space="preserve"> </w:t>
                  </w:r>
                  <w:r w:rsidRPr="00C469EE">
                    <w:t>734</w:t>
                  </w:r>
                </w:p>
              </w:tc>
              <w:tc>
                <w:tcPr>
                  <w:tcW w:w="323" w:type="pct"/>
                  <w:tcBorders>
                    <w:bottom w:val="single" w:sz="4" w:space="0" w:color="BFBFBF"/>
                  </w:tcBorders>
                </w:tcPr>
                <w:p w14:paraId="212DF8C8" w14:textId="56282748" w:rsidR="000A2302" w:rsidRDefault="000A2302" w:rsidP="000A2302">
                  <w:pPr>
                    <w:pStyle w:val="TableBodyText"/>
                    <w:ind w:right="28"/>
                  </w:pPr>
                  <w:r w:rsidRPr="00C469EE">
                    <w:t>4938.1</w:t>
                  </w:r>
                </w:p>
              </w:tc>
              <w:tc>
                <w:tcPr>
                  <w:tcW w:w="323" w:type="pct"/>
                  <w:tcBorders>
                    <w:bottom w:val="single" w:sz="4" w:space="0" w:color="BFBFBF"/>
                  </w:tcBorders>
                  <w:shd w:val="clear" w:color="auto" w:fill="auto"/>
                </w:tcPr>
                <w:p w14:paraId="6F5A0151" w14:textId="7F0F60C4" w:rsidR="000A2302" w:rsidRDefault="000A2302" w:rsidP="000A2302">
                  <w:pPr>
                    <w:pStyle w:val="TableBodyText"/>
                    <w:ind w:right="28"/>
                  </w:pPr>
                  <w:r w:rsidRPr="00C469EE">
                    <w:t>37</w:t>
                  </w:r>
                  <w:r w:rsidR="005D64C3">
                    <w:t xml:space="preserve"> </w:t>
                  </w:r>
                  <w:r w:rsidRPr="00C469EE">
                    <w:t>960</w:t>
                  </w:r>
                </w:p>
              </w:tc>
            </w:tr>
          </w:tbl>
          <w:p w14:paraId="63B8C4CF" w14:textId="77777777" w:rsidR="000B532B" w:rsidRDefault="000B532B" w:rsidP="000B532B">
            <w:pPr>
              <w:pStyle w:val="Box"/>
            </w:pPr>
          </w:p>
        </w:tc>
      </w:tr>
      <w:tr w:rsidR="000B532B" w14:paraId="08EE289F" w14:textId="77777777" w:rsidTr="00F20F17">
        <w:tc>
          <w:tcPr>
            <w:tcW w:w="13444" w:type="dxa"/>
            <w:tcBorders>
              <w:top w:val="nil"/>
              <w:left w:val="nil"/>
              <w:bottom w:val="nil"/>
              <w:right w:val="nil"/>
            </w:tcBorders>
            <w:shd w:val="clear" w:color="auto" w:fill="auto"/>
          </w:tcPr>
          <w:p w14:paraId="70F52DE2" w14:textId="3BF3A978" w:rsidR="000B532B" w:rsidRPr="00057B39" w:rsidRDefault="00057B39" w:rsidP="00057B39">
            <w:pPr>
              <w:pStyle w:val="Source"/>
              <w:jc w:val="right"/>
            </w:pPr>
            <w:r w:rsidRPr="00057B39">
              <w:t>(continued next page)</w:t>
            </w:r>
          </w:p>
        </w:tc>
      </w:tr>
      <w:tr w:rsidR="000B532B" w14:paraId="12FE5C6B" w14:textId="77777777" w:rsidTr="00F20F17">
        <w:tc>
          <w:tcPr>
            <w:tcW w:w="13444" w:type="dxa"/>
            <w:tcBorders>
              <w:top w:val="nil"/>
              <w:left w:val="nil"/>
              <w:bottom w:val="single" w:sz="6" w:space="0" w:color="78A22F"/>
              <w:right w:val="nil"/>
            </w:tcBorders>
            <w:shd w:val="clear" w:color="auto" w:fill="auto"/>
          </w:tcPr>
          <w:p w14:paraId="3399166F" w14:textId="77777777" w:rsidR="000B532B" w:rsidRDefault="000B532B" w:rsidP="000B532B">
            <w:pPr>
              <w:pStyle w:val="Box"/>
              <w:spacing w:before="0" w:line="120" w:lineRule="exact"/>
            </w:pPr>
          </w:p>
        </w:tc>
      </w:tr>
      <w:tr w:rsidR="000B532B" w:rsidRPr="000863A5" w14:paraId="13F74343" w14:textId="77777777" w:rsidTr="00F20F17">
        <w:tc>
          <w:tcPr>
            <w:tcW w:w="13444" w:type="dxa"/>
            <w:tcBorders>
              <w:top w:val="single" w:sz="6" w:space="0" w:color="78A22F"/>
              <w:left w:val="nil"/>
              <w:bottom w:val="nil"/>
              <w:right w:val="nil"/>
            </w:tcBorders>
          </w:tcPr>
          <w:p w14:paraId="432C4246" w14:textId="4B31B8B7" w:rsidR="000B532B" w:rsidRPr="00626D32" w:rsidRDefault="000B532B" w:rsidP="000B532B">
            <w:pPr>
              <w:pStyle w:val="BoxSpaceBelow"/>
            </w:pPr>
          </w:p>
        </w:tc>
      </w:tr>
    </w:tbl>
    <w:p w14:paraId="680EB6EE" w14:textId="4D882CC8" w:rsidR="000011C0" w:rsidRDefault="000011C0" w:rsidP="000011C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F20F17" w14:paraId="01FA99BE" w14:textId="77777777" w:rsidTr="00017253">
        <w:tc>
          <w:tcPr>
            <w:tcW w:w="13444" w:type="dxa"/>
            <w:tcBorders>
              <w:top w:val="single" w:sz="6" w:space="0" w:color="78A22F"/>
              <w:left w:val="nil"/>
              <w:bottom w:val="nil"/>
              <w:right w:val="nil"/>
            </w:tcBorders>
            <w:shd w:val="clear" w:color="auto" w:fill="auto"/>
          </w:tcPr>
          <w:p w14:paraId="378B9C5E" w14:textId="6BA61011" w:rsidR="00F20F17" w:rsidRPr="00784A05" w:rsidRDefault="00F20F17" w:rsidP="00057B39">
            <w:pPr>
              <w:pStyle w:val="TableTitle"/>
            </w:pPr>
            <w:r>
              <w:rPr>
                <w:b w:val="0"/>
              </w:rPr>
              <w:t xml:space="preserve">Table </w:t>
            </w:r>
            <w:r w:rsidR="00FF6C79">
              <w:rPr>
                <w:b w:val="0"/>
              </w:rPr>
              <w:t>F.</w:t>
            </w:r>
            <w:r w:rsidR="005D5215">
              <w:rPr>
                <w:b w:val="0"/>
              </w:rPr>
              <w:t>3</w:t>
            </w:r>
            <w:r w:rsidR="00057B39">
              <w:rPr>
                <w:b w:val="0"/>
              </w:rPr>
              <w:t xml:space="preserve"> </w:t>
            </w:r>
            <w:r>
              <w:tab/>
            </w:r>
            <w:r w:rsidR="00057B39">
              <w:rPr>
                <w:b w:val="0"/>
                <w:sz w:val="18"/>
                <w:szCs w:val="18"/>
              </w:rPr>
              <w:t>(continued)</w:t>
            </w:r>
          </w:p>
        </w:tc>
      </w:tr>
      <w:tr w:rsidR="00F20F17" w14:paraId="3DA420F1" w14:textId="77777777" w:rsidTr="00017253">
        <w:tc>
          <w:tcPr>
            <w:tcW w:w="13444"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18"/>
              <w:gridCol w:w="4476"/>
              <w:gridCol w:w="4338"/>
              <w:gridCol w:w="979"/>
              <w:gridCol w:w="839"/>
              <w:gridCol w:w="839"/>
            </w:tblGrid>
            <w:tr w:rsidR="00F20F17" w14:paraId="348D6E48" w14:textId="77777777" w:rsidTr="00C55C66">
              <w:trPr>
                <w:tblHeader/>
              </w:trPr>
              <w:tc>
                <w:tcPr>
                  <w:tcW w:w="584" w:type="pct"/>
                  <w:tcBorders>
                    <w:top w:val="single" w:sz="6" w:space="0" w:color="BFBFBF"/>
                    <w:bottom w:val="single" w:sz="6" w:space="0" w:color="BFBFBF"/>
                  </w:tcBorders>
                  <w:shd w:val="clear" w:color="auto" w:fill="auto"/>
                  <w:tcMar>
                    <w:top w:w="28" w:type="dxa"/>
                  </w:tcMar>
                </w:tcPr>
                <w:p w14:paraId="05E8CE77" w14:textId="77777777" w:rsidR="00F20F17" w:rsidRDefault="00F20F17" w:rsidP="00C164C2">
                  <w:pPr>
                    <w:pStyle w:val="TableColumnHeading"/>
                    <w:jc w:val="left"/>
                  </w:pPr>
                </w:p>
              </w:tc>
              <w:tc>
                <w:tcPr>
                  <w:tcW w:w="1723" w:type="pct"/>
                  <w:tcBorders>
                    <w:top w:val="single" w:sz="6" w:space="0" w:color="BFBFBF"/>
                    <w:bottom w:val="single" w:sz="6" w:space="0" w:color="BFBFBF"/>
                  </w:tcBorders>
                </w:tcPr>
                <w:p w14:paraId="4F4566CD" w14:textId="77777777" w:rsidR="00F20F17" w:rsidRPr="004038C6" w:rsidRDefault="00F20F17" w:rsidP="00C164C2">
                  <w:pPr>
                    <w:pStyle w:val="TableColumnHeading"/>
                    <w:jc w:val="left"/>
                  </w:pPr>
                </w:p>
              </w:tc>
              <w:tc>
                <w:tcPr>
                  <w:tcW w:w="1670" w:type="pct"/>
                  <w:tcBorders>
                    <w:top w:val="single" w:sz="6" w:space="0" w:color="BFBFBF"/>
                    <w:bottom w:val="single" w:sz="6" w:space="0" w:color="BFBFBF"/>
                  </w:tcBorders>
                  <w:shd w:val="clear" w:color="auto" w:fill="auto"/>
                  <w:tcMar>
                    <w:top w:w="28" w:type="dxa"/>
                  </w:tcMar>
                </w:tcPr>
                <w:p w14:paraId="3485A074" w14:textId="77777777" w:rsidR="00F20F17" w:rsidRPr="004038C6" w:rsidRDefault="00F20F17" w:rsidP="00C164C2">
                  <w:pPr>
                    <w:pStyle w:val="TableColumnHeading"/>
                    <w:jc w:val="left"/>
                  </w:pPr>
                </w:p>
              </w:tc>
              <w:tc>
                <w:tcPr>
                  <w:tcW w:w="1023" w:type="pct"/>
                  <w:gridSpan w:val="3"/>
                  <w:tcBorders>
                    <w:top w:val="single" w:sz="6" w:space="0" w:color="BFBFBF"/>
                    <w:bottom w:val="single" w:sz="6" w:space="0" w:color="BFBFBF"/>
                  </w:tcBorders>
                </w:tcPr>
                <w:p w14:paraId="05695278" w14:textId="0F13380D" w:rsidR="00F20F17" w:rsidRDefault="00F20F17" w:rsidP="00C164C2">
                  <w:pPr>
                    <w:pStyle w:val="TableColumnHeading"/>
                    <w:ind w:right="28"/>
                    <w:jc w:val="center"/>
                  </w:pPr>
                  <w:r>
                    <w:t>Median estimates of extra</w:t>
                  </w:r>
                  <w:r w:rsidR="00C95C34">
                    <w:t xml:space="preserve"> </w:t>
                  </w:r>
                  <w:r w:rsidR="00407B61">
                    <w:t>…</w:t>
                  </w:r>
                </w:p>
              </w:tc>
            </w:tr>
            <w:tr w:rsidR="00F20F17" w14:paraId="041664F6" w14:textId="77777777" w:rsidTr="00C55C66">
              <w:trPr>
                <w:tblHeader/>
              </w:trPr>
              <w:tc>
                <w:tcPr>
                  <w:tcW w:w="584" w:type="pct"/>
                  <w:tcBorders>
                    <w:top w:val="single" w:sz="6" w:space="0" w:color="BFBFBF"/>
                    <w:bottom w:val="single" w:sz="6" w:space="0" w:color="BFBFBF"/>
                  </w:tcBorders>
                  <w:shd w:val="clear" w:color="auto" w:fill="auto"/>
                  <w:tcMar>
                    <w:top w:w="28" w:type="dxa"/>
                  </w:tcMar>
                </w:tcPr>
                <w:p w14:paraId="30CC8BD6" w14:textId="3BBD6CD9" w:rsidR="00F20F17" w:rsidRDefault="005D64C3" w:rsidP="00C164C2">
                  <w:pPr>
                    <w:pStyle w:val="TableColumnHeading"/>
                    <w:jc w:val="left"/>
                  </w:pPr>
                  <w:r>
                    <w:t>Reform</w:t>
                  </w:r>
                </w:p>
              </w:tc>
              <w:tc>
                <w:tcPr>
                  <w:tcW w:w="1723" w:type="pct"/>
                  <w:tcBorders>
                    <w:top w:val="single" w:sz="6" w:space="0" w:color="BFBFBF"/>
                    <w:bottom w:val="single" w:sz="6" w:space="0" w:color="BFBFBF"/>
                  </w:tcBorders>
                </w:tcPr>
                <w:p w14:paraId="321D55C1" w14:textId="7A6B76A6" w:rsidR="00F20F17" w:rsidRDefault="00F20F17" w:rsidP="00C164C2">
                  <w:pPr>
                    <w:pStyle w:val="TableColumnHeading"/>
                    <w:jc w:val="left"/>
                  </w:pPr>
                  <w:r w:rsidRPr="004038C6">
                    <w:t>Population affected</w:t>
                  </w:r>
                  <w:r w:rsidR="005D64C3">
                    <w:t xml:space="preserve"> (coverage)</w:t>
                  </w:r>
                </w:p>
              </w:tc>
              <w:tc>
                <w:tcPr>
                  <w:tcW w:w="1670" w:type="pct"/>
                  <w:tcBorders>
                    <w:top w:val="single" w:sz="6" w:space="0" w:color="BFBFBF"/>
                    <w:bottom w:val="single" w:sz="6" w:space="0" w:color="BFBFBF"/>
                  </w:tcBorders>
                  <w:shd w:val="clear" w:color="auto" w:fill="auto"/>
                  <w:tcMar>
                    <w:top w:w="28" w:type="dxa"/>
                  </w:tcMar>
                </w:tcPr>
                <w:p w14:paraId="2A6F8BC1" w14:textId="77777777" w:rsidR="00F20F17" w:rsidRDefault="00F20F17" w:rsidP="00C164C2">
                  <w:pPr>
                    <w:pStyle w:val="TableColumnHeading"/>
                    <w:jc w:val="left"/>
                  </w:pPr>
                  <w:r w:rsidRPr="004038C6">
                    <w:t>Effect size</w:t>
                  </w:r>
                </w:p>
              </w:tc>
              <w:tc>
                <w:tcPr>
                  <w:tcW w:w="377" w:type="pct"/>
                  <w:tcBorders>
                    <w:top w:val="single" w:sz="6" w:space="0" w:color="BFBFBF"/>
                    <w:bottom w:val="single" w:sz="6" w:space="0" w:color="BFBFBF"/>
                  </w:tcBorders>
                </w:tcPr>
                <w:p w14:paraId="14513F43" w14:textId="77777777" w:rsidR="00F20F17" w:rsidRDefault="00F20F17" w:rsidP="00C164C2">
                  <w:pPr>
                    <w:pStyle w:val="TableColumnHeading"/>
                    <w:ind w:right="28"/>
                  </w:pPr>
                  <w:r>
                    <w:t>Employed</w:t>
                  </w:r>
                </w:p>
              </w:tc>
              <w:tc>
                <w:tcPr>
                  <w:tcW w:w="323" w:type="pct"/>
                  <w:tcBorders>
                    <w:top w:val="single" w:sz="6" w:space="0" w:color="BFBFBF"/>
                    <w:bottom w:val="single" w:sz="6" w:space="0" w:color="BFBFBF"/>
                  </w:tcBorders>
                </w:tcPr>
                <w:p w14:paraId="0BF4A025" w14:textId="77777777" w:rsidR="00F20F17" w:rsidRDefault="00F20F17" w:rsidP="00C164C2">
                  <w:pPr>
                    <w:pStyle w:val="TableColumnHeading"/>
                    <w:ind w:right="28"/>
                  </w:pPr>
                  <w:r>
                    <w:t>Income</w:t>
                  </w:r>
                </w:p>
              </w:tc>
              <w:tc>
                <w:tcPr>
                  <w:tcW w:w="323" w:type="pct"/>
                  <w:tcBorders>
                    <w:top w:val="single" w:sz="6" w:space="0" w:color="BFBFBF"/>
                    <w:bottom w:val="single" w:sz="6" w:space="0" w:color="BFBFBF"/>
                  </w:tcBorders>
                  <w:shd w:val="clear" w:color="auto" w:fill="auto"/>
                  <w:tcMar>
                    <w:top w:w="28" w:type="dxa"/>
                  </w:tcMar>
                </w:tcPr>
                <w:p w14:paraId="42B064C3" w14:textId="77777777" w:rsidR="00F20F17" w:rsidRDefault="00F20F17" w:rsidP="00C164C2">
                  <w:pPr>
                    <w:pStyle w:val="TableColumnHeading"/>
                    <w:ind w:right="28"/>
                  </w:pPr>
                  <w:r>
                    <w:t>QALYs</w:t>
                  </w:r>
                </w:p>
              </w:tc>
            </w:tr>
            <w:tr w:rsidR="000A2302" w14:paraId="100DC273" w14:textId="77777777" w:rsidTr="001F653D">
              <w:tc>
                <w:tcPr>
                  <w:tcW w:w="584" w:type="pct"/>
                  <w:tcBorders>
                    <w:top w:val="single" w:sz="6" w:space="0" w:color="BFBFBF"/>
                  </w:tcBorders>
                  <w:shd w:val="clear" w:color="auto" w:fill="F2F2F2" w:themeFill="background1" w:themeFillShade="F2"/>
                </w:tcPr>
                <w:p w14:paraId="6A2BD5DB" w14:textId="498451D6" w:rsidR="000A2302" w:rsidRPr="00F20F17" w:rsidRDefault="000A2302" w:rsidP="000A2302">
                  <w:pPr>
                    <w:pStyle w:val="TableBodyText"/>
                    <w:jc w:val="left"/>
                    <w:rPr>
                      <w:b/>
                    </w:rPr>
                  </w:pPr>
                  <w:r w:rsidRPr="000A2302">
                    <w:rPr>
                      <w:b/>
                    </w:rPr>
                    <w:t>Improved aftercare for those who attempted suicide</w:t>
                  </w:r>
                </w:p>
              </w:tc>
              <w:tc>
                <w:tcPr>
                  <w:tcW w:w="1723" w:type="pct"/>
                  <w:tcBorders>
                    <w:top w:val="single" w:sz="6" w:space="0" w:color="BFBFBF"/>
                  </w:tcBorders>
                  <w:shd w:val="clear" w:color="auto" w:fill="F2F2F2" w:themeFill="background1" w:themeFillShade="F2"/>
                </w:tcPr>
                <w:p w14:paraId="4881BEB0" w14:textId="6CB21F04" w:rsidR="000A2302" w:rsidRDefault="000A2302" w:rsidP="000A2302">
                  <w:pPr>
                    <w:pStyle w:val="TableBodyText"/>
                    <w:jc w:val="left"/>
                  </w:pPr>
                  <w:r w:rsidRPr="00F20F17">
                    <w:t>Of those who would have completed suicide, or would be incapacitated by thei</w:t>
                  </w:r>
                  <w:r>
                    <w:t>r attempt, 1073 are prevented.</w:t>
                  </w:r>
                </w:p>
                <w:p w14:paraId="2EB81E02" w14:textId="28F30471" w:rsidR="000A2302" w:rsidRDefault="000A2302" w:rsidP="000A2302">
                  <w:pPr>
                    <w:pStyle w:val="TableBodyText"/>
                    <w:jc w:val="left"/>
                  </w:pPr>
                  <w:r w:rsidRPr="00F20F17">
                    <w:t>A second effect is included for those who would have a short absence from work due to a suicide attempt, but are not permanently incapacitated. This covers</w:t>
                  </w:r>
                  <w:r>
                    <w:t xml:space="preserve"> 5108 short absences from work.</w:t>
                  </w:r>
                </w:p>
              </w:tc>
              <w:tc>
                <w:tcPr>
                  <w:tcW w:w="1670" w:type="pct"/>
                  <w:tcBorders>
                    <w:top w:val="single" w:sz="6" w:space="0" w:color="BFBFBF"/>
                  </w:tcBorders>
                  <w:shd w:val="clear" w:color="auto" w:fill="F2F2F2" w:themeFill="background1" w:themeFillShade="F2"/>
                </w:tcPr>
                <w:p w14:paraId="51262097" w14:textId="6CC9B7F2" w:rsidR="000A2302" w:rsidRDefault="000A2302" w:rsidP="000A2302">
                  <w:pPr>
                    <w:pStyle w:val="TableBodyText"/>
                    <w:jc w:val="left"/>
                  </w:pPr>
                  <w:r w:rsidRPr="00F20F17">
                    <w:t>There were approximately 2500 deaths due to suicide</w:t>
                  </w:r>
                  <w:r w:rsidR="005B2658">
                    <w:t xml:space="preserve"> in the working age population </w:t>
                  </w:r>
                  <w:r w:rsidR="005B2658" w:rsidRPr="005B2658">
                    <w:rPr>
                      <w:rFonts w:cs="Arial"/>
                      <w:szCs w:val="24"/>
                    </w:rPr>
                    <w:t>(ABS 2019)</w:t>
                  </w:r>
                  <w:r w:rsidRPr="00F20F17">
                    <w:t xml:space="preserve"> and </w:t>
                  </w:r>
                  <w:r w:rsidR="000625D1">
                    <w:t xml:space="preserve">there </w:t>
                  </w:r>
                  <w:r w:rsidRPr="00F20F17">
                    <w:t>were 31 083 hospitalisations due t</w:t>
                  </w:r>
                  <w:r>
                    <w:t>o self-</w:t>
                  </w:r>
                  <w:r w:rsidRPr="00F20F17">
                    <w:t>harm in 2</w:t>
                  </w:r>
                  <w:r>
                    <w:t>017</w:t>
                  </w:r>
                  <w:r w:rsidR="005B2658">
                    <w:noBreakHyphen/>
                  </w:r>
                  <w:r>
                    <w:t>1</w:t>
                  </w:r>
                  <w:r w:rsidR="005B2658">
                    <w:t xml:space="preserve">8 </w:t>
                  </w:r>
                  <w:r w:rsidR="005239EC" w:rsidRPr="005239EC">
                    <w:rPr>
                      <w:rFonts w:cs="Arial"/>
                      <w:szCs w:val="24"/>
                    </w:rPr>
                    <w:t>(AIHW 2019)</w:t>
                  </w:r>
                  <w:r w:rsidR="005B2658">
                    <w:t>.</w:t>
                  </w:r>
                </w:p>
                <w:p w14:paraId="47FEF869" w14:textId="788C1038" w:rsidR="00F82354" w:rsidRDefault="00F82354" w:rsidP="000A2302">
                  <w:pPr>
                    <w:pStyle w:val="TableBodyText"/>
                    <w:jc w:val="left"/>
                  </w:pPr>
                  <w:r>
                    <w:t xml:space="preserve">Aftercare can lead to a 19.8% </w:t>
                  </w:r>
                  <w:r w:rsidRPr="00F20F17">
                    <w:t xml:space="preserve">reduction in subsequent suicide </w:t>
                  </w:r>
                  <w:r>
                    <w:t xml:space="preserve">attempts and a 1.1% </w:t>
                  </w:r>
                  <w:r w:rsidRPr="00F20F17">
                    <w:t xml:space="preserve">reduction in the suicide </w:t>
                  </w:r>
                  <w:r>
                    <w:t xml:space="preserve">rate </w:t>
                  </w:r>
                  <w:r w:rsidRPr="001E4A71">
                    <w:rPr>
                      <w:rFonts w:cs="Arial"/>
                      <w:szCs w:val="24"/>
                    </w:rPr>
                    <w:t>(</w:t>
                  </w:r>
                  <w:proofErr w:type="spellStart"/>
                  <w:r w:rsidRPr="001E4A71">
                    <w:rPr>
                      <w:rFonts w:cs="Arial"/>
                      <w:szCs w:val="24"/>
                    </w:rPr>
                    <w:t>Krysinska</w:t>
                  </w:r>
                  <w:proofErr w:type="spellEnd"/>
                  <w:r w:rsidRPr="001E4A71">
                    <w:rPr>
                      <w:rFonts w:cs="Arial"/>
                      <w:szCs w:val="24"/>
                    </w:rPr>
                    <w:t xml:space="preserve"> et al. 2016)</w:t>
                  </w:r>
                  <w:r>
                    <w:t>.</w:t>
                  </w:r>
                </w:p>
                <w:p w14:paraId="6863F855" w14:textId="59408577" w:rsidR="000A2302" w:rsidRPr="00F82354" w:rsidRDefault="00192473" w:rsidP="00192473">
                  <w:pPr>
                    <w:pStyle w:val="TableBodyText"/>
                    <w:jc w:val="left"/>
                    <w:rPr>
                      <w:rFonts w:ascii="Times New Roman" w:hAnsi="Times New Roman"/>
                      <w:sz w:val="24"/>
                      <w:szCs w:val="24"/>
                    </w:rPr>
                  </w:pPr>
                  <w:proofErr w:type="spellStart"/>
                  <w:r w:rsidRPr="00F20F17">
                    <w:t>Kinchin</w:t>
                  </w:r>
                  <w:proofErr w:type="spellEnd"/>
                  <w:r w:rsidRPr="00F20F17">
                    <w:t xml:space="preserve"> an</w:t>
                  </w:r>
                  <w:r>
                    <w:t xml:space="preserve">d Doran </w:t>
                  </w:r>
                  <w:r w:rsidRPr="001E4A71">
                    <w:rPr>
                      <w:rFonts w:cs="Arial"/>
                    </w:rPr>
                    <w:t>(2017)</w:t>
                  </w:r>
                  <w:r>
                    <w:t xml:space="preserve"> estimate that 17% </w:t>
                  </w:r>
                  <w:r w:rsidRPr="00F20F17">
                    <w:t xml:space="preserve">of </w:t>
                  </w:r>
                  <w:r>
                    <w:t>suicide attempts</w:t>
                  </w:r>
                  <w:r w:rsidRPr="00F20F17">
                    <w:t xml:space="preserve"> re</w:t>
                  </w:r>
                  <w:r>
                    <w:t xml:space="preserve">sult in full incapacity, and 83% </w:t>
                  </w:r>
                  <w:r w:rsidRPr="00F20F17">
                    <w:t>lea</w:t>
                  </w:r>
                  <w:r w:rsidR="00F82354">
                    <w:t>d to a short absence from work.</w:t>
                  </w:r>
                </w:p>
              </w:tc>
              <w:tc>
                <w:tcPr>
                  <w:tcW w:w="377" w:type="pct"/>
                  <w:tcBorders>
                    <w:top w:val="single" w:sz="6" w:space="0" w:color="BFBFBF"/>
                  </w:tcBorders>
                  <w:shd w:val="clear" w:color="auto" w:fill="F2F2F2" w:themeFill="background1" w:themeFillShade="F2"/>
                </w:tcPr>
                <w:p w14:paraId="5E3ACB44" w14:textId="778844F5" w:rsidR="000A2302" w:rsidRDefault="000A2302" w:rsidP="000A2302">
                  <w:pPr>
                    <w:pStyle w:val="TableUnitsRow"/>
                    <w:ind w:right="28"/>
                  </w:pPr>
                  <w:r w:rsidRPr="00CE309B">
                    <w:t>829</w:t>
                  </w:r>
                </w:p>
              </w:tc>
              <w:tc>
                <w:tcPr>
                  <w:tcW w:w="323" w:type="pct"/>
                  <w:tcBorders>
                    <w:top w:val="single" w:sz="6" w:space="0" w:color="BFBFBF"/>
                  </w:tcBorders>
                  <w:shd w:val="clear" w:color="auto" w:fill="F2F2F2" w:themeFill="background1" w:themeFillShade="F2"/>
                </w:tcPr>
                <w:p w14:paraId="1094C93F" w14:textId="41CA5FF8" w:rsidR="000A2302" w:rsidRDefault="000A2302" w:rsidP="000A2302">
                  <w:pPr>
                    <w:pStyle w:val="TableUnitsRow"/>
                    <w:ind w:right="28"/>
                  </w:pPr>
                  <w:r w:rsidRPr="00CE309B">
                    <w:t>54.3</w:t>
                  </w:r>
                </w:p>
              </w:tc>
              <w:tc>
                <w:tcPr>
                  <w:tcW w:w="323" w:type="pct"/>
                  <w:tcBorders>
                    <w:top w:val="single" w:sz="6" w:space="0" w:color="BFBFBF"/>
                  </w:tcBorders>
                  <w:shd w:val="clear" w:color="auto" w:fill="F2F2F2" w:themeFill="background1" w:themeFillShade="F2"/>
                </w:tcPr>
                <w:p w14:paraId="36F92BB0" w14:textId="0BD07567" w:rsidR="000A2302" w:rsidRDefault="000A2302" w:rsidP="000A2302">
                  <w:pPr>
                    <w:pStyle w:val="TableUnitsRow"/>
                    <w:ind w:right="28"/>
                  </w:pPr>
                  <w:r w:rsidRPr="00CE309B">
                    <w:t>696</w:t>
                  </w:r>
                </w:p>
              </w:tc>
            </w:tr>
            <w:tr w:rsidR="000A2302" w14:paraId="1EBD7BF9" w14:textId="77777777" w:rsidTr="00C55C66">
              <w:tc>
                <w:tcPr>
                  <w:tcW w:w="584" w:type="pct"/>
                </w:tcPr>
                <w:p w14:paraId="7AE98280" w14:textId="4DA30955" w:rsidR="000A2302" w:rsidRPr="00F20F17" w:rsidRDefault="000A2302" w:rsidP="000A2302">
                  <w:pPr>
                    <w:pStyle w:val="TableBodyText"/>
                    <w:jc w:val="left"/>
                    <w:rPr>
                      <w:b/>
                    </w:rPr>
                  </w:pPr>
                  <w:r w:rsidRPr="000A2302">
                    <w:rPr>
                      <w:b/>
                    </w:rPr>
                    <w:t>Changes to workers compensation for mental health related claims</w:t>
                  </w:r>
                </w:p>
              </w:tc>
              <w:tc>
                <w:tcPr>
                  <w:tcW w:w="1723" w:type="pct"/>
                </w:tcPr>
                <w:p w14:paraId="20FD9324" w14:textId="1ED40548" w:rsidR="000A2302" w:rsidRDefault="000A2302" w:rsidP="009D52C2">
                  <w:pPr>
                    <w:pStyle w:val="TableBodyText"/>
                    <w:jc w:val="left"/>
                  </w:pPr>
                  <w:r w:rsidRPr="00F20F17">
                    <w:t xml:space="preserve">Between 11 000 and 13 000 people return to work earlier than otherwise. This includes the 7200 people who have mental health-related claims for workers compensation. </w:t>
                  </w:r>
                  <w:r w:rsidR="009D52C2">
                    <w:t>Because</w:t>
                  </w:r>
                  <w:r w:rsidRPr="00F20F17">
                    <w:t xml:space="preserve"> these claims are related to mental health, </w:t>
                  </w:r>
                  <w:r w:rsidR="00D74233">
                    <w:t xml:space="preserve">it is </w:t>
                  </w:r>
                  <w:r w:rsidRPr="00F20F17">
                    <w:t>assume</w:t>
                  </w:r>
                  <w:r w:rsidR="00D74233">
                    <w:t>d</w:t>
                  </w:r>
                  <w:r w:rsidRPr="00F20F17">
                    <w:t xml:space="preserve"> that the group have an MCS score below 40.</w:t>
                  </w:r>
                </w:p>
              </w:tc>
              <w:tc>
                <w:tcPr>
                  <w:tcW w:w="1670" w:type="pct"/>
                </w:tcPr>
                <w:p w14:paraId="3B028626" w14:textId="5BEE20B4" w:rsidR="000A2302" w:rsidRDefault="000A2302" w:rsidP="000A2302">
                  <w:pPr>
                    <w:pStyle w:val="TableBodyText"/>
                    <w:jc w:val="left"/>
                  </w:pPr>
                  <w:r w:rsidRPr="00F20F17">
                    <w:t>Time spent reliant on workers compensation is halved for people making a mental health claim.</w:t>
                  </w:r>
                </w:p>
              </w:tc>
              <w:tc>
                <w:tcPr>
                  <w:tcW w:w="377" w:type="pct"/>
                </w:tcPr>
                <w:p w14:paraId="6AE130E0" w14:textId="223AFC11" w:rsidR="000A2302" w:rsidRDefault="00C2695F" w:rsidP="000A2302">
                  <w:pPr>
                    <w:pStyle w:val="TableBodyText"/>
                    <w:ind w:right="28"/>
                  </w:pPr>
                  <w:r>
                    <w:t>..</w:t>
                  </w:r>
                </w:p>
              </w:tc>
              <w:tc>
                <w:tcPr>
                  <w:tcW w:w="323" w:type="pct"/>
                </w:tcPr>
                <w:p w14:paraId="5C1CEFBE" w14:textId="5734AEC2" w:rsidR="000A2302" w:rsidRDefault="000A2302" w:rsidP="000A2302">
                  <w:pPr>
                    <w:pStyle w:val="TableBodyText"/>
                    <w:ind w:right="28"/>
                  </w:pPr>
                  <w:r w:rsidRPr="00CE309B">
                    <w:t>121.3</w:t>
                  </w:r>
                </w:p>
              </w:tc>
              <w:tc>
                <w:tcPr>
                  <w:tcW w:w="323" w:type="pct"/>
                </w:tcPr>
                <w:p w14:paraId="5D263B4A" w14:textId="1535EEA6" w:rsidR="000A2302" w:rsidRDefault="00C2695F" w:rsidP="000A2302">
                  <w:pPr>
                    <w:pStyle w:val="TableBodyText"/>
                    <w:ind w:right="28"/>
                  </w:pPr>
                  <w:r>
                    <w:t>..</w:t>
                  </w:r>
                </w:p>
              </w:tc>
            </w:tr>
            <w:tr w:rsidR="000A2302" w14:paraId="1B0779A2" w14:textId="77777777" w:rsidTr="00C95C34">
              <w:tc>
                <w:tcPr>
                  <w:tcW w:w="584" w:type="pct"/>
                  <w:shd w:val="clear" w:color="auto" w:fill="F2F2F2" w:themeFill="background1" w:themeFillShade="F2"/>
                </w:tcPr>
                <w:p w14:paraId="6649BD1F" w14:textId="706193F5" w:rsidR="000A2302" w:rsidRPr="00F20F17" w:rsidRDefault="000A2302" w:rsidP="000A2302">
                  <w:pPr>
                    <w:pStyle w:val="TableBodyText"/>
                    <w:jc w:val="left"/>
                    <w:rPr>
                      <w:b/>
                    </w:rPr>
                  </w:pPr>
                  <w:r w:rsidRPr="000A2302">
                    <w:rPr>
                      <w:b/>
                    </w:rPr>
                    <w:t>Expanded Individual Placement Support program</w:t>
                  </w:r>
                </w:p>
              </w:tc>
              <w:tc>
                <w:tcPr>
                  <w:tcW w:w="1723" w:type="pct"/>
                  <w:shd w:val="clear" w:color="auto" w:fill="F2F2F2" w:themeFill="background1" w:themeFillShade="F2"/>
                </w:tcPr>
                <w:p w14:paraId="4F85BEA8" w14:textId="28C6B024" w:rsidR="000A2302" w:rsidRDefault="00D74233" w:rsidP="000A2302">
                  <w:pPr>
                    <w:pStyle w:val="TableBodyText"/>
                    <w:jc w:val="left"/>
                  </w:pPr>
                  <w:r>
                    <w:t>A</w:t>
                  </w:r>
                  <w:r w:rsidR="000A2302" w:rsidRPr="00F20F17">
                    <w:t xml:space="preserve">n </w:t>
                  </w:r>
                  <w:r w:rsidR="005B2658">
                    <w:t>individual placement support</w:t>
                  </w:r>
                  <w:r w:rsidR="000A2302" w:rsidRPr="00F20F17">
                    <w:t xml:space="preserve"> rollout could be of the order of 50 000 people with severe mental illness (an MCS score between 17 and 24).</w:t>
                  </w:r>
                </w:p>
              </w:tc>
              <w:tc>
                <w:tcPr>
                  <w:tcW w:w="1670" w:type="pct"/>
                  <w:shd w:val="clear" w:color="auto" w:fill="F2F2F2" w:themeFill="background1" w:themeFillShade="F2"/>
                </w:tcPr>
                <w:p w14:paraId="58F00DD8" w14:textId="58247DA0" w:rsidR="000A2302" w:rsidRDefault="000A2302" w:rsidP="001E4A71">
                  <w:pPr>
                    <w:pStyle w:val="TableBodyText"/>
                    <w:jc w:val="left"/>
                  </w:pPr>
                  <w:r w:rsidRPr="00F20F17">
                    <w:t xml:space="preserve">One-third of those who receive IPS are assumed to work </w:t>
                  </w:r>
                  <w:r w:rsidR="00D6741B">
                    <w:t xml:space="preserve">part-time for </w:t>
                  </w:r>
                  <w:r w:rsidRPr="00F20F17">
                    <w:t xml:space="preserve">five hours per week </w:t>
                  </w:r>
                  <w:r w:rsidR="001E4A71" w:rsidRPr="001E4A71">
                    <w:rPr>
                      <w:rFonts w:cs="Arial"/>
                      <w:szCs w:val="24"/>
                    </w:rPr>
                    <w:t xml:space="preserve">(Latimer, </w:t>
                  </w:r>
                  <w:proofErr w:type="spellStart"/>
                  <w:r w:rsidR="001E4A71" w:rsidRPr="001E4A71">
                    <w:rPr>
                      <w:rFonts w:cs="Arial"/>
                      <w:szCs w:val="24"/>
                    </w:rPr>
                    <w:t>Xie</w:t>
                  </w:r>
                  <w:proofErr w:type="spellEnd"/>
                  <w:r w:rsidR="001E4A71" w:rsidRPr="001E4A71">
                    <w:rPr>
                      <w:rFonts w:cs="Arial"/>
                      <w:szCs w:val="24"/>
                    </w:rPr>
                    <w:t xml:space="preserve"> and </w:t>
                  </w:r>
                  <w:proofErr w:type="spellStart"/>
                  <w:r w:rsidR="001E4A71" w:rsidRPr="001E4A71">
                    <w:rPr>
                      <w:rFonts w:cs="Arial"/>
                      <w:szCs w:val="24"/>
                    </w:rPr>
                    <w:t>Lecomte</w:t>
                  </w:r>
                  <w:proofErr w:type="spellEnd"/>
                  <w:r w:rsidR="001E4A71" w:rsidRPr="001E4A71">
                    <w:rPr>
                      <w:rFonts w:cs="Arial"/>
                      <w:szCs w:val="24"/>
                    </w:rPr>
                    <w:t> 2006)</w:t>
                  </w:r>
                  <w:r w:rsidR="001E4A71">
                    <w:t>.</w:t>
                  </w:r>
                </w:p>
              </w:tc>
              <w:tc>
                <w:tcPr>
                  <w:tcW w:w="377" w:type="pct"/>
                  <w:shd w:val="clear" w:color="auto" w:fill="F2F2F2" w:themeFill="background1" w:themeFillShade="F2"/>
                </w:tcPr>
                <w:p w14:paraId="0C4FF701" w14:textId="1B21271D" w:rsidR="000A2302" w:rsidRDefault="000A2302" w:rsidP="000A2302">
                  <w:pPr>
                    <w:pStyle w:val="TableBodyText"/>
                    <w:ind w:right="28"/>
                  </w:pPr>
                  <w:r w:rsidRPr="00CE309B">
                    <w:t>550</w:t>
                  </w:r>
                </w:p>
              </w:tc>
              <w:tc>
                <w:tcPr>
                  <w:tcW w:w="323" w:type="pct"/>
                  <w:shd w:val="clear" w:color="auto" w:fill="F2F2F2" w:themeFill="background1" w:themeFillShade="F2"/>
                </w:tcPr>
                <w:p w14:paraId="72C3AB8A" w14:textId="61E646D2" w:rsidR="000A2302" w:rsidRDefault="000A2302" w:rsidP="000A2302">
                  <w:pPr>
                    <w:pStyle w:val="TableBodyText"/>
                    <w:ind w:right="28"/>
                  </w:pPr>
                  <w:r w:rsidRPr="00CE309B">
                    <w:t>3.1</w:t>
                  </w:r>
                </w:p>
              </w:tc>
              <w:tc>
                <w:tcPr>
                  <w:tcW w:w="323" w:type="pct"/>
                  <w:shd w:val="clear" w:color="auto" w:fill="F2F2F2" w:themeFill="background1" w:themeFillShade="F2"/>
                </w:tcPr>
                <w:p w14:paraId="5798C697" w14:textId="5A27C9A9" w:rsidR="000A2302" w:rsidRDefault="00C2695F" w:rsidP="000A2302">
                  <w:pPr>
                    <w:pStyle w:val="TableBodyText"/>
                    <w:ind w:right="28"/>
                  </w:pPr>
                  <w:r>
                    <w:t>..</w:t>
                  </w:r>
                </w:p>
              </w:tc>
            </w:tr>
            <w:tr w:rsidR="000A2302" w14:paraId="26E32CD9" w14:textId="77777777" w:rsidTr="00C95C34">
              <w:tc>
                <w:tcPr>
                  <w:tcW w:w="584" w:type="pct"/>
                  <w:tcBorders>
                    <w:bottom w:val="single" w:sz="4" w:space="0" w:color="BFBFBF"/>
                  </w:tcBorders>
                  <w:shd w:val="clear" w:color="auto" w:fill="auto"/>
                </w:tcPr>
                <w:p w14:paraId="08D1E91D" w14:textId="3C17950F" w:rsidR="000A2302" w:rsidRPr="00F20F17" w:rsidRDefault="000A2302" w:rsidP="000A2302">
                  <w:pPr>
                    <w:pStyle w:val="TableBodyText"/>
                    <w:jc w:val="left"/>
                    <w:rPr>
                      <w:b/>
                    </w:rPr>
                  </w:pPr>
                  <w:r w:rsidRPr="000A2302">
                    <w:rPr>
                      <w:b/>
                    </w:rPr>
                    <w:t>Additional Youth Individual Placement Support places</w:t>
                  </w:r>
                </w:p>
              </w:tc>
              <w:tc>
                <w:tcPr>
                  <w:tcW w:w="1723" w:type="pct"/>
                  <w:tcBorders>
                    <w:bottom w:val="single" w:sz="4" w:space="0" w:color="BFBFBF"/>
                  </w:tcBorders>
                </w:tcPr>
                <w:p w14:paraId="333224E7" w14:textId="36FEAFCE" w:rsidR="000A2302" w:rsidRDefault="000A2302" w:rsidP="000A2302">
                  <w:pPr>
                    <w:pStyle w:val="TableBodyText"/>
                    <w:jc w:val="left"/>
                  </w:pPr>
                  <w:r w:rsidRPr="00F20F17">
                    <w:t>1000 people aged 21 to 25 who are not in education, employment</w:t>
                  </w:r>
                  <w:r w:rsidR="00284E83">
                    <w:t>,</w:t>
                  </w:r>
                  <w:r w:rsidRPr="00F20F17">
                    <w:t xml:space="preserve"> or training </w:t>
                  </w:r>
                  <w:r>
                    <w:t>who have an MCS score below 40.</w:t>
                  </w:r>
                </w:p>
              </w:tc>
              <w:tc>
                <w:tcPr>
                  <w:tcW w:w="1670" w:type="pct"/>
                  <w:tcBorders>
                    <w:bottom w:val="single" w:sz="4" w:space="0" w:color="BFBFBF"/>
                  </w:tcBorders>
                  <w:shd w:val="clear" w:color="auto" w:fill="auto"/>
                </w:tcPr>
                <w:p w14:paraId="19636A65" w14:textId="76C85DC5" w:rsidR="000A2302" w:rsidRDefault="008E6317" w:rsidP="00D6741B">
                  <w:pPr>
                    <w:pStyle w:val="TableBodyText"/>
                    <w:jc w:val="left"/>
                  </w:pPr>
                  <w:r>
                    <w:t>About</w:t>
                  </w:r>
                  <w:r w:rsidR="000A2302" w:rsidRPr="00F20F17">
                    <w:t xml:space="preserve"> 20% of these people are placed into education or training, and 55% are placed into employment. Of those entering employment, all are expected to work part-time</w:t>
                  </w:r>
                  <w:r w:rsidR="00D6741B">
                    <w:t xml:space="preserve"> for</w:t>
                  </w:r>
                  <w:r w:rsidR="000A2302" w:rsidRPr="00F20F17">
                    <w:t xml:space="preserve"> five hours per week </w:t>
                  </w:r>
                  <w:r w:rsidR="00D6741B" w:rsidRPr="001E4A71">
                    <w:rPr>
                      <w:rFonts w:cs="Arial"/>
                      <w:szCs w:val="24"/>
                    </w:rPr>
                    <w:t xml:space="preserve">(Latimer, </w:t>
                  </w:r>
                  <w:proofErr w:type="spellStart"/>
                  <w:r w:rsidR="00D6741B" w:rsidRPr="001E4A71">
                    <w:rPr>
                      <w:rFonts w:cs="Arial"/>
                      <w:szCs w:val="24"/>
                    </w:rPr>
                    <w:t>Xie</w:t>
                  </w:r>
                  <w:proofErr w:type="spellEnd"/>
                  <w:r w:rsidR="00D6741B" w:rsidRPr="001E4A71">
                    <w:rPr>
                      <w:rFonts w:cs="Arial"/>
                      <w:szCs w:val="24"/>
                    </w:rPr>
                    <w:t xml:space="preserve"> and </w:t>
                  </w:r>
                  <w:proofErr w:type="spellStart"/>
                  <w:r w:rsidR="00D6741B" w:rsidRPr="001E4A71">
                    <w:rPr>
                      <w:rFonts w:cs="Arial"/>
                      <w:szCs w:val="24"/>
                    </w:rPr>
                    <w:t>Lecomte</w:t>
                  </w:r>
                  <w:proofErr w:type="spellEnd"/>
                  <w:r w:rsidR="00D6741B" w:rsidRPr="001E4A71">
                    <w:rPr>
                      <w:rFonts w:cs="Arial"/>
                      <w:szCs w:val="24"/>
                    </w:rPr>
                    <w:t> 2006)</w:t>
                  </w:r>
                  <w:r w:rsidR="00714CA0">
                    <w:t>.</w:t>
                  </w:r>
                </w:p>
              </w:tc>
              <w:tc>
                <w:tcPr>
                  <w:tcW w:w="377" w:type="pct"/>
                  <w:tcBorders>
                    <w:bottom w:val="single" w:sz="4" w:space="0" w:color="BFBFBF"/>
                  </w:tcBorders>
                </w:tcPr>
                <w:p w14:paraId="15F55852" w14:textId="26C531E9" w:rsidR="000A2302" w:rsidRDefault="000A2302" w:rsidP="000A2302">
                  <w:pPr>
                    <w:pStyle w:val="TableBodyText"/>
                    <w:ind w:right="28"/>
                  </w:pPr>
                  <w:r w:rsidRPr="00CE309B">
                    <w:t>16</w:t>
                  </w:r>
                  <w:r w:rsidR="005D64C3">
                    <w:t xml:space="preserve"> </w:t>
                  </w:r>
                  <w:r w:rsidRPr="00CE309B">
                    <w:t>667</w:t>
                  </w:r>
                </w:p>
              </w:tc>
              <w:tc>
                <w:tcPr>
                  <w:tcW w:w="323" w:type="pct"/>
                  <w:tcBorders>
                    <w:bottom w:val="single" w:sz="4" w:space="0" w:color="BFBFBF"/>
                  </w:tcBorders>
                </w:tcPr>
                <w:p w14:paraId="0049FB0A" w14:textId="28793C29" w:rsidR="000A2302" w:rsidRDefault="000A2302" w:rsidP="000A2302">
                  <w:pPr>
                    <w:pStyle w:val="TableBodyText"/>
                    <w:ind w:right="28"/>
                  </w:pPr>
                  <w:r w:rsidRPr="00CE309B">
                    <w:t>106.4</w:t>
                  </w:r>
                </w:p>
              </w:tc>
              <w:tc>
                <w:tcPr>
                  <w:tcW w:w="323" w:type="pct"/>
                  <w:tcBorders>
                    <w:bottom w:val="single" w:sz="4" w:space="0" w:color="BFBFBF"/>
                  </w:tcBorders>
                  <w:shd w:val="clear" w:color="auto" w:fill="auto"/>
                </w:tcPr>
                <w:p w14:paraId="3130596B" w14:textId="0E3CB4C5" w:rsidR="000A2302" w:rsidRDefault="00C2695F" w:rsidP="000A2302">
                  <w:pPr>
                    <w:pStyle w:val="TableBodyText"/>
                    <w:ind w:right="28"/>
                  </w:pPr>
                  <w:r>
                    <w:t>..</w:t>
                  </w:r>
                </w:p>
              </w:tc>
            </w:tr>
          </w:tbl>
          <w:p w14:paraId="015BE671" w14:textId="77777777" w:rsidR="00F20F17" w:rsidRDefault="00F20F17" w:rsidP="00C164C2">
            <w:pPr>
              <w:pStyle w:val="Box"/>
            </w:pPr>
          </w:p>
        </w:tc>
      </w:tr>
      <w:tr w:rsidR="00F20F17" w14:paraId="04AC8A70" w14:textId="77777777" w:rsidTr="00017253">
        <w:tc>
          <w:tcPr>
            <w:tcW w:w="13444" w:type="dxa"/>
            <w:tcBorders>
              <w:top w:val="nil"/>
              <w:left w:val="nil"/>
              <w:bottom w:val="nil"/>
              <w:right w:val="nil"/>
            </w:tcBorders>
            <w:shd w:val="clear" w:color="auto" w:fill="auto"/>
          </w:tcPr>
          <w:p w14:paraId="77474846" w14:textId="0468647A" w:rsidR="00F20F17" w:rsidRDefault="00057B39" w:rsidP="00057B39">
            <w:pPr>
              <w:pStyle w:val="Source"/>
              <w:jc w:val="right"/>
            </w:pPr>
            <w:r w:rsidRPr="00057B39">
              <w:t>(continued next page)</w:t>
            </w:r>
          </w:p>
        </w:tc>
      </w:tr>
      <w:tr w:rsidR="00F20F17" w14:paraId="57B10CC2" w14:textId="77777777" w:rsidTr="00017253">
        <w:tc>
          <w:tcPr>
            <w:tcW w:w="13444" w:type="dxa"/>
            <w:tcBorders>
              <w:top w:val="nil"/>
              <w:left w:val="nil"/>
              <w:bottom w:val="single" w:sz="6" w:space="0" w:color="78A22F"/>
              <w:right w:val="nil"/>
            </w:tcBorders>
            <w:shd w:val="clear" w:color="auto" w:fill="auto"/>
          </w:tcPr>
          <w:p w14:paraId="6A479877" w14:textId="77777777" w:rsidR="00F20F17" w:rsidRDefault="00F20F17" w:rsidP="00C164C2">
            <w:pPr>
              <w:pStyle w:val="Box"/>
              <w:spacing w:before="0" w:line="120" w:lineRule="exact"/>
            </w:pPr>
          </w:p>
        </w:tc>
      </w:tr>
      <w:tr w:rsidR="00F20F17" w:rsidRPr="000863A5" w14:paraId="371A5303" w14:textId="77777777" w:rsidTr="00017253">
        <w:tc>
          <w:tcPr>
            <w:tcW w:w="13444" w:type="dxa"/>
            <w:tcBorders>
              <w:top w:val="single" w:sz="6" w:space="0" w:color="78A22F"/>
              <w:left w:val="nil"/>
              <w:bottom w:val="nil"/>
              <w:right w:val="nil"/>
            </w:tcBorders>
          </w:tcPr>
          <w:p w14:paraId="3E434E29" w14:textId="7C2AC87F" w:rsidR="00F20F17" w:rsidRPr="00626D32" w:rsidRDefault="00F20F17" w:rsidP="00C164C2">
            <w:pPr>
              <w:pStyle w:val="BoxSpaceBelow"/>
            </w:pPr>
          </w:p>
        </w:tc>
      </w:tr>
    </w:tbl>
    <w:p w14:paraId="009E4B12" w14:textId="105ABA28" w:rsidR="00F20F17" w:rsidRDefault="00F20F17" w:rsidP="00F20F1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273"/>
      </w:tblGrid>
      <w:tr w:rsidR="00F20F17" w14:paraId="32401CA7" w14:textId="77777777" w:rsidTr="00017253">
        <w:tc>
          <w:tcPr>
            <w:tcW w:w="13444" w:type="dxa"/>
            <w:tcBorders>
              <w:top w:val="single" w:sz="6" w:space="0" w:color="78A22F"/>
              <w:left w:val="nil"/>
              <w:bottom w:val="nil"/>
              <w:right w:val="nil"/>
            </w:tcBorders>
            <w:shd w:val="clear" w:color="auto" w:fill="auto"/>
          </w:tcPr>
          <w:p w14:paraId="06F2F8D1" w14:textId="4906A9A2" w:rsidR="00F20F17" w:rsidRPr="00784A05" w:rsidRDefault="00F20F17" w:rsidP="00057B39">
            <w:pPr>
              <w:pStyle w:val="TableTitle"/>
            </w:pPr>
            <w:r>
              <w:rPr>
                <w:b w:val="0"/>
              </w:rPr>
              <w:t>Table</w:t>
            </w:r>
            <w:r w:rsidR="000C0938">
              <w:rPr>
                <w:b w:val="0"/>
              </w:rPr>
              <w:t xml:space="preserve"> F.</w:t>
            </w:r>
            <w:r w:rsidR="005D5215">
              <w:rPr>
                <w:b w:val="0"/>
              </w:rPr>
              <w:t>3</w:t>
            </w:r>
            <w:r>
              <w:tab/>
            </w:r>
            <w:r w:rsidR="00057B39">
              <w:rPr>
                <w:b w:val="0"/>
                <w:sz w:val="18"/>
                <w:szCs w:val="18"/>
              </w:rPr>
              <w:t>(continued)</w:t>
            </w:r>
          </w:p>
        </w:tc>
      </w:tr>
      <w:tr w:rsidR="00F20F17" w14:paraId="5967197D" w14:textId="77777777" w:rsidTr="00017253">
        <w:tc>
          <w:tcPr>
            <w:tcW w:w="13444"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17"/>
              <w:gridCol w:w="4476"/>
              <w:gridCol w:w="4338"/>
              <w:gridCol w:w="839"/>
              <w:gridCol w:w="1120"/>
              <w:gridCol w:w="699"/>
            </w:tblGrid>
            <w:tr w:rsidR="00F20F17" w14:paraId="4752344C" w14:textId="77777777" w:rsidTr="00C55C66">
              <w:trPr>
                <w:tblHeader/>
              </w:trPr>
              <w:tc>
                <w:tcPr>
                  <w:tcW w:w="584" w:type="pct"/>
                  <w:tcBorders>
                    <w:top w:val="single" w:sz="6" w:space="0" w:color="BFBFBF"/>
                    <w:bottom w:val="single" w:sz="6" w:space="0" w:color="BFBFBF"/>
                  </w:tcBorders>
                  <w:shd w:val="clear" w:color="auto" w:fill="auto"/>
                  <w:tcMar>
                    <w:top w:w="28" w:type="dxa"/>
                  </w:tcMar>
                </w:tcPr>
                <w:p w14:paraId="60980B62" w14:textId="77777777" w:rsidR="00F20F17" w:rsidRDefault="00F20F17" w:rsidP="00C164C2">
                  <w:pPr>
                    <w:pStyle w:val="TableColumnHeading"/>
                    <w:jc w:val="left"/>
                  </w:pPr>
                </w:p>
              </w:tc>
              <w:tc>
                <w:tcPr>
                  <w:tcW w:w="1723" w:type="pct"/>
                  <w:tcBorders>
                    <w:top w:val="single" w:sz="6" w:space="0" w:color="BFBFBF"/>
                    <w:bottom w:val="single" w:sz="6" w:space="0" w:color="BFBFBF"/>
                  </w:tcBorders>
                </w:tcPr>
                <w:p w14:paraId="43F98AD7" w14:textId="77777777" w:rsidR="00F20F17" w:rsidRPr="004038C6" w:rsidRDefault="00F20F17" w:rsidP="00C164C2">
                  <w:pPr>
                    <w:pStyle w:val="TableColumnHeading"/>
                    <w:jc w:val="left"/>
                  </w:pPr>
                </w:p>
              </w:tc>
              <w:tc>
                <w:tcPr>
                  <w:tcW w:w="1670" w:type="pct"/>
                  <w:tcBorders>
                    <w:top w:val="single" w:sz="6" w:space="0" w:color="BFBFBF"/>
                    <w:bottom w:val="single" w:sz="6" w:space="0" w:color="BFBFBF"/>
                  </w:tcBorders>
                  <w:shd w:val="clear" w:color="auto" w:fill="auto"/>
                  <w:tcMar>
                    <w:top w:w="28" w:type="dxa"/>
                  </w:tcMar>
                </w:tcPr>
                <w:p w14:paraId="57502495" w14:textId="77777777" w:rsidR="00F20F17" w:rsidRPr="004038C6" w:rsidRDefault="00F20F17" w:rsidP="00C164C2">
                  <w:pPr>
                    <w:pStyle w:val="TableColumnHeading"/>
                    <w:jc w:val="left"/>
                  </w:pPr>
                </w:p>
              </w:tc>
              <w:tc>
                <w:tcPr>
                  <w:tcW w:w="1023" w:type="pct"/>
                  <w:gridSpan w:val="3"/>
                  <w:tcBorders>
                    <w:top w:val="single" w:sz="6" w:space="0" w:color="BFBFBF"/>
                    <w:bottom w:val="single" w:sz="6" w:space="0" w:color="BFBFBF"/>
                  </w:tcBorders>
                </w:tcPr>
                <w:p w14:paraId="38985719" w14:textId="3AD6E699" w:rsidR="00F20F17" w:rsidRDefault="00F20F17" w:rsidP="00C164C2">
                  <w:pPr>
                    <w:pStyle w:val="TableColumnHeading"/>
                    <w:ind w:right="28"/>
                    <w:jc w:val="center"/>
                  </w:pPr>
                  <w:r>
                    <w:t>Median estimates of extra</w:t>
                  </w:r>
                  <w:r w:rsidR="00C95C34">
                    <w:t xml:space="preserve"> </w:t>
                  </w:r>
                  <w:r w:rsidR="00407B61">
                    <w:t>…</w:t>
                  </w:r>
                </w:p>
              </w:tc>
            </w:tr>
            <w:tr w:rsidR="00F20F17" w14:paraId="4B02A461" w14:textId="77777777" w:rsidTr="00C55C66">
              <w:trPr>
                <w:tblHeader/>
              </w:trPr>
              <w:tc>
                <w:tcPr>
                  <w:tcW w:w="584" w:type="pct"/>
                  <w:tcBorders>
                    <w:top w:val="single" w:sz="6" w:space="0" w:color="BFBFBF"/>
                    <w:bottom w:val="single" w:sz="6" w:space="0" w:color="BFBFBF"/>
                  </w:tcBorders>
                  <w:shd w:val="clear" w:color="auto" w:fill="auto"/>
                  <w:tcMar>
                    <w:top w:w="28" w:type="dxa"/>
                  </w:tcMar>
                </w:tcPr>
                <w:p w14:paraId="37AD15C3" w14:textId="6237D3C6" w:rsidR="00F20F17" w:rsidRDefault="005D64C3" w:rsidP="00C164C2">
                  <w:pPr>
                    <w:pStyle w:val="TableColumnHeading"/>
                    <w:jc w:val="left"/>
                  </w:pPr>
                  <w:r>
                    <w:t>Reform</w:t>
                  </w:r>
                </w:p>
              </w:tc>
              <w:tc>
                <w:tcPr>
                  <w:tcW w:w="1723" w:type="pct"/>
                  <w:tcBorders>
                    <w:top w:val="single" w:sz="6" w:space="0" w:color="BFBFBF"/>
                    <w:bottom w:val="single" w:sz="6" w:space="0" w:color="BFBFBF"/>
                  </w:tcBorders>
                </w:tcPr>
                <w:p w14:paraId="06289EA1" w14:textId="65DA6608" w:rsidR="00F20F17" w:rsidRDefault="00F20F17" w:rsidP="00C164C2">
                  <w:pPr>
                    <w:pStyle w:val="TableColumnHeading"/>
                    <w:jc w:val="left"/>
                  </w:pPr>
                  <w:r w:rsidRPr="004038C6">
                    <w:t>Population affected</w:t>
                  </w:r>
                  <w:r w:rsidR="005D64C3">
                    <w:t xml:space="preserve"> (coverage)</w:t>
                  </w:r>
                </w:p>
              </w:tc>
              <w:tc>
                <w:tcPr>
                  <w:tcW w:w="1670" w:type="pct"/>
                  <w:tcBorders>
                    <w:top w:val="single" w:sz="6" w:space="0" w:color="BFBFBF"/>
                    <w:bottom w:val="single" w:sz="6" w:space="0" w:color="BFBFBF"/>
                  </w:tcBorders>
                  <w:shd w:val="clear" w:color="auto" w:fill="auto"/>
                  <w:tcMar>
                    <w:top w:w="28" w:type="dxa"/>
                  </w:tcMar>
                </w:tcPr>
                <w:p w14:paraId="5F5A3039" w14:textId="77777777" w:rsidR="00F20F17" w:rsidRDefault="00F20F17" w:rsidP="00C164C2">
                  <w:pPr>
                    <w:pStyle w:val="TableColumnHeading"/>
                    <w:jc w:val="left"/>
                  </w:pPr>
                  <w:r w:rsidRPr="004038C6">
                    <w:t>Effect size</w:t>
                  </w:r>
                </w:p>
              </w:tc>
              <w:tc>
                <w:tcPr>
                  <w:tcW w:w="323" w:type="pct"/>
                  <w:tcBorders>
                    <w:top w:val="single" w:sz="6" w:space="0" w:color="BFBFBF"/>
                    <w:bottom w:val="single" w:sz="6" w:space="0" w:color="BFBFBF"/>
                  </w:tcBorders>
                </w:tcPr>
                <w:p w14:paraId="21F8DB38" w14:textId="77777777" w:rsidR="00F20F17" w:rsidRDefault="00F20F17" w:rsidP="00C164C2">
                  <w:pPr>
                    <w:pStyle w:val="TableColumnHeading"/>
                    <w:ind w:right="28"/>
                  </w:pPr>
                  <w:r>
                    <w:t>Employed</w:t>
                  </w:r>
                </w:p>
              </w:tc>
              <w:tc>
                <w:tcPr>
                  <w:tcW w:w="431" w:type="pct"/>
                  <w:tcBorders>
                    <w:top w:val="single" w:sz="6" w:space="0" w:color="BFBFBF"/>
                    <w:bottom w:val="single" w:sz="6" w:space="0" w:color="BFBFBF"/>
                  </w:tcBorders>
                </w:tcPr>
                <w:p w14:paraId="62FEA505" w14:textId="7CBBF59A" w:rsidR="00F20F17" w:rsidRDefault="00F20F17" w:rsidP="00C164C2">
                  <w:pPr>
                    <w:pStyle w:val="TableColumnHeading"/>
                    <w:ind w:right="28"/>
                  </w:pPr>
                  <w:r>
                    <w:t>Income</w:t>
                  </w:r>
                  <w:r w:rsidR="000A2302">
                    <w:t xml:space="preserve"> ($m)</w:t>
                  </w:r>
                </w:p>
              </w:tc>
              <w:tc>
                <w:tcPr>
                  <w:tcW w:w="269" w:type="pct"/>
                  <w:tcBorders>
                    <w:top w:val="single" w:sz="6" w:space="0" w:color="BFBFBF"/>
                    <w:bottom w:val="single" w:sz="6" w:space="0" w:color="BFBFBF"/>
                  </w:tcBorders>
                  <w:shd w:val="clear" w:color="auto" w:fill="auto"/>
                  <w:tcMar>
                    <w:top w:w="28" w:type="dxa"/>
                  </w:tcMar>
                </w:tcPr>
                <w:p w14:paraId="5E0D9B10" w14:textId="77777777" w:rsidR="00F20F17" w:rsidRDefault="00F20F17" w:rsidP="00C164C2">
                  <w:pPr>
                    <w:pStyle w:val="TableColumnHeading"/>
                    <w:ind w:right="28"/>
                  </w:pPr>
                  <w:r>
                    <w:t>QALYs</w:t>
                  </w:r>
                </w:p>
              </w:tc>
            </w:tr>
            <w:tr w:rsidR="001E4A71" w14:paraId="52D16905" w14:textId="77777777" w:rsidTr="001F653D">
              <w:tc>
                <w:tcPr>
                  <w:tcW w:w="584" w:type="pct"/>
                  <w:tcBorders>
                    <w:top w:val="single" w:sz="6" w:space="0" w:color="BFBFBF"/>
                  </w:tcBorders>
                  <w:shd w:val="clear" w:color="auto" w:fill="F2F2F2" w:themeFill="background1" w:themeFillShade="F2"/>
                </w:tcPr>
                <w:p w14:paraId="3F6908D6" w14:textId="15379465" w:rsidR="001E4A71" w:rsidRPr="00F20F17" w:rsidRDefault="001E4A71" w:rsidP="001E4A71">
                  <w:pPr>
                    <w:pStyle w:val="TableBodyText"/>
                    <w:jc w:val="left"/>
                    <w:rPr>
                      <w:b/>
                    </w:rPr>
                  </w:pPr>
                  <w:r w:rsidRPr="000A2302">
                    <w:rPr>
                      <w:b/>
                    </w:rPr>
                    <w:t>Additional psychosocial supports</w:t>
                  </w:r>
                </w:p>
              </w:tc>
              <w:tc>
                <w:tcPr>
                  <w:tcW w:w="1723" w:type="pct"/>
                  <w:tcBorders>
                    <w:top w:val="single" w:sz="6" w:space="0" w:color="BFBFBF"/>
                  </w:tcBorders>
                  <w:shd w:val="clear" w:color="auto" w:fill="F2F2F2" w:themeFill="background1" w:themeFillShade="F2"/>
                </w:tcPr>
                <w:p w14:paraId="65DBF9DA" w14:textId="3581282D" w:rsidR="001E4A71" w:rsidRDefault="008E6317" w:rsidP="001E4A71">
                  <w:pPr>
                    <w:pStyle w:val="TableBodyText"/>
                    <w:jc w:val="left"/>
                  </w:pPr>
                  <w:r>
                    <w:t>About</w:t>
                  </w:r>
                  <w:r w:rsidR="001E4A71" w:rsidRPr="00F3338E">
                    <w:t xml:space="preserve"> 272 000 people aged 18</w:t>
                  </w:r>
                  <w:r w:rsidR="00D74233">
                    <w:t>–</w:t>
                  </w:r>
                  <w:r w:rsidR="001E4A71" w:rsidRPr="00F3338E">
                    <w:t xml:space="preserve">64 </w:t>
                  </w:r>
                  <w:r w:rsidR="00D74233">
                    <w:t xml:space="preserve">years </w:t>
                  </w:r>
                  <w:r w:rsidR="001E4A71" w:rsidRPr="00F3338E">
                    <w:t>require psychosocial suppo</w:t>
                  </w:r>
                  <w:r>
                    <w:t>rt services, but only 90 000-95 </w:t>
                  </w:r>
                  <w:r w:rsidR="001E4A71" w:rsidRPr="00F3338E">
                    <w:t>000 are currently accessing services, leaving</w:t>
                  </w:r>
                  <w:r>
                    <w:t xml:space="preserve"> about 180 </w:t>
                  </w:r>
                  <w:r w:rsidR="001E4A71">
                    <w:t>000 who could benefi</w:t>
                  </w:r>
                  <w:r w:rsidR="001E4A71" w:rsidRPr="00F3338E">
                    <w:t>t from access to psychosocial support services.</w:t>
                  </w:r>
                </w:p>
                <w:p w14:paraId="70C457A9" w14:textId="33AF104A" w:rsidR="001E4A71" w:rsidRDefault="001E4A71" w:rsidP="001E4A71">
                  <w:pPr>
                    <w:pStyle w:val="TableBodyText"/>
                    <w:jc w:val="left"/>
                  </w:pPr>
                  <w:r w:rsidRPr="00F3338E">
                    <w:t>People requiring access to psychosocial support are likely to be in the bottom range of the MCS distribution, with those already accessing psychosocial support services having the lowest scores. Hence the target population has an MCS score of between 18 a</w:t>
                  </w:r>
                  <w:r>
                    <w:t>nd 21.</w:t>
                  </w:r>
                </w:p>
              </w:tc>
              <w:tc>
                <w:tcPr>
                  <w:tcW w:w="1670" w:type="pct"/>
                  <w:tcBorders>
                    <w:top w:val="single" w:sz="6" w:space="0" w:color="BFBFBF"/>
                  </w:tcBorders>
                  <w:shd w:val="clear" w:color="auto" w:fill="F2F2F2" w:themeFill="background1" w:themeFillShade="F2"/>
                </w:tcPr>
                <w:p w14:paraId="31423338" w14:textId="14674E07" w:rsidR="001E4A71" w:rsidRDefault="000139FC" w:rsidP="000139FC">
                  <w:pPr>
                    <w:pStyle w:val="TableBodyText"/>
                    <w:jc w:val="left"/>
                  </w:pPr>
                  <w:r>
                    <w:t>Muir, Meyer and Thomas </w:t>
                  </w:r>
                  <w:r w:rsidRPr="000139FC">
                    <w:rPr>
                      <w:rFonts w:cs="Arial"/>
                    </w:rPr>
                    <w:t>(2016)</w:t>
                  </w:r>
                  <w:r>
                    <w:t xml:space="preserve"> conducted an evaluation of </w:t>
                  </w:r>
                  <w:r w:rsidR="00284E83">
                    <w:t xml:space="preserve">the </w:t>
                  </w:r>
                  <w:proofErr w:type="spellStart"/>
                  <w:r>
                    <w:t>Wellways</w:t>
                  </w:r>
                  <w:proofErr w:type="spellEnd"/>
                  <w:r>
                    <w:t xml:space="preserve"> Partners in Recovery </w:t>
                  </w:r>
                  <w:r w:rsidR="00434C52" w:rsidRPr="00434C52">
                    <w:t>program</w:t>
                  </w:r>
                  <w:r w:rsidR="001E4A71" w:rsidRPr="00F20F17">
                    <w:t xml:space="preserve"> </w:t>
                  </w:r>
                  <w:r>
                    <w:t>and estimated an effect size of 0.44 on the ‘managing mental health’ dimension</w:t>
                  </w:r>
                  <w:r w:rsidR="008C1F92">
                    <w:t xml:space="preserve"> (</w:t>
                  </w:r>
                  <w:r>
                    <w:t>translating to an increase of 4.4 MCS points</w:t>
                  </w:r>
                  <w:r w:rsidR="008C1F92">
                    <w:t>)</w:t>
                  </w:r>
                  <w:r w:rsidR="001E4A71">
                    <w:t>.</w:t>
                  </w:r>
                </w:p>
              </w:tc>
              <w:tc>
                <w:tcPr>
                  <w:tcW w:w="323" w:type="pct"/>
                  <w:tcBorders>
                    <w:top w:val="single" w:sz="6" w:space="0" w:color="BFBFBF"/>
                  </w:tcBorders>
                  <w:shd w:val="clear" w:color="auto" w:fill="F2F2F2" w:themeFill="background1" w:themeFillShade="F2"/>
                </w:tcPr>
                <w:p w14:paraId="53B3B7B2" w14:textId="7CF43A10" w:rsidR="001E4A71" w:rsidRDefault="001E4A71" w:rsidP="001E4A71">
                  <w:pPr>
                    <w:pStyle w:val="TableUnitsRow"/>
                    <w:ind w:right="28"/>
                  </w:pPr>
                  <w:r w:rsidRPr="005E2F4E">
                    <w:t>19</w:t>
                  </w:r>
                  <w:r w:rsidR="005D64C3">
                    <w:t xml:space="preserve"> </w:t>
                  </w:r>
                  <w:r w:rsidRPr="005E2F4E">
                    <w:t>210</w:t>
                  </w:r>
                </w:p>
              </w:tc>
              <w:tc>
                <w:tcPr>
                  <w:tcW w:w="431" w:type="pct"/>
                  <w:tcBorders>
                    <w:top w:val="single" w:sz="6" w:space="0" w:color="BFBFBF"/>
                  </w:tcBorders>
                  <w:shd w:val="clear" w:color="auto" w:fill="F2F2F2" w:themeFill="background1" w:themeFillShade="F2"/>
                </w:tcPr>
                <w:p w14:paraId="309B0507" w14:textId="1B173C2D" w:rsidR="001E4A71" w:rsidRDefault="001E4A71" w:rsidP="001E4A71">
                  <w:pPr>
                    <w:pStyle w:val="TableUnitsRow"/>
                    <w:ind w:right="28"/>
                  </w:pPr>
                  <w:r w:rsidRPr="005E2F4E">
                    <w:t>1580.8</w:t>
                  </w:r>
                </w:p>
              </w:tc>
              <w:tc>
                <w:tcPr>
                  <w:tcW w:w="269" w:type="pct"/>
                  <w:tcBorders>
                    <w:top w:val="single" w:sz="6" w:space="0" w:color="BFBFBF"/>
                  </w:tcBorders>
                  <w:shd w:val="clear" w:color="auto" w:fill="F2F2F2" w:themeFill="background1" w:themeFillShade="F2"/>
                </w:tcPr>
                <w:p w14:paraId="461C9D75" w14:textId="117054FB" w:rsidR="001E4A71" w:rsidRDefault="001E4A71" w:rsidP="001E4A71">
                  <w:pPr>
                    <w:pStyle w:val="TableUnitsRow"/>
                    <w:ind w:right="28"/>
                  </w:pPr>
                  <w:r w:rsidRPr="005E2F4E">
                    <w:t>12</w:t>
                  </w:r>
                  <w:r w:rsidR="005D64C3">
                    <w:t xml:space="preserve"> </w:t>
                  </w:r>
                  <w:r w:rsidRPr="005E2F4E">
                    <w:t>042</w:t>
                  </w:r>
                </w:p>
              </w:tc>
            </w:tr>
            <w:tr w:rsidR="001E4A71" w14:paraId="75A48335" w14:textId="77777777" w:rsidTr="00C95C34">
              <w:tc>
                <w:tcPr>
                  <w:tcW w:w="584" w:type="pct"/>
                </w:tcPr>
                <w:p w14:paraId="46B6C4A6" w14:textId="22DD653B" w:rsidR="001E4A71" w:rsidRPr="00F20F17" w:rsidRDefault="001E4A71" w:rsidP="001E4A71">
                  <w:pPr>
                    <w:pStyle w:val="TableBodyText"/>
                    <w:jc w:val="left"/>
                    <w:rPr>
                      <w:b/>
                    </w:rPr>
                  </w:pPr>
                  <w:r w:rsidRPr="000A2302">
                    <w:rPr>
                      <w:b/>
                    </w:rPr>
                    <w:t>Stigma reduction</w:t>
                  </w:r>
                </w:p>
              </w:tc>
              <w:tc>
                <w:tcPr>
                  <w:tcW w:w="1723" w:type="pct"/>
                </w:tcPr>
                <w:p w14:paraId="13963563" w14:textId="77777777" w:rsidR="001E4A71" w:rsidRDefault="001E4A71" w:rsidP="001E4A71">
                  <w:pPr>
                    <w:pStyle w:val="TableBodyText"/>
                    <w:jc w:val="left"/>
                  </w:pPr>
                  <w:r w:rsidRPr="008E1807">
                    <w:t>People with a diagnosed mental illness are expected to benefit from a reduction in social stigma.</w:t>
                  </w:r>
                </w:p>
                <w:p w14:paraId="6CA2FA5B" w14:textId="3FA873CC" w:rsidR="00900D61" w:rsidRDefault="00900D61" w:rsidP="001E4A71">
                  <w:pPr>
                    <w:pStyle w:val="TableBodyText"/>
                    <w:jc w:val="left"/>
                  </w:pPr>
                  <w:r>
                    <w:t>People with worse mental health are expected to benefit most from reduced stigma, while those with moderate/mild forms of mental illness are less likely to be stigmatised and benefit less.</w:t>
                  </w:r>
                </w:p>
              </w:tc>
              <w:tc>
                <w:tcPr>
                  <w:tcW w:w="1670" w:type="pct"/>
                </w:tcPr>
                <w:p w14:paraId="436B5E09" w14:textId="38D037FE" w:rsidR="001E4A71" w:rsidRDefault="001E4A71" w:rsidP="00900D61">
                  <w:pPr>
                    <w:pStyle w:val="TableBodyText"/>
                    <w:jc w:val="left"/>
                  </w:pPr>
                  <w:r>
                    <w:t xml:space="preserve">People with a MCS score less than 30 are assumed to experience a one point increase in MCS, while those with an MCS score between 30 and 35 </w:t>
                  </w:r>
                  <w:r w:rsidR="00900D61">
                    <w:t xml:space="preserve">experience a </w:t>
                  </w:r>
                  <w:r>
                    <w:t>0.5 point</w:t>
                  </w:r>
                  <w:r w:rsidR="00900D61">
                    <w:t xml:space="preserve"> increase</w:t>
                  </w:r>
                  <w:r>
                    <w:t>. Those with an MCS score above 35 will experience a 0.1 point increase.</w:t>
                  </w:r>
                </w:p>
              </w:tc>
              <w:tc>
                <w:tcPr>
                  <w:tcW w:w="323" w:type="pct"/>
                </w:tcPr>
                <w:p w14:paraId="0903452E" w14:textId="6E1DA3F2" w:rsidR="001E4A71" w:rsidRDefault="001E4A71" w:rsidP="001E4A71">
                  <w:pPr>
                    <w:pStyle w:val="TableBodyText"/>
                    <w:ind w:right="28"/>
                  </w:pPr>
                  <w:r w:rsidRPr="005E2F4E">
                    <w:t>19</w:t>
                  </w:r>
                  <w:r w:rsidR="005D64C3">
                    <w:t xml:space="preserve"> </w:t>
                  </w:r>
                  <w:r w:rsidRPr="005E2F4E">
                    <w:t>657</w:t>
                  </w:r>
                </w:p>
              </w:tc>
              <w:tc>
                <w:tcPr>
                  <w:tcW w:w="431" w:type="pct"/>
                </w:tcPr>
                <w:p w14:paraId="5D81BB3E" w14:textId="3E24EA24" w:rsidR="001E4A71" w:rsidRDefault="001E4A71" w:rsidP="001E4A71">
                  <w:pPr>
                    <w:pStyle w:val="TableBodyText"/>
                    <w:ind w:right="28"/>
                  </w:pPr>
                  <w:r w:rsidRPr="005E2F4E">
                    <w:t>1549.4</w:t>
                  </w:r>
                </w:p>
              </w:tc>
              <w:tc>
                <w:tcPr>
                  <w:tcW w:w="269" w:type="pct"/>
                </w:tcPr>
                <w:p w14:paraId="54F928F1" w14:textId="214E69B0" w:rsidR="001E4A71" w:rsidRDefault="001E4A71" w:rsidP="001E4A71">
                  <w:pPr>
                    <w:pStyle w:val="TableBodyText"/>
                    <w:ind w:right="28"/>
                  </w:pPr>
                  <w:r w:rsidRPr="005E2F4E">
                    <w:t>13</w:t>
                  </w:r>
                  <w:r w:rsidR="005D64C3">
                    <w:t xml:space="preserve"> </w:t>
                  </w:r>
                  <w:r w:rsidRPr="005E2F4E">
                    <w:t>577</w:t>
                  </w:r>
                </w:p>
              </w:tc>
            </w:tr>
            <w:tr w:rsidR="001E4A71" w14:paraId="248A9CA3" w14:textId="77777777" w:rsidTr="00C95C34">
              <w:tc>
                <w:tcPr>
                  <w:tcW w:w="584" w:type="pct"/>
                  <w:tcBorders>
                    <w:bottom w:val="single" w:sz="4" w:space="0" w:color="BFBFBF"/>
                  </w:tcBorders>
                  <w:shd w:val="clear" w:color="auto" w:fill="F2F2F2" w:themeFill="background1" w:themeFillShade="F2"/>
                </w:tcPr>
                <w:p w14:paraId="434A8A68" w14:textId="1F8BDA49" w:rsidR="001E4A71" w:rsidRPr="00F20F17" w:rsidRDefault="001E4A71" w:rsidP="001E4A71">
                  <w:pPr>
                    <w:pStyle w:val="TableBodyText"/>
                    <w:jc w:val="left"/>
                    <w:rPr>
                      <w:b/>
                    </w:rPr>
                  </w:pPr>
                  <w:r w:rsidRPr="000A2302">
                    <w:rPr>
                      <w:b/>
                    </w:rPr>
                    <w:t>Carer benefits from improved services for consumers</w:t>
                  </w:r>
                </w:p>
              </w:tc>
              <w:tc>
                <w:tcPr>
                  <w:tcW w:w="1723" w:type="pct"/>
                  <w:tcBorders>
                    <w:bottom w:val="single" w:sz="4" w:space="0" w:color="BFBFBF"/>
                  </w:tcBorders>
                  <w:shd w:val="clear" w:color="auto" w:fill="F2F2F2" w:themeFill="background1" w:themeFillShade="F2"/>
                </w:tcPr>
                <w:p w14:paraId="1DAC7EE4" w14:textId="646474E7" w:rsidR="001E4A71" w:rsidRDefault="001E4A71" w:rsidP="008E6317">
                  <w:pPr>
                    <w:pStyle w:val="TableBodyText"/>
                    <w:jc w:val="left"/>
                  </w:pPr>
                  <w:r w:rsidRPr="008E1807">
                    <w:t xml:space="preserve">Reforms </w:t>
                  </w:r>
                  <w:r w:rsidR="00284E83">
                    <w:t xml:space="preserve">can </w:t>
                  </w:r>
                  <w:r w:rsidRPr="008E1807">
                    <w:t xml:space="preserve">help </w:t>
                  </w:r>
                  <w:r w:rsidR="005B2658">
                    <w:t>carers assisting people in the ‘missing middle’</w:t>
                  </w:r>
                  <w:r w:rsidRPr="008E1807">
                    <w:t>. A</w:t>
                  </w:r>
                  <w:r w:rsidR="008E6317">
                    <w:t>bout</w:t>
                  </w:r>
                  <w:r w:rsidRPr="008E1807">
                    <w:t xml:space="preserve"> 42 000 people</w:t>
                  </w:r>
                  <w:r w:rsidR="005B2658">
                    <w:t xml:space="preserve"> are caring for someone in the ‘missing middle’</w:t>
                  </w:r>
                  <w:r w:rsidRPr="008E1807">
                    <w:t>.</w:t>
                  </w:r>
                </w:p>
              </w:tc>
              <w:tc>
                <w:tcPr>
                  <w:tcW w:w="1670" w:type="pct"/>
                  <w:tcBorders>
                    <w:bottom w:val="single" w:sz="4" w:space="0" w:color="BFBFBF"/>
                  </w:tcBorders>
                  <w:shd w:val="clear" w:color="auto" w:fill="F2F2F2" w:themeFill="background1" w:themeFillShade="F2"/>
                </w:tcPr>
                <w:p w14:paraId="7D8CB2C3" w14:textId="56D5ADD3" w:rsidR="001E4A71" w:rsidRDefault="00900D61" w:rsidP="0095034B">
                  <w:pPr>
                    <w:pStyle w:val="TableBodyText"/>
                    <w:jc w:val="left"/>
                  </w:pPr>
                  <w:r>
                    <w:t xml:space="preserve">From the </w:t>
                  </w:r>
                  <w:r w:rsidRPr="009710B9">
                    <w:t>Survey of Disability, Ageing and Caring</w:t>
                  </w:r>
                  <w:r w:rsidR="008C1F92">
                    <w:t xml:space="preserve"> </w:t>
                  </w:r>
                  <w:r w:rsidR="0095034B" w:rsidRPr="0095034B">
                    <w:rPr>
                      <w:rFonts w:cs="Arial"/>
                    </w:rPr>
                    <w:t>(2016)</w:t>
                  </w:r>
                  <w:r>
                    <w:t xml:space="preserve">, it is estimated that 35% of primary mental health carers took on a caring role because alternative care was too costly, there were no other care arrangements available, or they had no other choice. </w:t>
                  </w:r>
                  <w:r w:rsidR="001E4A71" w:rsidRPr="00F20F17">
                    <w:t xml:space="preserve">By providing more formal care, it is assumed that </w:t>
                  </w:r>
                  <w:r>
                    <w:t xml:space="preserve">these </w:t>
                  </w:r>
                  <w:r w:rsidR="001E4A71" w:rsidRPr="00F20F17">
                    <w:t>carers will no longer need to provide informal care, which will allows for increased opportunities for carers to enter the workplace.</w:t>
                  </w:r>
                  <w:r w:rsidR="009710B9">
                    <w:t xml:space="preserve"> </w:t>
                  </w:r>
                </w:p>
              </w:tc>
              <w:tc>
                <w:tcPr>
                  <w:tcW w:w="323" w:type="pct"/>
                  <w:tcBorders>
                    <w:bottom w:val="single" w:sz="4" w:space="0" w:color="BFBFBF"/>
                  </w:tcBorders>
                  <w:shd w:val="clear" w:color="auto" w:fill="F2F2F2" w:themeFill="background1" w:themeFillShade="F2"/>
                </w:tcPr>
                <w:p w14:paraId="19B2DD0D" w14:textId="48B0DE4F" w:rsidR="001E4A71" w:rsidRDefault="001E4A71" w:rsidP="001E4A71">
                  <w:pPr>
                    <w:pStyle w:val="TableBodyText"/>
                    <w:ind w:right="28"/>
                  </w:pPr>
                  <w:r w:rsidRPr="005E2F4E">
                    <w:t>2551</w:t>
                  </w:r>
                </w:p>
              </w:tc>
              <w:tc>
                <w:tcPr>
                  <w:tcW w:w="431" w:type="pct"/>
                  <w:tcBorders>
                    <w:bottom w:val="single" w:sz="4" w:space="0" w:color="BFBFBF"/>
                  </w:tcBorders>
                  <w:shd w:val="clear" w:color="auto" w:fill="F2F2F2" w:themeFill="background1" w:themeFillShade="F2"/>
                </w:tcPr>
                <w:p w14:paraId="7DD6F916" w14:textId="444D5950" w:rsidR="001E4A71" w:rsidRDefault="001E4A71" w:rsidP="001E4A71">
                  <w:pPr>
                    <w:pStyle w:val="TableBodyText"/>
                    <w:ind w:right="28"/>
                  </w:pPr>
                  <w:r w:rsidRPr="005E2F4E">
                    <w:t>136.7</w:t>
                  </w:r>
                </w:p>
              </w:tc>
              <w:tc>
                <w:tcPr>
                  <w:tcW w:w="269" w:type="pct"/>
                  <w:tcBorders>
                    <w:bottom w:val="single" w:sz="4" w:space="0" w:color="BFBFBF"/>
                  </w:tcBorders>
                  <w:shd w:val="clear" w:color="auto" w:fill="F2F2F2" w:themeFill="background1" w:themeFillShade="F2"/>
                </w:tcPr>
                <w:p w14:paraId="3B1EB821" w14:textId="599AC07D" w:rsidR="001E4A71" w:rsidRDefault="00C2695F" w:rsidP="001E4A71">
                  <w:pPr>
                    <w:pStyle w:val="TableBodyText"/>
                    <w:ind w:right="28"/>
                  </w:pPr>
                  <w:r>
                    <w:t>..</w:t>
                  </w:r>
                </w:p>
              </w:tc>
            </w:tr>
          </w:tbl>
          <w:p w14:paraId="29C082CF" w14:textId="77777777" w:rsidR="00F20F17" w:rsidRDefault="00F20F17" w:rsidP="00C164C2">
            <w:pPr>
              <w:pStyle w:val="Box"/>
            </w:pPr>
          </w:p>
        </w:tc>
      </w:tr>
      <w:tr w:rsidR="00C2695F" w14:paraId="489A17BB" w14:textId="77777777" w:rsidTr="00017253">
        <w:tc>
          <w:tcPr>
            <w:tcW w:w="13444" w:type="dxa"/>
            <w:tcBorders>
              <w:top w:val="nil"/>
              <w:left w:val="nil"/>
              <w:bottom w:val="nil"/>
              <w:right w:val="nil"/>
            </w:tcBorders>
            <w:shd w:val="clear" w:color="auto" w:fill="auto"/>
          </w:tcPr>
          <w:p w14:paraId="76D0F028" w14:textId="198C389B" w:rsidR="00C2695F" w:rsidRPr="00C2695F" w:rsidRDefault="00C2695F" w:rsidP="00C164C2">
            <w:pPr>
              <w:pStyle w:val="Source"/>
            </w:pPr>
            <w:r w:rsidRPr="00C2695F">
              <w:t>.. Not applicable</w:t>
            </w:r>
          </w:p>
        </w:tc>
      </w:tr>
      <w:tr w:rsidR="00F20F17" w14:paraId="5697D213" w14:textId="77777777" w:rsidTr="00017253">
        <w:tc>
          <w:tcPr>
            <w:tcW w:w="13444" w:type="dxa"/>
            <w:tcBorders>
              <w:top w:val="nil"/>
              <w:left w:val="nil"/>
              <w:bottom w:val="nil"/>
              <w:right w:val="nil"/>
            </w:tcBorders>
            <w:shd w:val="clear" w:color="auto" w:fill="auto"/>
          </w:tcPr>
          <w:p w14:paraId="4FC86A03" w14:textId="039C7CF4" w:rsidR="00F20F17" w:rsidRDefault="00285F64" w:rsidP="00C164C2">
            <w:pPr>
              <w:pStyle w:val="Source"/>
            </w:pPr>
            <w:r>
              <w:rPr>
                <w:i/>
              </w:rPr>
              <w:t>Source</w:t>
            </w:r>
            <w:r w:rsidR="00F20F17" w:rsidRPr="00167F06">
              <w:t xml:space="preserve">: </w:t>
            </w:r>
            <w:r>
              <w:t>Productivity Commission estimates using HILDA</w:t>
            </w:r>
            <w:r w:rsidR="00D27BE6">
              <w:t>.</w:t>
            </w:r>
          </w:p>
        </w:tc>
      </w:tr>
      <w:tr w:rsidR="00F20F17" w14:paraId="07EB1B27" w14:textId="77777777" w:rsidTr="00017253">
        <w:tc>
          <w:tcPr>
            <w:tcW w:w="13444" w:type="dxa"/>
            <w:tcBorders>
              <w:top w:val="nil"/>
              <w:left w:val="nil"/>
              <w:bottom w:val="single" w:sz="6" w:space="0" w:color="78A22F"/>
              <w:right w:val="nil"/>
            </w:tcBorders>
            <w:shd w:val="clear" w:color="auto" w:fill="auto"/>
          </w:tcPr>
          <w:p w14:paraId="19630CB4" w14:textId="77777777" w:rsidR="00F20F17" w:rsidRDefault="00F20F17" w:rsidP="00C164C2">
            <w:pPr>
              <w:pStyle w:val="Box"/>
              <w:spacing w:before="0" w:line="120" w:lineRule="exact"/>
            </w:pPr>
          </w:p>
        </w:tc>
      </w:tr>
      <w:tr w:rsidR="00F20F17" w:rsidRPr="000863A5" w14:paraId="21A95681" w14:textId="77777777" w:rsidTr="00017253">
        <w:tc>
          <w:tcPr>
            <w:tcW w:w="13444" w:type="dxa"/>
            <w:tcBorders>
              <w:top w:val="single" w:sz="6" w:space="0" w:color="78A22F"/>
              <w:left w:val="nil"/>
              <w:bottom w:val="nil"/>
              <w:right w:val="nil"/>
            </w:tcBorders>
          </w:tcPr>
          <w:p w14:paraId="617D5EC3" w14:textId="03A45A7D" w:rsidR="00F20F17" w:rsidRPr="00626D32" w:rsidRDefault="00F20F17" w:rsidP="00C164C2">
            <w:pPr>
              <w:pStyle w:val="BoxSpaceBelow"/>
            </w:pPr>
          </w:p>
        </w:tc>
      </w:tr>
    </w:tbl>
    <w:p w14:paraId="05091EE2" w14:textId="77777777" w:rsidR="000B532B" w:rsidRDefault="000B532B" w:rsidP="000B532B">
      <w:pPr>
        <w:pStyle w:val="BodyText"/>
        <w:sectPr w:rsidR="000B532B">
          <w:headerReference w:type="even" r:id="rId18"/>
          <w:headerReference w:type="default" r:id="rId19"/>
          <w:footerReference w:type="even" r:id="rId20"/>
          <w:footerReference w:type="default" r:id="rId21"/>
          <w:pgSz w:w="16840" w:h="11907" w:orient="landscape" w:code="9"/>
          <w:pgMar w:top="1814" w:right="1985" w:bottom="1304" w:left="1418" w:header="1701" w:footer="567" w:gutter="0"/>
          <w:pgNumType w:chapSep="period"/>
          <w:cols w:space="720"/>
        </w:sectPr>
      </w:pPr>
    </w:p>
    <w:p w14:paraId="09EAEEF6" w14:textId="53302B9A" w:rsidR="00D72F59" w:rsidRDefault="00D72F59" w:rsidP="00D72F5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F59" w14:paraId="19541C43" w14:textId="77777777" w:rsidTr="00D72F59">
        <w:trPr>
          <w:tblHeader/>
        </w:trPr>
        <w:tc>
          <w:tcPr>
            <w:tcW w:w="5000" w:type="pct"/>
            <w:tcBorders>
              <w:top w:val="single" w:sz="6" w:space="0" w:color="78A22F"/>
              <w:left w:val="nil"/>
              <w:bottom w:val="nil"/>
              <w:right w:val="nil"/>
            </w:tcBorders>
            <w:shd w:val="clear" w:color="auto" w:fill="auto"/>
          </w:tcPr>
          <w:p w14:paraId="279EFCC7" w14:textId="4D4E39D0" w:rsidR="00D72F59" w:rsidRPr="00784A05" w:rsidRDefault="00D72F59" w:rsidP="00D72F59">
            <w:pPr>
              <w:pStyle w:val="TableTitle"/>
            </w:pPr>
            <w:r>
              <w:rPr>
                <w:b w:val="0"/>
              </w:rPr>
              <w:t>Table F.4</w:t>
            </w:r>
            <w:r>
              <w:tab/>
              <w:t>Estimated range of benefits of proposed reforms</w:t>
            </w:r>
          </w:p>
        </w:tc>
      </w:tr>
      <w:tr w:rsidR="00D72F59" w14:paraId="6FC81BDF" w14:textId="77777777" w:rsidTr="00D72F59">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8"/>
              <w:gridCol w:w="1699"/>
              <w:gridCol w:w="1558"/>
              <w:gridCol w:w="1560"/>
            </w:tblGrid>
            <w:tr w:rsidR="00D72F59" w14:paraId="3E0FAB49" w14:textId="77777777" w:rsidTr="00822E3B">
              <w:trPr>
                <w:tblHeader/>
              </w:trPr>
              <w:tc>
                <w:tcPr>
                  <w:tcW w:w="2168" w:type="pct"/>
                  <w:tcBorders>
                    <w:top w:val="single" w:sz="6" w:space="0" w:color="BFBFBF"/>
                    <w:bottom w:val="single" w:sz="6" w:space="0" w:color="BFBFBF"/>
                  </w:tcBorders>
                  <w:shd w:val="clear" w:color="auto" w:fill="auto"/>
                  <w:tcMar>
                    <w:top w:w="28" w:type="dxa"/>
                  </w:tcMar>
                </w:tcPr>
                <w:p w14:paraId="4ACCF222" w14:textId="77777777" w:rsidR="00D72F59" w:rsidRDefault="00D72F59" w:rsidP="00D72F59">
                  <w:pPr>
                    <w:pStyle w:val="TableColumnHeading"/>
                    <w:jc w:val="left"/>
                  </w:pPr>
                </w:p>
              </w:tc>
              <w:tc>
                <w:tcPr>
                  <w:tcW w:w="999" w:type="pct"/>
                  <w:tcBorders>
                    <w:top w:val="single" w:sz="6" w:space="0" w:color="BFBFBF"/>
                    <w:bottom w:val="single" w:sz="6" w:space="0" w:color="BFBFBF"/>
                  </w:tcBorders>
                </w:tcPr>
                <w:p w14:paraId="3371DA3E" w14:textId="57ABA5C0" w:rsidR="00D72F59" w:rsidRDefault="00D72F59" w:rsidP="00D72F59">
                  <w:pPr>
                    <w:pStyle w:val="TableColumnHeading"/>
                  </w:pPr>
                  <w:r>
                    <w:t>5</w:t>
                  </w:r>
                  <w:r w:rsidRPr="00952315">
                    <w:rPr>
                      <w:vertAlign w:val="superscript"/>
                    </w:rPr>
                    <w:t>th</w:t>
                  </w:r>
                  <w:r>
                    <w:t xml:space="preserve"> percentile</w:t>
                  </w:r>
                </w:p>
              </w:tc>
              <w:tc>
                <w:tcPr>
                  <w:tcW w:w="916" w:type="pct"/>
                  <w:tcBorders>
                    <w:top w:val="single" w:sz="6" w:space="0" w:color="BFBFBF"/>
                    <w:bottom w:val="single" w:sz="6" w:space="0" w:color="BFBFBF"/>
                  </w:tcBorders>
                  <w:tcMar>
                    <w:top w:w="28" w:type="dxa"/>
                  </w:tcMar>
                </w:tcPr>
                <w:p w14:paraId="31CE58D6" w14:textId="6F02AE2F" w:rsidR="00D72F59" w:rsidRDefault="00D72F59" w:rsidP="00D72F59">
                  <w:pPr>
                    <w:pStyle w:val="TableColumnHeading"/>
                  </w:pPr>
                  <w:r>
                    <w:t>Median</w:t>
                  </w:r>
                </w:p>
              </w:tc>
              <w:tc>
                <w:tcPr>
                  <w:tcW w:w="917" w:type="pct"/>
                  <w:tcBorders>
                    <w:top w:val="single" w:sz="6" w:space="0" w:color="BFBFBF"/>
                    <w:bottom w:val="single" w:sz="6" w:space="0" w:color="BFBFBF"/>
                  </w:tcBorders>
                  <w:shd w:val="clear" w:color="auto" w:fill="auto"/>
                  <w:tcMar>
                    <w:top w:w="28" w:type="dxa"/>
                  </w:tcMar>
                </w:tcPr>
                <w:p w14:paraId="5432DB30" w14:textId="54E12F71" w:rsidR="00D72F59" w:rsidRDefault="00D72F59" w:rsidP="00D72F59">
                  <w:pPr>
                    <w:pStyle w:val="TableColumnHeading"/>
                    <w:ind w:right="28"/>
                  </w:pPr>
                  <w:r>
                    <w:t>95</w:t>
                  </w:r>
                  <w:r w:rsidRPr="00952315">
                    <w:rPr>
                      <w:vertAlign w:val="superscript"/>
                    </w:rPr>
                    <w:t>th</w:t>
                  </w:r>
                  <w:r>
                    <w:t xml:space="preserve"> percentile</w:t>
                  </w:r>
                </w:p>
              </w:tc>
            </w:tr>
            <w:tr w:rsidR="00D72F59" w14:paraId="5D09407F" w14:textId="77777777" w:rsidTr="00822E3B">
              <w:tc>
                <w:tcPr>
                  <w:tcW w:w="2168" w:type="pct"/>
                  <w:tcBorders>
                    <w:top w:val="single" w:sz="6" w:space="0" w:color="BFBFBF"/>
                  </w:tcBorders>
                </w:tcPr>
                <w:p w14:paraId="7A2AEA1B" w14:textId="5DE5F151" w:rsidR="00D72F59" w:rsidRDefault="00D72F59" w:rsidP="00D72F59">
                  <w:pPr>
                    <w:pStyle w:val="TableUnitsRow"/>
                    <w:jc w:val="left"/>
                  </w:pPr>
                  <w:r>
                    <w:rPr>
                      <w:b/>
                    </w:rPr>
                    <w:t>Online supported treatment</w:t>
                  </w:r>
                </w:p>
              </w:tc>
              <w:tc>
                <w:tcPr>
                  <w:tcW w:w="999" w:type="pct"/>
                  <w:tcBorders>
                    <w:top w:val="single" w:sz="6" w:space="0" w:color="BFBFBF"/>
                  </w:tcBorders>
                </w:tcPr>
                <w:p w14:paraId="5B63FECD" w14:textId="77777777" w:rsidR="00D72F59" w:rsidRDefault="00D72F59" w:rsidP="00D72F59">
                  <w:pPr>
                    <w:pStyle w:val="TableUnitsRow"/>
                  </w:pPr>
                </w:p>
              </w:tc>
              <w:tc>
                <w:tcPr>
                  <w:tcW w:w="916" w:type="pct"/>
                  <w:tcBorders>
                    <w:top w:val="single" w:sz="6" w:space="0" w:color="BFBFBF"/>
                  </w:tcBorders>
                </w:tcPr>
                <w:p w14:paraId="2632D504" w14:textId="77777777" w:rsidR="00D72F59" w:rsidRDefault="00D72F59" w:rsidP="00D72F59">
                  <w:pPr>
                    <w:pStyle w:val="TableUnitsRow"/>
                  </w:pPr>
                </w:p>
              </w:tc>
              <w:tc>
                <w:tcPr>
                  <w:tcW w:w="917" w:type="pct"/>
                  <w:tcBorders>
                    <w:top w:val="single" w:sz="6" w:space="0" w:color="BFBFBF"/>
                  </w:tcBorders>
                </w:tcPr>
                <w:p w14:paraId="0722CC6E" w14:textId="77777777" w:rsidR="00D72F59" w:rsidRDefault="00D72F59" w:rsidP="00D72F59">
                  <w:pPr>
                    <w:pStyle w:val="TableUnitsRow"/>
                    <w:ind w:right="28"/>
                  </w:pPr>
                </w:p>
              </w:tc>
            </w:tr>
            <w:tr w:rsidR="00D72F59" w14:paraId="3E2AE36D" w14:textId="77777777" w:rsidTr="00822E3B">
              <w:tc>
                <w:tcPr>
                  <w:tcW w:w="2168" w:type="pct"/>
                </w:tcPr>
                <w:p w14:paraId="46FC2C3E" w14:textId="5967A683" w:rsidR="00D72F59" w:rsidRDefault="00D72F59" w:rsidP="00D72F59">
                  <w:pPr>
                    <w:pStyle w:val="TableBodyText"/>
                    <w:jc w:val="left"/>
                  </w:pPr>
                  <w:r>
                    <w:t>Additional people employed</w:t>
                  </w:r>
                </w:p>
              </w:tc>
              <w:tc>
                <w:tcPr>
                  <w:tcW w:w="999" w:type="pct"/>
                </w:tcPr>
                <w:p w14:paraId="533A13C6" w14:textId="786BD39E" w:rsidR="00D72F59" w:rsidRDefault="00D72F59" w:rsidP="00D72F59">
                  <w:pPr>
                    <w:pStyle w:val="TableBodyText"/>
                  </w:pPr>
                  <w:r w:rsidRPr="00FA45B2">
                    <w:t>2023</w:t>
                  </w:r>
                </w:p>
              </w:tc>
              <w:tc>
                <w:tcPr>
                  <w:tcW w:w="916" w:type="pct"/>
                </w:tcPr>
                <w:p w14:paraId="7615772E" w14:textId="5BA2410B" w:rsidR="00D72F59" w:rsidRDefault="00D72F59" w:rsidP="00D72F59">
                  <w:pPr>
                    <w:pStyle w:val="TableBodyText"/>
                  </w:pPr>
                  <w:r w:rsidRPr="00FA45B2">
                    <w:t>2365</w:t>
                  </w:r>
                </w:p>
              </w:tc>
              <w:tc>
                <w:tcPr>
                  <w:tcW w:w="917" w:type="pct"/>
                </w:tcPr>
                <w:p w14:paraId="308A2143" w14:textId="7AA62B85" w:rsidR="00D72F59" w:rsidRDefault="00D72F59" w:rsidP="00D72F59">
                  <w:pPr>
                    <w:pStyle w:val="TableBodyText"/>
                    <w:ind w:right="28"/>
                  </w:pPr>
                  <w:r w:rsidRPr="00FA45B2">
                    <w:t>2713</w:t>
                  </w:r>
                </w:p>
              </w:tc>
            </w:tr>
            <w:tr w:rsidR="00D72F59" w14:paraId="1FAC0BC9" w14:textId="77777777" w:rsidTr="00822E3B">
              <w:tc>
                <w:tcPr>
                  <w:tcW w:w="2168" w:type="pct"/>
                </w:tcPr>
                <w:p w14:paraId="0E63AF82" w14:textId="53E07611" w:rsidR="00D72F59" w:rsidRDefault="00D72F59" w:rsidP="00D72F59">
                  <w:pPr>
                    <w:pStyle w:val="TableBodyText"/>
                    <w:jc w:val="left"/>
                  </w:pPr>
                  <w:r>
                    <w:t>Additional income ($m)</w:t>
                  </w:r>
                </w:p>
              </w:tc>
              <w:tc>
                <w:tcPr>
                  <w:tcW w:w="999" w:type="pct"/>
                </w:tcPr>
                <w:p w14:paraId="2150B8B7" w14:textId="651E419D" w:rsidR="00D72F59" w:rsidRDefault="00D72F59" w:rsidP="00D72F59">
                  <w:pPr>
                    <w:pStyle w:val="TableBodyText"/>
                  </w:pPr>
                  <w:r w:rsidRPr="00FA45B2">
                    <w:t>196</w:t>
                  </w:r>
                </w:p>
              </w:tc>
              <w:tc>
                <w:tcPr>
                  <w:tcW w:w="916" w:type="pct"/>
                </w:tcPr>
                <w:p w14:paraId="30CAF795" w14:textId="54C82343" w:rsidR="00D72F59" w:rsidRDefault="00D72F59" w:rsidP="00D72F59">
                  <w:pPr>
                    <w:pStyle w:val="TableBodyText"/>
                  </w:pPr>
                  <w:r w:rsidRPr="00FA45B2">
                    <w:t>227</w:t>
                  </w:r>
                </w:p>
              </w:tc>
              <w:tc>
                <w:tcPr>
                  <w:tcW w:w="917" w:type="pct"/>
                </w:tcPr>
                <w:p w14:paraId="7588E452" w14:textId="1CFDAB84" w:rsidR="00D72F59" w:rsidRDefault="00D72F59" w:rsidP="00D72F59">
                  <w:pPr>
                    <w:pStyle w:val="TableBodyText"/>
                    <w:ind w:right="28"/>
                  </w:pPr>
                  <w:r w:rsidRPr="00FA45B2">
                    <w:t>255</w:t>
                  </w:r>
                </w:p>
              </w:tc>
            </w:tr>
            <w:tr w:rsidR="00D72F59" w14:paraId="4FDB86BF" w14:textId="77777777" w:rsidTr="00822E3B">
              <w:tc>
                <w:tcPr>
                  <w:tcW w:w="2168" w:type="pct"/>
                </w:tcPr>
                <w:p w14:paraId="430484D9" w14:textId="4AA9A930" w:rsidR="00D72F59" w:rsidRDefault="00D72F59" w:rsidP="00D72F59">
                  <w:pPr>
                    <w:pStyle w:val="TableBodyText"/>
                    <w:jc w:val="left"/>
                  </w:pPr>
                  <w:r>
                    <w:t xml:space="preserve">Additional </w:t>
                  </w:r>
                  <w:r w:rsidRPr="00CB3BA8">
                    <w:t>QALY</w:t>
                  </w:r>
                  <w:r>
                    <w:t>s</w:t>
                  </w:r>
                </w:p>
              </w:tc>
              <w:tc>
                <w:tcPr>
                  <w:tcW w:w="999" w:type="pct"/>
                </w:tcPr>
                <w:p w14:paraId="1F6957C5" w14:textId="69CC8627" w:rsidR="00D72F59" w:rsidRDefault="00D72F59" w:rsidP="00D72F59">
                  <w:pPr>
                    <w:pStyle w:val="TableBodyText"/>
                  </w:pPr>
                  <w:r w:rsidRPr="00FA45B2">
                    <w:t>1482</w:t>
                  </w:r>
                </w:p>
              </w:tc>
              <w:tc>
                <w:tcPr>
                  <w:tcW w:w="916" w:type="pct"/>
                </w:tcPr>
                <w:p w14:paraId="2758D95D" w14:textId="66437FB3" w:rsidR="00D72F59" w:rsidRDefault="00D72F59" w:rsidP="00D72F59">
                  <w:pPr>
                    <w:pStyle w:val="TableBodyText"/>
                  </w:pPr>
                  <w:r w:rsidRPr="00FA45B2">
                    <w:t>1683</w:t>
                  </w:r>
                </w:p>
              </w:tc>
              <w:tc>
                <w:tcPr>
                  <w:tcW w:w="917" w:type="pct"/>
                </w:tcPr>
                <w:p w14:paraId="1697927D" w14:textId="4686E7B2" w:rsidR="00D72F59" w:rsidRDefault="00D72F59" w:rsidP="00D72F59">
                  <w:pPr>
                    <w:pStyle w:val="TableBodyText"/>
                    <w:ind w:right="28"/>
                  </w:pPr>
                  <w:r w:rsidRPr="00FA45B2">
                    <w:t>1903</w:t>
                  </w:r>
                </w:p>
              </w:tc>
            </w:tr>
            <w:tr w:rsidR="00D72F59" w14:paraId="5168F825" w14:textId="77777777" w:rsidTr="00822E3B">
              <w:tc>
                <w:tcPr>
                  <w:tcW w:w="2168" w:type="pct"/>
                </w:tcPr>
                <w:p w14:paraId="14785B2D" w14:textId="40736032" w:rsidR="00D72F59" w:rsidRDefault="00D72F59" w:rsidP="00D72F59">
                  <w:pPr>
                    <w:pStyle w:val="TableBodyText"/>
                    <w:jc w:val="left"/>
                  </w:pPr>
                  <w:r>
                    <w:rPr>
                      <w:b/>
                    </w:rPr>
                    <w:t>Community ambulatory services</w:t>
                  </w:r>
                </w:p>
              </w:tc>
              <w:tc>
                <w:tcPr>
                  <w:tcW w:w="999" w:type="pct"/>
                </w:tcPr>
                <w:p w14:paraId="684E86E4" w14:textId="77777777" w:rsidR="00D72F59" w:rsidRDefault="00D72F59" w:rsidP="00D72F59">
                  <w:pPr>
                    <w:pStyle w:val="TableBodyText"/>
                  </w:pPr>
                </w:p>
              </w:tc>
              <w:tc>
                <w:tcPr>
                  <w:tcW w:w="916" w:type="pct"/>
                </w:tcPr>
                <w:p w14:paraId="2799C5DA" w14:textId="77777777" w:rsidR="00D72F59" w:rsidRDefault="00D72F59" w:rsidP="00D72F59">
                  <w:pPr>
                    <w:pStyle w:val="TableBodyText"/>
                  </w:pPr>
                </w:p>
              </w:tc>
              <w:tc>
                <w:tcPr>
                  <w:tcW w:w="917" w:type="pct"/>
                </w:tcPr>
                <w:p w14:paraId="5147FAAF" w14:textId="77777777" w:rsidR="00D72F59" w:rsidRDefault="00D72F59" w:rsidP="00D72F59">
                  <w:pPr>
                    <w:pStyle w:val="TableBodyText"/>
                    <w:ind w:right="28"/>
                  </w:pPr>
                </w:p>
              </w:tc>
            </w:tr>
            <w:tr w:rsidR="00D72F59" w14:paraId="4D297470" w14:textId="77777777" w:rsidTr="00822E3B">
              <w:tc>
                <w:tcPr>
                  <w:tcW w:w="2168" w:type="pct"/>
                </w:tcPr>
                <w:p w14:paraId="7FC9F6DB" w14:textId="253E3169" w:rsidR="00D72F59" w:rsidRDefault="00D72F59" w:rsidP="00D72F59">
                  <w:pPr>
                    <w:pStyle w:val="TableBodyText"/>
                    <w:jc w:val="left"/>
                  </w:pPr>
                  <w:r>
                    <w:t>Additional people employed</w:t>
                  </w:r>
                </w:p>
              </w:tc>
              <w:tc>
                <w:tcPr>
                  <w:tcW w:w="999" w:type="pct"/>
                </w:tcPr>
                <w:p w14:paraId="021020B4" w14:textId="5DFA5B6A" w:rsidR="00D72F59" w:rsidRDefault="00D72F59" w:rsidP="00D72F59">
                  <w:pPr>
                    <w:pStyle w:val="TableBodyText"/>
                  </w:pPr>
                  <w:r w:rsidRPr="00637682">
                    <w:t>12</w:t>
                  </w:r>
                  <w:r>
                    <w:t xml:space="preserve"> </w:t>
                  </w:r>
                  <w:r w:rsidRPr="00637682">
                    <w:t>382</w:t>
                  </w:r>
                </w:p>
              </w:tc>
              <w:tc>
                <w:tcPr>
                  <w:tcW w:w="916" w:type="pct"/>
                </w:tcPr>
                <w:p w14:paraId="3FC357A8" w14:textId="6891DC47" w:rsidR="00D72F59" w:rsidRDefault="00D72F59" w:rsidP="00D72F59">
                  <w:pPr>
                    <w:pStyle w:val="TableBodyText"/>
                  </w:pPr>
                  <w:r w:rsidRPr="00637682">
                    <w:t>14</w:t>
                  </w:r>
                  <w:r>
                    <w:t xml:space="preserve"> </w:t>
                  </w:r>
                  <w:r w:rsidRPr="00637682">
                    <w:t>242</w:t>
                  </w:r>
                </w:p>
              </w:tc>
              <w:tc>
                <w:tcPr>
                  <w:tcW w:w="917" w:type="pct"/>
                </w:tcPr>
                <w:p w14:paraId="44069FB3" w14:textId="3EBC89C7" w:rsidR="00D72F59" w:rsidRDefault="00D72F59" w:rsidP="00D72F59">
                  <w:pPr>
                    <w:pStyle w:val="TableBodyText"/>
                    <w:ind w:right="28"/>
                  </w:pPr>
                  <w:r w:rsidRPr="00637682">
                    <w:t>16</w:t>
                  </w:r>
                  <w:r>
                    <w:t xml:space="preserve"> </w:t>
                  </w:r>
                  <w:r w:rsidRPr="00637682">
                    <w:t>001</w:t>
                  </w:r>
                </w:p>
              </w:tc>
            </w:tr>
            <w:tr w:rsidR="00D72F59" w14:paraId="62217ED2" w14:textId="77777777" w:rsidTr="00822E3B">
              <w:tc>
                <w:tcPr>
                  <w:tcW w:w="2168" w:type="pct"/>
                </w:tcPr>
                <w:p w14:paraId="4A64C16E" w14:textId="61FE660A" w:rsidR="00D72F59" w:rsidRDefault="00D72F59" w:rsidP="00D72F59">
                  <w:pPr>
                    <w:pStyle w:val="TableBodyText"/>
                    <w:jc w:val="left"/>
                  </w:pPr>
                  <w:r>
                    <w:t>Additional income ($m)</w:t>
                  </w:r>
                </w:p>
              </w:tc>
              <w:tc>
                <w:tcPr>
                  <w:tcW w:w="999" w:type="pct"/>
                </w:tcPr>
                <w:p w14:paraId="165D8383" w14:textId="779D8A29" w:rsidR="00D72F59" w:rsidRDefault="00D72F59" w:rsidP="00D72F59">
                  <w:pPr>
                    <w:pStyle w:val="TableBodyText"/>
                  </w:pPr>
                  <w:r w:rsidRPr="00637682">
                    <w:t>1138</w:t>
                  </w:r>
                </w:p>
              </w:tc>
              <w:tc>
                <w:tcPr>
                  <w:tcW w:w="916" w:type="pct"/>
                </w:tcPr>
                <w:p w14:paraId="1C8AF74F" w14:textId="71CA42C0" w:rsidR="00D72F59" w:rsidRDefault="00D72F59" w:rsidP="00D72F59">
                  <w:pPr>
                    <w:pStyle w:val="TableBodyText"/>
                  </w:pPr>
                  <w:r w:rsidRPr="00637682">
                    <w:t>1313</w:t>
                  </w:r>
                </w:p>
              </w:tc>
              <w:tc>
                <w:tcPr>
                  <w:tcW w:w="917" w:type="pct"/>
                </w:tcPr>
                <w:p w14:paraId="1A3E4674" w14:textId="776FA354" w:rsidR="00D72F59" w:rsidRDefault="00D72F59" w:rsidP="00D72F59">
                  <w:pPr>
                    <w:pStyle w:val="TableBodyText"/>
                    <w:ind w:right="28"/>
                  </w:pPr>
                  <w:r w:rsidRPr="00637682">
                    <w:t>1478</w:t>
                  </w:r>
                </w:p>
              </w:tc>
            </w:tr>
            <w:tr w:rsidR="00D72F59" w14:paraId="4CDE1C57" w14:textId="77777777" w:rsidTr="00822E3B">
              <w:tc>
                <w:tcPr>
                  <w:tcW w:w="2168" w:type="pct"/>
                </w:tcPr>
                <w:p w14:paraId="3A0B1E59" w14:textId="10D9B6CB" w:rsidR="00D72F59" w:rsidRDefault="00D72F59" w:rsidP="00D72F59">
                  <w:pPr>
                    <w:pStyle w:val="TableBodyText"/>
                    <w:jc w:val="left"/>
                  </w:pPr>
                  <w:r>
                    <w:t xml:space="preserve">Additional </w:t>
                  </w:r>
                  <w:r w:rsidRPr="00CB3BA8">
                    <w:t>QALY</w:t>
                  </w:r>
                  <w:r>
                    <w:t>s</w:t>
                  </w:r>
                </w:p>
              </w:tc>
              <w:tc>
                <w:tcPr>
                  <w:tcW w:w="999" w:type="pct"/>
                </w:tcPr>
                <w:p w14:paraId="579810ED" w14:textId="0B46452B" w:rsidR="00D72F59" w:rsidRDefault="00D72F59" w:rsidP="00D72F59">
                  <w:pPr>
                    <w:pStyle w:val="TableBodyText"/>
                  </w:pPr>
                  <w:r w:rsidRPr="00637682">
                    <w:t>10</w:t>
                  </w:r>
                  <w:r>
                    <w:t xml:space="preserve"> </w:t>
                  </w:r>
                  <w:r w:rsidRPr="00637682">
                    <w:t>146</w:t>
                  </w:r>
                </w:p>
              </w:tc>
              <w:tc>
                <w:tcPr>
                  <w:tcW w:w="916" w:type="pct"/>
                </w:tcPr>
                <w:p w14:paraId="7FCE30B5" w14:textId="21D837AC" w:rsidR="00D72F59" w:rsidRDefault="00D72F59" w:rsidP="00D72F59">
                  <w:pPr>
                    <w:pStyle w:val="TableBodyText"/>
                  </w:pPr>
                  <w:r w:rsidRPr="00637682">
                    <w:t>11</w:t>
                  </w:r>
                  <w:r>
                    <w:t xml:space="preserve"> </w:t>
                  </w:r>
                  <w:r w:rsidRPr="00637682">
                    <w:t>514</w:t>
                  </w:r>
                </w:p>
              </w:tc>
              <w:tc>
                <w:tcPr>
                  <w:tcW w:w="917" w:type="pct"/>
                </w:tcPr>
                <w:p w14:paraId="242F7D14" w14:textId="7EDC8C09" w:rsidR="00D72F59" w:rsidRDefault="00D72F59" w:rsidP="00D72F59">
                  <w:pPr>
                    <w:pStyle w:val="TableBodyText"/>
                    <w:ind w:right="28"/>
                  </w:pPr>
                  <w:r w:rsidRPr="00637682">
                    <w:t>13</w:t>
                  </w:r>
                  <w:r>
                    <w:t xml:space="preserve"> </w:t>
                  </w:r>
                  <w:r w:rsidRPr="00637682">
                    <w:t>009</w:t>
                  </w:r>
                </w:p>
              </w:tc>
            </w:tr>
            <w:tr w:rsidR="00D72F59" w14:paraId="285C80E7" w14:textId="77777777" w:rsidTr="00822E3B">
              <w:tc>
                <w:tcPr>
                  <w:tcW w:w="2168" w:type="pct"/>
                </w:tcPr>
                <w:p w14:paraId="3EE7AEE3" w14:textId="6DF52B34" w:rsidR="00D72F59" w:rsidRDefault="00D72F59" w:rsidP="00D72F59">
                  <w:pPr>
                    <w:pStyle w:val="TableBodyText"/>
                    <w:jc w:val="left"/>
                  </w:pPr>
                  <w:r>
                    <w:rPr>
                      <w:b/>
                    </w:rPr>
                    <w:t>Non-acute beds</w:t>
                  </w:r>
                </w:p>
              </w:tc>
              <w:tc>
                <w:tcPr>
                  <w:tcW w:w="999" w:type="pct"/>
                </w:tcPr>
                <w:p w14:paraId="592D0E4F" w14:textId="77777777" w:rsidR="00D72F59" w:rsidRDefault="00D72F59" w:rsidP="00D72F59">
                  <w:pPr>
                    <w:pStyle w:val="TableBodyText"/>
                  </w:pPr>
                </w:p>
              </w:tc>
              <w:tc>
                <w:tcPr>
                  <w:tcW w:w="916" w:type="pct"/>
                </w:tcPr>
                <w:p w14:paraId="308AD05B" w14:textId="77777777" w:rsidR="00D72F59" w:rsidRDefault="00D72F59" w:rsidP="00D72F59">
                  <w:pPr>
                    <w:pStyle w:val="TableBodyText"/>
                  </w:pPr>
                </w:p>
              </w:tc>
              <w:tc>
                <w:tcPr>
                  <w:tcW w:w="917" w:type="pct"/>
                </w:tcPr>
                <w:p w14:paraId="5867FCDD" w14:textId="77777777" w:rsidR="00D72F59" w:rsidRDefault="00D72F59" w:rsidP="00D72F59">
                  <w:pPr>
                    <w:pStyle w:val="TableBodyText"/>
                    <w:ind w:right="28"/>
                  </w:pPr>
                </w:p>
              </w:tc>
            </w:tr>
            <w:tr w:rsidR="00D72F59" w14:paraId="606BA132" w14:textId="77777777" w:rsidTr="00822E3B">
              <w:tc>
                <w:tcPr>
                  <w:tcW w:w="2168" w:type="pct"/>
                </w:tcPr>
                <w:p w14:paraId="666923D9" w14:textId="7187667E" w:rsidR="00D72F59" w:rsidRDefault="00D72F59" w:rsidP="00D72F59">
                  <w:pPr>
                    <w:pStyle w:val="TableBodyText"/>
                    <w:jc w:val="left"/>
                  </w:pPr>
                  <w:r>
                    <w:t>Additional people employed</w:t>
                  </w:r>
                </w:p>
              </w:tc>
              <w:tc>
                <w:tcPr>
                  <w:tcW w:w="999" w:type="pct"/>
                  <w:tcBorders>
                    <w:top w:val="nil"/>
                    <w:left w:val="nil"/>
                    <w:bottom w:val="nil"/>
                    <w:right w:val="nil"/>
                  </w:tcBorders>
                  <w:shd w:val="clear" w:color="auto" w:fill="auto"/>
                </w:tcPr>
                <w:p w14:paraId="6A913C8E" w14:textId="7273F2AC" w:rsidR="00D72F59" w:rsidRDefault="00D72F59" w:rsidP="00D72F59">
                  <w:pPr>
                    <w:pStyle w:val="TableBodyText"/>
                  </w:pPr>
                  <w:r w:rsidRPr="006D11C8">
                    <w:t>1262</w:t>
                  </w:r>
                </w:p>
              </w:tc>
              <w:tc>
                <w:tcPr>
                  <w:tcW w:w="916" w:type="pct"/>
                  <w:tcBorders>
                    <w:top w:val="nil"/>
                    <w:left w:val="nil"/>
                    <w:bottom w:val="nil"/>
                    <w:right w:val="nil"/>
                  </w:tcBorders>
                  <w:shd w:val="clear" w:color="auto" w:fill="auto"/>
                </w:tcPr>
                <w:p w14:paraId="60CD1609" w14:textId="653196E9" w:rsidR="00D72F59" w:rsidRDefault="00D72F59" w:rsidP="00D72F59">
                  <w:pPr>
                    <w:pStyle w:val="TableBodyText"/>
                  </w:pPr>
                  <w:r w:rsidRPr="006D11C8">
                    <w:t>1472</w:t>
                  </w:r>
                </w:p>
              </w:tc>
              <w:tc>
                <w:tcPr>
                  <w:tcW w:w="917" w:type="pct"/>
                  <w:tcBorders>
                    <w:top w:val="nil"/>
                    <w:left w:val="nil"/>
                    <w:bottom w:val="nil"/>
                    <w:right w:val="nil"/>
                  </w:tcBorders>
                  <w:shd w:val="clear" w:color="auto" w:fill="auto"/>
                </w:tcPr>
                <w:p w14:paraId="36D33A2D" w14:textId="3A774E2C" w:rsidR="00D72F59" w:rsidRDefault="00D72F59" w:rsidP="00D72F59">
                  <w:pPr>
                    <w:pStyle w:val="TableBodyText"/>
                    <w:ind w:right="28"/>
                  </w:pPr>
                  <w:r w:rsidRPr="006D11C8">
                    <w:t>1689</w:t>
                  </w:r>
                </w:p>
              </w:tc>
            </w:tr>
            <w:tr w:rsidR="00D72F59" w14:paraId="1EB466AC" w14:textId="77777777" w:rsidTr="00822E3B">
              <w:tc>
                <w:tcPr>
                  <w:tcW w:w="2168" w:type="pct"/>
                </w:tcPr>
                <w:p w14:paraId="1C13D4A2" w14:textId="0DFECC8C" w:rsidR="00D72F59" w:rsidRDefault="00D72F59" w:rsidP="00D72F59">
                  <w:pPr>
                    <w:pStyle w:val="TableBodyText"/>
                    <w:jc w:val="left"/>
                  </w:pPr>
                  <w:r>
                    <w:t>Additional income ($m)</w:t>
                  </w:r>
                </w:p>
              </w:tc>
              <w:tc>
                <w:tcPr>
                  <w:tcW w:w="999" w:type="pct"/>
                  <w:tcBorders>
                    <w:top w:val="nil"/>
                    <w:left w:val="nil"/>
                    <w:bottom w:val="nil"/>
                    <w:right w:val="nil"/>
                  </w:tcBorders>
                  <w:shd w:val="clear" w:color="auto" w:fill="auto"/>
                </w:tcPr>
                <w:p w14:paraId="3FD0F9AF" w14:textId="02F9D32E" w:rsidR="00D72F59" w:rsidRDefault="00D72F59" w:rsidP="00D72F59">
                  <w:pPr>
                    <w:pStyle w:val="TableBodyText"/>
                  </w:pPr>
                  <w:r w:rsidRPr="006D11C8">
                    <w:t>108</w:t>
                  </w:r>
                </w:p>
              </w:tc>
              <w:tc>
                <w:tcPr>
                  <w:tcW w:w="916" w:type="pct"/>
                  <w:tcBorders>
                    <w:top w:val="nil"/>
                    <w:left w:val="nil"/>
                    <w:bottom w:val="nil"/>
                    <w:right w:val="nil"/>
                  </w:tcBorders>
                  <w:shd w:val="clear" w:color="auto" w:fill="auto"/>
                </w:tcPr>
                <w:p w14:paraId="4F077634" w14:textId="452747A7" w:rsidR="00D72F59" w:rsidRDefault="00D72F59" w:rsidP="00D72F59">
                  <w:pPr>
                    <w:pStyle w:val="TableBodyText"/>
                  </w:pPr>
                  <w:r w:rsidRPr="006D11C8">
                    <w:t>126</w:t>
                  </w:r>
                </w:p>
              </w:tc>
              <w:tc>
                <w:tcPr>
                  <w:tcW w:w="917" w:type="pct"/>
                  <w:tcBorders>
                    <w:top w:val="nil"/>
                    <w:left w:val="nil"/>
                    <w:bottom w:val="nil"/>
                    <w:right w:val="nil"/>
                  </w:tcBorders>
                  <w:shd w:val="clear" w:color="auto" w:fill="auto"/>
                </w:tcPr>
                <w:p w14:paraId="6C4E9B9A" w14:textId="0EF4B780" w:rsidR="00D72F59" w:rsidRDefault="00D72F59" w:rsidP="00D72F59">
                  <w:pPr>
                    <w:pStyle w:val="TableBodyText"/>
                    <w:ind w:right="28"/>
                  </w:pPr>
                  <w:r w:rsidRPr="006D11C8">
                    <w:t>143</w:t>
                  </w:r>
                </w:p>
              </w:tc>
            </w:tr>
            <w:tr w:rsidR="00D72F59" w14:paraId="25079E87" w14:textId="77777777" w:rsidTr="00822E3B">
              <w:tc>
                <w:tcPr>
                  <w:tcW w:w="2168" w:type="pct"/>
                </w:tcPr>
                <w:p w14:paraId="09D3948D" w14:textId="5D306E35" w:rsidR="00D72F59" w:rsidRDefault="00D72F59" w:rsidP="00D72F59">
                  <w:pPr>
                    <w:pStyle w:val="TableBodyText"/>
                    <w:jc w:val="left"/>
                  </w:pPr>
                  <w:r>
                    <w:t xml:space="preserve">Additional </w:t>
                  </w:r>
                  <w:r w:rsidRPr="00CB3BA8">
                    <w:t>QALY</w:t>
                  </w:r>
                  <w:r>
                    <w:t>s</w:t>
                  </w:r>
                </w:p>
              </w:tc>
              <w:tc>
                <w:tcPr>
                  <w:tcW w:w="999" w:type="pct"/>
                  <w:tcBorders>
                    <w:top w:val="nil"/>
                    <w:left w:val="nil"/>
                    <w:bottom w:val="nil"/>
                    <w:right w:val="nil"/>
                  </w:tcBorders>
                  <w:shd w:val="clear" w:color="auto" w:fill="auto"/>
                </w:tcPr>
                <w:p w14:paraId="14F6A451" w14:textId="2600D6C0" w:rsidR="00D72F59" w:rsidRDefault="00D72F59" w:rsidP="00D72F59">
                  <w:pPr>
                    <w:pStyle w:val="TableBodyText"/>
                  </w:pPr>
                  <w:r w:rsidRPr="006D11C8">
                    <w:t>927</w:t>
                  </w:r>
                </w:p>
              </w:tc>
              <w:tc>
                <w:tcPr>
                  <w:tcW w:w="916" w:type="pct"/>
                  <w:tcBorders>
                    <w:top w:val="nil"/>
                    <w:left w:val="nil"/>
                    <w:bottom w:val="nil"/>
                    <w:right w:val="nil"/>
                  </w:tcBorders>
                  <w:shd w:val="clear" w:color="auto" w:fill="auto"/>
                </w:tcPr>
                <w:p w14:paraId="550A68A7" w14:textId="093B4205" w:rsidR="00D72F59" w:rsidRDefault="00D72F59" w:rsidP="00D72F59">
                  <w:pPr>
                    <w:pStyle w:val="TableBodyText"/>
                  </w:pPr>
                  <w:r w:rsidRPr="006D11C8">
                    <w:t>1052</w:t>
                  </w:r>
                </w:p>
              </w:tc>
              <w:tc>
                <w:tcPr>
                  <w:tcW w:w="917" w:type="pct"/>
                  <w:tcBorders>
                    <w:top w:val="nil"/>
                    <w:left w:val="nil"/>
                    <w:bottom w:val="nil"/>
                    <w:right w:val="nil"/>
                  </w:tcBorders>
                  <w:shd w:val="clear" w:color="auto" w:fill="auto"/>
                </w:tcPr>
                <w:p w14:paraId="0B5DB579" w14:textId="41606B1F" w:rsidR="00D72F59" w:rsidRDefault="00D72F59" w:rsidP="00D72F59">
                  <w:pPr>
                    <w:pStyle w:val="TableBodyText"/>
                    <w:ind w:right="28"/>
                  </w:pPr>
                  <w:r w:rsidRPr="006D11C8">
                    <w:t>1188</w:t>
                  </w:r>
                </w:p>
              </w:tc>
            </w:tr>
            <w:tr w:rsidR="00D72F59" w14:paraId="3171F7AA" w14:textId="77777777" w:rsidTr="00822E3B">
              <w:tc>
                <w:tcPr>
                  <w:tcW w:w="2168" w:type="pct"/>
                </w:tcPr>
                <w:p w14:paraId="30596408" w14:textId="2AFA4BAC" w:rsidR="00D72F59" w:rsidRDefault="00D72F59" w:rsidP="00D72F59">
                  <w:pPr>
                    <w:pStyle w:val="TableBodyText"/>
                    <w:jc w:val="left"/>
                  </w:pPr>
                  <w:r>
                    <w:rPr>
                      <w:b/>
                    </w:rPr>
                    <w:t>Children and young people</w:t>
                  </w:r>
                </w:p>
              </w:tc>
              <w:tc>
                <w:tcPr>
                  <w:tcW w:w="999" w:type="pct"/>
                </w:tcPr>
                <w:p w14:paraId="705F4937" w14:textId="77777777" w:rsidR="00D72F59" w:rsidRDefault="00D72F59" w:rsidP="00D72F59">
                  <w:pPr>
                    <w:pStyle w:val="TableBodyText"/>
                  </w:pPr>
                </w:p>
              </w:tc>
              <w:tc>
                <w:tcPr>
                  <w:tcW w:w="916" w:type="pct"/>
                </w:tcPr>
                <w:p w14:paraId="1288B9AC" w14:textId="77777777" w:rsidR="00D72F59" w:rsidRDefault="00D72F59" w:rsidP="00D72F59">
                  <w:pPr>
                    <w:pStyle w:val="TableBodyText"/>
                  </w:pPr>
                </w:p>
              </w:tc>
              <w:tc>
                <w:tcPr>
                  <w:tcW w:w="917" w:type="pct"/>
                </w:tcPr>
                <w:p w14:paraId="2247A42C" w14:textId="77777777" w:rsidR="00D72F59" w:rsidRDefault="00D72F59" w:rsidP="00D72F59">
                  <w:pPr>
                    <w:pStyle w:val="TableBodyText"/>
                    <w:ind w:right="28"/>
                  </w:pPr>
                </w:p>
              </w:tc>
            </w:tr>
            <w:tr w:rsidR="00D72F59" w14:paraId="751CE806" w14:textId="77777777" w:rsidTr="00822E3B">
              <w:tc>
                <w:tcPr>
                  <w:tcW w:w="2168" w:type="pct"/>
                </w:tcPr>
                <w:p w14:paraId="7C36F9C3" w14:textId="5F35BCEE" w:rsidR="00D72F59" w:rsidRDefault="00D72F59" w:rsidP="00D72F59">
                  <w:pPr>
                    <w:pStyle w:val="TableBodyText"/>
                    <w:jc w:val="left"/>
                  </w:pPr>
                  <w:r>
                    <w:t>Additional people employed</w:t>
                  </w:r>
                </w:p>
              </w:tc>
              <w:tc>
                <w:tcPr>
                  <w:tcW w:w="999" w:type="pct"/>
                </w:tcPr>
                <w:p w14:paraId="6418B934" w14:textId="2B9DE030" w:rsidR="00D72F59" w:rsidRDefault="00D72F59" w:rsidP="00D72F59">
                  <w:pPr>
                    <w:pStyle w:val="TableBodyText"/>
                  </w:pPr>
                  <w:r w:rsidRPr="00492984">
                    <w:t>43</w:t>
                  </w:r>
                  <w:r>
                    <w:t xml:space="preserve"> </w:t>
                  </w:r>
                  <w:r w:rsidRPr="00492984">
                    <w:t>132</w:t>
                  </w:r>
                </w:p>
              </w:tc>
              <w:tc>
                <w:tcPr>
                  <w:tcW w:w="916" w:type="pct"/>
                </w:tcPr>
                <w:p w14:paraId="2385FA67" w14:textId="62AE503A" w:rsidR="00D72F59" w:rsidRDefault="00D72F59" w:rsidP="00D72F59">
                  <w:pPr>
                    <w:pStyle w:val="TableBodyText"/>
                  </w:pPr>
                  <w:r w:rsidRPr="00492984">
                    <w:t>50</w:t>
                  </w:r>
                  <w:r>
                    <w:t xml:space="preserve"> </w:t>
                  </w:r>
                  <w:r w:rsidRPr="00492984">
                    <w:t>734</w:t>
                  </w:r>
                </w:p>
              </w:tc>
              <w:tc>
                <w:tcPr>
                  <w:tcW w:w="917" w:type="pct"/>
                </w:tcPr>
                <w:p w14:paraId="65E3F438" w14:textId="5448A327" w:rsidR="00D72F59" w:rsidRDefault="00D72F59" w:rsidP="00D72F59">
                  <w:pPr>
                    <w:pStyle w:val="TableBodyText"/>
                    <w:ind w:right="28"/>
                  </w:pPr>
                  <w:r w:rsidRPr="00492984">
                    <w:t>58</w:t>
                  </w:r>
                  <w:r>
                    <w:t xml:space="preserve"> </w:t>
                  </w:r>
                  <w:r w:rsidRPr="00492984">
                    <w:t>515</w:t>
                  </w:r>
                </w:p>
              </w:tc>
            </w:tr>
            <w:tr w:rsidR="00D72F59" w14:paraId="2794AB1C" w14:textId="77777777" w:rsidTr="00822E3B">
              <w:tc>
                <w:tcPr>
                  <w:tcW w:w="2168" w:type="pct"/>
                </w:tcPr>
                <w:p w14:paraId="70FE2CA8" w14:textId="01A7E018" w:rsidR="00D72F59" w:rsidRDefault="00D72F59" w:rsidP="00D72F59">
                  <w:pPr>
                    <w:pStyle w:val="TableBodyText"/>
                    <w:jc w:val="left"/>
                  </w:pPr>
                  <w:r>
                    <w:t>Additional income ($m)</w:t>
                  </w:r>
                </w:p>
              </w:tc>
              <w:tc>
                <w:tcPr>
                  <w:tcW w:w="999" w:type="pct"/>
                </w:tcPr>
                <w:p w14:paraId="62041A3F" w14:textId="204CB2CA" w:rsidR="00D72F59" w:rsidRDefault="00D72F59" w:rsidP="00D72F59">
                  <w:pPr>
                    <w:pStyle w:val="TableBodyText"/>
                  </w:pPr>
                  <w:r w:rsidRPr="00492984">
                    <w:t>4266</w:t>
                  </w:r>
                </w:p>
              </w:tc>
              <w:tc>
                <w:tcPr>
                  <w:tcW w:w="916" w:type="pct"/>
                </w:tcPr>
                <w:p w14:paraId="526FCE68" w14:textId="3973C075" w:rsidR="00D72F59" w:rsidRDefault="00D72F59" w:rsidP="00D72F59">
                  <w:pPr>
                    <w:pStyle w:val="TableBodyText"/>
                  </w:pPr>
                  <w:r w:rsidRPr="00492984">
                    <w:t>4938</w:t>
                  </w:r>
                </w:p>
              </w:tc>
              <w:tc>
                <w:tcPr>
                  <w:tcW w:w="917" w:type="pct"/>
                </w:tcPr>
                <w:p w14:paraId="264E5EB9" w14:textId="28AB1C03" w:rsidR="00D72F59" w:rsidRDefault="00D72F59" w:rsidP="00D72F59">
                  <w:pPr>
                    <w:pStyle w:val="TableBodyText"/>
                    <w:ind w:right="28"/>
                  </w:pPr>
                  <w:r w:rsidRPr="00492984">
                    <w:t>5569</w:t>
                  </w:r>
                </w:p>
              </w:tc>
            </w:tr>
            <w:tr w:rsidR="00D72F59" w14:paraId="71CB7897" w14:textId="77777777" w:rsidTr="00822E3B">
              <w:tc>
                <w:tcPr>
                  <w:tcW w:w="2168" w:type="pct"/>
                </w:tcPr>
                <w:p w14:paraId="0D752B17" w14:textId="475E769B" w:rsidR="00D72F59" w:rsidRDefault="00D72F59" w:rsidP="00D72F59">
                  <w:pPr>
                    <w:pStyle w:val="TableBodyText"/>
                    <w:jc w:val="left"/>
                  </w:pPr>
                  <w:r>
                    <w:t xml:space="preserve">Additional </w:t>
                  </w:r>
                  <w:r w:rsidRPr="00CB3BA8">
                    <w:t>QALY</w:t>
                  </w:r>
                  <w:r>
                    <w:t>s</w:t>
                  </w:r>
                </w:p>
              </w:tc>
              <w:tc>
                <w:tcPr>
                  <w:tcW w:w="999" w:type="pct"/>
                </w:tcPr>
                <w:p w14:paraId="6302C3A1" w14:textId="0DF8F825" w:rsidR="00D72F59" w:rsidRDefault="00D72F59" w:rsidP="00D72F59">
                  <w:pPr>
                    <w:pStyle w:val="TableBodyText"/>
                  </w:pPr>
                  <w:r w:rsidRPr="00492984">
                    <w:t>33</w:t>
                  </w:r>
                  <w:r>
                    <w:t xml:space="preserve"> </w:t>
                  </w:r>
                  <w:r w:rsidRPr="00492984">
                    <w:t>445</w:t>
                  </w:r>
                </w:p>
              </w:tc>
              <w:tc>
                <w:tcPr>
                  <w:tcW w:w="916" w:type="pct"/>
                </w:tcPr>
                <w:p w14:paraId="7C17F31E" w14:textId="23546322" w:rsidR="00D72F59" w:rsidRDefault="00D72F59" w:rsidP="00D72F59">
                  <w:pPr>
                    <w:pStyle w:val="TableBodyText"/>
                  </w:pPr>
                  <w:r w:rsidRPr="00492984">
                    <w:t>37</w:t>
                  </w:r>
                  <w:r>
                    <w:t xml:space="preserve"> </w:t>
                  </w:r>
                  <w:r w:rsidRPr="00492984">
                    <w:t>960</w:t>
                  </w:r>
                </w:p>
              </w:tc>
              <w:tc>
                <w:tcPr>
                  <w:tcW w:w="917" w:type="pct"/>
                </w:tcPr>
                <w:p w14:paraId="3DD6BADD" w14:textId="776BD1F6" w:rsidR="00D72F59" w:rsidRDefault="00D72F59" w:rsidP="00D72F59">
                  <w:pPr>
                    <w:pStyle w:val="TableBodyText"/>
                    <w:ind w:right="28"/>
                  </w:pPr>
                  <w:r w:rsidRPr="00492984">
                    <w:t>42</w:t>
                  </w:r>
                  <w:r>
                    <w:t xml:space="preserve"> </w:t>
                  </w:r>
                  <w:r w:rsidRPr="00492984">
                    <w:t>912</w:t>
                  </w:r>
                </w:p>
              </w:tc>
            </w:tr>
            <w:tr w:rsidR="00D72F59" w14:paraId="3FDB9829" w14:textId="77777777" w:rsidTr="00822E3B">
              <w:tc>
                <w:tcPr>
                  <w:tcW w:w="2168" w:type="pct"/>
                </w:tcPr>
                <w:p w14:paraId="25C7F947" w14:textId="7E62B68F" w:rsidR="00D72F59" w:rsidRDefault="00D72F59" w:rsidP="00D72F59">
                  <w:pPr>
                    <w:pStyle w:val="TableBodyText"/>
                    <w:jc w:val="left"/>
                  </w:pPr>
                  <w:r>
                    <w:rPr>
                      <w:b/>
                    </w:rPr>
                    <w:t>Suicide prevention (annual)</w:t>
                  </w:r>
                </w:p>
              </w:tc>
              <w:tc>
                <w:tcPr>
                  <w:tcW w:w="999" w:type="pct"/>
                </w:tcPr>
                <w:p w14:paraId="03B2F269" w14:textId="77777777" w:rsidR="00D72F59" w:rsidRDefault="00D72F59" w:rsidP="00D72F59">
                  <w:pPr>
                    <w:pStyle w:val="TableBodyText"/>
                  </w:pPr>
                </w:p>
              </w:tc>
              <w:tc>
                <w:tcPr>
                  <w:tcW w:w="916" w:type="pct"/>
                </w:tcPr>
                <w:p w14:paraId="030A62EA" w14:textId="77777777" w:rsidR="00D72F59" w:rsidRDefault="00D72F59" w:rsidP="00D72F59">
                  <w:pPr>
                    <w:pStyle w:val="TableBodyText"/>
                  </w:pPr>
                </w:p>
              </w:tc>
              <w:tc>
                <w:tcPr>
                  <w:tcW w:w="917" w:type="pct"/>
                </w:tcPr>
                <w:p w14:paraId="40816A66" w14:textId="77777777" w:rsidR="00D72F59" w:rsidRDefault="00D72F59" w:rsidP="00D72F59">
                  <w:pPr>
                    <w:pStyle w:val="TableBodyText"/>
                    <w:ind w:right="28"/>
                  </w:pPr>
                </w:p>
              </w:tc>
            </w:tr>
            <w:tr w:rsidR="00D72F59" w14:paraId="31763219" w14:textId="77777777" w:rsidTr="00822E3B">
              <w:tc>
                <w:tcPr>
                  <w:tcW w:w="2168" w:type="pct"/>
                </w:tcPr>
                <w:p w14:paraId="20B20199" w14:textId="2C02973E" w:rsidR="00D72F59" w:rsidRDefault="00D72F59" w:rsidP="00D72F59">
                  <w:pPr>
                    <w:pStyle w:val="TableBodyText"/>
                    <w:jc w:val="left"/>
                  </w:pPr>
                  <w:r>
                    <w:t>Additional people employed</w:t>
                  </w:r>
                </w:p>
              </w:tc>
              <w:tc>
                <w:tcPr>
                  <w:tcW w:w="999" w:type="pct"/>
                </w:tcPr>
                <w:p w14:paraId="67F41EA6" w14:textId="7A70F2C5" w:rsidR="00D72F59" w:rsidRDefault="00D72F59" w:rsidP="00D72F59">
                  <w:pPr>
                    <w:pStyle w:val="TableBodyText"/>
                  </w:pPr>
                  <w:r w:rsidRPr="002F1684">
                    <w:t>823</w:t>
                  </w:r>
                </w:p>
              </w:tc>
              <w:tc>
                <w:tcPr>
                  <w:tcW w:w="916" w:type="pct"/>
                </w:tcPr>
                <w:p w14:paraId="1B48BEDE" w14:textId="5A1E7A2F" w:rsidR="00D72F59" w:rsidRDefault="00D72F59" w:rsidP="00D72F59">
                  <w:pPr>
                    <w:pStyle w:val="TableBodyText"/>
                  </w:pPr>
                  <w:r w:rsidRPr="002F1684">
                    <w:t>829</w:t>
                  </w:r>
                </w:p>
              </w:tc>
              <w:tc>
                <w:tcPr>
                  <w:tcW w:w="917" w:type="pct"/>
                </w:tcPr>
                <w:p w14:paraId="50CF0817" w14:textId="5E423869" w:rsidR="00D72F59" w:rsidRDefault="00D72F59" w:rsidP="00D72F59">
                  <w:pPr>
                    <w:pStyle w:val="TableBodyText"/>
                    <w:ind w:right="28"/>
                  </w:pPr>
                  <w:r w:rsidRPr="002F1684">
                    <w:t>835</w:t>
                  </w:r>
                </w:p>
              </w:tc>
            </w:tr>
            <w:tr w:rsidR="00D72F59" w14:paraId="36EBADEA" w14:textId="77777777" w:rsidTr="00822E3B">
              <w:tc>
                <w:tcPr>
                  <w:tcW w:w="2168" w:type="pct"/>
                </w:tcPr>
                <w:p w14:paraId="1E6CB776" w14:textId="2D7AFE18" w:rsidR="00D72F59" w:rsidRDefault="00D72F59" w:rsidP="00D72F59">
                  <w:pPr>
                    <w:pStyle w:val="TableBodyText"/>
                    <w:jc w:val="left"/>
                  </w:pPr>
                  <w:r>
                    <w:t>Additional income ($m)</w:t>
                  </w:r>
                </w:p>
              </w:tc>
              <w:tc>
                <w:tcPr>
                  <w:tcW w:w="999" w:type="pct"/>
                </w:tcPr>
                <w:p w14:paraId="4BC6DD31" w14:textId="6272B269" w:rsidR="00D72F59" w:rsidRDefault="00D72F59" w:rsidP="00D72F59">
                  <w:pPr>
                    <w:pStyle w:val="TableBodyText"/>
                  </w:pPr>
                  <w:r w:rsidRPr="002F1684">
                    <w:t>54.7</w:t>
                  </w:r>
                </w:p>
              </w:tc>
              <w:tc>
                <w:tcPr>
                  <w:tcW w:w="916" w:type="pct"/>
                </w:tcPr>
                <w:p w14:paraId="27208AE7" w14:textId="65336239" w:rsidR="00D72F59" w:rsidRDefault="00D72F59" w:rsidP="00D72F59">
                  <w:pPr>
                    <w:pStyle w:val="TableBodyText"/>
                  </w:pPr>
                  <w:r w:rsidRPr="002F1684">
                    <w:t>55.3</w:t>
                  </w:r>
                </w:p>
              </w:tc>
              <w:tc>
                <w:tcPr>
                  <w:tcW w:w="917" w:type="pct"/>
                </w:tcPr>
                <w:p w14:paraId="267D7B30" w14:textId="7F4C1D1D" w:rsidR="00D72F59" w:rsidRDefault="00D72F59" w:rsidP="00D72F59">
                  <w:pPr>
                    <w:pStyle w:val="TableBodyText"/>
                    <w:ind w:right="28"/>
                  </w:pPr>
                  <w:r w:rsidRPr="002F1684">
                    <w:t>55.9</w:t>
                  </w:r>
                </w:p>
              </w:tc>
            </w:tr>
            <w:tr w:rsidR="00D72F59" w14:paraId="4BBC6D2C" w14:textId="77777777" w:rsidTr="00822E3B">
              <w:tc>
                <w:tcPr>
                  <w:tcW w:w="2168" w:type="pct"/>
                </w:tcPr>
                <w:p w14:paraId="0A7BBCCF" w14:textId="2605DDC5" w:rsidR="00D72F59" w:rsidRDefault="00D72F59" w:rsidP="00D72F59">
                  <w:pPr>
                    <w:pStyle w:val="TableBodyText"/>
                    <w:jc w:val="left"/>
                  </w:pPr>
                  <w:r>
                    <w:t xml:space="preserve">Additional </w:t>
                  </w:r>
                  <w:r w:rsidRPr="00CB3BA8">
                    <w:t>QALY</w:t>
                  </w:r>
                  <w:r>
                    <w:t>s</w:t>
                  </w:r>
                </w:p>
              </w:tc>
              <w:tc>
                <w:tcPr>
                  <w:tcW w:w="999" w:type="pct"/>
                </w:tcPr>
                <w:p w14:paraId="4806F9A9" w14:textId="4A198856" w:rsidR="00D72F59" w:rsidRDefault="00D72F59" w:rsidP="00D72F59">
                  <w:pPr>
                    <w:pStyle w:val="TableBodyText"/>
                  </w:pPr>
                  <w:r w:rsidRPr="002F1684">
                    <w:t>692</w:t>
                  </w:r>
                </w:p>
              </w:tc>
              <w:tc>
                <w:tcPr>
                  <w:tcW w:w="916" w:type="pct"/>
                </w:tcPr>
                <w:p w14:paraId="4EA4A588" w14:textId="509026CE" w:rsidR="00D72F59" w:rsidRDefault="00D72F59" w:rsidP="00D72F59">
                  <w:pPr>
                    <w:pStyle w:val="TableBodyText"/>
                  </w:pPr>
                  <w:r w:rsidRPr="002F1684">
                    <w:t>696</w:t>
                  </w:r>
                </w:p>
              </w:tc>
              <w:tc>
                <w:tcPr>
                  <w:tcW w:w="917" w:type="pct"/>
                </w:tcPr>
                <w:p w14:paraId="1D6F23C8" w14:textId="452D8554" w:rsidR="00D72F59" w:rsidRDefault="00D72F59" w:rsidP="00D72F59">
                  <w:pPr>
                    <w:pStyle w:val="TableBodyText"/>
                    <w:ind w:right="28"/>
                  </w:pPr>
                  <w:r w:rsidRPr="002F1684">
                    <w:t>700</w:t>
                  </w:r>
                </w:p>
              </w:tc>
            </w:tr>
            <w:tr w:rsidR="00D72F59" w14:paraId="3C33B8F2" w14:textId="77777777" w:rsidTr="00822E3B">
              <w:tc>
                <w:tcPr>
                  <w:tcW w:w="2168" w:type="pct"/>
                </w:tcPr>
                <w:p w14:paraId="16B50FB2" w14:textId="7E60AED8" w:rsidR="00D72F59" w:rsidRDefault="00D72F59" w:rsidP="00D72F59">
                  <w:pPr>
                    <w:pStyle w:val="TableBodyText"/>
                    <w:jc w:val="left"/>
                  </w:pPr>
                  <w:r>
                    <w:rPr>
                      <w:b/>
                    </w:rPr>
                    <w:t>Suicide prevention (lifetime)</w:t>
                  </w:r>
                </w:p>
              </w:tc>
              <w:tc>
                <w:tcPr>
                  <w:tcW w:w="999" w:type="pct"/>
                </w:tcPr>
                <w:p w14:paraId="3B27E9EB" w14:textId="77777777" w:rsidR="00D72F59" w:rsidRDefault="00D72F59" w:rsidP="00D72F59">
                  <w:pPr>
                    <w:pStyle w:val="TableBodyText"/>
                  </w:pPr>
                </w:p>
              </w:tc>
              <w:tc>
                <w:tcPr>
                  <w:tcW w:w="916" w:type="pct"/>
                </w:tcPr>
                <w:p w14:paraId="0545B670" w14:textId="77777777" w:rsidR="00D72F59" w:rsidRDefault="00D72F59" w:rsidP="00D72F59">
                  <w:pPr>
                    <w:pStyle w:val="TableBodyText"/>
                  </w:pPr>
                </w:p>
              </w:tc>
              <w:tc>
                <w:tcPr>
                  <w:tcW w:w="917" w:type="pct"/>
                </w:tcPr>
                <w:p w14:paraId="5E74A6E6" w14:textId="77777777" w:rsidR="00D72F59" w:rsidRDefault="00D72F59" w:rsidP="00D72F59">
                  <w:pPr>
                    <w:pStyle w:val="TableBodyText"/>
                    <w:ind w:right="28"/>
                  </w:pPr>
                </w:p>
              </w:tc>
            </w:tr>
            <w:tr w:rsidR="00D72F59" w14:paraId="6E11DEFD" w14:textId="77777777" w:rsidTr="00822E3B">
              <w:tc>
                <w:tcPr>
                  <w:tcW w:w="2168" w:type="pct"/>
                </w:tcPr>
                <w:p w14:paraId="274AEB44" w14:textId="5E2091AC" w:rsidR="00D72F59" w:rsidRDefault="00D72F59" w:rsidP="00D72F59">
                  <w:pPr>
                    <w:pStyle w:val="TableBodyText"/>
                    <w:jc w:val="left"/>
                  </w:pPr>
                  <w:r>
                    <w:t>Additional income ($m)</w:t>
                  </w:r>
                </w:p>
              </w:tc>
              <w:tc>
                <w:tcPr>
                  <w:tcW w:w="999" w:type="pct"/>
                </w:tcPr>
                <w:p w14:paraId="003050E5" w14:textId="22816168" w:rsidR="00D72F59" w:rsidRDefault="00D72F59" w:rsidP="00D72F59">
                  <w:pPr>
                    <w:pStyle w:val="TableBodyText"/>
                  </w:pPr>
                  <w:r>
                    <w:rPr>
                      <w:rFonts w:cs="Arial"/>
                      <w:szCs w:val="18"/>
                    </w:rPr>
                    <w:t>1308</w:t>
                  </w:r>
                </w:p>
              </w:tc>
              <w:tc>
                <w:tcPr>
                  <w:tcW w:w="916" w:type="pct"/>
                </w:tcPr>
                <w:p w14:paraId="589C15B7" w14:textId="5882982A" w:rsidR="00D72F59" w:rsidRDefault="00D72F59" w:rsidP="00D72F59">
                  <w:pPr>
                    <w:pStyle w:val="TableBodyText"/>
                  </w:pPr>
                  <w:r>
                    <w:rPr>
                      <w:rFonts w:cs="Arial"/>
                      <w:szCs w:val="18"/>
                    </w:rPr>
                    <w:t>1322</w:t>
                  </w:r>
                </w:p>
              </w:tc>
              <w:tc>
                <w:tcPr>
                  <w:tcW w:w="917" w:type="pct"/>
                </w:tcPr>
                <w:p w14:paraId="76F9F3FB" w14:textId="251464BE" w:rsidR="00D72F59" w:rsidRDefault="00D72F59" w:rsidP="00D72F59">
                  <w:pPr>
                    <w:pStyle w:val="TableBodyText"/>
                    <w:ind w:right="28"/>
                  </w:pPr>
                  <w:r>
                    <w:rPr>
                      <w:rFonts w:cs="Arial"/>
                      <w:szCs w:val="18"/>
                    </w:rPr>
                    <w:t>1337</w:t>
                  </w:r>
                </w:p>
              </w:tc>
            </w:tr>
            <w:tr w:rsidR="00D72F59" w14:paraId="0B74E4AD" w14:textId="77777777" w:rsidTr="00822E3B">
              <w:tc>
                <w:tcPr>
                  <w:tcW w:w="2168" w:type="pct"/>
                  <w:shd w:val="clear" w:color="auto" w:fill="auto"/>
                </w:tcPr>
                <w:p w14:paraId="7C05BB93" w14:textId="1A698C91" w:rsidR="00D72F59" w:rsidRDefault="00D72F59" w:rsidP="00D72F59">
                  <w:pPr>
                    <w:pStyle w:val="TableBodyText"/>
                    <w:jc w:val="left"/>
                  </w:pPr>
                  <w:r>
                    <w:rPr>
                      <w:b/>
                    </w:rPr>
                    <w:t>Workers compensation</w:t>
                  </w:r>
                </w:p>
              </w:tc>
              <w:tc>
                <w:tcPr>
                  <w:tcW w:w="999" w:type="pct"/>
                </w:tcPr>
                <w:p w14:paraId="02F9EA78" w14:textId="77777777" w:rsidR="00D72F59" w:rsidRDefault="00D72F59" w:rsidP="00D72F59">
                  <w:pPr>
                    <w:pStyle w:val="TableBodyText"/>
                  </w:pPr>
                </w:p>
              </w:tc>
              <w:tc>
                <w:tcPr>
                  <w:tcW w:w="916" w:type="pct"/>
                </w:tcPr>
                <w:p w14:paraId="48A4BF02" w14:textId="77777777" w:rsidR="00D72F59" w:rsidRDefault="00D72F59" w:rsidP="00D72F59">
                  <w:pPr>
                    <w:pStyle w:val="TableBodyText"/>
                  </w:pPr>
                </w:p>
              </w:tc>
              <w:tc>
                <w:tcPr>
                  <w:tcW w:w="917" w:type="pct"/>
                  <w:shd w:val="clear" w:color="auto" w:fill="auto"/>
                </w:tcPr>
                <w:p w14:paraId="73407928" w14:textId="77777777" w:rsidR="00D72F59" w:rsidRDefault="00D72F59" w:rsidP="00D72F59">
                  <w:pPr>
                    <w:pStyle w:val="TableBodyText"/>
                    <w:ind w:right="28"/>
                  </w:pPr>
                </w:p>
              </w:tc>
            </w:tr>
            <w:tr w:rsidR="00D72F59" w14:paraId="765ED098" w14:textId="77777777" w:rsidTr="00822E3B">
              <w:tc>
                <w:tcPr>
                  <w:tcW w:w="2168" w:type="pct"/>
                  <w:shd w:val="clear" w:color="auto" w:fill="auto"/>
                </w:tcPr>
                <w:p w14:paraId="1E757F1E" w14:textId="5E424B59" w:rsidR="00D72F59" w:rsidRDefault="00D72F59" w:rsidP="00D72F59">
                  <w:pPr>
                    <w:pStyle w:val="TableBodyText"/>
                    <w:jc w:val="left"/>
                  </w:pPr>
                  <w:r>
                    <w:t>Additional income ($m)</w:t>
                  </w:r>
                </w:p>
              </w:tc>
              <w:tc>
                <w:tcPr>
                  <w:tcW w:w="999" w:type="pct"/>
                </w:tcPr>
                <w:p w14:paraId="1C9A5334" w14:textId="305189C6" w:rsidR="00D72F59" w:rsidRDefault="00D72F59" w:rsidP="00D72F59">
                  <w:pPr>
                    <w:pStyle w:val="TableBodyText"/>
                  </w:pPr>
                  <w:r w:rsidRPr="00342293">
                    <w:t>118.8</w:t>
                  </w:r>
                </w:p>
              </w:tc>
              <w:tc>
                <w:tcPr>
                  <w:tcW w:w="916" w:type="pct"/>
                </w:tcPr>
                <w:p w14:paraId="6776B94C" w14:textId="431F2EBF" w:rsidR="00D72F59" w:rsidRDefault="00D72F59" w:rsidP="00D72F59">
                  <w:pPr>
                    <w:pStyle w:val="TableBodyText"/>
                  </w:pPr>
                  <w:r w:rsidRPr="00342293">
                    <w:t>121.3</w:t>
                  </w:r>
                </w:p>
              </w:tc>
              <w:tc>
                <w:tcPr>
                  <w:tcW w:w="917" w:type="pct"/>
                  <w:shd w:val="clear" w:color="auto" w:fill="auto"/>
                </w:tcPr>
                <w:p w14:paraId="50AF766B" w14:textId="1E51299C" w:rsidR="00D72F59" w:rsidRDefault="00D72F59" w:rsidP="00D72F59">
                  <w:pPr>
                    <w:pStyle w:val="TableBodyText"/>
                    <w:ind w:right="28"/>
                  </w:pPr>
                  <w:r w:rsidRPr="00342293">
                    <w:t>123.9</w:t>
                  </w:r>
                </w:p>
              </w:tc>
            </w:tr>
            <w:tr w:rsidR="00D72F59" w14:paraId="35960E12" w14:textId="77777777" w:rsidTr="00822E3B">
              <w:tc>
                <w:tcPr>
                  <w:tcW w:w="2168" w:type="pct"/>
                  <w:shd w:val="clear" w:color="auto" w:fill="auto"/>
                </w:tcPr>
                <w:p w14:paraId="2E753C60" w14:textId="2AB5FF71" w:rsidR="00D72F59" w:rsidRDefault="00D72F59" w:rsidP="00D72F59">
                  <w:pPr>
                    <w:pStyle w:val="TableBodyText"/>
                    <w:jc w:val="left"/>
                  </w:pPr>
                  <w:r w:rsidRPr="00082F30">
                    <w:rPr>
                      <w:b/>
                    </w:rPr>
                    <w:t>Individual Placement and Support</w:t>
                  </w:r>
                </w:p>
              </w:tc>
              <w:tc>
                <w:tcPr>
                  <w:tcW w:w="999" w:type="pct"/>
                </w:tcPr>
                <w:p w14:paraId="6299EABE" w14:textId="77777777" w:rsidR="00D72F59" w:rsidRDefault="00D72F59" w:rsidP="00D72F59">
                  <w:pPr>
                    <w:pStyle w:val="TableBodyText"/>
                  </w:pPr>
                </w:p>
              </w:tc>
              <w:tc>
                <w:tcPr>
                  <w:tcW w:w="916" w:type="pct"/>
                </w:tcPr>
                <w:p w14:paraId="45CF59E2" w14:textId="77777777" w:rsidR="00D72F59" w:rsidRDefault="00D72F59" w:rsidP="00D72F59">
                  <w:pPr>
                    <w:pStyle w:val="TableBodyText"/>
                  </w:pPr>
                </w:p>
              </w:tc>
              <w:tc>
                <w:tcPr>
                  <w:tcW w:w="917" w:type="pct"/>
                  <w:shd w:val="clear" w:color="auto" w:fill="auto"/>
                </w:tcPr>
                <w:p w14:paraId="3EB80B4B" w14:textId="77777777" w:rsidR="00D72F59" w:rsidRDefault="00D72F59" w:rsidP="00D72F59">
                  <w:pPr>
                    <w:pStyle w:val="TableBodyText"/>
                    <w:ind w:right="28"/>
                  </w:pPr>
                </w:p>
              </w:tc>
            </w:tr>
            <w:tr w:rsidR="00D72F59" w14:paraId="07BC9863" w14:textId="77777777" w:rsidTr="00822E3B">
              <w:tc>
                <w:tcPr>
                  <w:tcW w:w="2168" w:type="pct"/>
                  <w:shd w:val="clear" w:color="auto" w:fill="auto"/>
                </w:tcPr>
                <w:p w14:paraId="58A68980" w14:textId="23156D9E" w:rsidR="00D72F59" w:rsidRDefault="00D72F59" w:rsidP="00D72F59">
                  <w:pPr>
                    <w:pStyle w:val="TableBodyText"/>
                    <w:jc w:val="left"/>
                  </w:pPr>
                  <w:r>
                    <w:t>Additional income ($m)</w:t>
                  </w:r>
                </w:p>
              </w:tc>
              <w:tc>
                <w:tcPr>
                  <w:tcW w:w="999" w:type="pct"/>
                </w:tcPr>
                <w:p w14:paraId="07F5DFDA" w14:textId="081AF887" w:rsidR="00D72F59" w:rsidRDefault="00D72F59" w:rsidP="00D72F59">
                  <w:pPr>
                    <w:pStyle w:val="TableBodyText"/>
                  </w:pPr>
                  <w:r w:rsidRPr="00742BBA">
                    <w:t>103.6</w:t>
                  </w:r>
                </w:p>
              </w:tc>
              <w:tc>
                <w:tcPr>
                  <w:tcW w:w="916" w:type="pct"/>
                </w:tcPr>
                <w:p w14:paraId="7E995455" w14:textId="0DBD1A61" w:rsidR="00D72F59" w:rsidRDefault="00D72F59" w:rsidP="00D72F59">
                  <w:pPr>
                    <w:pStyle w:val="TableBodyText"/>
                  </w:pPr>
                  <w:r w:rsidRPr="00742BBA">
                    <w:t>106.4</w:t>
                  </w:r>
                </w:p>
              </w:tc>
              <w:tc>
                <w:tcPr>
                  <w:tcW w:w="917" w:type="pct"/>
                  <w:shd w:val="clear" w:color="auto" w:fill="auto"/>
                </w:tcPr>
                <w:p w14:paraId="5B452C2D" w14:textId="2AA9ABB8" w:rsidR="00D72F59" w:rsidRDefault="00D72F59" w:rsidP="00D72F59">
                  <w:pPr>
                    <w:pStyle w:val="TableBodyText"/>
                    <w:ind w:right="28"/>
                  </w:pPr>
                  <w:r w:rsidRPr="00742BBA">
                    <w:t>109.3</w:t>
                  </w:r>
                </w:p>
              </w:tc>
            </w:tr>
            <w:tr w:rsidR="00D72F59" w14:paraId="42C30847" w14:textId="77777777" w:rsidTr="00822E3B">
              <w:tc>
                <w:tcPr>
                  <w:tcW w:w="2168" w:type="pct"/>
                  <w:shd w:val="clear" w:color="auto" w:fill="auto"/>
                </w:tcPr>
                <w:p w14:paraId="692EBFDD" w14:textId="4A2D7953" w:rsidR="00D72F59" w:rsidRDefault="00D72F59" w:rsidP="00D72F59">
                  <w:pPr>
                    <w:pStyle w:val="TableBodyText"/>
                    <w:jc w:val="left"/>
                  </w:pPr>
                  <w:r>
                    <w:rPr>
                      <w:b/>
                    </w:rPr>
                    <w:t>Youth Individual Placement and Support</w:t>
                  </w:r>
                </w:p>
              </w:tc>
              <w:tc>
                <w:tcPr>
                  <w:tcW w:w="999" w:type="pct"/>
                  <w:vAlign w:val="bottom"/>
                </w:tcPr>
                <w:p w14:paraId="41838070" w14:textId="77777777" w:rsidR="00D72F59" w:rsidRDefault="00D72F59" w:rsidP="00D72F59">
                  <w:pPr>
                    <w:pStyle w:val="TableBodyText"/>
                  </w:pPr>
                </w:p>
              </w:tc>
              <w:tc>
                <w:tcPr>
                  <w:tcW w:w="916" w:type="pct"/>
                  <w:vAlign w:val="bottom"/>
                </w:tcPr>
                <w:p w14:paraId="6CE32BE4" w14:textId="77777777" w:rsidR="00D72F59" w:rsidRDefault="00D72F59" w:rsidP="00D72F59">
                  <w:pPr>
                    <w:pStyle w:val="TableBodyText"/>
                  </w:pPr>
                </w:p>
              </w:tc>
              <w:tc>
                <w:tcPr>
                  <w:tcW w:w="917" w:type="pct"/>
                  <w:shd w:val="clear" w:color="auto" w:fill="auto"/>
                  <w:vAlign w:val="bottom"/>
                </w:tcPr>
                <w:p w14:paraId="6217B68C" w14:textId="77777777" w:rsidR="00D72F59" w:rsidRDefault="00D72F59" w:rsidP="00D72F59">
                  <w:pPr>
                    <w:pStyle w:val="TableBodyText"/>
                    <w:ind w:right="28"/>
                  </w:pPr>
                </w:p>
              </w:tc>
            </w:tr>
            <w:tr w:rsidR="00D72F59" w14:paraId="31C75DC7" w14:textId="77777777" w:rsidTr="00822E3B">
              <w:tc>
                <w:tcPr>
                  <w:tcW w:w="2168" w:type="pct"/>
                  <w:shd w:val="clear" w:color="auto" w:fill="auto"/>
                </w:tcPr>
                <w:p w14:paraId="4F216974" w14:textId="4D9449EE" w:rsidR="00D72F59" w:rsidRDefault="00D72F59" w:rsidP="00D72F59">
                  <w:pPr>
                    <w:pStyle w:val="TableBodyText"/>
                    <w:jc w:val="left"/>
                  </w:pPr>
                  <w:r>
                    <w:t>Additional income ($m)</w:t>
                  </w:r>
                </w:p>
              </w:tc>
              <w:tc>
                <w:tcPr>
                  <w:tcW w:w="999" w:type="pct"/>
                </w:tcPr>
                <w:p w14:paraId="4FD762ED" w14:textId="4CE51510" w:rsidR="00D72F59" w:rsidRDefault="00D72F59" w:rsidP="00D72F59">
                  <w:pPr>
                    <w:pStyle w:val="TableBodyText"/>
                  </w:pPr>
                  <w:r w:rsidRPr="00231650">
                    <w:t>2.99</w:t>
                  </w:r>
                </w:p>
              </w:tc>
              <w:tc>
                <w:tcPr>
                  <w:tcW w:w="916" w:type="pct"/>
                </w:tcPr>
                <w:p w14:paraId="14FB0B7F" w14:textId="0B65EC58" w:rsidR="00D72F59" w:rsidRDefault="00D72F59" w:rsidP="00D72F59">
                  <w:pPr>
                    <w:pStyle w:val="TableBodyText"/>
                  </w:pPr>
                  <w:r w:rsidRPr="00231650">
                    <w:t>3.05</w:t>
                  </w:r>
                </w:p>
              </w:tc>
              <w:tc>
                <w:tcPr>
                  <w:tcW w:w="917" w:type="pct"/>
                  <w:shd w:val="clear" w:color="auto" w:fill="auto"/>
                </w:tcPr>
                <w:p w14:paraId="7DF4C21A" w14:textId="6028A42A" w:rsidR="00D72F59" w:rsidRDefault="00D72F59" w:rsidP="00D72F59">
                  <w:pPr>
                    <w:pStyle w:val="TableBodyText"/>
                    <w:ind w:right="28"/>
                  </w:pPr>
                  <w:r w:rsidRPr="00231650">
                    <w:t>3.11</w:t>
                  </w:r>
                </w:p>
              </w:tc>
            </w:tr>
            <w:tr w:rsidR="00D72F59" w14:paraId="01496FA3" w14:textId="77777777" w:rsidTr="00822E3B">
              <w:tc>
                <w:tcPr>
                  <w:tcW w:w="2168" w:type="pct"/>
                  <w:shd w:val="clear" w:color="auto" w:fill="auto"/>
                </w:tcPr>
                <w:p w14:paraId="4865585C" w14:textId="122EC1F1" w:rsidR="00D72F59" w:rsidRDefault="00D72F59" w:rsidP="00D72F59">
                  <w:pPr>
                    <w:pStyle w:val="TableBodyText"/>
                    <w:jc w:val="left"/>
                  </w:pPr>
                  <w:r w:rsidRPr="00DB6251">
                    <w:rPr>
                      <w:b/>
                    </w:rPr>
                    <w:t>Psychosocial supports</w:t>
                  </w:r>
                </w:p>
              </w:tc>
              <w:tc>
                <w:tcPr>
                  <w:tcW w:w="999" w:type="pct"/>
                  <w:vAlign w:val="bottom"/>
                </w:tcPr>
                <w:p w14:paraId="72FB9CAF" w14:textId="77777777" w:rsidR="00D72F59" w:rsidRDefault="00D72F59" w:rsidP="00D72F59">
                  <w:pPr>
                    <w:pStyle w:val="TableBodyText"/>
                  </w:pPr>
                </w:p>
              </w:tc>
              <w:tc>
                <w:tcPr>
                  <w:tcW w:w="916" w:type="pct"/>
                  <w:vAlign w:val="bottom"/>
                </w:tcPr>
                <w:p w14:paraId="39B6C88E" w14:textId="77777777" w:rsidR="00D72F59" w:rsidRDefault="00D72F59" w:rsidP="00D72F59">
                  <w:pPr>
                    <w:pStyle w:val="TableBodyText"/>
                  </w:pPr>
                </w:p>
              </w:tc>
              <w:tc>
                <w:tcPr>
                  <w:tcW w:w="917" w:type="pct"/>
                  <w:shd w:val="clear" w:color="auto" w:fill="auto"/>
                  <w:vAlign w:val="bottom"/>
                </w:tcPr>
                <w:p w14:paraId="3438C77A" w14:textId="77777777" w:rsidR="00D72F59" w:rsidRDefault="00D72F59" w:rsidP="00D72F59">
                  <w:pPr>
                    <w:pStyle w:val="TableBodyText"/>
                    <w:ind w:right="28"/>
                  </w:pPr>
                </w:p>
              </w:tc>
            </w:tr>
            <w:tr w:rsidR="00D72F59" w14:paraId="73196EF6" w14:textId="77777777" w:rsidTr="00822E3B">
              <w:tc>
                <w:tcPr>
                  <w:tcW w:w="2168" w:type="pct"/>
                  <w:shd w:val="clear" w:color="auto" w:fill="auto"/>
                </w:tcPr>
                <w:p w14:paraId="3EA48506" w14:textId="26D2F67F" w:rsidR="00D72F59" w:rsidRDefault="00D72F59" w:rsidP="00D72F59">
                  <w:pPr>
                    <w:pStyle w:val="TableBodyText"/>
                    <w:jc w:val="left"/>
                  </w:pPr>
                  <w:r>
                    <w:t>Additional people employed</w:t>
                  </w:r>
                </w:p>
              </w:tc>
              <w:tc>
                <w:tcPr>
                  <w:tcW w:w="999" w:type="pct"/>
                </w:tcPr>
                <w:p w14:paraId="48900D6C" w14:textId="0647259B" w:rsidR="00D72F59" w:rsidRDefault="00D72F59" w:rsidP="00D72F59">
                  <w:pPr>
                    <w:pStyle w:val="TableBodyText"/>
                  </w:pPr>
                  <w:r w:rsidRPr="00970829">
                    <w:t>16</w:t>
                  </w:r>
                  <w:r>
                    <w:t xml:space="preserve"> </w:t>
                  </w:r>
                  <w:r w:rsidRPr="00970829">
                    <w:t>686</w:t>
                  </w:r>
                </w:p>
              </w:tc>
              <w:tc>
                <w:tcPr>
                  <w:tcW w:w="916" w:type="pct"/>
                </w:tcPr>
                <w:p w14:paraId="595FC4B2" w14:textId="727A5903" w:rsidR="00D72F59" w:rsidRDefault="00D72F59" w:rsidP="00D72F59">
                  <w:pPr>
                    <w:pStyle w:val="TableBodyText"/>
                  </w:pPr>
                  <w:r w:rsidRPr="00970829">
                    <w:t>19</w:t>
                  </w:r>
                  <w:r>
                    <w:t xml:space="preserve"> </w:t>
                  </w:r>
                  <w:r w:rsidRPr="00970829">
                    <w:t>210</w:t>
                  </w:r>
                </w:p>
              </w:tc>
              <w:tc>
                <w:tcPr>
                  <w:tcW w:w="917" w:type="pct"/>
                  <w:shd w:val="clear" w:color="auto" w:fill="auto"/>
                </w:tcPr>
                <w:p w14:paraId="4A09C00C" w14:textId="5AB5C0A6" w:rsidR="00D72F59" w:rsidRDefault="00D72F59" w:rsidP="00D72F59">
                  <w:pPr>
                    <w:pStyle w:val="TableBodyText"/>
                    <w:ind w:right="28"/>
                  </w:pPr>
                  <w:r w:rsidRPr="00970829">
                    <w:t>21</w:t>
                  </w:r>
                  <w:r>
                    <w:t xml:space="preserve"> </w:t>
                  </w:r>
                  <w:r w:rsidRPr="00970829">
                    <w:t>879</w:t>
                  </w:r>
                </w:p>
              </w:tc>
            </w:tr>
            <w:tr w:rsidR="00D72F59" w14:paraId="169FEA7B" w14:textId="77777777" w:rsidTr="00822E3B">
              <w:tc>
                <w:tcPr>
                  <w:tcW w:w="2168" w:type="pct"/>
                  <w:shd w:val="clear" w:color="auto" w:fill="auto"/>
                </w:tcPr>
                <w:p w14:paraId="31C2D512" w14:textId="09AC8430" w:rsidR="00D72F59" w:rsidRDefault="00D72F59" w:rsidP="00D72F59">
                  <w:pPr>
                    <w:pStyle w:val="TableBodyText"/>
                    <w:jc w:val="left"/>
                  </w:pPr>
                  <w:r>
                    <w:t>Additional income ($m)</w:t>
                  </w:r>
                </w:p>
              </w:tc>
              <w:tc>
                <w:tcPr>
                  <w:tcW w:w="999" w:type="pct"/>
                </w:tcPr>
                <w:p w14:paraId="1A74D734" w14:textId="3A57DDC9" w:rsidR="00D72F59" w:rsidRDefault="00D72F59" w:rsidP="00D72F59">
                  <w:pPr>
                    <w:pStyle w:val="TableBodyText"/>
                  </w:pPr>
                  <w:r w:rsidRPr="00970829">
                    <w:t>1368</w:t>
                  </w:r>
                </w:p>
              </w:tc>
              <w:tc>
                <w:tcPr>
                  <w:tcW w:w="916" w:type="pct"/>
                </w:tcPr>
                <w:p w14:paraId="0F709A32" w14:textId="57E43246" w:rsidR="00D72F59" w:rsidRDefault="00D72F59" w:rsidP="00D72F59">
                  <w:pPr>
                    <w:pStyle w:val="TableBodyText"/>
                  </w:pPr>
                  <w:r w:rsidRPr="00970829">
                    <w:t>1581</w:t>
                  </w:r>
                </w:p>
              </w:tc>
              <w:tc>
                <w:tcPr>
                  <w:tcW w:w="917" w:type="pct"/>
                  <w:shd w:val="clear" w:color="auto" w:fill="auto"/>
                </w:tcPr>
                <w:p w14:paraId="6DD81B65" w14:textId="6869817E" w:rsidR="00D72F59" w:rsidRDefault="00D72F59" w:rsidP="00D72F59">
                  <w:pPr>
                    <w:pStyle w:val="TableBodyText"/>
                    <w:ind w:right="28"/>
                  </w:pPr>
                  <w:r w:rsidRPr="00970829">
                    <w:t>1798</w:t>
                  </w:r>
                </w:p>
              </w:tc>
            </w:tr>
            <w:tr w:rsidR="00D72F59" w14:paraId="54301224" w14:textId="77777777" w:rsidTr="00822E3B">
              <w:tc>
                <w:tcPr>
                  <w:tcW w:w="2168" w:type="pct"/>
                  <w:shd w:val="clear" w:color="auto" w:fill="auto"/>
                </w:tcPr>
                <w:p w14:paraId="0FF31CAB" w14:textId="3299A55A" w:rsidR="00D72F59" w:rsidRDefault="00D72F59" w:rsidP="00D72F59">
                  <w:pPr>
                    <w:pStyle w:val="TableBodyText"/>
                    <w:jc w:val="left"/>
                  </w:pPr>
                  <w:r>
                    <w:t xml:space="preserve">Additional </w:t>
                  </w:r>
                  <w:r w:rsidRPr="00CB3BA8">
                    <w:t>QALY</w:t>
                  </w:r>
                  <w:r>
                    <w:t>s</w:t>
                  </w:r>
                </w:p>
              </w:tc>
              <w:tc>
                <w:tcPr>
                  <w:tcW w:w="999" w:type="pct"/>
                </w:tcPr>
                <w:p w14:paraId="7C9F977F" w14:textId="4B693AB9" w:rsidR="00D72F59" w:rsidRDefault="00D72F59" w:rsidP="00D72F59">
                  <w:pPr>
                    <w:pStyle w:val="TableBodyText"/>
                  </w:pPr>
                  <w:r w:rsidRPr="00970829">
                    <w:t>10</w:t>
                  </w:r>
                  <w:r>
                    <w:t xml:space="preserve"> </w:t>
                  </w:r>
                  <w:r w:rsidRPr="00970829">
                    <w:t>604</w:t>
                  </w:r>
                </w:p>
              </w:tc>
              <w:tc>
                <w:tcPr>
                  <w:tcW w:w="916" w:type="pct"/>
                </w:tcPr>
                <w:p w14:paraId="1183D901" w14:textId="1EFE9A8F" w:rsidR="00D72F59" w:rsidRDefault="00D72F59" w:rsidP="00D72F59">
                  <w:pPr>
                    <w:pStyle w:val="TableBodyText"/>
                  </w:pPr>
                  <w:r w:rsidRPr="00970829">
                    <w:t>12</w:t>
                  </w:r>
                  <w:r>
                    <w:t xml:space="preserve"> </w:t>
                  </w:r>
                  <w:r w:rsidRPr="00970829">
                    <w:t>042</w:t>
                  </w:r>
                </w:p>
              </w:tc>
              <w:tc>
                <w:tcPr>
                  <w:tcW w:w="917" w:type="pct"/>
                  <w:shd w:val="clear" w:color="auto" w:fill="auto"/>
                </w:tcPr>
                <w:p w14:paraId="0A28A434" w14:textId="287C2123" w:rsidR="00D72F59" w:rsidRDefault="00D72F59" w:rsidP="00D72F59">
                  <w:pPr>
                    <w:pStyle w:val="TableBodyText"/>
                    <w:ind w:right="28"/>
                  </w:pPr>
                  <w:r w:rsidRPr="00970829">
                    <w:t>13</w:t>
                  </w:r>
                  <w:r>
                    <w:t xml:space="preserve"> </w:t>
                  </w:r>
                  <w:r w:rsidRPr="00970829">
                    <w:t>615</w:t>
                  </w:r>
                </w:p>
              </w:tc>
            </w:tr>
            <w:tr w:rsidR="00D72F59" w14:paraId="1C0B3550" w14:textId="77777777" w:rsidTr="00822E3B">
              <w:tc>
                <w:tcPr>
                  <w:tcW w:w="2168" w:type="pct"/>
                  <w:shd w:val="clear" w:color="auto" w:fill="auto"/>
                </w:tcPr>
                <w:p w14:paraId="5334D235" w14:textId="3D10169A" w:rsidR="00D72F59" w:rsidRDefault="00D72F59" w:rsidP="00D72F59">
                  <w:pPr>
                    <w:pStyle w:val="TableBodyText"/>
                    <w:jc w:val="left"/>
                  </w:pPr>
                  <w:r>
                    <w:rPr>
                      <w:b/>
                    </w:rPr>
                    <w:t>Stigma reduction</w:t>
                  </w:r>
                </w:p>
              </w:tc>
              <w:tc>
                <w:tcPr>
                  <w:tcW w:w="999" w:type="pct"/>
                  <w:vAlign w:val="bottom"/>
                </w:tcPr>
                <w:p w14:paraId="2C712102" w14:textId="77777777" w:rsidR="00D72F59" w:rsidRDefault="00D72F59" w:rsidP="00D72F59">
                  <w:pPr>
                    <w:pStyle w:val="TableBodyText"/>
                  </w:pPr>
                </w:p>
              </w:tc>
              <w:tc>
                <w:tcPr>
                  <w:tcW w:w="916" w:type="pct"/>
                  <w:vAlign w:val="bottom"/>
                </w:tcPr>
                <w:p w14:paraId="0B0C16D5" w14:textId="77777777" w:rsidR="00D72F59" w:rsidRDefault="00D72F59" w:rsidP="00D72F59">
                  <w:pPr>
                    <w:pStyle w:val="TableBodyText"/>
                  </w:pPr>
                </w:p>
              </w:tc>
              <w:tc>
                <w:tcPr>
                  <w:tcW w:w="917" w:type="pct"/>
                  <w:shd w:val="clear" w:color="auto" w:fill="auto"/>
                  <w:vAlign w:val="bottom"/>
                </w:tcPr>
                <w:p w14:paraId="69D49955" w14:textId="77777777" w:rsidR="00D72F59" w:rsidRDefault="00D72F59" w:rsidP="00D72F59">
                  <w:pPr>
                    <w:pStyle w:val="TableBodyText"/>
                    <w:ind w:right="28"/>
                  </w:pPr>
                </w:p>
              </w:tc>
            </w:tr>
            <w:tr w:rsidR="00D72F59" w14:paraId="18494C36" w14:textId="77777777" w:rsidTr="00822E3B">
              <w:tc>
                <w:tcPr>
                  <w:tcW w:w="2168" w:type="pct"/>
                  <w:shd w:val="clear" w:color="auto" w:fill="auto"/>
                </w:tcPr>
                <w:p w14:paraId="7508F2F5" w14:textId="2D3FF873" w:rsidR="00D72F59" w:rsidRDefault="00D72F59" w:rsidP="00D72F59">
                  <w:pPr>
                    <w:pStyle w:val="TableBodyText"/>
                    <w:jc w:val="left"/>
                  </w:pPr>
                  <w:r>
                    <w:t>Additional people employed</w:t>
                  </w:r>
                </w:p>
              </w:tc>
              <w:tc>
                <w:tcPr>
                  <w:tcW w:w="999" w:type="pct"/>
                </w:tcPr>
                <w:p w14:paraId="735DAA58" w14:textId="0A2B19D7" w:rsidR="00D72F59" w:rsidRDefault="00D72F59" w:rsidP="00D72F59">
                  <w:pPr>
                    <w:pStyle w:val="TableBodyText"/>
                  </w:pPr>
                  <w:r w:rsidRPr="00606DA0">
                    <w:t>16</w:t>
                  </w:r>
                  <w:r>
                    <w:t xml:space="preserve"> </w:t>
                  </w:r>
                  <w:r w:rsidRPr="00606DA0">
                    <w:t>631</w:t>
                  </w:r>
                </w:p>
              </w:tc>
              <w:tc>
                <w:tcPr>
                  <w:tcW w:w="916" w:type="pct"/>
                </w:tcPr>
                <w:p w14:paraId="6B5CF038" w14:textId="328AFA37" w:rsidR="00D72F59" w:rsidRDefault="00D72F59" w:rsidP="00D72F59">
                  <w:pPr>
                    <w:pStyle w:val="TableBodyText"/>
                  </w:pPr>
                  <w:r w:rsidRPr="00606DA0">
                    <w:t>19</w:t>
                  </w:r>
                  <w:r>
                    <w:t xml:space="preserve"> </w:t>
                  </w:r>
                  <w:r w:rsidRPr="00606DA0">
                    <w:t>657</w:t>
                  </w:r>
                </w:p>
              </w:tc>
              <w:tc>
                <w:tcPr>
                  <w:tcW w:w="917" w:type="pct"/>
                  <w:shd w:val="clear" w:color="auto" w:fill="auto"/>
                </w:tcPr>
                <w:p w14:paraId="67789717" w14:textId="18ADD0CC" w:rsidR="00D72F59" w:rsidRDefault="00D72F59" w:rsidP="00D72F59">
                  <w:pPr>
                    <w:pStyle w:val="TableBodyText"/>
                    <w:ind w:right="28"/>
                  </w:pPr>
                  <w:r w:rsidRPr="00606DA0">
                    <w:t>22</w:t>
                  </w:r>
                  <w:r>
                    <w:t xml:space="preserve"> </w:t>
                  </w:r>
                  <w:r w:rsidRPr="00606DA0">
                    <w:t>670</w:t>
                  </w:r>
                </w:p>
              </w:tc>
            </w:tr>
            <w:tr w:rsidR="00D72F59" w14:paraId="1D34D1E5" w14:textId="77777777" w:rsidTr="00822E3B">
              <w:tc>
                <w:tcPr>
                  <w:tcW w:w="2168" w:type="pct"/>
                  <w:shd w:val="clear" w:color="auto" w:fill="auto"/>
                </w:tcPr>
                <w:p w14:paraId="4EFD7AF3" w14:textId="5F2FDA27" w:rsidR="00D72F59" w:rsidRDefault="00D72F59" w:rsidP="00D72F59">
                  <w:pPr>
                    <w:pStyle w:val="TableBodyText"/>
                    <w:jc w:val="left"/>
                  </w:pPr>
                  <w:r>
                    <w:t>Additional income ($m)</w:t>
                  </w:r>
                </w:p>
              </w:tc>
              <w:tc>
                <w:tcPr>
                  <w:tcW w:w="999" w:type="pct"/>
                </w:tcPr>
                <w:p w14:paraId="6D62931E" w14:textId="49D10546" w:rsidR="00D72F59" w:rsidRDefault="00D72F59" w:rsidP="00D72F59">
                  <w:pPr>
                    <w:pStyle w:val="TableBodyText"/>
                  </w:pPr>
                  <w:r w:rsidRPr="00606DA0">
                    <w:t>1340</w:t>
                  </w:r>
                </w:p>
              </w:tc>
              <w:tc>
                <w:tcPr>
                  <w:tcW w:w="916" w:type="pct"/>
                </w:tcPr>
                <w:p w14:paraId="79B2D3BD" w14:textId="72C438FA" w:rsidR="00D72F59" w:rsidRDefault="00D72F59" w:rsidP="00D72F59">
                  <w:pPr>
                    <w:pStyle w:val="TableBodyText"/>
                  </w:pPr>
                  <w:r w:rsidRPr="00606DA0">
                    <w:t>1549</w:t>
                  </w:r>
                </w:p>
              </w:tc>
              <w:tc>
                <w:tcPr>
                  <w:tcW w:w="917" w:type="pct"/>
                  <w:shd w:val="clear" w:color="auto" w:fill="auto"/>
                </w:tcPr>
                <w:p w14:paraId="5C7204F3" w14:textId="6CCAB3E5" w:rsidR="00D72F59" w:rsidRDefault="00D72F59" w:rsidP="00D72F59">
                  <w:pPr>
                    <w:pStyle w:val="TableBodyText"/>
                    <w:ind w:right="28"/>
                  </w:pPr>
                  <w:r w:rsidRPr="00606DA0">
                    <w:t>1761</w:t>
                  </w:r>
                </w:p>
              </w:tc>
            </w:tr>
            <w:tr w:rsidR="00D72F59" w14:paraId="2A2E5898" w14:textId="77777777" w:rsidTr="00822E3B">
              <w:tc>
                <w:tcPr>
                  <w:tcW w:w="2168" w:type="pct"/>
                  <w:shd w:val="clear" w:color="auto" w:fill="auto"/>
                </w:tcPr>
                <w:p w14:paraId="0E64FC16" w14:textId="376459BE" w:rsidR="00D72F59" w:rsidRDefault="00D72F59" w:rsidP="00D72F59">
                  <w:pPr>
                    <w:pStyle w:val="TableBodyText"/>
                    <w:jc w:val="left"/>
                  </w:pPr>
                  <w:r>
                    <w:t xml:space="preserve">Additional </w:t>
                  </w:r>
                  <w:r w:rsidRPr="00CB3BA8">
                    <w:t>QALY</w:t>
                  </w:r>
                  <w:r>
                    <w:t>s</w:t>
                  </w:r>
                </w:p>
              </w:tc>
              <w:tc>
                <w:tcPr>
                  <w:tcW w:w="999" w:type="pct"/>
                </w:tcPr>
                <w:p w14:paraId="53278CD1" w14:textId="1FD3AA1D" w:rsidR="00D72F59" w:rsidRDefault="00D72F59" w:rsidP="00D72F59">
                  <w:pPr>
                    <w:pStyle w:val="TableBodyText"/>
                  </w:pPr>
                  <w:r w:rsidRPr="00606DA0">
                    <w:t>11</w:t>
                  </w:r>
                  <w:r>
                    <w:t xml:space="preserve"> </w:t>
                  </w:r>
                  <w:r w:rsidRPr="00606DA0">
                    <w:t>971</w:t>
                  </w:r>
                </w:p>
              </w:tc>
              <w:tc>
                <w:tcPr>
                  <w:tcW w:w="916" w:type="pct"/>
                </w:tcPr>
                <w:p w14:paraId="2F5209F0" w14:textId="1631D715" w:rsidR="00D72F59" w:rsidRDefault="00D72F59" w:rsidP="00D72F59">
                  <w:pPr>
                    <w:pStyle w:val="TableBodyText"/>
                  </w:pPr>
                  <w:r w:rsidRPr="00606DA0">
                    <w:t>13</w:t>
                  </w:r>
                  <w:r>
                    <w:t xml:space="preserve"> </w:t>
                  </w:r>
                  <w:r w:rsidRPr="00606DA0">
                    <w:t>577</w:t>
                  </w:r>
                </w:p>
              </w:tc>
              <w:tc>
                <w:tcPr>
                  <w:tcW w:w="917" w:type="pct"/>
                  <w:shd w:val="clear" w:color="auto" w:fill="auto"/>
                </w:tcPr>
                <w:p w14:paraId="7954181F" w14:textId="1114EB1E" w:rsidR="00D72F59" w:rsidRDefault="00D72F59" w:rsidP="00D72F59">
                  <w:pPr>
                    <w:pStyle w:val="TableBodyText"/>
                    <w:ind w:right="28"/>
                  </w:pPr>
                  <w:r w:rsidRPr="00606DA0">
                    <w:t>15</w:t>
                  </w:r>
                  <w:r>
                    <w:t xml:space="preserve"> </w:t>
                  </w:r>
                  <w:r w:rsidRPr="00606DA0">
                    <w:t>342</w:t>
                  </w:r>
                </w:p>
              </w:tc>
            </w:tr>
            <w:tr w:rsidR="00D72F59" w14:paraId="601891FE" w14:textId="77777777" w:rsidTr="00822E3B">
              <w:tc>
                <w:tcPr>
                  <w:tcW w:w="2168" w:type="pct"/>
                  <w:shd w:val="clear" w:color="auto" w:fill="auto"/>
                </w:tcPr>
                <w:p w14:paraId="4F099875" w14:textId="6A8C90FF" w:rsidR="00D72F59" w:rsidRDefault="00D72F59" w:rsidP="00D72F59">
                  <w:pPr>
                    <w:pStyle w:val="TableBodyText"/>
                    <w:jc w:val="left"/>
                  </w:pPr>
                  <w:r>
                    <w:rPr>
                      <w:b/>
                    </w:rPr>
                    <w:t>Carers</w:t>
                  </w:r>
                </w:p>
              </w:tc>
              <w:tc>
                <w:tcPr>
                  <w:tcW w:w="999" w:type="pct"/>
                </w:tcPr>
                <w:p w14:paraId="3E2AA728" w14:textId="77777777" w:rsidR="00D72F59" w:rsidRDefault="00D72F59" w:rsidP="00D72F59">
                  <w:pPr>
                    <w:pStyle w:val="TableBodyText"/>
                  </w:pPr>
                </w:p>
              </w:tc>
              <w:tc>
                <w:tcPr>
                  <w:tcW w:w="916" w:type="pct"/>
                </w:tcPr>
                <w:p w14:paraId="055B7D88" w14:textId="77777777" w:rsidR="00D72F59" w:rsidRDefault="00D72F59" w:rsidP="00D72F59">
                  <w:pPr>
                    <w:pStyle w:val="TableBodyText"/>
                  </w:pPr>
                </w:p>
              </w:tc>
              <w:tc>
                <w:tcPr>
                  <w:tcW w:w="917" w:type="pct"/>
                  <w:shd w:val="clear" w:color="auto" w:fill="auto"/>
                </w:tcPr>
                <w:p w14:paraId="21EB6F46" w14:textId="77777777" w:rsidR="00D72F59" w:rsidRDefault="00D72F59" w:rsidP="00D72F59">
                  <w:pPr>
                    <w:pStyle w:val="TableBodyText"/>
                    <w:ind w:right="28"/>
                  </w:pPr>
                </w:p>
              </w:tc>
            </w:tr>
            <w:tr w:rsidR="00D72F59" w14:paraId="0FB59533" w14:textId="77777777" w:rsidTr="00C95C34">
              <w:tc>
                <w:tcPr>
                  <w:tcW w:w="2168" w:type="pct"/>
                  <w:shd w:val="clear" w:color="auto" w:fill="auto"/>
                </w:tcPr>
                <w:p w14:paraId="29A594A4" w14:textId="2DA38232" w:rsidR="00D72F59" w:rsidRDefault="00D72F59" w:rsidP="00D72F59">
                  <w:pPr>
                    <w:pStyle w:val="TableBodyText"/>
                    <w:jc w:val="left"/>
                  </w:pPr>
                  <w:r>
                    <w:t>Additional people employed</w:t>
                  </w:r>
                </w:p>
              </w:tc>
              <w:tc>
                <w:tcPr>
                  <w:tcW w:w="999" w:type="pct"/>
                </w:tcPr>
                <w:p w14:paraId="50442979" w14:textId="74C67FCB" w:rsidR="00D72F59" w:rsidRDefault="00D72F59" w:rsidP="00D72F59">
                  <w:pPr>
                    <w:pStyle w:val="TableBodyText"/>
                  </w:pPr>
                  <w:r w:rsidRPr="008B622E">
                    <w:t>2113</w:t>
                  </w:r>
                </w:p>
              </w:tc>
              <w:tc>
                <w:tcPr>
                  <w:tcW w:w="916" w:type="pct"/>
                </w:tcPr>
                <w:p w14:paraId="61F7F540" w14:textId="7E218175" w:rsidR="00D72F59" w:rsidRDefault="00D72F59" w:rsidP="00D72F59">
                  <w:pPr>
                    <w:pStyle w:val="TableBodyText"/>
                  </w:pPr>
                  <w:r w:rsidRPr="008B622E">
                    <w:t>2551</w:t>
                  </w:r>
                </w:p>
              </w:tc>
              <w:tc>
                <w:tcPr>
                  <w:tcW w:w="917" w:type="pct"/>
                  <w:shd w:val="clear" w:color="auto" w:fill="auto"/>
                </w:tcPr>
                <w:p w14:paraId="0088807B" w14:textId="6670694D" w:rsidR="00D72F59" w:rsidRDefault="00D72F59" w:rsidP="00D72F59">
                  <w:pPr>
                    <w:pStyle w:val="TableBodyText"/>
                    <w:ind w:right="28"/>
                  </w:pPr>
                  <w:r w:rsidRPr="008B622E">
                    <w:t>2973</w:t>
                  </w:r>
                </w:p>
              </w:tc>
            </w:tr>
            <w:tr w:rsidR="00D72F59" w14:paraId="027ADC55" w14:textId="77777777" w:rsidTr="00C95C34">
              <w:tc>
                <w:tcPr>
                  <w:tcW w:w="2168" w:type="pct"/>
                  <w:tcBorders>
                    <w:bottom w:val="single" w:sz="4" w:space="0" w:color="BFBFBF"/>
                  </w:tcBorders>
                  <w:shd w:val="clear" w:color="auto" w:fill="auto"/>
                </w:tcPr>
                <w:p w14:paraId="442986F1" w14:textId="01849C4C" w:rsidR="00D72F59" w:rsidRDefault="00D72F59" w:rsidP="00D72F59">
                  <w:pPr>
                    <w:pStyle w:val="TableBodyText"/>
                    <w:jc w:val="left"/>
                  </w:pPr>
                  <w:r>
                    <w:t>Additional income ($m)</w:t>
                  </w:r>
                </w:p>
              </w:tc>
              <w:tc>
                <w:tcPr>
                  <w:tcW w:w="999" w:type="pct"/>
                  <w:tcBorders>
                    <w:bottom w:val="single" w:sz="4" w:space="0" w:color="BFBFBF"/>
                  </w:tcBorders>
                </w:tcPr>
                <w:p w14:paraId="082AA07C" w14:textId="576CC39C" w:rsidR="00D72F59" w:rsidRDefault="00D72F59" w:rsidP="00D72F59">
                  <w:pPr>
                    <w:pStyle w:val="TableBodyText"/>
                  </w:pPr>
                  <w:r w:rsidRPr="008B622E">
                    <w:t>111</w:t>
                  </w:r>
                </w:p>
              </w:tc>
              <w:tc>
                <w:tcPr>
                  <w:tcW w:w="916" w:type="pct"/>
                  <w:tcBorders>
                    <w:bottom w:val="single" w:sz="4" w:space="0" w:color="BFBFBF"/>
                  </w:tcBorders>
                </w:tcPr>
                <w:p w14:paraId="665B776E" w14:textId="029913C4" w:rsidR="00D72F59" w:rsidRDefault="00D72F59" w:rsidP="00D72F59">
                  <w:pPr>
                    <w:pStyle w:val="TableBodyText"/>
                  </w:pPr>
                  <w:r w:rsidRPr="008B622E">
                    <w:t>137</w:t>
                  </w:r>
                </w:p>
              </w:tc>
              <w:tc>
                <w:tcPr>
                  <w:tcW w:w="917" w:type="pct"/>
                  <w:tcBorders>
                    <w:bottom w:val="single" w:sz="4" w:space="0" w:color="BFBFBF"/>
                  </w:tcBorders>
                  <w:shd w:val="clear" w:color="auto" w:fill="auto"/>
                </w:tcPr>
                <w:p w14:paraId="5E01B49D" w14:textId="4597E7D9" w:rsidR="00D72F59" w:rsidRDefault="00D72F59" w:rsidP="00D72F59">
                  <w:pPr>
                    <w:pStyle w:val="TableBodyText"/>
                    <w:ind w:right="28"/>
                  </w:pPr>
                  <w:r w:rsidRPr="008B622E">
                    <w:t>162</w:t>
                  </w:r>
                </w:p>
              </w:tc>
            </w:tr>
          </w:tbl>
          <w:p w14:paraId="264CEA60" w14:textId="77777777" w:rsidR="00D72F59" w:rsidRDefault="00D72F59" w:rsidP="00D72F59">
            <w:pPr>
              <w:pStyle w:val="Box"/>
            </w:pPr>
          </w:p>
        </w:tc>
      </w:tr>
      <w:tr w:rsidR="00D72F59" w14:paraId="7FFD8E78" w14:textId="77777777" w:rsidTr="00D72F59">
        <w:tc>
          <w:tcPr>
            <w:tcW w:w="5000" w:type="pct"/>
            <w:tcBorders>
              <w:top w:val="nil"/>
              <w:left w:val="nil"/>
              <w:bottom w:val="nil"/>
              <w:right w:val="nil"/>
            </w:tcBorders>
            <w:shd w:val="clear" w:color="auto" w:fill="auto"/>
          </w:tcPr>
          <w:p w14:paraId="6AE22049" w14:textId="169C0328" w:rsidR="00D72F59" w:rsidRDefault="00D72F59" w:rsidP="00822E3B">
            <w:pPr>
              <w:pStyle w:val="Note"/>
              <w:rPr>
                <w:i/>
              </w:rPr>
            </w:pPr>
            <w:r w:rsidRPr="008E77FE">
              <w:rPr>
                <w:rStyle w:val="NoteLabel"/>
              </w:rPr>
              <w:t>a</w:t>
            </w:r>
            <w:r>
              <w:t xml:space="preserve"> While there is an increase in employment from </w:t>
            </w:r>
            <w:r w:rsidR="00822E3B">
              <w:t>individual placement support programs, it is not shown here since it based on a static assumption and hence do not have a distribution.</w:t>
            </w:r>
          </w:p>
        </w:tc>
      </w:tr>
      <w:tr w:rsidR="00D72F59" w14:paraId="328D3A5B" w14:textId="77777777" w:rsidTr="00D72F59">
        <w:tc>
          <w:tcPr>
            <w:tcW w:w="5000" w:type="pct"/>
            <w:tcBorders>
              <w:top w:val="nil"/>
              <w:left w:val="nil"/>
              <w:bottom w:val="nil"/>
              <w:right w:val="nil"/>
            </w:tcBorders>
            <w:shd w:val="clear" w:color="auto" w:fill="auto"/>
          </w:tcPr>
          <w:p w14:paraId="3D4F9ED6" w14:textId="658BCC3B" w:rsidR="00D72F59" w:rsidRDefault="00D72F59" w:rsidP="00D72F59">
            <w:pPr>
              <w:pStyle w:val="Source"/>
            </w:pPr>
            <w:r>
              <w:rPr>
                <w:i/>
              </w:rPr>
              <w:t>Source</w:t>
            </w:r>
            <w:r w:rsidRPr="00167F06">
              <w:t xml:space="preserve">: </w:t>
            </w:r>
            <w:r>
              <w:t>Productivity Commission estimates using HILDA.</w:t>
            </w:r>
          </w:p>
        </w:tc>
      </w:tr>
      <w:tr w:rsidR="00D72F59" w14:paraId="19EB61C2" w14:textId="77777777" w:rsidTr="00D72F59">
        <w:tc>
          <w:tcPr>
            <w:tcW w:w="5000" w:type="pct"/>
            <w:tcBorders>
              <w:top w:val="nil"/>
              <w:left w:val="nil"/>
              <w:bottom w:val="single" w:sz="6" w:space="0" w:color="78A22F"/>
              <w:right w:val="nil"/>
            </w:tcBorders>
            <w:shd w:val="clear" w:color="auto" w:fill="auto"/>
          </w:tcPr>
          <w:p w14:paraId="6F047AE4" w14:textId="77777777" w:rsidR="00D72F59" w:rsidRDefault="00D72F59" w:rsidP="00D72F59">
            <w:pPr>
              <w:pStyle w:val="Box"/>
              <w:spacing w:before="0" w:line="120" w:lineRule="exact"/>
            </w:pPr>
          </w:p>
        </w:tc>
      </w:tr>
      <w:tr w:rsidR="00D72F59" w:rsidRPr="000863A5" w14:paraId="2FE4EFD3" w14:textId="77777777" w:rsidTr="00D72F59">
        <w:tc>
          <w:tcPr>
            <w:tcW w:w="5000" w:type="pct"/>
            <w:tcBorders>
              <w:top w:val="single" w:sz="6" w:space="0" w:color="78A22F"/>
              <w:left w:val="nil"/>
              <w:bottom w:val="nil"/>
              <w:right w:val="nil"/>
            </w:tcBorders>
          </w:tcPr>
          <w:p w14:paraId="76121CBA" w14:textId="7A0583A4" w:rsidR="00D72F59" w:rsidRPr="00626D32" w:rsidRDefault="00D72F59" w:rsidP="00D72F59">
            <w:pPr>
              <w:pStyle w:val="BoxSpaceBelow"/>
            </w:pPr>
          </w:p>
        </w:tc>
      </w:tr>
    </w:tbl>
    <w:p w14:paraId="53442A16" w14:textId="32130115" w:rsidR="00BB2BFB" w:rsidRDefault="00082F30" w:rsidP="00082F30">
      <w:pPr>
        <w:pStyle w:val="Heading2"/>
      </w:pPr>
      <w:r>
        <w:lastRenderedPageBreak/>
        <w:t>References</w:t>
      </w:r>
    </w:p>
    <w:p w14:paraId="09F63CE9" w14:textId="68D95465" w:rsidR="003E2303" w:rsidRPr="00DA10DB" w:rsidRDefault="003E2303" w:rsidP="00DA10DB">
      <w:pPr>
        <w:pStyle w:val="Reference"/>
        <w:spacing w:before="240" w:line="240" w:lineRule="atLeast"/>
        <w:ind w:left="454" w:hanging="454"/>
        <w:rPr>
          <w:sz w:val="20"/>
        </w:rPr>
      </w:pPr>
      <w:r w:rsidRPr="00DA10DB">
        <w:rPr>
          <w:sz w:val="20"/>
        </w:rPr>
        <w:t xml:space="preserve">ABS (Australian Bureau of Statistics) 2016, </w:t>
      </w:r>
      <w:r w:rsidRPr="00DA10DB">
        <w:rPr>
          <w:i/>
          <w:iCs/>
          <w:sz w:val="20"/>
        </w:rPr>
        <w:t>Microdata: Disability, Ageing and Carers, Australia 2015</w:t>
      </w:r>
      <w:r w:rsidRPr="00DA10DB">
        <w:rPr>
          <w:sz w:val="20"/>
        </w:rPr>
        <w:t>, Cat. no. 4430.0.30.002, Canberra.</w:t>
      </w:r>
    </w:p>
    <w:p w14:paraId="468B7F7A" w14:textId="111CF81C" w:rsidR="003E2303" w:rsidRPr="00DA10DB" w:rsidRDefault="00DA10DB" w:rsidP="00DA10DB">
      <w:pPr>
        <w:pStyle w:val="Reference"/>
        <w:spacing w:line="240" w:lineRule="atLeast"/>
        <w:ind w:left="454" w:hanging="454"/>
        <w:rPr>
          <w:sz w:val="20"/>
        </w:rPr>
      </w:pPr>
      <w:r>
        <w:rPr>
          <w:sz w:val="20"/>
        </w:rPr>
        <w:t>—— </w:t>
      </w:r>
      <w:r w:rsidR="003E2303" w:rsidRPr="00DA10DB">
        <w:rPr>
          <w:sz w:val="20"/>
        </w:rPr>
        <w:t xml:space="preserve">2019, </w:t>
      </w:r>
      <w:r w:rsidR="003E2303" w:rsidRPr="00DA10DB">
        <w:rPr>
          <w:i/>
          <w:iCs/>
          <w:sz w:val="20"/>
        </w:rPr>
        <w:t>Causes of Death Australia 2018</w:t>
      </w:r>
      <w:r w:rsidR="003E2303" w:rsidRPr="00DA10DB">
        <w:rPr>
          <w:sz w:val="20"/>
        </w:rPr>
        <w:t>, Cat no. 3303.0, Canberra.</w:t>
      </w:r>
    </w:p>
    <w:p w14:paraId="70A63413" w14:textId="77777777" w:rsidR="003E2303" w:rsidRPr="00DA10DB" w:rsidRDefault="003E2303" w:rsidP="00DA10DB">
      <w:pPr>
        <w:pStyle w:val="Reference"/>
        <w:spacing w:line="240" w:lineRule="atLeast"/>
        <w:ind w:left="454" w:hanging="454"/>
        <w:rPr>
          <w:sz w:val="20"/>
        </w:rPr>
      </w:pPr>
      <w:r w:rsidRPr="00DA10DB">
        <w:rPr>
          <w:sz w:val="20"/>
        </w:rPr>
        <w:t xml:space="preserve">AIHW (Australian Institute of Health and Welfare) 2019, </w:t>
      </w:r>
      <w:r w:rsidRPr="00DA10DB">
        <w:rPr>
          <w:i/>
          <w:iCs/>
          <w:sz w:val="20"/>
        </w:rPr>
        <w:t>Admitted patient care, 2017-18, Australian hospital statistics</w:t>
      </w:r>
      <w:r w:rsidRPr="00DA10DB">
        <w:rPr>
          <w:sz w:val="20"/>
        </w:rPr>
        <w:t>, Health services series no. 90.</w:t>
      </w:r>
    </w:p>
    <w:p w14:paraId="3328A50E" w14:textId="77777777" w:rsidR="003E2303" w:rsidRPr="00DA10DB" w:rsidRDefault="003E2303" w:rsidP="00DA10DB">
      <w:pPr>
        <w:pStyle w:val="Reference"/>
        <w:spacing w:line="240" w:lineRule="atLeast"/>
        <w:ind w:left="454" w:hanging="454"/>
        <w:rPr>
          <w:sz w:val="20"/>
        </w:rPr>
      </w:pPr>
      <w:r w:rsidRPr="00DA10DB">
        <w:rPr>
          <w:sz w:val="20"/>
        </w:rPr>
        <w:t>Alexandre, P.K. and French, M.T. 2001, ‘</w:t>
      </w:r>
      <w:proofErr w:type="spellStart"/>
      <w:r w:rsidRPr="00DA10DB">
        <w:rPr>
          <w:sz w:val="20"/>
        </w:rPr>
        <w:t>Labor</w:t>
      </w:r>
      <w:proofErr w:type="spellEnd"/>
      <w:r w:rsidRPr="00DA10DB">
        <w:rPr>
          <w:sz w:val="20"/>
        </w:rPr>
        <w:t xml:space="preserve"> Supply of Poor Residents in Metropolitan Miami, Florida: The Role of Depression and the Co-Morbid Effects of Substance Use’, </w:t>
      </w:r>
      <w:r w:rsidRPr="00DA10DB">
        <w:rPr>
          <w:i/>
          <w:iCs/>
          <w:sz w:val="20"/>
        </w:rPr>
        <w:t>The Journal of Mental Health Policy and Economics</w:t>
      </w:r>
      <w:r w:rsidRPr="00DA10DB">
        <w:rPr>
          <w:sz w:val="20"/>
        </w:rPr>
        <w:t>, vol. 4, no. 4, pp. 161–173.</w:t>
      </w:r>
    </w:p>
    <w:p w14:paraId="3950D025" w14:textId="77777777" w:rsidR="003E2303" w:rsidRPr="00DA10DB" w:rsidRDefault="003E2303" w:rsidP="00DA10DB">
      <w:pPr>
        <w:pStyle w:val="Reference"/>
        <w:spacing w:line="240" w:lineRule="atLeast"/>
        <w:ind w:left="454" w:hanging="454"/>
        <w:rPr>
          <w:sz w:val="20"/>
        </w:rPr>
      </w:pPr>
      <w:r w:rsidRPr="00DA10DB">
        <w:rPr>
          <w:sz w:val="20"/>
        </w:rPr>
        <w:t xml:space="preserve">AMHOCN (Australian Mental Health Outcomes and Classification Network) 2019, </w:t>
      </w:r>
      <w:r w:rsidRPr="00DA10DB">
        <w:rPr>
          <w:i/>
          <w:iCs/>
          <w:sz w:val="20"/>
        </w:rPr>
        <w:t>NOCC Standard Reports</w:t>
      </w:r>
      <w:r w:rsidRPr="00DA10DB">
        <w:rPr>
          <w:sz w:val="20"/>
        </w:rPr>
        <w:t>, https://data.amhocn.org/reports/standard/ (accessed 7 August 2019).</w:t>
      </w:r>
    </w:p>
    <w:p w14:paraId="6C4DEEE9" w14:textId="77777777" w:rsidR="003E2303" w:rsidRPr="00DA10DB" w:rsidRDefault="003E2303" w:rsidP="00DA10DB">
      <w:pPr>
        <w:pStyle w:val="Reference"/>
        <w:spacing w:line="240" w:lineRule="atLeast"/>
        <w:ind w:left="454" w:hanging="454"/>
        <w:rPr>
          <w:sz w:val="20"/>
        </w:rPr>
      </w:pPr>
      <w:r w:rsidRPr="00DA10DB">
        <w:rPr>
          <w:sz w:val="20"/>
        </w:rPr>
        <w:t xml:space="preserve">Andrews, G., </w:t>
      </w:r>
      <w:proofErr w:type="spellStart"/>
      <w:r w:rsidRPr="00DA10DB">
        <w:rPr>
          <w:sz w:val="20"/>
        </w:rPr>
        <w:t>Basu</w:t>
      </w:r>
      <w:proofErr w:type="spellEnd"/>
      <w:r w:rsidRPr="00DA10DB">
        <w:rPr>
          <w:sz w:val="20"/>
        </w:rPr>
        <w:t xml:space="preserve">, A., </w:t>
      </w:r>
      <w:proofErr w:type="spellStart"/>
      <w:r w:rsidRPr="00DA10DB">
        <w:rPr>
          <w:sz w:val="20"/>
        </w:rPr>
        <w:t>Cuijpers</w:t>
      </w:r>
      <w:proofErr w:type="spellEnd"/>
      <w:r w:rsidRPr="00DA10DB">
        <w:rPr>
          <w:sz w:val="20"/>
        </w:rPr>
        <w:t xml:space="preserve">, P., </w:t>
      </w:r>
      <w:proofErr w:type="spellStart"/>
      <w:r w:rsidRPr="00DA10DB">
        <w:rPr>
          <w:sz w:val="20"/>
        </w:rPr>
        <w:t>Craske</w:t>
      </w:r>
      <w:proofErr w:type="spellEnd"/>
      <w:r w:rsidRPr="00DA10DB">
        <w:rPr>
          <w:sz w:val="20"/>
        </w:rPr>
        <w:t xml:space="preserve">, M., McEvoy, P., English, C. and Newby, J. 2018, ‘Computer therapy for the anxiety and depression disorder is effective, acceptable and practical health care: An updated meta-analysis’, </w:t>
      </w:r>
      <w:r w:rsidRPr="00DA10DB">
        <w:rPr>
          <w:i/>
          <w:iCs/>
          <w:sz w:val="20"/>
        </w:rPr>
        <w:t>Journal of Anxiety Disorders</w:t>
      </w:r>
      <w:r w:rsidRPr="00DA10DB">
        <w:rPr>
          <w:sz w:val="20"/>
        </w:rPr>
        <w:t>, vol. 55, pp. 70–78.</w:t>
      </w:r>
    </w:p>
    <w:p w14:paraId="04D347D3" w14:textId="77777777" w:rsidR="003E2303" w:rsidRPr="00DA10DB" w:rsidRDefault="003E2303" w:rsidP="00DA10DB">
      <w:pPr>
        <w:pStyle w:val="Reference"/>
        <w:spacing w:line="240" w:lineRule="atLeast"/>
        <w:ind w:left="454" w:hanging="454"/>
        <w:rPr>
          <w:sz w:val="20"/>
        </w:rPr>
      </w:pPr>
      <w:proofErr w:type="spellStart"/>
      <w:r w:rsidRPr="00DA10DB">
        <w:rPr>
          <w:sz w:val="20"/>
        </w:rPr>
        <w:t>Cai</w:t>
      </w:r>
      <w:proofErr w:type="spellEnd"/>
      <w:r w:rsidRPr="00DA10DB">
        <w:rPr>
          <w:sz w:val="20"/>
        </w:rPr>
        <w:t xml:space="preserve">, L. 2010, ‘The relationship between health and labour force participation: Evidence from a panel data simultaneous equation model’, </w:t>
      </w:r>
      <w:r w:rsidRPr="00DA10DB">
        <w:rPr>
          <w:i/>
          <w:iCs/>
          <w:sz w:val="20"/>
        </w:rPr>
        <w:t>Labour Economics</w:t>
      </w:r>
      <w:r w:rsidRPr="00DA10DB">
        <w:rPr>
          <w:sz w:val="20"/>
        </w:rPr>
        <w:t>, vol. 17, no. 1, pp. 77–90.</w:t>
      </w:r>
    </w:p>
    <w:p w14:paraId="387721C6" w14:textId="77777777" w:rsidR="003E2303" w:rsidRPr="00DA10DB" w:rsidRDefault="003E2303" w:rsidP="00DA10DB">
      <w:pPr>
        <w:pStyle w:val="Reference"/>
        <w:spacing w:line="240" w:lineRule="atLeast"/>
        <w:ind w:left="454" w:hanging="454"/>
        <w:rPr>
          <w:sz w:val="20"/>
        </w:rPr>
      </w:pPr>
      <w:r w:rsidRPr="00DA10DB">
        <w:rPr>
          <w:sz w:val="20"/>
        </w:rPr>
        <w:t xml:space="preserve">Carpenter, B., </w:t>
      </w:r>
      <w:proofErr w:type="spellStart"/>
      <w:r w:rsidRPr="00DA10DB">
        <w:rPr>
          <w:sz w:val="20"/>
        </w:rPr>
        <w:t>Gelman</w:t>
      </w:r>
      <w:proofErr w:type="spellEnd"/>
      <w:r w:rsidRPr="00DA10DB">
        <w:rPr>
          <w:sz w:val="20"/>
        </w:rPr>
        <w:t xml:space="preserve">, A., Hoffman, M.D., Lee, D., Goodrich, B., Betancourt, M., Brubaker, M., </w:t>
      </w:r>
      <w:proofErr w:type="spellStart"/>
      <w:r w:rsidRPr="00DA10DB">
        <w:rPr>
          <w:sz w:val="20"/>
        </w:rPr>
        <w:t>Guo</w:t>
      </w:r>
      <w:proofErr w:type="spellEnd"/>
      <w:r w:rsidRPr="00DA10DB">
        <w:rPr>
          <w:sz w:val="20"/>
        </w:rPr>
        <w:t xml:space="preserve">, J., Li, P. and Riddell, A. 2017, ‘Stan: A Probabilistic Programming Language’, </w:t>
      </w:r>
      <w:r w:rsidRPr="00DA10DB">
        <w:rPr>
          <w:i/>
          <w:iCs/>
          <w:sz w:val="20"/>
        </w:rPr>
        <w:t>Journal of Statistical Software</w:t>
      </w:r>
      <w:r w:rsidRPr="00DA10DB">
        <w:rPr>
          <w:sz w:val="20"/>
        </w:rPr>
        <w:t>, vol. 76, no. 1, pp. 1–32.</w:t>
      </w:r>
    </w:p>
    <w:p w14:paraId="4D5784A4" w14:textId="77777777" w:rsidR="003E2303" w:rsidRPr="00DA10DB" w:rsidRDefault="003E2303" w:rsidP="00DA10DB">
      <w:pPr>
        <w:pStyle w:val="Reference"/>
        <w:spacing w:line="240" w:lineRule="atLeast"/>
        <w:ind w:left="454" w:hanging="454"/>
        <w:rPr>
          <w:sz w:val="20"/>
        </w:rPr>
      </w:pPr>
      <w:proofErr w:type="spellStart"/>
      <w:r w:rsidRPr="00DA10DB">
        <w:rPr>
          <w:sz w:val="20"/>
        </w:rPr>
        <w:t>Chatterji</w:t>
      </w:r>
      <w:proofErr w:type="spellEnd"/>
      <w:r w:rsidRPr="00DA10DB">
        <w:rPr>
          <w:sz w:val="20"/>
        </w:rPr>
        <w:t xml:space="preserve">, P., </w:t>
      </w:r>
      <w:proofErr w:type="spellStart"/>
      <w:r w:rsidRPr="00DA10DB">
        <w:rPr>
          <w:sz w:val="20"/>
        </w:rPr>
        <w:t>Alegría</w:t>
      </w:r>
      <w:proofErr w:type="spellEnd"/>
      <w:r w:rsidRPr="00DA10DB">
        <w:rPr>
          <w:sz w:val="20"/>
        </w:rPr>
        <w:t xml:space="preserve">, M., Lu, M. and Takeuchi, D. 2007, ‘Psychiatric disorders and </w:t>
      </w:r>
      <w:proofErr w:type="spellStart"/>
      <w:r w:rsidRPr="00DA10DB">
        <w:rPr>
          <w:sz w:val="20"/>
        </w:rPr>
        <w:t>labor</w:t>
      </w:r>
      <w:proofErr w:type="spellEnd"/>
      <w:r w:rsidRPr="00DA10DB">
        <w:rPr>
          <w:sz w:val="20"/>
        </w:rPr>
        <w:t xml:space="preserve"> market outcomes: evidence from the National Latino and Asian American Study’, </w:t>
      </w:r>
      <w:r w:rsidRPr="00DA10DB">
        <w:rPr>
          <w:i/>
          <w:iCs/>
          <w:sz w:val="20"/>
        </w:rPr>
        <w:t>Health Economics</w:t>
      </w:r>
      <w:r w:rsidRPr="00DA10DB">
        <w:rPr>
          <w:sz w:val="20"/>
        </w:rPr>
        <w:t>, vol. 16, no. 10, pp. 1069–1090.</w:t>
      </w:r>
    </w:p>
    <w:p w14:paraId="31886E02" w14:textId="77777777" w:rsidR="003E2303" w:rsidRPr="00DA10DB" w:rsidRDefault="003E2303" w:rsidP="00DA10DB">
      <w:pPr>
        <w:pStyle w:val="Reference"/>
        <w:spacing w:line="240" w:lineRule="atLeast"/>
        <w:ind w:left="454" w:hanging="454"/>
        <w:rPr>
          <w:sz w:val="20"/>
        </w:rPr>
      </w:pPr>
      <w:proofErr w:type="spellStart"/>
      <w:r w:rsidRPr="00DA10DB">
        <w:rPr>
          <w:sz w:val="20"/>
        </w:rPr>
        <w:t>Ettner</w:t>
      </w:r>
      <w:proofErr w:type="spellEnd"/>
      <w:r w:rsidRPr="00DA10DB">
        <w:rPr>
          <w:sz w:val="20"/>
        </w:rPr>
        <w:t xml:space="preserve">, S.L., Frank, R.G. and Kessler, R.C. 1997, ‘The Impact of Psychiatric Disorders on </w:t>
      </w:r>
      <w:proofErr w:type="spellStart"/>
      <w:r w:rsidRPr="00DA10DB">
        <w:rPr>
          <w:sz w:val="20"/>
        </w:rPr>
        <w:t>Labor</w:t>
      </w:r>
      <w:proofErr w:type="spellEnd"/>
      <w:r w:rsidRPr="00DA10DB">
        <w:rPr>
          <w:sz w:val="20"/>
        </w:rPr>
        <w:t xml:space="preserve"> Market Outcomes’, </w:t>
      </w:r>
      <w:r w:rsidRPr="00DA10DB">
        <w:rPr>
          <w:i/>
          <w:iCs/>
          <w:sz w:val="20"/>
        </w:rPr>
        <w:t xml:space="preserve">Industrial and </w:t>
      </w:r>
      <w:proofErr w:type="spellStart"/>
      <w:r w:rsidRPr="00DA10DB">
        <w:rPr>
          <w:i/>
          <w:iCs/>
          <w:sz w:val="20"/>
        </w:rPr>
        <w:t>Labor</w:t>
      </w:r>
      <w:proofErr w:type="spellEnd"/>
      <w:r w:rsidRPr="00DA10DB">
        <w:rPr>
          <w:i/>
          <w:iCs/>
          <w:sz w:val="20"/>
        </w:rPr>
        <w:t xml:space="preserve"> Relations Review</w:t>
      </w:r>
      <w:r w:rsidRPr="00DA10DB">
        <w:rPr>
          <w:sz w:val="20"/>
        </w:rPr>
        <w:t>, vol. 51, no. 1, pp. 64–81.</w:t>
      </w:r>
    </w:p>
    <w:p w14:paraId="59F101D1" w14:textId="77777777" w:rsidR="003E2303" w:rsidRPr="00DA10DB" w:rsidRDefault="003E2303" w:rsidP="00DA10DB">
      <w:pPr>
        <w:pStyle w:val="Reference"/>
        <w:spacing w:line="240" w:lineRule="atLeast"/>
        <w:ind w:left="454" w:hanging="454"/>
        <w:rPr>
          <w:sz w:val="20"/>
        </w:rPr>
      </w:pPr>
      <w:r w:rsidRPr="00DA10DB">
        <w:rPr>
          <w:sz w:val="20"/>
        </w:rPr>
        <w:t xml:space="preserve">Forbes, M., Barker, A. and Turner, S. 2010, </w:t>
      </w:r>
      <w:r w:rsidRPr="00DA10DB">
        <w:rPr>
          <w:i/>
          <w:iCs/>
          <w:sz w:val="20"/>
        </w:rPr>
        <w:t>The effects of education and health on wages and productivity</w:t>
      </w:r>
      <w:r w:rsidRPr="00DA10DB">
        <w:rPr>
          <w:sz w:val="20"/>
        </w:rPr>
        <w:t>, Staff Working Paper, Productivity Commission, Melbourne.</w:t>
      </w:r>
    </w:p>
    <w:p w14:paraId="0DDF8685" w14:textId="77777777" w:rsidR="003E2303" w:rsidRPr="00DA10DB" w:rsidRDefault="003E2303" w:rsidP="00DA10DB">
      <w:pPr>
        <w:pStyle w:val="Reference"/>
        <w:spacing w:line="240" w:lineRule="atLeast"/>
        <w:ind w:left="454" w:hanging="454"/>
        <w:rPr>
          <w:sz w:val="20"/>
        </w:rPr>
      </w:pPr>
      <w:proofErr w:type="spellStart"/>
      <w:r w:rsidRPr="00DA10DB">
        <w:rPr>
          <w:sz w:val="20"/>
        </w:rPr>
        <w:t>Frijters</w:t>
      </w:r>
      <w:proofErr w:type="spellEnd"/>
      <w:r w:rsidRPr="00DA10DB">
        <w:rPr>
          <w:sz w:val="20"/>
        </w:rPr>
        <w:t xml:space="preserve">, P., Johnston, D.W. and Shields, M.A. 2014, ‘The effect of mental health on employment: evidence from Australian panel data’, </w:t>
      </w:r>
      <w:r w:rsidRPr="00DA10DB">
        <w:rPr>
          <w:i/>
          <w:iCs/>
          <w:sz w:val="20"/>
        </w:rPr>
        <w:t>Health Economics</w:t>
      </w:r>
      <w:r w:rsidRPr="00DA10DB">
        <w:rPr>
          <w:sz w:val="20"/>
        </w:rPr>
        <w:t>, vol. 23, no. 9, pp. 1058–1071.</w:t>
      </w:r>
    </w:p>
    <w:p w14:paraId="53385CC1" w14:textId="77777777" w:rsidR="003E2303" w:rsidRPr="00DA10DB" w:rsidRDefault="003E2303" w:rsidP="00DA10DB">
      <w:pPr>
        <w:pStyle w:val="Reference"/>
        <w:spacing w:line="240" w:lineRule="atLeast"/>
        <w:ind w:left="454" w:hanging="454"/>
        <w:rPr>
          <w:sz w:val="20"/>
        </w:rPr>
      </w:pPr>
      <w:r w:rsidRPr="00DA10DB">
        <w:rPr>
          <w:sz w:val="20"/>
        </w:rPr>
        <w:t xml:space="preserve">Hoekstra, R., Morey, R.D., </w:t>
      </w:r>
      <w:proofErr w:type="spellStart"/>
      <w:r w:rsidRPr="00DA10DB">
        <w:rPr>
          <w:sz w:val="20"/>
        </w:rPr>
        <w:t>Rouder</w:t>
      </w:r>
      <w:proofErr w:type="spellEnd"/>
      <w:r w:rsidRPr="00DA10DB">
        <w:rPr>
          <w:sz w:val="20"/>
        </w:rPr>
        <w:t xml:space="preserve">, J.N. and </w:t>
      </w:r>
      <w:proofErr w:type="spellStart"/>
      <w:r w:rsidRPr="00DA10DB">
        <w:rPr>
          <w:sz w:val="20"/>
        </w:rPr>
        <w:t>Wagenmakers</w:t>
      </w:r>
      <w:proofErr w:type="spellEnd"/>
      <w:r w:rsidRPr="00DA10DB">
        <w:rPr>
          <w:sz w:val="20"/>
        </w:rPr>
        <w:t xml:space="preserve">, E.-J. 2014, ‘Robust misinterpretation of confidence intervals’, </w:t>
      </w:r>
      <w:proofErr w:type="spellStart"/>
      <w:r w:rsidRPr="00DA10DB">
        <w:rPr>
          <w:i/>
          <w:iCs/>
          <w:sz w:val="20"/>
        </w:rPr>
        <w:t>Psychonomic</w:t>
      </w:r>
      <w:proofErr w:type="spellEnd"/>
      <w:r w:rsidRPr="00DA10DB">
        <w:rPr>
          <w:i/>
          <w:iCs/>
          <w:sz w:val="20"/>
        </w:rPr>
        <w:t xml:space="preserve"> Bulletin &amp; Review</w:t>
      </w:r>
      <w:r w:rsidRPr="00DA10DB">
        <w:rPr>
          <w:sz w:val="20"/>
        </w:rPr>
        <w:t>, vol. 21, no. 5, pp. 1157–1164.</w:t>
      </w:r>
    </w:p>
    <w:p w14:paraId="344B3A0C" w14:textId="77777777" w:rsidR="003E2303" w:rsidRPr="00DA10DB" w:rsidRDefault="003E2303" w:rsidP="00DA10DB">
      <w:pPr>
        <w:pStyle w:val="Reference"/>
        <w:spacing w:line="240" w:lineRule="atLeast"/>
        <w:ind w:left="454" w:hanging="454"/>
        <w:rPr>
          <w:sz w:val="20"/>
        </w:rPr>
      </w:pPr>
      <w:proofErr w:type="spellStart"/>
      <w:r w:rsidRPr="00DA10DB">
        <w:rPr>
          <w:sz w:val="20"/>
        </w:rPr>
        <w:t>Kiely</w:t>
      </w:r>
      <w:proofErr w:type="spellEnd"/>
      <w:r w:rsidRPr="00DA10DB">
        <w:rPr>
          <w:sz w:val="20"/>
        </w:rPr>
        <w:t xml:space="preserve">, K.M. and Butterworth, P. 2015, ‘Validation of four measures of mental health against depression and generalized anxiety in a community based sample’, </w:t>
      </w:r>
      <w:r w:rsidRPr="00DA10DB">
        <w:rPr>
          <w:i/>
          <w:iCs/>
          <w:sz w:val="20"/>
        </w:rPr>
        <w:t>Psychiatry Research</w:t>
      </w:r>
      <w:r w:rsidRPr="00DA10DB">
        <w:rPr>
          <w:sz w:val="20"/>
        </w:rPr>
        <w:t>, vol. 225, no. 3, pp. 291–298.</w:t>
      </w:r>
    </w:p>
    <w:p w14:paraId="44FEA158" w14:textId="77777777" w:rsidR="003E2303" w:rsidRPr="00DA10DB" w:rsidRDefault="003E2303" w:rsidP="00DA10DB">
      <w:pPr>
        <w:pStyle w:val="Reference"/>
        <w:spacing w:line="240" w:lineRule="atLeast"/>
        <w:ind w:left="454" w:hanging="454"/>
        <w:rPr>
          <w:sz w:val="20"/>
        </w:rPr>
      </w:pPr>
      <w:proofErr w:type="spellStart"/>
      <w:r w:rsidRPr="00DA10DB">
        <w:rPr>
          <w:sz w:val="20"/>
        </w:rPr>
        <w:t>Kinchin</w:t>
      </w:r>
      <w:proofErr w:type="spellEnd"/>
      <w:r w:rsidRPr="00DA10DB">
        <w:rPr>
          <w:sz w:val="20"/>
        </w:rPr>
        <w:t xml:space="preserve">, I. and Doran, C.M. 2017, ‘The economic cost of suicide and non-fatal  suicide </w:t>
      </w:r>
      <w:proofErr w:type="spellStart"/>
      <w:r w:rsidRPr="00DA10DB">
        <w:rPr>
          <w:sz w:val="20"/>
        </w:rPr>
        <w:t>behavior</w:t>
      </w:r>
      <w:proofErr w:type="spellEnd"/>
      <w:r w:rsidRPr="00DA10DB">
        <w:rPr>
          <w:sz w:val="20"/>
        </w:rPr>
        <w:t xml:space="preserve"> in the Australian workforce and the potential impact of a Workplace Suicide Prevention Strategy’, </w:t>
      </w:r>
      <w:r w:rsidRPr="00DA10DB">
        <w:rPr>
          <w:i/>
          <w:iCs/>
          <w:sz w:val="20"/>
        </w:rPr>
        <w:t>International Journal of Environmental Research and Public Health</w:t>
      </w:r>
      <w:r w:rsidRPr="00DA10DB">
        <w:rPr>
          <w:sz w:val="20"/>
        </w:rPr>
        <w:t>, vol. 14, no. 4, p. 347.</w:t>
      </w:r>
    </w:p>
    <w:p w14:paraId="778095A4" w14:textId="77777777" w:rsidR="003E2303" w:rsidRPr="00DA10DB" w:rsidRDefault="003E2303" w:rsidP="00DA10DB">
      <w:pPr>
        <w:pStyle w:val="Reference"/>
        <w:spacing w:line="240" w:lineRule="atLeast"/>
        <w:ind w:left="454" w:hanging="454"/>
        <w:rPr>
          <w:sz w:val="20"/>
        </w:rPr>
      </w:pPr>
      <w:proofErr w:type="spellStart"/>
      <w:r w:rsidRPr="00DA10DB">
        <w:rPr>
          <w:sz w:val="20"/>
        </w:rPr>
        <w:t>Krysinska</w:t>
      </w:r>
      <w:proofErr w:type="spellEnd"/>
      <w:r w:rsidRPr="00DA10DB">
        <w:rPr>
          <w:sz w:val="20"/>
        </w:rPr>
        <w:t xml:space="preserve">, K., </w:t>
      </w:r>
      <w:proofErr w:type="spellStart"/>
      <w:r w:rsidRPr="00DA10DB">
        <w:rPr>
          <w:sz w:val="20"/>
        </w:rPr>
        <w:t>Batterham</w:t>
      </w:r>
      <w:proofErr w:type="spellEnd"/>
      <w:r w:rsidRPr="00DA10DB">
        <w:rPr>
          <w:sz w:val="20"/>
        </w:rPr>
        <w:t xml:space="preserve">, P.J., </w:t>
      </w:r>
      <w:proofErr w:type="spellStart"/>
      <w:r w:rsidRPr="00DA10DB">
        <w:rPr>
          <w:sz w:val="20"/>
        </w:rPr>
        <w:t>Tye</w:t>
      </w:r>
      <w:proofErr w:type="spellEnd"/>
      <w:r w:rsidRPr="00DA10DB">
        <w:rPr>
          <w:sz w:val="20"/>
        </w:rPr>
        <w:t xml:space="preserve">, M., </w:t>
      </w:r>
      <w:proofErr w:type="spellStart"/>
      <w:r w:rsidRPr="00DA10DB">
        <w:rPr>
          <w:sz w:val="20"/>
        </w:rPr>
        <w:t>Shand</w:t>
      </w:r>
      <w:proofErr w:type="spellEnd"/>
      <w:r w:rsidRPr="00DA10DB">
        <w:rPr>
          <w:sz w:val="20"/>
        </w:rPr>
        <w:t xml:space="preserve">, F., </w:t>
      </w:r>
      <w:proofErr w:type="spellStart"/>
      <w:r w:rsidRPr="00DA10DB">
        <w:rPr>
          <w:sz w:val="20"/>
        </w:rPr>
        <w:t>Calear</w:t>
      </w:r>
      <w:proofErr w:type="spellEnd"/>
      <w:r w:rsidRPr="00DA10DB">
        <w:rPr>
          <w:sz w:val="20"/>
        </w:rPr>
        <w:t xml:space="preserve">, A.L., </w:t>
      </w:r>
      <w:proofErr w:type="spellStart"/>
      <w:r w:rsidRPr="00DA10DB">
        <w:rPr>
          <w:sz w:val="20"/>
        </w:rPr>
        <w:t>Cockayne</w:t>
      </w:r>
      <w:proofErr w:type="spellEnd"/>
      <w:r w:rsidRPr="00DA10DB">
        <w:rPr>
          <w:sz w:val="20"/>
        </w:rPr>
        <w:t xml:space="preserve">, N. and Christensen, H. 2016, ‘Best strategies for reducing the suicide rate in Australia’, </w:t>
      </w:r>
      <w:r w:rsidRPr="00DA10DB">
        <w:rPr>
          <w:i/>
          <w:iCs/>
          <w:sz w:val="20"/>
        </w:rPr>
        <w:t>Australian and New Zealand Journal of Psychiatry</w:t>
      </w:r>
      <w:r w:rsidRPr="00DA10DB">
        <w:rPr>
          <w:sz w:val="20"/>
        </w:rPr>
        <w:t>, vol. 50, no. 2, pp. 115–118.</w:t>
      </w:r>
    </w:p>
    <w:p w14:paraId="1AF9AB44" w14:textId="77777777" w:rsidR="003E2303" w:rsidRPr="00DA10DB" w:rsidRDefault="003E2303" w:rsidP="00DA10DB">
      <w:pPr>
        <w:pStyle w:val="Reference"/>
        <w:spacing w:line="240" w:lineRule="atLeast"/>
        <w:ind w:left="454" w:hanging="454"/>
        <w:rPr>
          <w:sz w:val="20"/>
        </w:rPr>
      </w:pPr>
      <w:r w:rsidRPr="00DA10DB">
        <w:rPr>
          <w:sz w:val="20"/>
        </w:rPr>
        <w:t xml:space="preserve">Latimer, E., </w:t>
      </w:r>
      <w:proofErr w:type="spellStart"/>
      <w:r w:rsidRPr="00DA10DB">
        <w:rPr>
          <w:sz w:val="20"/>
        </w:rPr>
        <w:t>Xie</w:t>
      </w:r>
      <w:proofErr w:type="spellEnd"/>
      <w:r w:rsidRPr="00DA10DB">
        <w:rPr>
          <w:sz w:val="20"/>
        </w:rPr>
        <w:t xml:space="preserve">, H. and </w:t>
      </w:r>
      <w:proofErr w:type="spellStart"/>
      <w:r w:rsidRPr="00DA10DB">
        <w:rPr>
          <w:sz w:val="20"/>
        </w:rPr>
        <w:t>Lecomte</w:t>
      </w:r>
      <w:proofErr w:type="spellEnd"/>
      <w:r w:rsidRPr="00DA10DB">
        <w:rPr>
          <w:sz w:val="20"/>
        </w:rPr>
        <w:t xml:space="preserve">, T. 2006, ‘Generalisability of the individual placement and support model of supported employment: Results of a Canadian randomised controlled trial’, </w:t>
      </w:r>
      <w:r w:rsidRPr="00DA10DB">
        <w:rPr>
          <w:i/>
          <w:iCs/>
          <w:sz w:val="20"/>
        </w:rPr>
        <w:t>The British Journal of Psychiatry</w:t>
      </w:r>
      <w:r w:rsidRPr="00DA10DB">
        <w:rPr>
          <w:sz w:val="20"/>
        </w:rPr>
        <w:t>, vol. 189, pp. 65–73.</w:t>
      </w:r>
    </w:p>
    <w:p w14:paraId="772C1EC0" w14:textId="77777777" w:rsidR="003E2303" w:rsidRPr="00DA10DB" w:rsidRDefault="003E2303" w:rsidP="00DA10DB">
      <w:pPr>
        <w:pStyle w:val="Reference"/>
        <w:spacing w:line="240" w:lineRule="atLeast"/>
        <w:ind w:left="454" w:hanging="454"/>
        <w:rPr>
          <w:sz w:val="20"/>
        </w:rPr>
      </w:pPr>
      <w:proofErr w:type="spellStart"/>
      <w:r w:rsidRPr="00DA10DB">
        <w:rPr>
          <w:sz w:val="20"/>
        </w:rPr>
        <w:t>McElreath</w:t>
      </w:r>
      <w:proofErr w:type="spellEnd"/>
      <w:r w:rsidRPr="00DA10DB">
        <w:rPr>
          <w:sz w:val="20"/>
        </w:rPr>
        <w:t xml:space="preserve">, R. 2019, </w:t>
      </w:r>
      <w:r w:rsidRPr="00DA10DB">
        <w:rPr>
          <w:i/>
          <w:iCs/>
          <w:sz w:val="20"/>
        </w:rPr>
        <w:t>Statistical Rethinking</w:t>
      </w:r>
      <w:r w:rsidRPr="00DA10DB">
        <w:rPr>
          <w:sz w:val="20"/>
        </w:rPr>
        <w:t>, Second Edition.</w:t>
      </w:r>
    </w:p>
    <w:p w14:paraId="72A49DCA" w14:textId="77777777" w:rsidR="003E2303" w:rsidRPr="00DA10DB" w:rsidRDefault="003E2303" w:rsidP="00DA10DB">
      <w:pPr>
        <w:pStyle w:val="Reference"/>
        <w:spacing w:line="240" w:lineRule="atLeast"/>
        <w:ind w:left="454" w:hanging="454"/>
        <w:rPr>
          <w:sz w:val="20"/>
        </w:rPr>
      </w:pPr>
      <w:r w:rsidRPr="00DA10DB">
        <w:rPr>
          <w:sz w:val="20"/>
        </w:rPr>
        <w:t xml:space="preserve">Muir, S., Meyer, D. and Thomas, N. 2016, </w:t>
      </w:r>
      <w:r w:rsidRPr="00DA10DB">
        <w:rPr>
          <w:i/>
          <w:iCs/>
          <w:sz w:val="20"/>
        </w:rPr>
        <w:t xml:space="preserve">Evaluation of outcomes for </w:t>
      </w:r>
      <w:proofErr w:type="spellStart"/>
      <w:r w:rsidRPr="00DA10DB">
        <w:rPr>
          <w:i/>
          <w:iCs/>
          <w:sz w:val="20"/>
        </w:rPr>
        <w:t>Wellways</w:t>
      </w:r>
      <w:proofErr w:type="spellEnd"/>
      <w:r w:rsidRPr="00DA10DB">
        <w:rPr>
          <w:i/>
          <w:iCs/>
          <w:sz w:val="20"/>
        </w:rPr>
        <w:t xml:space="preserve"> Australia: Recovery Star and Camberwell Assessment of Needs data analysis</w:t>
      </w:r>
      <w:r w:rsidRPr="00DA10DB">
        <w:rPr>
          <w:sz w:val="20"/>
        </w:rPr>
        <w:t>.</w:t>
      </w:r>
    </w:p>
    <w:p w14:paraId="304639E8" w14:textId="77777777" w:rsidR="003E2303" w:rsidRPr="00DA10DB" w:rsidRDefault="003E2303" w:rsidP="00DA10DB">
      <w:pPr>
        <w:pStyle w:val="Reference"/>
        <w:spacing w:line="240" w:lineRule="atLeast"/>
        <w:ind w:left="454" w:hanging="454"/>
        <w:rPr>
          <w:sz w:val="20"/>
        </w:rPr>
      </w:pPr>
      <w:proofErr w:type="spellStart"/>
      <w:r w:rsidRPr="00DA10DB">
        <w:rPr>
          <w:sz w:val="20"/>
        </w:rPr>
        <w:lastRenderedPageBreak/>
        <w:t>Sklad</w:t>
      </w:r>
      <w:proofErr w:type="spellEnd"/>
      <w:r w:rsidRPr="00DA10DB">
        <w:rPr>
          <w:sz w:val="20"/>
        </w:rPr>
        <w:t xml:space="preserve">, M., </w:t>
      </w:r>
      <w:proofErr w:type="spellStart"/>
      <w:r w:rsidRPr="00DA10DB">
        <w:rPr>
          <w:sz w:val="20"/>
        </w:rPr>
        <w:t>Diekstra</w:t>
      </w:r>
      <w:proofErr w:type="spellEnd"/>
      <w:r w:rsidRPr="00DA10DB">
        <w:rPr>
          <w:sz w:val="20"/>
        </w:rPr>
        <w:t xml:space="preserve">, R., De Ritter, M., Ben, J. and </w:t>
      </w:r>
      <w:proofErr w:type="spellStart"/>
      <w:r w:rsidRPr="00DA10DB">
        <w:rPr>
          <w:sz w:val="20"/>
        </w:rPr>
        <w:t>Gravesteijn</w:t>
      </w:r>
      <w:proofErr w:type="spellEnd"/>
      <w:r w:rsidRPr="00DA10DB">
        <w:rPr>
          <w:sz w:val="20"/>
        </w:rPr>
        <w:t xml:space="preserve">, C. 2012, ‘Effectiveness of school‐based universal social, emotional, and </w:t>
      </w:r>
      <w:proofErr w:type="spellStart"/>
      <w:r w:rsidRPr="00DA10DB">
        <w:rPr>
          <w:sz w:val="20"/>
        </w:rPr>
        <w:t>behavioral</w:t>
      </w:r>
      <w:proofErr w:type="spellEnd"/>
      <w:r w:rsidRPr="00DA10DB">
        <w:rPr>
          <w:sz w:val="20"/>
        </w:rPr>
        <w:t xml:space="preserve"> programs: Do they enhance students’ development in the area of skill, </w:t>
      </w:r>
      <w:proofErr w:type="spellStart"/>
      <w:r w:rsidRPr="00DA10DB">
        <w:rPr>
          <w:sz w:val="20"/>
        </w:rPr>
        <w:t>behavior</w:t>
      </w:r>
      <w:proofErr w:type="spellEnd"/>
      <w:r w:rsidRPr="00DA10DB">
        <w:rPr>
          <w:sz w:val="20"/>
        </w:rPr>
        <w:t xml:space="preserve">, and adjustment?’, </w:t>
      </w:r>
      <w:r w:rsidRPr="00DA10DB">
        <w:rPr>
          <w:i/>
          <w:iCs/>
          <w:sz w:val="20"/>
        </w:rPr>
        <w:t>Psychology in the Schools</w:t>
      </w:r>
      <w:r w:rsidRPr="00DA10DB">
        <w:rPr>
          <w:sz w:val="20"/>
        </w:rPr>
        <w:t>, vol. 49, no. 9, pp. 892–909.</w:t>
      </w:r>
    </w:p>
    <w:p w14:paraId="112845F0" w14:textId="77777777" w:rsidR="003E2303" w:rsidRPr="00DA10DB" w:rsidRDefault="003E2303" w:rsidP="00DA10DB">
      <w:pPr>
        <w:pStyle w:val="Reference"/>
        <w:spacing w:line="240" w:lineRule="atLeast"/>
        <w:ind w:left="454" w:hanging="454"/>
        <w:rPr>
          <w:sz w:val="20"/>
        </w:rPr>
      </w:pPr>
      <w:proofErr w:type="spellStart"/>
      <w:r w:rsidRPr="00DA10DB">
        <w:rPr>
          <w:sz w:val="20"/>
        </w:rPr>
        <w:t>Wagenmakers</w:t>
      </w:r>
      <w:proofErr w:type="spellEnd"/>
      <w:r w:rsidRPr="00DA10DB">
        <w:rPr>
          <w:sz w:val="20"/>
        </w:rPr>
        <w:t xml:space="preserve">, E.-J., Lee, M., </w:t>
      </w:r>
      <w:proofErr w:type="spellStart"/>
      <w:r w:rsidRPr="00DA10DB">
        <w:rPr>
          <w:sz w:val="20"/>
        </w:rPr>
        <w:t>Lodewyckx</w:t>
      </w:r>
      <w:proofErr w:type="spellEnd"/>
      <w:r w:rsidRPr="00DA10DB">
        <w:rPr>
          <w:sz w:val="20"/>
        </w:rPr>
        <w:t xml:space="preserve">, T. and Iverson, G.J. 2008, ‘Bayesian Versus </w:t>
      </w:r>
      <w:proofErr w:type="spellStart"/>
      <w:r w:rsidRPr="00DA10DB">
        <w:rPr>
          <w:sz w:val="20"/>
        </w:rPr>
        <w:t>Frequentist</w:t>
      </w:r>
      <w:proofErr w:type="spellEnd"/>
      <w:r w:rsidRPr="00DA10DB">
        <w:rPr>
          <w:sz w:val="20"/>
        </w:rPr>
        <w:t xml:space="preserve"> Inference’, in </w:t>
      </w:r>
      <w:proofErr w:type="spellStart"/>
      <w:r w:rsidRPr="00DA10DB">
        <w:rPr>
          <w:sz w:val="20"/>
        </w:rPr>
        <w:t>Hoijtink</w:t>
      </w:r>
      <w:proofErr w:type="spellEnd"/>
      <w:r w:rsidRPr="00DA10DB">
        <w:rPr>
          <w:sz w:val="20"/>
        </w:rPr>
        <w:t xml:space="preserve">, H., </w:t>
      </w:r>
      <w:proofErr w:type="spellStart"/>
      <w:r w:rsidRPr="00DA10DB">
        <w:rPr>
          <w:sz w:val="20"/>
        </w:rPr>
        <w:t>Klugkist</w:t>
      </w:r>
      <w:proofErr w:type="spellEnd"/>
      <w:r w:rsidRPr="00DA10DB">
        <w:rPr>
          <w:sz w:val="20"/>
        </w:rPr>
        <w:t xml:space="preserve">, I. and </w:t>
      </w:r>
      <w:proofErr w:type="spellStart"/>
      <w:r w:rsidRPr="00DA10DB">
        <w:rPr>
          <w:sz w:val="20"/>
        </w:rPr>
        <w:t>Boelen</w:t>
      </w:r>
      <w:proofErr w:type="spellEnd"/>
      <w:r w:rsidRPr="00DA10DB">
        <w:rPr>
          <w:sz w:val="20"/>
        </w:rPr>
        <w:t>, P.A. (</w:t>
      </w:r>
      <w:proofErr w:type="spellStart"/>
      <w:r w:rsidRPr="00DA10DB">
        <w:rPr>
          <w:sz w:val="20"/>
        </w:rPr>
        <w:t>eds</w:t>
      </w:r>
      <w:proofErr w:type="spellEnd"/>
      <w:r w:rsidRPr="00DA10DB">
        <w:rPr>
          <w:sz w:val="20"/>
        </w:rPr>
        <w:t xml:space="preserve">), </w:t>
      </w:r>
      <w:r w:rsidRPr="00DA10DB">
        <w:rPr>
          <w:i/>
          <w:iCs/>
          <w:sz w:val="20"/>
        </w:rPr>
        <w:t>Bayesian Evaluation of Informative Hypotheses</w:t>
      </w:r>
      <w:r w:rsidRPr="00DA10DB">
        <w:rPr>
          <w:sz w:val="20"/>
        </w:rPr>
        <w:t xml:space="preserve">, Statistics for Social and </w:t>
      </w:r>
      <w:proofErr w:type="spellStart"/>
      <w:r w:rsidRPr="00DA10DB">
        <w:rPr>
          <w:sz w:val="20"/>
        </w:rPr>
        <w:t>Behavioral</w:t>
      </w:r>
      <w:proofErr w:type="spellEnd"/>
      <w:r w:rsidRPr="00DA10DB">
        <w:rPr>
          <w:sz w:val="20"/>
        </w:rPr>
        <w:t xml:space="preserve"> Sciences, Springer, New York, NY, pp. 181–207, https://doi.org/10.1007/978-0-387-09612-4_9 (accessed 29 October 2019).</w:t>
      </w:r>
    </w:p>
    <w:p w14:paraId="510FB4B2" w14:textId="77777777" w:rsidR="003E2303" w:rsidRPr="00DA10DB" w:rsidRDefault="003E2303" w:rsidP="00DA10DB">
      <w:pPr>
        <w:pStyle w:val="Reference"/>
        <w:spacing w:line="240" w:lineRule="atLeast"/>
        <w:ind w:left="454" w:hanging="454"/>
        <w:rPr>
          <w:sz w:val="20"/>
        </w:rPr>
      </w:pPr>
      <w:proofErr w:type="spellStart"/>
      <w:r w:rsidRPr="00DA10DB">
        <w:rPr>
          <w:sz w:val="20"/>
        </w:rPr>
        <w:t>Waghorn</w:t>
      </w:r>
      <w:proofErr w:type="spellEnd"/>
      <w:r w:rsidRPr="00DA10DB">
        <w:rPr>
          <w:sz w:val="20"/>
        </w:rPr>
        <w:t xml:space="preserve">, G. and Lloyd, C. 2005, ‘The employment of people with mental illness’, </w:t>
      </w:r>
      <w:r w:rsidRPr="00DA10DB">
        <w:rPr>
          <w:i/>
          <w:iCs/>
          <w:sz w:val="20"/>
        </w:rPr>
        <w:t>Australian e-Journal for the Advancement of Mental Health</w:t>
      </w:r>
      <w:r w:rsidRPr="00DA10DB">
        <w:rPr>
          <w:sz w:val="20"/>
        </w:rPr>
        <w:t>, vol. 4, no. 2, pp. 1–43.</w:t>
      </w:r>
    </w:p>
    <w:p w14:paraId="6293E675" w14:textId="77777777" w:rsidR="003E2303" w:rsidRPr="00DA10DB" w:rsidRDefault="003E2303" w:rsidP="00DA10DB">
      <w:pPr>
        <w:pStyle w:val="Reference"/>
        <w:spacing w:line="240" w:lineRule="atLeast"/>
        <w:ind w:left="454" w:hanging="454"/>
        <w:rPr>
          <w:sz w:val="20"/>
        </w:rPr>
      </w:pPr>
      <w:r w:rsidRPr="00DA10DB">
        <w:rPr>
          <w:sz w:val="20"/>
        </w:rPr>
        <w:t xml:space="preserve">Ware, J.E. and </w:t>
      </w:r>
      <w:proofErr w:type="spellStart"/>
      <w:r w:rsidRPr="00DA10DB">
        <w:rPr>
          <w:sz w:val="20"/>
        </w:rPr>
        <w:t>Kosinski</w:t>
      </w:r>
      <w:proofErr w:type="spellEnd"/>
      <w:r w:rsidRPr="00DA10DB">
        <w:rPr>
          <w:sz w:val="20"/>
        </w:rPr>
        <w:t xml:space="preserve">, M. 2001, </w:t>
      </w:r>
      <w:r w:rsidRPr="00DA10DB">
        <w:rPr>
          <w:i/>
          <w:iCs/>
          <w:sz w:val="20"/>
        </w:rPr>
        <w:t>SF-36 physical and mental health summary scales : a manual for users of Version 1</w:t>
      </w:r>
      <w:r w:rsidRPr="00DA10DB">
        <w:rPr>
          <w:sz w:val="20"/>
        </w:rPr>
        <w:t xml:space="preserve">, 2nd </w:t>
      </w:r>
      <w:proofErr w:type="spellStart"/>
      <w:r w:rsidRPr="00DA10DB">
        <w:rPr>
          <w:sz w:val="20"/>
        </w:rPr>
        <w:t>edn</w:t>
      </w:r>
      <w:proofErr w:type="spellEnd"/>
      <w:r w:rsidRPr="00DA10DB">
        <w:rPr>
          <w:sz w:val="20"/>
        </w:rPr>
        <w:t xml:space="preserve">, Lincoln, RI : </w:t>
      </w:r>
      <w:proofErr w:type="spellStart"/>
      <w:r w:rsidRPr="00DA10DB">
        <w:rPr>
          <w:sz w:val="20"/>
        </w:rPr>
        <w:t>QualityMetric</w:t>
      </w:r>
      <w:proofErr w:type="spellEnd"/>
      <w:r w:rsidRPr="00DA10DB">
        <w:rPr>
          <w:sz w:val="20"/>
        </w:rPr>
        <w:t>.</w:t>
      </w:r>
    </w:p>
    <w:p w14:paraId="60B59B48" w14:textId="684CC187" w:rsidR="00BB2BFB" w:rsidRPr="00DA10DB" w:rsidRDefault="003E2303" w:rsidP="00DA10DB">
      <w:pPr>
        <w:pStyle w:val="Reference"/>
        <w:spacing w:line="240" w:lineRule="atLeast"/>
        <w:ind w:left="454" w:hanging="454"/>
        <w:rPr>
          <w:sz w:val="20"/>
        </w:rPr>
      </w:pPr>
      <w:r w:rsidRPr="00DA10DB">
        <w:rPr>
          <w:sz w:val="20"/>
        </w:rPr>
        <w:t xml:space="preserve">Whitehead, S.J. and Ali, S. 2010, ‘Health outcomes in economic evaluation: the QALY and utilities’, </w:t>
      </w:r>
      <w:r w:rsidRPr="00DA10DB">
        <w:rPr>
          <w:i/>
          <w:iCs/>
          <w:sz w:val="20"/>
        </w:rPr>
        <w:t>British Medical Bulletin</w:t>
      </w:r>
      <w:r w:rsidRPr="00DA10DB">
        <w:rPr>
          <w:sz w:val="20"/>
        </w:rPr>
        <w:t>, vol. 96, no. 1, pp. 5–21.</w:t>
      </w:r>
    </w:p>
    <w:sectPr w:rsidR="00BB2BFB" w:rsidRPr="00DA10DB" w:rsidSect="00822E3B">
      <w:headerReference w:type="even" r:id="rId22"/>
      <w:headerReference w:type="default" r:id="rId23"/>
      <w:footerReference w:type="even" r:id="rId24"/>
      <w:footerReference w:type="default" r:id="rId25"/>
      <w:pgSz w:w="11907" w:h="16840" w:code="9"/>
      <w:pgMar w:top="1985" w:right="1304" w:bottom="1247" w:left="1814" w:header="1701" w:footer="397" w:gutter="0"/>
      <w:pgNumType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A3030" w14:textId="77777777" w:rsidR="00D74233" w:rsidRDefault="00D74233">
      <w:r>
        <w:separator/>
      </w:r>
    </w:p>
  </w:endnote>
  <w:endnote w:type="continuationSeparator" w:id="0">
    <w:p w14:paraId="08DBA50B" w14:textId="77777777" w:rsidR="00D74233" w:rsidRDefault="00D74233">
      <w:r>
        <w:continuationSeparator/>
      </w:r>
    </w:p>
  </w:endnote>
  <w:endnote w:type="continuationNotice" w:id="1">
    <w:p w14:paraId="48273D42" w14:textId="77777777" w:rsidR="00D74233" w:rsidRDefault="00D74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74233" w14:paraId="2EE187D5" w14:textId="77777777" w:rsidTr="005F48ED">
      <w:trPr>
        <w:trHeight w:hRule="exact" w:val="567"/>
      </w:trPr>
      <w:tc>
        <w:tcPr>
          <w:tcW w:w="510" w:type="dxa"/>
        </w:tcPr>
        <w:p w14:paraId="6AD8AAA9" w14:textId="77777777" w:rsidR="00D74233" w:rsidRPr="00A24443" w:rsidRDefault="00D742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43729">
            <w:rPr>
              <w:rStyle w:val="PageNumber"/>
              <w:caps w:val="0"/>
              <w:noProof/>
            </w:rPr>
            <w:t>2</w:t>
          </w:r>
          <w:r w:rsidRPr="00A24443">
            <w:rPr>
              <w:rStyle w:val="PageNumber"/>
              <w:caps w:val="0"/>
            </w:rPr>
            <w:fldChar w:fldCharType="end"/>
          </w:r>
        </w:p>
      </w:tc>
      <w:tc>
        <w:tcPr>
          <w:tcW w:w="7767" w:type="dxa"/>
        </w:tcPr>
        <w:p w14:paraId="260BC867" w14:textId="77777777" w:rsidR="00C61197" w:rsidRDefault="00C61197" w:rsidP="0013739A">
          <w:pPr>
            <w:pStyle w:val="Footer"/>
            <w:rPr>
              <w:rFonts w:cs="Arial"/>
            </w:rPr>
          </w:pPr>
          <w:r>
            <w:rPr>
              <w:rFonts w:cs="Arial"/>
            </w:rPr>
            <w:t>mental health</w:t>
          </w:r>
        </w:p>
        <w:p w14:paraId="1517FC46" w14:textId="6D27702B" w:rsidR="00D74233" w:rsidRPr="0013739A" w:rsidRDefault="00C61197" w:rsidP="00C61197">
          <w:pPr>
            <w:pStyle w:val="FooterDraftReport"/>
          </w:pPr>
          <w:r>
            <w:t>draft report</w:t>
          </w:r>
          <w:r w:rsidR="00D74233" w:rsidRPr="00BA5B14">
            <w:fldChar w:fldCharType="begin"/>
          </w:r>
          <w:r w:rsidR="00D74233" w:rsidRPr="00BA5B14">
            <w:instrText xml:space="preserve"> SUBJECT  \* MERGEFORMAT </w:instrText>
          </w:r>
          <w:r w:rsidR="00D74233" w:rsidRPr="00BA5B14">
            <w:fldChar w:fldCharType="end"/>
          </w:r>
        </w:p>
      </w:tc>
      <w:tc>
        <w:tcPr>
          <w:tcW w:w="510" w:type="dxa"/>
        </w:tcPr>
        <w:p w14:paraId="5435CC0A" w14:textId="77777777" w:rsidR="00D74233" w:rsidRDefault="00D74233" w:rsidP="0019293B">
          <w:pPr>
            <w:pStyle w:val="Footer"/>
          </w:pPr>
        </w:p>
      </w:tc>
    </w:tr>
  </w:tbl>
  <w:p w14:paraId="1D24B4F2" w14:textId="2D13D6E2" w:rsidR="00D74233" w:rsidRDefault="00D74233" w:rsidP="0019293B">
    <w:pPr>
      <w:pStyle w:val="FooterEnd"/>
    </w:pPr>
  </w:p>
  <w:p w14:paraId="243E7518" w14:textId="77777777" w:rsidR="00D74233" w:rsidRDefault="00D74233"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74233" w14:paraId="392FA57E" w14:textId="77777777" w:rsidTr="005F48ED">
      <w:trPr>
        <w:trHeight w:hRule="exact" w:val="567"/>
      </w:trPr>
      <w:tc>
        <w:tcPr>
          <w:tcW w:w="510" w:type="dxa"/>
        </w:tcPr>
        <w:p w14:paraId="383702E3" w14:textId="77777777" w:rsidR="00D74233" w:rsidRDefault="00D74233">
          <w:pPr>
            <w:pStyle w:val="Footer"/>
            <w:ind w:right="360" w:firstLine="360"/>
          </w:pPr>
        </w:p>
      </w:tc>
      <w:tc>
        <w:tcPr>
          <w:tcW w:w="7767" w:type="dxa"/>
        </w:tcPr>
        <w:p w14:paraId="1D071A2F" w14:textId="77777777" w:rsidR="00D74233" w:rsidRDefault="00C61197" w:rsidP="00C61197">
          <w:pPr>
            <w:pStyle w:val="Footer"/>
            <w:jc w:val="right"/>
            <w:rPr>
              <w:rFonts w:cs="Arial"/>
            </w:rPr>
          </w:pPr>
          <w:r>
            <w:rPr>
              <w:rFonts w:cs="Arial"/>
            </w:rPr>
            <w:t>Economic Benefits</w:t>
          </w:r>
        </w:p>
        <w:p w14:paraId="31769A1A" w14:textId="34843A97" w:rsidR="00C61197" w:rsidRPr="00BA5B14" w:rsidRDefault="00C61197" w:rsidP="00C61197">
          <w:pPr>
            <w:pStyle w:val="FooterDraftReport"/>
            <w:jc w:val="right"/>
          </w:pPr>
          <w:r>
            <w:t>draft report</w:t>
          </w:r>
        </w:p>
      </w:tc>
      <w:tc>
        <w:tcPr>
          <w:tcW w:w="510" w:type="dxa"/>
        </w:tcPr>
        <w:p w14:paraId="2E02B6E8" w14:textId="77777777" w:rsidR="00D74233" w:rsidRPr="00A24443" w:rsidRDefault="00D742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43729">
            <w:rPr>
              <w:rStyle w:val="PageNumber"/>
              <w:caps w:val="0"/>
              <w:noProof/>
            </w:rPr>
            <w:t>1</w:t>
          </w:r>
          <w:r w:rsidRPr="00A24443">
            <w:rPr>
              <w:rStyle w:val="PageNumber"/>
              <w:caps w:val="0"/>
            </w:rPr>
            <w:fldChar w:fldCharType="end"/>
          </w:r>
        </w:p>
      </w:tc>
    </w:tr>
  </w:tbl>
  <w:p w14:paraId="73ECA9FD" w14:textId="77777777" w:rsidR="00D74233" w:rsidRDefault="00D74233">
    <w:pPr>
      <w:pStyle w:val="FooterEnd"/>
    </w:pPr>
  </w:p>
  <w:p w14:paraId="5942393B" w14:textId="77777777" w:rsidR="00D74233" w:rsidRDefault="00D74233">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067E2" w14:textId="77777777" w:rsidR="00D74233" w:rsidRDefault="00D7423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43729">
      <w:rPr>
        <w:rStyle w:val="PageNumber"/>
        <w:noProof/>
      </w:rPr>
      <w:t>16</w:t>
    </w:r>
    <w:r>
      <w:rPr>
        <w:rStyle w:val="PageNumber"/>
      </w:rPr>
      <w:fldChar w:fldCharType="end"/>
    </w:r>
  </w:p>
  <w:p w14:paraId="337E2065" w14:textId="77777777" w:rsidR="00D74233" w:rsidRDefault="00D742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D8D1" w14:textId="77777777" w:rsidR="00D74233" w:rsidRDefault="00D7423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43729">
      <w:rPr>
        <w:rStyle w:val="PageNumber"/>
        <w:noProof/>
      </w:rPr>
      <w:t>17</w:t>
    </w:r>
    <w:r>
      <w:rPr>
        <w:rStyle w:val="PageNumber"/>
      </w:rPr>
      <w:fldChar w:fldCharType="end"/>
    </w:r>
  </w:p>
  <w:p w14:paraId="0B708B6B" w14:textId="77777777" w:rsidR="00D74233" w:rsidRDefault="00D742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74233" w14:paraId="190D30B7" w14:textId="77777777" w:rsidTr="005F48ED">
      <w:trPr>
        <w:trHeight w:hRule="exact" w:val="567"/>
      </w:trPr>
      <w:tc>
        <w:tcPr>
          <w:tcW w:w="510" w:type="dxa"/>
        </w:tcPr>
        <w:p w14:paraId="190D30B4" w14:textId="77777777" w:rsidR="00D74233" w:rsidRPr="00A24443" w:rsidRDefault="00D74233"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43729">
            <w:rPr>
              <w:rStyle w:val="PageNumber"/>
              <w:caps w:val="0"/>
              <w:noProof/>
            </w:rPr>
            <w:t>20</w:t>
          </w:r>
          <w:r w:rsidRPr="00A24443">
            <w:rPr>
              <w:rStyle w:val="PageNumber"/>
              <w:caps w:val="0"/>
            </w:rPr>
            <w:fldChar w:fldCharType="end"/>
          </w:r>
        </w:p>
      </w:tc>
      <w:tc>
        <w:tcPr>
          <w:tcW w:w="7767" w:type="dxa"/>
        </w:tcPr>
        <w:p w14:paraId="4A4CA6BB" w14:textId="77777777" w:rsidR="00D74233" w:rsidRDefault="00D74233"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p>
        <w:p w14:paraId="190D30B5" w14:textId="79A53137" w:rsidR="00C95C34" w:rsidRPr="0013739A" w:rsidRDefault="00C95C34" w:rsidP="00C95C34">
          <w:pPr>
            <w:pStyle w:val="FooterDraftReport"/>
          </w:pPr>
          <w:r>
            <w:t>draft report</w:t>
          </w:r>
        </w:p>
      </w:tc>
      <w:tc>
        <w:tcPr>
          <w:tcW w:w="510" w:type="dxa"/>
        </w:tcPr>
        <w:p w14:paraId="190D30B6" w14:textId="77777777" w:rsidR="00D74233" w:rsidRDefault="00D74233" w:rsidP="0019293B">
          <w:pPr>
            <w:pStyle w:val="Footer"/>
          </w:pPr>
        </w:p>
      </w:tc>
    </w:tr>
  </w:tbl>
  <w:p w14:paraId="190D30B8" w14:textId="77777777" w:rsidR="00D74233" w:rsidRDefault="00D74233" w:rsidP="00DA10D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74233" w14:paraId="190D30BC" w14:textId="77777777" w:rsidTr="005F48ED">
      <w:trPr>
        <w:trHeight w:hRule="exact" w:val="567"/>
      </w:trPr>
      <w:tc>
        <w:tcPr>
          <w:tcW w:w="510" w:type="dxa"/>
        </w:tcPr>
        <w:p w14:paraId="190D30B9" w14:textId="77777777" w:rsidR="00D74233" w:rsidRDefault="00D74233">
          <w:pPr>
            <w:pStyle w:val="Footer"/>
            <w:ind w:right="360" w:firstLine="360"/>
          </w:pPr>
        </w:p>
      </w:tc>
      <w:tc>
        <w:tcPr>
          <w:tcW w:w="7767" w:type="dxa"/>
        </w:tcPr>
        <w:p w14:paraId="515E10A7" w14:textId="77777777" w:rsidR="00D74233" w:rsidRDefault="00D74233"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A006D5">
            <w:rPr>
              <w:rFonts w:cs="Arial"/>
            </w:rPr>
            <w:t>Appendix F Economic Benefits - Draft Report - Mental Health</w:t>
          </w:r>
          <w:r w:rsidRPr="00BA5B14">
            <w:rPr>
              <w:rFonts w:cs="Arial"/>
            </w:rPr>
            <w:fldChar w:fldCharType="end"/>
          </w:r>
        </w:p>
        <w:p w14:paraId="190D30BA" w14:textId="20B1B24F" w:rsidR="00C95C34" w:rsidRPr="00BA5B14" w:rsidRDefault="00C95C34" w:rsidP="00C95C34">
          <w:pPr>
            <w:pStyle w:val="FooterDraftReport"/>
            <w:jc w:val="right"/>
          </w:pPr>
          <w:r>
            <w:t>draft report</w:t>
          </w:r>
        </w:p>
      </w:tc>
      <w:tc>
        <w:tcPr>
          <w:tcW w:w="510" w:type="dxa"/>
        </w:tcPr>
        <w:p w14:paraId="190D30BB" w14:textId="77777777" w:rsidR="00D74233" w:rsidRPr="00A24443" w:rsidRDefault="00D74233">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43729">
            <w:rPr>
              <w:rStyle w:val="PageNumber"/>
              <w:caps w:val="0"/>
              <w:noProof/>
            </w:rPr>
            <w:t>19</w:t>
          </w:r>
          <w:r w:rsidRPr="00A24443">
            <w:rPr>
              <w:rStyle w:val="PageNumber"/>
              <w:caps w:val="0"/>
            </w:rPr>
            <w:fldChar w:fldCharType="end"/>
          </w:r>
        </w:p>
      </w:tc>
    </w:tr>
  </w:tbl>
  <w:p w14:paraId="190D30BD" w14:textId="77777777" w:rsidR="00D74233" w:rsidRDefault="00D74233" w:rsidP="00DA10D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1DB8F" w14:textId="77777777" w:rsidR="00D74233" w:rsidRDefault="00D74233">
      <w:r>
        <w:separator/>
      </w:r>
    </w:p>
  </w:footnote>
  <w:footnote w:type="continuationSeparator" w:id="0">
    <w:p w14:paraId="07A87BCD" w14:textId="77777777" w:rsidR="00D74233" w:rsidRDefault="00D74233">
      <w:r>
        <w:continuationSeparator/>
      </w:r>
    </w:p>
  </w:footnote>
  <w:footnote w:type="continuationNotice" w:id="1">
    <w:p w14:paraId="157DDEA3" w14:textId="77777777" w:rsidR="00D74233" w:rsidRDefault="00D742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D74233" w14:paraId="22FA81FB" w14:textId="77777777">
      <w:tc>
        <w:tcPr>
          <w:tcW w:w="2155" w:type="dxa"/>
          <w:tcBorders>
            <w:top w:val="single" w:sz="24" w:space="0" w:color="auto"/>
          </w:tcBorders>
        </w:tcPr>
        <w:p w14:paraId="5623EDAA" w14:textId="77777777" w:rsidR="00D74233" w:rsidRDefault="00D74233" w:rsidP="0019293B">
          <w:pPr>
            <w:pStyle w:val="HeaderEven"/>
          </w:pPr>
        </w:p>
      </w:tc>
      <w:tc>
        <w:tcPr>
          <w:tcW w:w="6634" w:type="dxa"/>
          <w:tcBorders>
            <w:top w:val="single" w:sz="6" w:space="0" w:color="auto"/>
          </w:tcBorders>
        </w:tcPr>
        <w:p w14:paraId="3B6168B3" w14:textId="77777777" w:rsidR="00D74233" w:rsidRDefault="00D74233" w:rsidP="0019293B">
          <w:pPr>
            <w:pStyle w:val="HeaderEven"/>
          </w:pPr>
        </w:p>
      </w:tc>
    </w:tr>
  </w:tbl>
  <w:p w14:paraId="7F5943AF" w14:textId="77777777" w:rsidR="00D74233" w:rsidRDefault="00D74233"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74233" w14:paraId="77D8EB27" w14:textId="77777777">
      <w:tc>
        <w:tcPr>
          <w:tcW w:w="6634" w:type="dxa"/>
          <w:tcBorders>
            <w:top w:val="single" w:sz="6" w:space="0" w:color="auto"/>
          </w:tcBorders>
        </w:tcPr>
        <w:p w14:paraId="2C83C76C" w14:textId="77777777" w:rsidR="00D74233" w:rsidRDefault="00D74233" w:rsidP="00E669E2">
          <w:pPr>
            <w:pStyle w:val="HeaderOdd"/>
          </w:pPr>
        </w:p>
      </w:tc>
      <w:tc>
        <w:tcPr>
          <w:tcW w:w="2155" w:type="dxa"/>
          <w:tcBorders>
            <w:top w:val="single" w:sz="24" w:space="0" w:color="auto"/>
          </w:tcBorders>
        </w:tcPr>
        <w:p w14:paraId="56864383" w14:textId="77777777" w:rsidR="00D74233" w:rsidRDefault="00D74233" w:rsidP="00E669E2">
          <w:pPr>
            <w:pStyle w:val="HeaderOdd"/>
          </w:pPr>
        </w:p>
      </w:tc>
    </w:tr>
  </w:tbl>
  <w:p w14:paraId="57C22CF4" w14:textId="77777777" w:rsidR="00D74233" w:rsidRDefault="00D74233"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22B71" w14:textId="77777777" w:rsidR="00D74233" w:rsidRDefault="00D742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238D4" w14:textId="2F009F68" w:rsidR="00D74233" w:rsidRDefault="00D742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DA10DB" w14:paraId="2FAA3F18" w14:textId="77777777" w:rsidTr="00C81320">
      <w:tc>
        <w:tcPr>
          <w:tcW w:w="2155" w:type="dxa"/>
          <w:tcBorders>
            <w:top w:val="single" w:sz="24" w:space="0" w:color="auto"/>
          </w:tcBorders>
        </w:tcPr>
        <w:p w14:paraId="3D7C8382" w14:textId="77777777" w:rsidR="00DA10DB" w:rsidRDefault="00DA10DB" w:rsidP="00DA10DB">
          <w:pPr>
            <w:pStyle w:val="HeaderEven"/>
          </w:pPr>
        </w:p>
      </w:tc>
      <w:tc>
        <w:tcPr>
          <w:tcW w:w="6634" w:type="dxa"/>
          <w:tcBorders>
            <w:top w:val="single" w:sz="6" w:space="0" w:color="auto"/>
          </w:tcBorders>
        </w:tcPr>
        <w:p w14:paraId="6CCDD67C" w14:textId="77777777" w:rsidR="00DA10DB" w:rsidRDefault="00DA10DB" w:rsidP="00DA10DB">
          <w:pPr>
            <w:pStyle w:val="HeaderEven"/>
          </w:pPr>
        </w:p>
      </w:tc>
    </w:tr>
  </w:tbl>
  <w:p w14:paraId="190D30AF" w14:textId="77777777" w:rsidR="00D74233" w:rsidRDefault="00D74233" w:rsidP="00DA10D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A10DB" w14:paraId="565D028A" w14:textId="77777777" w:rsidTr="00C81320">
      <w:tc>
        <w:tcPr>
          <w:tcW w:w="6634" w:type="dxa"/>
          <w:tcBorders>
            <w:top w:val="single" w:sz="6" w:space="0" w:color="auto"/>
          </w:tcBorders>
        </w:tcPr>
        <w:p w14:paraId="52C9D946" w14:textId="77777777" w:rsidR="00DA10DB" w:rsidRDefault="00DA10DB" w:rsidP="00DA10DB">
          <w:pPr>
            <w:pStyle w:val="HeaderOdd"/>
          </w:pPr>
        </w:p>
      </w:tc>
      <w:tc>
        <w:tcPr>
          <w:tcW w:w="2155" w:type="dxa"/>
          <w:tcBorders>
            <w:top w:val="single" w:sz="24" w:space="0" w:color="auto"/>
          </w:tcBorders>
        </w:tcPr>
        <w:p w14:paraId="24A12D8B" w14:textId="77777777" w:rsidR="00DA10DB" w:rsidRDefault="00DA10DB" w:rsidP="00DA10DB">
          <w:pPr>
            <w:pStyle w:val="HeaderOdd"/>
          </w:pPr>
        </w:p>
      </w:tc>
    </w:tr>
  </w:tbl>
  <w:p w14:paraId="190D30B3" w14:textId="77777777" w:rsidR="00D74233" w:rsidRDefault="00D74233" w:rsidP="00DA10DB">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8562152"/>
    <w:multiLevelType w:val="hybridMultilevel"/>
    <w:tmpl w:val="712AB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3EF74F50"/>
    <w:multiLevelType w:val="hybridMultilevel"/>
    <w:tmpl w:val="C916D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672F5"/>
    <w:multiLevelType w:val="hybridMultilevel"/>
    <w:tmpl w:val="8002688A"/>
    <w:lvl w:ilvl="0" w:tplc="0EECDC72">
      <w:start w:val="1"/>
      <w:numFmt w:val="bullet"/>
      <w:lvlText w:val=""/>
      <w:lvlJc w:val="left"/>
      <w:pPr>
        <w:ind w:left="720" w:hanging="360"/>
      </w:pPr>
      <w:rPr>
        <w:rFonts w:ascii="Symbol" w:hAnsi="Symbol" w:hint="default"/>
        <w:color w:val="8080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6BA27180"/>
    <w:multiLevelType w:val="hybridMultilevel"/>
    <w:tmpl w:val="1DEE72F0"/>
    <w:lvl w:ilvl="0" w:tplc="91C6CE5C">
      <w:start w:val="3"/>
      <w:numFmt w:val="bullet"/>
      <w:lvlText w:val="−"/>
      <w:lvlJc w:val="left"/>
      <w:pPr>
        <w:ind w:left="1848" w:hanging="360"/>
      </w:pPr>
      <w:rPr>
        <w:rFonts w:ascii="Cambria Math" w:eastAsia="Times New Roman" w:hAnsi="Cambria Math" w:cs="Times New Roman" w:hint="default"/>
        <w:i/>
      </w:rPr>
    </w:lvl>
    <w:lvl w:ilvl="1" w:tplc="0C090003" w:tentative="1">
      <w:start w:val="1"/>
      <w:numFmt w:val="bullet"/>
      <w:lvlText w:val="o"/>
      <w:lvlJc w:val="left"/>
      <w:pPr>
        <w:ind w:left="2568" w:hanging="360"/>
      </w:pPr>
      <w:rPr>
        <w:rFonts w:ascii="Courier New" w:hAnsi="Courier New" w:cs="Courier New" w:hint="default"/>
      </w:rPr>
    </w:lvl>
    <w:lvl w:ilvl="2" w:tplc="0C090005" w:tentative="1">
      <w:start w:val="1"/>
      <w:numFmt w:val="bullet"/>
      <w:lvlText w:val=""/>
      <w:lvlJc w:val="left"/>
      <w:pPr>
        <w:ind w:left="3288" w:hanging="360"/>
      </w:pPr>
      <w:rPr>
        <w:rFonts w:ascii="Wingdings" w:hAnsi="Wingdings" w:hint="default"/>
      </w:rPr>
    </w:lvl>
    <w:lvl w:ilvl="3" w:tplc="0C090001" w:tentative="1">
      <w:start w:val="1"/>
      <w:numFmt w:val="bullet"/>
      <w:lvlText w:val=""/>
      <w:lvlJc w:val="left"/>
      <w:pPr>
        <w:ind w:left="4008" w:hanging="360"/>
      </w:pPr>
      <w:rPr>
        <w:rFonts w:ascii="Symbol" w:hAnsi="Symbol" w:hint="default"/>
      </w:rPr>
    </w:lvl>
    <w:lvl w:ilvl="4" w:tplc="0C090003" w:tentative="1">
      <w:start w:val="1"/>
      <w:numFmt w:val="bullet"/>
      <w:lvlText w:val="o"/>
      <w:lvlJc w:val="left"/>
      <w:pPr>
        <w:ind w:left="4728" w:hanging="360"/>
      </w:pPr>
      <w:rPr>
        <w:rFonts w:ascii="Courier New" w:hAnsi="Courier New" w:cs="Courier New" w:hint="default"/>
      </w:rPr>
    </w:lvl>
    <w:lvl w:ilvl="5" w:tplc="0C090005" w:tentative="1">
      <w:start w:val="1"/>
      <w:numFmt w:val="bullet"/>
      <w:lvlText w:val=""/>
      <w:lvlJc w:val="left"/>
      <w:pPr>
        <w:ind w:left="5448" w:hanging="360"/>
      </w:pPr>
      <w:rPr>
        <w:rFonts w:ascii="Wingdings" w:hAnsi="Wingdings" w:hint="default"/>
      </w:rPr>
    </w:lvl>
    <w:lvl w:ilvl="6" w:tplc="0C090001" w:tentative="1">
      <w:start w:val="1"/>
      <w:numFmt w:val="bullet"/>
      <w:lvlText w:val=""/>
      <w:lvlJc w:val="left"/>
      <w:pPr>
        <w:ind w:left="6168" w:hanging="360"/>
      </w:pPr>
      <w:rPr>
        <w:rFonts w:ascii="Symbol" w:hAnsi="Symbol" w:hint="default"/>
      </w:rPr>
    </w:lvl>
    <w:lvl w:ilvl="7" w:tplc="0C090003" w:tentative="1">
      <w:start w:val="1"/>
      <w:numFmt w:val="bullet"/>
      <w:lvlText w:val="o"/>
      <w:lvlJc w:val="left"/>
      <w:pPr>
        <w:ind w:left="6888" w:hanging="360"/>
      </w:pPr>
      <w:rPr>
        <w:rFonts w:ascii="Courier New" w:hAnsi="Courier New" w:cs="Courier New" w:hint="default"/>
      </w:rPr>
    </w:lvl>
    <w:lvl w:ilvl="8" w:tplc="0C090005" w:tentative="1">
      <w:start w:val="1"/>
      <w:numFmt w:val="bullet"/>
      <w:lvlText w:val=""/>
      <w:lvlJc w:val="left"/>
      <w:pPr>
        <w:ind w:left="7608" w:hanging="360"/>
      </w:pPr>
      <w:rPr>
        <w:rFonts w:ascii="Wingdings" w:hAnsi="Wingdings" w:hint="default"/>
      </w:rPr>
    </w:lvl>
  </w:abstractNum>
  <w:abstractNum w:abstractNumId="2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7"/>
  </w:num>
  <w:num w:numId="4">
    <w:abstractNumId w:val="4"/>
  </w:num>
  <w:num w:numId="5">
    <w:abstractNumId w:val="22"/>
  </w:num>
  <w:num w:numId="6">
    <w:abstractNumId w:val="19"/>
  </w:num>
  <w:num w:numId="7">
    <w:abstractNumId w:val="8"/>
  </w:num>
  <w:num w:numId="8">
    <w:abstractNumId w:val="18"/>
  </w:num>
  <w:num w:numId="9">
    <w:abstractNumId w:val="7"/>
  </w:num>
  <w:num w:numId="10">
    <w:abstractNumId w:val="6"/>
  </w:num>
  <w:num w:numId="11">
    <w:abstractNumId w:val="10"/>
  </w:num>
  <w:num w:numId="12">
    <w:abstractNumId w:val="12"/>
  </w:num>
  <w:num w:numId="13">
    <w:abstractNumId w:val="5"/>
  </w:num>
  <w:num w:numId="14">
    <w:abstractNumId w:val="20"/>
  </w:num>
  <w:num w:numId="15">
    <w:abstractNumId w:val="24"/>
  </w:num>
  <w:num w:numId="16">
    <w:abstractNumId w:val="15"/>
  </w:num>
  <w:num w:numId="17">
    <w:abstractNumId w:val="25"/>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1"/>
  </w:num>
  <w:num w:numId="21">
    <w:abstractNumId w:val="9"/>
  </w:num>
  <w:num w:numId="22">
    <w:abstractNumId w:val="11"/>
  </w:num>
  <w:num w:numId="23">
    <w:abstractNumId w:val="16"/>
  </w:num>
  <w:num w:numId="24">
    <w:abstractNumId w:val="14"/>
  </w:num>
  <w:num w:numId="25">
    <w:abstractNumId w:val="17"/>
  </w:num>
  <w:num w:numId="26">
    <w:abstractNumId w:val="23"/>
  </w:num>
  <w:num w:numId="2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F"/>
    <w:docVar w:name="FindingOptions" w:val="1"/>
    <w:docVar w:name="RecOptions" w:val="111"/>
    <w:docVar w:name="ShortChapterTitle" w:val="Economic benefits"/>
    <w:docVar w:name="ShortReportTitle" w:val="Mental health"/>
  </w:docVars>
  <w:rsids>
    <w:rsidRoot w:val="0051568F"/>
    <w:rsid w:val="000011C0"/>
    <w:rsid w:val="000031D0"/>
    <w:rsid w:val="00006F86"/>
    <w:rsid w:val="000139FC"/>
    <w:rsid w:val="00014371"/>
    <w:rsid w:val="00016834"/>
    <w:rsid w:val="00017253"/>
    <w:rsid w:val="000227D5"/>
    <w:rsid w:val="00023B5F"/>
    <w:rsid w:val="000245AA"/>
    <w:rsid w:val="0002480A"/>
    <w:rsid w:val="0002593F"/>
    <w:rsid w:val="00026005"/>
    <w:rsid w:val="00027981"/>
    <w:rsid w:val="000321EA"/>
    <w:rsid w:val="00032BA8"/>
    <w:rsid w:val="00034EBB"/>
    <w:rsid w:val="0003664B"/>
    <w:rsid w:val="00040889"/>
    <w:rsid w:val="0004104D"/>
    <w:rsid w:val="0004111F"/>
    <w:rsid w:val="0004203C"/>
    <w:rsid w:val="00042B4D"/>
    <w:rsid w:val="00043B16"/>
    <w:rsid w:val="00044FA1"/>
    <w:rsid w:val="00046DBE"/>
    <w:rsid w:val="00050C3F"/>
    <w:rsid w:val="000548AD"/>
    <w:rsid w:val="00055077"/>
    <w:rsid w:val="0005598C"/>
    <w:rsid w:val="000565B3"/>
    <w:rsid w:val="00057B39"/>
    <w:rsid w:val="000625D1"/>
    <w:rsid w:val="0007150B"/>
    <w:rsid w:val="00071E62"/>
    <w:rsid w:val="00076C39"/>
    <w:rsid w:val="00077D62"/>
    <w:rsid w:val="00082F30"/>
    <w:rsid w:val="0008584F"/>
    <w:rsid w:val="00086AEB"/>
    <w:rsid w:val="0009046E"/>
    <w:rsid w:val="000938F5"/>
    <w:rsid w:val="000940CD"/>
    <w:rsid w:val="00095663"/>
    <w:rsid w:val="000960F6"/>
    <w:rsid w:val="00096E55"/>
    <w:rsid w:val="0009783E"/>
    <w:rsid w:val="00097F41"/>
    <w:rsid w:val="000A1951"/>
    <w:rsid w:val="000A2302"/>
    <w:rsid w:val="000A5123"/>
    <w:rsid w:val="000A7179"/>
    <w:rsid w:val="000B0411"/>
    <w:rsid w:val="000B1022"/>
    <w:rsid w:val="000B102D"/>
    <w:rsid w:val="000B1815"/>
    <w:rsid w:val="000B532B"/>
    <w:rsid w:val="000B601B"/>
    <w:rsid w:val="000B6819"/>
    <w:rsid w:val="000B6D9A"/>
    <w:rsid w:val="000B7215"/>
    <w:rsid w:val="000C0938"/>
    <w:rsid w:val="000C207E"/>
    <w:rsid w:val="000C30DA"/>
    <w:rsid w:val="000C4BB8"/>
    <w:rsid w:val="000C5082"/>
    <w:rsid w:val="000C6B85"/>
    <w:rsid w:val="000D2039"/>
    <w:rsid w:val="000D41E9"/>
    <w:rsid w:val="000D50FE"/>
    <w:rsid w:val="000D623B"/>
    <w:rsid w:val="000D71FB"/>
    <w:rsid w:val="000E0328"/>
    <w:rsid w:val="000E0E40"/>
    <w:rsid w:val="000E1584"/>
    <w:rsid w:val="000E4758"/>
    <w:rsid w:val="000E55EC"/>
    <w:rsid w:val="000F0035"/>
    <w:rsid w:val="000F0475"/>
    <w:rsid w:val="000F04E7"/>
    <w:rsid w:val="000F060A"/>
    <w:rsid w:val="000F1F0F"/>
    <w:rsid w:val="000F420B"/>
    <w:rsid w:val="000F539C"/>
    <w:rsid w:val="000F6884"/>
    <w:rsid w:val="000F7B50"/>
    <w:rsid w:val="00104B2D"/>
    <w:rsid w:val="001051FF"/>
    <w:rsid w:val="00106BE2"/>
    <w:rsid w:val="00110116"/>
    <w:rsid w:val="00110266"/>
    <w:rsid w:val="0011337D"/>
    <w:rsid w:val="00114144"/>
    <w:rsid w:val="001145D2"/>
    <w:rsid w:val="001149B1"/>
    <w:rsid w:val="00115862"/>
    <w:rsid w:val="00116EF0"/>
    <w:rsid w:val="001174AD"/>
    <w:rsid w:val="00120072"/>
    <w:rsid w:val="001238E2"/>
    <w:rsid w:val="00123E77"/>
    <w:rsid w:val="0012693D"/>
    <w:rsid w:val="00126EB8"/>
    <w:rsid w:val="001272E1"/>
    <w:rsid w:val="001274D4"/>
    <w:rsid w:val="00127B26"/>
    <w:rsid w:val="00130443"/>
    <w:rsid w:val="0013093E"/>
    <w:rsid w:val="00132A45"/>
    <w:rsid w:val="00133E32"/>
    <w:rsid w:val="00133FBC"/>
    <w:rsid w:val="001363AA"/>
    <w:rsid w:val="0013739A"/>
    <w:rsid w:val="00140B00"/>
    <w:rsid w:val="001417AA"/>
    <w:rsid w:val="00142165"/>
    <w:rsid w:val="00142574"/>
    <w:rsid w:val="001437A3"/>
    <w:rsid w:val="00147786"/>
    <w:rsid w:val="001526CB"/>
    <w:rsid w:val="00153689"/>
    <w:rsid w:val="00156665"/>
    <w:rsid w:val="0015679D"/>
    <w:rsid w:val="00156ACA"/>
    <w:rsid w:val="00162434"/>
    <w:rsid w:val="00163635"/>
    <w:rsid w:val="00164221"/>
    <w:rsid w:val="001704EB"/>
    <w:rsid w:val="00172ED9"/>
    <w:rsid w:val="001738E6"/>
    <w:rsid w:val="001761A5"/>
    <w:rsid w:val="001762B1"/>
    <w:rsid w:val="00176AC5"/>
    <w:rsid w:val="0017782E"/>
    <w:rsid w:val="00181AA7"/>
    <w:rsid w:val="001820B1"/>
    <w:rsid w:val="001822E2"/>
    <w:rsid w:val="00183B65"/>
    <w:rsid w:val="00183E82"/>
    <w:rsid w:val="00185CFF"/>
    <w:rsid w:val="001878BB"/>
    <w:rsid w:val="001879BD"/>
    <w:rsid w:val="001904F1"/>
    <w:rsid w:val="00191AE0"/>
    <w:rsid w:val="00192301"/>
    <w:rsid w:val="00192473"/>
    <w:rsid w:val="0019293B"/>
    <w:rsid w:val="0019426B"/>
    <w:rsid w:val="001A0E18"/>
    <w:rsid w:val="001A2C5F"/>
    <w:rsid w:val="001A4C0A"/>
    <w:rsid w:val="001A6A4B"/>
    <w:rsid w:val="001A6E86"/>
    <w:rsid w:val="001A7E84"/>
    <w:rsid w:val="001A7FEF"/>
    <w:rsid w:val="001B06EA"/>
    <w:rsid w:val="001B2762"/>
    <w:rsid w:val="001C0865"/>
    <w:rsid w:val="001C0AED"/>
    <w:rsid w:val="001C0C55"/>
    <w:rsid w:val="001C182B"/>
    <w:rsid w:val="001C1D95"/>
    <w:rsid w:val="001C3973"/>
    <w:rsid w:val="001C3ABA"/>
    <w:rsid w:val="001C4E6E"/>
    <w:rsid w:val="001C5111"/>
    <w:rsid w:val="001C5E55"/>
    <w:rsid w:val="001C6C2B"/>
    <w:rsid w:val="001C6C3E"/>
    <w:rsid w:val="001C7349"/>
    <w:rsid w:val="001C73F7"/>
    <w:rsid w:val="001C74CD"/>
    <w:rsid w:val="001C79A5"/>
    <w:rsid w:val="001C7DA9"/>
    <w:rsid w:val="001D157E"/>
    <w:rsid w:val="001D22AD"/>
    <w:rsid w:val="001D2FC5"/>
    <w:rsid w:val="001D6A18"/>
    <w:rsid w:val="001E0AD3"/>
    <w:rsid w:val="001E12A9"/>
    <w:rsid w:val="001E22D9"/>
    <w:rsid w:val="001E367F"/>
    <w:rsid w:val="001E4A71"/>
    <w:rsid w:val="001E5F32"/>
    <w:rsid w:val="001E7BE8"/>
    <w:rsid w:val="001F0248"/>
    <w:rsid w:val="001F1AE4"/>
    <w:rsid w:val="001F3DDA"/>
    <w:rsid w:val="001F3EB3"/>
    <w:rsid w:val="001F4F86"/>
    <w:rsid w:val="001F4FD8"/>
    <w:rsid w:val="001F6497"/>
    <w:rsid w:val="001F653D"/>
    <w:rsid w:val="00201AF9"/>
    <w:rsid w:val="00202C2C"/>
    <w:rsid w:val="00203050"/>
    <w:rsid w:val="00203451"/>
    <w:rsid w:val="00204912"/>
    <w:rsid w:val="0020534D"/>
    <w:rsid w:val="00206509"/>
    <w:rsid w:val="002118A7"/>
    <w:rsid w:val="0021236F"/>
    <w:rsid w:val="002124A9"/>
    <w:rsid w:val="002135AB"/>
    <w:rsid w:val="00213F8E"/>
    <w:rsid w:val="002144BE"/>
    <w:rsid w:val="00215610"/>
    <w:rsid w:val="00216DFB"/>
    <w:rsid w:val="002211F2"/>
    <w:rsid w:val="00223EA0"/>
    <w:rsid w:val="002320B8"/>
    <w:rsid w:val="002327FC"/>
    <w:rsid w:val="00233A83"/>
    <w:rsid w:val="00235E05"/>
    <w:rsid w:val="0024089D"/>
    <w:rsid w:val="00241A3D"/>
    <w:rsid w:val="00242279"/>
    <w:rsid w:val="002429D4"/>
    <w:rsid w:val="00243997"/>
    <w:rsid w:val="0024516C"/>
    <w:rsid w:val="002453D0"/>
    <w:rsid w:val="00245C82"/>
    <w:rsid w:val="00246D9E"/>
    <w:rsid w:val="002505B9"/>
    <w:rsid w:val="00256805"/>
    <w:rsid w:val="00261625"/>
    <w:rsid w:val="002622ED"/>
    <w:rsid w:val="002678D1"/>
    <w:rsid w:val="00272014"/>
    <w:rsid w:val="002724BA"/>
    <w:rsid w:val="00273F9B"/>
    <w:rsid w:val="00277227"/>
    <w:rsid w:val="002813B9"/>
    <w:rsid w:val="00282496"/>
    <w:rsid w:val="0028363A"/>
    <w:rsid w:val="00284E70"/>
    <w:rsid w:val="00284E83"/>
    <w:rsid w:val="00285F64"/>
    <w:rsid w:val="0028716E"/>
    <w:rsid w:val="00287DD0"/>
    <w:rsid w:val="00291B40"/>
    <w:rsid w:val="00292588"/>
    <w:rsid w:val="00292C73"/>
    <w:rsid w:val="00292F86"/>
    <w:rsid w:val="00293564"/>
    <w:rsid w:val="00295CEA"/>
    <w:rsid w:val="00297189"/>
    <w:rsid w:val="00297D4D"/>
    <w:rsid w:val="002A084B"/>
    <w:rsid w:val="002A4016"/>
    <w:rsid w:val="002A4F8B"/>
    <w:rsid w:val="002A5FB4"/>
    <w:rsid w:val="002A5FD4"/>
    <w:rsid w:val="002A7577"/>
    <w:rsid w:val="002B4008"/>
    <w:rsid w:val="002B56A9"/>
    <w:rsid w:val="002C3CDE"/>
    <w:rsid w:val="002C439F"/>
    <w:rsid w:val="002C5A8C"/>
    <w:rsid w:val="002C6BBC"/>
    <w:rsid w:val="002D0A9F"/>
    <w:rsid w:val="002D0C42"/>
    <w:rsid w:val="002D0E8E"/>
    <w:rsid w:val="002D0F77"/>
    <w:rsid w:val="002D1097"/>
    <w:rsid w:val="002D1847"/>
    <w:rsid w:val="002D2AD7"/>
    <w:rsid w:val="002D7AF6"/>
    <w:rsid w:val="002E0188"/>
    <w:rsid w:val="002E1042"/>
    <w:rsid w:val="002E1D02"/>
    <w:rsid w:val="002E20E1"/>
    <w:rsid w:val="002E2406"/>
    <w:rsid w:val="002E41D2"/>
    <w:rsid w:val="002E4DFC"/>
    <w:rsid w:val="002E7B81"/>
    <w:rsid w:val="002F041E"/>
    <w:rsid w:val="002F459F"/>
    <w:rsid w:val="002F48AF"/>
    <w:rsid w:val="002F5E75"/>
    <w:rsid w:val="00300C07"/>
    <w:rsid w:val="0030102B"/>
    <w:rsid w:val="00301189"/>
    <w:rsid w:val="00301E4A"/>
    <w:rsid w:val="003032D4"/>
    <w:rsid w:val="003051E7"/>
    <w:rsid w:val="0030669E"/>
    <w:rsid w:val="00311B15"/>
    <w:rsid w:val="00314C71"/>
    <w:rsid w:val="0031595F"/>
    <w:rsid w:val="003168B8"/>
    <w:rsid w:val="00321651"/>
    <w:rsid w:val="00321CC8"/>
    <w:rsid w:val="00322D64"/>
    <w:rsid w:val="003230D0"/>
    <w:rsid w:val="00323E09"/>
    <w:rsid w:val="0032408B"/>
    <w:rsid w:val="0032505B"/>
    <w:rsid w:val="0033058E"/>
    <w:rsid w:val="00333932"/>
    <w:rsid w:val="0033403F"/>
    <w:rsid w:val="00335522"/>
    <w:rsid w:val="003367F0"/>
    <w:rsid w:val="00337D2F"/>
    <w:rsid w:val="0034045D"/>
    <w:rsid w:val="00342DEC"/>
    <w:rsid w:val="00342FF9"/>
    <w:rsid w:val="00344B05"/>
    <w:rsid w:val="003478DA"/>
    <w:rsid w:val="003505FB"/>
    <w:rsid w:val="003518AA"/>
    <w:rsid w:val="00352165"/>
    <w:rsid w:val="00353182"/>
    <w:rsid w:val="00355487"/>
    <w:rsid w:val="003565D9"/>
    <w:rsid w:val="003602E1"/>
    <w:rsid w:val="00362699"/>
    <w:rsid w:val="00365724"/>
    <w:rsid w:val="0037026F"/>
    <w:rsid w:val="00371240"/>
    <w:rsid w:val="00374731"/>
    <w:rsid w:val="00376BAB"/>
    <w:rsid w:val="00376E59"/>
    <w:rsid w:val="00377EC1"/>
    <w:rsid w:val="00380340"/>
    <w:rsid w:val="00380C38"/>
    <w:rsid w:val="00380ECF"/>
    <w:rsid w:val="003820DF"/>
    <w:rsid w:val="003834B2"/>
    <w:rsid w:val="00384CC0"/>
    <w:rsid w:val="00390FC9"/>
    <w:rsid w:val="003919F9"/>
    <w:rsid w:val="00391E92"/>
    <w:rsid w:val="003920CF"/>
    <w:rsid w:val="0039215A"/>
    <w:rsid w:val="003954D9"/>
    <w:rsid w:val="00395DCC"/>
    <w:rsid w:val="00395DDE"/>
    <w:rsid w:val="00397BF5"/>
    <w:rsid w:val="003A0CEE"/>
    <w:rsid w:val="003A3B23"/>
    <w:rsid w:val="003A5151"/>
    <w:rsid w:val="003A541E"/>
    <w:rsid w:val="003A5606"/>
    <w:rsid w:val="003A5CFC"/>
    <w:rsid w:val="003B1701"/>
    <w:rsid w:val="003B23C2"/>
    <w:rsid w:val="003B2A1D"/>
    <w:rsid w:val="003B2D8A"/>
    <w:rsid w:val="003B3784"/>
    <w:rsid w:val="003B7865"/>
    <w:rsid w:val="003B7BA9"/>
    <w:rsid w:val="003C075A"/>
    <w:rsid w:val="003C0BFF"/>
    <w:rsid w:val="003C20B9"/>
    <w:rsid w:val="003C2EF4"/>
    <w:rsid w:val="003C38B5"/>
    <w:rsid w:val="003C5230"/>
    <w:rsid w:val="003C5D99"/>
    <w:rsid w:val="003C689E"/>
    <w:rsid w:val="003C73BB"/>
    <w:rsid w:val="003D1087"/>
    <w:rsid w:val="003D74F7"/>
    <w:rsid w:val="003D751D"/>
    <w:rsid w:val="003E2303"/>
    <w:rsid w:val="003E2A31"/>
    <w:rsid w:val="003E2A83"/>
    <w:rsid w:val="003E2BCE"/>
    <w:rsid w:val="003E2F59"/>
    <w:rsid w:val="003E484A"/>
    <w:rsid w:val="003E746B"/>
    <w:rsid w:val="003E75F1"/>
    <w:rsid w:val="003E7696"/>
    <w:rsid w:val="003F0789"/>
    <w:rsid w:val="003F07FF"/>
    <w:rsid w:val="003F089D"/>
    <w:rsid w:val="003F397B"/>
    <w:rsid w:val="003F5BCE"/>
    <w:rsid w:val="00401882"/>
    <w:rsid w:val="00402013"/>
    <w:rsid w:val="00403EE4"/>
    <w:rsid w:val="004062E0"/>
    <w:rsid w:val="00407B61"/>
    <w:rsid w:val="004100C8"/>
    <w:rsid w:val="00410C0F"/>
    <w:rsid w:val="00411DBD"/>
    <w:rsid w:val="00412ACE"/>
    <w:rsid w:val="004145D2"/>
    <w:rsid w:val="00417DB2"/>
    <w:rsid w:val="00420253"/>
    <w:rsid w:val="00421357"/>
    <w:rsid w:val="00425128"/>
    <w:rsid w:val="004259F1"/>
    <w:rsid w:val="00426920"/>
    <w:rsid w:val="00426CB4"/>
    <w:rsid w:val="00427885"/>
    <w:rsid w:val="00431249"/>
    <w:rsid w:val="004325ED"/>
    <w:rsid w:val="00432C5F"/>
    <w:rsid w:val="00434C19"/>
    <w:rsid w:val="00434C52"/>
    <w:rsid w:val="0044220F"/>
    <w:rsid w:val="00443729"/>
    <w:rsid w:val="0044395C"/>
    <w:rsid w:val="00450753"/>
    <w:rsid w:val="00450810"/>
    <w:rsid w:val="0045409E"/>
    <w:rsid w:val="00454B5E"/>
    <w:rsid w:val="0045563C"/>
    <w:rsid w:val="00456C43"/>
    <w:rsid w:val="004575E0"/>
    <w:rsid w:val="00460F20"/>
    <w:rsid w:val="00462C59"/>
    <w:rsid w:val="0046368A"/>
    <w:rsid w:val="00467A68"/>
    <w:rsid w:val="00470737"/>
    <w:rsid w:val="00472BD6"/>
    <w:rsid w:val="004741B2"/>
    <w:rsid w:val="00474A85"/>
    <w:rsid w:val="004758E7"/>
    <w:rsid w:val="00477144"/>
    <w:rsid w:val="004777D3"/>
    <w:rsid w:val="00481641"/>
    <w:rsid w:val="00481D0A"/>
    <w:rsid w:val="00482588"/>
    <w:rsid w:val="00483CEC"/>
    <w:rsid w:val="004850FF"/>
    <w:rsid w:val="00486529"/>
    <w:rsid w:val="00491380"/>
    <w:rsid w:val="00493F2C"/>
    <w:rsid w:val="0049459F"/>
    <w:rsid w:val="004954AC"/>
    <w:rsid w:val="004A05FE"/>
    <w:rsid w:val="004A0A2F"/>
    <w:rsid w:val="004A2F85"/>
    <w:rsid w:val="004A38DD"/>
    <w:rsid w:val="004B072A"/>
    <w:rsid w:val="004B1A5B"/>
    <w:rsid w:val="004B43AE"/>
    <w:rsid w:val="004B4A00"/>
    <w:rsid w:val="004B5167"/>
    <w:rsid w:val="004C0D4A"/>
    <w:rsid w:val="004C1AF0"/>
    <w:rsid w:val="004C1E1D"/>
    <w:rsid w:val="004C30ED"/>
    <w:rsid w:val="004C5738"/>
    <w:rsid w:val="004D25B5"/>
    <w:rsid w:val="004D5675"/>
    <w:rsid w:val="004D72E2"/>
    <w:rsid w:val="004E29F1"/>
    <w:rsid w:val="004E7860"/>
    <w:rsid w:val="004F0343"/>
    <w:rsid w:val="004F10D2"/>
    <w:rsid w:val="004F3B9F"/>
    <w:rsid w:val="004F3FFC"/>
    <w:rsid w:val="004F668C"/>
    <w:rsid w:val="00502A4F"/>
    <w:rsid w:val="005053C0"/>
    <w:rsid w:val="00506191"/>
    <w:rsid w:val="0051306E"/>
    <w:rsid w:val="0051568F"/>
    <w:rsid w:val="005159BF"/>
    <w:rsid w:val="00517795"/>
    <w:rsid w:val="00520DBA"/>
    <w:rsid w:val="00521733"/>
    <w:rsid w:val="00523639"/>
    <w:rsid w:val="005239EC"/>
    <w:rsid w:val="00525AD6"/>
    <w:rsid w:val="00525AFF"/>
    <w:rsid w:val="00526644"/>
    <w:rsid w:val="005314C8"/>
    <w:rsid w:val="00531FE5"/>
    <w:rsid w:val="0053387E"/>
    <w:rsid w:val="00534703"/>
    <w:rsid w:val="00535BD5"/>
    <w:rsid w:val="0053795C"/>
    <w:rsid w:val="005402FA"/>
    <w:rsid w:val="005404B0"/>
    <w:rsid w:val="00540E1A"/>
    <w:rsid w:val="00541265"/>
    <w:rsid w:val="00541E1A"/>
    <w:rsid w:val="00547E52"/>
    <w:rsid w:val="00547F47"/>
    <w:rsid w:val="00550920"/>
    <w:rsid w:val="00553505"/>
    <w:rsid w:val="00555A62"/>
    <w:rsid w:val="00561767"/>
    <w:rsid w:val="00562A32"/>
    <w:rsid w:val="00563FE0"/>
    <w:rsid w:val="005645F6"/>
    <w:rsid w:val="00565357"/>
    <w:rsid w:val="00570D49"/>
    <w:rsid w:val="00571051"/>
    <w:rsid w:val="005729BD"/>
    <w:rsid w:val="00573437"/>
    <w:rsid w:val="00573BE3"/>
    <w:rsid w:val="0057486A"/>
    <w:rsid w:val="00575A9C"/>
    <w:rsid w:val="00580154"/>
    <w:rsid w:val="00583C39"/>
    <w:rsid w:val="0058450F"/>
    <w:rsid w:val="005847BD"/>
    <w:rsid w:val="00584C92"/>
    <w:rsid w:val="005856D0"/>
    <w:rsid w:val="00586A90"/>
    <w:rsid w:val="00587391"/>
    <w:rsid w:val="00587728"/>
    <w:rsid w:val="00587A1C"/>
    <w:rsid w:val="00587F28"/>
    <w:rsid w:val="005909CF"/>
    <w:rsid w:val="00591E71"/>
    <w:rsid w:val="0059311C"/>
    <w:rsid w:val="00593E87"/>
    <w:rsid w:val="00595692"/>
    <w:rsid w:val="00596911"/>
    <w:rsid w:val="005A0566"/>
    <w:rsid w:val="005A0D41"/>
    <w:rsid w:val="005A165D"/>
    <w:rsid w:val="005A3574"/>
    <w:rsid w:val="005A4A4E"/>
    <w:rsid w:val="005A7633"/>
    <w:rsid w:val="005B0434"/>
    <w:rsid w:val="005B2658"/>
    <w:rsid w:val="005B54D9"/>
    <w:rsid w:val="005B7C65"/>
    <w:rsid w:val="005C130E"/>
    <w:rsid w:val="005C22A8"/>
    <w:rsid w:val="005C3306"/>
    <w:rsid w:val="005C3E1B"/>
    <w:rsid w:val="005C7133"/>
    <w:rsid w:val="005D030B"/>
    <w:rsid w:val="005D1A8F"/>
    <w:rsid w:val="005D329F"/>
    <w:rsid w:val="005D5215"/>
    <w:rsid w:val="005D5599"/>
    <w:rsid w:val="005D64C3"/>
    <w:rsid w:val="005D6BDF"/>
    <w:rsid w:val="005E42A7"/>
    <w:rsid w:val="005E46F9"/>
    <w:rsid w:val="005E47ED"/>
    <w:rsid w:val="005E58DA"/>
    <w:rsid w:val="005F00EF"/>
    <w:rsid w:val="005F48ED"/>
    <w:rsid w:val="005F58DF"/>
    <w:rsid w:val="005F5A81"/>
    <w:rsid w:val="005F6162"/>
    <w:rsid w:val="005F66B3"/>
    <w:rsid w:val="005F68B6"/>
    <w:rsid w:val="00600B31"/>
    <w:rsid w:val="00602C08"/>
    <w:rsid w:val="0060672F"/>
    <w:rsid w:val="00606C52"/>
    <w:rsid w:val="00606E78"/>
    <w:rsid w:val="00607BF1"/>
    <w:rsid w:val="00610064"/>
    <w:rsid w:val="00610786"/>
    <w:rsid w:val="006135D3"/>
    <w:rsid w:val="0061740A"/>
    <w:rsid w:val="00617636"/>
    <w:rsid w:val="00620225"/>
    <w:rsid w:val="006212C9"/>
    <w:rsid w:val="00625317"/>
    <w:rsid w:val="00625F48"/>
    <w:rsid w:val="00626319"/>
    <w:rsid w:val="00627288"/>
    <w:rsid w:val="00630B59"/>
    <w:rsid w:val="00630D4D"/>
    <w:rsid w:val="00632A74"/>
    <w:rsid w:val="006375C0"/>
    <w:rsid w:val="00637D44"/>
    <w:rsid w:val="00640D20"/>
    <w:rsid w:val="00640F5E"/>
    <w:rsid w:val="006415B2"/>
    <w:rsid w:val="00641E8D"/>
    <w:rsid w:val="0064343F"/>
    <w:rsid w:val="00644E6C"/>
    <w:rsid w:val="006458D8"/>
    <w:rsid w:val="00650EF5"/>
    <w:rsid w:val="006523AD"/>
    <w:rsid w:val="006526AD"/>
    <w:rsid w:val="00653BAD"/>
    <w:rsid w:val="00654312"/>
    <w:rsid w:val="00654B70"/>
    <w:rsid w:val="00654D42"/>
    <w:rsid w:val="00660D08"/>
    <w:rsid w:val="00666092"/>
    <w:rsid w:val="00666E02"/>
    <w:rsid w:val="00667A20"/>
    <w:rsid w:val="006744FD"/>
    <w:rsid w:val="00676D1C"/>
    <w:rsid w:val="006776B3"/>
    <w:rsid w:val="00681986"/>
    <w:rsid w:val="006820E8"/>
    <w:rsid w:val="00684F81"/>
    <w:rsid w:val="006865CD"/>
    <w:rsid w:val="0069071C"/>
    <w:rsid w:val="00690F22"/>
    <w:rsid w:val="006935E6"/>
    <w:rsid w:val="00693D48"/>
    <w:rsid w:val="00694273"/>
    <w:rsid w:val="006A02B1"/>
    <w:rsid w:val="006A1EF3"/>
    <w:rsid w:val="006A4655"/>
    <w:rsid w:val="006A5624"/>
    <w:rsid w:val="006A7758"/>
    <w:rsid w:val="006A77B5"/>
    <w:rsid w:val="006B2B3C"/>
    <w:rsid w:val="006B36D0"/>
    <w:rsid w:val="006B5FB5"/>
    <w:rsid w:val="006B61FC"/>
    <w:rsid w:val="006B6E7E"/>
    <w:rsid w:val="006B75F9"/>
    <w:rsid w:val="006C1D81"/>
    <w:rsid w:val="006C433C"/>
    <w:rsid w:val="006C6185"/>
    <w:rsid w:val="006C7038"/>
    <w:rsid w:val="006C7CD1"/>
    <w:rsid w:val="006D1592"/>
    <w:rsid w:val="006D1967"/>
    <w:rsid w:val="006D373A"/>
    <w:rsid w:val="006E38FB"/>
    <w:rsid w:val="006E3C86"/>
    <w:rsid w:val="006E495A"/>
    <w:rsid w:val="006E593B"/>
    <w:rsid w:val="006E725F"/>
    <w:rsid w:val="006E73EF"/>
    <w:rsid w:val="006F66C9"/>
    <w:rsid w:val="006F6AC5"/>
    <w:rsid w:val="006F6B4E"/>
    <w:rsid w:val="00704080"/>
    <w:rsid w:val="0070533B"/>
    <w:rsid w:val="007072FA"/>
    <w:rsid w:val="007079C9"/>
    <w:rsid w:val="00711B09"/>
    <w:rsid w:val="007142E5"/>
    <w:rsid w:val="00714CA0"/>
    <w:rsid w:val="00714D4D"/>
    <w:rsid w:val="007164E9"/>
    <w:rsid w:val="00717E07"/>
    <w:rsid w:val="007214DE"/>
    <w:rsid w:val="00721852"/>
    <w:rsid w:val="00724D1C"/>
    <w:rsid w:val="007266D3"/>
    <w:rsid w:val="00727E1E"/>
    <w:rsid w:val="00730D8A"/>
    <w:rsid w:val="00732029"/>
    <w:rsid w:val="00737091"/>
    <w:rsid w:val="007376B8"/>
    <w:rsid w:val="00744F88"/>
    <w:rsid w:val="007453C2"/>
    <w:rsid w:val="00746BD5"/>
    <w:rsid w:val="00746EF8"/>
    <w:rsid w:val="00747087"/>
    <w:rsid w:val="00751825"/>
    <w:rsid w:val="0075373C"/>
    <w:rsid w:val="0075419F"/>
    <w:rsid w:val="00754524"/>
    <w:rsid w:val="00754D53"/>
    <w:rsid w:val="00756894"/>
    <w:rsid w:val="007604BB"/>
    <w:rsid w:val="007606E5"/>
    <w:rsid w:val="00762098"/>
    <w:rsid w:val="00765161"/>
    <w:rsid w:val="0076519B"/>
    <w:rsid w:val="007677D3"/>
    <w:rsid w:val="00770345"/>
    <w:rsid w:val="007708CD"/>
    <w:rsid w:val="0077161F"/>
    <w:rsid w:val="00771F45"/>
    <w:rsid w:val="00772909"/>
    <w:rsid w:val="00776A6E"/>
    <w:rsid w:val="00777172"/>
    <w:rsid w:val="007801F8"/>
    <w:rsid w:val="007809C9"/>
    <w:rsid w:val="00781143"/>
    <w:rsid w:val="007827A2"/>
    <w:rsid w:val="00782A0D"/>
    <w:rsid w:val="00784138"/>
    <w:rsid w:val="00785232"/>
    <w:rsid w:val="007865B2"/>
    <w:rsid w:val="007931BD"/>
    <w:rsid w:val="00793CCB"/>
    <w:rsid w:val="00794C82"/>
    <w:rsid w:val="0079644E"/>
    <w:rsid w:val="00796B81"/>
    <w:rsid w:val="0079701E"/>
    <w:rsid w:val="007A1673"/>
    <w:rsid w:val="007A21EB"/>
    <w:rsid w:val="007A45BB"/>
    <w:rsid w:val="007B1A93"/>
    <w:rsid w:val="007B3043"/>
    <w:rsid w:val="007B3145"/>
    <w:rsid w:val="007B326B"/>
    <w:rsid w:val="007B52ED"/>
    <w:rsid w:val="007C1417"/>
    <w:rsid w:val="007C237D"/>
    <w:rsid w:val="007C36C9"/>
    <w:rsid w:val="007C4403"/>
    <w:rsid w:val="007C4BE3"/>
    <w:rsid w:val="007C6426"/>
    <w:rsid w:val="007C66C6"/>
    <w:rsid w:val="007C6793"/>
    <w:rsid w:val="007C6A0A"/>
    <w:rsid w:val="007D1EF4"/>
    <w:rsid w:val="007D2D53"/>
    <w:rsid w:val="007D3447"/>
    <w:rsid w:val="007D413B"/>
    <w:rsid w:val="007D6401"/>
    <w:rsid w:val="007E01E4"/>
    <w:rsid w:val="007E10B2"/>
    <w:rsid w:val="007E2D48"/>
    <w:rsid w:val="007E7A12"/>
    <w:rsid w:val="007F1938"/>
    <w:rsid w:val="007F19A7"/>
    <w:rsid w:val="007F1C70"/>
    <w:rsid w:val="007F2BD9"/>
    <w:rsid w:val="007F43C5"/>
    <w:rsid w:val="007F7107"/>
    <w:rsid w:val="00800743"/>
    <w:rsid w:val="00800D4C"/>
    <w:rsid w:val="008041E5"/>
    <w:rsid w:val="00804906"/>
    <w:rsid w:val="008053A6"/>
    <w:rsid w:val="00806DEA"/>
    <w:rsid w:val="00810291"/>
    <w:rsid w:val="0081030F"/>
    <w:rsid w:val="0081052F"/>
    <w:rsid w:val="00810C5B"/>
    <w:rsid w:val="00811B28"/>
    <w:rsid w:val="00812063"/>
    <w:rsid w:val="00812D8C"/>
    <w:rsid w:val="00812F4A"/>
    <w:rsid w:val="00812FFB"/>
    <w:rsid w:val="00815FE7"/>
    <w:rsid w:val="008163E9"/>
    <w:rsid w:val="0082087D"/>
    <w:rsid w:val="008216F6"/>
    <w:rsid w:val="00822E3B"/>
    <w:rsid w:val="00823875"/>
    <w:rsid w:val="00824968"/>
    <w:rsid w:val="00826E30"/>
    <w:rsid w:val="00831DFF"/>
    <w:rsid w:val="00832237"/>
    <w:rsid w:val="008332FF"/>
    <w:rsid w:val="008343F3"/>
    <w:rsid w:val="00835771"/>
    <w:rsid w:val="00835A24"/>
    <w:rsid w:val="00842933"/>
    <w:rsid w:val="00844989"/>
    <w:rsid w:val="00844F91"/>
    <w:rsid w:val="00845448"/>
    <w:rsid w:val="0084712C"/>
    <w:rsid w:val="008473A9"/>
    <w:rsid w:val="00847BBB"/>
    <w:rsid w:val="00850999"/>
    <w:rsid w:val="00850E25"/>
    <w:rsid w:val="00851DAD"/>
    <w:rsid w:val="008520A8"/>
    <w:rsid w:val="00853CF3"/>
    <w:rsid w:val="00855329"/>
    <w:rsid w:val="00857DEF"/>
    <w:rsid w:val="0086082C"/>
    <w:rsid w:val="00862144"/>
    <w:rsid w:val="00862284"/>
    <w:rsid w:val="00862EA2"/>
    <w:rsid w:val="00862EEA"/>
    <w:rsid w:val="00864ADC"/>
    <w:rsid w:val="0086622B"/>
    <w:rsid w:val="0086642C"/>
    <w:rsid w:val="00867911"/>
    <w:rsid w:val="00872577"/>
    <w:rsid w:val="008738C7"/>
    <w:rsid w:val="00875B4A"/>
    <w:rsid w:val="00875DB9"/>
    <w:rsid w:val="008770C3"/>
    <w:rsid w:val="00880153"/>
    <w:rsid w:val="00880F97"/>
    <w:rsid w:val="0088133A"/>
    <w:rsid w:val="00881EB4"/>
    <w:rsid w:val="00882CD2"/>
    <w:rsid w:val="00884841"/>
    <w:rsid w:val="0088672F"/>
    <w:rsid w:val="00887FBC"/>
    <w:rsid w:val="00890BCD"/>
    <w:rsid w:val="008925F4"/>
    <w:rsid w:val="0089285E"/>
    <w:rsid w:val="00893245"/>
    <w:rsid w:val="0089376E"/>
    <w:rsid w:val="0089436C"/>
    <w:rsid w:val="008949B5"/>
    <w:rsid w:val="008969C6"/>
    <w:rsid w:val="008A36AC"/>
    <w:rsid w:val="008A57F3"/>
    <w:rsid w:val="008A67B1"/>
    <w:rsid w:val="008B0FD3"/>
    <w:rsid w:val="008B314B"/>
    <w:rsid w:val="008B527D"/>
    <w:rsid w:val="008B53DA"/>
    <w:rsid w:val="008B5521"/>
    <w:rsid w:val="008B6DB0"/>
    <w:rsid w:val="008B7968"/>
    <w:rsid w:val="008C1507"/>
    <w:rsid w:val="008C1F92"/>
    <w:rsid w:val="008C20AB"/>
    <w:rsid w:val="008C20DA"/>
    <w:rsid w:val="008C6731"/>
    <w:rsid w:val="008C785F"/>
    <w:rsid w:val="008D23D9"/>
    <w:rsid w:val="008D28F7"/>
    <w:rsid w:val="008D2FD9"/>
    <w:rsid w:val="008D365C"/>
    <w:rsid w:val="008D3C62"/>
    <w:rsid w:val="008D7622"/>
    <w:rsid w:val="008E398B"/>
    <w:rsid w:val="008E3FCE"/>
    <w:rsid w:val="008E5034"/>
    <w:rsid w:val="008E5C4B"/>
    <w:rsid w:val="008E6317"/>
    <w:rsid w:val="008F1365"/>
    <w:rsid w:val="008F3CCB"/>
    <w:rsid w:val="008F52B4"/>
    <w:rsid w:val="00900D61"/>
    <w:rsid w:val="009021A6"/>
    <w:rsid w:val="009030BF"/>
    <w:rsid w:val="00903B52"/>
    <w:rsid w:val="00903EDE"/>
    <w:rsid w:val="00904A61"/>
    <w:rsid w:val="009057BB"/>
    <w:rsid w:val="00907D86"/>
    <w:rsid w:val="0091032F"/>
    <w:rsid w:val="00910A0B"/>
    <w:rsid w:val="00912993"/>
    <w:rsid w:val="009140C9"/>
    <w:rsid w:val="00914368"/>
    <w:rsid w:val="00914379"/>
    <w:rsid w:val="00914F33"/>
    <w:rsid w:val="0091788E"/>
    <w:rsid w:val="009244B6"/>
    <w:rsid w:val="009262FB"/>
    <w:rsid w:val="009308D7"/>
    <w:rsid w:val="00930B0B"/>
    <w:rsid w:val="00931076"/>
    <w:rsid w:val="009345D9"/>
    <w:rsid w:val="00934B15"/>
    <w:rsid w:val="00935BBF"/>
    <w:rsid w:val="00940C87"/>
    <w:rsid w:val="00941C5F"/>
    <w:rsid w:val="00942B62"/>
    <w:rsid w:val="0094480C"/>
    <w:rsid w:val="0095034B"/>
    <w:rsid w:val="00950B34"/>
    <w:rsid w:val="00951C7D"/>
    <w:rsid w:val="00952315"/>
    <w:rsid w:val="0095323B"/>
    <w:rsid w:val="0095340D"/>
    <w:rsid w:val="009542A3"/>
    <w:rsid w:val="00955A4A"/>
    <w:rsid w:val="00955B7B"/>
    <w:rsid w:val="00956A0C"/>
    <w:rsid w:val="00956BD9"/>
    <w:rsid w:val="00961A9D"/>
    <w:rsid w:val="00962237"/>
    <w:rsid w:val="00962489"/>
    <w:rsid w:val="00965062"/>
    <w:rsid w:val="00965B84"/>
    <w:rsid w:val="00967207"/>
    <w:rsid w:val="00967253"/>
    <w:rsid w:val="009673EA"/>
    <w:rsid w:val="009676F5"/>
    <w:rsid w:val="00967CD3"/>
    <w:rsid w:val="00967E48"/>
    <w:rsid w:val="009710B9"/>
    <w:rsid w:val="0097234A"/>
    <w:rsid w:val="009744F0"/>
    <w:rsid w:val="00976D91"/>
    <w:rsid w:val="00980F91"/>
    <w:rsid w:val="00982D01"/>
    <w:rsid w:val="00983888"/>
    <w:rsid w:val="009850D0"/>
    <w:rsid w:val="00990811"/>
    <w:rsid w:val="00990944"/>
    <w:rsid w:val="00990C2C"/>
    <w:rsid w:val="00991E11"/>
    <w:rsid w:val="009926C7"/>
    <w:rsid w:val="009947B7"/>
    <w:rsid w:val="009A013A"/>
    <w:rsid w:val="009A0FCF"/>
    <w:rsid w:val="009A10E0"/>
    <w:rsid w:val="009A2E8C"/>
    <w:rsid w:val="009A3F22"/>
    <w:rsid w:val="009A5171"/>
    <w:rsid w:val="009A54F5"/>
    <w:rsid w:val="009A609C"/>
    <w:rsid w:val="009A66C6"/>
    <w:rsid w:val="009B04A2"/>
    <w:rsid w:val="009B10B7"/>
    <w:rsid w:val="009B18CF"/>
    <w:rsid w:val="009B49B3"/>
    <w:rsid w:val="009B69E0"/>
    <w:rsid w:val="009C04CB"/>
    <w:rsid w:val="009C77E1"/>
    <w:rsid w:val="009D16CD"/>
    <w:rsid w:val="009D4716"/>
    <w:rsid w:val="009D52C2"/>
    <w:rsid w:val="009E0748"/>
    <w:rsid w:val="009E0D8E"/>
    <w:rsid w:val="009E1097"/>
    <w:rsid w:val="009E1844"/>
    <w:rsid w:val="009E1CF6"/>
    <w:rsid w:val="009E271F"/>
    <w:rsid w:val="009E2C31"/>
    <w:rsid w:val="009E3B4E"/>
    <w:rsid w:val="009E6751"/>
    <w:rsid w:val="009E73F0"/>
    <w:rsid w:val="009F0D1B"/>
    <w:rsid w:val="009F24CD"/>
    <w:rsid w:val="009F29F5"/>
    <w:rsid w:val="009F2DD8"/>
    <w:rsid w:val="009F53DD"/>
    <w:rsid w:val="009F5A7F"/>
    <w:rsid w:val="009F5BBD"/>
    <w:rsid w:val="009F696D"/>
    <w:rsid w:val="009F6BC6"/>
    <w:rsid w:val="009F729C"/>
    <w:rsid w:val="009F74EF"/>
    <w:rsid w:val="00A006D5"/>
    <w:rsid w:val="00A02826"/>
    <w:rsid w:val="00A039E3"/>
    <w:rsid w:val="00A05F72"/>
    <w:rsid w:val="00A120DE"/>
    <w:rsid w:val="00A13374"/>
    <w:rsid w:val="00A13625"/>
    <w:rsid w:val="00A13A9C"/>
    <w:rsid w:val="00A14AC5"/>
    <w:rsid w:val="00A14F7C"/>
    <w:rsid w:val="00A15635"/>
    <w:rsid w:val="00A15D5A"/>
    <w:rsid w:val="00A17328"/>
    <w:rsid w:val="00A1789D"/>
    <w:rsid w:val="00A23A20"/>
    <w:rsid w:val="00A24443"/>
    <w:rsid w:val="00A25232"/>
    <w:rsid w:val="00A262A7"/>
    <w:rsid w:val="00A268B9"/>
    <w:rsid w:val="00A2700F"/>
    <w:rsid w:val="00A2703A"/>
    <w:rsid w:val="00A27121"/>
    <w:rsid w:val="00A27428"/>
    <w:rsid w:val="00A2793B"/>
    <w:rsid w:val="00A31397"/>
    <w:rsid w:val="00A32B72"/>
    <w:rsid w:val="00A33DFF"/>
    <w:rsid w:val="00A344CF"/>
    <w:rsid w:val="00A35115"/>
    <w:rsid w:val="00A35935"/>
    <w:rsid w:val="00A364B4"/>
    <w:rsid w:val="00A36D9A"/>
    <w:rsid w:val="00A37854"/>
    <w:rsid w:val="00A418FC"/>
    <w:rsid w:val="00A41F85"/>
    <w:rsid w:val="00A42B94"/>
    <w:rsid w:val="00A42CC4"/>
    <w:rsid w:val="00A451DC"/>
    <w:rsid w:val="00A462D1"/>
    <w:rsid w:val="00A46B06"/>
    <w:rsid w:val="00A47B82"/>
    <w:rsid w:val="00A52334"/>
    <w:rsid w:val="00A5258E"/>
    <w:rsid w:val="00A54C05"/>
    <w:rsid w:val="00A554AB"/>
    <w:rsid w:val="00A55BB0"/>
    <w:rsid w:val="00A56749"/>
    <w:rsid w:val="00A57062"/>
    <w:rsid w:val="00A575FF"/>
    <w:rsid w:val="00A60DB2"/>
    <w:rsid w:val="00A6112C"/>
    <w:rsid w:val="00A6162C"/>
    <w:rsid w:val="00A61C91"/>
    <w:rsid w:val="00A63BBE"/>
    <w:rsid w:val="00A63E2D"/>
    <w:rsid w:val="00A64C8D"/>
    <w:rsid w:val="00A67781"/>
    <w:rsid w:val="00A71179"/>
    <w:rsid w:val="00A71721"/>
    <w:rsid w:val="00A74B30"/>
    <w:rsid w:val="00A7586C"/>
    <w:rsid w:val="00A75C70"/>
    <w:rsid w:val="00A761F9"/>
    <w:rsid w:val="00A80449"/>
    <w:rsid w:val="00A82841"/>
    <w:rsid w:val="00A82E2D"/>
    <w:rsid w:val="00A90554"/>
    <w:rsid w:val="00A90EDA"/>
    <w:rsid w:val="00A91F98"/>
    <w:rsid w:val="00A92B53"/>
    <w:rsid w:val="00A9357F"/>
    <w:rsid w:val="00A94FA6"/>
    <w:rsid w:val="00A9709D"/>
    <w:rsid w:val="00A970BB"/>
    <w:rsid w:val="00A971CE"/>
    <w:rsid w:val="00AA01AD"/>
    <w:rsid w:val="00AA4048"/>
    <w:rsid w:val="00AA479C"/>
    <w:rsid w:val="00AA49A0"/>
    <w:rsid w:val="00AA6710"/>
    <w:rsid w:val="00AA74B4"/>
    <w:rsid w:val="00AB0681"/>
    <w:rsid w:val="00AB072C"/>
    <w:rsid w:val="00AB1542"/>
    <w:rsid w:val="00AB23E4"/>
    <w:rsid w:val="00AB3707"/>
    <w:rsid w:val="00AB5954"/>
    <w:rsid w:val="00AB6438"/>
    <w:rsid w:val="00AC3A15"/>
    <w:rsid w:val="00AC4BDA"/>
    <w:rsid w:val="00AC644B"/>
    <w:rsid w:val="00AC7480"/>
    <w:rsid w:val="00AC7B45"/>
    <w:rsid w:val="00AD06A0"/>
    <w:rsid w:val="00AD1150"/>
    <w:rsid w:val="00AD520B"/>
    <w:rsid w:val="00AD5785"/>
    <w:rsid w:val="00AD5D99"/>
    <w:rsid w:val="00AD6040"/>
    <w:rsid w:val="00AD69B8"/>
    <w:rsid w:val="00AD7E0C"/>
    <w:rsid w:val="00AE02F9"/>
    <w:rsid w:val="00AE231C"/>
    <w:rsid w:val="00AE3BCC"/>
    <w:rsid w:val="00AE6322"/>
    <w:rsid w:val="00AE6F97"/>
    <w:rsid w:val="00AF1356"/>
    <w:rsid w:val="00AF206D"/>
    <w:rsid w:val="00AF2CA1"/>
    <w:rsid w:val="00AF4EE3"/>
    <w:rsid w:val="00AF5B6A"/>
    <w:rsid w:val="00AF5DC6"/>
    <w:rsid w:val="00AF7FED"/>
    <w:rsid w:val="00B00F47"/>
    <w:rsid w:val="00B035F1"/>
    <w:rsid w:val="00B03F0D"/>
    <w:rsid w:val="00B04530"/>
    <w:rsid w:val="00B054DD"/>
    <w:rsid w:val="00B06E52"/>
    <w:rsid w:val="00B0768A"/>
    <w:rsid w:val="00B10CA5"/>
    <w:rsid w:val="00B15313"/>
    <w:rsid w:val="00B16FCB"/>
    <w:rsid w:val="00B17119"/>
    <w:rsid w:val="00B17910"/>
    <w:rsid w:val="00B17D8F"/>
    <w:rsid w:val="00B20AF7"/>
    <w:rsid w:val="00B219DD"/>
    <w:rsid w:val="00B27237"/>
    <w:rsid w:val="00B31927"/>
    <w:rsid w:val="00B33519"/>
    <w:rsid w:val="00B34914"/>
    <w:rsid w:val="00B3755D"/>
    <w:rsid w:val="00B37B99"/>
    <w:rsid w:val="00B425C3"/>
    <w:rsid w:val="00B42BEB"/>
    <w:rsid w:val="00B43265"/>
    <w:rsid w:val="00B4373D"/>
    <w:rsid w:val="00B43B79"/>
    <w:rsid w:val="00B440AD"/>
    <w:rsid w:val="00B44FEB"/>
    <w:rsid w:val="00B479BB"/>
    <w:rsid w:val="00B5326B"/>
    <w:rsid w:val="00B53E7E"/>
    <w:rsid w:val="00B54DD4"/>
    <w:rsid w:val="00B5649C"/>
    <w:rsid w:val="00B5698A"/>
    <w:rsid w:val="00B57260"/>
    <w:rsid w:val="00B60605"/>
    <w:rsid w:val="00B62C59"/>
    <w:rsid w:val="00B6342E"/>
    <w:rsid w:val="00B63CFA"/>
    <w:rsid w:val="00B63EF3"/>
    <w:rsid w:val="00B7113F"/>
    <w:rsid w:val="00B71BEF"/>
    <w:rsid w:val="00B72880"/>
    <w:rsid w:val="00B75C99"/>
    <w:rsid w:val="00B77081"/>
    <w:rsid w:val="00B8137A"/>
    <w:rsid w:val="00B834EE"/>
    <w:rsid w:val="00B8590D"/>
    <w:rsid w:val="00B86AC9"/>
    <w:rsid w:val="00B87E63"/>
    <w:rsid w:val="00BA1A84"/>
    <w:rsid w:val="00BA2BCF"/>
    <w:rsid w:val="00BA5B14"/>
    <w:rsid w:val="00BA64AB"/>
    <w:rsid w:val="00BA70F1"/>
    <w:rsid w:val="00BA73B6"/>
    <w:rsid w:val="00BA76EB"/>
    <w:rsid w:val="00BA7E27"/>
    <w:rsid w:val="00BB0C0E"/>
    <w:rsid w:val="00BB0D46"/>
    <w:rsid w:val="00BB1BD8"/>
    <w:rsid w:val="00BB2603"/>
    <w:rsid w:val="00BB2906"/>
    <w:rsid w:val="00BB2BFB"/>
    <w:rsid w:val="00BB3589"/>
    <w:rsid w:val="00BB4B46"/>
    <w:rsid w:val="00BB4FCD"/>
    <w:rsid w:val="00BC04E9"/>
    <w:rsid w:val="00BC2C12"/>
    <w:rsid w:val="00BC42DD"/>
    <w:rsid w:val="00BC5BE4"/>
    <w:rsid w:val="00BC6449"/>
    <w:rsid w:val="00BD0572"/>
    <w:rsid w:val="00BD0D4B"/>
    <w:rsid w:val="00BD13EA"/>
    <w:rsid w:val="00BD1B4D"/>
    <w:rsid w:val="00BD4A9D"/>
    <w:rsid w:val="00BD7427"/>
    <w:rsid w:val="00BE0497"/>
    <w:rsid w:val="00BE3808"/>
    <w:rsid w:val="00BE5D01"/>
    <w:rsid w:val="00BE6C19"/>
    <w:rsid w:val="00BF0887"/>
    <w:rsid w:val="00BF27CD"/>
    <w:rsid w:val="00BF6F0B"/>
    <w:rsid w:val="00BF7887"/>
    <w:rsid w:val="00C02C30"/>
    <w:rsid w:val="00C03B88"/>
    <w:rsid w:val="00C062E9"/>
    <w:rsid w:val="00C069AA"/>
    <w:rsid w:val="00C07B64"/>
    <w:rsid w:val="00C12465"/>
    <w:rsid w:val="00C13721"/>
    <w:rsid w:val="00C14FE4"/>
    <w:rsid w:val="00C150FA"/>
    <w:rsid w:val="00C164C2"/>
    <w:rsid w:val="00C1661A"/>
    <w:rsid w:val="00C20ED9"/>
    <w:rsid w:val="00C2129C"/>
    <w:rsid w:val="00C25D24"/>
    <w:rsid w:val="00C2695F"/>
    <w:rsid w:val="00C3066D"/>
    <w:rsid w:val="00C30C4E"/>
    <w:rsid w:val="00C31C93"/>
    <w:rsid w:val="00C3433A"/>
    <w:rsid w:val="00C3458D"/>
    <w:rsid w:val="00C34D60"/>
    <w:rsid w:val="00C363B0"/>
    <w:rsid w:val="00C37884"/>
    <w:rsid w:val="00C43806"/>
    <w:rsid w:val="00C465AA"/>
    <w:rsid w:val="00C52416"/>
    <w:rsid w:val="00C543F4"/>
    <w:rsid w:val="00C55C66"/>
    <w:rsid w:val="00C5774B"/>
    <w:rsid w:val="00C607FA"/>
    <w:rsid w:val="00C61197"/>
    <w:rsid w:val="00C6291C"/>
    <w:rsid w:val="00C633CB"/>
    <w:rsid w:val="00C65267"/>
    <w:rsid w:val="00C664CD"/>
    <w:rsid w:val="00C66711"/>
    <w:rsid w:val="00C67492"/>
    <w:rsid w:val="00C726D1"/>
    <w:rsid w:val="00C736B7"/>
    <w:rsid w:val="00C754B7"/>
    <w:rsid w:val="00C75DAF"/>
    <w:rsid w:val="00C76120"/>
    <w:rsid w:val="00C803FD"/>
    <w:rsid w:val="00C806CD"/>
    <w:rsid w:val="00C8104C"/>
    <w:rsid w:val="00C81943"/>
    <w:rsid w:val="00C81D4A"/>
    <w:rsid w:val="00C84268"/>
    <w:rsid w:val="00C846E0"/>
    <w:rsid w:val="00C8476B"/>
    <w:rsid w:val="00C856DE"/>
    <w:rsid w:val="00C85A4D"/>
    <w:rsid w:val="00C8762C"/>
    <w:rsid w:val="00C90052"/>
    <w:rsid w:val="00C93896"/>
    <w:rsid w:val="00C95C34"/>
    <w:rsid w:val="00C969C4"/>
    <w:rsid w:val="00C9730C"/>
    <w:rsid w:val="00C9798E"/>
    <w:rsid w:val="00CA00F9"/>
    <w:rsid w:val="00CA05AF"/>
    <w:rsid w:val="00CA2961"/>
    <w:rsid w:val="00CA2D88"/>
    <w:rsid w:val="00CA4181"/>
    <w:rsid w:val="00CA426A"/>
    <w:rsid w:val="00CA7003"/>
    <w:rsid w:val="00CB000C"/>
    <w:rsid w:val="00CB0AC0"/>
    <w:rsid w:val="00CB0CE6"/>
    <w:rsid w:val="00CB1CF2"/>
    <w:rsid w:val="00CB21BC"/>
    <w:rsid w:val="00CB303A"/>
    <w:rsid w:val="00CB50D7"/>
    <w:rsid w:val="00CB6F7C"/>
    <w:rsid w:val="00CB7177"/>
    <w:rsid w:val="00CB7CED"/>
    <w:rsid w:val="00CC070F"/>
    <w:rsid w:val="00CC1998"/>
    <w:rsid w:val="00CC37A6"/>
    <w:rsid w:val="00CC4946"/>
    <w:rsid w:val="00CC64A1"/>
    <w:rsid w:val="00CC6BBF"/>
    <w:rsid w:val="00CC7C7B"/>
    <w:rsid w:val="00CD07B6"/>
    <w:rsid w:val="00CD0FB8"/>
    <w:rsid w:val="00CD48D2"/>
    <w:rsid w:val="00CD6B28"/>
    <w:rsid w:val="00CD72F6"/>
    <w:rsid w:val="00CE10CA"/>
    <w:rsid w:val="00CE147A"/>
    <w:rsid w:val="00CE37BB"/>
    <w:rsid w:val="00CE3834"/>
    <w:rsid w:val="00CE574F"/>
    <w:rsid w:val="00CE58E7"/>
    <w:rsid w:val="00CE6773"/>
    <w:rsid w:val="00CE7090"/>
    <w:rsid w:val="00CF0830"/>
    <w:rsid w:val="00CF3696"/>
    <w:rsid w:val="00CF3B11"/>
    <w:rsid w:val="00CF47F6"/>
    <w:rsid w:val="00CF4B10"/>
    <w:rsid w:val="00D00769"/>
    <w:rsid w:val="00D013FE"/>
    <w:rsid w:val="00D044DB"/>
    <w:rsid w:val="00D06E01"/>
    <w:rsid w:val="00D10FF9"/>
    <w:rsid w:val="00D12137"/>
    <w:rsid w:val="00D12DC9"/>
    <w:rsid w:val="00D13F35"/>
    <w:rsid w:val="00D1461C"/>
    <w:rsid w:val="00D14FB8"/>
    <w:rsid w:val="00D17669"/>
    <w:rsid w:val="00D17C42"/>
    <w:rsid w:val="00D216AB"/>
    <w:rsid w:val="00D220BA"/>
    <w:rsid w:val="00D270A4"/>
    <w:rsid w:val="00D27BE6"/>
    <w:rsid w:val="00D30EB3"/>
    <w:rsid w:val="00D318B2"/>
    <w:rsid w:val="00D31FE9"/>
    <w:rsid w:val="00D34E1B"/>
    <w:rsid w:val="00D376BA"/>
    <w:rsid w:val="00D37A8B"/>
    <w:rsid w:val="00D37F6D"/>
    <w:rsid w:val="00D42203"/>
    <w:rsid w:val="00D434A0"/>
    <w:rsid w:val="00D436E4"/>
    <w:rsid w:val="00D43F86"/>
    <w:rsid w:val="00D455AC"/>
    <w:rsid w:val="00D45634"/>
    <w:rsid w:val="00D4600F"/>
    <w:rsid w:val="00D512FC"/>
    <w:rsid w:val="00D519C4"/>
    <w:rsid w:val="00D54CF7"/>
    <w:rsid w:val="00D5568A"/>
    <w:rsid w:val="00D56DB7"/>
    <w:rsid w:val="00D601FD"/>
    <w:rsid w:val="00D6083B"/>
    <w:rsid w:val="00D60F6D"/>
    <w:rsid w:val="00D61538"/>
    <w:rsid w:val="00D621BD"/>
    <w:rsid w:val="00D63D73"/>
    <w:rsid w:val="00D64452"/>
    <w:rsid w:val="00D64909"/>
    <w:rsid w:val="00D64B2B"/>
    <w:rsid w:val="00D66E1E"/>
    <w:rsid w:val="00D6741B"/>
    <w:rsid w:val="00D70502"/>
    <w:rsid w:val="00D70696"/>
    <w:rsid w:val="00D7153D"/>
    <w:rsid w:val="00D715A1"/>
    <w:rsid w:val="00D72F59"/>
    <w:rsid w:val="00D73237"/>
    <w:rsid w:val="00D73898"/>
    <w:rsid w:val="00D74233"/>
    <w:rsid w:val="00D7423F"/>
    <w:rsid w:val="00D75722"/>
    <w:rsid w:val="00D773B6"/>
    <w:rsid w:val="00D80CF5"/>
    <w:rsid w:val="00D81D82"/>
    <w:rsid w:val="00D82818"/>
    <w:rsid w:val="00D850CB"/>
    <w:rsid w:val="00D85242"/>
    <w:rsid w:val="00D8591B"/>
    <w:rsid w:val="00D86FBD"/>
    <w:rsid w:val="00D87003"/>
    <w:rsid w:val="00D9141C"/>
    <w:rsid w:val="00D91978"/>
    <w:rsid w:val="00D9227E"/>
    <w:rsid w:val="00D937AE"/>
    <w:rsid w:val="00D93D31"/>
    <w:rsid w:val="00D94645"/>
    <w:rsid w:val="00D95117"/>
    <w:rsid w:val="00D95FED"/>
    <w:rsid w:val="00D97E52"/>
    <w:rsid w:val="00DA10DB"/>
    <w:rsid w:val="00DA50DA"/>
    <w:rsid w:val="00DA5BBA"/>
    <w:rsid w:val="00DA6CED"/>
    <w:rsid w:val="00DB1974"/>
    <w:rsid w:val="00DB1A18"/>
    <w:rsid w:val="00DB1DD1"/>
    <w:rsid w:val="00DB26D2"/>
    <w:rsid w:val="00DB3813"/>
    <w:rsid w:val="00DB4733"/>
    <w:rsid w:val="00DB4F97"/>
    <w:rsid w:val="00DB5934"/>
    <w:rsid w:val="00DB5EE8"/>
    <w:rsid w:val="00DB6251"/>
    <w:rsid w:val="00DB67C9"/>
    <w:rsid w:val="00DC0696"/>
    <w:rsid w:val="00DC0C95"/>
    <w:rsid w:val="00DC4F0B"/>
    <w:rsid w:val="00DD033E"/>
    <w:rsid w:val="00DD03C2"/>
    <w:rsid w:val="00DD093A"/>
    <w:rsid w:val="00DD17CC"/>
    <w:rsid w:val="00DD1B01"/>
    <w:rsid w:val="00DD4A41"/>
    <w:rsid w:val="00DD608D"/>
    <w:rsid w:val="00DD6580"/>
    <w:rsid w:val="00DD6B35"/>
    <w:rsid w:val="00DD7E46"/>
    <w:rsid w:val="00DE0686"/>
    <w:rsid w:val="00DE0D34"/>
    <w:rsid w:val="00DE2D17"/>
    <w:rsid w:val="00DE51B7"/>
    <w:rsid w:val="00DE5730"/>
    <w:rsid w:val="00DE5BC6"/>
    <w:rsid w:val="00DF026F"/>
    <w:rsid w:val="00DF0927"/>
    <w:rsid w:val="00DF12BD"/>
    <w:rsid w:val="00DF2F7B"/>
    <w:rsid w:val="00DF3440"/>
    <w:rsid w:val="00DF67E6"/>
    <w:rsid w:val="00E01D7F"/>
    <w:rsid w:val="00E03588"/>
    <w:rsid w:val="00E05C03"/>
    <w:rsid w:val="00E12CE9"/>
    <w:rsid w:val="00E1507E"/>
    <w:rsid w:val="00E17C72"/>
    <w:rsid w:val="00E17F63"/>
    <w:rsid w:val="00E21FC6"/>
    <w:rsid w:val="00E27ACD"/>
    <w:rsid w:val="00E30216"/>
    <w:rsid w:val="00E34610"/>
    <w:rsid w:val="00E374FE"/>
    <w:rsid w:val="00E404D6"/>
    <w:rsid w:val="00E40B63"/>
    <w:rsid w:val="00E431A9"/>
    <w:rsid w:val="00E46733"/>
    <w:rsid w:val="00E4734D"/>
    <w:rsid w:val="00E47E1E"/>
    <w:rsid w:val="00E50AA2"/>
    <w:rsid w:val="00E510ED"/>
    <w:rsid w:val="00E515D7"/>
    <w:rsid w:val="00E51E29"/>
    <w:rsid w:val="00E56935"/>
    <w:rsid w:val="00E618D2"/>
    <w:rsid w:val="00E669E2"/>
    <w:rsid w:val="00E70B82"/>
    <w:rsid w:val="00E712E4"/>
    <w:rsid w:val="00E7155E"/>
    <w:rsid w:val="00E71AC6"/>
    <w:rsid w:val="00E71B18"/>
    <w:rsid w:val="00E7265B"/>
    <w:rsid w:val="00E7372D"/>
    <w:rsid w:val="00E75D88"/>
    <w:rsid w:val="00E76135"/>
    <w:rsid w:val="00E77391"/>
    <w:rsid w:val="00E82F4F"/>
    <w:rsid w:val="00E8632B"/>
    <w:rsid w:val="00E864DF"/>
    <w:rsid w:val="00E9029B"/>
    <w:rsid w:val="00E926EC"/>
    <w:rsid w:val="00E93CF9"/>
    <w:rsid w:val="00EA3CE8"/>
    <w:rsid w:val="00EA523F"/>
    <w:rsid w:val="00EA5E1D"/>
    <w:rsid w:val="00EB0278"/>
    <w:rsid w:val="00EB09FB"/>
    <w:rsid w:val="00EB1C05"/>
    <w:rsid w:val="00EB2CC3"/>
    <w:rsid w:val="00EB32EC"/>
    <w:rsid w:val="00EB7BDD"/>
    <w:rsid w:val="00EC0078"/>
    <w:rsid w:val="00EC2844"/>
    <w:rsid w:val="00EC489C"/>
    <w:rsid w:val="00EC5500"/>
    <w:rsid w:val="00ED0404"/>
    <w:rsid w:val="00ED0B9D"/>
    <w:rsid w:val="00ED18F8"/>
    <w:rsid w:val="00ED5519"/>
    <w:rsid w:val="00ED73BC"/>
    <w:rsid w:val="00ED7F5C"/>
    <w:rsid w:val="00EE09C2"/>
    <w:rsid w:val="00EE1651"/>
    <w:rsid w:val="00EE4351"/>
    <w:rsid w:val="00EE6D36"/>
    <w:rsid w:val="00EE6EDA"/>
    <w:rsid w:val="00EE778E"/>
    <w:rsid w:val="00EE7F96"/>
    <w:rsid w:val="00EF2204"/>
    <w:rsid w:val="00EF2376"/>
    <w:rsid w:val="00EF2DE6"/>
    <w:rsid w:val="00EF3765"/>
    <w:rsid w:val="00EF6719"/>
    <w:rsid w:val="00EF6C6C"/>
    <w:rsid w:val="00F0017F"/>
    <w:rsid w:val="00F056FC"/>
    <w:rsid w:val="00F0626F"/>
    <w:rsid w:val="00F0632F"/>
    <w:rsid w:val="00F069AE"/>
    <w:rsid w:val="00F06F07"/>
    <w:rsid w:val="00F07C2F"/>
    <w:rsid w:val="00F10476"/>
    <w:rsid w:val="00F10929"/>
    <w:rsid w:val="00F10C96"/>
    <w:rsid w:val="00F10F26"/>
    <w:rsid w:val="00F12054"/>
    <w:rsid w:val="00F135D8"/>
    <w:rsid w:val="00F20F17"/>
    <w:rsid w:val="00F23C75"/>
    <w:rsid w:val="00F23FD8"/>
    <w:rsid w:val="00F2415D"/>
    <w:rsid w:val="00F241CC"/>
    <w:rsid w:val="00F24D13"/>
    <w:rsid w:val="00F252B8"/>
    <w:rsid w:val="00F256EF"/>
    <w:rsid w:val="00F261C8"/>
    <w:rsid w:val="00F31299"/>
    <w:rsid w:val="00F3188C"/>
    <w:rsid w:val="00F3534A"/>
    <w:rsid w:val="00F35BFB"/>
    <w:rsid w:val="00F35CA2"/>
    <w:rsid w:val="00F3600D"/>
    <w:rsid w:val="00F3662C"/>
    <w:rsid w:val="00F36ACC"/>
    <w:rsid w:val="00F404AA"/>
    <w:rsid w:val="00F430EA"/>
    <w:rsid w:val="00F4425C"/>
    <w:rsid w:val="00F450C6"/>
    <w:rsid w:val="00F45C53"/>
    <w:rsid w:val="00F47462"/>
    <w:rsid w:val="00F5067B"/>
    <w:rsid w:val="00F51609"/>
    <w:rsid w:val="00F55C25"/>
    <w:rsid w:val="00F61955"/>
    <w:rsid w:val="00F637D0"/>
    <w:rsid w:val="00F65541"/>
    <w:rsid w:val="00F65DCF"/>
    <w:rsid w:val="00F67748"/>
    <w:rsid w:val="00F70EAB"/>
    <w:rsid w:val="00F73727"/>
    <w:rsid w:val="00F752A2"/>
    <w:rsid w:val="00F766A7"/>
    <w:rsid w:val="00F77753"/>
    <w:rsid w:val="00F77F07"/>
    <w:rsid w:val="00F81006"/>
    <w:rsid w:val="00F82354"/>
    <w:rsid w:val="00F8272C"/>
    <w:rsid w:val="00F85325"/>
    <w:rsid w:val="00F90D87"/>
    <w:rsid w:val="00F922C9"/>
    <w:rsid w:val="00F93241"/>
    <w:rsid w:val="00F9476F"/>
    <w:rsid w:val="00F94790"/>
    <w:rsid w:val="00F94CEF"/>
    <w:rsid w:val="00F957A6"/>
    <w:rsid w:val="00F969C0"/>
    <w:rsid w:val="00FA01E5"/>
    <w:rsid w:val="00FA18B2"/>
    <w:rsid w:val="00FA49D3"/>
    <w:rsid w:val="00FA7138"/>
    <w:rsid w:val="00FA7708"/>
    <w:rsid w:val="00FB009D"/>
    <w:rsid w:val="00FB0C69"/>
    <w:rsid w:val="00FB2760"/>
    <w:rsid w:val="00FB304F"/>
    <w:rsid w:val="00FB3861"/>
    <w:rsid w:val="00FB6702"/>
    <w:rsid w:val="00FB670C"/>
    <w:rsid w:val="00FB6AB3"/>
    <w:rsid w:val="00FC02F5"/>
    <w:rsid w:val="00FC081A"/>
    <w:rsid w:val="00FC28DC"/>
    <w:rsid w:val="00FC47DD"/>
    <w:rsid w:val="00FC48AA"/>
    <w:rsid w:val="00FC5858"/>
    <w:rsid w:val="00FD067C"/>
    <w:rsid w:val="00FD1DD1"/>
    <w:rsid w:val="00FD22B1"/>
    <w:rsid w:val="00FD2826"/>
    <w:rsid w:val="00FD2C63"/>
    <w:rsid w:val="00FD33F1"/>
    <w:rsid w:val="00FD3566"/>
    <w:rsid w:val="00FD3EB1"/>
    <w:rsid w:val="00FD4F1C"/>
    <w:rsid w:val="00FD5ACB"/>
    <w:rsid w:val="00FD6BB1"/>
    <w:rsid w:val="00FE3C71"/>
    <w:rsid w:val="00FE5397"/>
    <w:rsid w:val="00FE76CF"/>
    <w:rsid w:val="00FF1F21"/>
    <w:rsid w:val="00FF2F14"/>
    <w:rsid w:val="00FF5D38"/>
    <w:rsid w:val="00FF6AB0"/>
    <w:rsid w:val="00FF6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190D2D2B"/>
  <w15:docId w15:val="{B4E4DD15-9CB4-4E13-850C-371CF4A8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0D8E"/>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ListParagraph">
    <w:name w:val="List Paragraph"/>
    <w:basedOn w:val="Normal"/>
    <w:uiPriority w:val="34"/>
    <w:qFormat/>
    <w:rsid w:val="00967253"/>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nhideWhenUsed/>
    <w:rsid w:val="00967253"/>
    <w:rPr>
      <w:color w:val="000000" w:themeColor="hyperlink"/>
      <w:u w:val="single"/>
    </w:rPr>
  </w:style>
  <w:style w:type="paragraph" w:styleId="Bibliography">
    <w:name w:val="Bibliography"/>
    <w:basedOn w:val="Normal"/>
    <w:uiPriority w:val="37"/>
    <w:unhideWhenUsed/>
    <w:rsid w:val="0061740A"/>
    <w:pPr>
      <w:spacing w:after="160" w:line="252" w:lineRule="auto"/>
    </w:pPr>
    <w:rPr>
      <w:rFonts w:ascii="Calibri" w:eastAsiaTheme="minorHAnsi" w:hAnsi="Calibri" w:cs="Calibri"/>
      <w:sz w:val="22"/>
      <w:szCs w:val="22"/>
      <w:lang w:eastAsia="en-US"/>
    </w:rPr>
  </w:style>
  <w:style w:type="character" w:styleId="PlaceholderText">
    <w:name w:val="Placeholder Text"/>
    <w:basedOn w:val="DefaultParagraphFont"/>
    <w:uiPriority w:val="99"/>
    <w:semiHidden/>
    <w:rsid w:val="00B54DD4"/>
    <w:rPr>
      <w:color w:val="808080"/>
    </w:rPr>
  </w:style>
  <w:style w:type="character" w:customStyle="1" w:styleId="Heading4Char">
    <w:name w:val="Heading 4 Char"/>
    <w:basedOn w:val="DefaultParagraphFont"/>
    <w:link w:val="Heading4"/>
    <w:rsid w:val="00C84268"/>
    <w:rPr>
      <w:rFonts w:ascii="Arial" w:hAnsi="Arial"/>
      <w:sz w:val="24"/>
    </w:rPr>
  </w:style>
  <w:style w:type="character" w:customStyle="1" w:styleId="CommentTextChar">
    <w:name w:val="Comment Text Char"/>
    <w:basedOn w:val="DefaultParagraphFont"/>
    <w:link w:val="CommentText"/>
    <w:semiHidden/>
    <w:rsid w:val="00C84268"/>
    <w:rPr>
      <w:szCs w:val="24"/>
    </w:rPr>
  </w:style>
  <w:style w:type="character" w:customStyle="1" w:styleId="FootnoteTextChar">
    <w:name w:val="Footnote Text Char"/>
    <w:basedOn w:val="DefaultParagraphFont"/>
    <w:link w:val="FootnoteText"/>
    <w:rsid w:val="00C84268"/>
  </w:style>
  <w:style w:type="character" w:customStyle="1" w:styleId="gnkrckgcgsb">
    <w:name w:val="gnkrckgcgsb"/>
    <w:basedOn w:val="DefaultParagraphFont"/>
    <w:rsid w:val="00952315"/>
  </w:style>
  <w:style w:type="character" w:styleId="FollowedHyperlink">
    <w:name w:val="FollowedHyperlink"/>
    <w:basedOn w:val="DefaultParagraphFont"/>
    <w:semiHidden/>
    <w:unhideWhenUsed/>
    <w:rsid w:val="00026005"/>
    <w:rPr>
      <w:color w:val="BFBFBF" w:themeColor="followedHyperlink"/>
      <w:u w:val="single"/>
    </w:rPr>
  </w:style>
  <w:style w:type="paragraph" w:styleId="CommentSubject">
    <w:name w:val="annotation subject"/>
    <w:basedOn w:val="CommentText"/>
    <w:next w:val="CommentText"/>
    <w:link w:val="CommentSubjectChar"/>
    <w:semiHidden/>
    <w:unhideWhenUsed/>
    <w:rsid w:val="00A60DB2"/>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A60DB2"/>
    <w:rPr>
      <w:b/>
      <w:bCs/>
      <w:szCs w:val="24"/>
    </w:rPr>
  </w:style>
  <w:style w:type="character" w:styleId="EndnoteReference">
    <w:name w:val="endnote reference"/>
    <w:basedOn w:val="DefaultParagraphFont"/>
    <w:semiHidden/>
    <w:unhideWhenUsed/>
    <w:rsid w:val="004F0343"/>
    <w:rPr>
      <w:vertAlign w:val="superscript"/>
    </w:rPr>
  </w:style>
  <w:style w:type="paragraph" w:styleId="Revision">
    <w:name w:val="Revision"/>
    <w:hidden/>
    <w:uiPriority w:val="99"/>
    <w:semiHidden/>
    <w:rsid w:val="00A7586C"/>
    <w:rPr>
      <w:sz w:val="24"/>
      <w:szCs w:val="24"/>
    </w:rPr>
  </w:style>
  <w:style w:type="paragraph" w:styleId="Title">
    <w:name w:val="Title"/>
    <w:basedOn w:val="Normal"/>
    <w:next w:val="Normal"/>
    <w:link w:val="TitleChar"/>
    <w:rsid w:val="003C20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C20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9326">
      <w:bodyDiv w:val="1"/>
      <w:marLeft w:val="0"/>
      <w:marRight w:val="0"/>
      <w:marTop w:val="0"/>
      <w:marBottom w:val="0"/>
      <w:divBdr>
        <w:top w:val="none" w:sz="0" w:space="0" w:color="auto"/>
        <w:left w:val="none" w:sz="0" w:space="0" w:color="auto"/>
        <w:bottom w:val="none" w:sz="0" w:space="0" w:color="auto"/>
        <w:right w:val="none" w:sz="0" w:space="0" w:color="auto"/>
      </w:divBdr>
    </w:div>
    <w:div w:id="220023753">
      <w:bodyDiv w:val="1"/>
      <w:marLeft w:val="0"/>
      <w:marRight w:val="0"/>
      <w:marTop w:val="0"/>
      <w:marBottom w:val="0"/>
      <w:divBdr>
        <w:top w:val="none" w:sz="0" w:space="0" w:color="auto"/>
        <w:left w:val="none" w:sz="0" w:space="0" w:color="auto"/>
        <w:bottom w:val="none" w:sz="0" w:space="0" w:color="auto"/>
        <w:right w:val="none" w:sz="0" w:space="0" w:color="auto"/>
      </w:divBdr>
    </w:div>
    <w:div w:id="243611128">
      <w:bodyDiv w:val="1"/>
      <w:marLeft w:val="0"/>
      <w:marRight w:val="0"/>
      <w:marTop w:val="0"/>
      <w:marBottom w:val="0"/>
      <w:divBdr>
        <w:top w:val="none" w:sz="0" w:space="0" w:color="auto"/>
        <w:left w:val="none" w:sz="0" w:space="0" w:color="auto"/>
        <w:bottom w:val="none" w:sz="0" w:space="0" w:color="auto"/>
        <w:right w:val="none" w:sz="0" w:space="0" w:color="auto"/>
      </w:divBdr>
    </w:div>
    <w:div w:id="257256302">
      <w:bodyDiv w:val="1"/>
      <w:marLeft w:val="0"/>
      <w:marRight w:val="0"/>
      <w:marTop w:val="0"/>
      <w:marBottom w:val="0"/>
      <w:divBdr>
        <w:top w:val="none" w:sz="0" w:space="0" w:color="auto"/>
        <w:left w:val="none" w:sz="0" w:space="0" w:color="auto"/>
        <w:bottom w:val="none" w:sz="0" w:space="0" w:color="auto"/>
        <w:right w:val="none" w:sz="0" w:space="0" w:color="auto"/>
      </w:divBdr>
    </w:div>
    <w:div w:id="274681798">
      <w:bodyDiv w:val="1"/>
      <w:marLeft w:val="0"/>
      <w:marRight w:val="0"/>
      <w:marTop w:val="0"/>
      <w:marBottom w:val="0"/>
      <w:divBdr>
        <w:top w:val="none" w:sz="0" w:space="0" w:color="auto"/>
        <w:left w:val="none" w:sz="0" w:space="0" w:color="auto"/>
        <w:bottom w:val="none" w:sz="0" w:space="0" w:color="auto"/>
        <w:right w:val="none" w:sz="0" w:space="0" w:color="auto"/>
      </w:divBdr>
    </w:div>
    <w:div w:id="276066570">
      <w:bodyDiv w:val="1"/>
      <w:marLeft w:val="0"/>
      <w:marRight w:val="0"/>
      <w:marTop w:val="0"/>
      <w:marBottom w:val="0"/>
      <w:divBdr>
        <w:top w:val="none" w:sz="0" w:space="0" w:color="auto"/>
        <w:left w:val="none" w:sz="0" w:space="0" w:color="auto"/>
        <w:bottom w:val="none" w:sz="0" w:space="0" w:color="auto"/>
        <w:right w:val="none" w:sz="0" w:space="0" w:color="auto"/>
      </w:divBdr>
    </w:div>
    <w:div w:id="398209656">
      <w:bodyDiv w:val="1"/>
      <w:marLeft w:val="0"/>
      <w:marRight w:val="0"/>
      <w:marTop w:val="0"/>
      <w:marBottom w:val="0"/>
      <w:divBdr>
        <w:top w:val="none" w:sz="0" w:space="0" w:color="auto"/>
        <w:left w:val="none" w:sz="0" w:space="0" w:color="auto"/>
        <w:bottom w:val="none" w:sz="0" w:space="0" w:color="auto"/>
        <w:right w:val="none" w:sz="0" w:space="0" w:color="auto"/>
      </w:divBdr>
    </w:div>
    <w:div w:id="405611793">
      <w:bodyDiv w:val="1"/>
      <w:marLeft w:val="0"/>
      <w:marRight w:val="0"/>
      <w:marTop w:val="0"/>
      <w:marBottom w:val="0"/>
      <w:divBdr>
        <w:top w:val="none" w:sz="0" w:space="0" w:color="auto"/>
        <w:left w:val="none" w:sz="0" w:space="0" w:color="auto"/>
        <w:bottom w:val="none" w:sz="0" w:space="0" w:color="auto"/>
        <w:right w:val="none" w:sz="0" w:space="0" w:color="auto"/>
      </w:divBdr>
    </w:div>
    <w:div w:id="753817231">
      <w:bodyDiv w:val="1"/>
      <w:marLeft w:val="0"/>
      <w:marRight w:val="0"/>
      <w:marTop w:val="0"/>
      <w:marBottom w:val="0"/>
      <w:divBdr>
        <w:top w:val="none" w:sz="0" w:space="0" w:color="auto"/>
        <w:left w:val="none" w:sz="0" w:space="0" w:color="auto"/>
        <w:bottom w:val="none" w:sz="0" w:space="0" w:color="auto"/>
        <w:right w:val="none" w:sz="0" w:space="0" w:color="auto"/>
      </w:divBdr>
    </w:div>
    <w:div w:id="1097478624">
      <w:bodyDiv w:val="1"/>
      <w:marLeft w:val="0"/>
      <w:marRight w:val="0"/>
      <w:marTop w:val="0"/>
      <w:marBottom w:val="0"/>
      <w:divBdr>
        <w:top w:val="none" w:sz="0" w:space="0" w:color="auto"/>
        <w:left w:val="none" w:sz="0" w:space="0" w:color="auto"/>
        <w:bottom w:val="none" w:sz="0" w:space="0" w:color="auto"/>
        <w:right w:val="none" w:sz="0" w:space="0" w:color="auto"/>
      </w:divBdr>
    </w:div>
    <w:div w:id="1496142017">
      <w:bodyDiv w:val="1"/>
      <w:marLeft w:val="0"/>
      <w:marRight w:val="0"/>
      <w:marTop w:val="0"/>
      <w:marBottom w:val="0"/>
      <w:divBdr>
        <w:top w:val="none" w:sz="0" w:space="0" w:color="auto"/>
        <w:left w:val="none" w:sz="0" w:space="0" w:color="auto"/>
        <w:bottom w:val="none" w:sz="0" w:space="0" w:color="auto"/>
        <w:right w:val="none" w:sz="0" w:space="0" w:color="auto"/>
      </w:divBdr>
    </w:div>
    <w:div w:id="1651790784">
      <w:bodyDiv w:val="1"/>
      <w:marLeft w:val="0"/>
      <w:marRight w:val="0"/>
      <w:marTop w:val="0"/>
      <w:marBottom w:val="0"/>
      <w:divBdr>
        <w:top w:val="none" w:sz="0" w:space="0" w:color="auto"/>
        <w:left w:val="none" w:sz="0" w:space="0" w:color="auto"/>
        <w:bottom w:val="none" w:sz="0" w:space="0" w:color="auto"/>
        <w:right w:val="none" w:sz="0" w:space="0" w:color="auto"/>
      </w:divBdr>
    </w:div>
    <w:div w:id="185638394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858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E74E-18E8-43AF-AE05-51613054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6CB03A21.dotm</Template>
  <TotalTime>3</TotalTime>
  <Pages>20</Pages>
  <Words>6067</Words>
  <Characters>33303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Appendix F Economic Benefits - Draft Report - Mental Health</vt:lpstr>
    </vt:vector>
  </TitlesOfParts>
  <Company/>
  <LinksUpToDate>false</LinksUpToDate>
  <CharactersWithSpaces>39292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Economic Benefits - Draft Report - Mental Health</dc:title>
  <dc:subject/>
  <dc:creator>Productivity Commission</dc:creator>
  <cp:keywords/>
  <dc:description/>
  <cp:lastModifiedBy>Productivity Commission</cp:lastModifiedBy>
  <cp:revision>4</cp:revision>
  <cp:lastPrinted>2019-10-30T05:53:00Z</cp:lastPrinted>
  <dcterms:created xsi:type="dcterms:W3CDTF">2019-10-30T05:49:00Z</dcterms:created>
  <dcterms:modified xsi:type="dcterms:W3CDTF">2019-10-30T13:15:00Z</dcterms:modified>
</cp:coreProperties>
</file>