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2B43" w14:textId="520C7604" w:rsidR="006A10C4" w:rsidRPr="006A10C4" w:rsidRDefault="00413AAB" w:rsidP="00BF738A">
      <w:pPr>
        <w:spacing w:after="240"/>
        <w:jc w:val="center"/>
        <w:rPr>
          <w:rFonts w:ascii="Arial" w:hAnsi="Arial" w:cs="Arial"/>
          <w:caps/>
        </w:rPr>
      </w:pPr>
      <w:r>
        <w:rPr>
          <w:rFonts w:ascii="Arial" w:hAnsi="Arial" w:cs="Arial"/>
          <w:caps/>
        </w:rPr>
        <w:t>Remote Area Tax Concessions and Payments</w:t>
      </w:r>
      <w:r w:rsidR="00C3543F">
        <w:rPr>
          <w:rFonts w:ascii="Arial" w:hAnsi="Arial" w:cs="Arial"/>
          <w:caps/>
        </w:rPr>
        <w:t xml:space="preserve"> </w:t>
      </w:r>
      <w:r w:rsidR="0082302F">
        <w:rPr>
          <w:rFonts w:ascii="Arial" w:hAnsi="Arial" w:cs="Arial"/>
          <w:caps/>
        </w:rPr>
        <w:t xml:space="preserve">— </w:t>
      </w:r>
      <w:r w:rsidR="00C3543F">
        <w:rPr>
          <w:rFonts w:ascii="Arial" w:hAnsi="Arial" w:cs="Arial"/>
          <w:caps/>
        </w:rPr>
        <w:t>draft report</w:t>
      </w:r>
    </w:p>
    <w:p w14:paraId="170378EB" w14:textId="7BDE15AE" w:rsidR="00BF738A" w:rsidRPr="00C3543F" w:rsidRDefault="00413AAB" w:rsidP="00BF738A">
      <w:pPr>
        <w:spacing w:after="240"/>
        <w:jc w:val="center"/>
        <w:rPr>
          <w:rFonts w:ascii="Arial" w:hAnsi="Arial" w:cs="Arial"/>
          <w:b/>
          <w:caps/>
          <w:sz w:val="28"/>
          <w:szCs w:val="28"/>
        </w:rPr>
      </w:pPr>
      <w:r w:rsidRPr="00C3543F">
        <w:rPr>
          <w:rFonts w:ascii="Arial" w:hAnsi="Arial" w:cs="Arial"/>
          <w:b/>
          <w:caps/>
          <w:sz w:val="28"/>
          <w:szCs w:val="28"/>
        </w:rPr>
        <w:t>Zone tax offset</w:t>
      </w:r>
    </w:p>
    <w:p w14:paraId="549CA69E" w14:textId="65EFDA38" w:rsidR="00413AAB" w:rsidRDefault="00413AAB" w:rsidP="00C3543F">
      <w:pPr>
        <w:jc w:val="both"/>
        <w:rPr>
          <w:rFonts w:ascii="Arial" w:hAnsi="Arial" w:cs="Arial"/>
        </w:rPr>
      </w:pPr>
      <w:r w:rsidRPr="00413AAB">
        <w:rPr>
          <w:rFonts w:ascii="Arial" w:hAnsi="Arial" w:cs="Arial"/>
        </w:rPr>
        <w:t xml:space="preserve">The zone tax offset (ZTO) is an income tax </w:t>
      </w:r>
      <w:r w:rsidR="00AA0716">
        <w:rPr>
          <w:rFonts w:ascii="Arial" w:hAnsi="Arial" w:cs="Arial"/>
        </w:rPr>
        <w:t>offset</w:t>
      </w:r>
      <w:r w:rsidRPr="00413AAB">
        <w:rPr>
          <w:rFonts w:ascii="Arial" w:hAnsi="Arial" w:cs="Arial"/>
        </w:rPr>
        <w:t xml:space="preserve"> available to residents of specified parts of Australia (</w:t>
      </w:r>
      <w:r w:rsidR="00E95DD1">
        <w:rPr>
          <w:rFonts w:ascii="Arial" w:hAnsi="Arial" w:cs="Arial"/>
        </w:rPr>
        <w:t xml:space="preserve">referred to as the ‘zones’ — </w:t>
      </w:r>
      <w:r w:rsidR="00C40EB7">
        <w:rPr>
          <w:rFonts w:ascii="Arial" w:hAnsi="Arial" w:cs="Arial"/>
        </w:rPr>
        <w:t>see figure</w:t>
      </w:r>
      <w:r w:rsidRPr="00413AAB">
        <w:rPr>
          <w:rFonts w:ascii="Arial" w:hAnsi="Arial" w:cs="Arial"/>
        </w:rPr>
        <w:t>)</w:t>
      </w:r>
      <w:r w:rsidR="00C40EB7">
        <w:rPr>
          <w:rFonts w:ascii="Arial" w:hAnsi="Arial" w:cs="Arial"/>
        </w:rPr>
        <w:t>. It is designed to compensate residents for uncongenial climate conditions, isolation, and a higher cost of living in the zones</w:t>
      </w:r>
      <w:r w:rsidRPr="00413AAB">
        <w:rPr>
          <w:rFonts w:ascii="Arial" w:hAnsi="Arial" w:cs="Arial"/>
        </w:rPr>
        <w:t xml:space="preserve">. </w:t>
      </w:r>
      <w:r w:rsidR="00E95DD1">
        <w:rPr>
          <w:rFonts w:ascii="Arial" w:hAnsi="Arial" w:cs="Arial"/>
        </w:rPr>
        <w:t>The precursor to the ZTO was put in</w:t>
      </w:r>
      <w:r>
        <w:rPr>
          <w:rFonts w:ascii="Arial" w:hAnsi="Arial" w:cs="Arial"/>
        </w:rPr>
        <w:t xml:space="preserve"> place </w:t>
      </w:r>
      <w:r w:rsidR="00C40EB7">
        <w:rPr>
          <w:rFonts w:ascii="Arial" w:hAnsi="Arial" w:cs="Arial"/>
        </w:rPr>
        <w:t>in 1945.</w:t>
      </w:r>
    </w:p>
    <w:p w14:paraId="6F496CCB" w14:textId="2AF6D5C8" w:rsidR="00E95DD1" w:rsidRDefault="00E5170A" w:rsidP="00C3543F">
      <w:pPr>
        <w:jc w:val="center"/>
        <w:rPr>
          <w:rFonts w:ascii="Arial" w:hAnsi="Arial" w:cs="Arial"/>
        </w:rPr>
      </w:pPr>
      <w:r w:rsidRPr="00E5170A">
        <w:rPr>
          <w:noProof/>
          <w:lang w:eastAsia="en-AU"/>
        </w:rPr>
        <w:drawing>
          <wp:inline distT="0" distB="0" distL="0" distR="0" wp14:anchorId="3F2D0477" wp14:editId="5F79E413">
            <wp:extent cx="5113655" cy="2921000"/>
            <wp:effectExtent l="0" t="0" r="0" b="0"/>
            <wp:docPr id="3" name="Picture 3" descr="This map of Australia shows the areas where taxpayers are eligible to claim the zone tax offset. All of the Northern Territory, and much of northern Queensland and northern Western Australia are either ordinary or special Zone A. Zone B covers central Queensland, western New South Wales, much of South Australia and parts of southern Wester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3655" cy="2921000"/>
                    </a:xfrm>
                    <a:prstGeom prst="rect">
                      <a:avLst/>
                    </a:prstGeom>
                    <a:noFill/>
                    <a:ln>
                      <a:noFill/>
                    </a:ln>
                  </pic:spPr>
                </pic:pic>
              </a:graphicData>
            </a:graphic>
          </wp:inline>
        </w:drawing>
      </w:r>
    </w:p>
    <w:p w14:paraId="105EB576" w14:textId="739B9870" w:rsidR="007850E3" w:rsidRDefault="00E5170A" w:rsidP="00C3543F">
      <w:pPr>
        <w:spacing w:after="240"/>
        <w:jc w:val="both"/>
        <w:rPr>
          <w:rFonts w:ascii="Arial" w:hAnsi="Arial" w:cs="Arial"/>
        </w:rPr>
      </w:pPr>
      <w:r>
        <w:rPr>
          <w:rFonts w:ascii="Arial" w:hAnsi="Arial" w:cs="Arial"/>
        </w:rPr>
        <w:t>In 2016</w:t>
      </w:r>
      <w:r>
        <w:rPr>
          <w:rFonts w:ascii="Arial" w:hAnsi="Arial" w:cs="Arial"/>
        </w:rPr>
        <w:noBreakHyphen/>
        <w:t>17 about 480 000 taxpayers claimed the ZTO, with claims worth $153 million. Many claimants earn above</w:t>
      </w:r>
      <w:r>
        <w:rPr>
          <w:rFonts w:ascii="Arial" w:hAnsi="Arial" w:cs="Arial"/>
        </w:rPr>
        <w:noBreakHyphen/>
        <w:t>median incomes, reflecting higher wages and salaries (in general) across the zones compared to the rest of Australia.</w:t>
      </w:r>
    </w:p>
    <w:p w14:paraId="5FC182D3" w14:textId="53604C12" w:rsidR="007850E3" w:rsidRPr="001C0704" w:rsidRDefault="007850E3" w:rsidP="00C3543F">
      <w:pPr>
        <w:spacing w:after="240"/>
        <w:jc w:val="both"/>
        <w:rPr>
          <w:rFonts w:ascii="Arial" w:hAnsi="Arial" w:cs="Arial"/>
          <w:b/>
        </w:rPr>
      </w:pPr>
      <w:r w:rsidRPr="001C0704">
        <w:rPr>
          <w:rFonts w:ascii="Arial" w:hAnsi="Arial" w:cs="Arial"/>
          <w:b/>
        </w:rPr>
        <w:t>Payment rates</w:t>
      </w:r>
    </w:p>
    <w:p w14:paraId="56127326" w14:textId="19D2F517" w:rsidR="00413AAB" w:rsidRPr="00E95DD1" w:rsidRDefault="00AA0716" w:rsidP="00C3543F">
      <w:pPr>
        <w:jc w:val="both"/>
        <w:rPr>
          <w:rFonts w:ascii="Arial" w:hAnsi="Arial" w:cs="Arial"/>
        </w:rPr>
      </w:pPr>
      <w:r>
        <w:rPr>
          <w:rFonts w:ascii="Arial" w:hAnsi="Arial" w:cs="Arial"/>
        </w:rPr>
        <w:t>There are three rates available</w:t>
      </w:r>
      <w:r w:rsidR="00747324">
        <w:rPr>
          <w:rFonts w:ascii="Arial" w:hAnsi="Arial" w:cs="Arial"/>
        </w:rPr>
        <w:t xml:space="preserve">, with people in more remote areas </w:t>
      </w:r>
      <w:r w:rsidR="00DE04D6">
        <w:rPr>
          <w:rFonts w:ascii="Arial" w:hAnsi="Arial" w:cs="Arial"/>
        </w:rPr>
        <w:t>eligible for a larger offset</w:t>
      </w:r>
      <w:r>
        <w:rPr>
          <w:rFonts w:ascii="Arial" w:hAnsi="Arial" w:cs="Arial"/>
        </w:rPr>
        <w:t>.</w:t>
      </w:r>
    </w:p>
    <w:p w14:paraId="5EE5CF91" w14:textId="10187FBB" w:rsidR="00413AAB" w:rsidRPr="00E95DD1" w:rsidRDefault="00413AAB" w:rsidP="00EF07C4">
      <w:pPr>
        <w:pStyle w:val="ListParagraph"/>
        <w:numPr>
          <w:ilvl w:val="0"/>
          <w:numId w:val="2"/>
        </w:numPr>
        <w:ind w:left="717"/>
        <w:jc w:val="both"/>
        <w:rPr>
          <w:rFonts w:ascii="Arial" w:hAnsi="Arial" w:cs="Arial"/>
        </w:rPr>
      </w:pPr>
      <w:r w:rsidRPr="00E95DD1">
        <w:rPr>
          <w:rFonts w:ascii="Arial" w:hAnsi="Arial" w:cs="Arial"/>
        </w:rPr>
        <w:t>Special areas: $1173 a year base rate, plus 50 per cent of applicable dependant rebates.</w:t>
      </w:r>
    </w:p>
    <w:p w14:paraId="3158CC89" w14:textId="77777777" w:rsidR="00413AAB" w:rsidRPr="00E95DD1" w:rsidRDefault="00413AAB" w:rsidP="00EF07C4">
      <w:pPr>
        <w:pStyle w:val="ListParagraph"/>
        <w:numPr>
          <w:ilvl w:val="0"/>
          <w:numId w:val="2"/>
        </w:numPr>
        <w:ind w:left="717"/>
        <w:jc w:val="both"/>
        <w:rPr>
          <w:rFonts w:ascii="Arial" w:hAnsi="Arial" w:cs="Arial"/>
        </w:rPr>
      </w:pPr>
      <w:r w:rsidRPr="00E95DD1">
        <w:rPr>
          <w:rFonts w:ascii="Arial" w:hAnsi="Arial" w:cs="Arial"/>
        </w:rPr>
        <w:t>Ordinary Zone A: $338 a year base rate, plus 50 per cent of applicable dependant rebates.</w:t>
      </w:r>
    </w:p>
    <w:p w14:paraId="36AB7BF6" w14:textId="77777777" w:rsidR="00413AAB" w:rsidRPr="00E95DD1" w:rsidRDefault="00413AAB" w:rsidP="00EF07C4">
      <w:pPr>
        <w:pStyle w:val="ListParagraph"/>
        <w:numPr>
          <w:ilvl w:val="0"/>
          <w:numId w:val="2"/>
        </w:numPr>
        <w:ind w:left="717"/>
        <w:jc w:val="both"/>
        <w:rPr>
          <w:rFonts w:ascii="Arial" w:hAnsi="Arial" w:cs="Arial"/>
        </w:rPr>
      </w:pPr>
      <w:r w:rsidRPr="00E95DD1">
        <w:rPr>
          <w:rFonts w:ascii="Arial" w:hAnsi="Arial" w:cs="Arial"/>
        </w:rPr>
        <w:t>Ordinary Zone B: $57 a year base rate, plus 20 per cent of applicable dependant rebates.</w:t>
      </w:r>
    </w:p>
    <w:p w14:paraId="35B74BC3" w14:textId="5C717E02" w:rsidR="00527A0C" w:rsidRDefault="00C40EB7" w:rsidP="00C3543F">
      <w:pPr>
        <w:jc w:val="both"/>
        <w:rPr>
          <w:rFonts w:ascii="Arial" w:hAnsi="Arial" w:cs="Arial"/>
        </w:rPr>
      </w:pPr>
      <w:r>
        <w:rPr>
          <w:rFonts w:ascii="Arial" w:hAnsi="Arial" w:cs="Arial"/>
        </w:rPr>
        <w:t>ZTO rates have not increased since 1993</w:t>
      </w:r>
      <w:r>
        <w:rPr>
          <w:rFonts w:ascii="Arial" w:hAnsi="Arial" w:cs="Arial"/>
        </w:rPr>
        <w:noBreakHyphen/>
        <w:t>94, and t</w:t>
      </w:r>
      <w:r w:rsidR="00F8143F">
        <w:rPr>
          <w:rFonts w:ascii="Arial" w:hAnsi="Arial" w:cs="Arial"/>
        </w:rPr>
        <w:t xml:space="preserve">he </w:t>
      </w:r>
      <w:r>
        <w:rPr>
          <w:rFonts w:ascii="Arial" w:hAnsi="Arial" w:cs="Arial"/>
        </w:rPr>
        <w:t xml:space="preserve">value of the offset to </w:t>
      </w:r>
      <w:r w:rsidR="00F8143F">
        <w:rPr>
          <w:rFonts w:ascii="Arial" w:hAnsi="Arial" w:cs="Arial"/>
        </w:rPr>
        <w:t xml:space="preserve">claimants </w:t>
      </w:r>
      <w:r w:rsidR="00E95DD1">
        <w:rPr>
          <w:rFonts w:ascii="Arial" w:hAnsi="Arial" w:cs="Arial"/>
        </w:rPr>
        <w:t>has fal</w:t>
      </w:r>
      <w:r>
        <w:rPr>
          <w:rFonts w:ascii="Arial" w:hAnsi="Arial" w:cs="Arial"/>
        </w:rPr>
        <w:t>len significantly in real terms</w:t>
      </w:r>
      <w:r w:rsidR="00F8143F">
        <w:rPr>
          <w:rFonts w:ascii="Arial" w:hAnsi="Arial" w:cs="Arial"/>
        </w:rPr>
        <w:t>. Today, the ZTO represents less than 1</w:t>
      </w:r>
      <w:r w:rsidR="00AA0716">
        <w:rPr>
          <w:rFonts w:ascii="Arial" w:hAnsi="Arial" w:cs="Arial"/>
        </w:rPr>
        <w:t xml:space="preserve"> per cent of </w:t>
      </w:r>
      <w:r w:rsidR="00F8143F">
        <w:rPr>
          <w:rFonts w:ascii="Arial" w:hAnsi="Arial" w:cs="Arial"/>
        </w:rPr>
        <w:t>after</w:t>
      </w:r>
      <w:r w:rsidR="00F8143F">
        <w:rPr>
          <w:rFonts w:ascii="Arial" w:hAnsi="Arial" w:cs="Arial"/>
        </w:rPr>
        <w:noBreakHyphen/>
        <w:t xml:space="preserve">tax </w:t>
      </w:r>
      <w:r w:rsidR="00AA0716">
        <w:rPr>
          <w:rFonts w:ascii="Arial" w:hAnsi="Arial" w:cs="Arial"/>
        </w:rPr>
        <w:t>income</w:t>
      </w:r>
      <w:r w:rsidR="00F8143F">
        <w:rPr>
          <w:rFonts w:ascii="Arial" w:hAnsi="Arial" w:cs="Arial"/>
        </w:rPr>
        <w:t xml:space="preserve"> for </w:t>
      </w:r>
      <w:r w:rsidR="007850E3">
        <w:rPr>
          <w:rFonts w:ascii="Arial" w:hAnsi="Arial" w:cs="Arial"/>
        </w:rPr>
        <w:t>more than 80 per cent of claimants.</w:t>
      </w:r>
    </w:p>
    <w:p w14:paraId="39FE1D27" w14:textId="090A0480" w:rsidR="00C834E3" w:rsidRDefault="00EF07C4" w:rsidP="00EF07C4">
      <w:pPr>
        <w:jc w:val="center"/>
        <w:rPr>
          <w:rFonts w:ascii="Arial" w:hAnsi="Arial" w:cs="Arial"/>
        </w:rPr>
      </w:pPr>
      <w:r>
        <w:rPr>
          <w:rFonts w:ascii="Arial" w:hAnsi="Arial" w:cs="Arial"/>
        </w:rPr>
        <w:t>[MORE]</w:t>
      </w:r>
      <w:r w:rsidR="00C834E3">
        <w:rPr>
          <w:rFonts w:ascii="Arial" w:hAnsi="Arial" w:cs="Arial"/>
        </w:rPr>
        <w:br w:type="page"/>
      </w:r>
    </w:p>
    <w:p w14:paraId="72CB16C7" w14:textId="1DF8A5FE" w:rsidR="007850E3" w:rsidRPr="001C0704" w:rsidRDefault="007850E3" w:rsidP="00C3543F">
      <w:pPr>
        <w:spacing w:after="240"/>
        <w:jc w:val="both"/>
        <w:rPr>
          <w:rFonts w:ascii="Arial" w:hAnsi="Arial" w:cs="Arial"/>
          <w:b/>
        </w:rPr>
      </w:pPr>
      <w:r w:rsidRPr="001C0704">
        <w:rPr>
          <w:rFonts w:ascii="Arial" w:hAnsi="Arial" w:cs="Arial"/>
          <w:b/>
        </w:rPr>
        <w:lastRenderedPageBreak/>
        <w:t>The zones are outdated</w:t>
      </w:r>
    </w:p>
    <w:p w14:paraId="7994C647" w14:textId="53925757" w:rsidR="00E03974" w:rsidRDefault="00E03974" w:rsidP="00C3543F">
      <w:pPr>
        <w:spacing w:after="240"/>
        <w:jc w:val="both"/>
        <w:rPr>
          <w:rFonts w:ascii="Arial" w:hAnsi="Arial" w:cs="Arial"/>
        </w:rPr>
      </w:pPr>
      <w:r>
        <w:rPr>
          <w:rFonts w:ascii="Arial" w:hAnsi="Arial" w:cs="Arial"/>
        </w:rPr>
        <w:t>The zones are outdated and include areas that can no longer be considered remote. Nearly half of claimants live in Cairns, Darwin, Townsville and Mackay, which are now well developed and connected</w:t>
      </w:r>
      <w:r w:rsidRPr="00FE19DB">
        <w:rPr>
          <w:rFonts w:ascii="Arial" w:hAnsi="Arial" w:cs="Arial"/>
        </w:rPr>
        <w:t xml:space="preserve"> </w:t>
      </w:r>
      <w:r>
        <w:rPr>
          <w:rFonts w:ascii="Arial" w:hAnsi="Arial" w:cs="Arial"/>
        </w:rPr>
        <w:t>cities.</w:t>
      </w:r>
    </w:p>
    <w:p w14:paraId="379D93F9" w14:textId="269DEE3A" w:rsidR="00E95DD1" w:rsidRDefault="00920411" w:rsidP="00C3543F">
      <w:pPr>
        <w:spacing w:before="120" w:after="240"/>
        <w:jc w:val="both"/>
        <w:rPr>
          <w:rFonts w:ascii="Arial" w:hAnsi="Arial" w:cs="Arial"/>
          <w:b/>
        </w:rPr>
      </w:pPr>
      <w:r>
        <w:rPr>
          <w:rFonts w:ascii="Arial" w:hAnsi="Arial" w:cs="Arial"/>
          <w:b/>
        </w:rPr>
        <w:t>T</w:t>
      </w:r>
      <w:r w:rsidR="00E95DD1">
        <w:rPr>
          <w:rFonts w:ascii="Arial" w:hAnsi="Arial" w:cs="Arial"/>
          <w:b/>
        </w:rPr>
        <w:t xml:space="preserve">he ZTO </w:t>
      </w:r>
      <w:r>
        <w:rPr>
          <w:rFonts w:ascii="Arial" w:hAnsi="Arial" w:cs="Arial"/>
          <w:b/>
        </w:rPr>
        <w:t>lacks a contemporary</w:t>
      </w:r>
      <w:r w:rsidR="00E95DD1">
        <w:rPr>
          <w:rFonts w:ascii="Arial" w:hAnsi="Arial" w:cs="Arial"/>
          <w:b/>
        </w:rPr>
        <w:t xml:space="preserve"> rationale</w:t>
      </w:r>
    </w:p>
    <w:p w14:paraId="0358AE65" w14:textId="4267D621" w:rsidR="00E03974" w:rsidRDefault="00E03974" w:rsidP="00C3543F">
      <w:pPr>
        <w:keepNext/>
        <w:jc w:val="both"/>
        <w:rPr>
          <w:rFonts w:ascii="Arial" w:hAnsi="Arial" w:cs="Arial"/>
        </w:rPr>
      </w:pPr>
      <w:r>
        <w:rPr>
          <w:rFonts w:ascii="Arial" w:hAnsi="Arial" w:cs="Arial"/>
        </w:rPr>
        <w:t>Arguments in favour of the ZTO generally fall in one of two categories.</w:t>
      </w:r>
      <w:r w:rsidRPr="00920411">
        <w:rPr>
          <w:rFonts w:ascii="Arial" w:hAnsi="Arial" w:cs="Arial"/>
        </w:rPr>
        <w:t xml:space="preserve"> </w:t>
      </w:r>
    </w:p>
    <w:p w14:paraId="7C270425" w14:textId="798EA1FD" w:rsidR="00E03974" w:rsidRPr="00C3543F" w:rsidRDefault="00E03974" w:rsidP="00C3543F">
      <w:pPr>
        <w:pStyle w:val="Finding"/>
        <w:spacing w:after="240"/>
        <w:rPr>
          <w:rFonts w:cs="Arial"/>
          <w:spacing w:val="-2"/>
        </w:rPr>
      </w:pPr>
      <w:r w:rsidRPr="00C3543F">
        <w:rPr>
          <w:spacing w:val="-2"/>
        </w:rPr>
        <w:t>One argument is that it is necessary to compensate residents for the disadvantages of life in remote areas. Australians face a range of advantages and disadvantages wherever they live, and will typically locate themselves to the area they value most highly. Further, t</w:t>
      </w:r>
      <w:r w:rsidRPr="00C3543F">
        <w:rPr>
          <w:rFonts w:cs="Arial"/>
          <w:spacing w:val="-2"/>
        </w:rPr>
        <w:t>here is evidence of higher remuneration in the zones across a wide skill spectrum, which suggests that the labour market already compensates workers, at least to some extent, for the disadvantages of remote living.</w:t>
      </w:r>
    </w:p>
    <w:p w14:paraId="1AD132EA" w14:textId="5A00F1CA" w:rsidR="00E03974" w:rsidRDefault="00E03974" w:rsidP="00C3543F">
      <w:pPr>
        <w:pStyle w:val="Finding"/>
        <w:spacing w:after="240"/>
      </w:pPr>
      <w:r>
        <w:rPr>
          <w:rFonts w:cs="Arial"/>
        </w:rPr>
        <w:t xml:space="preserve">The second argument </w:t>
      </w:r>
      <w:r>
        <w:t>is that the ZTO should</w:t>
      </w:r>
      <w:r>
        <w:rPr>
          <w:rFonts w:cs="Arial"/>
        </w:rPr>
        <w:t xml:space="preserve"> support regional economic development, including by encouraging people to relocate to particular areas. A</w:t>
      </w:r>
      <w:r>
        <w:t xml:space="preserve"> tax offset is not well suited for encouraging people to move to particular areas.</w:t>
      </w:r>
      <w:r w:rsidRPr="00920411">
        <w:rPr>
          <w:rFonts w:cs="Arial"/>
        </w:rPr>
        <w:t xml:space="preserve"> </w:t>
      </w:r>
      <w:r>
        <w:rPr>
          <w:rFonts w:cs="Arial"/>
        </w:rPr>
        <w:t>The employment opportunities, l</w:t>
      </w:r>
      <w:r w:rsidRPr="006576A3">
        <w:rPr>
          <w:rFonts w:cs="Arial"/>
        </w:rPr>
        <w:t xml:space="preserve">iveability and </w:t>
      </w:r>
      <w:r>
        <w:rPr>
          <w:rFonts w:cs="Arial"/>
        </w:rPr>
        <w:t>amenities available in</w:t>
      </w:r>
      <w:r w:rsidRPr="006576A3">
        <w:rPr>
          <w:rFonts w:cs="Arial"/>
        </w:rPr>
        <w:t xml:space="preserve"> </w:t>
      </w:r>
      <w:r>
        <w:rPr>
          <w:rFonts w:cs="Arial"/>
        </w:rPr>
        <w:t xml:space="preserve">particular places </w:t>
      </w:r>
      <w:r w:rsidRPr="006576A3">
        <w:rPr>
          <w:rFonts w:cs="Arial"/>
        </w:rPr>
        <w:t>play</w:t>
      </w:r>
      <w:r>
        <w:rPr>
          <w:rFonts w:cs="Arial"/>
        </w:rPr>
        <w:t xml:space="preserve"> </w:t>
      </w:r>
      <w:r w:rsidRPr="006576A3">
        <w:rPr>
          <w:rFonts w:cs="Arial"/>
        </w:rPr>
        <w:t>an important part</w:t>
      </w:r>
      <w:r>
        <w:rPr>
          <w:rFonts w:cs="Arial"/>
        </w:rPr>
        <w:t xml:space="preserve"> in where people decide to live and work. </w:t>
      </w:r>
      <w:r w:rsidRPr="00035C11">
        <w:t>Attempts by governments to artificially create an advantage for a remote community</w:t>
      </w:r>
      <w:r>
        <w:t>,</w:t>
      </w:r>
      <w:r w:rsidRPr="00035C11">
        <w:t xml:space="preserve"> or attract people to live in high</w:t>
      </w:r>
      <w:r>
        <w:noBreakHyphen/>
      </w:r>
      <w:r w:rsidRPr="00035C11">
        <w:t>cost areas through tax concessions typically result in net losses to the broader Australian community.</w:t>
      </w:r>
      <w:r>
        <w:t xml:space="preserve"> </w:t>
      </w:r>
    </w:p>
    <w:p w14:paraId="669B05A2" w14:textId="77777777" w:rsidR="00E03974" w:rsidRDefault="00E03974" w:rsidP="00C3543F">
      <w:pPr>
        <w:pStyle w:val="Finding"/>
        <w:spacing w:after="240"/>
        <w:rPr>
          <w:rFonts w:cs="Arial"/>
        </w:rPr>
      </w:pPr>
      <w:r>
        <w:rPr>
          <w:rFonts w:cs="Arial"/>
        </w:rPr>
        <w:t xml:space="preserve">The Commission does not consider that either argument justifies maintaining the offset. </w:t>
      </w:r>
    </w:p>
    <w:p w14:paraId="46ABDA84" w14:textId="6B79989D" w:rsidR="00E95DD1" w:rsidRPr="00D96781" w:rsidRDefault="00E95DD1" w:rsidP="00C3543F">
      <w:pPr>
        <w:spacing w:after="240"/>
        <w:jc w:val="both"/>
        <w:rPr>
          <w:rFonts w:ascii="Arial" w:hAnsi="Arial" w:cs="Arial"/>
          <w:b/>
        </w:rPr>
      </w:pPr>
      <w:r>
        <w:rPr>
          <w:rFonts w:ascii="Arial" w:hAnsi="Arial" w:cs="Arial"/>
          <w:b/>
        </w:rPr>
        <w:t>What is the Commission proposing?</w:t>
      </w:r>
    </w:p>
    <w:p w14:paraId="5353A73E" w14:textId="6FE95FD8" w:rsidR="00E03974" w:rsidRDefault="00E03974" w:rsidP="00C3543F">
      <w:pPr>
        <w:jc w:val="both"/>
        <w:rPr>
          <w:rFonts w:ascii="Arial" w:hAnsi="Arial" w:cs="Arial"/>
        </w:rPr>
      </w:pPr>
      <w:r>
        <w:rPr>
          <w:rFonts w:ascii="Arial" w:hAnsi="Arial" w:cs="Arial"/>
        </w:rPr>
        <w:t>As it stands the ZTO is ineffective and poorly targeted, and the Commission does not consider that there is a compelling, contemporary justification for it to continue.</w:t>
      </w:r>
    </w:p>
    <w:p w14:paraId="4B43DAE7" w14:textId="2D785BA7" w:rsidR="00E03974" w:rsidRDefault="00E03974" w:rsidP="00C3543F">
      <w:pPr>
        <w:jc w:val="both"/>
        <w:rPr>
          <w:rFonts w:ascii="Arial" w:hAnsi="Arial" w:cs="Arial"/>
        </w:rPr>
      </w:pPr>
      <w:r>
        <w:rPr>
          <w:rFonts w:ascii="Arial" w:hAnsi="Arial" w:cs="Arial"/>
        </w:rPr>
        <w:t>The ZTO should be abolished. In most cases</w:t>
      </w:r>
      <w:r w:rsidR="008A33B0">
        <w:rPr>
          <w:rFonts w:ascii="Arial" w:hAnsi="Arial" w:cs="Arial"/>
        </w:rPr>
        <w:t>,</w:t>
      </w:r>
      <w:r>
        <w:rPr>
          <w:rFonts w:ascii="Arial" w:hAnsi="Arial" w:cs="Arial"/>
        </w:rPr>
        <w:t xml:space="preserve"> this is likely to have a small </w:t>
      </w:r>
      <w:proofErr w:type="spellStart"/>
      <w:r>
        <w:rPr>
          <w:rFonts w:ascii="Arial" w:hAnsi="Arial" w:cs="Arial"/>
        </w:rPr>
        <w:t>to</w:t>
      </w:r>
      <w:proofErr w:type="spellEnd"/>
      <w:r>
        <w:rPr>
          <w:rFonts w:ascii="Arial" w:hAnsi="Arial" w:cs="Arial"/>
        </w:rPr>
        <w:t xml:space="preserve"> modest impact.</w:t>
      </w:r>
    </w:p>
    <w:p w14:paraId="2FA50C61" w14:textId="77777777" w:rsidR="00AA0716" w:rsidRDefault="00AA0716" w:rsidP="00C3543F">
      <w:pPr>
        <w:spacing w:after="240"/>
        <w:jc w:val="both"/>
        <w:rPr>
          <w:rFonts w:ascii="Arial" w:hAnsi="Arial" w:cs="Arial"/>
          <w:b/>
        </w:rPr>
      </w:pPr>
      <w:r>
        <w:rPr>
          <w:rFonts w:ascii="Arial" w:hAnsi="Arial" w:cs="Arial"/>
          <w:b/>
        </w:rPr>
        <w:t>What next?</w:t>
      </w:r>
    </w:p>
    <w:p w14:paraId="68BB5821" w14:textId="7E5E795E" w:rsidR="00AA0716" w:rsidRPr="00C3543F" w:rsidRDefault="00AA0716" w:rsidP="00C3543F">
      <w:pPr>
        <w:spacing w:after="360"/>
        <w:jc w:val="both"/>
        <w:rPr>
          <w:rFonts w:ascii="Arial" w:hAnsi="Arial" w:cs="Arial"/>
        </w:rPr>
      </w:pPr>
      <w:r w:rsidRPr="00AF788A">
        <w:rPr>
          <w:rFonts w:ascii="Arial" w:hAnsi="Arial" w:cs="Arial"/>
        </w:rPr>
        <w:t xml:space="preserve">The Productivity Commission </w:t>
      </w:r>
      <w:r>
        <w:rPr>
          <w:rFonts w:ascii="Arial" w:hAnsi="Arial" w:cs="Arial"/>
        </w:rPr>
        <w:t xml:space="preserve">welcomes </w:t>
      </w:r>
      <w:r w:rsidRPr="00AF788A">
        <w:rPr>
          <w:rFonts w:ascii="Arial" w:hAnsi="Arial" w:cs="Arial"/>
        </w:rPr>
        <w:t xml:space="preserve">feedback on </w:t>
      </w:r>
      <w:r>
        <w:rPr>
          <w:rFonts w:ascii="Arial" w:hAnsi="Arial" w:cs="Arial"/>
        </w:rPr>
        <w:t>thi</w:t>
      </w:r>
      <w:r w:rsidRPr="00AF788A">
        <w:rPr>
          <w:rFonts w:ascii="Arial" w:hAnsi="Arial" w:cs="Arial"/>
        </w:rPr>
        <w:t>s draft report. You are welcome to make a</w:t>
      </w:r>
      <w:r>
        <w:rPr>
          <w:rFonts w:ascii="Arial" w:hAnsi="Arial" w:cs="Arial"/>
        </w:rPr>
        <w:t xml:space="preserve"> </w:t>
      </w:r>
      <w:r w:rsidRPr="00AF788A">
        <w:rPr>
          <w:rFonts w:ascii="Arial" w:hAnsi="Arial" w:cs="Arial"/>
        </w:rPr>
        <w:t xml:space="preserve">written submission to the Commission by </w:t>
      </w:r>
      <w:r w:rsidR="00B211E7" w:rsidRPr="00B211E7">
        <w:rPr>
          <w:rFonts w:ascii="Arial" w:hAnsi="Arial" w:cs="Arial"/>
        </w:rPr>
        <w:t>Friday 11 October</w:t>
      </w:r>
      <w:r w:rsidRPr="00AF788A">
        <w:rPr>
          <w:rFonts w:ascii="Arial" w:hAnsi="Arial" w:cs="Arial"/>
        </w:rPr>
        <w:t>. Alternatively</w:t>
      </w:r>
      <w:r>
        <w:rPr>
          <w:rFonts w:ascii="Arial" w:hAnsi="Arial" w:cs="Arial"/>
        </w:rPr>
        <w:t>,</w:t>
      </w:r>
      <w:r w:rsidRPr="00AF788A">
        <w:rPr>
          <w:rFonts w:ascii="Arial" w:hAnsi="Arial" w:cs="Arial"/>
        </w:rPr>
        <w:t xml:space="preserve"> you can leave a brief comment.</w:t>
      </w:r>
      <w:r w:rsidR="007B3BA5" w:rsidRPr="007B3BA5">
        <w:rPr>
          <w:rFonts w:ascii="Arial" w:hAnsi="Arial" w:cs="Arial"/>
        </w:rPr>
        <w:t xml:space="preserve"> </w:t>
      </w:r>
      <w:r>
        <w:rPr>
          <w:rFonts w:ascii="Arial" w:hAnsi="Arial" w:cs="Arial"/>
        </w:rPr>
        <w:t>The draft report and i</w:t>
      </w:r>
      <w:r w:rsidRPr="00AF788A">
        <w:rPr>
          <w:rFonts w:ascii="Arial" w:hAnsi="Arial" w:cs="Arial"/>
        </w:rPr>
        <w:t xml:space="preserve">nformation on </w:t>
      </w:r>
      <w:r>
        <w:rPr>
          <w:rFonts w:ascii="Arial" w:hAnsi="Arial" w:cs="Arial"/>
        </w:rPr>
        <w:t xml:space="preserve">how to submit </w:t>
      </w:r>
      <w:r w:rsidRPr="00AF788A">
        <w:rPr>
          <w:rFonts w:ascii="Arial" w:hAnsi="Arial" w:cs="Arial"/>
        </w:rPr>
        <w:t>submission</w:t>
      </w:r>
      <w:r>
        <w:rPr>
          <w:rFonts w:ascii="Arial" w:hAnsi="Arial" w:cs="Arial"/>
        </w:rPr>
        <w:t>s</w:t>
      </w:r>
      <w:r w:rsidRPr="00AF788A">
        <w:rPr>
          <w:rFonts w:ascii="Arial" w:hAnsi="Arial" w:cs="Arial"/>
        </w:rPr>
        <w:t xml:space="preserve"> and </w:t>
      </w:r>
      <w:r>
        <w:rPr>
          <w:rFonts w:ascii="Arial" w:hAnsi="Arial" w:cs="Arial"/>
        </w:rPr>
        <w:t>brief comments</w:t>
      </w:r>
      <w:r w:rsidRPr="00AF788A">
        <w:rPr>
          <w:rFonts w:ascii="Arial" w:hAnsi="Arial" w:cs="Arial"/>
        </w:rPr>
        <w:t xml:space="preserve"> is </w:t>
      </w:r>
      <w:r w:rsidR="00E03974" w:rsidRPr="00AF788A">
        <w:rPr>
          <w:rFonts w:ascii="Arial" w:hAnsi="Arial" w:cs="Arial"/>
        </w:rPr>
        <w:t xml:space="preserve">available </w:t>
      </w:r>
      <w:r w:rsidRPr="00AF788A">
        <w:rPr>
          <w:rFonts w:ascii="Arial" w:hAnsi="Arial" w:cs="Arial"/>
        </w:rPr>
        <w:t xml:space="preserve">on the </w:t>
      </w:r>
      <w:r>
        <w:rPr>
          <w:rFonts w:ascii="Arial" w:hAnsi="Arial" w:cs="Arial"/>
        </w:rPr>
        <w:t>study’s</w:t>
      </w:r>
      <w:r w:rsidRPr="00AF788A">
        <w:rPr>
          <w:rFonts w:ascii="Arial" w:hAnsi="Arial" w:cs="Arial"/>
        </w:rPr>
        <w:t xml:space="preserve"> </w:t>
      </w:r>
      <w:r w:rsidRPr="00C3543F">
        <w:rPr>
          <w:rFonts w:ascii="Arial" w:hAnsi="Arial" w:cs="Arial"/>
        </w:rPr>
        <w:t xml:space="preserve">website: </w:t>
      </w:r>
      <w:hyperlink r:id="rId8" w:history="1">
        <w:r w:rsidR="00C3543F" w:rsidRPr="00C3543F">
          <w:rPr>
            <w:rStyle w:val="Hyperlink"/>
            <w:rFonts w:ascii="Arial" w:hAnsi="Arial" w:cs="Arial"/>
            <w:color w:val="auto"/>
          </w:rPr>
          <w:t>www.pc.gov.au/remote-tax</w:t>
        </w:r>
      </w:hyperlink>
      <w:r w:rsidRPr="00C3543F">
        <w:rPr>
          <w:rFonts w:ascii="Arial" w:hAnsi="Arial" w:cs="Arial"/>
        </w:rPr>
        <w:t>.</w:t>
      </w:r>
    </w:p>
    <w:p w14:paraId="0ACDCFB9" w14:textId="0203253D" w:rsidR="00BF738A" w:rsidRPr="00BF738A" w:rsidRDefault="00621DBC" w:rsidP="00C3543F">
      <w:pPr>
        <w:spacing w:after="240"/>
        <w:jc w:val="center"/>
        <w:rPr>
          <w:rFonts w:ascii="Arial" w:hAnsi="Arial" w:cs="Arial"/>
        </w:rPr>
      </w:pPr>
      <w:bookmarkStart w:id="0" w:name="_GoBack"/>
      <w:bookmarkEnd w:id="0"/>
      <w:r>
        <w:rPr>
          <w:rFonts w:ascii="Arial" w:hAnsi="Arial" w:cs="Arial"/>
        </w:rPr>
        <w:t xml:space="preserve"> </w:t>
      </w:r>
      <w:r w:rsidR="006A10C4">
        <w:rPr>
          <w:rFonts w:ascii="Arial" w:hAnsi="Arial" w:cs="Arial"/>
        </w:rPr>
        <w:t>[EN</w:t>
      </w:r>
      <w:r w:rsidR="00DA058F">
        <w:rPr>
          <w:rFonts w:ascii="Arial" w:hAnsi="Arial" w:cs="Arial"/>
        </w:rPr>
        <w:t>D]</w:t>
      </w:r>
    </w:p>
    <w:sectPr w:rsidR="00BF738A" w:rsidRPr="00BF738A" w:rsidSect="006A10C4">
      <w:headerReference w:type="even" r:id="rId9"/>
      <w:headerReference w:type="default" r:id="rId10"/>
      <w:footerReference w:type="even" r:id="rId11"/>
      <w:footerReference w:type="default" r:id="rId12"/>
      <w:headerReference w:type="first" r:id="rId13"/>
      <w:footerReference w:type="first" r:id="rId14"/>
      <w:pgSz w:w="11906" w:h="16838"/>
      <w:pgMar w:top="2693" w:right="1134" w:bottom="1701"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6CFA0" w14:textId="77777777" w:rsidR="008D3BC3" w:rsidRDefault="008D3BC3" w:rsidP="00BF738A">
      <w:pPr>
        <w:spacing w:after="0" w:line="240" w:lineRule="auto"/>
      </w:pPr>
      <w:r>
        <w:separator/>
      </w:r>
    </w:p>
  </w:endnote>
  <w:endnote w:type="continuationSeparator" w:id="0">
    <w:p w14:paraId="70D34F18" w14:textId="77777777" w:rsidR="008D3BC3" w:rsidRDefault="008D3BC3" w:rsidP="00BF738A">
      <w:pPr>
        <w:spacing w:after="0" w:line="240" w:lineRule="auto"/>
      </w:pPr>
      <w:r>
        <w:continuationSeparator/>
      </w:r>
    </w:p>
  </w:endnote>
  <w:endnote w:type="continuationNotice" w:id="1">
    <w:p w14:paraId="6FBB6634" w14:textId="77777777" w:rsidR="008D3BC3" w:rsidRDefault="008D3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18DC2" w14:textId="77777777" w:rsidR="00B422BF" w:rsidRDefault="00B42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61CD" w14:textId="47AA1B24" w:rsidR="008D3BC3" w:rsidRPr="00FD6A55" w:rsidRDefault="00621DBC" w:rsidP="006A10C4">
    <w:pPr>
      <w:pStyle w:val="Footer"/>
      <w:jc w:val="center"/>
      <w:rPr>
        <w:rFonts w:ascii="Arial" w:hAnsi="Arial" w:cs="Arial"/>
        <w:sz w:val="18"/>
        <w:szCs w:val="18"/>
      </w:rPr>
    </w:pPr>
    <w:sdt>
      <w:sdtPr>
        <w:id w:val="-461965784"/>
        <w:docPartObj>
          <w:docPartGallery w:val="Page Numbers (Bottom of Page)"/>
          <w:docPartUnique/>
        </w:docPartObj>
      </w:sdtPr>
      <w:sdtEndPr>
        <w:rPr>
          <w:rFonts w:ascii="Arial" w:hAnsi="Arial" w:cs="Arial"/>
          <w:noProof/>
          <w:sz w:val="18"/>
          <w:szCs w:val="18"/>
        </w:rPr>
      </w:sdtEndPr>
      <w:sdtContent>
        <w:r w:rsidR="008D3BC3" w:rsidRPr="00FD6A55">
          <w:rPr>
            <w:rFonts w:ascii="Arial" w:eastAsia="Times New Roman" w:hAnsi="Arial" w:cs="Arial"/>
            <w:noProof/>
            <w:kern w:val="16"/>
            <w:sz w:val="18"/>
            <w:szCs w:val="18"/>
            <w:lang w:eastAsia="en-AU"/>
          </w:rPr>
          <w:drawing>
            <wp:anchor distT="0" distB="0" distL="114300" distR="114300" simplePos="0" relativeHeight="251658240" behindDoc="1" locked="0" layoutInCell="1" allowOverlap="1" wp14:anchorId="3331E6B6" wp14:editId="0E7C1FB4">
              <wp:simplePos x="0" y="0"/>
              <wp:positionH relativeFrom="page">
                <wp:align>center</wp:align>
              </wp:positionH>
              <wp:positionV relativeFrom="page">
                <wp:align>bottom</wp:align>
              </wp:positionV>
              <wp:extent cx="7560000" cy="9612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28A0092B-C50C-407E-A947-70E740481C1C}">
                            <a14:useLocalDpi xmlns:a14="http://schemas.microsoft.com/office/drawing/2010/main" val="0"/>
                          </a:ext>
                        </a:extLst>
                      </a:blip>
                      <a:srcRect t="20472"/>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BC3" w:rsidRPr="00FD6A55">
          <w:rPr>
            <w:rFonts w:ascii="Arial" w:hAnsi="Arial" w:cs="Arial"/>
            <w:sz w:val="18"/>
            <w:szCs w:val="18"/>
          </w:rPr>
          <w:fldChar w:fldCharType="begin"/>
        </w:r>
        <w:r w:rsidR="008D3BC3" w:rsidRPr="00FD6A55">
          <w:rPr>
            <w:rFonts w:ascii="Arial" w:hAnsi="Arial" w:cs="Arial"/>
            <w:sz w:val="18"/>
            <w:szCs w:val="18"/>
          </w:rPr>
          <w:instrText xml:space="preserve"> PAGE   \* MERGEFORMAT </w:instrText>
        </w:r>
        <w:r w:rsidR="008D3BC3" w:rsidRPr="00FD6A55">
          <w:rPr>
            <w:rFonts w:ascii="Arial" w:hAnsi="Arial" w:cs="Arial"/>
            <w:sz w:val="18"/>
            <w:szCs w:val="18"/>
          </w:rPr>
          <w:fldChar w:fldCharType="separate"/>
        </w:r>
        <w:r>
          <w:rPr>
            <w:rFonts w:ascii="Arial" w:hAnsi="Arial" w:cs="Arial"/>
            <w:noProof/>
            <w:sz w:val="18"/>
            <w:szCs w:val="18"/>
          </w:rPr>
          <w:t>2</w:t>
        </w:r>
        <w:r w:rsidR="008D3BC3" w:rsidRPr="00FD6A55">
          <w:rPr>
            <w:rFonts w:ascii="Arial" w:hAnsi="Arial" w:cs="Arial"/>
            <w:noProof/>
            <w:sz w:val="18"/>
            <w:szCs w:val="18"/>
          </w:rPr>
          <w:fldChar w:fldCharType="end"/>
        </w:r>
      </w:sdtContent>
    </w:sdt>
    <w:r w:rsidR="00C01727">
      <w:rPr>
        <w:rFonts w:ascii="Arial" w:hAnsi="Arial" w:cs="Arial"/>
        <w:noProof/>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B88F" w14:textId="77777777" w:rsidR="00B422BF" w:rsidRDefault="00B42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70990" w14:textId="77777777" w:rsidR="008D3BC3" w:rsidRDefault="008D3BC3" w:rsidP="00BF738A">
      <w:pPr>
        <w:spacing w:after="0" w:line="240" w:lineRule="auto"/>
      </w:pPr>
      <w:r>
        <w:separator/>
      </w:r>
    </w:p>
  </w:footnote>
  <w:footnote w:type="continuationSeparator" w:id="0">
    <w:p w14:paraId="0098A797" w14:textId="77777777" w:rsidR="008D3BC3" w:rsidRDefault="008D3BC3" w:rsidP="00BF738A">
      <w:pPr>
        <w:spacing w:after="0" w:line="240" w:lineRule="auto"/>
      </w:pPr>
      <w:r>
        <w:continuationSeparator/>
      </w:r>
    </w:p>
  </w:footnote>
  <w:footnote w:type="continuationNotice" w:id="1">
    <w:p w14:paraId="77F503EA" w14:textId="77777777" w:rsidR="008D3BC3" w:rsidRDefault="008D3B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6E6F0" w14:textId="77777777" w:rsidR="00B422BF" w:rsidRDefault="00B42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7A04" w14:textId="0C1692EF" w:rsidR="008D3BC3" w:rsidRPr="002A300B" w:rsidRDefault="008D3BC3" w:rsidP="00BF738A">
    <w:pPr>
      <w:spacing w:before="120" w:after="0" w:line="240" w:lineRule="auto"/>
      <w:ind w:right="-46"/>
      <w:jc w:val="right"/>
      <w:rPr>
        <w:rFonts w:ascii="Verdana" w:eastAsia="Times New Roman" w:hAnsi="Verdana" w:cs="Arial"/>
        <w:b/>
        <w:color w:val="FFFFFF" w:themeColor="background1"/>
        <w:sz w:val="28"/>
        <w:szCs w:val="28"/>
        <w:lang w:eastAsia="en-AU"/>
      </w:rPr>
    </w:pPr>
    <w:r>
      <w:rPr>
        <w:rFonts w:ascii="Verdana" w:eastAsia="Times New Roman" w:hAnsi="Verdana" w:cs="Arial"/>
        <w:b/>
        <w:noProof/>
        <w:color w:val="FFFFFF" w:themeColor="background1"/>
        <w:sz w:val="28"/>
        <w:szCs w:val="28"/>
        <w:lang w:eastAsia="en-AU"/>
      </w:rPr>
      <w:drawing>
        <wp:anchor distT="0" distB="0" distL="114300" distR="114300" simplePos="0" relativeHeight="251657728" behindDoc="1" locked="0" layoutInCell="1" allowOverlap="1" wp14:anchorId="10B62056" wp14:editId="259DCEA6">
          <wp:simplePos x="752475" y="523875"/>
          <wp:positionH relativeFrom="page">
            <wp:align>center</wp:align>
          </wp:positionH>
          <wp:positionV relativeFrom="page">
            <wp:posOffset>-9525</wp:posOffset>
          </wp:positionV>
          <wp:extent cx="7561921" cy="15811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7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noProof/>
        <w:color w:val="FFFFFF" w:themeColor="background1"/>
        <w:sz w:val="28"/>
        <w:szCs w:val="28"/>
        <w:lang w:eastAsia="en-AU"/>
      </w:rPr>
      <w:t xml:space="preserve">FACT SHEET </w:t>
    </w:r>
    <w:r w:rsidR="00345E0E">
      <w:rPr>
        <w:rFonts w:ascii="Verdana" w:eastAsia="Times New Roman" w:hAnsi="Verdana" w:cs="Arial"/>
        <w:b/>
        <w:noProof/>
        <w:color w:val="FFFFFF" w:themeColor="background1"/>
        <w:sz w:val="28"/>
        <w:szCs w:val="28"/>
        <w:lang w:eastAsia="en-AU"/>
      </w:rPr>
      <w:t>1</w:t>
    </w:r>
  </w:p>
  <w:p w14:paraId="295B3A28" w14:textId="77777777" w:rsidR="009055AF" w:rsidRPr="00057037" w:rsidRDefault="009055AF" w:rsidP="009055AF">
    <w:pPr>
      <w:spacing w:before="200" w:after="0" w:line="240" w:lineRule="auto"/>
      <w:ind w:right="-46"/>
      <w:jc w:val="right"/>
      <w:rPr>
        <w:rFonts w:ascii="Verdana" w:eastAsia="Times New Roman" w:hAnsi="Verdana" w:cs="Arial"/>
        <w:b/>
        <w:color w:val="FFFFFF" w:themeColor="background1"/>
        <w:spacing w:val="-6"/>
        <w:lang w:eastAsia="en-AU"/>
      </w:rPr>
    </w:pPr>
    <w:r w:rsidRPr="00057037">
      <w:rPr>
        <w:rFonts w:ascii="Verdana" w:eastAsia="Times New Roman" w:hAnsi="Verdana" w:cs="Arial"/>
        <w:b/>
        <w:color w:val="FFFFFF" w:themeColor="background1"/>
        <w:spacing w:val="-6"/>
        <w:lang w:eastAsia="en-AU"/>
      </w:rPr>
      <w:t>For immediate release</w:t>
    </w:r>
  </w:p>
  <w:p w14:paraId="2BD2D637" w14:textId="77777777" w:rsidR="009055AF" w:rsidRPr="00057037" w:rsidRDefault="009055AF" w:rsidP="009055AF">
    <w:pPr>
      <w:spacing w:before="60" w:after="120" w:line="240" w:lineRule="auto"/>
      <w:ind w:right="-46"/>
      <w:jc w:val="right"/>
      <w:rPr>
        <w:rFonts w:ascii="Verdana" w:eastAsia="Times New Roman" w:hAnsi="Verdana" w:cs="Arial"/>
        <w:b/>
        <w:color w:val="FFFFFF" w:themeColor="background1"/>
        <w:spacing w:val="-6"/>
        <w:lang w:eastAsia="en-AU"/>
      </w:rPr>
    </w:pPr>
    <w:r>
      <w:rPr>
        <w:rFonts w:ascii="Verdana" w:eastAsia="Times New Roman" w:hAnsi="Verdana" w:cs="Arial"/>
        <w:b/>
        <w:color w:val="FFFFFF" w:themeColor="background1"/>
        <w:spacing w:val="-6"/>
        <w:lang w:eastAsia="en-AU"/>
      </w:rPr>
      <w:t>11:00</w:t>
    </w:r>
    <w:r w:rsidRPr="00057037">
      <w:rPr>
        <w:rFonts w:ascii="Verdana" w:eastAsia="Times New Roman" w:hAnsi="Verdana" w:cs="Arial"/>
        <w:b/>
        <w:color w:val="FFFFFF" w:themeColor="background1"/>
        <w:spacing w:val="-6"/>
        <w:lang w:eastAsia="en-AU"/>
      </w:rPr>
      <w:t xml:space="preserve"> am, </w:t>
    </w:r>
    <w:r>
      <w:rPr>
        <w:rFonts w:ascii="Verdana" w:eastAsia="Times New Roman" w:hAnsi="Verdana" w:cs="Arial"/>
        <w:b/>
        <w:color w:val="FFFFFF" w:themeColor="background1"/>
        <w:spacing w:val="-6"/>
        <w:lang w:eastAsia="en-AU"/>
      </w:rPr>
      <w:t>Wednesday 4 September 2019</w:t>
    </w:r>
  </w:p>
  <w:p w14:paraId="18C437CD" w14:textId="77777777" w:rsidR="008D3BC3" w:rsidRDefault="008D3BC3" w:rsidP="009055AF">
    <w:pPr>
      <w:spacing w:before="200" w:after="0" w:line="240" w:lineRule="auto"/>
      <w:ind w:right="-4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2B12" w14:textId="77777777" w:rsidR="00B422BF" w:rsidRDefault="00B42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25ACE3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23104FDC"/>
    <w:multiLevelType w:val="hybridMultilevel"/>
    <w:tmpl w:val="D5A84E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382D6E"/>
    <w:multiLevelType w:val="singleLevel"/>
    <w:tmpl w:val="315ABD1E"/>
    <w:lvl w:ilvl="0">
      <w:numFmt w:val="bullet"/>
      <w:pStyle w:val="ListBullet"/>
      <w:lvlText w:val=""/>
      <w:lvlJc w:val="left"/>
      <w:pPr>
        <w:tabs>
          <w:tab w:val="num" w:pos="7003"/>
        </w:tabs>
        <w:ind w:left="7003" w:hanging="340"/>
      </w:pPr>
      <w:rPr>
        <w:rFonts w:ascii="Symbol" w:hAnsi="Symbol" w:hint="default"/>
        <w:sz w:val="18"/>
      </w:rPr>
    </w:lvl>
  </w:abstractNum>
  <w:abstractNum w:abstractNumId="3" w15:restartNumberingAfterBreak="0">
    <w:nsid w:val="554E5AC8"/>
    <w:multiLevelType w:val="hybridMultilevel"/>
    <w:tmpl w:val="D5A84E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7C6BF0"/>
    <w:multiLevelType w:val="hybridMultilevel"/>
    <w:tmpl w:val="CE8A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9F"/>
    <w:rsid w:val="00057037"/>
    <w:rsid w:val="0008537F"/>
    <w:rsid w:val="0014425D"/>
    <w:rsid w:val="001735C8"/>
    <w:rsid w:val="00175EB6"/>
    <w:rsid w:val="001C0704"/>
    <w:rsid w:val="001D564B"/>
    <w:rsid w:val="001F6EF7"/>
    <w:rsid w:val="00281819"/>
    <w:rsid w:val="002D509F"/>
    <w:rsid w:val="00345E0E"/>
    <w:rsid w:val="0036313A"/>
    <w:rsid w:val="00383B94"/>
    <w:rsid w:val="003C10B7"/>
    <w:rsid w:val="00413AAB"/>
    <w:rsid w:val="004824FD"/>
    <w:rsid w:val="00487235"/>
    <w:rsid w:val="004C6A26"/>
    <w:rsid w:val="005042E7"/>
    <w:rsid w:val="00527A0C"/>
    <w:rsid w:val="005F73A7"/>
    <w:rsid w:val="0060432D"/>
    <w:rsid w:val="00621DBC"/>
    <w:rsid w:val="0062206D"/>
    <w:rsid w:val="00623021"/>
    <w:rsid w:val="0063097F"/>
    <w:rsid w:val="006576A3"/>
    <w:rsid w:val="006A10C4"/>
    <w:rsid w:val="006B7D69"/>
    <w:rsid w:val="006D5090"/>
    <w:rsid w:val="006F1CF3"/>
    <w:rsid w:val="00747324"/>
    <w:rsid w:val="00764F06"/>
    <w:rsid w:val="007850E3"/>
    <w:rsid w:val="007B3BA5"/>
    <w:rsid w:val="0082302F"/>
    <w:rsid w:val="00834974"/>
    <w:rsid w:val="008369FA"/>
    <w:rsid w:val="008A33B0"/>
    <w:rsid w:val="008B059F"/>
    <w:rsid w:val="008D3BC3"/>
    <w:rsid w:val="009055AF"/>
    <w:rsid w:val="00914A0A"/>
    <w:rsid w:val="00920411"/>
    <w:rsid w:val="00953EF4"/>
    <w:rsid w:val="00966954"/>
    <w:rsid w:val="009F696C"/>
    <w:rsid w:val="00AA0716"/>
    <w:rsid w:val="00AD1533"/>
    <w:rsid w:val="00AF5C1A"/>
    <w:rsid w:val="00B211E7"/>
    <w:rsid w:val="00B422BF"/>
    <w:rsid w:val="00BF738A"/>
    <w:rsid w:val="00C01727"/>
    <w:rsid w:val="00C1362C"/>
    <w:rsid w:val="00C32F80"/>
    <w:rsid w:val="00C3543F"/>
    <w:rsid w:val="00C40EB7"/>
    <w:rsid w:val="00C63A5F"/>
    <w:rsid w:val="00C834E3"/>
    <w:rsid w:val="00CB6305"/>
    <w:rsid w:val="00D6054A"/>
    <w:rsid w:val="00DA058F"/>
    <w:rsid w:val="00DA08DE"/>
    <w:rsid w:val="00DB5558"/>
    <w:rsid w:val="00DE04D6"/>
    <w:rsid w:val="00E03974"/>
    <w:rsid w:val="00E208ED"/>
    <w:rsid w:val="00E5170A"/>
    <w:rsid w:val="00E95DD1"/>
    <w:rsid w:val="00EF07C4"/>
    <w:rsid w:val="00F25489"/>
    <w:rsid w:val="00F8143F"/>
    <w:rsid w:val="00F8205E"/>
    <w:rsid w:val="00F97681"/>
    <w:rsid w:val="00FC116E"/>
    <w:rsid w:val="00FD6A55"/>
    <w:rsid w:val="00FE1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666187"/>
  <w15:docId w15:val="{C434A3CF-3991-4EBC-B949-5A99FA7E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paragraph" w:styleId="BodyText">
    <w:name w:val="Body Text"/>
    <w:basedOn w:val="Normal"/>
    <w:link w:val="BodyTextChar"/>
    <w:uiPriority w:val="99"/>
    <w:unhideWhenUsed/>
    <w:rsid w:val="00413AAB"/>
    <w:pPr>
      <w:spacing w:after="120"/>
    </w:pPr>
  </w:style>
  <w:style w:type="character" w:customStyle="1" w:styleId="BodyTextChar">
    <w:name w:val="Body Text Char"/>
    <w:basedOn w:val="DefaultParagraphFont"/>
    <w:link w:val="BodyText"/>
    <w:uiPriority w:val="99"/>
    <w:rsid w:val="00413AAB"/>
  </w:style>
  <w:style w:type="paragraph" w:styleId="ListBullet">
    <w:name w:val="List Bullet"/>
    <w:basedOn w:val="BodyText"/>
    <w:rsid w:val="00413AAB"/>
    <w:pPr>
      <w:numPr>
        <w:numId w:val="1"/>
      </w:numPr>
      <w:tabs>
        <w:tab w:val="clear" w:pos="7003"/>
        <w:tab w:val="num" w:pos="340"/>
      </w:tabs>
      <w:spacing w:before="120" w:after="0" w:line="300" w:lineRule="atLeast"/>
      <w:ind w:left="340"/>
      <w:jc w:val="both"/>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13AAB"/>
    <w:pPr>
      <w:ind w:left="720"/>
      <w:contextualSpacing/>
    </w:pPr>
  </w:style>
  <w:style w:type="paragraph" w:styleId="ListBullet3">
    <w:name w:val="List Bullet 3"/>
    <w:basedOn w:val="Normal"/>
    <w:uiPriority w:val="99"/>
    <w:unhideWhenUsed/>
    <w:rsid w:val="00F8143F"/>
    <w:pPr>
      <w:numPr>
        <w:numId w:val="4"/>
      </w:numPr>
      <w:contextualSpacing/>
    </w:pPr>
  </w:style>
  <w:style w:type="character" w:styleId="CommentReference">
    <w:name w:val="annotation reference"/>
    <w:basedOn w:val="DefaultParagraphFont"/>
    <w:uiPriority w:val="99"/>
    <w:semiHidden/>
    <w:unhideWhenUsed/>
    <w:rsid w:val="00747324"/>
    <w:rPr>
      <w:sz w:val="16"/>
      <w:szCs w:val="16"/>
    </w:rPr>
  </w:style>
  <w:style w:type="paragraph" w:styleId="CommentText">
    <w:name w:val="annotation text"/>
    <w:basedOn w:val="Normal"/>
    <w:link w:val="CommentTextChar"/>
    <w:uiPriority w:val="99"/>
    <w:semiHidden/>
    <w:unhideWhenUsed/>
    <w:rsid w:val="00747324"/>
    <w:pPr>
      <w:spacing w:line="240" w:lineRule="auto"/>
    </w:pPr>
    <w:rPr>
      <w:sz w:val="20"/>
      <w:szCs w:val="20"/>
    </w:rPr>
  </w:style>
  <w:style w:type="character" w:customStyle="1" w:styleId="CommentTextChar">
    <w:name w:val="Comment Text Char"/>
    <w:basedOn w:val="DefaultParagraphFont"/>
    <w:link w:val="CommentText"/>
    <w:uiPriority w:val="99"/>
    <w:semiHidden/>
    <w:rsid w:val="00747324"/>
    <w:rPr>
      <w:sz w:val="20"/>
      <w:szCs w:val="20"/>
    </w:rPr>
  </w:style>
  <w:style w:type="paragraph" w:styleId="CommentSubject">
    <w:name w:val="annotation subject"/>
    <w:basedOn w:val="CommentText"/>
    <w:next w:val="CommentText"/>
    <w:link w:val="CommentSubjectChar"/>
    <w:uiPriority w:val="99"/>
    <w:semiHidden/>
    <w:unhideWhenUsed/>
    <w:rsid w:val="00747324"/>
    <w:rPr>
      <w:b/>
      <w:bCs/>
    </w:rPr>
  </w:style>
  <w:style w:type="character" w:customStyle="1" w:styleId="CommentSubjectChar">
    <w:name w:val="Comment Subject Char"/>
    <w:basedOn w:val="CommentTextChar"/>
    <w:link w:val="CommentSubject"/>
    <w:uiPriority w:val="99"/>
    <w:semiHidden/>
    <w:rsid w:val="00747324"/>
    <w:rPr>
      <w:b/>
      <w:bCs/>
      <w:sz w:val="20"/>
      <w:szCs w:val="20"/>
    </w:rPr>
  </w:style>
  <w:style w:type="paragraph" w:customStyle="1" w:styleId="Finding">
    <w:name w:val="Finding"/>
    <w:basedOn w:val="BodyText"/>
    <w:rsid w:val="00527A0C"/>
    <w:pPr>
      <w:keepLines/>
      <w:spacing w:before="120" w:after="0" w:line="280" w:lineRule="atLeast"/>
      <w:jc w:val="both"/>
    </w:pPr>
    <w:rPr>
      <w:rFonts w:ascii="Arial" w:eastAsia="Times New Roman" w:hAnsi="Arial" w:cs="Times New Roman"/>
      <w:szCs w:val="20"/>
      <w:lang w:eastAsia="en-AU"/>
    </w:rPr>
  </w:style>
  <w:style w:type="paragraph" w:styleId="Revision">
    <w:name w:val="Revision"/>
    <w:hidden/>
    <w:uiPriority w:val="99"/>
    <w:semiHidden/>
    <w:rsid w:val="00CB6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gov.au/remote-ta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fact-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fact-sheet.dotm</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Factsheet 1: Zone Tax Offset - Remote Area Tax Concessions and Payments - Draft report</vt:lpstr>
    </vt:vector>
  </TitlesOfParts>
  <Company>Productivity Commission</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1: Zone Tax Offset - Remote Area Tax Concessions and Payments - Draft report</dc:title>
  <dc:creator>Productivity Commission</dc:creator>
  <cp:keywords/>
  <cp:lastModifiedBy>Productivity Commission</cp:lastModifiedBy>
  <cp:revision>3</cp:revision>
  <dcterms:created xsi:type="dcterms:W3CDTF">2019-09-02T23:49:00Z</dcterms:created>
  <dcterms:modified xsi:type="dcterms:W3CDTF">2019-09-03T05:33:00Z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0x0101007916246811615643A710C6FEAFF56A87110100EEFE548D9549EA4098E3A65339C068F30065628CA702C4A9498192B848A2807D7E</vt:lpwstr>
  </property>
  <property fmtid="{D5CDD505-2E9C-101B-9397-08002B2CF9AE}" pid="3" name="TaxKeyword">
    <vt:lpwstr/>
  </property>
  <property fmtid="{D5CDD505-2E9C-101B-9397-08002B2CF9AE}" pid="4" name="Record Tag">
    <vt:lpwstr>24;#Draft Report|84e4af37-8871-4c42-ad2f-98d46afe06b0</vt:lpwstr>
  </property>
  <property fmtid="{D5CDD505-2E9C-101B-9397-08002B2CF9AE}" pid="5" name="_dlc_DocId">
    <vt:lpwstr>PCDOC-1960081224-62</vt:lpwstr>
  </property>
  <property fmtid="{D5CDD505-2E9C-101B-9397-08002B2CF9AE}" pid="6" name="_dlc_DocIdUrl">
    <vt:lpwstr>http://inet.pc.gov.au/pmo/inq/taxoffsets/_layouts/15/DocIdRedir.aspx?ID=PCDOC-1960081224-62, PCDOC-1960081224-62</vt:lpwstr>
  </property>
  <property fmtid="{D5CDD505-2E9C-101B-9397-08002B2CF9AE}" pid="7" name="_dlc_DocIdItemGuid">
    <vt:lpwstr>023398bb-f0d4-48c0-974f-fafb5a672863</vt:lpwstr>
  </property>
</Properties>
</file>