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637891" w14:textId="637564DC" w:rsidR="006A10C4" w:rsidRPr="006A10C4" w:rsidRDefault="009A5EA5" w:rsidP="00BF738A">
      <w:pPr>
        <w:spacing w:after="240"/>
        <w:jc w:val="center"/>
        <w:rPr>
          <w:rFonts w:ascii="Arial" w:hAnsi="Arial" w:cs="Arial"/>
          <w:caps/>
        </w:rPr>
      </w:pPr>
      <w:r>
        <w:rPr>
          <w:rFonts w:ascii="Arial" w:hAnsi="Arial" w:cs="Arial"/>
          <w:caps/>
        </w:rPr>
        <w:t>Remote area tax concessions and payments</w:t>
      </w:r>
      <w:r w:rsidR="00836C98">
        <w:rPr>
          <w:rFonts w:ascii="Arial" w:hAnsi="Arial" w:cs="Arial"/>
          <w:caps/>
        </w:rPr>
        <w:t xml:space="preserve"> </w:t>
      </w:r>
      <w:r w:rsidR="00F25DB8">
        <w:rPr>
          <w:rFonts w:ascii="Arial" w:hAnsi="Arial" w:cs="Arial"/>
          <w:caps/>
        </w:rPr>
        <w:t xml:space="preserve">— </w:t>
      </w:r>
      <w:r w:rsidR="00836C98">
        <w:rPr>
          <w:rFonts w:ascii="Arial" w:hAnsi="Arial" w:cs="Arial"/>
          <w:caps/>
        </w:rPr>
        <w:t>draft report</w:t>
      </w:r>
    </w:p>
    <w:p w14:paraId="5C152E29" w14:textId="3B91ACC2" w:rsidR="00BF738A" w:rsidRPr="00C1066A" w:rsidRDefault="00C82E2B" w:rsidP="00BF738A">
      <w:pPr>
        <w:spacing w:after="240"/>
        <w:jc w:val="center"/>
        <w:rPr>
          <w:rFonts w:ascii="Arial" w:hAnsi="Arial" w:cs="Arial"/>
          <w:b/>
          <w:caps/>
          <w:sz w:val="28"/>
          <w:szCs w:val="28"/>
        </w:rPr>
      </w:pPr>
      <w:r w:rsidRPr="00C1066A">
        <w:rPr>
          <w:rFonts w:ascii="Arial" w:hAnsi="Arial" w:cs="Arial"/>
          <w:b/>
          <w:caps/>
          <w:sz w:val="28"/>
          <w:szCs w:val="28"/>
        </w:rPr>
        <w:t>Fringe Benefits Tax remote area concessions</w:t>
      </w:r>
    </w:p>
    <w:p w14:paraId="37B0F1A5" w14:textId="331A3356" w:rsidR="00AE7E54" w:rsidRDefault="001812CF" w:rsidP="00C1066A">
      <w:p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Under Australia’s </w:t>
      </w:r>
      <w:r w:rsidR="002363A4">
        <w:rPr>
          <w:rFonts w:ascii="Arial" w:hAnsi="Arial" w:cs="Arial"/>
        </w:rPr>
        <w:t>f</w:t>
      </w:r>
      <w:r>
        <w:rPr>
          <w:rFonts w:ascii="Arial" w:hAnsi="Arial" w:cs="Arial"/>
        </w:rPr>
        <w:t xml:space="preserve">ringe </w:t>
      </w:r>
      <w:r w:rsidR="002363A4">
        <w:rPr>
          <w:rFonts w:ascii="Arial" w:hAnsi="Arial" w:cs="Arial"/>
        </w:rPr>
        <w:t>b</w:t>
      </w:r>
      <w:r>
        <w:rPr>
          <w:rFonts w:ascii="Arial" w:hAnsi="Arial" w:cs="Arial"/>
        </w:rPr>
        <w:t xml:space="preserve">enefits </w:t>
      </w:r>
      <w:r w:rsidR="002363A4">
        <w:rPr>
          <w:rFonts w:ascii="Arial" w:hAnsi="Arial" w:cs="Arial"/>
        </w:rPr>
        <w:t>t</w:t>
      </w:r>
      <w:r>
        <w:rPr>
          <w:rFonts w:ascii="Arial" w:hAnsi="Arial" w:cs="Arial"/>
        </w:rPr>
        <w:t>ax (FBT) regime, employers may claim tax concessions for some goods</w:t>
      </w:r>
      <w:r w:rsidR="00B92249">
        <w:rPr>
          <w:rFonts w:ascii="Arial" w:hAnsi="Arial" w:cs="Arial"/>
        </w:rPr>
        <w:t>,</w:t>
      </w:r>
      <w:r w:rsidDel="00B9224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services</w:t>
      </w:r>
      <w:r w:rsidR="00B92249">
        <w:rPr>
          <w:rFonts w:ascii="Arial" w:hAnsi="Arial" w:cs="Arial"/>
        </w:rPr>
        <w:t>, or financial assistance</w:t>
      </w:r>
      <w:r>
        <w:rPr>
          <w:rFonts w:ascii="Arial" w:hAnsi="Arial" w:cs="Arial"/>
        </w:rPr>
        <w:t xml:space="preserve"> provided to employees working in designated remote areas.</w:t>
      </w:r>
    </w:p>
    <w:p w14:paraId="5937DA52" w14:textId="14B8B10A" w:rsidR="00165D35" w:rsidRDefault="006A6307" w:rsidP="00C1066A">
      <w:p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These remote area tax concessions may </w:t>
      </w:r>
      <w:r w:rsidR="00801448">
        <w:rPr>
          <w:rFonts w:ascii="Arial" w:hAnsi="Arial" w:cs="Arial"/>
        </w:rPr>
        <w:t>apply to</w:t>
      </w:r>
      <w:r>
        <w:rPr>
          <w:rFonts w:ascii="Arial" w:hAnsi="Arial" w:cs="Arial"/>
        </w:rPr>
        <w:t>:</w:t>
      </w:r>
    </w:p>
    <w:p w14:paraId="69F15230" w14:textId="4DC8BA7F" w:rsidR="00901842" w:rsidRPr="00901842" w:rsidRDefault="00C96DF0" w:rsidP="00917779">
      <w:pPr>
        <w:pStyle w:val="ListParagraph"/>
        <w:numPr>
          <w:ilvl w:val="0"/>
          <w:numId w:val="3"/>
        </w:numPr>
        <w:spacing w:after="240"/>
        <w:ind w:left="714" w:hanging="357"/>
        <w:jc w:val="both"/>
        <w:rPr>
          <w:rFonts w:ascii="Arial" w:hAnsi="Arial" w:cs="Arial"/>
        </w:rPr>
      </w:pPr>
      <w:r w:rsidRPr="00901842">
        <w:rPr>
          <w:rFonts w:ascii="Arial" w:hAnsi="Arial" w:cs="Arial"/>
        </w:rPr>
        <w:t>housing provided by an employer as an employee’s usual place of residence</w:t>
      </w:r>
    </w:p>
    <w:p w14:paraId="73B85C83" w14:textId="6D90242D" w:rsidR="00901842" w:rsidRPr="00901842" w:rsidRDefault="00C96DF0" w:rsidP="00917779">
      <w:pPr>
        <w:pStyle w:val="ListParagraph"/>
        <w:numPr>
          <w:ilvl w:val="0"/>
          <w:numId w:val="3"/>
        </w:numPr>
        <w:spacing w:after="240"/>
        <w:ind w:left="714" w:hanging="357"/>
        <w:jc w:val="both"/>
        <w:rPr>
          <w:rFonts w:ascii="Arial" w:hAnsi="Arial" w:cs="Arial"/>
        </w:rPr>
      </w:pPr>
      <w:r w:rsidRPr="00901842">
        <w:rPr>
          <w:rFonts w:ascii="Arial" w:hAnsi="Arial" w:cs="Arial"/>
        </w:rPr>
        <w:t xml:space="preserve">financial assistance with </w:t>
      </w:r>
      <w:r w:rsidR="00165D35" w:rsidRPr="00901842">
        <w:rPr>
          <w:rFonts w:ascii="Arial" w:hAnsi="Arial" w:cs="Arial"/>
        </w:rPr>
        <w:t>h</w:t>
      </w:r>
      <w:r w:rsidR="00901842" w:rsidRPr="00901842">
        <w:rPr>
          <w:rFonts w:ascii="Arial" w:hAnsi="Arial" w:cs="Arial"/>
        </w:rPr>
        <w:t>ousing sourced by an employee</w:t>
      </w:r>
    </w:p>
    <w:p w14:paraId="5B4A5D80" w14:textId="44DCBAD4" w:rsidR="00901842" w:rsidRDefault="002E61C0" w:rsidP="00917779">
      <w:pPr>
        <w:pStyle w:val="ListParagraph"/>
        <w:numPr>
          <w:ilvl w:val="0"/>
          <w:numId w:val="3"/>
        </w:numPr>
        <w:spacing w:after="240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residential fuel</w:t>
      </w:r>
      <w:r w:rsidR="002049C8">
        <w:rPr>
          <w:rFonts w:ascii="Arial" w:hAnsi="Arial" w:cs="Arial"/>
        </w:rPr>
        <w:t>,</w:t>
      </w:r>
      <w:r w:rsidR="006F14F1">
        <w:rPr>
          <w:rFonts w:ascii="Arial" w:hAnsi="Arial" w:cs="Arial"/>
        </w:rPr>
        <w:t xml:space="preserve"> </w:t>
      </w:r>
      <w:r w:rsidR="002049C8">
        <w:rPr>
          <w:rFonts w:ascii="Arial" w:hAnsi="Arial" w:cs="Arial"/>
        </w:rPr>
        <w:t xml:space="preserve">for use </w:t>
      </w:r>
      <w:r w:rsidR="006F14F1">
        <w:rPr>
          <w:rFonts w:ascii="Arial" w:hAnsi="Arial" w:cs="Arial"/>
        </w:rPr>
        <w:t>in properties where the remote ar</w:t>
      </w:r>
      <w:r w:rsidR="002049C8">
        <w:rPr>
          <w:rFonts w:ascii="Arial" w:hAnsi="Arial" w:cs="Arial"/>
        </w:rPr>
        <w:t>ea housing concessions are used</w:t>
      </w:r>
    </w:p>
    <w:p w14:paraId="147D2F8B" w14:textId="5684B132" w:rsidR="002E61C0" w:rsidRDefault="002E61C0" w:rsidP="00917779">
      <w:pPr>
        <w:pStyle w:val="ListParagraph"/>
        <w:numPr>
          <w:ilvl w:val="0"/>
          <w:numId w:val="3"/>
        </w:numPr>
        <w:spacing w:after="240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meals for </w:t>
      </w:r>
      <w:r w:rsidR="006F14F1">
        <w:rPr>
          <w:rFonts w:ascii="Arial" w:hAnsi="Arial" w:cs="Arial"/>
        </w:rPr>
        <w:t>primary production employees</w:t>
      </w:r>
    </w:p>
    <w:p w14:paraId="4A4C465C" w14:textId="2386122B" w:rsidR="002E61C0" w:rsidRDefault="002E61C0" w:rsidP="00917779">
      <w:pPr>
        <w:pStyle w:val="ListParagraph"/>
        <w:numPr>
          <w:ilvl w:val="0"/>
          <w:numId w:val="3"/>
        </w:numPr>
        <w:spacing w:after="240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holiday transport</w:t>
      </w:r>
      <w:r w:rsidR="00D96B42">
        <w:rPr>
          <w:rFonts w:ascii="Arial" w:hAnsi="Arial" w:cs="Arial"/>
        </w:rPr>
        <w:t xml:space="preserve"> for employees</w:t>
      </w:r>
    </w:p>
    <w:p w14:paraId="1A20C38A" w14:textId="5D3892A6" w:rsidR="00932C48" w:rsidRPr="00932C48" w:rsidRDefault="006A6307" w:rsidP="00917779">
      <w:pPr>
        <w:pStyle w:val="ListParagraph"/>
        <w:numPr>
          <w:ilvl w:val="0"/>
          <w:numId w:val="3"/>
        </w:numPr>
        <w:spacing w:after="240"/>
        <w:ind w:left="714" w:hanging="357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transport</w:t>
      </w:r>
      <w:proofErr w:type="gramEnd"/>
      <w:r>
        <w:rPr>
          <w:rFonts w:ascii="Arial" w:hAnsi="Arial" w:cs="Arial"/>
        </w:rPr>
        <w:t xml:space="preserve"> to and from a work site</w:t>
      </w:r>
      <w:r w:rsidR="00932C48" w:rsidRPr="00901842">
        <w:rPr>
          <w:rFonts w:ascii="Arial" w:hAnsi="Arial" w:cs="Arial"/>
        </w:rPr>
        <w:t xml:space="preserve"> for</w:t>
      </w:r>
      <w:r w:rsidR="00516967">
        <w:rPr>
          <w:rFonts w:ascii="Arial" w:hAnsi="Arial" w:cs="Arial"/>
        </w:rPr>
        <w:t xml:space="preserve"> fly-in </w:t>
      </w:r>
      <w:r w:rsidR="00932C48" w:rsidRPr="00901842">
        <w:rPr>
          <w:rFonts w:ascii="Arial" w:hAnsi="Arial" w:cs="Arial"/>
        </w:rPr>
        <w:t>fly-out (FIFO) workers</w:t>
      </w:r>
      <w:r w:rsidR="002363A4">
        <w:rPr>
          <w:rFonts w:ascii="Arial" w:hAnsi="Arial" w:cs="Arial"/>
        </w:rPr>
        <w:t>.</w:t>
      </w:r>
      <w:r>
        <w:rPr>
          <w:rStyle w:val="FootnoteReference"/>
          <w:rFonts w:ascii="Arial" w:hAnsi="Arial" w:cs="Arial"/>
        </w:rPr>
        <w:footnoteReference w:id="2"/>
      </w:r>
    </w:p>
    <w:p w14:paraId="09DDD813" w14:textId="6FE05C36" w:rsidR="00403DED" w:rsidRPr="00403DED" w:rsidRDefault="001812CF" w:rsidP="00C1066A">
      <w:p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There are two types of concessions: exemptions (where the good or service is not subject to FBT)</w:t>
      </w:r>
      <w:r w:rsidR="00C96DF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and partial concessions (where </w:t>
      </w:r>
      <w:r w:rsidR="00F10A27">
        <w:rPr>
          <w:rFonts w:ascii="Arial" w:hAnsi="Arial" w:cs="Arial"/>
        </w:rPr>
        <w:t>the taxable value</w:t>
      </w:r>
      <w:r>
        <w:rPr>
          <w:rFonts w:ascii="Arial" w:hAnsi="Arial" w:cs="Arial"/>
        </w:rPr>
        <w:t xml:space="preserve"> </w:t>
      </w:r>
      <w:r w:rsidR="00F10A27">
        <w:rPr>
          <w:rFonts w:ascii="Arial" w:hAnsi="Arial" w:cs="Arial"/>
        </w:rPr>
        <w:t>of the good or service</w:t>
      </w:r>
      <w:r>
        <w:rPr>
          <w:rFonts w:ascii="Arial" w:hAnsi="Arial" w:cs="Arial"/>
        </w:rPr>
        <w:t xml:space="preserve"> is reduced, often by 50</w:t>
      </w:r>
      <w:r w:rsidR="00F10A27">
        <w:rPr>
          <w:rFonts w:ascii="Arial" w:hAnsi="Arial" w:cs="Arial"/>
        </w:rPr>
        <w:t> </w:t>
      </w:r>
      <w:r>
        <w:rPr>
          <w:rFonts w:ascii="Arial" w:hAnsi="Arial" w:cs="Arial"/>
        </w:rPr>
        <w:t>per</w:t>
      </w:r>
      <w:r w:rsidR="00F10A27">
        <w:rPr>
          <w:rFonts w:ascii="Arial" w:hAnsi="Arial" w:cs="Arial"/>
        </w:rPr>
        <w:t> </w:t>
      </w:r>
      <w:r>
        <w:rPr>
          <w:rFonts w:ascii="Arial" w:hAnsi="Arial" w:cs="Arial"/>
        </w:rPr>
        <w:t>cent).</w:t>
      </w:r>
    </w:p>
    <w:p w14:paraId="49C82E37" w14:textId="3B5AFC91" w:rsidR="00403DED" w:rsidRDefault="00801448" w:rsidP="002B4718">
      <w:pPr>
        <w:spacing w:after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The concessions can provide significant tax savings</w:t>
      </w:r>
    </w:p>
    <w:p w14:paraId="0904F067" w14:textId="6AF32DD8" w:rsidR="00C67DE5" w:rsidRDefault="00031053" w:rsidP="00245BF3">
      <w:p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exemption for employer-provided housing (as usual place of residence) </w:t>
      </w:r>
      <w:r w:rsidR="00224986">
        <w:rPr>
          <w:rFonts w:ascii="Arial" w:hAnsi="Arial" w:cs="Arial"/>
        </w:rPr>
        <w:t xml:space="preserve">can provide significant tax savings to higher-income employees in particular, and could cost as much as $430 million per year in forgone </w:t>
      </w:r>
      <w:r w:rsidR="007C0141">
        <w:rPr>
          <w:rFonts w:ascii="Arial" w:hAnsi="Arial" w:cs="Arial"/>
        </w:rPr>
        <w:t xml:space="preserve">FBT </w:t>
      </w:r>
      <w:r w:rsidR="00224986">
        <w:rPr>
          <w:rFonts w:ascii="Arial" w:hAnsi="Arial" w:cs="Arial"/>
        </w:rPr>
        <w:t>revenue. Use of the exemption is concentrated in northern Western Australia and Queensland, and in industries such as mining, agriculture, and public services.</w:t>
      </w:r>
    </w:p>
    <w:p w14:paraId="2B9626C4" w14:textId="34849B35" w:rsidR="00401D06" w:rsidRDefault="00401D06" w:rsidP="00245BF3">
      <w:p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Partial concessions on employee-sourced housing are less generous and have higher compliance costs than the exemption for employer-provided housing; the other remote area concessions (on residential fuel, meals for primary production employees and holiday transport) </w:t>
      </w:r>
      <w:r w:rsidR="00224986">
        <w:rPr>
          <w:rFonts w:ascii="Arial" w:hAnsi="Arial" w:cs="Arial"/>
        </w:rPr>
        <w:t xml:space="preserve">provide limited tax </w:t>
      </w:r>
      <w:proofErr w:type="gramStart"/>
      <w:r w:rsidR="00224986">
        <w:rPr>
          <w:rFonts w:ascii="Arial" w:hAnsi="Arial" w:cs="Arial"/>
        </w:rPr>
        <w:t>savings</w:t>
      </w:r>
      <w:proofErr w:type="gramEnd"/>
      <w:r w:rsidR="002B4718">
        <w:rPr>
          <w:rFonts w:ascii="Arial" w:hAnsi="Arial" w:cs="Arial"/>
        </w:rPr>
        <w:t xml:space="preserve"> and have high compliance costs</w:t>
      </w:r>
      <w:r>
        <w:rPr>
          <w:rFonts w:ascii="Arial" w:hAnsi="Arial" w:cs="Arial"/>
        </w:rPr>
        <w:t xml:space="preserve">. </w:t>
      </w:r>
      <w:r w:rsidR="0054316C">
        <w:rPr>
          <w:rFonts w:ascii="Arial" w:hAnsi="Arial" w:cs="Arial"/>
        </w:rPr>
        <w:t>T</w:t>
      </w:r>
      <w:r>
        <w:rPr>
          <w:rFonts w:ascii="Arial" w:hAnsi="Arial" w:cs="Arial"/>
        </w:rPr>
        <w:t>hese concessions are little-used.</w:t>
      </w:r>
    </w:p>
    <w:p w14:paraId="56D3572D" w14:textId="45922774" w:rsidR="00C71B5B" w:rsidRPr="00245BF3" w:rsidRDefault="00780551" w:rsidP="00245BF3">
      <w:pPr>
        <w:spacing w:after="240"/>
        <w:jc w:val="both"/>
        <w:rPr>
          <w:rFonts w:ascii="Arial" w:hAnsi="Arial" w:cs="Arial"/>
          <w:spacing w:val="2"/>
        </w:rPr>
      </w:pPr>
      <w:r w:rsidRPr="00245BF3">
        <w:rPr>
          <w:rFonts w:ascii="Arial" w:hAnsi="Arial" w:cs="Arial"/>
          <w:spacing w:val="2"/>
        </w:rPr>
        <w:t>FBT exemptions for fly-in fly-out workers, while widely used, are likely to have only a minor influence on decisions to maintain a fly-in fly-out workforce</w:t>
      </w:r>
      <w:r w:rsidR="001552F8" w:rsidRPr="00245BF3">
        <w:rPr>
          <w:rFonts w:ascii="Arial" w:hAnsi="Arial" w:cs="Arial"/>
          <w:spacing w:val="2"/>
        </w:rPr>
        <w:t>.</w:t>
      </w:r>
      <w:r w:rsidR="003D26F6" w:rsidRPr="00245BF3">
        <w:rPr>
          <w:rFonts w:ascii="Arial" w:hAnsi="Arial" w:cs="Arial"/>
          <w:spacing w:val="2"/>
        </w:rPr>
        <w:t xml:space="preserve"> The significance of the one concession for FIFO workers that explicitly links eligibility to remoteness (transport to and from a work site) would be even less.</w:t>
      </w:r>
    </w:p>
    <w:p w14:paraId="1890EFB5" w14:textId="62EAD985" w:rsidR="00C1066A" w:rsidRPr="00AF6F0F" w:rsidRDefault="00AF6F0F" w:rsidP="00AF6F0F">
      <w:pPr>
        <w:spacing w:after="240"/>
        <w:jc w:val="center"/>
        <w:rPr>
          <w:rFonts w:ascii="Arial" w:hAnsi="Arial" w:cs="Arial"/>
          <w:spacing w:val="-4"/>
        </w:rPr>
      </w:pPr>
      <w:r w:rsidRPr="00AF6F0F">
        <w:rPr>
          <w:rFonts w:ascii="Arial" w:hAnsi="Arial" w:cs="Arial"/>
          <w:spacing w:val="-4"/>
        </w:rPr>
        <w:t>[</w:t>
      </w:r>
      <w:r>
        <w:rPr>
          <w:rFonts w:ascii="Arial" w:hAnsi="Arial" w:cs="Arial"/>
          <w:spacing w:val="-4"/>
        </w:rPr>
        <w:t>MORE</w:t>
      </w:r>
      <w:r w:rsidRPr="00AF6F0F">
        <w:rPr>
          <w:rFonts w:ascii="Arial" w:hAnsi="Arial" w:cs="Arial"/>
          <w:spacing w:val="-4"/>
        </w:rPr>
        <w:t>]</w:t>
      </w:r>
      <w:r w:rsidR="00C1066A" w:rsidRPr="00AF6F0F">
        <w:rPr>
          <w:rFonts w:ascii="Arial" w:hAnsi="Arial" w:cs="Arial"/>
          <w:spacing w:val="-4"/>
        </w:rPr>
        <w:br w:type="page"/>
      </w:r>
    </w:p>
    <w:p w14:paraId="4CF55230" w14:textId="01724A16" w:rsidR="00801448" w:rsidRPr="00C1066A" w:rsidRDefault="00801448" w:rsidP="00C1066A">
      <w:pPr>
        <w:spacing w:after="240"/>
        <w:jc w:val="both"/>
        <w:rPr>
          <w:rFonts w:ascii="Arial" w:hAnsi="Arial" w:cs="Arial"/>
          <w:b/>
          <w:spacing w:val="-4"/>
        </w:rPr>
      </w:pPr>
      <w:r w:rsidRPr="00C1066A">
        <w:rPr>
          <w:rFonts w:ascii="Arial" w:hAnsi="Arial" w:cs="Arial"/>
          <w:b/>
          <w:spacing w:val="-4"/>
        </w:rPr>
        <w:lastRenderedPageBreak/>
        <w:t>The concessions are overly generous and go beyond what is needed to make the tax equitable</w:t>
      </w:r>
    </w:p>
    <w:p w14:paraId="094178A4" w14:textId="0D3E870B" w:rsidR="00E02D88" w:rsidRDefault="00AD35A6" w:rsidP="00C23C96">
      <w:p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Stakeholders differ on the </w:t>
      </w:r>
      <w:r w:rsidR="00E02D88">
        <w:rPr>
          <w:rFonts w:ascii="Arial" w:hAnsi="Arial" w:cs="Arial"/>
        </w:rPr>
        <w:t xml:space="preserve">concessions’ policy objectives. Some maintain that the concessions should promote regional development by giving employers greater financial capacity to attract and retain employees. The Commission considers that State and </w:t>
      </w:r>
      <w:r w:rsidR="002B4718">
        <w:rPr>
          <w:rFonts w:ascii="Arial" w:hAnsi="Arial" w:cs="Arial"/>
        </w:rPr>
        <w:t>T</w:t>
      </w:r>
      <w:r w:rsidR="00E02D88">
        <w:rPr>
          <w:rFonts w:ascii="Arial" w:hAnsi="Arial" w:cs="Arial"/>
        </w:rPr>
        <w:t>erritory governments carry primary responsibility for regional development, and that a broadly-applied tax concession is unlikely to cost</w:t>
      </w:r>
      <w:r w:rsidR="002363A4">
        <w:rPr>
          <w:rFonts w:ascii="Arial" w:hAnsi="Arial" w:cs="Arial"/>
        </w:rPr>
        <w:noBreakHyphen/>
      </w:r>
      <w:r w:rsidR="00E02D88">
        <w:rPr>
          <w:rFonts w:ascii="Arial" w:hAnsi="Arial" w:cs="Arial"/>
        </w:rPr>
        <w:t xml:space="preserve">effectively incentivise people to </w:t>
      </w:r>
      <w:r w:rsidR="00650418">
        <w:rPr>
          <w:rFonts w:ascii="Arial" w:hAnsi="Arial" w:cs="Arial"/>
        </w:rPr>
        <w:t>act</w:t>
      </w:r>
      <w:r w:rsidR="00E02D88">
        <w:rPr>
          <w:rFonts w:ascii="Arial" w:hAnsi="Arial" w:cs="Arial"/>
        </w:rPr>
        <w:t xml:space="preserve"> in ways that align with those governments’ priorities.</w:t>
      </w:r>
    </w:p>
    <w:p w14:paraId="38F7C571" w14:textId="229A2367" w:rsidR="00AE2BDB" w:rsidRDefault="00D21A6B" w:rsidP="00C23C96">
      <w:p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Another perspective is that employers sometimes have operational reasons to provide goods and services (such as housing) to employees, and in these cases it would be inequitable to</w:t>
      </w:r>
      <w:r w:rsidR="00082258">
        <w:rPr>
          <w:rFonts w:ascii="Arial" w:hAnsi="Arial" w:cs="Arial"/>
        </w:rPr>
        <w:t xml:space="preserve"> apply the full rate of the FBT</w:t>
      </w:r>
      <w:r w:rsidR="00AE2BDB">
        <w:rPr>
          <w:rFonts w:ascii="Arial" w:hAnsi="Arial" w:cs="Arial"/>
        </w:rPr>
        <w:t>.</w:t>
      </w:r>
      <w:r w:rsidR="00014C04">
        <w:rPr>
          <w:rFonts w:ascii="Arial" w:hAnsi="Arial" w:cs="Arial"/>
        </w:rPr>
        <w:t xml:space="preserve"> </w:t>
      </w:r>
      <w:r w:rsidR="004805F5">
        <w:rPr>
          <w:rFonts w:ascii="Arial" w:hAnsi="Arial" w:cs="Arial"/>
        </w:rPr>
        <w:t>Th</w:t>
      </w:r>
      <w:r w:rsidR="009876C5">
        <w:rPr>
          <w:rFonts w:ascii="Arial" w:hAnsi="Arial" w:cs="Arial"/>
        </w:rPr>
        <w:t>e full rate of FBT is</w:t>
      </w:r>
      <w:r w:rsidR="00014C04" w:rsidRPr="00F02C6D">
        <w:rPr>
          <w:rFonts w:ascii="Arial" w:hAnsi="Arial" w:cs="Arial"/>
        </w:rPr>
        <w:t xml:space="preserve"> equivalent </w:t>
      </w:r>
      <w:r w:rsidR="009876C5">
        <w:rPr>
          <w:rFonts w:ascii="Arial" w:hAnsi="Arial" w:cs="Arial"/>
        </w:rPr>
        <w:t>to</w:t>
      </w:r>
      <w:r w:rsidR="00014C04" w:rsidRPr="00F02C6D">
        <w:rPr>
          <w:rFonts w:ascii="Arial" w:hAnsi="Arial" w:cs="Arial"/>
        </w:rPr>
        <w:t xml:space="preserve"> the top marginal income tax rate</w:t>
      </w:r>
      <w:r w:rsidR="004805F5">
        <w:rPr>
          <w:rFonts w:ascii="Arial" w:hAnsi="Arial" w:cs="Arial"/>
        </w:rPr>
        <w:t>,</w:t>
      </w:r>
      <w:r w:rsidR="00014C04" w:rsidRPr="00F02C6D">
        <w:rPr>
          <w:rFonts w:ascii="Arial" w:hAnsi="Arial" w:cs="Arial"/>
        </w:rPr>
        <w:t xml:space="preserve"> and </w:t>
      </w:r>
      <w:r w:rsidR="004805F5">
        <w:rPr>
          <w:rFonts w:ascii="Arial" w:hAnsi="Arial" w:cs="Arial"/>
        </w:rPr>
        <w:t>would</w:t>
      </w:r>
      <w:r w:rsidR="00014C04" w:rsidRPr="00F02C6D">
        <w:rPr>
          <w:rFonts w:ascii="Arial" w:hAnsi="Arial" w:cs="Arial"/>
        </w:rPr>
        <w:t xml:space="preserve"> act to discourage the provision of remuneration </w:t>
      </w:r>
      <w:r w:rsidR="002B4718">
        <w:rPr>
          <w:rFonts w:ascii="Arial" w:hAnsi="Arial" w:cs="Arial"/>
        </w:rPr>
        <w:t>‘</w:t>
      </w:r>
      <w:r w:rsidR="00014C04" w:rsidRPr="00F02C6D">
        <w:rPr>
          <w:rFonts w:ascii="Arial" w:hAnsi="Arial" w:cs="Arial"/>
        </w:rPr>
        <w:t xml:space="preserve">in </w:t>
      </w:r>
      <w:r w:rsidR="00014C04" w:rsidRPr="002B4718">
        <w:rPr>
          <w:rFonts w:ascii="Arial" w:hAnsi="Arial" w:cs="Arial"/>
        </w:rPr>
        <w:t>kind</w:t>
      </w:r>
      <w:r w:rsidR="002B4718">
        <w:rPr>
          <w:rFonts w:ascii="Arial" w:hAnsi="Arial" w:cs="Arial"/>
        </w:rPr>
        <w:t>’</w:t>
      </w:r>
      <w:r w:rsidR="00014C04" w:rsidRPr="00F02C6D">
        <w:rPr>
          <w:rFonts w:ascii="Arial" w:hAnsi="Arial" w:cs="Arial"/>
        </w:rPr>
        <w:t xml:space="preserve"> instead of wages</w:t>
      </w:r>
      <w:r w:rsidR="00A82B32">
        <w:rPr>
          <w:rFonts w:ascii="Arial" w:hAnsi="Arial" w:cs="Arial"/>
        </w:rPr>
        <w:t>;</w:t>
      </w:r>
      <w:r w:rsidR="0063297C">
        <w:rPr>
          <w:rFonts w:ascii="Arial" w:hAnsi="Arial" w:cs="Arial"/>
        </w:rPr>
        <w:t xml:space="preserve"> </w:t>
      </w:r>
      <w:r w:rsidR="009876C5">
        <w:rPr>
          <w:rFonts w:ascii="Arial" w:hAnsi="Arial" w:cs="Arial"/>
        </w:rPr>
        <w:t>e</w:t>
      </w:r>
      <w:r w:rsidR="004805F5">
        <w:rPr>
          <w:rFonts w:ascii="Arial" w:hAnsi="Arial" w:cs="Arial"/>
        </w:rPr>
        <w:t xml:space="preserve">mployers in remote areas would be disadvantaged </w:t>
      </w:r>
      <w:r w:rsidR="006F3555" w:rsidRPr="006F3555">
        <w:rPr>
          <w:rFonts w:ascii="Arial" w:hAnsi="Arial" w:cs="Arial"/>
        </w:rPr>
        <w:t xml:space="preserve">relative to employers in locations where employees could buy the goods </w:t>
      </w:r>
      <w:r w:rsidR="001F0007">
        <w:rPr>
          <w:rFonts w:ascii="Arial" w:hAnsi="Arial" w:cs="Arial"/>
        </w:rPr>
        <w:t>and services</w:t>
      </w:r>
      <w:r w:rsidR="006F3555" w:rsidRPr="006F3555">
        <w:rPr>
          <w:rFonts w:ascii="Arial" w:hAnsi="Arial" w:cs="Arial"/>
        </w:rPr>
        <w:t xml:space="preserve"> themselves</w:t>
      </w:r>
      <w:r w:rsidR="00014C04" w:rsidRPr="006F3555">
        <w:rPr>
          <w:rFonts w:ascii="Arial" w:hAnsi="Arial" w:cs="Arial"/>
        </w:rPr>
        <w:t xml:space="preserve"> </w:t>
      </w:r>
      <w:r w:rsidR="006F3555" w:rsidRPr="006F3555">
        <w:rPr>
          <w:rFonts w:ascii="Arial" w:hAnsi="Arial" w:cs="Arial"/>
        </w:rPr>
        <w:t xml:space="preserve">with </w:t>
      </w:r>
      <w:r w:rsidR="0054316C">
        <w:rPr>
          <w:rFonts w:ascii="Arial" w:hAnsi="Arial" w:cs="Arial"/>
        </w:rPr>
        <w:t xml:space="preserve">their </w:t>
      </w:r>
      <w:r w:rsidR="006F3555" w:rsidRPr="006F3555">
        <w:rPr>
          <w:rFonts w:ascii="Arial" w:hAnsi="Arial" w:cs="Arial"/>
        </w:rPr>
        <w:t>wage</w:t>
      </w:r>
      <w:r w:rsidR="0054316C">
        <w:rPr>
          <w:rFonts w:ascii="Arial" w:hAnsi="Arial" w:cs="Arial"/>
        </w:rPr>
        <w:t xml:space="preserve"> earning</w:t>
      </w:r>
      <w:r w:rsidR="006F3555" w:rsidRPr="006F3555">
        <w:rPr>
          <w:rFonts w:ascii="Arial" w:hAnsi="Arial" w:cs="Arial"/>
        </w:rPr>
        <w:t>s</w:t>
      </w:r>
      <w:r w:rsidR="006F3555">
        <w:rPr>
          <w:rFonts w:ascii="Arial" w:hAnsi="Arial" w:cs="Arial"/>
        </w:rPr>
        <w:t xml:space="preserve">. </w:t>
      </w:r>
      <w:r w:rsidR="007E2650">
        <w:rPr>
          <w:rFonts w:ascii="Arial" w:hAnsi="Arial" w:cs="Arial"/>
        </w:rPr>
        <w:t>The Commission considers this</w:t>
      </w:r>
      <w:r w:rsidR="003A668F">
        <w:rPr>
          <w:rFonts w:ascii="Arial" w:hAnsi="Arial" w:cs="Arial"/>
        </w:rPr>
        <w:t xml:space="preserve"> to be</w:t>
      </w:r>
      <w:r w:rsidR="007E2650">
        <w:rPr>
          <w:rFonts w:ascii="Arial" w:hAnsi="Arial" w:cs="Arial"/>
        </w:rPr>
        <w:t xml:space="preserve"> the most compelling argument for FBT remote area concessions.</w:t>
      </w:r>
      <w:r w:rsidR="00082258">
        <w:rPr>
          <w:rFonts w:ascii="Arial" w:hAnsi="Arial" w:cs="Arial"/>
        </w:rPr>
        <w:t xml:space="preserve"> </w:t>
      </w:r>
    </w:p>
    <w:p w14:paraId="20140435" w14:textId="145E6009" w:rsidR="00816782" w:rsidRDefault="0063297C" w:rsidP="00C23C96">
      <w:p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However, the current concessions are overly generous and complex, going beyond what is needed to make the tax equitable.</w:t>
      </w:r>
    </w:p>
    <w:p w14:paraId="12684194" w14:textId="69F74FA3" w:rsidR="00D96781" w:rsidRPr="00D96781" w:rsidRDefault="00D96781" w:rsidP="00C23C96">
      <w:pPr>
        <w:spacing w:after="2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What changes is the Commission proposing?</w:t>
      </w:r>
    </w:p>
    <w:p w14:paraId="5CF750CE" w14:textId="1FCE23C6" w:rsidR="00CD498E" w:rsidRDefault="00B03FC4" w:rsidP="00C23C96">
      <w:p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The Commission is proposing several changes to the concessions’ rates and eligibility rules</w:t>
      </w:r>
      <w:r w:rsidR="00801448">
        <w:rPr>
          <w:rFonts w:ascii="Arial" w:hAnsi="Arial" w:cs="Arial"/>
        </w:rPr>
        <w:t xml:space="preserve"> (table</w:t>
      </w:r>
      <w:r w:rsidR="00530BFE">
        <w:rPr>
          <w:rFonts w:ascii="Arial" w:hAnsi="Arial" w:cs="Arial"/>
        </w:rPr>
        <w:t xml:space="preserve"> below</w:t>
      </w:r>
      <w:r w:rsidR="00801448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  <w:r w:rsidR="00912A4A">
        <w:rPr>
          <w:rFonts w:ascii="Arial" w:hAnsi="Arial" w:cs="Arial"/>
        </w:rPr>
        <w:t xml:space="preserve"> </w:t>
      </w:r>
      <w:r w:rsidR="000E7EB7">
        <w:rPr>
          <w:rFonts w:ascii="Arial" w:hAnsi="Arial" w:cs="Arial"/>
        </w:rPr>
        <w:t xml:space="preserve">In particular, for employer-provided housing, the Commission is proposing that the current exemption should </w:t>
      </w:r>
      <w:r w:rsidR="002B4718">
        <w:rPr>
          <w:rFonts w:ascii="Arial" w:hAnsi="Arial" w:cs="Arial"/>
        </w:rPr>
        <w:t xml:space="preserve">be </w:t>
      </w:r>
      <w:r w:rsidR="000E7EB7">
        <w:rPr>
          <w:rFonts w:ascii="Arial" w:hAnsi="Arial" w:cs="Arial"/>
        </w:rPr>
        <w:t>revert</w:t>
      </w:r>
      <w:r w:rsidR="002B4718">
        <w:rPr>
          <w:rFonts w:ascii="Arial" w:hAnsi="Arial" w:cs="Arial"/>
        </w:rPr>
        <w:t>ed</w:t>
      </w:r>
      <w:r w:rsidR="000E7EB7">
        <w:rPr>
          <w:rFonts w:ascii="Arial" w:hAnsi="Arial" w:cs="Arial"/>
        </w:rPr>
        <w:t xml:space="preserve"> to a 50 per cent concession, as it was prior to 2000. </w:t>
      </w:r>
      <w:r w:rsidR="0054316C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hese changes would </w:t>
      </w:r>
      <w:r w:rsidR="00720113">
        <w:rPr>
          <w:rFonts w:ascii="Arial" w:hAnsi="Arial" w:cs="Arial"/>
        </w:rPr>
        <w:t>help to limit use of the concessions where there is not an operational requirement</w:t>
      </w:r>
      <w:r w:rsidR="00AE2BD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witho</w:t>
      </w:r>
      <w:r w:rsidR="00720113">
        <w:rPr>
          <w:rFonts w:ascii="Arial" w:hAnsi="Arial" w:cs="Arial"/>
        </w:rPr>
        <w:t>ut penalising employers where there</w:t>
      </w:r>
      <w:r>
        <w:rPr>
          <w:rFonts w:ascii="Arial" w:hAnsi="Arial" w:cs="Arial"/>
        </w:rPr>
        <w:t xml:space="preserve"> is.</w:t>
      </w:r>
      <w:r w:rsidR="00D37B38">
        <w:rPr>
          <w:rFonts w:ascii="Arial" w:hAnsi="Arial" w:cs="Arial"/>
        </w:rPr>
        <w:t xml:space="preserve"> </w:t>
      </w:r>
    </w:p>
    <w:p w14:paraId="4F41D917" w14:textId="77777777" w:rsidR="002B4718" w:rsidRDefault="002B4718" w:rsidP="00C23C96">
      <w:pPr>
        <w:spacing w:after="2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What next?</w:t>
      </w:r>
    </w:p>
    <w:p w14:paraId="2C3223AB" w14:textId="66AD6480" w:rsidR="002B4718" w:rsidRDefault="002B4718" w:rsidP="00C23C96">
      <w:pPr>
        <w:spacing w:after="360"/>
        <w:jc w:val="both"/>
        <w:rPr>
          <w:rStyle w:val="Hyperlink"/>
          <w:rFonts w:ascii="Arial" w:hAnsi="Arial" w:cs="Arial"/>
        </w:rPr>
      </w:pPr>
      <w:r w:rsidRPr="00AF788A">
        <w:rPr>
          <w:rFonts w:ascii="Arial" w:hAnsi="Arial" w:cs="Arial"/>
        </w:rPr>
        <w:t xml:space="preserve">The Productivity Commission </w:t>
      </w:r>
      <w:r>
        <w:rPr>
          <w:rFonts w:ascii="Arial" w:hAnsi="Arial" w:cs="Arial"/>
        </w:rPr>
        <w:t xml:space="preserve">welcomes </w:t>
      </w:r>
      <w:r w:rsidRPr="00AF788A">
        <w:rPr>
          <w:rFonts w:ascii="Arial" w:hAnsi="Arial" w:cs="Arial"/>
        </w:rPr>
        <w:t xml:space="preserve">feedback on </w:t>
      </w:r>
      <w:r>
        <w:rPr>
          <w:rFonts w:ascii="Arial" w:hAnsi="Arial" w:cs="Arial"/>
        </w:rPr>
        <w:t>thi</w:t>
      </w:r>
      <w:r w:rsidRPr="00AF788A">
        <w:rPr>
          <w:rFonts w:ascii="Arial" w:hAnsi="Arial" w:cs="Arial"/>
        </w:rPr>
        <w:t>s draft report. You are welcome to make a</w:t>
      </w:r>
      <w:r>
        <w:rPr>
          <w:rFonts w:ascii="Arial" w:hAnsi="Arial" w:cs="Arial"/>
        </w:rPr>
        <w:t xml:space="preserve"> </w:t>
      </w:r>
      <w:r w:rsidRPr="00AF788A">
        <w:rPr>
          <w:rFonts w:ascii="Arial" w:hAnsi="Arial" w:cs="Arial"/>
        </w:rPr>
        <w:t xml:space="preserve">written submission to the Commission by </w:t>
      </w:r>
      <w:r w:rsidRPr="005544BE">
        <w:rPr>
          <w:rFonts w:ascii="Arial" w:hAnsi="Arial" w:cs="Arial"/>
        </w:rPr>
        <w:t>Friday 11 October</w:t>
      </w:r>
      <w:r w:rsidRPr="00AF788A">
        <w:rPr>
          <w:rFonts w:ascii="Arial" w:hAnsi="Arial" w:cs="Arial"/>
        </w:rPr>
        <w:t>. Alternatively</w:t>
      </w:r>
      <w:r>
        <w:rPr>
          <w:rFonts w:ascii="Arial" w:hAnsi="Arial" w:cs="Arial"/>
        </w:rPr>
        <w:t>,</w:t>
      </w:r>
      <w:r w:rsidRPr="00AF788A">
        <w:rPr>
          <w:rFonts w:ascii="Arial" w:hAnsi="Arial" w:cs="Arial"/>
        </w:rPr>
        <w:t xml:space="preserve"> you can leave a brief comment. </w:t>
      </w:r>
      <w:r>
        <w:rPr>
          <w:rFonts w:ascii="Arial" w:hAnsi="Arial" w:cs="Arial"/>
        </w:rPr>
        <w:t>The draft report and i</w:t>
      </w:r>
      <w:r w:rsidRPr="00AF788A">
        <w:rPr>
          <w:rFonts w:ascii="Arial" w:hAnsi="Arial" w:cs="Arial"/>
        </w:rPr>
        <w:t xml:space="preserve">nformation on </w:t>
      </w:r>
      <w:r>
        <w:rPr>
          <w:rFonts w:ascii="Arial" w:hAnsi="Arial" w:cs="Arial"/>
        </w:rPr>
        <w:t xml:space="preserve">how to submit </w:t>
      </w:r>
      <w:r w:rsidRPr="00AF788A">
        <w:rPr>
          <w:rFonts w:ascii="Arial" w:hAnsi="Arial" w:cs="Arial"/>
        </w:rPr>
        <w:t>submission</w:t>
      </w:r>
      <w:r>
        <w:rPr>
          <w:rFonts w:ascii="Arial" w:hAnsi="Arial" w:cs="Arial"/>
        </w:rPr>
        <w:t>s</w:t>
      </w:r>
      <w:r w:rsidRPr="00AF788A">
        <w:rPr>
          <w:rFonts w:ascii="Arial" w:hAnsi="Arial" w:cs="Arial"/>
        </w:rPr>
        <w:t xml:space="preserve"> and </w:t>
      </w:r>
      <w:r>
        <w:rPr>
          <w:rFonts w:ascii="Arial" w:hAnsi="Arial" w:cs="Arial"/>
        </w:rPr>
        <w:t>brief comments</w:t>
      </w:r>
      <w:r w:rsidRPr="00AF788A">
        <w:rPr>
          <w:rFonts w:ascii="Arial" w:hAnsi="Arial" w:cs="Arial"/>
        </w:rPr>
        <w:t xml:space="preserve"> is available on the </w:t>
      </w:r>
      <w:r>
        <w:rPr>
          <w:rFonts w:ascii="Arial" w:hAnsi="Arial" w:cs="Arial"/>
        </w:rPr>
        <w:t>study’s</w:t>
      </w:r>
      <w:r w:rsidRPr="00AF788A">
        <w:rPr>
          <w:rFonts w:ascii="Arial" w:hAnsi="Arial" w:cs="Arial"/>
        </w:rPr>
        <w:t xml:space="preserve"> website:</w:t>
      </w:r>
      <w:r>
        <w:rPr>
          <w:rFonts w:ascii="Arial" w:hAnsi="Arial" w:cs="Arial"/>
        </w:rPr>
        <w:t xml:space="preserve"> </w:t>
      </w:r>
      <w:hyperlink r:id="rId7" w:history="1">
        <w:r w:rsidR="00C1066A" w:rsidRPr="009B7D14">
          <w:rPr>
            <w:rStyle w:val="Hyperlink"/>
            <w:rFonts w:ascii="Arial" w:hAnsi="Arial" w:cs="Arial"/>
          </w:rPr>
          <w:t>www.pc.gov.au/remote-tax</w:t>
        </w:r>
      </w:hyperlink>
      <w:r w:rsidR="005B4017">
        <w:rPr>
          <w:rStyle w:val="Hyperlink"/>
          <w:rFonts w:ascii="Arial" w:hAnsi="Arial" w:cs="Arial"/>
        </w:rPr>
        <w:t>.</w:t>
      </w:r>
    </w:p>
    <w:p w14:paraId="66A7B5BB" w14:textId="3767218F" w:rsidR="00AF6F0F" w:rsidRPr="00E95DD1" w:rsidRDefault="00070FD0" w:rsidP="00AF6F0F">
      <w:pPr>
        <w:spacing w:after="360"/>
        <w:jc w:val="center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 </w:t>
      </w:r>
      <w:r w:rsidR="00AF6F0F">
        <w:rPr>
          <w:rFonts w:ascii="Arial" w:hAnsi="Arial" w:cs="Arial"/>
        </w:rPr>
        <w:t>[MORE]</w:t>
      </w:r>
    </w:p>
    <w:p w14:paraId="3FEE6A41" w14:textId="0B48B1B3" w:rsidR="00D8619A" w:rsidRDefault="00D8619A" w:rsidP="00D8619A">
      <w:pPr>
        <w:pStyle w:val="BoxSpaceAbove"/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142" w:type="dxa"/>
          <w:right w:w="142" w:type="dxa"/>
        </w:tblCellMar>
        <w:tblLook w:val="0000" w:firstRow="0" w:lastRow="0" w:firstColumn="0" w:lastColumn="0" w:noHBand="0" w:noVBand="0"/>
        <w:tblDescription w:val="Table used for design: contains a nested table with data/information."/>
      </w:tblPr>
      <w:tblGrid>
        <w:gridCol w:w="9638"/>
      </w:tblGrid>
      <w:tr w:rsidR="00D8619A" w14:paraId="162B0B9B" w14:textId="77777777" w:rsidTr="00BE0B1A">
        <w:trPr>
          <w:tblHeader/>
        </w:trPr>
        <w:tc>
          <w:tcPr>
            <w:tcW w:w="5000" w:type="pct"/>
            <w:tcBorders>
              <w:top w:val="single" w:sz="6" w:space="0" w:color="78A22F"/>
              <w:left w:val="nil"/>
              <w:bottom w:val="nil"/>
              <w:right w:val="nil"/>
            </w:tcBorders>
            <w:shd w:val="clear" w:color="auto" w:fill="auto"/>
          </w:tcPr>
          <w:p w14:paraId="386F054C" w14:textId="423F1B20" w:rsidR="00D8619A" w:rsidRPr="00784A05" w:rsidRDefault="00D8619A" w:rsidP="00684DC8">
            <w:pPr>
              <w:pStyle w:val="TableTitle"/>
            </w:pPr>
            <w:r>
              <w:t>Proposed changes to FBT remote area concessions</w:t>
            </w:r>
          </w:p>
        </w:tc>
      </w:tr>
      <w:tr w:rsidR="00D8619A" w14:paraId="735690AC" w14:textId="77777777" w:rsidTr="00BE0B1A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5000" w:type="pct"/>
              <w:tblCellMar>
                <w:top w:w="28" w:type="dxa"/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792"/>
              <w:gridCol w:w="3949"/>
              <w:gridCol w:w="3613"/>
            </w:tblGrid>
            <w:tr w:rsidR="00D8619A" w14:paraId="604B6790" w14:textId="77777777" w:rsidTr="00BE0B1A">
              <w:trPr>
                <w:tblHeader/>
              </w:trPr>
              <w:tc>
                <w:tcPr>
                  <w:tcW w:w="958" w:type="pct"/>
                  <w:tcBorders>
                    <w:top w:val="single" w:sz="6" w:space="0" w:color="BFBFBF"/>
                    <w:bottom w:val="single" w:sz="6" w:space="0" w:color="BFBFBF"/>
                  </w:tcBorders>
                  <w:shd w:val="clear" w:color="auto" w:fill="auto"/>
                  <w:tcMar>
                    <w:top w:w="28" w:type="dxa"/>
                  </w:tcMar>
                </w:tcPr>
                <w:p w14:paraId="0C68E85E" w14:textId="62891E5A" w:rsidR="00D8619A" w:rsidRDefault="00D8619A" w:rsidP="00BE0B1A">
                  <w:pPr>
                    <w:pStyle w:val="TableColumnHeading"/>
                    <w:jc w:val="left"/>
                  </w:pPr>
                </w:p>
              </w:tc>
              <w:tc>
                <w:tcPr>
                  <w:tcW w:w="2111" w:type="pct"/>
                  <w:tcBorders>
                    <w:top w:val="single" w:sz="6" w:space="0" w:color="BFBFBF"/>
                    <w:bottom w:val="single" w:sz="6" w:space="0" w:color="BFBFBF"/>
                  </w:tcBorders>
                </w:tcPr>
                <w:p w14:paraId="2FA71453" w14:textId="77777777" w:rsidR="00D8619A" w:rsidRDefault="00D8619A" w:rsidP="00BE0B1A">
                  <w:pPr>
                    <w:pStyle w:val="TableColumnHeading"/>
                    <w:jc w:val="left"/>
                  </w:pPr>
                  <w:r>
                    <w:t>Existing concessions</w:t>
                  </w:r>
                </w:p>
              </w:tc>
              <w:tc>
                <w:tcPr>
                  <w:tcW w:w="1931" w:type="pct"/>
                  <w:tcBorders>
                    <w:top w:val="single" w:sz="6" w:space="0" w:color="BFBFBF"/>
                    <w:bottom w:val="single" w:sz="6" w:space="0" w:color="BFBFBF"/>
                  </w:tcBorders>
                  <w:shd w:val="clear" w:color="auto" w:fill="auto"/>
                  <w:tcMar>
                    <w:top w:w="28" w:type="dxa"/>
                  </w:tcMar>
                </w:tcPr>
                <w:p w14:paraId="37C37424" w14:textId="77777777" w:rsidR="00D8619A" w:rsidRDefault="00D8619A" w:rsidP="00BE0B1A">
                  <w:pPr>
                    <w:pStyle w:val="TableColumnHeading"/>
                    <w:ind w:right="28"/>
                    <w:jc w:val="left"/>
                  </w:pPr>
                  <w:r>
                    <w:t>Proposed changes</w:t>
                  </w:r>
                </w:p>
              </w:tc>
            </w:tr>
            <w:tr w:rsidR="00D8619A" w14:paraId="38381ACF" w14:textId="77777777" w:rsidTr="00F02C6D">
              <w:tc>
                <w:tcPr>
                  <w:tcW w:w="958" w:type="pct"/>
                  <w:tcBorders>
                    <w:top w:val="single" w:sz="6" w:space="0" w:color="BFBFBF"/>
                  </w:tcBorders>
                  <w:shd w:val="clear" w:color="auto" w:fill="E0F1F7" w:themeFill="text2" w:themeFillTint="33"/>
                </w:tcPr>
                <w:p w14:paraId="47D0DB06" w14:textId="77777777" w:rsidR="00D8619A" w:rsidRDefault="00D8619A" w:rsidP="00BE0B1A">
                  <w:pPr>
                    <w:pStyle w:val="TableUnitsRow"/>
                    <w:jc w:val="left"/>
                  </w:pPr>
                  <w:r>
                    <w:t>Employer</w:t>
                  </w:r>
                  <w:r>
                    <w:noBreakHyphen/>
                    <w:t>provided housing</w:t>
                  </w:r>
                </w:p>
              </w:tc>
              <w:tc>
                <w:tcPr>
                  <w:tcW w:w="2111" w:type="pct"/>
                  <w:tcBorders>
                    <w:top w:val="single" w:sz="6" w:space="0" w:color="BFBFBF"/>
                  </w:tcBorders>
                  <w:shd w:val="clear" w:color="auto" w:fill="E0F1F7" w:themeFill="text2" w:themeFillTint="33"/>
                </w:tcPr>
                <w:p w14:paraId="326F5B9C" w14:textId="77777777" w:rsidR="00D8619A" w:rsidRDefault="00D8619A" w:rsidP="00BE0B1A">
                  <w:pPr>
                    <w:pStyle w:val="TableUnitsRow"/>
                    <w:jc w:val="left"/>
                  </w:pPr>
                  <w:r>
                    <w:t>Exemption from FBT for employer</w:t>
                  </w:r>
                  <w:r>
                    <w:noBreakHyphen/>
                    <w:t>provided housing in designated remote areas</w:t>
                  </w:r>
                </w:p>
                <w:p w14:paraId="751A2EC2" w14:textId="77777777" w:rsidR="00D8619A" w:rsidRDefault="00D8619A" w:rsidP="00BE0B1A">
                  <w:pPr>
                    <w:pStyle w:val="TableUnitsRow"/>
                    <w:jc w:val="left"/>
                  </w:pPr>
                  <w:r>
                    <w:t>(FBTAA, s. 58ZC)</w:t>
                  </w:r>
                </w:p>
              </w:tc>
              <w:tc>
                <w:tcPr>
                  <w:tcW w:w="1931" w:type="pct"/>
                  <w:tcBorders>
                    <w:top w:val="single" w:sz="6" w:space="0" w:color="BFBFBF"/>
                  </w:tcBorders>
                  <w:shd w:val="clear" w:color="auto" w:fill="E0F1F7" w:themeFill="text2" w:themeFillTint="33"/>
                </w:tcPr>
                <w:p w14:paraId="0880C66F" w14:textId="08B769CF" w:rsidR="00D8619A" w:rsidRDefault="009C34D6" w:rsidP="00D8619A">
                  <w:pPr>
                    <w:pStyle w:val="TableBullet"/>
                    <w:tabs>
                      <w:tab w:val="clear" w:pos="360"/>
                      <w:tab w:val="num" w:pos="170"/>
                    </w:tabs>
                    <w:ind w:left="170" w:hanging="170"/>
                  </w:pPr>
                  <w:r>
                    <w:t xml:space="preserve">Change </w:t>
                  </w:r>
                  <w:r w:rsidR="00D8619A">
                    <w:t>the exemption</w:t>
                  </w:r>
                  <w:r>
                    <w:t xml:space="preserve"> back</w:t>
                  </w:r>
                  <w:r w:rsidR="00D8619A">
                    <w:t xml:space="preserve"> to a 50 per cent concession</w:t>
                  </w:r>
                </w:p>
                <w:p w14:paraId="4F4950D6" w14:textId="77777777" w:rsidR="00D8619A" w:rsidRDefault="00D8619A" w:rsidP="00D8619A">
                  <w:pPr>
                    <w:pStyle w:val="TableBullet"/>
                    <w:tabs>
                      <w:tab w:val="clear" w:pos="360"/>
                      <w:tab w:val="num" w:pos="170"/>
                    </w:tabs>
                    <w:ind w:left="170" w:hanging="170"/>
                  </w:pPr>
                  <w:r>
                    <w:t>Remove the provision that enables employers to claim the concession because it is ‘customary’ to provide housing (s. 58ZC(2)(d)(iii))</w:t>
                  </w:r>
                </w:p>
                <w:p w14:paraId="4AAF0AA4" w14:textId="77777777" w:rsidR="00D8619A" w:rsidRDefault="00D8619A" w:rsidP="00D8619A">
                  <w:pPr>
                    <w:pStyle w:val="TableBullet"/>
                    <w:tabs>
                      <w:tab w:val="clear" w:pos="360"/>
                      <w:tab w:val="num" w:pos="170"/>
                    </w:tabs>
                    <w:ind w:left="170" w:hanging="170"/>
                  </w:pPr>
                  <w:r>
                    <w:t>Remove the extension of the concession to additional areas for ‘certain regional employers’ (s. 140(1A))</w:t>
                  </w:r>
                </w:p>
              </w:tc>
            </w:tr>
            <w:tr w:rsidR="00D8619A" w14:paraId="370688D8" w14:textId="77777777" w:rsidTr="00BE0B1A">
              <w:tc>
                <w:tcPr>
                  <w:tcW w:w="958" w:type="pct"/>
                </w:tcPr>
                <w:p w14:paraId="5B6939E2" w14:textId="77777777" w:rsidR="00D8619A" w:rsidRDefault="00D8619A" w:rsidP="00BE0B1A">
                  <w:pPr>
                    <w:pStyle w:val="TableBodyText"/>
                    <w:jc w:val="left"/>
                  </w:pPr>
                  <w:r>
                    <w:t>Employee</w:t>
                  </w:r>
                  <w:r>
                    <w:noBreakHyphen/>
                    <w:t>sourced housing</w:t>
                  </w:r>
                </w:p>
              </w:tc>
              <w:tc>
                <w:tcPr>
                  <w:tcW w:w="2111" w:type="pct"/>
                </w:tcPr>
                <w:p w14:paraId="6EDE8644" w14:textId="77777777" w:rsidR="00D8619A" w:rsidRDefault="00D8619A" w:rsidP="00BE0B1A">
                  <w:pPr>
                    <w:pStyle w:val="TableBodyText"/>
                    <w:jc w:val="left"/>
                  </w:pPr>
                  <w:r>
                    <w:t>Partial (50 per cent) concession on other forms of housing assistance in designated remote areas</w:t>
                  </w:r>
                </w:p>
                <w:p w14:paraId="69D1BF82" w14:textId="77777777" w:rsidR="00D8619A" w:rsidRDefault="00D8619A" w:rsidP="00BE0B1A">
                  <w:pPr>
                    <w:pStyle w:val="TableBodyText"/>
                    <w:jc w:val="left"/>
                  </w:pPr>
                  <w:r>
                    <w:t xml:space="preserve">(FBTAA, s. 60) </w:t>
                  </w:r>
                </w:p>
              </w:tc>
              <w:tc>
                <w:tcPr>
                  <w:tcW w:w="1931" w:type="pct"/>
                </w:tcPr>
                <w:p w14:paraId="2EACD224" w14:textId="77777777" w:rsidR="00D8619A" w:rsidRDefault="00D8619A" w:rsidP="00D8619A">
                  <w:pPr>
                    <w:pStyle w:val="TableBullet"/>
                    <w:tabs>
                      <w:tab w:val="clear" w:pos="360"/>
                      <w:tab w:val="num" w:pos="170"/>
                    </w:tabs>
                    <w:ind w:left="170" w:hanging="170"/>
                  </w:pPr>
                  <w:r>
                    <w:t>Remove the partial concessions on employee</w:t>
                  </w:r>
                  <w:r>
                    <w:noBreakHyphen/>
                    <w:t>sourced housing</w:t>
                  </w:r>
                </w:p>
              </w:tc>
            </w:tr>
            <w:tr w:rsidR="00D8619A" w14:paraId="0D4907A9" w14:textId="77777777" w:rsidTr="00F02C6D">
              <w:tc>
                <w:tcPr>
                  <w:tcW w:w="958" w:type="pct"/>
                  <w:shd w:val="clear" w:color="auto" w:fill="E0F1F7" w:themeFill="text2" w:themeFillTint="33"/>
                </w:tcPr>
                <w:p w14:paraId="10BC912D" w14:textId="77777777" w:rsidR="00D8619A" w:rsidRDefault="00D8619A" w:rsidP="00BE0B1A">
                  <w:pPr>
                    <w:pStyle w:val="TableBodyText"/>
                    <w:jc w:val="left"/>
                  </w:pPr>
                  <w:r>
                    <w:t>Temporary accommodation, meals and transport for FIFO workers</w:t>
                  </w:r>
                </w:p>
              </w:tc>
              <w:tc>
                <w:tcPr>
                  <w:tcW w:w="2111" w:type="pct"/>
                  <w:shd w:val="clear" w:color="auto" w:fill="E0F1F7" w:themeFill="text2" w:themeFillTint="33"/>
                </w:tcPr>
                <w:p w14:paraId="2D1A227F" w14:textId="77777777" w:rsidR="00D8619A" w:rsidRDefault="00D8619A" w:rsidP="00BE0B1A">
                  <w:pPr>
                    <w:pStyle w:val="TableBodyText"/>
                    <w:jc w:val="left"/>
                  </w:pPr>
                  <w:r>
                    <w:t>Exemption from FBT for temporary accommodation, meals and transport for FIFO workers</w:t>
                  </w:r>
                </w:p>
                <w:p w14:paraId="5EAA2FFC" w14:textId="77777777" w:rsidR="00D8619A" w:rsidRDefault="00D8619A" w:rsidP="00BE0B1A">
                  <w:pPr>
                    <w:pStyle w:val="TableBodyText"/>
                    <w:jc w:val="left"/>
                  </w:pPr>
                  <w:r>
                    <w:t>(Note that remote area transport (s. 47(7)) is the only FIFO concession linked to remote area boundaries)</w:t>
                  </w:r>
                </w:p>
              </w:tc>
              <w:tc>
                <w:tcPr>
                  <w:tcW w:w="1931" w:type="pct"/>
                  <w:shd w:val="clear" w:color="auto" w:fill="E0F1F7" w:themeFill="text2" w:themeFillTint="33"/>
                </w:tcPr>
                <w:p w14:paraId="41FFCC2F" w14:textId="77777777" w:rsidR="00D8619A" w:rsidRDefault="00D8619A" w:rsidP="00D8619A">
                  <w:pPr>
                    <w:pStyle w:val="TableBullet"/>
                    <w:tabs>
                      <w:tab w:val="clear" w:pos="360"/>
                      <w:tab w:val="num" w:pos="170"/>
                    </w:tabs>
                    <w:ind w:left="170" w:hanging="170"/>
                  </w:pPr>
                  <w:r>
                    <w:t>No change to existing concessions for FIFO arrangements</w:t>
                  </w:r>
                </w:p>
              </w:tc>
            </w:tr>
            <w:tr w:rsidR="00D8619A" w14:paraId="7F8FE3FF" w14:textId="77777777" w:rsidTr="00BE0B1A">
              <w:tc>
                <w:tcPr>
                  <w:tcW w:w="958" w:type="pct"/>
                  <w:shd w:val="clear" w:color="auto" w:fill="auto"/>
                </w:tcPr>
                <w:p w14:paraId="45B7970A" w14:textId="77777777" w:rsidR="00D8619A" w:rsidRDefault="00D8619A" w:rsidP="00BE0B1A">
                  <w:pPr>
                    <w:pStyle w:val="TableBodyText"/>
                    <w:jc w:val="left"/>
                  </w:pPr>
                  <w:r>
                    <w:t>Residential fuel</w:t>
                  </w:r>
                </w:p>
              </w:tc>
              <w:tc>
                <w:tcPr>
                  <w:tcW w:w="2111" w:type="pct"/>
                </w:tcPr>
                <w:p w14:paraId="2F2A40C3" w14:textId="77777777" w:rsidR="00D8619A" w:rsidRDefault="00D8619A" w:rsidP="00BE0B1A">
                  <w:pPr>
                    <w:pStyle w:val="TableBodyText"/>
                    <w:jc w:val="left"/>
                  </w:pPr>
                  <w:r>
                    <w:t xml:space="preserve">Partial (50 per cent) concession for residential fuel used in housing that attracts an FBT remote area concession </w:t>
                  </w:r>
                </w:p>
                <w:p w14:paraId="0303426C" w14:textId="77777777" w:rsidR="00D8619A" w:rsidRDefault="00D8619A" w:rsidP="00BE0B1A">
                  <w:pPr>
                    <w:pStyle w:val="TableBodyText"/>
                    <w:jc w:val="left"/>
                  </w:pPr>
                  <w:r>
                    <w:t>(FBTAA, s. 59)</w:t>
                  </w:r>
                </w:p>
              </w:tc>
              <w:tc>
                <w:tcPr>
                  <w:tcW w:w="1931" w:type="pct"/>
                  <w:shd w:val="clear" w:color="auto" w:fill="auto"/>
                </w:tcPr>
                <w:p w14:paraId="2F17EAF3" w14:textId="77777777" w:rsidR="00D8619A" w:rsidRDefault="00D8619A" w:rsidP="00D8619A">
                  <w:pPr>
                    <w:pStyle w:val="TableBullet"/>
                    <w:tabs>
                      <w:tab w:val="clear" w:pos="360"/>
                      <w:tab w:val="num" w:pos="170"/>
                    </w:tabs>
                    <w:ind w:left="170" w:hanging="170"/>
                  </w:pPr>
                  <w:r>
                    <w:t>Limit access to the concession for use in conjunction with employer</w:t>
                  </w:r>
                  <w:r>
                    <w:noBreakHyphen/>
                    <w:t>provided housing to instances where there is an operational requirement for the employer to provide residential fuel (s. 59(1))</w:t>
                  </w:r>
                </w:p>
                <w:p w14:paraId="439D2B38" w14:textId="77777777" w:rsidR="00D8619A" w:rsidRDefault="00D8619A" w:rsidP="00D8619A">
                  <w:pPr>
                    <w:pStyle w:val="TableBullet"/>
                    <w:tabs>
                      <w:tab w:val="clear" w:pos="360"/>
                      <w:tab w:val="num" w:pos="170"/>
                    </w:tabs>
                    <w:ind w:left="170" w:hanging="170"/>
                  </w:pPr>
                  <w:r>
                    <w:t>Remove the concession for use in conjunction with employee</w:t>
                  </w:r>
                  <w:r>
                    <w:noBreakHyphen/>
                    <w:t>sourced housing (s. 59(2) and (3))</w:t>
                  </w:r>
                </w:p>
              </w:tc>
            </w:tr>
            <w:tr w:rsidR="00D8619A" w14:paraId="2901F743" w14:textId="77777777" w:rsidTr="00F02C6D">
              <w:tc>
                <w:tcPr>
                  <w:tcW w:w="958" w:type="pct"/>
                  <w:shd w:val="clear" w:color="auto" w:fill="E0F1F7" w:themeFill="text2" w:themeFillTint="33"/>
                </w:tcPr>
                <w:p w14:paraId="4E2AB9FA" w14:textId="77777777" w:rsidR="00D8619A" w:rsidRDefault="00D8619A" w:rsidP="00BE0B1A">
                  <w:pPr>
                    <w:pStyle w:val="TableBodyText"/>
                    <w:jc w:val="left"/>
                  </w:pPr>
                  <w:r>
                    <w:t>Meals for primary production employees</w:t>
                  </w:r>
                </w:p>
              </w:tc>
              <w:tc>
                <w:tcPr>
                  <w:tcW w:w="2111" w:type="pct"/>
                  <w:shd w:val="clear" w:color="auto" w:fill="E0F1F7" w:themeFill="text2" w:themeFillTint="33"/>
                </w:tcPr>
                <w:p w14:paraId="582D8DE6" w14:textId="77777777" w:rsidR="00D8619A" w:rsidRDefault="00D8619A" w:rsidP="00BE0B1A">
                  <w:pPr>
                    <w:pStyle w:val="TableBodyText"/>
                    <w:jc w:val="left"/>
                  </w:pPr>
                  <w:r>
                    <w:t>Exemption from FBT for meals provided to primary production employees on work days</w:t>
                  </w:r>
                </w:p>
                <w:p w14:paraId="66A9A7D7" w14:textId="77777777" w:rsidR="00D8619A" w:rsidRDefault="00D8619A" w:rsidP="00BE0B1A">
                  <w:pPr>
                    <w:pStyle w:val="TableBodyText"/>
                    <w:jc w:val="left"/>
                  </w:pPr>
                  <w:r>
                    <w:t>(FBTAA, s. 58ZD)</w:t>
                  </w:r>
                </w:p>
              </w:tc>
              <w:tc>
                <w:tcPr>
                  <w:tcW w:w="1931" w:type="pct"/>
                  <w:shd w:val="clear" w:color="auto" w:fill="E0F1F7" w:themeFill="text2" w:themeFillTint="33"/>
                </w:tcPr>
                <w:p w14:paraId="1598C38B" w14:textId="77777777" w:rsidR="00D8619A" w:rsidRDefault="00D8619A" w:rsidP="00D8619A">
                  <w:pPr>
                    <w:pStyle w:val="TableBullet"/>
                    <w:tabs>
                      <w:tab w:val="clear" w:pos="360"/>
                      <w:tab w:val="num" w:pos="170"/>
                    </w:tabs>
                    <w:ind w:left="170" w:hanging="170"/>
                  </w:pPr>
                  <w:r>
                    <w:t>Limit access to instances where there is an operational requirement to provide meals</w:t>
                  </w:r>
                </w:p>
                <w:p w14:paraId="20925635" w14:textId="415E40A8" w:rsidR="00D8619A" w:rsidRDefault="00D8619A" w:rsidP="00D8619A">
                  <w:pPr>
                    <w:pStyle w:val="TableBullet"/>
                    <w:tabs>
                      <w:tab w:val="clear" w:pos="360"/>
                      <w:tab w:val="num" w:pos="170"/>
                    </w:tabs>
                    <w:ind w:left="170" w:hanging="170"/>
                  </w:pPr>
                  <w:r>
                    <w:t xml:space="preserve">Remove the definition limiting the exemption to meals </w:t>
                  </w:r>
                  <w:r w:rsidR="00003EAF">
                    <w:t>‘</w:t>
                  </w:r>
                  <w:r>
                    <w:t>ready for consumption’</w:t>
                  </w:r>
                </w:p>
              </w:tc>
            </w:tr>
            <w:tr w:rsidR="00D8619A" w14:paraId="4A29CC7D" w14:textId="77777777" w:rsidTr="00BE0B1A">
              <w:tc>
                <w:tcPr>
                  <w:tcW w:w="958" w:type="pct"/>
                  <w:tcBorders>
                    <w:bottom w:val="single" w:sz="6" w:space="0" w:color="BFBFBF"/>
                  </w:tcBorders>
                  <w:shd w:val="clear" w:color="auto" w:fill="auto"/>
                </w:tcPr>
                <w:p w14:paraId="4B778E2B" w14:textId="77777777" w:rsidR="00D8619A" w:rsidRDefault="00D8619A" w:rsidP="00BE0B1A">
                  <w:pPr>
                    <w:pStyle w:val="TableBodyText"/>
                    <w:jc w:val="left"/>
                  </w:pPr>
                  <w:r>
                    <w:t>Holiday transport</w:t>
                  </w:r>
                </w:p>
              </w:tc>
              <w:tc>
                <w:tcPr>
                  <w:tcW w:w="2111" w:type="pct"/>
                  <w:tcBorders>
                    <w:bottom w:val="single" w:sz="6" w:space="0" w:color="BFBFBF"/>
                  </w:tcBorders>
                </w:tcPr>
                <w:p w14:paraId="4495F6BD" w14:textId="77777777" w:rsidR="00D8619A" w:rsidRDefault="00D8619A" w:rsidP="00BE0B1A">
                  <w:pPr>
                    <w:pStyle w:val="TableBodyText"/>
                    <w:jc w:val="left"/>
                  </w:pPr>
                  <w:r>
                    <w:t>Partial (50 per cent) concession on return holiday transport to specified destinations.</w:t>
                  </w:r>
                </w:p>
                <w:p w14:paraId="482798CF" w14:textId="77777777" w:rsidR="00D8619A" w:rsidRDefault="00D8619A" w:rsidP="00BE0B1A">
                  <w:pPr>
                    <w:pStyle w:val="TableBodyText"/>
                    <w:jc w:val="left"/>
                  </w:pPr>
                  <w:r>
                    <w:t>(FBTAA, s. 60A and s. 61)</w:t>
                  </w:r>
                </w:p>
              </w:tc>
              <w:tc>
                <w:tcPr>
                  <w:tcW w:w="1931" w:type="pct"/>
                  <w:tcBorders>
                    <w:bottom w:val="single" w:sz="6" w:space="0" w:color="BFBFBF"/>
                  </w:tcBorders>
                  <w:shd w:val="clear" w:color="auto" w:fill="auto"/>
                </w:tcPr>
                <w:p w14:paraId="321E2979" w14:textId="77777777" w:rsidR="00D8619A" w:rsidRDefault="00D8619A" w:rsidP="00D8619A">
                  <w:pPr>
                    <w:pStyle w:val="TableBullet"/>
                    <w:tabs>
                      <w:tab w:val="clear" w:pos="360"/>
                      <w:tab w:val="num" w:pos="170"/>
                    </w:tabs>
                    <w:ind w:left="170" w:hanging="170"/>
                  </w:pPr>
                  <w:r>
                    <w:t>Remove the holiday transport concession</w:t>
                  </w:r>
                </w:p>
              </w:tc>
            </w:tr>
          </w:tbl>
          <w:p w14:paraId="4096C6D4" w14:textId="77777777" w:rsidR="00D8619A" w:rsidRDefault="00D8619A" w:rsidP="00BE0B1A">
            <w:pPr>
              <w:pStyle w:val="Box"/>
            </w:pPr>
          </w:p>
        </w:tc>
      </w:tr>
      <w:tr w:rsidR="00D8619A" w14:paraId="2132EC53" w14:textId="77777777" w:rsidTr="00BE0B1A">
        <w:tc>
          <w:tcPr>
            <w:tcW w:w="5000" w:type="pct"/>
            <w:tcBorders>
              <w:top w:val="nil"/>
              <w:left w:val="nil"/>
              <w:bottom w:val="single" w:sz="6" w:space="0" w:color="78A22F"/>
              <w:right w:val="nil"/>
            </w:tcBorders>
            <w:shd w:val="clear" w:color="auto" w:fill="auto"/>
          </w:tcPr>
          <w:p w14:paraId="5AF918A2" w14:textId="77777777" w:rsidR="00D8619A" w:rsidRDefault="00D8619A" w:rsidP="00BE0B1A">
            <w:pPr>
              <w:pStyle w:val="Box"/>
              <w:spacing w:before="0" w:line="120" w:lineRule="exact"/>
            </w:pPr>
          </w:p>
        </w:tc>
      </w:tr>
      <w:tr w:rsidR="00D8619A" w:rsidRPr="000863A5" w14:paraId="6DDABC33" w14:textId="77777777" w:rsidTr="00BE0B1A">
        <w:tc>
          <w:tcPr>
            <w:tcW w:w="5000" w:type="pct"/>
            <w:tcBorders>
              <w:top w:val="single" w:sz="6" w:space="0" w:color="78A22F"/>
              <w:left w:val="nil"/>
              <w:bottom w:val="nil"/>
              <w:right w:val="nil"/>
            </w:tcBorders>
          </w:tcPr>
          <w:p w14:paraId="39A0EE17" w14:textId="7ED5CED1" w:rsidR="00D8619A" w:rsidRPr="00626D32" w:rsidRDefault="00D8619A" w:rsidP="00BE0B1A">
            <w:pPr>
              <w:pStyle w:val="BoxSpaceBelow"/>
            </w:pPr>
          </w:p>
        </w:tc>
      </w:tr>
    </w:tbl>
    <w:p w14:paraId="56B91EA3" w14:textId="747FD222" w:rsidR="00BF738A" w:rsidRPr="00BF738A" w:rsidRDefault="005B4017" w:rsidP="005B4017">
      <w:pPr>
        <w:spacing w:after="240"/>
        <w:jc w:val="center"/>
        <w:rPr>
          <w:rFonts w:ascii="Arial" w:hAnsi="Arial" w:cs="Arial"/>
        </w:rPr>
      </w:pPr>
      <w:r>
        <w:rPr>
          <w:rFonts w:ascii="Arial" w:hAnsi="Arial" w:cs="Arial"/>
        </w:rPr>
        <w:t>[END]</w:t>
      </w:r>
    </w:p>
    <w:sectPr w:rsidR="00BF738A" w:rsidRPr="00BF738A" w:rsidSect="006A10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693" w:right="1134" w:bottom="1701" w:left="1134" w:header="709" w:footer="9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7E4032" w14:textId="77777777" w:rsidR="00AD3032" w:rsidRDefault="00AD3032" w:rsidP="00BF738A">
      <w:pPr>
        <w:spacing w:after="0" w:line="240" w:lineRule="auto"/>
      </w:pPr>
      <w:r>
        <w:separator/>
      </w:r>
    </w:p>
  </w:endnote>
  <w:endnote w:type="continuationSeparator" w:id="0">
    <w:p w14:paraId="352A3D5F" w14:textId="77777777" w:rsidR="00AD3032" w:rsidRDefault="00AD3032" w:rsidP="00BF738A">
      <w:pPr>
        <w:spacing w:after="0" w:line="240" w:lineRule="auto"/>
      </w:pPr>
      <w:r>
        <w:continuationSeparator/>
      </w:r>
    </w:p>
  </w:endnote>
  <w:endnote w:type="continuationNotice" w:id="1">
    <w:p w14:paraId="6AB5A25D" w14:textId="77777777" w:rsidR="00AD3032" w:rsidRDefault="00AD303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23F9F5" w14:textId="77777777" w:rsidR="005B404C" w:rsidRDefault="005B404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61965784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14:paraId="44C4A482" w14:textId="7D094060" w:rsidR="00AD3032" w:rsidRPr="00FD6A55" w:rsidRDefault="00AD3032" w:rsidP="006A10C4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FD6A55">
          <w:rPr>
            <w:rFonts w:ascii="Arial" w:eastAsia="Times New Roman" w:hAnsi="Arial" w:cs="Arial"/>
            <w:noProof/>
            <w:kern w:val="16"/>
            <w:sz w:val="18"/>
            <w:szCs w:val="18"/>
            <w:lang w:eastAsia="en-AU"/>
          </w:rPr>
          <w:drawing>
            <wp:anchor distT="0" distB="0" distL="114300" distR="114300" simplePos="0" relativeHeight="251658241" behindDoc="1" locked="0" layoutInCell="1" allowOverlap="1" wp14:anchorId="5594A8A9" wp14:editId="43173097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560000" cy="961200"/>
              <wp:effectExtent l="0" t="0" r="3175" b="0"/>
              <wp:wrapNone/>
              <wp:docPr id="5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Footer.jpg"/>
                      <pic:cNvPicPr/>
                    </pic:nvPicPr>
                    <pic:blipFill rotWithShape="1"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20472"/>
                      <a:stretch/>
                    </pic:blipFill>
                    <pic:spPr bwMode="auto">
                      <a:xfrm>
                        <a:off x="0" y="0"/>
                        <a:ext cx="7560000" cy="96120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FD6A55">
          <w:rPr>
            <w:rFonts w:ascii="Arial" w:hAnsi="Arial" w:cs="Arial"/>
            <w:sz w:val="18"/>
            <w:szCs w:val="18"/>
          </w:rPr>
          <w:fldChar w:fldCharType="begin"/>
        </w:r>
        <w:r w:rsidRPr="00FD6A55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FD6A55">
          <w:rPr>
            <w:rFonts w:ascii="Arial" w:hAnsi="Arial" w:cs="Arial"/>
            <w:sz w:val="18"/>
            <w:szCs w:val="18"/>
          </w:rPr>
          <w:fldChar w:fldCharType="separate"/>
        </w:r>
        <w:r w:rsidR="00070FD0">
          <w:rPr>
            <w:rFonts w:ascii="Arial" w:hAnsi="Arial" w:cs="Arial"/>
            <w:noProof/>
            <w:sz w:val="18"/>
            <w:szCs w:val="18"/>
          </w:rPr>
          <w:t>3</w:t>
        </w:r>
        <w:r w:rsidRPr="00FD6A55">
          <w:rPr>
            <w:rFonts w:ascii="Arial" w:hAnsi="Arial" w:cs="Arial"/>
            <w:noProof/>
            <w:sz w:val="18"/>
            <w:szCs w:val="18"/>
          </w:rPr>
          <w:fldChar w:fldCharType="end"/>
        </w:r>
        <w:r w:rsidR="005B4017">
          <w:rPr>
            <w:rFonts w:ascii="Arial" w:hAnsi="Arial" w:cs="Arial"/>
            <w:noProof/>
            <w:sz w:val="18"/>
            <w:szCs w:val="18"/>
          </w:rPr>
          <w:t>/3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DAEC3B" w14:textId="77777777" w:rsidR="005B404C" w:rsidRDefault="005B404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912961" w14:textId="77777777" w:rsidR="00AD3032" w:rsidRDefault="00AD3032" w:rsidP="00BF738A">
      <w:pPr>
        <w:spacing w:after="0" w:line="240" w:lineRule="auto"/>
      </w:pPr>
      <w:r>
        <w:separator/>
      </w:r>
    </w:p>
  </w:footnote>
  <w:footnote w:type="continuationSeparator" w:id="0">
    <w:p w14:paraId="7E1BB9A7" w14:textId="77777777" w:rsidR="00AD3032" w:rsidRDefault="00AD3032" w:rsidP="00BF738A">
      <w:pPr>
        <w:spacing w:after="0" w:line="240" w:lineRule="auto"/>
      </w:pPr>
      <w:r>
        <w:continuationSeparator/>
      </w:r>
    </w:p>
  </w:footnote>
  <w:footnote w:type="continuationNotice" w:id="1">
    <w:p w14:paraId="203000B1" w14:textId="77777777" w:rsidR="00AD3032" w:rsidRDefault="00AD3032">
      <w:pPr>
        <w:spacing w:after="0" w:line="240" w:lineRule="auto"/>
      </w:pPr>
    </w:p>
  </w:footnote>
  <w:footnote w:id="2">
    <w:p w14:paraId="4CC185A5" w14:textId="65906241" w:rsidR="00AD3032" w:rsidRDefault="00AD3032">
      <w:pPr>
        <w:pStyle w:val="FootnoteText"/>
      </w:pPr>
      <w:r>
        <w:rPr>
          <w:rStyle w:val="FootnoteReference"/>
        </w:rPr>
        <w:footnoteRef/>
      </w:r>
      <w:r>
        <w:t xml:space="preserve"> Some additional exemptions, on temporary accommodation, meals and (in some cases) transport for FIFO workers, are not restricted by FBT remote area definitions.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59C585" w14:textId="77777777" w:rsidR="005B404C" w:rsidRDefault="005B404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E2DBAF" w14:textId="1652C78D" w:rsidR="00AD3032" w:rsidRPr="002A300B" w:rsidRDefault="00AD3032" w:rsidP="00BF738A">
    <w:pPr>
      <w:spacing w:before="120" w:after="0" w:line="240" w:lineRule="auto"/>
      <w:ind w:right="-46"/>
      <w:jc w:val="right"/>
      <w:rPr>
        <w:rFonts w:ascii="Verdana" w:eastAsia="Times New Roman" w:hAnsi="Verdana" w:cs="Arial"/>
        <w:b/>
        <w:color w:val="FFFFFF" w:themeColor="background1"/>
        <w:sz w:val="28"/>
        <w:szCs w:val="28"/>
        <w:lang w:eastAsia="en-AU"/>
      </w:rPr>
    </w:pPr>
    <w:r>
      <w:rPr>
        <w:rFonts w:ascii="Verdana" w:eastAsia="Times New Roman" w:hAnsi="Verdana" w:cs="Arial"/>
        <w:b/>
        <w:noProof/>
        <w:color w:val="FFFFFF" w:themeColor="background1"/>
        <w:sz w:val="28"/>
        <w:szCs w:val="28"/>
        <w:lang w:eastAsia="en-AU"/>
      </w:rPr>
      <w:drawing>
        <wp:anchor distT="0" distB="0" distL="114300" distR="114300" simplePos="0" relativeHeight="251658240" behindDoc="1" locked="0" layoutInCell="1" allowOverlap="1" wp14:anchorId="509B447E" wp14:editId="6F9F83EA">
          <wp:simplePos x="752475" y="523875"/>
          <wp:positionH relativeFrom="page">
            <wp:align>center</wp:align>
          </wp:positionH>
          <wp:positionV relativeFrom="page">
            <wp:posOffset>-9525</wp:posOffset>
          </wp:positionV>
          <wp:extent cx="7561921" cy="1581150"/>
          <wp:effectExtent l="0" t="0" r="127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 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753"/>
                  <a:stretch/>
                </pic:blipFill>
                <pic:spPr bwMode="auto">
                  <a:xfrm>
                    <a:off x="0" y="0"/>
                    <a:ext cx="7560000" cy="158074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Verdana" w:eastAsia="Times New Roman" w:hAnsi="Verdana" w:cs="Arial"/>
        <w:b/>
        <w:noProof/>
        <w:color w:val="FFFFFF" w:themeColor="background1"/>
        <w:sz w:val="28"/>
        <w:szCs w:val="28"/>
        <w:lang w:eastAsia="en-AU"/>
      </w:rPr>
      <w:t xml:space="preserve">FACT SHEET </w:t>
    </w:r>
    <w:r w:rsidR="00694D53">
      <w:rPr>
        <w:rFonts w:ascii="Verdana" w:eastAsia="Times New Roman" w:hAnsi="Verdana" w:cs="Arial"/>
        <w:b/>
        <w:noProof/>
        <w:color w:val="FFFFFF" w:themeColor="background1"/>
        <w:sz w:val="28"/>
        <w:szCs w:val="28"/>
        <w:lang w:eastAsia="en-AU"/>
      </w:rPr>
      <w:t>3</w:t>
    </w:r>
  </w:p>
  <w:p w14:paraId="3C128BB6" w14:textId="77777777" w:rsidR="00AD3032" w:rsidRPr="00057037" w:rsidRDefault="00AD3032" w:rsidP="00057037">
    <w:pPr>
      <w:spacing w:before="200" w:after="0" w:line="240" w:lineRule="auto"/>
      <w:ind w:right="-46"/>
      <w:jc w:val="right"/>
      <w:rPr>
        <w:rFonts w:ascii="Verdana" w:eastAsia="Times New Roman" w:hAnsi="Verdana" w:cs="Arial"/>
        <w:b/>
        <w:color w:val="FFFFFF" w:themeColor="background1"/>
        <w:spacing w:val="-6"/>
        <w:lang w:eastAsia="en-AU"/>
      </w:rPr>
    </w:pPr>
    <w:r w:rsidRPr="00057037">
      <w:rPr>
        <w:rFonts w:ascii="Verdana" w:eastAsia="Times New Roman" w:hAnsi="Verdana" w:cs="Arial"/>
        <w:b/>
        <w:color w:val="FFFFFF" w:themeColor="background1"/>
        <w:spacing w:val="-6"/>
        <w:lang w:eastAsia="en-AU"/>
      </w:rPr>
      <w:t>For immediate release</w:t>
    </w:r>
  </w:p>
  <w:p w14:paraId="2E86955E" w14:textId="6331FA4F" w:rsidR="00AD3032" w:rsidRPr="00057037" w:rsidRDefault="00C1066A" w:rsidP="00BF738A">
    <w:pPr>
      <w:spacing w:before="60" w:after="120" w:line="240" w:lineRule="auto"/>
      <w:ind w:right="-46"/>
      <w:jc w:val="right"/>
      <w:rPr>
        <w:rFonts w:ascii="Verdana" w:eastAsia="Times New Roman" w:hAnsi="Verdana" w:cs="Arial"/>
        <w:b/>
        <w:color w:val="FFFFFF" w:themeColor="background1"/>
        <w:spacing w:val="-6"/>
        <w:lang w:eastAsia="en-AU"/>
      </w:rPr>
    </w:pPr>
    <w:r>
      <w:rPr>
        <w:rFonts w:ascii="Verdana" w:eastAsia="Times New Roman" w:hAnsi="Verdana" w:cs="Arial"/>
        <w:b/>
        <w:color w:val="FFFFFF" w:themeColor="background1"/>
        <w:spacing w:val="-6"/>
        <w:lang w:eastAsia="en-AU"/>
      </w:rPr>
      <w:t>11:00</w:t>
    </w:r>
    <w:r w:rsidR="00AD3032" w:rsidRPr="00057037">
      <w:rPr>
        <w:rFonts w:ascii="Verdana" w:eastAsia="Times New Roman" w:hAnsi="Verdana" w:cs="Arial"/>
        <w:b/>
        <w:color w:val="FFFFFF" w:themeColor="background1"/>
        <w:spacing w:val="-6"/>
        <w:lang w:eastAsia="en-AU"/>
      </w:rPr>
      <w:t xml:space="preserve"> am, </w:t>
    </w:r>
    <w:r>
      <w:rPr>
        <w:rFonts w:ascii="Verdana" w:eastAsia="Times New Roman" w:hAnsi="Verdana" w:cs="Arial"/>
        <w:b/>
        <w:color w:val="FFFFFF" w:themeColor="background1"/>
        <w:spacing w:val="-6"/>
        <w:lang w:eastAsia="en-AU"/>
      </w:rPr>
      <w:t>Wednesday 4 September 2019</w:t>
    </w:r>
  </w:p>
  <w:p w14:paraId="7C1CFF3A" w14:textId="77777777" w:rsidR="00AD3032" w:rsidRDefault="00AD303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0CB361" w14:textId="77777777" w:rsidR="005B404C" w:rsidRDefault="005B404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875A6E"/>
    <w:multiLevelType w:val="hybridMultilevel"/>
    <w:tmpl w:val="0D722A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6C480C"/>
    <w:multiLevelType w:val="hybridMultilevel"/>
    <w:tmpl w:val="897A89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3E1FD6"/>
    <w:multiLevelType w:val="singleLevel"/>
    <w:tmpl w:val="039AA380"/>
    <w:lvl w:ilvl="0">
      <w:start w:val="1"/>
      <w:numFmt w:val="bullet"/>
      <w:pStyle w:val="Table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 w:val="0"/>
        <w:i w:val="0"/>
        <w:sz w:val="18"/>
      </w:rPr>
    </w:lvl>
  </w:abstractNum>
  <w:abstractNum w:abstractNumId="3" w15:restartNumberingAfterBreak="0">
    <w:nsid w:val="58D402F7"/>
    <w:multiLevelType w:val="hybridMultilevel"/>
    <w:tmpl w:val="DEC008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655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1DC"/>
    <w:rsid w:val="00003EAF"/>
    <w:rsid w:val="00010A90"/>
    <w:rsid w:val="00014C04"/>
    <w:rsid w:val="00026A95"/>
    <w:rsid w:val="00031053"/>
    <w:rsid w:val="00032DB3"/>
    <w:rsid w:val="00032E36"/>
    <w:rsid w:val="000414CB"/>
    <w:rsid w:val="00043180"/>
    <w:rsid w:val="00047231"/>
    <w:rsid w:val="0005021E"/>
    <w:rsid w:val="00057037"/>
    <w:rsid w:val="00057A10"/>
    <w:rsid w:val="000624CA"/>
    <w:rsid w:val="00070FD0"/>
    <w:rsid w:val="00080079"/>
    <w:rsid w:val="00082258"/>
    <w:rsid w:val="00087400"/>
    <w:rsid w:val="00093235"/>
    <w:rsid w:val="00094363"/>
    <w:rsid w:val="00096394"/>
    <w:rsid w:val="000A66A6"/>
    <w:rsid w:val="000B0581"/>
    <w:rsid w:val="000B1AD7"/>
    <w:rsid w:val="000D0706"/>
    <w:rsid w:val="000D213C"/>
    <w:rsid w:val="000E2E8F"/>
    <w:rsid w:val="000E512C"/>
    <w:rsid w:val="000E7CB3"/>
    <w:rsid w:val="000E7EB7"/>
    <w:rsid w:val="000F6B7C"/>
    <w:rsid w:val="000F7997"/>
    <w:rsid w:val="000F7DC7"/>
    <w:rsid w:val="00105061"/>
    <w:rsid w:val="001079B9"/>
    <w:rsid w:val="0011126C"/>
    <w:rsid w:val="00112DDE"/>
    <w:rsid w:val="00113BD1"/>
    <w:rsid w:val="00120E3B"/>
    <w:rsid w:val="00122CCF"/>
    <w:rsid w:val="00123D34"/>
    <w:rsid w:val="00123E0B"/>
    <w:rsid w:val="00124650"/>
    <w:rsid w:val="0013472B"/>
    <w:rsid w:val="001453C1"/>
    <w:rsid w:val="001552F8"/>
    <w:rsid w:val="001556E0"/>
    <w:rsid w:val="0016258F"/>
    <w:rsid w:val="00165D35"/>
    <w:rsid w:val="00167E62"/>
    <w:rsid w:val="001812CF"/>
    <w:rsid w:val="00186636"/>
    <w:rsid w:val="00187858"/>
    <w:rsid w:val="00195BC7"/>
    <w:rsid w:val="0019734C"/>
    <w:rsid w:val="001A41E0"/>
    <w:rsid w:val="001B1430"/>
    <w:rsid w:val="001B366A"/>
    <w:rsid w:val="001C6FCE"/>
    <w:rsid w:val="001E1A3B"/>
    <w:rsid w:val="001E5A4D"/>
    <w:rsid w:val="001F0007"/>
    <w:rsid w:val="001F7C1E"/>
    <w:rsid w:val="002049C8"/>
    <w:rsid w:val="00204AEA"/>
    <w:rsid w:val="002156BA"/>
    <w:rsid w:val="00224986"/>
    <w:rsid w:val="002363A4"/>
    <w:rsid w:val="00236854"/>
    <w:rsid w:val="00241AD6"/>
    <w:rsid w:val="00244822"/>
    <w:rsid w:val="00245BF3"/>
    <w:rsid w:val="00246803"/>
    <w:rsid w:val="0025116E"/>
    <w:rsid w:val="00265721"/>
    <w:rsid w:val="002727F7"/>
    <w:rsid w:val="0027417E"/>
    <w:rsid w:val="00275630"/>
    <w:rsid w:val="0028678A"/>
    <w:rsid w:val="0029257E"/>
    <w:rsid w:val="002A5576"/>
    <w:rsid w:val="002A7ACA"/>
    <w:rsid w:val="002B433D"/>
    <w:rsid w:val="002B4718"/>
    <w:rsid w:val="002B771A"/>
    <w:rsid w:val="002B783A"/>
    <w:rsid w:val="002C1B79"/>
    <w:rsid w:val="002C7BAC"/>
    <w:rsid w:val="002D0F6D"/>
    <w:rsid w:val="002D4031"/>
    <w:rsid w:val="002D6888"/>
    <w:rsid w:val="002E237B"/>
    <w:rsid w:val="002E61C0"/>
    <w:rsid w:val="002F587D"/>
    <w:rsid w:val="002F6E69"/>
    <w:rsid w:val="00311168"/>
    <w:rsid w:val="00314BBB"/>
    <w:rsid w:val="00327524"/>
    <w:rsid w:val="00330B10"/>
    <w:rsid w:val="00332B7D"/>
    <w:rsid w:val="003603F4"/>
    <w:rsid w:val="003627CE"/>
    <w:rsid w:val="003718FD"/>
    <w:rsid w:val="0037674C"/>
    <w:rsid w:val="003804AD"/>
    <w:rsid w:val="003839D9"/>
    <w:rsid w:val="003842C2"/>
    <w:rsid w:val="00386BCE"/>
    <w:rsid w:val="003871D6"/>
    <w:rsid w:val="003A668F"/>
    <w:rsid w:val="003B6540"/>
    <w:rsid w:val="003C3B7B"/>
    <w:rsid w:val="003D041B"/>
    <w:rsid w:val="003D26F6"/>
    <w:rsid w:val="003D5001"/>
    <w:rsid w:val="003E2FE4"/>
    <w:rsid w:val="003F7FB8"/>
    <w:rsid w:val="00401D06"/>
    <w:rsid w:val="00403DED"/>
    <w:rsid w:val="004049E6"/>
    <w:rsid w:val="0042603B"/>
    <w:rsid w:val="00427DB3"/>
    <w:rsid w:val="004350E4"/>
    <w:rsid w:val="00436ED2"/>
    <w:rsid w:val="00444F6D"/>
    <w:rsid w:val="004572C5"/>
    <w:rsid w:val="00462040"/>
    <w:rsid w:val="004673A3"/>
    <w:rsid w:val="00471E79"/>
    <w:rsid w:val="00471E9A"/>
    <w:rsid w:val="004754AF"/>
    <w:rsid w:val="004805F5"/>
    <w:rsid w:val="004817A5"/>
    <w:rsid w:val="00494673"/>
    <w:rsid w:val="004956D4"/>
    <w:rsid w:val="004A3636"/>
    <w:rsid w:val="004A72AF"/>
    <w:rsid w:val="004B35F7"/>
    <w:rsid w:val="004C32A5"/>
    <w:rsid w:val="004C55A9"/>
    <w:rsid w:val="004D13E0"/>
    <w:rsid w:val="004D38CB"/>
    <w:rsid w:val="004D5EF3"/>
    <w:rsid w:val="004F6761"/>
    <w:rsid w:val="004F6D35"/>
    <w:rsid w:val="00501E48"/>
    <w:rsid w:val="0050596B"/>
    <w:rsid w:val="00516967"/>
    <w:rsid w:val="0052710B"/>
    <w:rsid w:val="00530BFE"/>
    <w:rsid w:val="00531E41"/>
    <w:rsid w:val="00540468"/>
    <w:rsid w:val="00541810"/>
    <w:rsid w:val="0054316C"/>
    <w:rsid w:val="00546B32"/>
    <w:rsid w:val="00557092"/>
    <w:rsid w:val="00562D20"/>
    <w:rsid w:val="00567E13"/>
    <w:rsid w:val="00574A2F"/>
    <w:rsid w:val="005867BC"/>
    <w:rsid w:val="005A106F"/>
    <w:rsid w:val="005A2B6C"/>
    <w:rsid w:val="005B4017"/>
    <w:rsid w:val="005B404C"/>
    <w:rsid w:val="005B5972"/>
    <w:rsid w:val="005B6D7F"/>
    <w:rsid w:val="005C68ED"/>
    <w:rsid w:val="005D0E5E"/>
    <w:rsid w:val="005E621C"/>
    <w:rsid w:val="005F1865"/>
    <w:rsid w:val="005F199F"/>
    <w:rsid w:val="00601020"/>
    <w:rsid w:val="0060700F"/>
    <w:rsid w:val="006125B2"/>
    <w:rsid w:val="00613FE0"/>
    <w:rsid w:val="0061423B"/>
    <w:rsid w:val="00616FF0"/>
    <w:rsid w:val="00623021"/>
    <w:rsid w:val="006232A7"/>
    <w:rsid w:val="00623B89"/>
    <w:rsid w:val="0063052F"/>
    <w:rsid w:val="0063097F"/>
    <w:rsid w:val="0063297C"/>
    <w:rsid w:val="00640806"/>
    <w:rsid w:val="00646AB5"/>
    <w:rsid w:val="00650418"/>
    <w:rsid w:val="0065520F"/>
    <w:rsid w:val="006630D0"/>
    <w:rsid w:val="00665AA8"/>
    <w:rsid w:val="0066785A"/>
    <w:rsid w:val="00671A67"/>
    <w:rsid w:val="00673D36"/>
    <w:rsid w:val="00684DC8"/>
    <w:rsid w:val="00694D53"/>
    <w:rsid w:val="0069599E"/>
    <w:rsid w:val="00695F17"/>
    <w:rsid w:val="00696343"/>
    <w:rsid w:val="006A102C"/>
    <w:rsid w:val="006A10C4"/>
    <w:rsid w:val="006A358A"/>
    <w:rsid w:val="006A6307"/>
    <w:rsid w:val="006A66FB"/>
    <w:rsid w:val="006B0D3F"/>
    <w:rsid w:val="006B60EE"/>
    <w:rsid w:val="006D0176"/>
    <w:rsid w:val="006F14F1"/>
    <w:rsid w:val="006F3555"/>
    <w:rsid w:val="00720113"/>
    <w:rsid w:val="00730A36"/>
    <w:rsid w:val="00741AA9"/>
    <w:rsid w:val="007503A5"/>
    <w:rsid w:val="00750629"/>
    <w:rsid w:val="00757718"/>
    <w:rsid w:val="007630C9"/>
    <w:rsid w:val="00764F06"/>
    <w:rsid w:val="0076718E"/>
    <w:rsid w:val="007711B6"/>
    <w:rsid w:val="0077581C"/>
    <w:rsid w:val="00780551"/>
    <w:rsid w:val="007905DC"/>
    <w:rsid w:val="007979CA"/>
    <w:rsid w:val="007A0DDA"/>
    <w:rsid w:val="007A4BDA"/>
    <w:rsid w:val="007A68D3"/>
    <w:rsid w:val="007B46A5"/>
    <w:rsid w:val="007C0141"/>
    <w:rsid w:val="007C3A43"/>
    <w:rsid w:val="007D5342"/>
    <w:rsid w:val="007D68E6"/>
    <w:rsid w:val="007E1B5C"/>
    <w:rsid w:val="007E2650"/>
    <w:rsid w:val="00801448"/>
    <w:rsid w:val="00802372"/>
    <w:rsid w:val="00811D75"/>
    <w:rsid w:val="008151AA"/>
    <w:rsid w:val="00816782"/>
    <w:rsid w:val="00836C98"/>
    <w:rsid w:val="008415CA"/>
    <w:rsid w:val="008470F6"/>
    <w:rsid w:val="008711CF"/>
    <w:rsid w:val="00876496"/>
    <w:rsid w:val="00881399"/>
    <w:rsid w:val="00882769"/>
    <w:rsid w:val="008847B4"/>
    <w:rsid w:val="00894D3A"/>
    <w:rsid w:val="008A1DCD"/>
    <w:rsid w:val="008B047A"/>
    <w:rsid w:val="008B0E0E"/>
    <w:rsid w:val="008B609D"/>
    <w:rsid w:val="008C1FBB"/>
    <w:rsid w:val="008D1E9E"/>
    <w:rsid w:val="008D4D16"/>
    <w:rsid w:val="008D5886"/>
    <w:rsid w:val="008D6F2E"/>
    <w:rsid w:val="008E3A3A"/>
    <w:rsid w:val="008E59C6"/>
    <w:rsid w:val="008F628B"/>
    <w:rsid w:val="008F6B74"/>
    <w:rsid w:val="00901842"/>
    <w:rsid w:val="00901FFA"/>
    <w:rsid w:val="00902EAC"/>
    <w:rsid w:val="009030FE"/>
    <w:rsid w:val="00912A4A"/>
    <w:rsid w:val="00913159"/>
    <w:rsid w:val="00916507"/>
    <w:rsid w:val="00917779"/>
    <w:rsid w:val="009243EA"/>
    <w:rsid w:val="00926260"/>
    <w:rsid w:val="009303C1"/>
    <w:rsid w:val="00932C48"/>
    <w:rsid w:val="00945CD2"/>
    <w:rsid w:val="00946368"/>
    <w:rsid w:val="00960547"/>
    <w:rsid w:val="00960657"/>
    <w:rsid w:val="00964024"/>
    <w:rsid w:val="009667CE"/>
    <w:rsid w:val="00983D09"/>
    <w:rsid w:val="009860CB"/>
    <w:rsid w:val="009876C5"/>
    <w:rsid w:val="00987FE0"/>
    <w:rsid w:val="0099188E"/>
    <w:rsid w:val="00991D97"/>
    <w:rsid w:val="00992F62"/>
    <w:rsid w:val="00993993"/>
    <w:rsid w:val="009A31F1"/>
    <w:rsid w:val="009A5EA5"/>
    <w:rsid w:val="009B1DF4"/>
    <w:rsid w:val="009B7190"/>
    <w:rsid w:val="009C1DAF"/>
    <w:rsid w:val="009C34D6"/>
    <w:rsid w:val="009D7317"/>
    <w:rsid w:val="009E52E0"/>
    <w:rsid w:val="009F6539"/>
    <w:rsid w:val="009F696C"/>
    <w:rsid w:val="00A015F6"/>
    <w:rsid w:val="00A23DB4"/>
    <w:rsid w:val="00A2410E"/>
    <w:rsid w:val="00A30C90"/>
    <w:rsid w:val="00A321DC"/>
    <w:rsid w:val="00A359CC"/>
    <w:rsid w:val="00A41EE8"/>
    <w:rsid w:val="00A4643B"/>
    <w:rsid w:val="00A543DE"/>
    <w:rsid w:val="00A548BF"/>
    <w:rsid w:val="00A567A7"/>
    <w:rsid w:val="00A705E1"/>
    <w:rsid w:val="00A723B2"/>
    <w:rsid w:val="00A77284"/>
    <w:rsid w:val="00A82B32"/>
    <w:rsid w:val="00A905B8"/>
    <w:rsid w:val="00AA04C1"/>
    <w:rsid w:val="00AA2E8A"/>
    <w:rsid w:val="00AA4384"/>
    <w:rsid w:val="00AA47B6"/>
    <w:rsid w:val="00AB05AF"/>
    <w:rsid w:val="00AB3C71"/>
    <w:rsid w:val="00AB687C"/>
    <w:rsid w:val="00AC62F2"/>
    <w:rsid w:val="00AD3032"/>
    <w:rsid w:val="00AD35A6"/>
    <w:rsid w:val="00AD6575"/>
    <w:rsid w:val="00AD73DE"/>
    <w:rsid w:val="00AE2BDB"/>
    <w:rsid w:val="00AE3D1B"/>
    <w:rsid w:val="00AE4357"/>
    <w:rsid w:val="00AE7628"/>
    <w:rsid w:val="00AE7E54"/>
    <w:rsid w:val="00AF5229"/>
    <w:rsid w:val="00AF5C1A"/>
    <w:rsid w:val="00AF6F0F"/>
    <w:rsid w:val="00B01B75"/>
    <w:rsid w:val="00B03FC4"/>
    <w:rsid w:val="00B065FF"/>
    <w:rsid w:val="00B2183D"/>
    <w:rsid w:val="00B361CE"/>
    <w:rsid w:val="00B36551"/>
    <w:rsid w:val="00B479AF"/>
    <w:rsid w:val="00B57730"/>
    <w:rsid w:val="00B577A1"/>
    <w:rsid w:val="00B70A49"/>
    <w:rsid w:val="00B75225"/>
    <w:rsid w:val="00B85810"/>
    <w:rsid w:val="00B92249"/>
    <w:rsid w:val="00B96656"/>
    <w:rsid w:val="00BA187F"/>
    <w:rsid w:val="00BA1C3E"/>
    <w:rsid w:val="00BA57C7"/>
    <w:rsid w:val="00BB43C7"/>
    <w:rsid w:val="00BC1F96"/>
    <w:rsid w:val="00BD480A"/>
    <w:rsid w:val="00BD7BCD"/>
    <w:rsid w:val="00BE0B1A"/>
    <w:rsid w:val="00BE5BEF"/>
    <w:rsid w:val="00BF022E"/>
    <w:rsid w:val="00BF09B7"/>
    <w:rsid w:val="00BF2A73"/>
    <w:rsid w:val="00BF738A"/>
    <w:rsid w:val="00C04FFF"/>
    <w:rsid w:val="00C1066A"/>
    <w:rsid w:val="00C11BF5"/>
    <w:rsid w:val="00C11F18"/>
    <w:rsid w:val="00C12DB0"/>
    <w:rsid w:val="00C13DD3"/>
    <w:rsid w:val="00C14C9E"/>
    <w:rsid w:val="00C17662"/>
    <w:rsid w:val="00C23C96"/>
    <w:rsid w:val="00C553F3"/>
    <w:rsid w:val="00C63A5F"/>
    <w:rsid w:val="00C67DE5"/>
    <w:rsid w:val="00C71B5B"/>
    <w:rsid w:val="00C72C9E"/>
    <w:rsid w:val="00C82E2B"/>
    <w:rsid w:val="00C8586C"/>
    <w:rsid w:val="00C85E64"/>
    <w:rsid w:val="00C905ED"/>
    <w:rsid w:val="00C96DF0"/>
    <w:rsid w:val="00C97040"/>
    <w:rsid w:val="00CB2742"/>
    <w:rsid w:val="00CB2FB3"/>
    <w:rsid w:val="00CB31DF"/>
    <w:rsid w:val="00CB43CA"/>
    <w:rsid w:val="00CD3F89"/>
    <w:rsid w:val="00CD498E"/>
    <w:rsid w:val="00CF484A"/>
    <w:rsid w:val="00D01A9F"/>
    <w:rsid w:val="00D01D60"/>
    <w:rsid w:val="00D11C06"/>
    <w:rsid w:val="00D1309C"/>
    <w:rsid w:val="00D142EE"/>
    <w:rsid w:val="00D21A6B"/>
    <w:rsid w:val="00D255D0"/>
    <w:rsid w:val="00D26BCD"/>
    <w:rsid w:val="00D33890"/>
    <w:rsid w:val="00D37B38"/>
    <w:rsid w:val="00D45284"/>
    <w:rsid w:val="00D46613"/>
    <w:rsid w:val="00D5140B"/>
    <w:rsid w:val="00D74773"/>
    <w:rsid w:val="00D77DDC"/>
    <w:rsid w:val="00D85197"/>
    <w:rsid w:val="00D8619A"/>
    <w:rsid w:val="00D96781"/>
    <w:rsid w:val="00D96B42"/>
    <w:rsid w:val="00DA4290"/>
    <w:rsid w:val="00DB278F"/>
    <w:rsid w:val="00DC1084"/>
    <w:rsid w:val="00DC7876"/>
    <w:rsid w:val="00DF06B4"/>
    <w:rsid w:val="00DF15E9"/>
    <w:rsid w:val="00DF1CDD"/>
    <w:rsid w:val="00DF21FC"/>
    <w:rsid w:val="00E00B0C"/>
    <w:rsid w:val="00E02D42"/>
    <w:rsid w:val="00E02D88"/>
    <w:rsid w:val="00E03A83"/>
    <w:rsid w:val="00E13FC4"/>
    <w:rsid w:val="00E351CE"/>
    <w:rsid w:val="00E44874"/>
    <w:rsid w:val="00E55EBD"/>
    <w:rsid w:val="00E60205"/>
    <w:rsid w:val="00E636B3"/>
    <w:rsid w:val="00E6675B"/>
    <w:rsid w:val="00E74B71"/>
    <w:rsid w:val="00E75504"/>
    <w:rsid w:val="00E768F1"/>
    <w:rsid w:val="00E87C6D"/>
    <w:rsid w:val="00E94E4D"/>
    <w:rsid w:val="00EA04C7"/>
    <w:rsid w:val="00EA31E4"/>
    <w:rsid w:val="00EA4A5E"/>
    <w:rsid w:val="00EB44DD"/>
    <w:rsid w:val="00EF4816"/>
    <w:rsid w:val="00EF7743"/>
    <w:rsid w:val="00EF7CD4"/>
    <w:rsid w:val="00F02C6D"/>
    <w:rsid w:val="00F03196"/>
    <w:rsid w:val="00F03AD4"/>
    <w:rsid w:val="00F060C1"/>
    <w:rsid w:val="00F10A27"/>
    <w:rsid w:val="00F162D0"/>
    <w:rsid w:val="00F2007F"/>
    <w:rsid w:val="00F24D6D"/>
    <w:rsid w:val="00F25DB8"/>
    <w:rsid w:val="00F371F4"/>
    <w:rsid w:val="00F561BF"/>
    <w:rsid w:val="00F56D6A"/>
    <w:rsid w:val="00F71307"/>
    <w:rsid w:val="00F83A6C"/>
    <w:rsid w:val="00F85B8E"/>
    <w:rsid w:val="00F9310C"/>
    <w:rsid w:val="00F9493D"/>
    <w:rsid w:val="00FA05DC"/>
    <w:rsid w:val="00FB0BAD"/>
    <w:rsid w:val="00FC5817"/>
    <w:rsid w:val="00FD14D0"/>
    <w:rsid w:val="00FD4E42"/>
    <w:rsid w:val="00FD65A2"/>
    <w:rsid w:val="00FD6A55"/>
    <w:rsid w:val="00FE2549"/>
    <w:rsid w:val="00FE6FD3"/>
    <w:rsid w:val="00FF4377"/>
    <w:rsid w:val="00FF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  <w14:docId w14:val="5410FFC3"/>
  <w15:docId w15:val="{D356B28B-D925-4AD4-96A0-CACA3FBC7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73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73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738A"/>
  </w:style>
  <w:style w:type="paragraph" w:styleId="Footer">
    <w:name w:val="footer"/>
    <w:basedOn w:val="Normal"/>
    <w:link w:val="FooterChar"/>
    <w:uiPriority w:val="99"/>
    <w:unhideWhenUsed/>
    <w:rsid w:val="00BF73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738A"/>
  </w:style>
  <w:style w:type="character" w:styleId="Hyperlink">
    <w:name w:val="Hyperlink"/>
    <w:basedOn w:val="DefaultParagraphFont"/>
    <w:uiPriority w:val="99"/>
    <w:unhideWhenUsed/>
    <w:rsid w:val="00BF738A"/>
    <w:rPr>
      <w:color w:val="000000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70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037"/>
    <w:rPr>
      <w:rFonts w:ascii="Tahoma" w:hAnsi="Tahoma" w:cs="Tahoma"/>
      <w:sz w:val="16"/>
      <w:szCs w:val="16"/>
    </w:rPr>
  </w:style>
  <w:style w:type="paragraph" w:customStyle="1" w:styleId="Box">
    <w:name w:val="Box"/>
    <w:basedOn w:val="BodyText"/>
    <w:qFormat/>
    <w:rsid w:val="00F162D0"/>
    <w:pPr>
      <w:keepNext/>
      <w:spacing w:before="120" w:after="0" w:line="260" w:lineRule="atLeast"/>
      <w:jc w:val="both"/>
    </w:pPr>
    <w:rPr>
      <w:rFonts w:ascii="Arial" w:eastAsia="Times New Roman" w:hAnsi="Arial" w:cs="Times New Roman"/>
      <w:sz w:val="20"/>
      <w:szCs w:val="20"/>
      <w:lang w:eastAsia="en-AU"/>
    </w:rPr>
  </w:style>
  <w:style w:type="paragraph" w:customStyle="1" w:styleId="BoxSpaceAbove">
    <w:name w:val="Box Space Above"/>
    <w:basedOn w:val="BodyText"/>
    <w:rsid w:val="00F162D0"/>
    <w:pPr>
      <w:keepNext/>
      <w:spacing w:before="360" w:after="0" w:line="80" w:lineRule="exact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TableBodyText">
    <w:name w:val="Table Body Text"/>
    <w:basedOn w:val="BodyText"/>
    <w:rsid w:val="00F162D0"/>
    <w:pPr>
      <w:keepNext/>
      <w:keepLines/>
      <w:spacing w:after="40" w:line="200" w:lineRule="atLeast"/>
      <w:ind w:left="6" w:right="113"/>
      <w:jc w:val="right"/>
    </w:pPr>
    <w:rPr>
      <w:rFonts w:ascii="Arial" w:eastAsia="Times New Roman" w:hAnsi="Arial" w:cs="Times New Roman"/>
      <w:sz w:val="18"/>
      <w:szCs w:val="20"/>
      <w:lang w:eastAsia="en-AU"/>
    </w:rPr>
  </w:style>
  <w:style w:type="paragraph" w:customStyle="1" w:styleId="TableBullet">
    <w:name w:val="Table Bullet"/>
    <w:basedOn w:val="TableBodyText"/>
    <w:rsid w:val="00F162D0"/>
    <w:pPr>
      <w:numPr>
        <w:numId w:val="1"/>
      </w:numPr>
      <w:tabs>
        <w:tab w:val="clear" w:pos="170"/>
        <w:tab w:val="num" w:pos="360"/>
      </w:tabs>
      <w:ind w:left="6" w:firstLine="0"/>
      <w:jc w:val="left"/>
    </w:pPr>
  </w:style>
  <w:style w:type="paragraph" w:customStyle="1" w:styleId="TableColumnHeading">
    <w:name w:val="Table Column Heading"/>
    <w:basedOn w:val="TableBodyText"/>
    <w:rsid w:val="00F162D0"/>
    <w:pPr>
      <w:spacing w:before="80" w:after="80"/>
    </w:pPr>
    <w:rPr>
      <w:i/>
    </w:rPr>
  </w:style>
  <w:style w:type="paragraph" w:customStyle="1" w:styleId="TableTitle">
    <w:name w:val="Table Title"/>
    <w:basedOn w:val="Caption"/>
    <w:next w:val="Subtitle"/>
    <w:qFormat/>
    <w:rsid w:val="00F162D0"/>
    <w:pPr>
      <w:keepNext/>
      <w:keepLines/>
      <w:spacing w:before="120" w:after="80" w:line="280" w:lineRule="exact"/>
      <w:ind w:left="1474" w:hanging="1474"/>
    </w:pPr>
    <w:rPr>
      <w:rFonts w:ascii="Arial" w:eastAsia="Times New Roman" w:hAnsi="Arial" w:cs="Times New Roman"/>
      <w:b/>
      <w:i w:val="0"/>
      <w:iCs w:val="0"/>
      <w:color w:val="auto"/>
      <w:sz w:val="24"/>
      <w:szCs w:val="24"/>
      <w:lang w:eastAsia="en-AU"/>
    </w:rPr>
  </w:style>
  <w:style w:type="paragraph" w:customStyle="1" w:styleId="TableUnitsRow">
    <w:name w:val="Table Units Row"/>
    <w:basedOn w:val="TableBodyText"/>
    <w:rsid w:val="00F162D0"/>
    <w:pPr>
      <w:spacing w:before="40"/>
    </w:pPr>
  </w:style>
  <w:style w:type="paragraph" w:customStyle="1" w:styleId="BoxSpaceBelow">
    <w:name w:val="Box Space Below"/>
    <w:basedOn w:val="Box"/>
    <w:rsid w:val="00F162D0"/>
    <w:pPr>
      <w:keepNext w:val="0"/>
      <w:spacing w:before="60" w:after="60" w:line="80" w:lineRule="exact"/>
    </w:pPr>
    <w:rPr>
      <w:sz w:val="14"/>
    </w:rPr>
  </w:style>
  <w:style w:type="paragraph" w:customStyle="1" w:styleId="BoxSpaceAboveElement">
    <w:name w:val="Box Space Above Element"/>
    <w:basedOn w:val="BoxSpaceAbove"/>
    <w:link w:val="BoxSpaceAboveElementChar"/>
    <w:qFormat/>
    <w:rsid w:val="00F162D0"/>
    <w:pPr>
      <w:spacing w:before="240"/>
    </w:pPr>
    <w:rPr>
      <w:b/>
      <w:vanish/>
      <w:color w:val="FF00FF"/>
      <w:sz w:val="14"/>
    </w:rPr>
  </w:style>
  <w:style w:type="character" w:customStyle="1" w:styleId="BoxSpaceAboveElementChar">
    <w:name w:val="Box Space Above Element Char"/>
    <w:basedOn w:val="DefaultParagraphFont"/>
    <w:link w:val="BoxSpaceAboveElement"/>
    <w:rsid w:val="00F162D0"/>
    <w:rPr>
      <w:rFonts w:ascii="Times New Roman" w:eastAsia="Times New Roman" w:hAnsi="Times New Roman" w:cs="Times New Roman"/>
      <w:b/>
      <w:vanish/>
      <w:color w:val="FF00FF"/>
      <w:sz w:val="14"/>
      <w:szCs w:val="20"/>
      <w:lang w:eastAsia="en-AU"/>
    </w:rPr>
  </w:style>
  <w:style w:type="paragraph" w:styleId="BodyText">
    <w:name w:val="Body Text"/>
    <w:basedOn w:val="Normal"/>
    <w:link w:val="BodyTextChar"/>
    <w:uiPriority w:val="99"/>
    <w:semiHidden/>
    <w:unhideWhenUsed/>
    <w:rsid w:val="00F162D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162D0"/>
  </w:style>
  <w:style w:type="paragraph" w:styleId="Caption">
    <w:name w:val="caption"/>
    <w:basedOn w:val="Normal"/>
    <w:next w:val="Normal"/>
    <w:uiPriority w:val="35"/>
    <w:semiHidden/>
    <w:unhideWhenUsed/>
    <w:qFormat/>
    <w:rsid w:val="00F162D0"/>
    <w:pPr>
      <w:spacing w:line="240" w:lineRule="auto"/>
    </w:pPr>
    <w:rPr>
      <w:i/>
      <w:iCs/>
      <w:color w:val="66BCDB" w:themeColor="text2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62D0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162D0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1812C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F14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F14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F14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14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14F1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A630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A630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A630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pc.gov.au/remote-tax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office\template2013\fact-sheet.dotm" TargetMode="External"/></Relationships>
</file>

<file path=word/theme/theme1.xml><?xml version="1.0" encoding="utf-8"?>
<a:theme xmlns:a="http://schemas.openxmlformats.org/drawingml/2006/main" name="Office Theme">
  <a:themeElements>
    <a:clrScheme name="PC colour themeNew">
      <a:dk1>
        <a:sysClr val="windowText" lastClr="000000"/>
      </a:dk1>
      <a:lt1>
        <a:sysClr val="window" lastClr="FFFFFF"/>
      </a:lt1>
      <a:dk2>
        <a:srgbClr val="66BCDB"/>
      </a:dk2>
      <a:lt2>
        <a:srgbClr val="265A9A"/>
      </a:lt2>
      <a:accent1>
        <a:srgbClr val="78A22F"/>
      </a:accent1>
      <a:accent2>
        <a:srgbClr val="4D7028"/>
      </a:accent2>
      <a:accent3>
        <a:srgbClr val="F4B123"/>
      </a:accent3>
      <a:accent4>
        <a:srgbClr val="F15A25"/>
      </a:accent4>
      <a:accent5>
        <a:srgbClr val="A52828"/>
      </a:accent5>
      <a:accent6>
        <a:srgbClr val="8956A3"/>
      </a:accent6>
      <a:hlink>
        <a:srgbClr val="000000"/>
      </a:hlink>
      <a:folHlink>
        <a:srgbClr val="BFBFB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fact-sheet.dotm</Template>
  <TotalTime>1043</TotalTime>
  <Pages>3</Pages>
  <Words>922</Words>
  <Characters>5258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Factsheet 3: Fringe Benefits Tax - Remote Area Tax Concessions and Payments - Draft report</vt:lpstr>
    </vt:vector>
  </TitlesOfParts>
  <Company>Productivity Commission</Company>
  <LinksUpToDate>false</LinksUpToDate>
  <CharactersWithSpaces>6168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Factsheet 3: Fringe Benefits Tax - Remote Area Tax Concessions and Payments - Draft report</dc:title>
  <dc:creator>Productivity Commission</dc:creator>
  <cp:keywords/>
  <cp:lastModifiedBy>Productivity Commission</cp:lastModifiedBy>
  <cp:revision>296</cp:revision>
  <cp:lastPrinted>2019-09-02T01:11:00Z</cp:lastPrinted>
  <dcterms:created xsi:type="dcterms:W3CDTF">2019-08-19T04:55:00Z</dcterms:created>
  <dcterms:modified xsi:type="dcterms:W3CDTF">2019-09-03T05:35:00Z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0x0101007916246811615643A710C6FEAFF56A87110100EEFE548D9549EA4098E3A65339C068F30065628CA702C4A9498192B848A2807D7E</vt:lpwstr>
  </property>
  <property fmtid="{D5CDD505-2E9C-101B-9397-08002B2CF9AE}" pid="3" name="TaxKeyword">
    <vt:lpwstr/>
  </property>
  <property fmtid="{D5CDD505-2E9C-101B-9397-08002B2CF9AE}" pid="4" name="Record Tag">
    <vt:lpwstr>24;#Draft Report|84e4af37-8871-4c42-ad2f-98d46afe06b0</vt:lpwstr>
  </property>
  <property fmtid="{D5CDD505-2E9C-101B-9397-08002B2CF9AE}" pid="5" name="_dlc_DocId">
    <vt:lpwstr>PCDOC-1960081224-63</vt:lpwstr>
  </property>
  <property fmtid="{D5CDD505-2E9C-101B-9397-08002B2CF9AE}" pid="6" name="_dlc_DocIdUrl">
    <vt:lpwstr>http://inet.pc.gov.au/pmo/inq/taxoffsets/_layouts/15/DocIdRedir.aspx?ID=PCDOC-1960081224-63, PCDOC-1960081224-63</vt:lpwstr>
  </property>
  <property fmtid="{D5CDD505-2E9C-101B-9397-08002B2CF9AE}" pid="7" name="_dlc_DocIdItemGuid">
    <vt:lpwstr>bb0ffdcf-1b06-4aed-a8ad-0626072940f0</vt:lpwstr>
  </property>
</Properties>
</file>