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201A" w14:textId="750AFB8E" w:rsidR="00FD3FE4" w:rsidRDefault="00E17861" w:rsidP="00AA0162">
      <w:pPr>
        <w:pStyle w:val="Heading1-nobackground"/>
        <w:spacing w:after="120"/>
      </w:pPr>
      <w:r>
        <w:t xml:space="preserve">Addendum </w:t>
      </w:r>
      <w:r w:rsidR="005511C2">
        <w:t xml:space="preserve">to </w:t>
      </w:r>
      <w:r w:rsidR="0076414F">
        <w:t>c</w:t>
      </w:r>
      <w:r w:rsidR="005511C2">
        <w:t xml:space="preserve">hapter 6 </w:t>
      </w:r>
      <w:r w:rsidR="0070441F">
        <w:t>–</w:t>
      </w:r>
      <w:r w:rsidR="005511C2">
        <w:t xml:space="preserve"> E</w:t>
      </w:r>
      <w:r>
        <w:t>arning a commercial rate of return</w:t>
      </w:r>
    </w:p>
    <w:p w14:paraId="1B5F5335" w14:textId="4EB4943A" w:rsidR="000E1391" w:rsidRPr="006927CC" w:rsidRDefault="003B7DDE" w:rsidP="00AA0162">
      <w:pPr>
        <w:pStyle w:val="Heading2-noTOC"/>
        <w:spacing w:after="360"/>
        <w:rPr>
          <w:sz w:val="24"/>
          <w:szCs w:val="24"/>
        </w:rPr>
      </w:pPr>
      <w:r w:rsidRPr="006927CC">
        <w:rPr>
          <w:sz w:val="24"/>
          <w:szCs w:val="24"/>
        </w:rPr>
        <w:t>July 2025</w:t>
      </w:r>
    </w:p>
    <w:p w14:paraId="75348B0B" w14:textId="062D7543" w:rsidR="00456BF9" w:rsidRDefault="00A74A2D" w:rsidP="00E17861">
      <w:pPr>
        <w:pStyle w:val="BodyText"/>
      </w:pPr>
      <w:r>
        <w:t xml:space="preserve">Chapter 6 of </w:t>
      </w:r>
      <w:r w:rsidR="00C22B71">
        <w:t xml:space="preserve">the </w:t>
      </w:r>
      <w:r w:rsidR="003D57B1">
        <w:t>Australian Government Competitive Neutrality Complaints Office</w:t>
      </w:r>
      <w:r w:rsidR="00AC7B79">
        <w:t xml:space="preserve"> </w:t>
      </w:r>
      <w:r w:rsidR="73440A34">
        <w:t>(AGCNCO)</w:t>
      </w:r>
      <w:r w:rsidR="00AC7B79">
        <w:t xml:space="preserve"> report</w:t>
      </w:r>
      <w:r w:rsidR="00C22B71">
        <w:t xml:space="preserve"> </w:t>
      </w:r>
      <w:r w:rsidR="00C22B71">
        <w:rPr>
          <w:i/>
          <w:iCs/>
        </w:rPr>
        <w:t>Australia Post</w:t>
      </w:r>
      <w:r w:rsidR="00BA6822">
        <w:rPr>
          <w:i/>
          <w:iCs/>
        </w:rPr>
        <w:t xml:space="preserve"> – Investigation no. 19</w:t>
      </w:r>
      <w:r w:rsidR="00BA6822">
        <w:t xml:space="preserve"> dealt with whether Australia Post was complying with the requirements of </w:t>
      </w:r>
      <w:r w:rsidR="00903B02">
        <w:t>competitive neutrality</w:t>
      </w:r>
      <w:r w:rsidR="00BA6822">
        <w:t xml:space="preserve"> policy to earn a commercial rate of return. The AGCNCO found that </w:t>
      </w:r>
      <w:r w:rsidR="00A70263">
        <w:t xml:space="preserve">Australia Post is complying with these requirements, once </w:t>
      </w:r>
      <w:r w:rsidR="003D57B1">
        <w:t xml:space="preserve">the losses made from the </w:t>
      </w:r>
      <w:r w:rsidR="00AC7B79">
        <w:t>c</w:t>
      </w:r>
      <w:r w:rsidR="003D57B1">
        <w:t xml:space="preserve">ommunity </w:t>
      </w:r>
      <w:r w:rsidR="00AC7B79">
        <w:t>s</w:t>
      </w:r>
      <w:r w:rsidR="003D57B1">
        <w:t xml:space="preserve">ervice </w:t>
      </w:r>
      <w:r w:rsidR="00AC7B79">
        <w:t>o</w:t>
      </w:r>
      <w:r w:rsidR="003D57B1">
        <w:t>bligations</w:t>
      </w:r>
      <w:r w:rsidR="00AC7B79">
        <w:t xml:space="preserve"> </w:t>
      </w:r>
      <w:r w:rsidR="00D07DF2">
        <w:t xml:space="preserve">(CSOs) </w:t>
      </w:r>
      <w:r w:rsidR="00AC7B79">
        <w:t xml:space="preserve">performed by Australia Post were </w:t>
      </w:r>
      <w:proofErr w:type="gramStart"/>
      <w:r w:rsidR="00AC7B79">
        <w:t>taken into account</w:t>
      </w:r>
      <w:proofErr w:type="gramEnd"/>
      <w:r w:rsidR="00AC7B79">
        <w:t xml:space="preserve"> (</w:t>
      </w:r>
      <w:r w:rsidR="007C6090">
        <w:t>f</w:t>
      </w:r>
      <w:r w:rsidR="00AC7B79">
        <w:t>inding 6.1).</w:t>
      </w:r>
    </w:p>
    <w:p w14:paraId="36E4A674" w14:textId="20869A82" w:rsidR="00BA0DD4" w:rsidRPr="00BA6822" w:rsidRDefault="00BA0DD4" w:rsidP="00E17861">
      <w:pPr>
        <w:pStyle w:val="BodyText"/>
      </w:pPr>
      <w:r>
        <w:t xml:space="preserve">This finding was made based on a comparison of Australia Post’s return on operating assets (adjusted for the </w:t>
      </w:r>
      <w:r w:rsidR="00D07DF2">
        <w:t>CSO</w:t>
      </w:r>
      <w:r>
        <w:t xml:space="preserve"> losses) against </w:t>
      </w:r>
      <w:r w:rsidR="00246F77">
        <w:t>a benchmark</w:t>
      </w:r>
      <w:r w:rsidR="00016043">
        <w:t xml:space="preserve"> consistent with competitive neutrality policy</w:t>
      </w:r>
      <w:r w:rsidR="009C598F">
        <w:t>,</w:t>
      </w:r>
      <w:r w:rsidR="00246F77">
        <w:t xml:space="preserve"> </w:t>
      </w:r>
      <w:r w:rsidR="00B26B98">
        <w:t>chosen based on</w:t>
      </w:r>
      <w:r w:rsidR="00016043">
        <w:t xml:space="preserve"> </w:t>
      </w:r>
      <w:r w:rsidR="009C598F">
        <w:t>the</w:t>
      </w:r>
      <w:r w:rsidR="00016043">
        <w:t xml:space="preserve"> then</w:t>
      </w:r>
      <w:r w:rsidR="00B26B98">
        <w:t xml:space="preserve"> publicly available information </w:t>
      </w:r>
      <w:r w:rsidR="00016043">
        <w:t>and advice from the parties to the complaint.</w:t>
      </w:r>
    </w:p>
    <w:p w14:paraId="58F61EDE" w14:textId="200D9C04" w:rsidR="00E17861" w:rsidRDefault="00E17861" w:rsidP="00E17861">
      <w:pPr>
        <w:pStyle w:val="BodyText"/>
      </w:pPr>
      <w:r>
        <w:t xml:space="preserve">On 13 December 2024, </w:t>
      </w:r>
      <w:r w:rsidR="4ACDE2EE" w:rsidRPr="0F84E5AE">
        <w:t>the Conference of Asia Pacific Express Carriers (</w:t>
      </w:r>
      <w:r>
        <w:t>CAPEC</w:t>
      </w:r>
      <w:r w:rsidR="530FDC0A" w:rsidRPr="0F84E5AE">
        <w:t>)</w:t>
      </w:r>
      <w:r>
        <w:t xml:space="preserve"> wrote to the AGCNCO </w:t>
      </w:r>
      <w:r w:rsidR="00BC18F5">
        <w:t>advising that it had identified an error in the calculation of Australia Post’s rate of return, which ha</w:t>
      </w:r>
      <w:r w:rsidR="004634D9">
        <w:t>d</w:t>
      </w:r>
      <w:r w:rsidR="00BC18F5">
        <w:t xml:space="preserve"> </w:t>
      </w:r>
      <w:r w:rsidR="00C70626">
        <w:t>‘</w:t>
      </w:r>
      <w:r w:rsidR="00BC18F5">
        <w:t>material implications</w:t>
      </w:r>
      <w:r w:rsidR="00C70626">
        <w:t>’</w:t>
      </w:r>
      <w:r w:rsidR="00BC18F5">
        <w:t xml:space="preserve"> for the report’s finding</w:t>
      </w:r>
      <w:r w:rsidR="004634D9">
        <w:t>.</w:t>
      </w:r>
    </w:p>
    <w:p w14:paraId="601B5CBA" w14:textId="31DAE50D" w:rsidR="00E17861" w:rsidRDefault="00E17861" w:rsidP="00E17861">
      <w:pPr>
        <w:pStyle w:val="BodyText"/>
      </w:pPr>
      <w:r>
        <w:t xml:space="preserve">The AGCNCO has </w:t>
      </w:r>
      <w:r w:rsidR="00561A99">
        <w:t xml:space="preserve">assessed CAPEC’s </w:t>
      </w:r>
      <w:r w:rsidR="00222287">
        <w:t xml:space="preserve">further submissions </w:t>
      </w:r>
      <w:r w:rsidR="004F7D37">
        <w:t>and</w:t>
      </w:r>
      <w:r w:rsidR="00CA4140">
        <w:t xml:space="preserve"> agrees that </w:t>
      </w:r>
      <w:r w:rsidR="00D0704D">
        <w:t>further consideration</w:t>
      </w:r>
      <w:r w:rsidR="00A74C07">
        <w:t xml:space="preserve"> of </w:t>
      </w:r>
      <w:r w:rsidR="00101AFB">
        <w:t>Australia Post’s</w:t>
      </w:r>
      <w:r w:rsidR="00BF513E">
        <w:t xml:space="preserve"> </w:t>
      </w:r>
      <w:r w:rsidR="00A74C07">
        <w:t xml:space="preserve">rate of return </w:t>
      </w:r>
      <w:r w:rsidR="00D0704D">
        <w:t xml:space="preserve">is warranted to give </w:t>
      </w:r>
      <w:r w:rsidR="000074FD">
        <w:t xml:space="preserve">a complete </w:t>
      </w:r>
      <w:r w:rsidR="00BF513E">
        <w:t>assess</w:t>
      </w:r>
      <w:r w:rsidR="000074FD">
        <w:t>ment of</w:t>
      </w:r>
      <w:r w:rsidR="00BF513E">
        <w:t xml:space="preserve"> competitive neutrality</w:t>
      </w:r>
      <w:r w:rsidR="00226875">
        <w:t xml:space="preserve"> requirements</w:t>
      </w:r>
      <w:r w:rsidR="00016043">
        <w:t xml:space="preserve">, particularly the assets that should be </w:t>
      </w:r>
      <w:r w:rsidR="00880EF4">
        <w:t xml:space="preserve">included in a </w:t>
      </w:r>
      <w:r w:rsidR="00156815">
        <w:t>rate of return assessment for a government business that also operates significant CSOs</w:t>
      </w:r>
      <w:r w:rsidR="00BF513E">
        <w:t>.</w:t>
      </w:r>
      <w:r w:rsidR="009E34B0">
        <w:t xml:space="preserve"> Following this further consideration, t</w:t>
      </w:r>
      <w:r w:rsidR="00273D47">
        <w:t xml:space="preserve">he AGCNCO </w:t>
      </w:r>
      <w:r w:rsidR="007573B0">
        <w:t>continues to be of the view that Australia Post is meeting the requirement to earn a commercial rate of return.</w:t>
      </w:r>
    </w:p>
    <w:p w14:paraId="40E81457" w14:textId="77777777" w:rsidR="00D521AF" w:rsidRDefault="00E17861" w:rsidP="0007587A">
      <w:pPr>
        <w:pStyle w:val="Heading2"/>
      </w:pPr>
      <w:r>
        <w:t>CAPEC’s comments on the AGCNCO’s findings</w:t>
      </w:r>
    </w:p>
    <w:p w14:paraId="226127E5" w14:textId="77777777" w:rsidR="00E33532" w:rsidRDefault="00E17861" w:rsidP="00E17861">
      <w:pPr>
        <w:pStyle w:val="BodyText"/>
      </w:pPr>
      <w:r>
        <w:t xml:space="preserve">In its letter of 13 December 2024, CAPEC submits </w:t>
      </w:r>
      <w:r w:rsidR="008A16CF">
        <w:t xml:space="preserve">that the AGCNCO’s assessment of Australia Post’s rate of return </w:t>
      </w:r>
      <w:r w:rsidR="00E84BD2">
        <w:t>is based on the return on Australia Post’s average operating assets,</w:t>
      </w:r>
      <w:r w:rsidR="002E6321">
        <w:t xml:space="preserve"> whereas the assessment for competitive neutrality purposes should be based on Australia Post’s total assets. CAPEC</w:t>
      </w:r>
      <w:r w:rsidR="00E33532">
        <w:t xml:space="preserve"> advises that:</w:t>
      </w:r>
    </w:p>
    <w:p w14:paraId="04445150" w14:textId="4F36BB36" w:rsidR="00E17861" w:rsidRPr="00F31FB4" w:rsidRDefault="00F522F0" w:rsidP="009521D3">
      <w:pPr>
        <w:pStyle w:val="Quote"/>
        <w:rPr>
          <w:spacing w:val="-2"/>
        </w:rPr>
      </w:pPr>
      <w:r w:rsidRPr="00F31FB4">
        <w:rPr>
          <w:spacing w:val="-2"/>
        </w:rPr>
        <w:t xml:space="preserve">Crucially, using the corrected figures, </w:t>
      </w:r>
      <w:r w:rsidRPr="00F31FB4">
        <w:rPr>
          <w:b/>
          <w:spacing w:val="-2"/>
        </w:rPr>
        <w:t xml:space="preserve">Australia Post’s average adjusted return on assets over the past 5 years was shown to </w:t>
      </w:r>
      <w:r w:rsidR="009E4393">
        <w:rPr>
          <w:b/>
          <w:spacing w:val="-2"/>
        </w:rPr>
        <w:t xml:space="preserve">be </w:t>
      </w:r>
      <w:r w:rsidRPr="00F31FB4">
        <w:rPr>
          <w:b/>
          <w:spacing w:val="-2"/>
        </w:rPr>
        <w:t>only 5.9%</w:t>
      </w:r>
      <w:r w:rsidRPr="00F31FB4">
        <w:rPr>
          <w:spacing w:val="-2"/>
        </w:rPr>
        <w:t xml:space="preserve">, much lower than the 12.4% currently stated in the Report. </w:t>
      </w:r>
      <w:r w:rsidR="0010395A" w:rsidRPr="00F31FB4">
        <w:rPr>
          <w:spacing w:val="-2"/>
        </w:rPr>
        <w:t>O</w:t>
      </w:r>
      <w:r w:rsidRPr="00F31FB4">
        <w:rPr>
          <w:spacing w:val="-2"/>
        </w:rPr>
        <w:t xml:space="preserve">ver the past decade its return was only 5.6%, which is also much lower than the 10.9% currently stated in the Report. </w:t>
      </w:r>
      <w:proofErr w:type="gramStart"/>
      <w:r w:rsidRPr="00F31FB4">
        <w:rPr>
          <w:spacing w:val="-2"/>
        </w:rPr>
        <w:t>Both of these</w:t>
      </w:r>
      <w:proofErr w:type="gramEnd"/>
      <w:r w:rsidRPr="00F31FB4">
        <w:rPr>
          <w:spacing w:val="-2"/>
        </w:rPr>
        <w:t xml:space="preserve"> </w:t>
      </w:r>
      <w:r w:rsidRPr="00F31FB4">
        <w:rPr>
          <w:b/>
          <w:spacing w:val="-2"/>
        </w:rPr>
        <w:t>figures fall materially short of the benchmarks</w:t>
      </w:r>
      <w:r w:rsidRPr="00F31FB4">
        <w:rPr>
          <w:spacing w:val="-2"/>
        </w:rPr>
        <w:t xml:space="preserve"> for a normal commercial rate of return identified by the AGCNCO in the Report, being the upper bound weighted average cost of </w:t>
      </w:r>
      <w:r w:rsidR="009521D3" w:rsidRPr="00F31FB4">
        <w:rPr>
          <w:spacing w:val="-2"/>
        </w:rPr>
        <w:t xml:space="preserve">capital estimates for Australia Post’s overall business operations </w:t>
      </w:r>
      <w:r w:rsidR="009521D3" w:rsidRPr="00F31FB4">
        <w:rPr>
          <w:b/>
          <w:spacing w:val="-2"/>
        </w:rPr>
        <w:t>of 8.84 to 9.73% and the risk broad-banding estimate of 11.0%</w:t>
      </w:r>
      <w:r w:rsidR="008203A0">
        <w:rPr>
          <w:b/>
          <w:spacing w:val="-2"/>
        </w:rPr>
        <w:t xml:space="preserve"> </w:t>
      </w:r>
      <w:r w:rsidR="001447BC">
        <w:rPr>
          <w:spacing w:val="-2"/>
        </w:rPr>
        <w:t>[</w:t>
      </w:r>
      <w:r w:rsidR="008203A0" w:rsidRPr="00417206">
        <w:rPr>
          <w:spacing w:val="-2"/>
        </w:rPr>
        <w:t>emphasis added</w:t>
      </w:r>
      <w:r w:rsidR="001447BC">
        <w:rPr>
          <w:spacing w:val="-2"/>
        </w:rPr>
        <w:t>]</w:t>
      </w:r>
      <w:r w:rsidR="002E6321" w:rsidRPr="00F31FB4">
        <w:rPr>
          <w:spacing w:val="-2"/>
        </w:rPr>
        <w:t xml:space="preserve"> </w:t>
      </w:r>
      <w:r w:rsidR="00EF572F" w:rsidRPr="00F31FB4">
        <w:rPr>
          <w:spacing w:val="-2"/>
        </w:rPr>
        <w:t>(CAPEC 2024)</w:t>
      </w:r>
    </w:p>
    <w:p w14:paraId="4BF02ABA" w14:textId="76D5BD36" w:rsidR="00A914D8" w:rsidRDefault="00A914D8" w:rsidP="00A914D8">
      <w:pPr>
        <w:pStyle w:val="BodyText"/>
      </w:pPr>
      <w:r>
        <w:t>To support these claims, CAPEC presented revised calculations for Australia Post’s rate of return, demonstrating Australia Post had not earned a commercial rate of return when using a return on total assets, compared to the benchmark used by the AGCNCO (</w:t>
      </w:r>
      <w:r w:rsidR="000575F6">
        <w:t>t</w:t>
      </w:r>
      <w:r w:rsidR="00C20BA8">
        <w:t>able</w:t>
      </w:r>
      <w:r>
        <w:t xml:space="preserve"> 1)</w:t>
      </w:r>
      <w:r w:rsidR="00D2119D">
        <w:t>.</w:t>
      </w:r>
    </w:p>
    <w:p w14:paraId="2F5CE2AF" w14:textId="47EB231F" w:rsidR="000D10BD" w:rsidRDefault="00AF72F0" w:rsidP="00446AA0">
      <w:pPr>
        <w:pStyle w:val="FigureTableHeading"/>
      </w:pPr>
      <w:r>
        <w:lastRenderedPageBreak/>
        <w:t>Table</w:t>
      </w:r>
      <w:r w:rsidR="000D10BD">
        <w:t xml:space="preserve"> </w:t>
      </w:r>
      <w:r w:rsidR="00AC20C1">
        <w:t>1</w:t>
      </w:r>
      <w:r w:rsidR="001B0B4F">
        <w:t xml:space="preserve"> </w:t>
      </w:r>
      <w:r w:rsidR="000D10BD">
        <w:t xml:space="preserve">– </w:t>
      </w:r>
      <w:r w:rsidR="006609C4">
        <w:t xml:space="preserve">CAPEC’s </w:t>
      </w:r>
      <w:r w:rsidR="00102D07">
        <w:t xml:space="preserve">revised calculations for Australia Post’s </w:t>
      </w:r>
      <w:r w:rsidR="00400887">
        <w:t>rate of return</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77"/>
        <w:gridCol w:w="1377"/>
        <w:gridCol w:w="1377"/>
        <w:gridCol w:w="1377"/>
        <w:gridCol w:w="1377"/>
        <w:gridCol w:w="1377"/>
        <w:gridCol w:w="1376"/>
      </w:tblGrid>
      <w:tr w:rsidR="008D422F" w:rsidRPr="008D422F" w14:paraId="40E6EB60" w14:textId="77777777" w:rsidTr="003E16C4">
        <w:trPr>
          <w:trHeight w:val="1320"/>
          <w:tblHeader/>
        </w:trPr>
        <w:tc>
          <w:tcPr>
            <w:tcW w:w="714" w:type="pct"/>
            <w:tcBorders>
              <w:bottom w:val="single" w:sz="4" w:space="0" w:color="B3B3B3"/>
            </w:tcBorders>
            <w:vAlign w:val="bottom"/>
          </w:tcPr>
          <w:p w14:paraId="0BBCE2FB" w14:textId="61997226" w:rsidR="00EF4BC1" w:rsidRPr="008D422F" w:rsidRDefault="00EF4BC1" w:rsidP="008D422F">
            <w:pPr>
              <w:pStyle w:val="FigureTableHeading"/>
              <w:spacing w:before="45" w:after="45"/>
              <w:ind w:left="57" w:right="108"/>
              <w:rPr>
                <w:rFonts w:ascii="Arial (Body)" w:hAnsi="Arial (Body)"/>
                <w:b/>
                <w:color w:val="265A9A"/>
                <w:sz w:val="18"/>
              </w:rPr>
            </w:pPr>
            <w:r w:rsidRPr="2934A00B">
              <w:rPr>
                <w:rFonts w:ascii="Arial (Body)" w:hAnsi="Arial (Body)"/>
                <w:b/>
                <w:color w:val="265A9A" w:themeColor="background2"/>
                <w:sz w:val="18"/>
              </w:rPr>
              <w:t>Financial year</w:t>
            </w:r>
          </w:p>
        </w:tc>
        <w:tc>
          <w:tcPr>
            <w:tcW w:w="714" w:type="pct"/>
            <w:tcBorders>
              <w:bottom w:val="single" w:sz="4" w:space="0" w:color="B3B3B3"/>
            </w:tcBorders>
            <w:vAlign w:val="bottom"/>
          </w:tcPr>
          <w:p w14:paraId="685C621E" w14:textId="66A8F5D9" w:rsidR="00EF4BC1" w:rsidRPr="008D422F" w:rsidRDefault="00EF4BC1" w:rsidP="0072483A">
            <w:pPr>
              <w:pStyle w:val="FigureTableHeading"/>
              <w:spacing w:before="45" w:after="45"/>
              <w:ind w:left="57" w:right="108"/>
              <w:jc w:val="right"/>
              <w:rPr>
                <w:rFonts w:ascii="Arial (Body)" w:hAnsi="Arial (Body)"/>
                <w:b/>
                <w:color w:val="265A9A"/>
                <w:sz w:val="18"/>
              </w:rPr>
            </w:pPr>
            <w:r w:rsidRPr="008D422F">
              <w:rPr>
                <w:rFonts w:ascii="Arial (Body)" w:hAnsi="Arial (Body)"/>
                <w:b/>
                <w:color w:val="265A9A"/>
                <w:sz w:val="18"/>
              </w:rPr>
              <w:t>Total assets</w:t>
            </w:r>
            <w:r w:rsidR="00000D8A" w:rsidRPr="008D422F">
              <w:rPr>
                <w:rFonts w:ascii="Arial (Body)" w:hAnsi="Arial (Body)"/>
                <w:b/>
                <w:color w:val="265A9A"/>
                <w:sz w:val="18"/>
              </w:rPr>
              <w:t xml:space="preserve"> ($m)</w:t>
            </w:r>
          </w:p>
        </w:tc>
        <w:tc>
          <w:tcPr>
            <w:tcW w:w="714" w:type="pct"/>
            <w:tcBorders>
              <w:bottom w:val="single" w:sz="4" w:space="0" w:color="B3B3B3"/>
            </w:tcBorders>
            <w:vAlign w:val="bottom"/>
          </w:tcPr>
          <w:p w14:paraId="3B2D0150" w14:textId="5E773595" w:rsidR="00EF4BC1" w:rsidRPr="008D422F" w:rsidRDefault="00EF4BC1" w:rsidP="0072483A">
            <w:pPr>
              <w:pStyle w:val="FigureTableHeading"/>
              <w:spacing w:before="45" w:after="45"/>
              <w:ind w:left="57" w:right="108"/>
              <w:jc w:val="right"/>
              <w:rPr>
                <w:rFonts w:ascii="Arial (Body)" w:hAnsi="Arial (Body)"/>
                <w:b/>
                <w:color w:val="265A9A"/>
                <w:sz w:val="18"/>
              </w:rPr>
            </w:pPr>
            <w:r w:rsidRPr="4B15E159">
              <w:rPr>
                <w:rFonts w:ascii="Arial (Body)" w:hAnsi="Arial (Body)"/>
                <w:b/>
                <w:color w:val="265999"/>
                <w:sz w:val="18"/>
              </w:rPr>
              <w:t xml:space="preserve">Pre-tax </w:t>
            </w:r>
            <w:r w:rsidRPr="4B15E159">
              <w:rPr>
                <w:rFonts w:ascii="Arial (Body)" w:hAnsi="Arial (Body)"/>
                <w:b/>
                <w:bCs/>
                <w:color w:val="265A9A" w:themeColor="background2"/>
                <w:sz w:val="18"/>
              </w:rPr>
              <w:t>prof</w:t>
            </w:r>
            <w:r w:rsidR="00C45DA5">
              <w:rPr>
                <w:rFonts w:ascii="Arial (Body)" w:hAnsi="Arial (Body)"/>
                <w:b/>
                <w:bCs/>
                <w:color w:val="265A9A" w:themeColor="background2"/>
                <w:sz w:val="18"/>
              </w:rPr>
              <w:t>i</w:t>
            </w:r>
            <w:r w:rsidRPr="4B15E159">
              <w:rPr>
                <w:rFonts w:ascii="Arial (Body)" w:hAnsi="Arial (Body)"/>
                <w:b/>
                <w:bCs/>
                <w:color w:val="265A9A" w:themeColor="background2"/>
                <w:sz w:val="18"/>
              </w:rPr>
              <w:t>t</w:t>
            </w:r>
            <w:r w:rsidRPr="4B15E159">
              <w:rPr>
                <w:rFonts w:ascii="Arial (Body)" w:hAnsi="Arial (Body)"/>
                <w:b/>
                <w:color w:val="265999"/>
                <w:sz w:val="18"/>
              </w:rPr>
              <w:t xml:space="preserve"> (loss)</w:t>
            </w:r>
            <w:r w:rsidR="00000D8A" w:rsidRPr="4B15E159">
              <w:rPr>
                <w:rFonts w:ascii="Arial (Body)" w:hAnsi="Arial (Body)"/>
                <w:b/>
                <w:color w:val="265999"/>
                <w:sz w:val="18"/>
              </w:rPr>
              <w:t xml:space="preserve"> ($m)</w:t>
            </w:r>
          </w:p>
        </w:tc>
        <w:tc>
          <w:tcPr>
            <w:tcW w:w="714" w:type="pct"/>
            <w:tcBorders>
              <w:bottom w:val="single" w:sz="4" w:space="0" w:color="B3B3B3"/>
            </w:tcBorders>
            <w:vAlign w:val="bottom"/>
          </w:tcPr>
          <w:p w14:paraId="0FD5B012" w14:textId="025796CA" w:rsidR="00EF4BC1" w:rsidRPr="008D422F" w:rsidRDefault="00EF4BC1" w:rsidP="0072483A">
            <w:pPr>
              <w:pStyle w:val="FigureTableHeading"/>
              <w:spacing w:before="45" w:after="45"/>
              <w:ind w:left="57" w:right="108"/>
              <w:jc w:val="right"/>
              <w:rPr>
                <w:rFonts w:ascii="Arial (Body)" w:hAnsi="Arial (Body)"/>
                <w:b/>
                <w:color w:val="265A9A"/>
                <w:sz w:val="18"/>
              </w:rPr>
            </w:pPr>
            <w:r w:rsidRPr="008D422F">
              <w:rPr>
                <w:rFonts w:ascii="Arial (Body)" w:hAnsi="Arial (Body)"/>
                <w:b/>
                <w:color w:val="265A9A"/>
                <w:sz w:val="18"/>
              </w:rPr>
              <w:t>Return on total assets</w:t>
            </w:r>
            <w:r w:rsidR="00000D8A" w:rsidRPr="008D422F">
              <w:rPr>
                <w:rFonts w:ascii="Arial (Body)" w:hAnsi="Arial (Body)"/>
                <w:b/>
                <w:color w:val="265A9A"/>
                <w:sz w:val="18"/>
              </w:rPr>
              <w:t xml:space="preserve"> (%)</w:t>
            </w:r>
          </w:p>
        </w:tc>
        <w:tc>
          <w:tcPr>
            <w:tcW w:w="714" w:type="pct"/>
            <w:tcBorders>
              <w:bottom w:val="single" w:sz="4" w:space="0" w:color="B3B3B3"/>
            </w:tcBorders>
            <w:vAlign w:val="bottom"/>
          </w:tcPr>
          <w:p w14:paraId="13D05BCA" w14:textId="79303DE6" w:rsidR="00EF4BC1" w:rsidRPr="008D422F" w:rsidRDefault="00EF4BC1" w:rsidP="0072483A">
            <w:pPr>
              <w:pStyle w:val="FigureTableHeading"/>
              <w:spacing w:before="45" w:after="45"/>
              <w:ind w:left="57" w:right="108"/>
              <w:jc w:val="right"/>
              <w:rPr>
                <w:rFonts w:ascii="Arial (Body)" w:hAnsi="Arial (Body)"/>
                <w:b/>
                <w:color w:val="265A9A"/>
                <w:sz w:val="18"/>
              </w:rPr>
            </w:pPr>
            <w:r w:rsidRPr="008D422F">
              <w:rPr>
                <w:rFonts w:ascii="Arial (Body)" w:hAnsi="Arial (Body)"/>
                <w:b/>
                <w:color w:val="265A9A"/>
                <w:sz w:val="18"/>
              </w:rPr>
              <w:t>CSO loss</w:t>
            </w:r>
            <w:r w:rsidR="00000D8A" w:rsidRPr="008D422F">
              <w:rPr>
                <w:rFonts w:ascii="Arial (Body)" w:hAnsi="Arial (Body)"/>
                <w:b/>
                <w:color w:val="265A9A"/>
                <w:sz w:val="18"/>
              </w:rPr>
              <w:t xml:space="preserve"> ($m)</w:t>
            </w:r>
          </w:p>
        </w:tc>
        <w:tc>
          <w:tcPr>
            <w:tcW w:w="714" w:type="pct"/>
            <w:tcBorders>
              <w:bottom w:val="single" w:sz="4" w:space="0" w:color="B3B3B3"/>
            </w:tcBorders>
            <w:vAlign w:val="bottom"/>
          </w:tcPr>
          <w:p w14:paraId="3B5DFF2B" w14:textId="70854197" w:rsidR="00EF4BC1" w:rsidRPr="008D422F" w:rsidRDefault="00EF4BC1" w:rsidP="0072483A">
            <w:pPr>
              <w:pStyle w:val="FigureTableHeading"/>
              <w:spacing w:before="45" w:after="45"/>
              <w:ind w:left="57" w:right="108"/>
              <w:jc w:val="right"/>
              <w:rPr>
                <w:rFonts w:ascii="Arial (Body)" w:hAnsi="Arial (Body)"/>
                <w:b/>
                <w:color w:val="265A9A"/>
                <w:sz w:val="18"/>
              </w:rPr>
            </w:pPr>
            <w:r w:rsidRPr="008D422F">
              <w:rPr>
                <w:rFonts w:ascii="Arial (Body)" w:hAnsi="Arial (Body)"/>
                <w:b/>
                <w:color w:val="265A9A"/>
                <w:sz w:val="18"/>
              </w:rPr>
              <w:t>Adjusted pre-tax profit (loss)</w:t>
            </w:r>
            <w:r w:rsidR="00000D8A" w:rsidRPr="008D422F">
              <w:rPr>
                <w:rFonts w:ascii="Arial (Body)" w:hAnsi="Arial (Body)"/>
                <w:b/>
                <w:color w:val="265A9A"/>
                <w:sz w:val="18"/>
              </w:rPr>
              <w:t xml:space="preserve"> ($m)</w:t>
            </w:r>
          </w:p>
        </w:tc>
        <w:tc>
          <w:tcPr>
            <w:tcW w:w="714" w:type="pct"/>
            <w:tcBorders>
              <w:bottom w:val="single" w:sz="4" w:space="0" w:color="B3B3B3"/>
            </w:tcBorders>
            <w:vAlign w:val="bottom"/>
          </w:tcPr>
          <w:p w14:paraId="2012E399" w14:textId="3AC38122" w:rsidR="00EF4BC1" w:rsidRPr="008D422F" w:rsidRDefault="00EF4BC1" w:rsidP="0072483A">
            <w:pPr>
              <w:pStyle w:val="FigureTableHeading"/>
              <w:spacing w:before="45" w:after="45"/>
              <w:ind w:left="57" w:right="108"/>
              <w:jc w:val="right"/>
              <w:rPr>
                <w:rFonts w:ascii="Arial (Body)" w:hAnsi="Arial (Body)"/>
                <w:b/>
                <w:color w:val="265A9A"/>
                <w:sz w:val="18"/>
              </w:rPr>
            </w:pPr>
            <w:r w:rsidRPr="008D422F">
              <w:rPr>
                <w:rFonts w:ascii="Arial (Body)" w:hAnsi="Arial (Body)"/>
                <w:b/>
                <w:color w:val="265A9A"/>
                <w:sz w:val="18"/>
              </w:rPr>
              <w:t>Adjusted return on total assets</w:t>
            </w:r>
            <w:r w:rsidR="00000D8A" w:rsidRPr="008D422F">
              <w:rPr>
                <w:rFonts w:ascii="Arial (Body)" w:hAnsi="Arial (Body)"/>
                <w:b/>
                <w:color w:val="265A9A"/>
                <w:sz w:val="18"/>
              </w:rPr>
              <w:t xml:space="preserve"> (</w:t>
            </w:r>
            <w:r w:rsidR="00CF5251" w:rsidRPr="008D422F">
              <w:rPr>
                <w:rFonts w:ascii="Arial (Body)" w:hAnsi="Arial (Body)"/>
                <w:b/>
                <w:color w:val="265A9A"/>
                <w:sz w:val="18"/>
              </w:rPr>
              <w:t>%)</w:t>
            </w:r>
          </w:p>
        </w:tc>
      </w:tr>
      <w:tr w:rsidR="008D422F" w:rsidRPr="008D422F" w14:paraId="1331530B" w14:textId="77777777" w:rsidTr="003E16C4">
        <w:trPr>
          <w:trHeight w:val="405"/>
        </w:trPr>
        <w:tc>
          <w:tcPr>
            <w:tcW w:w="714" w:type="pct"/>
            <w:tcBorders>
              <w:top w:val="single" w:sz="4" w:space="0" w:color="B3B3B3"/>
              <w:bottom w:val="nil"/>
            </w:tcBorders>
            <w:shd w:val="clear" w:color="auto" w:fill="F2F2F2" w:themeFill="background1" w:themeFillShade="F2"/>
          </w:tcPr>
          <w:p w14:paraId="75E0A680" w14:textId="57A9889A"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2013-14</w:t>
            </w:r>
          </w:p>
        </w:tc>
        <w:tc>
          <w:tcPr>
            <w:tcW w:w="714" w:type="pct"/>
            <w:tcBorders>
              <w:top w:val="single" w:sz="4" w:space="0" w:color="B3B3B3"/>
              <w:bottom w:val="nil"/>
            </w:tcBorders>
            <w:shd w:val="clear" w:color="auto" w:fill="F2F2F2" w:themeFill="background1" w:themeFillShade="F2"/>
          </w:tcPr>
          <w:p w14:paraId="46607A88" w14:textId="68987DEB" w:rsidR="00EF4BC1" w:rsidRPr="008D422F" w:rsidRDefault="0075093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4651.2</w:t>
            </w:r>
          </w:p>
        </w:tc>
        <w:tc>
          <w:tcPr>
            <w:tcW w:w="714" w:type="pct"/>
            <w:tcBorders>
              <w:top w:val="single" w:sz="4" w:space="0" w:color="B3B3B3"/>
              <w:bottom w:val="nil"/>
            </w:tcBorders>
            <w:shd w:val="clear" w:color="auto" w:fill="F2F2F2" w:themeFill="background1" w:themeFillShade="F2"/>
          </w:tcPr>
          <w:p w14:paraId="7E497AF6" w14:textId="6DB3FB37"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103.0</w:t>
            </w:r>
          </w:p>
        </w:tc>
        <w:tc>
          <w:tcPr>
            <w:tcW w:w="714" w:type="pct"/>
            <w:tcBorders>
              <w:top w:val="single" w:sz="4" w:space="0" w:color="B3B3B3"/>
              <w:bottom w:val="nil"/>
            </w:tcBorders>
            <w:shd w:val="clear" w:color="auto" w:fill="F2F2F2" w:themeFill="background1" w:themeFillShade="F2"/>
          </w:tcPr>
          <w:p w14:paraId="4CC0092B" w14:textId="280DB351"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2.2</w:t>
            </w:r>
          </w:p>
        </w:tc>
        <w:tc>
          <w:tcPr>
            <w:tcW w:w="714" w:type="pct"/>
            <w:tcBorders>
              <w:top w:val="single" w:sz="4" w:space="0" w:color="B3B3B3"/>
              <w:bottom w:val="nil"/>
            </w:tcBorders>
            <w:shd w:val="clear" w:color="auto" w:fill="F2F2F2" w:themeFill="background1" w:themeFillShade="F2"/>
          </w:tcPr>
          <w:p w14:paraId="7E2C8418" w14:textId="3DADE820" w:rsidR="00EF4BC1" w:rsidRPr="008D422F" w:rsidRDefault="003026E3"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203.5</w:t>
            </w:r>
          </w:p>
        </w:tc>
        <w:tc>
          <w:tcPr>
            <w:tcW w:w="714" w:type="pct"/>
            <w:tcBorders>
              <w:top w:val="single" w:sz="4" w:space="0" w:color="B3B3B3"/>
              <w:bottom w:val="nil"/>
            </w:tcBorders>
            <w:shd w:val="clear" w:color="auto" w:fill="F2F2F2" w:themeFill="background1" w:themeFillShade="F2"/>
          </w:tcPr>
          <w:p w14:paraId="0CD485E2" w14:textId="72DF4830" w:rsidR="00EF4BC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306.5</w:t>
            </w:r>
          </w:p>
        </w:tc>
        <w:tc>
          <w:tcPr>
            <w:tcW w:w="714" w:type="pct"/>
            <w:tcBorders>
              <w:top w:val="single" w:sz="4" w:space="0" w:color="B3B3B3"/>
              <w:bottom w:val="nil"/>
            </w:tcBorders>
            <w:shd w:val="clear" w:color="auto" w:fill="F2F2F2" w:themeFill="background1" w:themeFillShade="F2"/>
          </w:tcPr>
          <w:p w14:paraId="5020D7A3" w14:textId="76D59178"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6.6</w:t>
            </w:r>
          </w:p>
        </w:tc>
      </w:tr>
      <w:tr w:rsidR="00FA6CE6" w:rsidRPr="008D422F" w14:paraId="06F530D3" w14:textId="77777777" w:rsidTr="003E16C4">
        <w:trPr>
          <w:trHeight w:val="392"/>
        </w:trPr>
        <w:tc>
          <w:tcPr>
            <w:tcW w:w="714" w:type="pct"/>
            <w:tcBorders>
              <w:top w:val="nil"/>
              <w:bottom w:val="nil"/>
            </w:tcBorders>
          </w:tcPr>
          <w:p w14:paraId="664B8AE3" w14:textId="5EE834F6"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2014-15</w:t>
            </w:r>
          </w:p>
        </w:tc>
        <w:tc>
          <w:tcPr>
            <w:tcW w:w="714" w:type="pct"/>
            <w:tcBorders>
              <w:top w:val="nil"/>
              <w:bottom w:val="nil"/>
            </w:tcBorders>
          </w:tcPr>
          <w:p w14:paraId="7B1C01A6" w14:textId="283E3453" w:rsidR="00EF4BC1" w:rsidRPr="008D422F" w:rsidRDefault="0075093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5094.4</w:t>
            </w:r>
          </w:p>
        </w:tc>
        <w:tc>
          <w:tcPr>
            <w:tcW w:w="714" w:type="pct"/>
            <w:tcBorders>
              <w:top w:val="nil"/>
              <w:bottom w:val="nil"/>
            </w:tcBorders>
          </w:tcPr>
          <w:p w14:paraId="7C783FAD" w14:textId="7F9AEDC0"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(352.1)</w:t>
            </w:r>
          </w:p>
        </w:tc>
        <w:tc>
          <w:tcPr>
            <w:tcW w:w="714" w:type="pct"/>
            <w:tcBorders>
              <w:top w:val="nil"/>
              <w:bottom w:val="nil"/>
            </w:tcBorders>
          </w:tcPr>
          <w:p w14:paraId="419DD0D9" w14:textId="3C1CF3A2"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(6.9)</w:t>
            </w:r>
          </w:p>
        </w:tc>
        <w:tc>
          <w:tcPr>
            <w:tcW w:w="714" w:type="pct"/>
            <w:tcBorders>
              <w:top w:val="nil"/>
              <w:bottom w:val="nil"/>
            </w:tcBorders>
          </w:tcPr>
          <w:p w14:paraId="5E61F4E3" w14:textId="10C5B4DC" w:rsidR="00EF4BC1" w:rsidRPr="008D422F" w:rsidRDefault="003026E3"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210.8</w:t>
            </w:r>
          </w:p>
        </w:tc>
        <w:tc>
          <w:tcPr>
            <w:tcW w:w="714" w:type="pct"/>
            <w:tcBorders>
              <w:top w:val="nil"/>
              <w:bottom w:val="nil"/>
            </w:tcBorders>
          </w:tcPr>
          <w:p w14:paraId="6EFCA36B" w14:textId="55E52389" w:rsidR="00EF4BC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(141.3)</w:t>
            </w:r>
          </w:p>
        </w:tc>
        <w:tc>
          <w:tcPr>
            <w:tcW w:w="714" w:type="pct"/>
            <w:tcBorders>
              <w:top w:val="nil"/>
              <w:bottom w:val="nil"/>
            </w:tcBorders>
          </w:tcPr>
          <w:p w14:paraId="6D1642D8" w14:textId="2ED6B203"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(2.8)</w:t>
            </w:r>
          </w:p>
        </w:tc>
      </w:tr>
      <w:tr w:rsidR="008D422F" w:rsidRPr="008D422F" w14:paraId="0E6CF545" w14:textId="77777777" w:rsidTr="003E16C4">
        <w:trPr>
          <w:trHeight w:val="405"/>
        </w:trPr>
        <w:tc>
          <w:tcPr>
            <w:tcW w:w="714" w:type="pct"/>
            <w:tcBorders>
              <w:bottom w:val="nil"/>
            </w:tcBorders>
            <w:shd w:val="clear" w:color="auto" w:fill="F2F2F2" w:themeFill="background1" w:themeFillShade="F2"/>
          </w:tcPr>
          <w:p w14:paraId="075ECB59" w14:textId="4227BF49"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2015-16</w:t>
            </w:r>
          </w:p>
        </w:tc>
        <w:tc>
          <w:tcPr>
            <w:tcW w:w="714" w:type="pct"/>
            <w:tcBorders>
              <w:bottom w:val="nil"/>
            </w:tcBorders>
            <w:shd w:val="clear" w:color="auto" w:fill="F2F2F2" w:themeFill="background1" w:themeFillShade="F2"/>
          </w:tcPr>
          <w:p w14:paraId="5AABCDC0" w14:textId="7295DFC8" w:rsidR="00EF4BC1" w:rsidRPr="008D422F" w:rsidRDefault="0075093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5043.2</w:t>
            </w:r>
          </w:p>
        </w:tc>
        <w:tc>
          <w:tcPr>
            <w:tcW w:w="714" w:type="pct"/>
            <w:tcBorders>
              <w:bottom w:val="nil"/>
            </w:tcBorders>
            <w:shd w:val="clear" w:color="auto" w:fill="F2F2F2" w:themeFill="background1" w:themeFillShade="F2"/>
          </w:tcPr>
          <w:p w14:paraId="0C013657" w14:textId="3992A092"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41.0</w:t>
            </w:r>
          </w:p>
        </w:tc>
        <w:tc>
          <w:tcPr>
            <w:tcW w:w="714" w:type="pct"/>
            <w:tcBorders>
              <w:bottom w:val="nil"/>
            </w:tcBorders>
            <w:shd w:val="clear" w:color="auto" w:fill="F2F2F2" w:themeFill="background1" w:themeFillShade="F2"/>
          </w:tcPr>
          <w:p w14:paraId="60B38D06" w14:textId="4EDE3D86"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0.8</w:t>
            </w:r>
          </w:p>
        </w:tc>
        <w:tc>
          <w:tcPr>
            <w:tcW w:w="714" w:type="pct"/>
            <w:tcBorders>
              <w:bottom w:val="nil"/>
            </w:tcBorders>
            <w:shd w:val="clear" w:color="auto" w:fill="F2F2F2" w:themeFill="background1" w:themeFillShade="F2"/>
          </w:tcPr>
          <w:p w14:paraId="63360F0C" w14:textId="215334C0" w:rsidR="00EF4BC1" w:rsidRPr="008D422F" w:rsidRDefault="003026E3"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182.5</w:t>
            </w:r>
          </w:p>
        </w:tc>
        <w:tc>
          <w:tcPr>
            <w:tcW w:w="714" w:type="pct"/>
            <w:tcBorders>
              <w:bottom w:val="nil"/>
            </w:tcBorders>
            <w:shd w:val="clear" w:color="auto" w:fill="F2F2F2" w:themeFill="background1" w:themeFillShade="F2"/>
          </w:tcPr>
          <w:p w14:paraId="2BEC2078" w14:textId="5D30D99C" w:rsidR="00EF4BC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223.5</w:t>
            </w:r>
          </w:p>
        </w:tc>
        <w:tc>
          <w:tcPr>
            <w:tcW w:w="714" w:type="pct"/>
            <w:tcBorders>
              <w:bottom w:val="nil"/>
            </w:tcBorders>
            <w:shd w:val="clear" w:color="auto" w:fill="F2F2F2" w:themeFill="background1" w:themeFillShade="F2"/>
          </w:tcPr>
          <w:p w14:paraId="1CA65EA8" w14:textId="797655E3"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4.4</w:t>
            </w:r>
          </w:p>
        </w:tc>
      </w:tr>
      <w:tr w:rsidR="00FA6CE6" w:rsidRPr="008D422F" w14:paraId="363749FA" w14:textId="77777777" w:rsidTr="003E16C4">
        <w:trPr>
          <w:trHeight w:val="405"/>
        </w:trPr>
        <w:tc>
          <w:tcPr>
            <w:tcW w:w="714" w:type="pct"/>
            <w:tcBorders>
              <w:top w:val="nil"/>
              <w:bottom w:val="nil"/>
            </w:tcBorders>
          </w:tcPr>
          <w:p w14:paraId="050A0122" w14:textId="3ED53A8E"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2016-17</w:t>
            </w:r>
          </w:p>
        </w:tc>
        <w:tc>
          <w:tcPr>
            <w:tcW w:w="714" w:type="pct"/>
            <w:tcBorders>
              <w:top w:val="nil"/>
              <w:bottom w:val="nil"/>
            </w:tcBorders>
          </w:tcPr>
          <w:p w14:paraId="6BDA1724" w14:textId="5F5A6B28" w:rsidR="00EF4BC1" w:rsidRPr="008D422F" w:rsidRDefault="0075093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5537.3</w:t>
            </w:r>
          </w:p>
        </w:tc>
        <w:tc>
          <w:tcPr>
            <w:tcW w:w="714" w:type="pct"/>
            <w:tcBorders>
              <w:top w:val="nil"/>
              <w:bottom w:val="nil"/>
            </w:tcBorders>
          </w:tcPr>
          <w:p w14:paraId="28B6BD36" w14:textId="5ABEC87A"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126.1</w:t>
            </w:r>
          </w:p>
        </w:tc>
        <w:tc>
          <w:tcPr>
            <w:tcW w:w="714" w:type="pct"/>
            <w:tcBorders>
              <w:top w:val="nil"/>
              <w:bottom w:val="nil"/>
            </w:tcBorders>
          </w:tcPr>
          <w:p w14:paraId="6DBD77A0" w14:textId="744670AE"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2.3</w:t>
            </w:r>
          </w:p>
        </w:tc>
        <w:tc>
          <w:tcPr>
            <w:tcW w:w="714" w:type="pct"/>
            <w:tcBorders>
              <w:top w:val="nil"/>
              <w:bottom w:val="nil"/>
            </w:tcBorders>
          </w:tcPr>
          <w:p w14:paraId="18A3387A" w14:textId="53BCA5DD" w:rsidR="00EF4BC1" w:rsidRPr="008D422F" w:rsidRDefault="003026E3"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389.9</w:t>
            </w:r>
          </w:p>
        </w:tc>
        <w:tc>
          <w:tcPr>
            <w:tcW w:w="714" w:type="pct"/>
            <w:tcBorders>
              <w:top w:val="nil"/>
              <w:bottom w:val="nil"/>
            </w:tcBorders>
          </w:tcPr>
          <w:p w14:paraId="48BA63D5" w14:textId="578F207A" w:rsidR="00EF4BC1" w:rsidRPr="008D422F" w:rsidRDefault="00E93FA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516.0</w:t>
            </w:r>
          </w:p>
        </w:tc>
        <w:tc>
          <w:tcPr>
            <w:tcW w:w="714" w:type="pct"/>
            <w:tcBorders>
              <w:top w:val="nil"/>
              <w:bottom w:val="nil"/>
            </w:tcBorders>
          </w:tcPr>
          <w:p w14:paraId="3194AF1B" w14:textId="4163860F"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9.3</w:t>
            </w:r>
          </w:p>
        </w:tc>
      </w:tr>
      <w:tr w:rsidR="008D422F" w:rsidRPr="008D422F" w14:paraId="3E4AA4C3" w14:textId="77777777" w:rsidTr="003E16C4">
        <w:trPr>
          <w:trHeight w:val="405"/>
        </w:trPr>
        <w:tc>
          <w:tcPr>
            <w:tcW w:w="714" w:type="pct"/>
            <w:tcBorders>
              <w:bottom w:val="nil"/>
            </w:tcBorders>
            <w:shd w:val="clear" w:color="auto" w:fill="F2F2F2" w:themeFill="background1" w:themeFillShade="F2"/>
          </w:tcPr>
          <w:p w14:paraId="021DD537" w14:textId="22BD5EBD"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2017-18</w:t>
            </w:r>
          </w:p>
        </w:tc>
        <w:tc>
          <w:tcPr>
            <w:tcW w:w="714" w:type="pct"/>
            <w:tcBorders>
              <w:bottom w:val="nil"/>
            </w:tcBorders>
            <w:shd w:val="clear" w:color="auto" w:fill="F2F2F2" w:themeFill="background1" w:themeFillShade="F2"/>
          </w:tcPr>
          <w:p w14:paraId="4D8946D8" w14:textId="4DD9F548" w:rsidR="00EF4BC1" w:rsidRPr="008D422F" w:rsidRDefault="0075093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5589.1</w:t>
            </w:r>
          </w:p>
        </w:tc>
        <w:tc>
          <w:tcPr>
            <w:tcW w:w="714" w:type="pct"/>
            <w:tcBorders>
              <w:bottom w:val="nil"/>
            </w:tcBorders>
            <w:shd w:val="clear" w:color="auto" w:fill="F2F2F2" w:themeFill="background1" w:themeFillShade="F2"/>
          </w:tcPr>
          <w:p w14:paraId="266F983A" w14:textId="2F943FC3"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125.7</w:t>
            </w:r>
          </w:p>
        </w:tc>
        <w:tc>
          <w:tcPr>
            <w:tcW w:w="714" w:type="pct"/>
            <w:tcBorders>
              <w:bottom w:val="nil"/>
            </w:tcBorders>
            <w:shd w:val="clear" w:color="auto" w:fill="F2F2F2" w:themeFill="background1" w:themeFillShade="F2"/>
          </w:tcPr>
          <w:p w14:paraId="18F428C2" w14:textId="0C2BB8E2"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2.2</w:t>
            </w:r>
          </w:p>
        </w:tc>
        <w:tc>
          <w:tcPr>
            <w:tcW w:w="714" w:type="pct"/>
            <w:tcBorders>
              <w:bottom w:val="nil"/>
            </w:tcBorders>
            <w:shd w:val="clear" w:color="auto" w:fill="F2F2F2" w:themeFill="background1" w:themeFillShade="F2"/>
          </w:tcPr>
          <w:p w14:paraId="69CC4974" w14:textId="3C503AE5" w:rsidR="00EF4BC1" w:rsidRPr="008D422F" w:rsidRDefault="003026E3"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403.2</w:t>
            </w:r>
          </w:p>
        </w:tc>
        <w:tc>
          <w:tcPr>
            <w:tcW w:w="714" w:type="pct"/>
            <w:tcBorders>
              <w:bottom w:val="nil"/>
            </w:tcBorders>
            <w:shd w:val="clear" w:color="auto" w:fill="F2F2F2" w:themeFill="background1" w:themeFillShade="F2"/>
          </w:tcPr>
          <w:p w14:paraId="5D2AE312" w14:textId="67D17ADC" w:rsidR="00EF4BC1" w:rsidRPr="008D422F" w:rsidRDefault="00E93FA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528.9</w:t>
            </w:r>
          </w:p>
        </w:tc>
        <w:tc>
          <w:tcPr>
            <w:tcW w:w="714" w:type="pct"/>
            <w:tcBorders>
              <w:bottom w:val="nil"/>
            </w:tcBorders>
            <w:shd w:val="clear" w:color="auto" w:fill="F2F2F2" w:themeFill="background1" w:themeFillShade="F2"/>
          </w:tcPr>
          <w:p w14:paraId="51561403" w14:textId="0657C642"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9.5</w:t>
            </w:r>
          </w:p>
        </w:tc>
      </w:tr>
      <w:tr w:rsidR="00FA6CE6" w:rsidRPr="008D422F" w14:paraId="28E82134" w14:textId="77777777" w:rsidTr="003E16C4">
        <w:trPr>
          <w:trHeight w:val="405"/>
        </w:trPr>
        <w:tc>
          <w:tcPr>
            <w:tcW w:w="714" w:type="pct"/>
            <w:tcBorders>
              <w:top w:val="nil"/>
              <w:bottom w:val="nil"/>
            </w:tcBorders>
          </w:tcPr>
          <w:p w14:paraId="509FA195" w14:textId="299642E6"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2018-19</w:t>
            </w:r>
          </w:p>
        </w:tc>
        <w:tc>
          <w:tcPr>
            <w:tcW w:w="714" w:type="pct"/>
            <w:tcBorders>
              <w:top w:val="nil"/>
              <w:bottom w:val="nil"/>
            </w:tcBorders>
          </w:tcPr>
          <w:p w14:paraId="1706BBAE" w14:textId="289D6C04" w:rsidR="00EF4BC1" w:rsidRPr="008D422F" w:rsidRDefault="0075093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55</w:t>
            </w:r>
            <w:r w:rsidR="0072439D" w:rsidRPr="008D422F">
              <w:rPr>
                <w:rFonts w:ascii="Arial (Body)" w:hAnsi="Arial (Body)"/>
                <w:color w:val="000000"/>
                <w:sz w:val="18"/>
              </w:rPr>
              <w:t>35.6</w:t>
            </w:r>
          </w:p>
        </w:tc>
        <w:tc>
          <w:tcPr>
            <w:tcW w:w="714" w:type="pct"/>
            <w:tcBorders>
              <w:top w:val="nil"/>
              <w:bottom w:val="nil"/>
            </w:tcBorders>
          </w:tcPr>
          <w:p w14:paraId="785AC0EC" w14:textId="16442F14"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41.1</w:t>
            </w:r>
          </w:p>
        </w:tc>
        <w:tc>
          <w:tcPr>
            <w:tcW w:w="714" w:type="pct"/>
            <w:tcBorders>
              <w:top w:val="nil"/>
              <w:bottom w:val="nil"/>
            </w:tcBorders>
          </w:tcPr>
          <w:p w14:paraId="68C22FA9" w14:textId="08E7E496"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0.7</w:t>
            </w:r>
          </w:p>
        </w:tc>
        <w:tc>
          <w:tcPr>
            <w:tcW w:w="714" w:type="pct"/>
            <w:tcBorders>
              <w:top w:val="nil"/>
              <w:bottom w:val="nil"/>
            </w:tcBorders>
          </w:tcPr>
          <w:p w14:paraId="7CAB4673" w14:textId="181E67B5" w:rsidR="00EF4BC1" w:rsidRPr="008D422F" w:rsidRDefault="003026E3"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392</w:t>
            </w:r>
            <w:r w:rsidR="0062540D" w:rsidRPr="008D422F">
              <w:rPr>
                <w:rFonts w:ascii="Arial (Body)" w:hAnsi="Arial (Body)"/>
                <w:color w:val="000000"/>
                <w:sz w:val="18"/>
              </w:rPr>
              <w:t>.2</w:t>
            </w:r>
          </w:p>
        </w:tc>
        <w:tc>
          <w:tcPr>
            <w:tcW w:w="714" w:type="pct"/>
            <w:tcBorders>
              <w:top w:val="nil"/>
              <w:bottom w:val="nil"/>
            </w:tcBorders>
          </w:tcPr>
          <w:p w14:paraId="51BAA4BC" w14:textId="002CD96D" w:rsidR="00EF4BC1" w:rsidRPr="008D422F" w:rsidRDefault="00686A2F" w:rsidP="0072483A">
            <w:pPr>
              <w:pStyle w:val="FigureTableHeading"/>
              <w:spacing w:before="45" w:after="45"/>
              <w:ind w:left="57" w:right="108"/>
              <w:jc w:val="right"/>
              <w:rPr>
                <w:rFonts w:ascii="Arial (Body)" w:hAnsi="Arial (Body)"/>
                <w:color w:val="000000"/>
                <w:sz w:val="18"/>
              </w:rPr>
            </w:pPr>
            <w:r>
              <w:rPr>
                <w:rFonts w:ascii="Arial (Body)" w:hAnsi="Arial (Body)"/>
                <w:color w:val="000000"/>
                <w:sz w:val="18"/>
              </w:rPr>
              <w:t>4</w:t>
            </w:r>
            <w:r w:rsidRPr="008D422F">
              <w:rPr>
                <w:rFonts w:ascii="Arial (Body)" w:hAnsi="Arial (Body)"/>
                <w:color w:val="000000"/>
                <w:sz w:val="18"/>
              </w:rPr>
              <w:t>33</w:t>
            </w:r>
            <w:r w:rsidR="00E93FAE" w:rsidRPr="008D422F">
              <w:rPr>
                <w:rFonts w:ascii="Arial (Body)" w:hAnsi="Arial (Body)"/>
                <w:color w:val="000000"/>
                <w:sz w:val="18"/>
              </w:rPr>
              <w:t>.3</w:t>
            </w:r>
          </w:p>
        </w:tc>
        <w:tc>
          <w:tcPr>
            <w:tcW w:w="714" w:type="pct"/>
            <w:tcBorders>
              <w:top w:val="nil"/>
              <w:bottom w:val="nil"/>
            </w:tcBorders>
          </w:tcPr>
          <w:p w14:paraId="004E9CFD" w14:textId="3186A559"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7.8</w:t>
            </w:r>
          </w:p>
        </w:tc>
      </w:tr>
      <w:tr w:rsidR="008D422F" w:rsidRPr="008D422F" w14:paraId="02305E6B" w14:textId="77777777" w:rsidTr="003E16C4">
        <w:trPr>
          <w:trHeight w:val="405"/>
        </w:trPr>
        <w:tc>
          <w:tcPr>
            <w:tcW w:w="714" w:type="pct"/>
            <w:tcBorders>
              <w:bottom w:val="nil"/>
            </w:tcBorders>
            <w:shd w:val="clear" w:color="auto" w:fill="F2F2F2" w:themeFill="background1" w:themeFillShade="F2"/>
          </w:tcPr>
          <w:p w14:paraId="6C4E8C5F" w14:textId="1CF963D8"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2019-20</w:t>
            </w:r>
          </w:p>
        </w:tc>
        <w:tc>
          <w:tcPr>
            <w:tcW w:w="714" w:type="pct"/>
            <w:tcBorders>
              <w:bottom w:val="nil"/>
            </w:tcBorders>
            <w:shd w:val="clear" w:color="auto" w:fill="F2F2F2" w:themeFill="background1" w:themeFillShade="F2"/>
          </w:tcPr>
          <w:p w14:paraId="1C6C1977" w14:textId="6E4EA384" w:rsidR="00EF4BC1" w:rsidRPr="008D422F" w:rsidRDefault="0072439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6785.3</w:t>
            </w:r>
          </w:p>
        </w:tc>
        <w:tc>
          <w:tcPr>
            <w:tcW w:w="714" w:type="pct"/>
            <w:tcBorders>
              <w:bottom w:val="nil"/>
            </w:tcBorders>
            <w:shd w:val="clear" w:color="auto" w:fill="F2F2F2" w:themeFill="background1" w:themeFillShade="F2"/>
          </w:tcPr>
          <w:p w14:paraId="7A19B4EE" w14:textId="46D94E10"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53.6</w:t>
            </w:r>
          </w:p>
        </w:tc>
        <w:tc>
          <w:tcPr>
            <w:tcW w:w="714" w:type="pct"/>
            <w:tcBorders>
              <w:bottom w:val="nil"/>
            </w:tcBorders>
            <w:shd w:val="clear" w:color="auto" w:fill="F2F2F2" w:themeFill="background1" w:themeFillShade="F2"/>
          </w:tcPr>
          <w:p w14:paraId="59AF3B17" w14:textId="4EA8340D"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0.8</w:t>
            </w:r>
          </w:p>
        </w:tc>
        <w:tc>
          <w:tcPr>
            <w:tcW w:w="714" w:type="pct"/>
            <w:tcBorders>
              <w:bottom w:val="nil"/>
            </w:tcBorders>
            <w:shd w:val="clear" w:color="auto" w:fill="F2F2F2" w:themeFill="background1" w:themeFillShade="F2"/>
          </w:tcPr>
          <w:p w14:paraId="327AD6FE" w14:textId="3C5627A2" w:rsidR="00EF4BC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393.3</w:t>
            </w:r>
          </w:p>
        </w:tc>
        <w:tc>
          <w:tcPr>
            <w:tcW w:w="714" w:type="pct"/>
            <w:tcBorders>
              <w:bottom w:val="nil"/>
            </w:tcBorders>
            <w:shd w:val="clear" w:color="auto" w:fill="F2F2F2" w:themeFill="background1" w:themeFillShade="F2"/>
          </w:tcPr>
          <w:p w14:paraId="2D96AEDC" w14:textId="678FEBBA" w:rsidR="00EF4BC1" w:rsidRPr="008D422F" w:rsidRDefault="00E93FA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446.9</w:t>
            </w:r>
          </w:p>
        </w:tc>
        <w:tc>
          <w:tcPr>
            <w:tcW w:w="714" w:type="pct"/>
            <w:tcBorders>
              <w:bottom w:val="nil"/>
            </w:tcBorders>
            <w:shd w:val="clear" w:color="auto" w:fill="F2F2F2" w:themeFill="background1" w:themeFillShade="F2"/>
          </w:tcPr>
          <w:p w14:paraId="08BEE692" w14:textId="14A50C48"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6.6</w:t>
            </w:r>
          </w:p>
        </w:tc>
      </w:tr>
      <w:tr w:rsidR="00FA6CE6" w:rsidRPr="008D422F" w14:paraId="69D9240E" w14:textId="77777777" w:rsidTr="003E16C4">
        <w:trPr>
          <w:trHeight w:val="392"/>
        </w:trPr>
        <w:tc>
          <w:tcPr>
            <w:tcW w:w="714" w:type="pct"/>
            <w:tcBorders>
              <w:top w:val="nil"/>
              <w:bottom w:val="nil"/>
            </w:tcBorders>
          </w:tcPr>
          <w:p w14:paraId="14A2F096" w14:textId="6F0ABBFA"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2020-21</w:t>
            </w:r>
          </w:p>
        </w:tc>
        <w:tc>
          <w:tcPr>
            <w:tcW w:w="714" w:type="pct"/>
            <w:tcBorders>
              <w:top w:val="nil"/>
              <w:bottom w:val="nil"/>
            </w:tcBorders>
          </w:tcPr>
          <w:p w14:paraId="49F4696F" w14:textId="6B22CA8D" w:rsidR="00EF4BC1" w:rsidRPr="008D422F" w:rsidRDefault="0072439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7064.9</w:t>
            </w:r>
          </w:p>
        </w:tc>
        <w:tc>
          <w:tcPr>
            <w:tcW w:w="714" w:type="pct"/>
            <w:tcBorders>
              <w:top w:val="nil"/>
              <w:bottom w:val="nil"/>
            </w:tcBorders>
          </w:tcPr>
          <w:p w14:paraId="407DA7FB" w14:textId="3241AA15" w:rsidR="00EF4BC1" w:rsidRPr="008D422F" w:rsidRDefault="00505821"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100.7</w:t>
            </w:r>
          </w:p>
        </w:tc>
        <w:tc>
          <w:tcPr>
            <w:tcW w:w="714" w:type="pct"/>
            <w:tcBorders>
              <w:top w:val="nil"/>
              <w:bottom w:val="nil"/>
            </w:tcBorders>
          </w:tcPr>
          <w:p w14:paraId="7BD1BCE6" w14:textId="3ED27DF0"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1.4</w:t>
            </w:r>
          </w:p>
        </w:tc>
        <w:tc>
          <w:tcPr>
            <w:tcW w:w="714" w:type="pct"/>
            <w:tcBorders>
              <w:top w:val="nil"/>
              <w:bottom w:val="nil"/>
            </w:tcBorders>
          </w:tcPr>
          <w:p w14:paraId="3848B3DF" w14:textId="360AA635" w:rsidR="00EF4BC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348.3</w:t>
            </w:r>
          </w:p>
        </w:tc>
        <w:tc>
          <w:tcPr>
            <w:tcW w:w="714" w:type="pct"/>
            <w:tcBorders>
              <w:top w:val="nil"/>
              <w:bottom w:val="nil"/>
            </w:tcBorders>
          </w:tcPr>
          <w:p w14:paraId="582956A4" w14:textId="47F0CCEE" w:rsidR="00EF4BC1" w:rsidRPr="008D422F" w:rsidRDefault="00E93FA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449.0</w:t>
            </w:r>
          </w:p>
        </w:tc>
        <w:tc>
          <w:tcPr>
            <w:tcW w:w="714" w:type="pct"/>
            <w:tcBorders>
              <w:top w:val="nil"/>
              <w:bottom w:val="nil"/>
            </w:tcBorders>
          </w:tcPr>
          <w:p w14:paraId="44EDA93F" w14:textId="404E8954"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6.4</w:t>
            </w:r>
          </w:p>
        </w:tc>
      </w:tr>
      <w:tr w:rsidR="008D422F" w:rsidRPr="008D422F" w14:paraId="3FEC8357" w14:textId="77777777" w:rsidTr="003E16C4">
        <w:trPr>
          <w:trHeight w:val="405"/>
        </w:trPr>
        <w:tc>
          <w:tcPr>
            <w:tcW w:w="714" w:type="pct"/>
            <w:tcBorders>
              <w:bottom w:val="nil"/>
            </w:tcBorders>
            <w:shd w:val="clear" w:color="auto" w:fill="F2F2F2" w:themeFill="background1" w:themeFillShade="F2"/>
          </w:tcPr>
          <w:p w14:paraId="4A4916CF" w14:textId="26ABA5C1" w:rsidR="00EF4BC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2021-22</w:t>
            </w:r>
          </w:p>
        </w:tc>
        <w:tc>
          <w:tcPr>
            <w:tcW w:w="714" w:type="pct"/>
            <w:tcBorders>
              <w:bottom w:val="nil"/>
            </w:tcBorders>
            <w:shd w:val="clear" w:color="auto" w:fill="F2F2F2" w:themeFill="background1" w:themeFillShade="F2"/>
          </w:tcPr>
          <w:p w14:paraId="70FCE85A" w14:textId="6E53E10A" w:rsidR="00EF4BC1" w:rsidRPr="008D422F" w:rsidRDefault="0072439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6293.4</w:t>
            </w:r>
          </w:p>
        </w:tc>
        <w:tc>
          <w:tcPr>
            <w:tcW w:w="714" w:type="pct"/>
            <w:tcBorders>
              <w:bottom w:val="nil"/>
            </w:tcBorders>
            <w:shd w:val="clear" w:color="auto" w:fill="F2F2F2" w:themeFill="background1" w:themeFillShade="F2"/>
          </w:tcPr>
          <w:p w14:paraId="316AA6C7" w14:textId="6BF06ACA"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55.3</w:t>
            </w:r>
          </w:p>
        </w:tc>
        <w:tc>
          <w:tcPr>
            <w:tcW w:w="714" w:type="pct"/>
            <w:tcBorders>
              <w:bottom w:val="nil"/>
            </w:tcBorders>
            <w:shd w:val="clear" w:color="auto" w:fill="F2F2F2" w:themeFill="background1" w:themeFillShade="F2"/>
          </w:tcPr>
          <w:p w14:paraId="31118B49" w14:textId="3ED62A51" w:rsidR="00EF4BC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0.9</w:t>
            </w:r>
          </w:p>
        </w:tc>
        <w:tc>
          <w:tcPr>
            <w:tcW w:w="714" w:type="pct"/>
            <w:tcBorders>
              <w:bottom w:val="nil"/>
            </w:tcBorders>
            <w:shd w:val="clear" w:color="auto" w:fill="F2F2F2" w:themeFill="background1" w:themeFillShade="F2"/>
          </w:tcPr>
          <w:p w14:paraId="09193C79" w14:textId="3A3F4A2B" w:rsidR="00EF4BC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348.5</w:t>
            </w:r>
          </w:p>
        </w:tc>
        <w:tc>
          <w:tcPr>
            <w:tcW w:w="714" w:type="pct"/>
            <w:tcBorders>
              <w:bottom w:val="nil"/>
            </w:tcBorders>
            <w:shd w:val="clear" w:color="auto" w:fill="F2F2F2" w:themeFill="background1" w:themeFillShade="F2"/>
          </w:tcPr>
          <w:p w14:paraId="2831B657" w14:textId="0C5F24BB" w:rsidR="00EF4BC1" w:rsidRPr="008D422F" w:rsidRDefault="00E93FA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403.8</w:t>
            </w:r>
          </w:p>
        </w:tc>
        <w:tc>
          <w:tcPr>
            <w:tcW w:w="714" w:type="pct"/>
            <w:tcBorders>
              <w:bottom w:val="nil"/>
            </w:tcBorders>
            <w:shd w:val="clear" w:color="auto" w:fill="F2F2F2" w:themeFill="background1" w:themeFillShade="F2"/>
          </w:tcPr>
          <w:p w14:paraId="162CECEB" w14:textId="6D45E86C" w:rsidR="00EF4BC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4.8</w:t>
            </w:r>
          </w:p>
        </w:tc>
      </w:tr>
      <w:tr w:rsidR="00FA6CE6" w:rsidRPr="008D422F" w14:paraId="0BF016BB" w14:textId="77777777" w:rsidTr="003E16C4">
        <w:trPr>
          <w:trHeight w:val="405"/>
        </w:trPr>
        <w:tc>
          <w:tcPr>
            <w:tcW w:w="714" w:type="pct"/>
            <w:tcBorders>
              <w:top w:val="nil"/>
            </w:tcBorders>
          </w:tcPr>
          <w:p w14:paraId="03E26059" w14:textId="49EFDB24" w:rsidR="00CF5251" w:rsidRPr="008D422F" w:rsidRDefault="00CF5251" w:rsidP="008D422F">
            <w:pPr>
              <w:pStyle w:val="FigureTableHeading"/>
              <w:spacing w:before="45" w:after="45"/>
              <w:ind w:left="57" w:right="108"/>
              <w:rPr>
                <w:rFonts w:ascii="Arial (Body)" w:hAnsi="Arial (Body)"/>
                <w:b/>
                <w:color w:val="265A9A"/>
                <w:sz w:val="18"/>
              </w:rPr>
            </w:pPr>
            <w:r w:rsidRPr="008D422F">
              <w:rPr>
                <w:rFonts w:ascii="Arial (Body)" w:hAnsi="Arial (Body)"/>
                <w:b/>
                <w:color w:val="265A9A"/>
                <w:sz w:val="18"/>
              </w:rPr>
              <w:t>2022-23</w:t>
            </w:r>
          </w:p>
        </w:tc>
        <w:tc>
          <w:tcPr>
            <w:tcW w:w="714" w:type="pct"/>
            <w:tcBorders>
              <w:top w:val="nil"/>
            </w:tcBorders>
          </w:tcPr>
          <w:p w14:paraId="1E96EE4E" w14:textId="1C435884" w:rsidR="00CF5251" w:rsidRPr="008D422F" w:rsidRDefault="0072439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6353.5</w:t>
            </w:r>
          </w:p>
        </w:tc>
        <w:tc>
          <w:tcPr>
            <w:tcW w:w="714" w:type="pct"/>
            <w:tcBorders>
              <w:top w:val="nil"/>
            </w:tcBorders>
          </w:tcPr>
          <w:p w14:paraId="1F40F41D" w14:textId="4EA3F511" w:rsidR="00CF525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(200.3)</w:t>
            </w:r>
          </w:p>
        </w:tc>
        <w:tc>
          <w:tcPr>
            <w:tcW w:w="714" w:type="pct"/>
            <w:tcBorders>
              <w:top w:val="nil"/>
            </w:tcBorders>
          </w:tcPr>
          <w:p w14:paraId="19E1C4D8" w14:textId="665045C5" w:rsidR="00CF5251" w:rsidRPr="008D422F" w:rsidRDefault="00F938B0"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(3.2)</w:t>
            </w:r>
          </w:p>
        </w:tc>
        <w:tc>
          <w:tcPr>
            <w:tcW w:w="714" w:type="pct"/>
            <w:tcBorders>
              <w:top w:val="nil"/>
            </w:tcBorders>
          </w:tcPr>
          <w:p w14:paraId="054950D0" w14:textId="7783DDD6" w:rsidR="00CF5251" w:rsidRPr="008D422F" w:rsidRDefault="0062540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442.2</w:t>
            </w:r>
          </w:p>
        </w:tc>
        <w:tc>
          <w:tcPr>
            <w:tcW w:w="714" w:type="pct"/>
            <w:tcBorders>
              <w:top w:val="nil"/>
            </w:tcBorders>
          </w:tcPr>
          <w:p w14:paraId="68ADF3D5" w14:textId="23FF8DB2" w:rsidR="00CF5251" w:rsidRPr="008D422F" w:rsidRDefault="00E93FAE"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241.9</w:t>
            </w:r>
          </w:p>
        </w:tc>
        <w:tc>
          <w:tcPr>
            <w:tcW w:w="714" w:type="pct"/>
            <w:tcBorders>
              <w:top w:val="nil"/>
            </w:tcBorders>
          </w:tcPr>
          <w:p w14:paraId="74701C06" w14:textId="463E08FC" w:rsidR="00CF5251" w:rsidRPr="008D422F" w:rsidRDefault="00545EED" w:rsidP="0072483A">
            <w:pPr>
              <w:pStyle w:val="FigureTableHeading"/>
              <w:spacing w:before="45" w:after="45"/>
              <w:ind w:left="57" w:right="108"/>
              <w:jc w:val="right"/>
              <w:rPr>
                <w:rFonts w:ascii="Arial (Body)" w:hAnsi="Arial (Body)"/>
                <w:color w:val="000000"/>
                <w:sz w:val="18"/>
              </w:rPr>
            </w:pPr>
            <w:r w:rsidRPr="008D422F">
              <w:rPr>
                <w:rFonts w:ascii="Arial (Body)" w:hAnsi="Arial (Body)"/>
                <w:color w:val="000000"/>
                <w:sz w:val="18"/>
              </w:rPr>
              <w:t>3.8</w:t>
            </w:r>
          </w:p>
        </w:tc>
      </w:tr>
    </w:tbl>
    <w:p w14:paraId="6ABE6306" w14:textId="5005B52F" w:rsidR="00D2119D" w:rsidRPr="008D422F" w:rsidRDefault="000D10BD" w:rsidP="00D13312">
      <w:pPr>
        <w:pStyle w:val="Source"/>
      </w:pPr>
      <w:r w:rsidRPr="008D422F">
        <w:t xml:space="preserve">Source: </w:t>
      </w:r>
      <w:r w:rsidR="00102D07" w:rsidRPr="008D422F">
        <w:t>CAPEC (2024)</w:t>
      </w:r>
      <w:r w:rsidRPr="008D422F">
        <w:t>.</w:t>
      </w:r>
    </w:p>
    <w:p w14:paraId="0506539A" w14:textId="77777777" w:rsidR="00A914D8" w:rsidRDefault="00A914D8" w:rsidP="00A914D8">
      <w:pPr>
        <w:pStyle w:val="Heading2"/>
      </w:pPr>
      <w:r>
        <w:t>Submissions from Australia Post and relevant government departments</w:t>
      </w:r>
    </w:p>
    <w:p w14:paraId="5EC1F3D0" w14:textId="77777777" w:rsidR="00A914D8" w:rsidRDefault="00A914D8" w:rsidP="00A914D8">
      <w:pPr>
        <w:pStyle w:val="BodyText"/>
      </w:pPr>
      <w:r>
        <w:t>To inform its consideration of the issues raised by CAPEC, the AGCNCO sought views from Australia Post, and the departments administered by Australia Post’s shareholder ministers: the Department of Finance; and the Department of Infrastructure, Transport, Regional Development, Communications and the Arts.</w:t>
      </w:r>
    </w:p>
    <w:p w14:paraId="51B36D98" w14:textId="77777777" w:rsidR="00A914D8" w:rsidRDefault="00A914D8" w:rsidP="00A914D8">
      <w:pPr>
        <w:pStyle w:val="BodyText"/>
      </w:pPr>
      <w:r>
        <w:t>Australia Post responded to the matters raised in CAPEC’s letter on 3 February 2025. In its response, Australia Post submitted that:</w:t>
      </w:r>
    </w:p>
    <w:p w14:paraId="6B8043CC" w14:textId="1373BAA8" w:rsidR="00A914D8" w:rsidRDefault="00A914D8" w:rsidP="00A914D8">
      <w:pPr>
        <w:pStyle w:val="ListBullet"/>
      </w:pPr>
      <w:r>
        <w:t>Australia Post is subject to several requirements to operate commercially</w:t>
      </w:r>
      <w:r w:rsidR="00F8214A">
        <w:t xml:space="preserve"> through its legislation, engagement with government and competitive neutrality policy</w:t>
      </w:r>
      <w:r>
        <w:t>.</w:t>
      </w:r>
    </w:p>
    <w:p w14:paraId="32B5D24F" w14:textId="4FD53CB5" w:rsidR="00A914D8" w:rsidRDefault="00F8214A" w:rsidP="00A914D8">
      <w:pPr>
        <w:pStyle w:val="ListBullet"/>
      </w:pPr>
      <w:r>
        <w:t>The r</w:t>
      </w:r>
      <w:r w:rsidR="00A914D8">
        <w:t>ate of return on operating assets has been the measure adopted in</w:t>
      </w:r>
      <w:r w:rsidR="00805EDC">
        <w:t xml:space="preserve"> Australia Post’s</w:t>
      </w:r>
      <w:r w:rsidR="00A914D8">
        <w:t xml:space="preserve"> corporate planning and annual reporting for many years.</w:t>
      </w:r>
    </w:p>
    <w:p w14:paraId="0451FB71" w14:textId="127E85AE" w:rsidR="00A914D8" w:rsidRDefault="00C34B27" w:rsidP="00A914D8">
      <w:pPr>
        <w:pStyle w:val="ListBullet"/>
      </w:pPr>
      <w:r>
        <w:t>A</w:t>
      </w:r>
      <w:r w:rsidR="00A914D8">
        <w:t xml:space="preserve"> rate of return on total assets includes significant non-operational elements</w:t>
      </w:r>
      <w:r w:rsidR="5821130A">
        <w:t>,</w:t>
      </w:r>
      <w:r w:rsidR="00A914D8">
        <w:t xml:space="preserve"> such as net assets held on behalf of Australia Post’s defined benefit superannuation fund, which are unable to be used in Australia Post’s operations.</w:t>
      </w:r>
    </w:p>
    <w:p w14:paraId="16D4B2BB" w14:textId="022C6E86" w:rsidR="00A914D8" w:rsidRDefault="00A914D8" w:rsidP="00A914D8">
      <w:pPr>
        <w:pStyle w:val="ListBullet"/>
      </w:pPr>
      <w:r>
        <w:t xml:space="preserve">Australia Post’s </w:t>
      </w:r>
      <w:r w:rsidR="00EA0913">
        <w:t>rate o</w:t>
      </w:r>
      <w:r w:rsidR="19DF125D">
        <w:t>f</w:t>
      </w:r>
      <w:r w:rsidR="00EA0913">
        <w:t xml:space="preserve"> return should not be assessed </w:t>
      </w:r>
      <w:r>
        <w:t>against a benchmark that may be higher than the rates of return of the global businesses represented by CAPEC.</w:t>
      </w:r>
    </w:p>
    <w:p w14:paraId="78D977C9" w14:textId="37772462" w:rsidR="00A914D8" w:rsidRDefault="00EA0913" w:rsidP="00A914D8">
      <w:pPr>
        <w:pStyle w:val="ListBullet"/>
      </w:pPr>
      <w:r>
        <w:t xml:space="preserve">The Australian </w:t>
      </w:r>
      <w:r w:rsidR="00A914D8">
        <w:t xml:space="preserve">Government expects Australia Post </w:t>
      </w:r>
      <w:r>
        <w:t>t</w:t>
      </w:r>
      <w:r w:rsidR="00A914D8">
        <w:t xml:space="preserve">o invest the resources needed to implement regulatory reforms and modernise its business. </w:t>
      </w:r>
    </w:p>
    <w:p w14:paraId="49D561A4" w14:textId="77777777" w:rsidR="00A914D8" w:rsidRDefault="00A914D8" w:rsidP="00A914D8">
      <w:pPr>
        <w:pStyle w:val="ListBullet"/>
      </w:pPr>
      <w:r>
        <w:t>The Post26 strategy includes further transformation activities involving significant non-recurring costs that lower returns over the short to medium term ($306.1 million investments in FY 2024).</w:t>
      </w:r>
    </w:p>
    <w:p w14:paraId="1A0FA1BA" w14:textId="53E7500B" w:rsidR="00A914D8" w:rsidRDefault="00A914D8" w:rsidP="00A914D8">
      <w:pPr>
        <w:pStyle w:val="ListBullet"/>
      </w:pPr>
      <w:r>
        <w:lastRenderedPageBreak/>
        <w:t xml:space="preserve">The rate of return should be calculated using </w:t>
      </w:r>
      <w:r w:rsidR="00FE0F17">
        <w:t>‘</w:t>
      </w:r>
      <w:r>
        <w:t>net profits before tax (excluding net interest)</w:t>
      </w:r>
      <w:r w:rsidR="00FE0F17">
        <w:t>’</w:t>
      </w:r>
      <w:r>
        <w:t xml:space="preserve">, where CAPEC’s calculations use </w:t>
      </w:r>
      <w:r w:rsidR="00FE0F17">
        <w:t>‘</w:t>
      </w:r>
      <w:r>
        <w:t>net profits before tax</w:t>
      </w:r>
      <w:r w:rsidR="00FE0F17">
        <w:t>’</w:t>
      </w:r>
      <w:r>
        <w:t xml:space="preserve">. </w:t>
      </w:r>
      <w:r w:rsidR="00FE0F17">
        <w:t>This</w:t>
      </w:r>
      <w:r>
        <w:t xml:space="preserve"> approach is consistent with accounting practice to enable better comparability across years.</w:t>
      </w:r>
    </w:p>
    <w:p w14:paraId="15F1B13B" w14:textId="036F018D" w:rsidR="00D24D7D" w:rsidRDefault="00A914D8" w:rsidP="00CE6C13">
      <w:pPr>
        <w:pStyle w:val="BodyText"/>
      </w:pPr>
      <w:r w:rsidRPr="00102685">
        <w:t xml:space="preserve">The departments </w:t>
      </w:r>
      <w:r w:rsidR="006C36AE" w:rsidRPr="00102685">
        <w:t xml:space="preserve">provided a joint response on </w:t>
      </w:r>
      <w:r w:rsidR="00D24D7D" w:rsidRPr="00102685">
        <w:t>3</w:t>
      </w:r>
      <w:r w:rsidRPr="00102685">
        <w:t xml:space="preserve"> </w:t>
      </w:r>
      <w:r w:rsidR="00D24D7D" w:rsidRPr="00102685">
        <w:t>March</w:t>
      </w:r>
      <w:r w:rsidRPr="00102685">
        <w:t xml:space="preserve"> 2025. The departments submit that:</w:t>
      </w:r>
      <w:r>
        <w:t xml:space="preserve"> </w:t>
      </w:r>
    </w:p>
    <w:p w14:paraId="17D353E9" w14:textId="77777777" w:rsidR="00012127" w:rsidRDefault="007308A7" w:rsidP="00D2710A">
      <w:pPr>
        <w:pStyle w:val="ListBullet"/>
        <w:rPr>
          <w:rStyle w:val="DraftingNoteChar"/>
          <w:color w:val="auto"/>
          <w:sz w:val="20"/>
          <w:u w:val="none"/>
        </w:rPr>
      </w:pPr>
      <w:r>
        <w:rPr>
          <w:rStyle w:val="DraftingNoteChar"/>
          <w:color w:val="auto"/>
          <w:sz w:val="20"/>
          <w:u w:val="none"/>
        </w:rPr>
        <w:t xml:space="preserve">The </w:t>
      </w:r>
      <w:r>
        <w:rPr>
          <w:rStyle w:val="DraftingNoteChar"/>
          <w:i/>
          <w:iCs/>
          <w:color w:val="auto"/>
          <w:sz w:val="20"/>
          <w:u w:val="none"/>
        </w:rPr>
        <w:t xml:space="preserve">Australian Postal Corporation Act 1989 </w:t>
      </w:r>
      <w:r>
        <w:rPr>
          <w:rStyle w:val="DraftingNoteChar"/>
          <w:color w:val="auto"/>
          <w:sz w:val="20"/>
          <w:u w:val="none"/>
        </w:rPr>
        <w:t>(</w:t>
      </w:r>
      <w:proofErr w:type="spellStart"/>
      <w:r>
        <w:rPr>
          <w:rStyle w:val="DraftingNoteChar"/>
          <w:color w:val="auto"/>
          <w:sz w:val="20"/>
          <w:u w:val="none"/>
        </w:rPr>
        <w:t>Cth</w:t>
      </w:r>
      <w:proofErr w:type="spellEnd"/>
      <w:r>
        <w:rPr>
          <w:rStyle w:val="DraftingNoteChar"/>
          <w:color w:val="auto"/>
          <w:sz w:val="20"/>
          <w:u w:val="none"/>
        </w:rPr>
        <w:t xml:space="preserve">) includes a requirement for the Australia Post Board to have regard to the need to earn a reasonable rate of return on assets. </w:t>
      </w:r>
    </w:p>
    <w:p w14:paraId="21DF5E92" w14:textId="1B013177" w:rsidR="00A914D8" w:rsidRPr="00C76CA4" w:rsidRDefault="007308A7" w:rsidP="00D2710A">
      <w:pPr>
        <w:pStyle w:val="ListBullet"/>
        <w:rPr>
          <w:rStyle w:val="DraftingNoteChar"/>
          <w:color w:val="auto"/>
          <w:spacing w:val="-2"/>
          <w:sz w:val="20"/>
          <w:u w:val="none"/>
        </w:rPr>
      </w:pPr>
      <w:r w:rsidRPr="00C76CA4">
        <w:rPr>
          <w:rStyle w:val="DraftingNoteChar"/>
          <w:color w:val="auto"/>
          <w:spacing w:val="-2"/>
          <w:sz w:val="20"/>
          <w:u w:val="none"/>
        </w:rPr>
        <w:t>A reasonable rate of return can be less than a commercial rate of return</w:t>
      </w:r>
      <w:r w:rsidR="001F005B" w:rsidRPr="00C76CA4">
        <w:rPr>
          <w:rStyle w:val="DraftingNoteChar"/>
          <w:color w:val="auto"/>
          <w:spacing w:val="-2"/>
          <w:sz w:val="20"/>
          <w:u w:val="none"/>
        </w:rPr>
        <w:t>, which would be the normal starting point for a government business enter</w:t>
      </w:r>
      <w:r w:rsidR="00E6173A" w:rsidRPr="00C76CA4">
        <w:rPr>
          <w:rStyle w:val="DraftingNoteChar"/>
          <w:color w:val="auto"/>
          <w:spacing w:val="-2"/>
          <w:sz w:val="20"/>
          <w:u w:val="none"/>
        </w:rPr>
        <w:t>prise, making notional adjustments for community service obligations.</w:t>
      </w:r>
    </w:p>
    <w:p w14:paraId="357A8B9D" w14:textId="10014BB8" w:rsidR="00012127" w:rsidRDefault="003F20A1" w:rsidP="00D2710A">
      <w:pPr>
        <w:pStyle w:val="ListBullet"/>
        <w:rPr>
          <w:rStyle w:val="DraftingNoteChar"/>
          <w:color w:val="auto"/>
          <w:sz w:val="20"/>
          <w:u w:val="none"/>
        </w:rPr>
      </w:pPr>
      <w:r>
        <w:rPr>
          <w:rStyle w:val="DraftingNoteChar"/>
          <w:color w:val="auto"/>
          <w:sz w:val="20"/>
          <w:u w:val="none"/>
        </w:rPr>
        <w:t>The Australian Government has announced reforms to modernise postal services to address the decline in Australia Post’s letters business</w:t>
      </w:r>
      <w:r w:rsidR="008575AF">
        <w:rPr>
          <w:rStyle w:val="DraftingNoteChar"/>
          <w:color w:val="auto"/>
          <w:sz w:val="20"/>
          <w:u w:val="none"/>
        </w:rPr>
        <w:t>.</w:t>
      </w:r>
    </w:p>
    <w:p w14:paraId="70A6483F" w14:textId="5DBF0838" w:rsidR="008575AF" w:rsidRDefault="008575AF" w:rsidP="00D2710A">
      <w:pPr>
        <w:pStyle w:val="ListBullet"/>
        <w:rPr>
          <w:rStyle w:val="DraftingNoteChar"/>
          <w:color w:val="auto"/>
          <w:sz w:val="20"/>
          <w:u w:val="none"/>
        </w:rPr>
      </w:pPr>
      <w:r>
        <w:rPr>
          <w:rStyle w:val="DraftingNoteChar"/>
          <w:color w:val="auto"/>
          <w:sz w:val="20"/>
          <w:u w:val="none"/>
        </w:rPr>
        <w:t>There reforms have led to efficiencies and contributed to an i</w:t>
      </w:r>
      <w:r w:rsidR="00102685">
        <w:rPr>
          <w:rStyle w:val="DraftingNoteChar"/>
          <w:color w:val="auto"/>
          <w:sz w:val="20"/>
          <w:u w:val="none"/>
        </w:rPr>
        <w:t>m</w:t>
      </w:r>
      <w:r>
        <w:rPr>
          <w:rStyle w:val="DraftingNoteChar"/>
          <w:color w:val="auto"/>
          <w:sz w:val="20"/>
          <w:u w:val="none"/>
        </w:rPr>
        <w:t>p</w:t>
      </w:r>
      <w:r w:rsidR="00102685">
        <w:rPr>
          <w:rStyle w:val="DraftingNoteChar"/>
          <w:color w:val="auto"/>
          <w:sz w:val="20"/>
          <w:u w:val="none"/>
        </w:rPr>
        <w:t>r</w:t>
      </w:r>
      <w:r>
        <w:rPr>
          <w:rStyle w:val="DraftingNoteChar"/>
          <w:color w:val="auto"/>
          <w:sz w:val="20"/>
          <w:u w:val="none"/>
        </w:rPr>
        <w:t>oved financial position for Australia Post in 2023-24.</w:t>
      </w:r>
    </w:p>
    <w:p w14:paraId="0D495958" w14:textId="395F9725" w:rsidR="00F77FB9" w:rsidRDefault="00F77FB9" w:rsidP="00D2710A">
      <w:pPr>
        <w:pStyle w:val="ListBullet"/>
        <w:rPr>
          <w:rStyle w:val="DraftingNoteChar"/>
          <w:color w:val="auto"/>
          <w:sz w:val="20"/>
          <w:u w:val="none"/>
        </w:rPr>
      </w:pPr>
      <w:r>
        <w:rPr>
          <w:rStyle w:val="DraftingNoteChar"/>
          <w:color w:val="auto"/>
          <w:sz w:val="20"/>
          <w:u w:val="none"/>
        </w:rPr>
        <w:t xml:space="preserve">The shareholder ministers issued a new Statement of Expectations for Australia Post </w:t>
      </w:r>
      <w:r w:rsidR="0055066A">
        <w:rPr>
          <w:rStyle w:val="DraftingNoteChar"/>
          <w:color w:val="auto"/>
          <w:sz w:val="20"/>
          <w:u w:val="none"/>
        </w:rPr>
        <w:t>(effective from 1 July 2024). T</w:t>
      </w:r>
      <w:r w:rsidR="00102685">
        <w:rPr>
          <w:rStyle w:val="DraftingNoteChar"/>
          <w:color w:val="auto"/>
          <w:sz w:val="20"/>
          <w:u w:val="none"/>
        </w:rPr>
        <w:t>h</w:t>
      </w:r>
      <w:r w:rsidR="0055066A">
        <w:rPr>
          <w:rStyle w:val="DraftingNoteChar"/>
          <w:color w:val="auto"/>
          <w:sz w:val="20"/>
          <w:u w:val="none"/>
        </w:rPr>
        <w:t>is statement advises of the government’s expectations that Australia Post perform its functions in a manner consistent with sound commercial practice.</w:t>
      </w:r>
    </w:p>
    <w:p w14:paraId="14BB4D8A" w14:textId="1DCDB775" w:rsidR="00050015" w:rsidRPr="00D2710A" w:rsidRDefault="00050015" w:rsidP="00D2710A">
      <w:pPr>
        <w:pStyle w:val="ListBullet"/>
        <w:rPr>
          <w:rStyle w:val="DraftingNoteChar"/>
          <w:color w:val="auto"/>
          <w:sz w:val="20"/>
          <w:u w:val="none"/>
        </w:rPr>
      </w:pPr>
      <w:r>
        <w:rPr>
          <w:rStyle w:val="DraftingNoteChar"/>
          <w:color w:val="auto"/>
          <w:sz w:val="20"/>
          <w:u w:val="none"/>
        </w:rPr>
        <w:t>The Australian Government continues to work with Australia Post and stakeholders so that services meet the needs of modern Australia, consistent with updated regulatory requirements.</w:t>
      </w:r>
    </w:p>
    <w:p w14:paraId="1B3E58DA" w14:textId="78078EE4" w:rsidR="00B5327A" w:rsidRDefault="00D52866" w:rsidP="00E17861">
      <w:pPr>
        <w:pStyle w:val="Heading2"/>
      </w:pPr>
      <w:r>
        <w:t xml:space="preserve">Is Australia Post earning a commercial rate of return? </w:t>
      </w:r>
    </w:p>
    <w:p w14:paraId="2B4D6CF0" w14:textId="069115EF" w:rsidR="00CF1235" w:rsidRDefault="00ED4577" w:rsidP="00B5327A">
      <w:pPr>
        <w:pStyle w:val="BodyText"/>
      </w:pPr>
      <w:r>
        <w:t xml:space="preserve">Chapter 6 of the AGCNCO’s report sets out the </w:t>
      </w:r>
      <w:r w:rsidR="00AC0CE4">
        <w:t xml:space="preserve">policy requirements for government businesses to earn a commercial rate of return and details the AGCNCO’s </w:t>
      </w:r>
      <w:r w:rsidR="00F95E06">
        <w:t xml:space="preserve">approach to assessing compliance. The AGCNCO has also </w:t>
      </w:r>
      <w:r w:rsidR="00EB15DE">
        <w:t xml:space="preserve">considered </w:t>
      </w:r>
      <w:r w:rsidR="00DA3381">
        <w:t>relevant policy guidance</w:t>
      </w:r>
      <w:r w:rsidR="007A6C97">
        <w:t xml:space="preserve"> in its further assessment of Australia Post’s </w:t>
      </w:r>
      <w:r w:rsidR="00CF1235">
        <w:t>rate of return (box 1)</w:t>
      </w:r>
      <w:r w:rsidR="00973429">
        <w:t>.</w:t>
      </w:r>
    </w:p>
    <w:p w14:paraId="05EC0D45" w14:textId="41740C59" w:rsidR="00971D6E" w:rsidRPr="00F82BD9" w:rsidRDefault="00971D6E" w:rsidP="00446AA0">
      <w:pPr>
        <w:pStyle w:val="NoSpacing"/>
      </w:pPr>
    </w:p>
    <w:tbl>
      <w:tblPr>
        <w:tblStyle w:val="Boxtable"/>
        <w:tblW w:w="5000" w:type="pct"/>
        <w:tblLook w:val="04A0" w:firstRow="1" w:lastRow="0" w:firstColumn="1" w:lastColumn="0" w:noHBand="0" w:noVBand="1"/>
      </w:tblPr>
      <w:tblGrid>
        <w:gridCol w:w="9638"/>
      </w:tblGrid>
      <w:tr w:rsidR="00971D6E" w14:paraId="7DA654C2" w14:textId="77777777" w:rsidTr="00446AA0">
        <w:trPr>
          <w:tblHeader/>
        </w:trPr>
        <w:tc>
          <w:tcPr>
            <w:tcW w:w="9638" w:type="dxa"/>
            <w:shd w:val="clear" w:color="auto" w:fill="EBEBEB"/>
            <w:tcMar>
              <w:top w:w="170" w:type="dxa"/>
              <w:left w:w="170" w:type="dxa"/>
              <w:bottom w:w="113" w:type="dxa"/>
              <w:right w:w="170" w:type="dxa"/>
            </w:tcMar>
            <w:hideMark/>
          </w:tcPr>
          <w:p w14:paraId="4BC5C869" w14:textId="7D0B9439" w:rsidR="00971D6E" w:rsidRDefault="00971D6E">
            <w:pPr>
              <w:pStyle w:val="BoxHeading1"/>
            </w:pPr>
            <w:bookmarkStart w:id="0" w:name="_Ref78902111"/>
            <w:r>
              <w:t xml:space="preserve">Box </w:t>
            </w:r>
            <w:r w:rsidR="00AC20C1">
              <w:t xml:space="preserve">1 </w:t>
            </w:r>
            <w:r>
              <w:t xml:space="preserve">– </w:t>
            </w:r>
            <w:bookmarkEnd w:id="0"/>
            <w:r w:rsidR="009F068E">
              <w:t>Select policy and guidance on considering a commercial rate of return</w:t>
            </w:r>
          </w:p>
        </w:tc>
      </w:tr>
      <w:tr w:rsidR="00971D6E" w14:paraId="7BF9A611" w14:textId="77777777" w:rsidTr="00446AA0">
        <w:tc>
          <w:tcPr>
            <w:tcW w:w="9638" w:type="dxa"/>
            <w:shd w:val="clear" w:color="auto" w:fill="EBEBEB"/>
            <w:tcMar>
              <w:top w:w="28" w:type="dxa"/>
              <w:left w:w="170" w:type="dxa"/>
              <w:bottom w:w="170" w:type="dxa"/>
              <w:right w:w="170" w:type="dxa"/>
            </w:tcMar>
            <w:hideMark/>
          </w:tcPr>
          <w:p w14:paraId="16055B69" w14:textId="5CA73D15" w:rsidR="0005060D" w:rsidRDefault="00952186" w:rsidP="0005060D">
            <w:pPr>
              <w:pStyle w:val="BodyText"/>
            </w:pPr>
            <w:r>
              <w:t>On earning a commercial rate of return, t</w:t>
            </w:r>
            <w:r w:rsidR="0005060D">
              <w:t>he Commonwealth Competitive Neutrality Policy Statement advises that:</w:t>
            </w:r>
          </w:p>
          <w:p w14:paraId="66908D74" w14:textId="34FCE06C" w:rsidR="0005060D" w:rsidRDefault="416E82CA" w:rsidP="0005060D">
            <w:pPr>
              <w:pStyle w:val="Quote"/>
            </w:pPr>
            <w:r w:rsidRPr="0F84E5AE">
              <w:t>G</w:t>
            </w:r>
            <w:r w:rsidR="62619E65" w:rsidRPr="0F84E5AE">
              <w:t xml:space="preserve">overnment </w:t>
            </w:r>
            <w:r w:rsidRPr="0F84E5AE">
              <w:t>B</w:t>
            </w:r>
            <w:r w:rsidR="71E0672D" w:rsidRPr="0F84E5AE">
              <w:t xml:space="preserve">usiness </w:t>
            </w:r>
            <w:r w:rsidRPr="0F84E5AE">
              <w:t>E</w:t>
            </w:r>
            <w:r w:rsidR="1B7C72FB" w:rsidRPr="0F84E5AE">
              <w:t>nterprise</w:t>
            </w:r>
            <w:r w:rsidRPr="0F84E5AE">
              <w:t>s</w:t>
            </w:r>
            <w:r w:rsidR="0005060D" w:rsidRPr="009B0028">
              <w:t xml:space="preserve"> are specifically required to achieve, over time, as a minimum benchmark, economic rates of return on assets for their commercial operations equivalent to the long-term bond rate plus an appropriate margin for risk.</w:t>
            </w:r>
            <w:r w:rsidR="0005060D">
              <w:t xml:space="preserve"> (p. 18)</w:t>
            </w:r>
          </w:p>
          <w:p w14:paraId="528F91D4" w14:textId="2068513B" w:rsidR="0005060D" w:rsidRDefault="0005060D" w:rsidP="0005060D">
            <w:pPr>
              <w:pStyle w:val="BodyText"/>
            </w:pPr>
            <w:r>
              <w:t xml:space="preserve">The </w:t>
            </w:r>
            <w:r w:rsidR="00B878A9">
              <w:t>ri</w:t>
            </w:r>
            <w:r w:rsidR="00D064E1">
              <w:t xml:space="preserve">sk broad-banding </w:t>
            </w:r>
            <w:r>
              <w:t xml:space="preserve">approach </w:t>
            </w:r>
            <w:r w:rsidR="00D064E1">
              <w:t>used</w:t>
            </w:r>
            <w:r w:rsidR="00952186">
              <w:t xml:space="preserve"> in </w:t>
            </w:r>
            <w:r w:rsidR="00E170A3">
              <w:t>c</w:t>
            </w:r>
            <w:r w:rsidR="00952186">
              <w:t>hapter 6 of the report is set out in t</w:t>
            </w:r>
            <w:r>
              <w:t xml:space="preserve">he </w:t>
            </w:r>
            <w:r w:rsidRPr="00952186">
              <w:rPr>
                <w:i/>
                <w:iCs/>
              </w:rPr>
              <w:t>Competitive Neutrality Guidelines for Managers</w:t>
            </w:r>
            <w:r w:rsidR="00FB2440" w:rsidRPr="00FB2440">
              <w:t xml:space="preserve"> (</w:t>
            </w:r>
            <w:r w:rsidR="00E02794">
              <w:t>The Treasury and DOFA</w:t>
            </w:r>
            <w:r w:rsidR="00FB2440" w:rsidRPr="00FB2440">
              <w:t xml:space="preserve"> 2004)</w:t>
            </w:r>
            <w:r w:rsidR="00952186">
              <w:t>, which</w:t>
            </w:r>
            <w:r>
              <w:t xml:space="preserve"> </w:t>
            </w:r>
            <w:r w:rsidR="00795C92">
              <w:t>states</w:t>
            </w:r>
            <w:r>
              <w:t>:</w:t>
            </w:r>
          </w:p>
          <w:p w14:paraId="49B2576D" w14:textId="6395D468" w:rsidR="005227EB" w:rsidRPr="00072EDB" w:rsidRDefault="71F7D235" w:rsidP="005227EB">
            <w:pPr>
              <w:pStyle w:val="Quote"/>
              <w:rPr>
                <w:spacing w:val="-2"/>
              </w:rPr>
            </w:pPr>
            <w:r w:rsidRPr="00072EDB">
              <w:rPr>
                <w:spacing w:val="-2"/>
              </w:rPr>
              <w:t xml:space="preserve">When calculating a </w:t>
            </w:r>
            <w:r w:rsidR="00D66F16" w:rsidRPr="00072EDB">
              <w:rPr>
                <w:spacing w:val="-2"/>
              </w:rPr>
              <w:t>[weighted average cost of capital</w:t>
            </w:r>
            <w:r w:rsidR="0005060D" w:rsidRPr="00072EDB">
              <w:rPr>
                <w:spacing w:val="-2"/>
              </w:rPr>
              <w:t xml:space="preserve"> </w:t>
            </w:r>
            <w:r w:rsidR="00FC6B89" w:rsidRPr="00072EDB">
              <w:rPr>
                <w:spacing w:val="-2"/>
              </w:rPr>
              <w:t>(</w:t>
            </w:r>
            <w:r w:rsidRPr="00072EDB">
              <w:rPr>
                <w:spacing w:val="-2"/>
              </w:rPr>
              <w:t>WACC</w:t>
            </w:r>
            <w:r w:rsidR="00FC6B89" w:rsidRPr="00072EDB">
              <w:rPr>
                <w:spacing w:val="-2"/>
              </w:rPr>
              <w:t>)]</w:t>
            </w:r>
            <w:r w:rsidRPr="00072EDB">
              <w:rPr>
                <w:spacing w:val="-2"/>
              </w:rPr>
              <w:t xml:space="preserve"> is not feasible, but managers are able to estimate a business’s level of market risk, determining the target </w:t>
            </w:r>
            <w:proofErr w:type="spellStart"/>
            <w:r w:rsidRPr="00072EDB">
              <w:rPr>
                <w:spacing w:val="-2"/>
              </w:rPr>
              <w:t>RoR</w:t>
            </w:r>
            <w:proofErr w:type="spellEnd"/>
            <w:r w:rsidRPr="00072EDB">
              <w:rPr>
                <w:spacing w:val="-2"/>
              </w:rPr>
              <w:t xml:space="preserve"> based on </w:t>
            </w:r>
            <w:proofErr w:type="gramStart"/>
            <w:r w:rsidRPr="00072EDB">
              <w:rPr>
                <w:spacing w:val="-2"/>
              </w:rPr>
              <w:t>broad-banding</w:t>
            </w:r>
            <w:proofErr w:type="gramEnd"/>
            <w:r w:rsidRPr="00072EDB">
              <w:rPr>
                <w:spacing w:val="-2"/>
              </w:rPr>
              <w:t xml:space="preserve"> may be appropriate. </w:t>
            </w:r>
            <w:proofErr w:type="gramStart"/>
            <w:r w:rsidRPr="00072EDB">
              <w:rPr>
                <w:spacing w:val="-2"/>
              </w:rPr>
              <w:t>Broad-banding</w:t>
            </w:r>
            <w:proofErr w:type="gramEnd"/>
            <w:r w:rsidRPr="00072EDB">
              <w:rPr>
                <w:spacing w:val="-2"/>
              </w:rPr>
              <w:t xml:space="preserve"> is based on typical WACCs for businesses with high, medium and low levels of market risk. Risk broad-banding applies a benchmark base cost of capital (such as the Commonwealth long term bond rate) and adds a risk premium. </w:t>
            </w:r>
            <w:r w:rsidR="00401B2E" w:rsidRPr="00072EDB">
              <w:rPr>
                <w:spacing w:val="-2"/>
              </w:rPr>
              <w:t xml:space="preserve">The AGCNCO has estimated a reasonable </w:t>
            </w:r>
            <w:proofErr w:type="spellStart"/>
            <w:r w:rsidR="00401B2E" w:rsidRPr="00072EDB">
              <w:rPr>
                <w:spacing w:val="-2"/>
              </w:rPr>
              <w:t>RoR</w:t>
            </w:r>
            <w:proofErr w:type="spellEnd"/>
            <w:r w:rsidR="00401B2E" w:rsidRPr="00072EDB">
              <w:rPr>
                <w:spacing w:val="-2"/>
              </w:rPr>
              <w:t xml:space="preserve"> for different levels of risk, shown in the table below</w:t>
            </w:r>
            <w:r w:rsidR="009A5A66" w:rsidRPr="00072EDB">
              <w:rPr>
                <w:spacing w:val="-2"/>
              </w:rPr>
              <w:t>:</w:t>
            </w:r>
          </w:p>
          <w:tbl>
            <w:tblPr>
              <w:tblW w:w="0" w:type="auto"/>
              <w:tblInd w:w="116"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379"/>
              <w:gridCol w:w="2311"/>
              <w:gridCol w:w="2375"/>
              <w:gridCol w:w="1723"/>
            </w:tblGrid>
            <w:tr w:rsidR="00616973" w:rsidRPr="00030C67" w14:paraId="6F56FC22" w14:textId="149D6BCC" w:rsidTr="00F56D06">
              <w:trPr>
                <w:tblHeader/>
              </w:trPr>
              <w:tc>
                <w:tcPr>
                  <w:tcW w:w="2379" w:type="dxa"/>
                  <w:tcBorders>
                    <w:bottom w:val="single" w:sz="4" w:space="0" w:color="B3B3B3"/>
                  </w:tcBorders>
                  <w:vAlign w:val="bottom"/>
                </w:tcPr>
                <w:p w14:paraId="5CC2E80C" w14:textId="77FDF08D" w:rsidR="00616973" w:rsidRPr="00DE6A1B" w:rsidRDefault="00616973" w:rsidP="00616973">
                  <w:pPr>
                    <w:pStyle w:val="TableHeading"/>
                    <w:rPr>
                      <w:rFonts w:ascii="Arial (Body)" w:hAnsi="Arial (Body)"/>
                      <w:b w:val="0"/>
                      <w:color w:val="58585B"/>
                    </w:rPr>
                  </w:pPr>
                  <w:r w:rsidRPr="00DE6A1B">
                    <w:rPr>
                      <w:b w:val="0"/>
                      <w:color w:val="58585B"/>
                    </w:rPr>
                    <w:lastRenderedPageBreak/>
                    <w:t>Risk Assessment</w:t>
                  </w:r>
                </w:p>
              </w:tc>
              <w:tc>
                <w:tcPr>
                  <w:tcW w:w="2311" w:type="dxa"/>
                  <w:tcBorders>
                    <w:bottom w:val="single" w:sz="4" w:space="0" w:color="B3B3B3"/>
                  </w:tcBorders>
                  <w:vAlign w:val="bottom"/>
                </w:tcPr>
                <w:p w14:paraId="3C4D0EF1" w14:textId="710FA13D" w:rsidR="00616973" w:rsidRPr="00DE6A1B" w:rsidRDefault="00616973" w:rsidP="00446AA0">
                  <w:pPr>
                    <w:pStyle w:val="TableHeading"/>
                    <w:rPr>
                      <w:b w:val="0"/>
                      <w:color w:val="58585B"/>
                    </w:rPr>
                  </w:pPr>
                  <w:r w:rsidRPr="00DE6A1B">
                    <w:rPr>
                      <w:b w:val="0"/>
                      <w:color w:val="58585B"/>
                    </w:rPr>
                    <w:t>Base Rate</w:t>
                  </w:r>
                </w:p>
              </w:tc>
              <w:tc>
                <w:tcPr>
                  <w:tcW w:w="2375" w:type="dxa"/>
                  <w:tcBorders>
                    <w:bottom w:val="single" w:sz="4" w:space="0" w:color="B3B3B3"/>
                  </w:tcBorders>
                  <w:vAlign w:val="bottom"/>
                </w:tcPr>
                <w:p w14:paraId="734313AE" w14:textId="22DA4B08" w:rsidR="00616973" w:rsidRPr="00DE6A1B" w:rsidRDefault="00616973" w:rsidP="005F71B2">
                  <w:pPr>
                    <w:pStyle w:val="TableHeading"/>
                    <w:jc w:val="right"/>
                    <w:rPr>
                      <w:b w:val="0"/>
                      <w:color w:val="58585B"/>
                    </w:rPr>
                  </w:pPr>
                  <w:r w:rsidRPr="00DE6A1B">
                    <w:rPr>
                      <w:b w:val="0"/>
                      <w:color w:val="58585B"/>
                    </w:rPr>
                    <w:t>Risk premium</w:t>
                  </w:r>
                </w:p>
              </w:tc>
              <w:tc>
                <w:tcPr>
                  <w:tcW w:w="1723" w:type="dxa"/>
                  <w:tcBorders>
                    <w:bottom w:val="single" w:sz="4" w:space="0" w:color="B3B3B3"/>
                  </w:tcBorders>
                </w:tcPr>
                <w:p w14:paraId="763D32BE" w14:textId="400E141D" w:rsidR="00616973" w:rsidRPr="00DE6A1B" w:rsidRDefault="00616973" w:rsidP="005F71B2">
                  <w:pPr>
                    <w:pStyle w:val="TableHeading"/>
                    <w:jc w:val="right"/>
                    <w:rPr>
                      <w:b w:val="0"/>
                      <w:color w:val="58585B"/>
                    </w:rPr>
                  </w:pPr>
                  <w:r w:rsidRPr="00DE6A1B">
                    <w:rPr>
                      <w:b w:val="0"/>
                      <w:color w:val="58585B"/>
                    </w:rPr>
                    <w:t>Required pre-tax</w:t>
                  </w:r>
                  <w:r w:rsidR="005F71B2" w:rsidRPr="00DE6A1B">
                    <w:rPr>
                      <w:b w:val="0"/>
                      <w:bCs/>
                      <w:color w:val="58585B"/>
                    </w:rPr>
                    <w:br/>
                  </w:r>
                  <w:r w:rsidRPr="00DE6A1B">
                    <w:rPr>
                      <w:b w:val="0"/>
                      <w:color w:val="58585B"/>
                    </w:rPr>
                    <w:t xml:space="preserve"> rate of return</w:t>
                  </w:r>
                </w:p>
              </w:tc>
            </w:tr>
            <w:tr w:rsidR="00616973" w:rsidRPr="00030C67" w14:paraId="04ACA8E5" w14:textId="08F038BA" w:rsidTr="00F56D06">
              <w:tc>
                <w:tcPr>
                  <w:tcW w:w="2379" w:type="dxa"/>
                  <w:tcBorders>
                    <w:top w:val="single" w:sz="4" w:space="0" w:color="B3B3B3"/>
                    <w:bottom w:val="nil"/>
                  </w:tcBorders>
                  <w:shd w:val="clear" w:color="000000" w:fill="F2F2F2"/>
                </w:tcPr>
                <w:p w14:paraId="7713A35A" w14:textId="22BF0F68" w:rsidR="00616973" w:rsidRPr="00DE6A1B" w:rsidRDefault="00616973" w:rsidP="00446AA0">
                  <w:pPr>
                    <w:pStyle w:val="TableHeading"/>
                    <w:rPr>
                      <w:b w:val="0"/>
                      <w:color w:val="58585B"/>
                    </w:rPr>
                  </w:pPr>
                  <w:r w:rsidRPr="00DE6A1B">
                    <w:rPr>
                      <w:b w:val="0"/>
                      <w:color w:val="58585B"/>
                    </w:rPr>
                    <w:t>Low</w:t>
                  </w:r>
                </w:p>
              </w:tc>
              <w:tc>
                <w:tcPr>
                  <w:tcW w:w="2311" w:type="dxa"/>
                  <w:tcBorders>
                    <w:top w:val="single" w:sz="4" w:space="0" w:color="B3B3B3"/>
                    <w:bottom w:val="nil"/>
                  </w:tcBorders>
                  <w:shd w:val="clear" w:color="000000" w:fill="F2F2F2"/>
                </w:tcPr>
                <w:p w14:paraId="476EAF67" w14:textId="185F8059" w:rsidR="00616973" w:rsidRPr="00DE6A1B" w:rsidRDefault="00E4092D" w:rsidP="00446AA0">
                  <w:pPr>
                    <w:pStyle w:val="TableBody"/>
                    <w:spacing w:before="45" w:after="45"/>
                    <w:ind w:right="108"/>
                    <w:rPr>
                      <w:rFonts w:ascii="Arial (Body)" w:hAnsi="Arial (Body)"/>
                      <w:color w:val="58585B"/>
                    </w:rPr>
                  </w:pPr>
                  <w:proofErr w:type="gramStart"/>
                  <w:r w:rsidRPr="00DE6A1B">
                    <w:rPr>
                      <w:rFonts w:ascii="Arial (Body)" w:hAnsi="Arial (Body)"/>
                      <w:color w:val="58585B"/>
                    </w:rPr>
                    <w:t>10 year</w:t>
                  </w:r>
                  <w:proofErr w:type="gramEnd"/>
                  <w:r w:rsidRPr="00DE6A1B">
                    <w:rPr>
                      <w:rFonts w:ascii="Arial (Body)" w:hAnsi="Arial (Body)"/>
                      <w:color w:val="58585B"/>
                    </w:rPr>
                    <w:t xml:space="preserve"> bond rate = 5%</w:t>
                  </w:r>
                </w:p>
              </w:tc>
              <w:tc>
                <w:tcPr>
                  <w:tcW w:w="2375" w:type="dxa"/>
                  <w:tcBorders>
                    <w:top w:val="single" w:sz="4" w:space="0" w:color="B3B3B3"/>
                    <w:bottom w:val="nil"/>
                  </w:tcBorders>
                  <w:shd w:val="clear" w:color="000000" w:fill="F2F2F2"/>
                </w:tcPr>
                <w:p w14:paraId="7C4BD80F" w14:textId="48578C7A" w:rsidR="00616973" w:rsidRPr="00DE6A1B" w:rsidRDefault="00E4092D" w:rsidP="005F71B2">
                  <w:pPr>
                    <w:pStyle w:val="TableBody"/>
                    <w:spacing w:before="45" w:after="45"/>
                    <w:ind w:right="108"/>
                    <w:jc w:val="right"/>
                    <w:rPr>
                      <w:rFonts w:ascii="Arial (Body)" w:hAnsi="Arial (Body)"/>
                      <w:color w:val="58585B"/>
                    </w:rPr>
                  </w:pPr>
                  <w:r w:rsidRPr="00DE6A1B">
                    <w:rPr>
                      <w:rFonts w:ascii="Arial (Body)" w:hAnsi="Arial (Body)"/>
                      <w:color w:val="58585B"/>
                    </w:rPr>
                    <w:t>3%</w:t>
                  </w:r>
                </w:p>
              </w:tc>
              <w:tc>
                <w:tcPr>
                  <w:tcW w:w="1723" w:type="dxa"/>
                  <w:tcBorders>
                    <w:top w:val="single" w:sz="4" w:space="0" w:color="B3B3B3"/>
                    <w:bottom w:val="nil"/>
                  </w:tcBorders>
                  <w:shd w:val="clear" w:color="000000" w:fill="F2F2F2"/>
                </w:tcPr>
                <w:p w14:paraId="02BCF1F2" w14:textId="7A8C7170" w:rsidR="00616973" w:rsidRPr="00DE6A1B" w:rsidRDefault="00E4092D" w:rsidP="005F71B2">
                  <w:pPr>
                    <w:pStyle w:val="TableBody"/>
                    <w:spacing w:before="45" w:after="45"/>
                    <w:ind w:right="108"/>
                    <w:jc w:val="right"/>
                    <w:rPr>
                      <w:rFonts w:ascii="Arial (Body)" w:hAnsi="Arial (Body)"/>
                      <w:color w:val="58585B"/>
                    </w:rPr>
                  </w:pPr>
                  <w:r w:rsidRPr="00DE6A1B">
                    <w:rPr>
                      <w:rFonts w:ascii="Arial (Body)" w:hAnsi="Arial (Body)"/>
                      <w:color w:val="58585B"/>
                    </w:rPr>
                    <w:t>8%</w:t>
                  </w:r>
                </w:p>
              </w:tc>
            </w:tr>
            <w:tr w:rsidR="00616973" w:rsidRPr="00030C67" w14:paraId="4C731391" w14:textId="75D01C7D" w:rsidTr="00F56D06">
              <w:tc>
                <w:tcPr>
                  <w:tcW w:w="2379" w:type="dxa"/>
                  <w:tcBorders>
                    <w:top w:val="nil"/>
                    <w:bottom w:val="nil"/>
                  </w:tcBorders>
                </w:tcPr>
                <w:p w14:paraId="6ED80CF7" w14:textId="182E7F33" w:rsidR="00616973" w:rsidRPr="00DE6A1B" w:rsidRDefault="00616973" w:rsidP="00446AA0">
                  <w:pPr>
                    <w:pStyle w:val="TableHeading"/>
                    <w:rPr>
                      <w:b w:val="0"/>
                      <w:color w:val="58585B"/>
                    </w:rPr>
                  </w:pPr>
                  <w:r w:rsidRPr="00DE6A1B">
                    <w:rPr>
                      <w:b w:val="0"/>
                      <w:color w:val="58585B"/>
                    </w:rPr>
                    <w:t>Medium</w:t>
                  </w:r>
                </w:p>
              </w:tc>
              <w:tc>
                <w:tcPr>
                  <w:tcW w:w="2311" w:type="dxa"/>
                  <w:tcBorders>
                    <w:top w:val="nil"/>
                    <w:bottom w:val="nil"/>
                  </w:tcBorders>
                </w:tcPr>
                <w:p w14:paraId="71764D46" w14:textId="5D333D0C" w:rsidR="00616973" w:rsidRPr="00DE6A1B" w:rsidRDefault="00E4092D" w:rsidP="00446AA0">
                  <w:pPr>
                    <w:pStyle w:val="TableBody"/>
                    <w:spacing w:before="45" w:after="45"/>
                    <w:ind w:right="108"/>
                    <w:rPr>
                      <w:rFonts w:ascii="Arial (Body)" w:hAnsi="Arial (Body)"/>
                      <w:color w:val="58585B"/>
                    </w:rPr>
                  </w:pPr>
                  <w:proofErr w:type="gramStart"/>
                  <w:r w:rsidRPr="00DE6A1B">
                    <w:rPr>
                      <w:rFonts w:ascii="Arial (Body)" w:hAnsi="Arial (Body)"/>
                      <w:color w:val="58585B"/>
                    </w:rPr>
                    <w:t>10 year</w:t>
                  </w:r>
                  <w:proofErr w:type="gramEnd"/>
                  <w:r w:rsidRPr="00DE6A1B">
                    <w:rPr>
                      <w:rFonts w:ascii="Arial (Body)" w:hAnsi="Arial (Body)"/>
                      <w:color w:val="58585B"/>
                    </w:rPr>
                    <w:t xml:space="preserve"> bond rate = 5%</w:t>
                  </w:r>
                  <w:r w:rsidR="00616973" w:rsidRPr="00DE6A1B">
                    <w:rPr>
                      <w:rFonts w:ascii="Arial (Body)" w:hAnsi="Arial (Body)"/>
                      <w:color w:val="58585B"/>
                    </w:rPr>
                    <w:t>y</w:t>
                  </w:r>
                </w:p>
              </w:tc>
              <w:tc>
                <w:tcPr>
                  <w:tcW w:w="2375" w:type="dxa"/>
                  <w:tcBorders>
                    <w:top w:val="nil"/>
                    <w:bottom w:val="nil"/>
                  </w:tcBorders>
                </w:tcPr>
                <w:p w14:paraId="627F65D9" w14:textId="2E293190" w:rsidR="00616973" w:rsidRPr="00DE6A1B" w:rsidRDefault="00E4092D" w:rsidP="005F71B2">
                  <w:pPr>
                    <w:pStyle w:val="TableBody"/>
                    <w:spacing w:before="45" w:after="45"/>
                    <w:ind w:right="108"/>
                    <w:jc w:val="right"/>
                    <w:rPr>
                      <w:rFonts w:ascii="Arial (Body)" w:hAnsi="Arial (Body)"/>
                      <w:color w:val="58585B"/>
                    </w:rPr>
                  </w:pPr>
                  <w:r w:rsidRPr="00DE6A1B">
                    <w:rPr>
                      <w:rFonts w:ascii="Arial (Body)" w:hAnsi="Arial (Body)"/>
                      <w:color w:val="58585B"/>
                    </w:rPr>
                    <w:t>5%</w:t>
                  </w:r>
                </w:p>
              </w:tc>
              <w:tc>
                <w:tcPr>
                  <w:tcW w:w="1723" w:type="dxa"/>
                  <w:tcBorders>
                    <w:top w:val="nil"/>
                    <w:bottom w:val="nil"/>
                  </w:tcBorders>
                </w:tcPr>
                <w:p w14:paraId="4BE1E5BD" w14:textId="3F7080AB" w:rsidR="00616973" w:rsidRPr="00DE6A1B" w:rsidRDefault="00E4092D" w:rsidP="005F71B2">
                  <w:pPr>
                    <w:pStyle w:val="TableBody"/>
                    <w:spacing w:before="45" w:after="45"/>
                    <w:ind w:right="108"/>
                    <w:jc w:val="right"/>
                    <w:rPr>
                      <w:rFonts w:ascii="Arial (Body)" w:hAnsi="Arial (Body)"/>
                      <w:color w:val="58585B"/>
                    </w:rPr>
                  </w:pPr>
                  <w:r w:rsidRPr="00DE6A1B">
                    <w:rPr>
                      <w:rFonts w:ascii="Arial (Body)" w:hAnsi="Arial (Body)"/>
                      <w:color w:val="58585B"/>
                    </w:rPr>
                    <w:t>10%</w:t>
                  </w:r>
                </w:p>
              </w:tc>
            </w:tr>
            <w:tr w:rsidR="00616973" w:rsidRPr="00030C67" w14:paraId="19C0ED2E" w14:textId="1B096862" w:rsidTr="00F56D06">
              <w:tc>
                <w:tcPr>
                  <w:tcW w:w="2379" w:type="dxa"/>
                  <w:tcBorders>
                    <w:bottom w:val="single" w:sz="4" w:space="0" w:color="B3B3B3"/>
                  </w:tcBorders>
                  <w:shd w:val="clear" w:color="000000" w:fill="F2F2F2"/>
                </w:tcPr>
                <w:p w14:paraId="75C2846E" w14:textId="531676C4" w:rsidR="00616973" w:rsidRPr="00DE6A1B" w:rsidRDefault="00616973" w:rsidP="00446AA0">
                  <w:pPr>
                    <w:pStyle w:val="TableHeading"/>
                    <w:rPr>
                      <w:b w:val="0"/>
                      <w:color w:val="58585B"/>
                    </w:rPr>
                  </w:pPr>
                  <w:r w:rsidRPr="00DE6A1B">
                    <w:rPr>
                      <w:b w:val="0"/>
                      <w:color w:val="58585B"/>
                    </w:rPr>
                    <w:t>High</w:t>
                  </w:r>
                </w:p>
              </w:tc>
              <w:tc>
                <w:tcPr>
                  <w:tcW w:w="2311" w:type="dxa"/>
                  <w:tcBorders>
                    <w:bottom w:val="single" w:sz="4" w:space="0" w:color="B3B3B3"/>
                  </w:tcBorders>
                  <w:shd w:val="clear" w:color="000000" w:fill="F2F2F2"/>
                </w:tcPr>
                <w:p w14:paraId="425F593C" w14:textId="24E9342D" w:rsidR="00616973" w:rsidRPr="00DE6A1B" w:rsidRDefault="00E4092D" w:rsidP="00446AA0">
                  <w:pPr>
                    <w:pStyle w:val="TableBody"/>
                    <w:spacing w:before="45" w:after="45"/>
                    <w:ind w:right="108"/>
                    <w:rPr>
                      <w:rFonts w:ascii="Arial (Body)" w:hAnsi="Arial (Body)"/>
                      <w:color w:val="58585B"/>
                    </w:rPr>
                  </w:pPr>
                  <w:proofErr w:type="gramStart"/>
                  <w:r w:rsidRPr="00DE6A1B">
                    <w:rPr>
                      <w:rFonts w:ascii="Arial (Body)" w:hAnsi="Arial (Body)"/>
                      <w:color w:val="58585B"/>
                    </w:rPr>
                    <w:t>10 year</w:t>
                  </w:r>
                  <w:proofErr w:type="gramEnd"/>
                  <w:r w:rsidRPr="00DE6A1B">
                    <w:rPr>
                      <w:rFonts w:ascii="Arial (Body)" w:hAnsi="Arial (Body)"/>
                      <w:color w:val="58585B"/>
                    </w:rPr>
                    <w:t xml:space="preserve"> bond rate = 5%</w:t>
                  </w:r>
                </w:p>
              </w:tc>
              <w:tc>
                <w:tcPr>
                  <w:tcW w:w="2375" w:type="dxa"/>
                  <w:tcBorders>
                    <w:bottom w:val="single" w:sz="4" w:space="0" w:color="B3B3B3"/>
                  </w:tcBorders>
                  <w:shd w:val="clear" w:color="000000" w:fill="F2F2F2"/>
                </w:tcPr>
                <w:p w14:paraId="5EEF3494" w14:textId="13CBF5D3" w:rsidR="00616973" w:rsidRPr="00DE6A1B" w:rsidRDefault="00E4092D" w:rsidP="005F71B2">
                  <w:pPr>
                    <w:pStyle w:val="TableBody"/>
                    <w:spacing w:before="45" w:after="45"/>
                    <w:ind w:right="108"/>
                    <w:jc w:val="right"/>
                    <w:rPr>
                      <w:rFonts w:ascii="Arial (Body)" w:hAnsi="Arial (Body)"/>
                      <w:color w:val="58585B"/>
                    </w:rPr>
                  </w:pPr>
                  <w:r w:rsidRPr="00DE6A1B">
                    <w:rPr>
                      <w:rFonts w:ascii="Arial (Body)" w:hAnsi="Arial (Body)"/>
                      <w:color w:val="58585B"/>
                    </w:rPr>
                    <w:t>7%</w:t>
                  </w:r>
                </w:p>
              </w:tc>
              <w:tc>
                <w:tcPr>
                  <w:tcW w:w="1723" w:type="dxa"/>
                  <w:tcBorders>
                    <w:bottom w:val="single" w:sz="4" w:space="0" w:color="B3B3B3"/>
                  </w:tcBorders>
                  <w:shd w:val="clear" w:color="000000" w:fill="F2F2F2"/>
                </w:tcPr>
                <w:p w14:paraId="52F6290E" w14:textId="02A53653" w:rsidR="00616973" w:rsidRPr="00DE6A1B" w:rsidRDefault="00E4092D" w:rsidP="005F71B2">
                  <w:pPr>
                    <w:pStyle w:val="TableBody"/>
                    <w:spacing w:before="45" w:after="45"/>
                    <w:ind w:right="108"/>
                    <w:jc w:val="right"/>
                    <w:rPr>
                      <w:rFonts w:ascii="Arial (Body)" w:hAnsi="Arial (Body)"/>
                      <w:color w:val="58585B"/>
                    </w:rPr>
                  </w:pPr>
                  <w:r w:rsidRPr="00DE6A1B">
                    <w:rPr>
                      <w:rFonts w:ascii="Arial (Body)" w:hAnsi="Arial (Body)"/>
                      <w:color w:val="58585B"/>
                    </w:rPr>
                    <w:t>12%</w:t>
                  </w:r>
                </w:p>
              </w:tc>
            </w:tr>
          </w:tbl>
          <w:p w14:paraId="5D160C6E" w14:textId="4A08FD6F" w:rsidR="005227EB" w:rsidRPr="005227EB" w:rsidRDefault="005227EB" w:rsidP="005227EB">
            <w:pPr>
              <w:pStyle w:val="Quote"/>
            </w:pPr>
            <w:r w:rsidRPr="005227EB">
              <w:t xml:space="preserve">The risk premium implicit in the </w:t>
            </w:r>
            <w:proofErr w:type="spellStart"/>
            <w:r w:rsidRPr="005227EB">
              <w:t>RoR</w:t>
            </w:r>
            <w:proofErr w:type="spellEnd"/>
            <w:r w:rsidRPr="005227EB">
              <w:t xml:space="preserve"> target is determined by the business with reference to the nature of its operations and the environment in which it operates. </w:t>
            </w:r>
            <w:r w:rsidR="71F7D235" w:rsidRPr="0F84E5AE">
              <w:t>(p. 32)</w:t>
            </w:r>
          </w:p>
          <w:p w14:paraId="5C47B1AD" w14:textId="55DF5088" w:rsidR="0005060D" w:rsidRPr="00946A84" w:rsidRDefault="007B020F" w:rsidP="0005060D">
            <w:pPr>
              <w:pStyle w:val="ListBullet"/>
              <w:numPr>
                <w:ilvl w:val="0"/>
                <w:numId w:val="0"/>
              </w:numPr>
            </w:pPr>
            <w:r>
              <w:t xml:space="preserve">The AGCNCO’s research paper, </w:t>
            </w:r>
            <w:r>
              <w:rPr>
                <w:i/>
                <w:iCs/>
              </w:rPr>
              <w:t>Rate of Return Issues</w:t>
            </w:r>
            <w:r w:rsidR="00D50DE2">
              <w:t xml:space="preserve"> (1998</w:t>
            </w:r>
            <w:r w:rsidR="00035234">
              <w:t>b</w:t>
            </w:r>
            <w:r w:rsidR="00D50DE2">
              <w:t>)</w:t>
            </w:r>
            <w:r>
              <w:rPr>
                <w:i/>
                <w:iCs/>
              </w:rPr>
              <w:t xml:space="preserve"> </w:t>
            </w:r>
            <w:r>
              <w:t xml:space="preserve">considers the </w:t>
            </w:r>
            <w:r w:rsidR="00E63C7B">
              <w:t xml:space="preserve">purpose of </w:t>
            </w:r>
            <w:r>
              <w:t xml:space="preserve">assessing rates of return for </w:t>
            </w:r>
            <w:r w:rsidR="00E63C7B">
              <w:t>competitive neutrality, compared to assessing the performance of a business</w:t>
            </w:r>
            <w:r w:rsidR="005024C2">
              <w:t>:</w:t>
            </w:r>
          </w:p>
          <w:p w14:paraId="4578345B" w14:textId="77777777" w:rsidR="0005060D" w:rsidRDefault="0005060D" w:rsidP="0005060D">
            <w:pPr>
              <w:pStyle w:val="Quote"/>
            </w:pPr>
            <w:r w:rsidRPr="00136F14">
              <w:t xml:space="preserve">While rate of return issues for competitive neutrality and performance monitoring </w:t>
            </w:r>
            <w:proofErr w:type="gramStart"/>
            <w:r w:rsidRPr="00136F14">
              <w:t>are</w:t>
            </w:r>
            <w:proofErr w:type="gramEnd"/>
            <w:r w:rsidRPr="00136F14">
              <w:t xml:space="preserve"> conceptually the same, procedurally they involve quite different objectives. The aim of performance monitoring is to establish procedures to assess the performance of government businesses against their stated objectives. In essence, it is intended to help ensure efficient resource use </w:t>
            </w:r>
            <w:r w:rsidRPr="00914259">
              <w:rPr>
                <w:u w:val="single"/>
              </w:rPr>
              <w:t>within</w:t>
            </w:r>
            <w:r w:rsidRPr="00136F14">
              <w:t xml:space="preserve"> the business. It is an ongoing process in which considerable resources can be invested. By contrast, a key role of complaints units is to determine whether a government business sets prices on a competitively neutral basis to help ensure that there is efficient allocation of resources </w:t>
            </w:r>
            <w:r w:rsidRPr="00914259">
              <w:rPr>
                <w:u w:val="single"/>
              </w:rPr>
              <w:t>between</w:t>
            </w:r>
            <w:r w:rsidRPr="00136F14">
              <w:t xml:space="preserve"> the public and private sectors</w:t>
            </w:r>
            <w:r>
              <w:t xml:space="preserve"> (p. 2)</w:t>
            </w:r>
            <w:r w:rsidRPr="00136F14">
              <w:t>.</w:t>
            </w:r>
          </w:p>
          <w:p w14:paraId="3F816B23" w14:textId="5E16A6C6" w:rsidR="00795C92" w:rsidRPr="00914259" w:rsidRDefault="00795C92" w:rsidP="00795C92">
            <w:pPr>
              <w:pStyle w:val="BodyText"/>
              <w:rPr>
                <w:rStyle w:val="QuoteChar"/>
                <w:color w:val="auto"/>
              </w:rPr>
            </w:pPr>
            <w:r w:rsidRPr="00914259">
              <w:rPr>
                <w:rStyle w:val="QuoteChar"/>
                <w:color w:val="auto"/>
              </w:rPr>
              <w:t>Th</w:t>
            </w:r>
            <w:r w:rsidR="00430AB1">
              <w:rPr>
                <w:rStyle w:val="QuoteChar"/>
                <w:color w:val="auto"/>
              </w:rPr>
              <w:t>i</w:t>
            </w:r>
            <w:r w:rsidR="00430AB1">
              <w:rPr>
                <w:rStyle w:val="QuoteChar"/>
              </w:rPr>
              <w:t>s</w:t>
            </w:r>
            <w:r w:rsidRPr="00914259">
              <w:rPr>
                <w:rStyle w:val="QuoteChar"/>
                <w:color w:val="auto"/>
              </w:rPr>
              <w:t xml:space="preserve"> paper </w:t>
            </w:r>
            <w:r w:rsidR="00AD4D51">
              <w:rPr>
                <w:rStyle w:val="QuoteChar"/>
                <w:color w:val="auto"/>
              </w:rPr>
              <w:t xml:space="preserve">also cautions against making </w:t>
            </w:r>
            <w:r w:rsidR="00AE4F3A">
              <w:rPr>
                <w:rStyle w:val="QuoteChar"/>
                <w:color w:val="auto"/>
              </w:rPr>
              <w:t>hard and fast determinations against a single benchmar</w:t>
            </w:r>
            <w:r w:rsidR="005024C2">
              <w:rPr>
                <w:rStyle w:val="QuoteChar"/>
                <w:color w:val="auto"/>
              </w:rPr>
              <w:t>k over a short period of time</w:t>
            </w:r>
            <w:r w:rsidRPr="00914259">
              <w:rPr>
                <w:rStyle w:val="QuoteChar"/>
                <w:color w:val="auto"/>
              </w:rPr>
              <w:t>:</w:t>
            </w:r>
          </w:p>
          <w:p w14:paraId="62F7E7E4" w14:textId="2608E527" w:rsidR="00795C92" w:rsidRDefault="00795C92" w:rsidP="00795C92">
            <w:pPr>
              <w:pStyle w:val="Quote"/>
            </w:pPr>
            <w:r w:rsidRPr="00336F95">
              <w:rPr>
                <w:rStyle w:val="QuoteChar"/>
              </w:rPr>
              <w:t xml:space="preserve">The imprecision and potential sources of error in setting and measuring returns suggests that the </w:t>
            </w:r>
            <w:r w:rsidR="00C45DA5">
              <w:rPr>
                <w:rStyle w:val="QuoteChar"/>
              </w:rPr>
              <w:t>[AGCNCO]</w:t>
            </w:r>
            <w:r w:rsidRPr="00336F95">
              <w:rPr>
                <w:rStyle w:val="QuoteChar"/>
              </w:rPr>
              <w:t xml:space="preserve"> should exercise a degree of judgement when comparing the financial performance of a business against its rate of return target.</w:t>
            </w:r>
            <w:r>
              <w:t xml:space="preserve"> (p. viii).</w:t>
            </w:r>
          </w:p>
          <w:p w14:paraId="438E7A03" w14:textId="29AAF8F5" w:rsidR="00971D6E" w:rsidRDefault="00DB48B3" w:rsidP="00723086">
            <w:pPr>
              <w:pStyle w:val="BodyText"/>
            </w:pPr>
            <w:r>
              <w:t>The</w:t>
            </w:r>
            <w:r w:rsidR="00200820">
              <w:t xml:space="preserve"> Competitive Neutrality Policy Statement does not offer </w:t>
            </w:r>
            <w:r w:rsidR="007551BB">
              <w:t xml:space="preserve">direct </w:t>
            </w:r>
            <w:r w:rsidR="00200820">
              <w:t xml:space="preserve">guidance on </w:t>
            </w:r>
            <w:r w:rsidR="007760DE">
              <w:t xml:space="preserve">which assets of a business </w:t>
            </w:r>
            <w:r w:rsidR="007E18FE">
              <w:t xml:space="preserve">should </w:t>
            </w:r>
            <w:r w:rsidR="00063D38">
              <w:t xml:space="preserve">be considered in assessing the requirement to earn a commercial rate of return. </w:t>
            </w:r>
            <w:r w:rsidR="00657E92">
              <w:t>The Victorian Department of Treasury and Finance has considered this issue and advises</w:t>
            </w:r>
            <w:r w:rsidR="00F674DC">
              <w:t>:</w:t>
            </w:r>
          </w:p>
          <w:p w14:paraId="27883BFE" w14:textId="77777777" w:rsidR="00F674DC" w:rsidRDefault="00F674DC" w:rsidP="002C20D0">
            <w:pPr>
              <w:pStyle w:val="Source"/>
              <w:spacing w:after="0"/>
              <w:rPr>
                <w:rStyle w:val="QuoteChar"/>
              </w:rPr>
            </w:pPr>
            <w:r w:rsidRPr="00F674DC">
              <w:rPr>
                <w:rStyle w:val="QuoteChar"/>
              </w:rPr>
              <w:t xml:space="preserve">The asset base to which the rate is to be applied can be defined as: </w:t>
            </w:r>
          </w:p>
          <w:p w14:paraId="075F4AE5" w14:textId="3DF20FE7" w:rsidR="00F674DC" w:rsidRDefault="00F674DC" w:rsidP="00D50DE2">
            <w:pPr>
              <w:pStyle w:val="QuoteBullet"/>
              <w:rPr>
                <w:rStyle w:val="QuoteChar"/>
              </w:rPr>
            </w:pPr>
            <w:r w:rsidRPr="00F674DC">
              <w:rPr>
                <w:rStyle w:val="QuoteChar"/>
              </w:rPr>
              <w:t xml:space="preserve">total current </w:t>
            </w:r>
            <w:r w:rsidRPr="00D50DE2">
              <w:rPr>
                <w:rStyle w:val="QuoteChar"/>
              </w:rPr>
              <w:t>assets</w:t>
            </w:r>
            <w:r w:rsidRPr="00F674DC">
              <w:rPr>
                <w:rStyle w:val="QuoteChar"/>
              </w:rPr>
              <w:t xml:space="preserve"> (</w:t>
            </w:r>
            <w:proofErr w:type="spellStart"/>
            <w:r w:rsidRPr="00F674DC">
              <w:rPr>
                <w:rStyle w:val="QuoteChar"/>
              </w:rPr>
              <w:t>eg</w:t>
            </w:r>
            <w:proofErr w:type="spellEnd"/>
            <w:r w:rsidRPr="00F674DC">
              <w:rPr>
                <w:rStyle w:val="QuoteChar"/>
              </w:rPr>
              <w:t xml:space="preserve"> working capital, debtors, stock); plus </w:t>
            </w:r>
          </w:p>
          <w:p w14:paraId="664B90AA" w14:textId="722F4D66" w:rsidR="00971D6E" w:rsidRDefault="00F674DC" w:rsidP="00BE37C1">
            <w:pPr>
              <w:pStyle w:val="QuoteBullet"/>
            </w:pPr>
            <w:r w:rsidRPr="00F674DC">
              <w:rPr>
                <w:rStyle w:val="QuoteChar"/>
              </w:rPr>
              <w:t>total non-</w:t>
            </w:r>
            <w:r w:rsidRPr="00BE37C1">
              <w:rPr>
                <w:rStyle w:val="QuoteChar"/>
              </w:rPr>
              <w:t>current</w:t>
            </w:r>
            <w:r w:rsidRPr="00F674DC">
              <w:rPr>
                <w:rStyle w:val="QuoteChar"/>
              </w:rPr>
              <w:t xml:space="preserve"> assets (</w:t>
            </w:r>
            <w:proofErr w:type="spellStart"/>
            <w:r w:rsidRPr="00F674DC">
              <w:rPr>
                <w:rStyle w:val="QuoteChar"/>
              </w:rPr>
              <w:t>eg</w:t>
            </w:r>
            <w:proofErr w:type="spellEnd"/>
            <w:r w:rsidRPr="00F674DC">
              <w:rPr>
                <w:rStyle w:val="QuoteChar"/>
              </w:rPr>
              <w:t xml:space="preserve"> written down value of physical assets), owned and employed in the production of the relevant output</w:t>
            </w:r>
            <w:r w:rsidR="00883D5A">
              <w:rPr>
                <w:rStyle w:val="QuoteChar"/>
              </w:rPr>
              <w:t>.</w:t>
            </w:r>
            <w:r>
              <w:t xml:space="preserve"> </w:t>
            </w:r>
            <w:r w:rsidR="008D2FDD">
              <w:t xml:space="preserve">(2019, p. </w:t>
            </w:r>
            <w:r w:rsidR="003E4766">
              <w:t>37)</w:t>
            </w:r>
          </w:p>
        </w:tc>
      </w:tr>
      <w:tr w:rsidR="00971D6E" w14:paraId="3DD89B78" w14:textId="77777777" w:rsidTr="00446AA0">
        <w:trPr>
          <w:hidden/>
        </w:trPr>
        <w:tc>
          <w:tcPr>
            <w:tcW w:w="9638" w:type="dxa"/>
            <w:shd w:val="clear" w:color="auto" w:fill="auto"/>
            <w:tcMar>
              <w:top w:w="0" w:type="dxa"/>
              <w:left w:w="170" w:type="dxa"/>
              <w:bottom w:w="0" w:type="dxa"/>
              <w:right w:w="170" w:type="dxa"/>
            </w:tcMar>
          </w:tcPr>
          <w:p w14:paraId="3364D1FD" w14:textId="6694150F" w:rsidR="00971D6E" w:rsidRPr="00465191" w:rsidRDefault="00971D6E">
            <w:pPr>
              <w:pStyle w:val="BodyText"/>
              <w:spacing w:before="0" w:after="0" w:line="80" w:lineRule="atLeast"/>
              <w:rPr>
                <w:smallCaps/>
                <w:vanish/>
              </w:rPr>
            </w:pPr>
          </w:p>
        </w:tc>
      </w:tr>
    </w:tbl>
    <w:p w14:paraId="47B3D976" w14:textId="486BEA65" w:rsidR="000E6CB5" w:rsidRPr="00C76CA4" w:rsidRDefault="009B0A03" w:rsidP="00FE08A9">
      <w:pPr>
        <w:pStyle w:val="Heading3"/>
        <w:rPr>
          <w:spacing w:val="-2"/>
        </w:rPr>
      </w:pPr>
      <w:r w:rsidRPr="00C76CA4">
        <w:rPr>
          <w:spacing w:val="-2"/>
        </w:rPr>
        <w:lastRenderedPageBreak/>
        <w:t>Approaches to calculating a commercial rate of return for CN policy</w:t>
      </w:r>
    </w:p>
    <w:p w14:paraId="4C6EB8B3" w14:textId="737C2DCB" w:rsidR="00B11BE8" w:rsidRDefault="00B43CA9" w:rsidP="00FE08A9">
      <w:pPr>
        <w:pStyle w:val="BodyText"/>
        <w:keepNext/>
        <w:keepLines/>
      </w:pPr>
      <w:r>
        <w:t xml:space="preserve">Recognising the </w:t>
      </w:r>
      <w:r w:rsidR="008A23DE">
        <w:t xml:space="preserve">imprecise nature of </w:t>
      </w:r>
      <w:r w:rsidR="00B75415">
        <w:t xml:space="preserve">calculating a commercial rate of return for the operations of a government business, the AGCNCO has adopted a range of </w:t>
      </w:r>
      <w:r w:rsidR="00234FD9">
        <w:t xml:space="preserve">approaches to </w:t>
      </w:r>
      <w:r w:rsidR="000A634D">
        <w:t>calculat</w:t>
      </w:r>
      <w:r w:rsidR="00B66E34">
        <w:t>e</w:t>
      </w:r>
      <w:r w:rsidR="000A634D">
        <w:t xml:space="preserve"> rates of return in its previous investigations (</w:t>
      </w:r>
      <w:r w:rsidR="00203867">
        <w:t>table</w:t>
      </w:r>
      <w:r w:rsidR="000A634D">
        <w:t xml:space="preserve"> </w:t>
      </w:r>
      <w:r w:rsidR="00DF091B">
        <w:t>2</w:t>
      </w:r>
      <w:r w:rsidR="000A634D">
        <w:t xml:space="preserve">). </w:t>
      </w:r>
      <w:r w:rsidR="00B11BE8">
        <w:t>These examples highlight how the approach to calculating rates of return can be tailored t</w:t>
      </w:r>
      <w:r w:rsidR="00A80069">
        <w:t xml:space="preserve">o meet the circumstances of an investigation and reinforce the </w:t>
      </w:r>
      <w:r w:rsidR="00B11BE8">
        <w:t>AGCNCO’s expressed views about the need for caution when interpreting the results.</w:t>
      </w:r>
    </w:p>
    <w:p w14:paraId="74FBF9FF" w14:textId="2E24BB2F" w:rsidR="007924BF" w:rsidRPr="005E2FD8" w:rsidRDefault="00256429" w:rsidP="00FE08A9">
      <w:pPr>
        <w:pStyle w:val="BodyText"/>
        <w:keepNext/>
        <w:keepLines/>
      </w:pPr>
      <w:r>
        <w:t xml:space="preserve">Further, the </w:t>
      </w:r>
      <w:r>
        <w:rPr>
          <w:i/>
          <w:iCs/>
        </w:rPr>
        <w:t xml:space="preserve">Australian Government Competitive Neutrality Guidelines for Managers </w:t>
      </w:r>
      <w:r>
        <w:t xml:space="preserve">advises that </w:t>
      </w:r>
      <w:r w:rsidR="005E2FD8">
        <w:t>the rate of return may be measured</w:t>
      </w:r>
      <w:r w:rsidR="00FD5FD9">
        <w:t xml:space="preserve"> through a return on total assets, which is calculated </w:t>
      </w:r>
      <w:r w:rsidR="008D0554">
        <w:t>using ‘earnings before interest and tax’ and ‘</w:t>
      </w:r>
      <w:r w:rsidR="00853B11">
        <w:t xml:space="preserve">total </w:t>
      </w:r>
      <w:proofErr w:type="gramStart"/>
      <w:r w:rsidR="00853B11">
        <w:t>assets’</w:t>
      </w:r>
      <w:proofErr w:type="gramEnd"/>
      <w:r w:rsidR="00853B11">
        <w:t>.</w:t>
      </w:r>
    </w:p>
    <w:p w14:paraId="13ECE7E2" w14:textId="4F0E5F23" w:rsidR="00EE7BEA" w:rsidRDefault="00EE7BEA" w:rsidP="00FE08A9">
      <w:pPr>
        <w:pStyle w:val="FigureTableHeading"/>
        <w:keepLines/>
      </w:pPr>
      <w:r>
        <w:t xml:space="preserve">Table </w:t>
      </w:r>
      <w:r w:rsidR="00203867">
        <w:t>2</w:t>
      </w:r>
      <w:r>
        <w:rPr>
          <w:noProof/>
        </w:rPr>
        <w:t xml:space="preserve"> – </w:t>
      </w:r>
      <w:r w:rsidR="005E55AE">
        <w:t>Approaches adopted by the AGCNCO to calculate rates of return</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402"/>
        <w:gridCol w:w="5670"/>
      </w:tblGrid>
      <w:tr w:rsidR="001C27F3" w:rsidRPr="0090362D" w14:paraId="6532DCB3" w14:textId="77777777" w:rsidTr="0090362D">
        <w:trPr>
          <w:tblHeader/>
        </w:trPr>
        <w:tc>
          <w:tcPr>
            <w:tcW w:w="3402" w:type="dxa"/>
            <w:tcBorders>
              <w:bottom w:val="single" w:sz="4" w:space="0" w:color="B3B3B3"/>
            </w:tcBorders>
            <w:shd w:val="clear" w:color="000000" w:fill="auto"/>
            <w:vAlign w:val="bottom"/>
          </w:tcPr>
          <w:p w14:paraId="02889276" w14:textId="7DF5B8BB" w:rsidR="00D36E32" w:rsidRPr="0090362D" w:rsidRDefault="00D36E32" w:rsidP="0090362D">
            <w:pPr>
              <w:pStyle w:val="TableHeading"/>
              <w:keepNext/>
              <w:keepLines/>
              <w:spacing w:before="45" w:after="45"/>
              <w:ind w:right="108"/>
              <w:rPr>
                <w:rFonts w:ascii="Arial (Body)" w:hAnsi="Arial (Body)"/>
                <w:color w:val="265A9A"/>
              </w:rPr>
            </w:pPr>
            <w:r w:rsidRPr="0090362D">
              <w:rPr>
                <w:rFonts w:ascii="Arial (Body)" w:hAnsi="Arial (Body)"/>
                <w:color w:val="265A9A"/>
              </w:rPr>
              <w:t>Investigation</w:t>
            </w:r>
          </w:p>
        </w:tc>
        <w:tc>
          <w:tcPr>
            <w:tcW w:w="5670" w:type="dxa"/>
            <w:tcBorders>
              <w:bottom w:val="single" w:sz="4" w:space="0" w:color="B3B3B3"/>
            </w:tcBorders>
            <w:shd w:val="clear" w:color="000000" w:fill="auto"/>
            <w:vAlign w:val="bottom"/>
          </w:tcPr>
          <w:p w14:paraId="4C6765AD" w14:textId="2B43A4B8" w:rsidR="00D36E32" w:rsidRPr="0090362D" w:rsidRDefault="00D36E32" w:rsidP="0090362D">
            <w:pPr>
              <w:pStyle w:val="TableHeading"/>
              <w:keepNext/>
              <w:keepLines/>
              <w:spacing w:before="45" w:after="45"/>
              <w:ind w:right="108"/>
              <w:rPr>
                <w:rFonts w:ascii="Arial (Body)" w:hAnsi="Arial (Body)"/>
                <w:color w:val="265A9A"/>
              </w:rPr>
            </w:pPr>
            <w:r w:rsidRPr="0090362D">
              <w:rPr>
                <w:rFonts w:ascii="Arial (Body)" w:hAnsi="Arial (Body)"/>
                <w:color w:val="265A9A"/>
              </w:rPr>
              <w:t>Approach to calculating rate of return</w:t>
            </w:r>
          </w:p>
        </w:tc>
      </w:tr>
      <w:tr w:rsidR="0090362D" w:rsidRPr="0090362D" w14:paraId="54AFAADC" w14:textId="77777777" w:rsidTr="0090362D">
        <w:tc>
          <w:tcPr>
            <w:tcW w:w="3402" w:type="dxa"/>
            <w:tcBorders>
              <w:top w:val="single" w:sz="4" w:space="0" w:color="B3B3B3"/>
              <w:bottom w:val="nil"/>
            </w:tcBorders>
            <w:shd w:val="clear" w:color="000000" w:fill="F2F2F2"/>
          </w:tcPr>
          <w:p w14:paraId="3B143E12" w14:textId="77777777" w:rsidR="0090362D" w:rsidRPr="00D83C4D" w:rsidRDefault="0090362D" w:rsidP="0090362D">
            <w:pPr>
              <w:pStyle w:val="TableHeading"/>
              <w:keepNext/>
              <w:keepLines/>
              <w:spacing w:before="45" w:after="45"/>
              <w:ind w:right="108"/>
              <w:rPr>
                <w:rFonts w:ascii="Arial (Body)" w:hAnsi="Arial (Body)"/>
                <w:b w:val="0"/>
                <w:bCs/>
                <w:color w:val="auto"/>
              </w:rPr>
            </w:pPr>
            <w:r w:rsidRPr="00D83C4D">
              <w:rPr>
                <w:rFonts w:ascii="Arial (Body)" w:hAnsi="Arial (Body)"/>
                <w:b w:val="0"/>
                <w:bCs/>
                <w:color w:val="auto"/>
              </w:rPr>
              <w:t>Australia Post (2024)</w:t>
            </w:r>
          </w:p>
        </w:tc>
        <w:tc>
          <w:tcPr>
            <w:tcW w:w="5670" w:type="dxa"/>
            <w:tcBorders>
              <w:top w:val="single" w:sz="4" w:space="0" w:color="B3B3B3"/>
              <w:bottom w:val="nil"/>
            </w:tcBorders>
            <w:shd w:val="clear" w:color="000000" w:fill="F2F2F2"/>
          </w:tcPr>
          <w:p w14:paraId="129E0EEF" w14:textId="77777777" w:rsidR="0090362D" w:rsidRPr="0090362D" w:rsidRDefault="0090362D" w:rsidP="0090362D">
            <w:pPr>
              <w:pStyle w:val="TableBody"/>
              <w:keepNext/>
              <w:keepLines/>
              <w:spacing w:before="45" w:after="45"/>
              <w:ind w:right="108"/>
              <w:rPr>
                <w:rFonts w:ascii="Arial (Body)" w:hAnsi="Arial (Body)"/>
                <w:color w:val="000000"/>
              </w:rPr>
            </w:pPr>
            <w:r w:rsidRPr="0090362D">
              <w:rPr>
                <w:rFonts w:ascii="Arial (Body)" w:hAnsi="Arial (Body)"/>
                <w:color w:val="000000"/>
              </w:rPr>
              <w:t>Net profit before tax excluding interest and operating assets.</w:t>
            </w:r>
          </w:p>
        </w:tc>
      </w:tr>
      <w:tr w:rsidR="001C27F3" w:rsidRPr="0090362D" w14:paraId="7A1FE7F6" w14:textId="77777777" w:rsidTr="0090362D">
        <w:tc>
          <w:tcPr>
            <w:tcW w:w="3402" w:type="dxa"/>
            <w:tcBorders>
              <w:top w:val="nil"/>
              <w:bottom w:val="nil"/>
            </w:tcBorders>
            <w:shd w:val="clear" w:color="000000" w:fill="auto"/>
          </w:tcPr>
          <w:p w14:paraId="7550C0A2" w14:textId="398D9951" w:rsidR="00D36E32" w:rsidRPr="00D83C4D" w:rsidRDefault="00D36E32" w:rsidP="0090362D">
            <w:pPr>
              <w:pStyle w:val="TableHeading"/>
              <w:keepNext/>
              <w:keepLines/>
              <w:spacing w:before="45" w:after="45"/>
              <w:ind w:right="108"/>
              <w:rPr>
                <w:rFonts w:ascii="Arial (Body)" w:hAnsi="Arial (Body)"/>
                <w:b w:val="0"/>
                <w:bCs/>
                <w:color w:val="auto"/>
              </w:rPr>
            </w:pPr>
            <w:r w:rsidRPr="00D83C4D">
              <w:rPr>
                <w:rFonts w:ascii="Arial (Body)" w:hAnsi="Arial (Body)"/>
                <w:b w:val="0"/>
                <w:bCs/>
                <w:color w:val="auto"/>
              </w:rPr>
              <w:t>NBN Co (2022)</w:t>
            </w:r>
          </w:p>
        </w:tc>
        <w:tc>
          <w:tcPr>
            <w:tcW w:w="5670" w:type="dxa"/>
            <w:tcBorders>
              <w:top w:val="nil"/>
              <w:bottom w:val="nil"/>
            </w:tcBorders>
            <w:shd w:val="clear" w:color="000000" w:fill="auto"/>
          </w:tcPr>
          <w:p w14:paraId="35FB0362" w14:textId="70CAE9DF" w:rsidR="00D36E32" w:rsidRPr="0090362D" w:rsidRDefault="00591BA3" w:rsidP="0090362D">
            <w:pPr>
              <w:pStyle w:val="TableBody"/>
              <w:keepNext/>
              <w:keepLines/>
              <w:spacing w:before="45" w:after="45"/>
              <w:ind w:right="108"/>
              <w:rPr>
                <w:rFonts w:ascii="Arial (Body)" w:hAnsi="Arial (Body)"/>
                <w:color w:val="000000"/>
              </w:rPr>
            </w:pPr>
            <w:r w:rsidRPr="0090362D">
              <w:rPr>
                <w:rFonts w:ascii="Arial (Body)" w:hAnsi="Arial (Body)"/>
                <w:color w:val="000000"/>
              </w:rPr>
              <w:t xml:space="preserve">Whether projected </w:t>
            </w:r>
            <w:proofErr w:type="gramStart"/>
            <w:r w:rsidRPr="0090362D">
              <w:rPr>
                <w:rFonts w:ascii="Arial (Body)" w:hAnsi="Arial (Body)"/>
                <w:color w:val="000000"/>
              </w:rPr>
              <w:t>long-run</w:t>
            </w:r>
            <w:proofErr w:type="gramEnd"/>
            <w:r w:rsidRPr="0090362D">
              <w:rPr>
                <w:rFonts w:ascii="Arial (Body)" w:hAnsi="Arial (Body)"/>
                <w:color w:val="000000"/>
              </w:rPr>
              <w:t xml:space="preserve"> cashflows of the business are sufficient to recover the cost of capital (the WACC)</w:t>
            </w:r>
            <w:r w:rsidR="00132FD0" w:rsidRPr="0090362D">
              <w:rPr>
                <w:rFonts w:ascii="Arial (Body)" w:hAnsi="Arial (Body)"/>
                <w:color w:val="000000"/>
              </w:rPr>
              <w:t>.</w:t>
            </w:r>
          </w:p>
        </w:tc>
      </w:tr>
      <w:tr w:rsidR="001C27F3" w:rsidRPr="0090362D" w14:paraId="66912F45" w14:textId="77777777" w:rsidTr="0090362D">
        <w:tc>
          <w:tcPr>
            <w:tcW w:w="3402" w:type="dxa"/>
            <w:tcBorders>
              <w:bottom w:val="nil"/>
            </w:tcBorders>
            <w:shd w:val="clear" w:color="000000" w:fill="F2F2F2"/>
          </w:tcPr>
          <w:p w14:paraId="47821509" w14:textId="77777777" w:rsidR="001C147E" w:rsidRPr="00D83C4D" w:rsidRDefault="001C147E" w:rsidP="0090362D">
            <w:pPr>
              <w:pStyle w:val="TableHeading"/>
              <w:keepNext/>
              <w:keepLines/>
              <w:spacing w:before="45" w:after="45"/>
              <w:ind w:right="108"/>
              <w:rPr>
                <w:rFonts w:ascii="Arial (Body)" w:hAnsi="Arial (Body)"/>
                <w:b w:val="0"/>
                <w:bCs/>
                <w:color w:val="auto"/>
              </w:rPr>
            </w:pPr>
            <w:r w:rsidRPr="00D83C4D">
              <w:rPr>
                <w:rFonts w:ascii="Arial (Body)" w:hAnsi="Arial (Body)"/>
                <w:b w:val="0"/>
                <w:bCs/>
                <w:color w:val="auto"/>
              </w:rPr>
              <w:t>ARRB Transport Research Ltd (2001)</w:t>
            </w:r>
          </w:p>
        </w:tc>
        <w:tc>
          <w:tcPr>
            <w:tcW w:w="5670" w:type="dxa"/>
            <w:tcBorders>
              <w:bottom w:val="nil"/>
            </w:tcBorders>
            <w:shd w:val="clear" w:color="000000" w:fill="F2F2F2"/>
          </w:tcPr>
          <w:p w14:paraId="646DE258" w14:textId="1CB51BE3" w:rsidR="001C147E" w:rsidRPr="0090362D" w:rsidRDefault="001C147E" w:rsidP="0090362D">
            <w:pPr>
              <w:pStyle w:val="TableBody"/>
              <w:keepNext/>
              <w:keepLines/>
              <w:spacing w:before="45" w:after="45"/>
              <w:ind w:right="108"/>
              <w:rPr>
                <w:rFonts w:ascii="Arial (Body)" w:hAnsi="Arial (Body)"/>
                <w:color w:val="000000"/>
              </w:rPr>
            </w:pPr>
            <w:r w:rsidRPr="0090362D">
              <w:rPr>
                <w:rFonts w:ascii="Arial (Body)" w:hAnsi="Arial (Body)"/>
                <w:color w:val="000000"/>
              </w:rPr>
              <w:t xml:space="preserve">Total operating profit before income tax and net </w:t>
            </w:r>
            <w:proofErr w:type="spellStart"/>
            <w:proofErr w:type="gramStart"/>
            <w:r w:rsidRPr="0090362D">
              <w:rPr>
                <w:rFonts w:ascii="Arial (Body)" w:hAnsi="Arial (Body)"/>
                <w:color w:val="000000"/>
              </w:rPr>
              <w:t>assets</w:t>
            </w:r>
            <w:r w:rsidR="0026660C">
              <w:rPr>
                <w:rFonts w:ascii="Arial (Body)" w:hAnsi="Arial (Body)"/>
                <w:color w:val="000000"/>
              </w:rPr>
              <w:t>.</w:t>
            </w:r>
            <w:r w:rsidR="003C7E2A" w:rsidRPr="003C7E2A">
              <w:rPr>
                <w:rFonts w:ascii="Arial (Body)" w:hAnsi="Arial (Body)"/>
                <w:b/>
                <w:bCs/>
                <w:color w:val="000000"/>
                <w:vertAlign w:val="superscript"/>
              </w:rPr>
              <w:t>a</w:t>
            </w:r>
            <w:proofErr w:type="spellEnd"/>
            <w:proofErr w:type="gramEnd"/>
          </w:p>
        </w:tc>
      </w:tr>
      <w:tr w:rsidR="001C27F3" w:rsidRPr="0090362D" w14:paraId="3F0AF6E5" w14:textId="77777777" w:rsidTr="0090362D">
        <w:tc>
          <w:tcPr>
            <w:tcW w:w="3402" w:type="dxa"/>
            <w:tcBorders>
              <w:top w:val="nil"/>
              <w:bottom w:val="nil"/>
            </w:tcBorders>
            <w:shd w:val="clear" w:color="000000" w:fill="auto"/>
          </w:tcPr>
          <w:p w14:paraId="6810CC33" w14:textId="1CA6577A" w:rsidR="00D36E32" w:rsidRPr="00D83C4D" w:rsidRDefault="00D36E32" w:rsidP="0090362D">
            <w:pPr>
              <w:pStyle w:val="TableHeading"/>
              <w:keepNext/>
              <w:keepLines/>
              <w:spacing w:before="45" w:after="45"/>
              <w:ind w:right="108"/>
              <w:rPr>
                <w:rFonts w:ascii="Arial (Body)" w:hAnsi="Arial (Body)"/>
                <w:b w:val="0"/>
                <w:bCs/>
                <w:color w:val="auto"/>
              </w:rPr>
            </w:pPr>
            <w:proofErr w:type="spellStart"/>
            <w:r w:rsidRPr="00D83C4D">
              <w:rPr>
                <w:rFonts w:ascii="Arial (Body)" w:hAnsi="Arial (Body)"/>
                <w:b w:val="0"/>
                <w:bCs/>
                <w:color w:val="auto"/>
              </w:rPr>
              <w:t>Docimage</w:t>
            </w:r>
            <w:proofErr w:type="spellEnd"/>
            <w:r w:rsidRPr="00D83C4D">
              <w:rPr>
                <w:rFonts w:ascii="Arial (Body)" w:hAnsi="Arial (Body)"/>
                <w:b w:val="0"/>
                <w:bCs/>
                <w:color w:val="auto"/>
              </w:rPr>
              <w:t xml:space="preserve"> Business Services (2001)</w:t>
            </w:r>
          </w:p>
        </w:tc>
        <w:tc>
          <w:tcPr>
            <w:tcW w:w="5670" w:type="dxa"/>
            <w:tcBorders>
              <w:top w:val="nil"/>
              <w:bottom w:val="nil"/>
            </w:tcBorders>
            <w:shd w:val="clear" w:color="000000" w:fill="auto"/>
          </w:tcPr>
          <w:p w14:paraId="6776B184" w14:textId="740411C0" w:rsidR="00D36E32" w:rsidRPr="0090362D" w:rsidRDefault="006C5A42" w:rsidP="0090362D">
            <w:pPr>
              <w:pStyle w:val="TableBody"/>
              <w:keepNext/>
              <w:keepLines/>
              <w:spacing w:before="45" w:after="45"/>
              <w:ind w:right="108"/>
              <w:rPr>
                <w:rFonts w:ascii="Arial (Body)" w:hAnsi="Arial (Body)"/>
                <w:color w:val="000000"/>
              </w:rPr>
            </w:pPr>
            <w:r w:rsidRPr="0090362D">
              <w:rPr>
                <w:rFonts w:ascii="Arial (Body)" w:hAnsi="Arial (Body)"/>
                <w:color w:val="000000"/>
              </w:rPr>
              <w:t>Net profit to sales ratio, compared to industry practice.</w:t>
            </w:r>
          </w:p>
        </w:tc>
      </w:tr>
      <w:tr w:rsidR="001C27F3" w:rsidRPr="0090362D" w14:paraId="596AD3A9" w14:textId="77777777" w:rsidTr="0090362D">
        <w:tc>
          <w:tcPr>
            <w:tcW w:w="3402" w:type="dxa"/>
            <w:tcBorders>
              <w:bottom w:val="single" w:sz="4" w:space="0" w:color="B3B3B3"/>
            </w:tcBorders>
            <w:shd w:val="clear" w:color="000000" w:fill="F2F2F2"/>
          </w:tcPr>
          <w:p w14:paraId="33BFDE47" w14:textId="77777777" w:rsidR="00DF091B" w:rsidRPr="00D83C4D" w:rsidRDefault="00DF091B" w:rsidP="0090362D">
            <w:pPr>
              <w:pStyle w:val="TableHeading"/>
              <w:keepNext/>
              <w:keepLines/>
              <w:spacing w:before="45" w:after="45"/>
              <w:ind w:right="108"/>
              <w:rPr>
                <w:rFonts w:ascii="Arial (Body)" w:hAnsi="Arial (Body)"/>
                <w:b w:val="0"/>
                <w:bCs/>
                <w:color w:val="auto"/>
              </w:rPr>
            </w:pPr>
            <w:r w:rsidRPr="00D83C4D">
              <w:rPr>
                <w:rFonts w:ascii="Arial (Body)" w:hAnsi="Arial (Body)"/>
                <w:b w:val="0"/>
                <w:bCs/>
                <w:color w:val="auto"/>
              </w:rPr>
              <w:t>National Rail Corporation Ltd (2000)</w:t>
            </w:r>
          </w:p>
        </w:tc>
        <w:tc>
          <w:tcPr>
            <w:tcW w:w="5670" w:type="dxa"/>
            <w:tcBorders>
              <w:bottom w:val="single" w:sz="4" w:space="0" w:color="B3B3B3"/>
            </w:tcBorders>
            <w:shd w:val="clear" w:color="000000" w:fill="F2F2F2"/>
          </w:tcPr>
          <w:p w14:paraId="62BF213C" w14:textId="4FDBED0E" w:rsidR="00DF091B" w:rsidRPr="0090362D" w:rsidRDefault="00DF091B" w:rsidP="0090362D">
            <w:pPr>
              <w:pStyle w:val="TableBody"/>
              <w:keepNext/>
              <w:keepLines/>
              <w:spacing w:before="45" w:after="45"/>
              <w:ind w:right="108"/>
              <w:rPr>
                <w:rFonts w:ascii="Arial (Body)" w:hAnsi="Arial (Body)"/>
                <w:color w:val="000000"/>
              </w:rPr>
            </w:pPr>
            <w:r w:rsidRPr="0090362D">
              <w:rPr>
                <w:rFonts w:ascii="Arial (Body)" w:hAnsi="Arial (Body)"/>
                <w:color w:val="000000"/>
              </w:rPr>
              <w:t xml:space="preserve">Adjusted </w:t>
            </w:r>
            <w:proofErr w:type="spellStart"/>
            <w:r w:rsidRPr="0090362D">
              <w:rPr>
                <w:rFonts w:ascii="Arial (Body)" w:hAnsi="Arial (Body)"/>
                <w:color w:val="000000"/>
              </w:rPr>
              <w:t>earning</w:t>
            </w:r>
            <w:proofErr w:type="spellEnd"/>
            <w:r w:rsidRPr="0090362D">
              <w:rPr>
                <w:rFonts w:ascii="Arial (Body)" w:hAnsi="Arial (Body)"/>
                <w:color w:val="000000"/>
              </w:rPr>
              <w:t xml:space="preserve"> before interest and taxation (excluding </w:t>
            </w:r>
            <w:proofErr w:type="spellStart"/>
            <w:r w:rsidRPr="0090362D">
              <w:rPr>
                <w:rFonts w:ascii="Arial (Body)" w:hAnsi="Arial (Body)"/>
                <w:color w:val="000000"/>
              </w:rPr>
              <w:t>abnormals</w:t>
            </w:r>
            <w:proofErr w:type="spellEnd"/>
            <w:r w:rsidRPr="0090362D">
              <w:rPr>
                <w:rFonts w:ascii="Arial (Body)" w:hAnsi="Arial (Body)"/>
                <w:color w:val="000000"/>
              </w:rPr>
              <w:t xml:space="preserve">) and shareholder equity and </w:t>
            </w:r>
            <w:proofErr w:type="spellStart"/>
            <w:proofErr w:type="gramStart"/>
            <w:r w:rsidRPr="0090362D">
              <w:rPr>
                <w:rFonts w:ascii="Arial (Body)" w:hAnsi="Arial (Body)"/>
                <w:color w:val="000000"/>
              </w:rPr>
              <w:t>debt</w:t>
            </w:r>
            <w:r w:rsidR="0026660C">
              <w:rPr>
                <w:rFonts w:ascii="Arial (Body)" w:hAnsi="Arial (Body)"/>
                <w:color w:val="000000"/>
              </w:rPr>
              <w:t>,</w:t>
            </w:r>
            <w:r w:rsidR="003C7E2A">
              <w:rPr>
                <w:rFonts w:ascii="Arial (Body)" w:hAnsi="Arial (Body)"/>
                <w:b/>
                <w:bCs/>
                <w:color w:val="000000"/>
                <w:vertAlign w:val="superscript"/>
              </w:rPr>
              <w:t>b</w:t>
            </w:r>
            <w:proofErr w:type="spellEnd"/>
            <w:proofErr w:type="gramEnd"/>
            <w:r w:rsidRPr="0090362D">
              <w:rPr>
                <w:rFonts w:ascii="Arial (Body)" w:hAnsi="Arial (Body)"/>
                <w:color w:val="000000"/>
              </w:rPr>
              <w:t xml:space="preserve"> to calculate the government’s return on investment.</w:t>
            </w:r>
          </w:p>
        </w:tc>
      </w:tr>
    </w:tbl>
    <w:p w14:paraId="7CE3A22B" w14:textId="4E1E9450" w:rsidR="00E115D0" w:rsidRPr="00E115D0" w:rsidRDefault="003C7E2A" w:rsidP="00FE08A9">
      <w:pPr>
        <w:pStyle w:val="Note"/>
        <w:keepNext/>
        <w:keepLines/>
      </w:pPr>
      <w:r>
        <w:rPr>
          <w:b/>
        </w:rPr>
        <w:t>a</w:t>
      </w:r>
      <w:r w:rsidR="00EB1FE3" w:rsidRPr="00E115D0">
        <w:t xml:space="preserve">. Where net assets </w:t>
      </w:r>
      <w:proofErr w:type="gramStart"/>
      <w:r w:rsidR="00EB1FE3" w:rsidRPr="00E115D0">
        <w:t>equals</w:t>
      </w:r>
      <w:proofErr w:type="gramEnd"/>
      <w:r w:rsidR="00EB1FE3" w:rsidRPr="00E115D0">
        <w:t xml:space="preserve"> total assets </w:t>
      </w:r>
      <w:proofErr w:type="gramStart"/>
      <w:r w:rsidR="00EB1FE3" w:rsidRPr="00E115D0">
        <w:t>less</w:t>
      </w:r>
      <w:proofErr w:type="gramEnd"/>
      <w:r w:rsidR="00EB1FE3" w:rsidRPr="00E115D0">
        <w:t xml:space="preserve"> total liabilities.</w:t>
      </w:r>
      <w:r>
        <w:t xml:space="preserve"> </w:t>
      </w:r>
      <w:r>
        <w:rPr>
          <w:b/>
        </w:rPr>
        <w:t>b</w:t>
      </w:r>
      <w:r w:rsidR="00EE7BEA" w:rsidRPr="00E115D0">
        <w:t xml:space="preserve">. </w:t>
      </w:r>
      <w:r w:rsidR="008A4652" w:rsidRPr="00E115D0">
        <w:t>Where shareholder equity equals net assets</w:t>
      </w:r>
      <w:r w:rsidR="00EE7BEA" w:rsidRPr="00E115D0">
        <w:t xml:space="preserve">. </w:t>
      </w:r>
    </w:p>
    <w:p w14:paraId="1E0A9B19" w14:textId="58D96281" w:rsidR="00EE7BEA" w:rsidRPr="005C358A" w:rsidRDefault="00EE7BEA" w:rsidP="00FE08A9">
      <w:pPr>
        <w:pStyle w:val="Source"/>
        <w:keepNext/>
        <w:keepLines/>
        <w:rPr>
          <w:lang w:val="pt-BR"/>
        </w:rPr>
      </w:pPr>
      <w:r w:rsidRPr="005C358A">
        <w:rPr>
          <w:lang w:val="pt-BR"/>
        </w:rPr>
        <w:t xml:space="preserve">Source: </w:t>
      </w:r>
      <w:r w:rsidR="00072288" w:rsidRPr="005C358A">
        <w:rPr>
          <w:lang w:val="pt-BR"/>
        </w:rPr>
        <w:t xml:space="preserve">AGCNCO (2024), AGCNCO (2022), AGCNCO </w:t>
      </w:r>
      <w:r w:rsidR="00DF091B" w:rsidRPr="005C358A">
        <w:rPr>
          <w:lang w:val="pt-BR"/>
        </w:rPr>
        <w:t>(</w:t>
      </w:r>
      <w:r w:rsidR="00072288" w:rsidRPr="005C358A">
        <w:rPr>
          <w:lang w:val="pt-BR"/>
        </w:rPr>
        <w:t>20</w:t>
      </w:r>
      <w:r w:rsidR="00DF091B" w:rsidRPr="005C358A">
        <w:rPr>
          <w:lang w:val="pt-BR"/>
        </w:rPr>
        <w:t>01a), AGCNCO (2001b), AGCNCO (2000</w:t>
      </w:r>
      <w:r w:rsidR="00FD7A47" w:rsidRPr="005C358A">
        <w:rPr>
          <w:lang w:val="pt-BR"/>
        </w:rPr>
        <w:t>a</w:t>
      </w:r>
      <w:r w:rsidR="00DF091B" w:rsidRPr="005C358A">
        <w:rPr>
          <w:lang w:val="pt-BR"/>
        </w:rPr>
        <w:t>)</w:t>
      </w:r>
      <w:r w:rsidR="002F2EDB" w:rsidRPr="005C358A">
        <w:rPr>
          <w:lang w:val="pt-BR"/>
        </w:rPr>
        <w:t>.</w:t>
      </w:r>
    </w:p>
    <w:p w14:paraId="372E6576" w14:textId="7707B06D" w:rsidR="005C475B" w:rsidRDefault="005C475B" w:rsidP="00FE08A9">
      <w:pPr>
        <w:pStyle w:val="Heading3"/>
      </w:pPr>
      <w:r>
        <w:t>What is the appropriate asset base</w:t>
      </w:r>
      <w:r w:rsidR="00AB1699">
        <w:t xml:space="preserve"> for calculating rate of return</w:t>
      </w:r>
      <w:r>
        <w:t>?</w:t>
      </w:r>
    </w:p>
    <w:p w14:paraId="7C406275" w14:textId="1460A923" w:rsidR="009D27FD" w:rsidRDefault="009D27FD" w:rsidP="00FE08A9">
      <w:pPr>
        <w:pStyle w:val="BodyText"/>
        <w:keepNext/>
        <w:keepLines/>
      </w:pPr>
      <w:r>
        <w:t xml:space="preserve">In its investigation report, the AGCNCO </w:t>
      </w:r>
      <w:r w:rsidR="00A83590">
        <w:t xml:space="preserve">used </w:t>
      </w:r>
      <w:r w:rsidR="004F1B0F">
        <w:t xml:space="preserve">a rate of return on Australia Post’s operating assets to assess whether it is earning a commercial rate of return. </w:t>
      </w:r>
      <w:r w:rsidR="007E7BD1">
        <w:t xml:space="preserve">Operating assets are </w:t>
      </w:r>
      <w:r w:rsidR="008E42C4">
        <w:t xml:space="preserve">future economic benefits </w:t>
      </w:r>
      <w:r w:rsidR="007F7E79">
        <w:t xml:space="preserve">that are used in the </w:t>
      </w:r>
      <w:r w:rsidR="00CC7E5A">
        <w:t>day-to-day operations of the business (AASB 1996</w:t>
      </w:r>
      <w:r w:rsidR="008659FF">
        <w:t>,</w:t>
      </w:r>
      <w:r w:rsidR="00CC7E5A">
        <w:t xml:space="preserve"> p. 28)</w:t>
      </w:r>
      <w:r w:rsidR="003258C5">
        <w:t xml:space="preserve">. As Australia Post submits, operating assets enable </w:t>
      </w:r>
      <w:r w:rsidR="000C5287">
        <w:t xml:space="preserve">the performance of </w:t>
      </w:r>
      <w:r w:rsidR="00764F73">
        <w:t xml:space="preserve">the business </w:t>
      </w:r>
      <w:r w:rsidR="000C5287">
        <w:t xml:space="preserve">to be assessed. In the case of a government business </w:t>
      </w:r>
      <w:r w:rsidR="001002E0">
        <w:t>and competitive neutrality this includes</w:t>
      </w:r>
      <w:r w:rsidR="00D33AD2">
        <w:t xml:space="preserve"> whether th</w:t>
      </w:r>
      <w:r w:rsidR="00E37449">
        <w:t xml:space="preserve">e commercial operations meet the </w:t>
      </w:r>
      <w:r w:rsidR="00C501E7">
        <w:t xml:space="preserve">performance </w:t>
      </w:r>
      <w:r w:rsidR="00E37449">
        <w:t xml:space="preserve">standard of </w:t>
      </w:r>
      <w:r w:rsidR="00C501E7">
        <w:t>private sector counterparts.</w:t>
      </w:r>
    </w:p>
    <w:p w14:paraId="09F739B6" w14:textId="4DADB1CC" w:rsidR="005C475B" w:rsidRDefault="00B0125E" w:rsidP="003611F3">
      <w:pPr>
        <w:pStyle w:val="BodyText"/>
      </w:pPr>
      <w:r>
        <w:t xml:space="preserve">Given the varied </w:t>
      </w:r>
      <w:r w:rsidR="008347BB">
        <w:t>approaches taken</w:t>
      </w:r>
      <w:r>
        <w:t xml:space="preserve"> in </w:t>
      </w:r>
      <w:r w:rsidR="008347BB">
        <w:t>previous investigations,</w:t>
      </w:r>
      <w:r>
        <w:t xml:space="preserve"> </w:t>
      </w:r>
      <w:r w:rsidR="008347BB">
        <w:t xml:space="preserve">and the further concerns expressed by CAPEC, </w:t>
      </w:r>
      <w:r>
        <w:t xml:space="preserve">it is worth </w:t>
      </w:r>
      <w:r w:rsidR="009277FE">
        <w:t xml:space="preserve">considering alternative approaches to ascertain whether Australia </w:t>
      </w:r>
      <w:r w:rsidR="00C66728">
        <w:t>Post</w:t>
      </w:r>
      <w:r w:rsidR="008347BB">
        <w:t>’</w:t>
      </w:r>
      <w:r w:rsidR="00C66728">
        <w:t xml:space="preserve">s rate of return </w:t>
      </w:r>
      <w:r w:rsidR="008347BB">
        <w:t xml:space="preserve">is likely to </w:t>
      </w:r>
      <w:r w:rsidR="00C66728">
        <w:t>m</w:t>
      </w:r>
      <w:r w:rsidR="008347BB">
        <w:t>eet</w:t>
      </w:r>
      <w:r w:rsidR="00C66728">
        <w:t xml:space="preserve"> commercial standards. </w:t>
      </w:r>
      <w:proofErr w:type="gramStart"/>
      <w:r w:rsidR="00C66728">
        <w:t>In particular, using</w:t>
      </w:r>
      <w:proofErr w:type="gramEnd"/>
      <w:r w:rsidR="00C66728">
        <w:t xml:space="preserve"> </w:t>
      </w:r>
      <w:r w:rsidR="002121F4">
        <w:t xml:space="preserve">a form of </w:t>
      </w:r>
      <w:r w:rsidR="003611F3">
        <w:t>total assets enables</w:t>
      </w:r>
      <w:r w:rsidR="005C475B">
        <w:t xml:space="preserve"> a compar</w:t>
      </w:r>
      <w:r w:rsidR="00190CBD">
        <w:t>ison of</w:t>
      </w:r>
      <w:r w:rsidR="005C475B">
        <w:t xml:space="preserve"> the use of assets within the public sector to their use in the private sector, rather than to assess the performance of the business itself (AGCNCO 1998</w:t>
      </w:r>
      <w:r w:rsidR="00035234">
        <w:t>b</w:t>
      </w:r>
      <w:r w:rsidR="005C475B">
        <w:t>, p. 2).</w:t>
      </w:r>
    </w:p>
    <w:p w14:paraId="0C617E4C" w14:textId="267D9DD9" w:rsidR="00701508" w:rsidRPr="00C36C46" w:rsidRDefault="00477CA2" w:rsidP="005C475B">
      <w:pPr>
        <w:pStyle w:val="BodyText"/>
        <w:rPr>
          <w:spacing w:val="-4"/>
        </w:rPr>
      </w:pPr>
      <w:r w:rsidRPr="00C36C46">
        <w:rPr>
          <w:spacing w:val="-4"/>
        </w:rPr>
        <w:t>However, t</w:t>
      </w:r>
      <w:r w:rsidR="005C475B" w:rsidRPr="00C36C46">
        <w:rPr>
          <w:spacing w:val="-4"/>
        </w:rPr>
        <w:t xml:space="preserve">he AGCNCO recognises that Australia Post holds assets to comply with the government’s expectations that Australia Post will perform </w:t>
      </w:r>
      <w:r w:rsidRPr="00C36C46">
        <w:rPr>
          <w:spacing w:val="-4"/>
        </w:rPr>
        <w:t>community service obligations (</w:t>
      </w:r>
      <w:r w:rsidR="005C475B" w:rsidRPr="00C36C46">
        <w:rPr>
          <w:spacing w:val="-4"/>
        </w:rPr>
        <w:t>CSOs</w:t>
      </w:r>
      <w:r w:rsidRPr="00C36C46">
        <w:rPr>
          <w:spacing w:val="-4"/>
        </w:rPr>
        <w:t>)</w:t>
      </w:r>
      <w:r w:rsidR="005C475B" w:rsidRPr="00C36C46">
        <w:rPr>
          <w:spacing w:val="-4"/>
        </w:rPr>
        <w:t xml:space="preserve"> and meet regulated performance standards in their delivery. As noted in </w:t>
      </w:r>
      <w:r w:rsidR="00A41CD9">
        <w:rPr>
          <w:spacing w:val="-4"/>
        </w:rPr>
        <w:t>c</w:t>
      </w:r>
      <w:r w:rsidR="005C475B" w:rsidRPr="00C36C46">
        <w:rPr>
          <w:spacing w:val="-4"/>
        </w:rPr>
        <w:t xml:space="preserve">hapter 5 of the report, the ACCC and the Minister for Communications each have a role in the regulation of pricing for these services. </w:t>
      </w:r>
      <w:r w:rsidRPr="00C36C46">
        <w:rPr>
          <w:spacing w:val="-4"/>
        </w:rPr>
        <w:t xml:space="preserve">Relevant to considering a business that </w:t>
      </w:r>
      <w:r w:rsidR="002178E3" w:rsidRPr="00C36C46">
        <w:rPr>
          <w:spacing w:val="-4"/>
        </w:rPr>
        <w:t xml:space="preserve">provides services on a commercial basis and performs CSOs, </w:t>
      </w:r>
      <w:r w:rsidRPr="00C36C46">
        <w:rPr>
          <w:spacing w:val="-4"/>
        </w:rPr>
        <w:t>t</w:t>
      </w:r>
      <w:r w:rsidR="00F87B4B" w:rsidRPr="00C36C46">
        <w:rPr>
          <w:spacing w:val="-4"/>
        </w:rPr>
        <w:t>he AGCNCO has con</w:t>
      </w:r>
      <w:r w:rsidR="00701508" w:rsidRPr="00C36C46">
        <w:rPr>
          <w:spacing w:val="-4"/>
        </w:rPr>
        <w:t xml:space="preserve">sidered </w:t>
      </w:r>
      <w:proofErr w:type="gramStart"/>
      <w:r w:rsidR="00701508" w:rsidRPr="00C36C46">
        <w:rPr>
          <w:spacing w:val="-4"/>
        </w:rPr>
        <w:t>a number of</w:t>
      </w:r>
      <w:proofErr w:type="gramEnd"/>
      <w:r w:rsidR="00701508" w:rsidRPr="00C36C46">
        <w:rPr>
          <w:spacing w:val="-4"/>
        </w:rPr>
        <w:t xml:space="preserve"> complaints where a government business and a ‘parent’ government agency share resources (box</w:t>
      </w:r>
      <w:r w:rsidR="00FD19DF" w:rsidRPr="00C36C46">
        <w:rPr>
          <w:spacing w:val="-4"/>
        </w:rPr>
        <w:t xml:space="preserve"> </w:t>
      </w:r>
      <w:r w:rsidR="00AC20C1">
        <w:rPr>
          <w:spacing w:val="-4"/>
        </w:rPr>
        <w:t>2</w:t>
      </w:r>
      <w:r w:rsidR="00FD19DF" w:rsidRPr="00C36C46">
        <w:rPr>
          <w:spacing w:val="-4"/>
        </w:rPr>
        <w:t>)</w:t>
      </w:r>
      <w:r w:rsidR="00701508" w:rsidRPr="00C36C46">
        <w:rPr>
          <w:spacing w:val="-4"/>
        </w:rPr>
        <w:t>.</w:t>
      </w:r>
    </w:p>
    <w:p w14:paraId="1C66E45E" w14:textId="0FA04399" w:rsidR="00712569" w:rsidRPr="00F82BD9" w:rsidRDefault="00712569">
      <w:pPr>
        <w:pStyle w:val="NoSpacing"/>
      </w:pPr>
    </w:p>
    <w:tbl>
      <w:tblPr>
        <w:tblStyle w:val="Boxtable"/>
        <w:tblW w:w="5000" w:type="pct"/>
        <w:tblLook w:val="04A0" w:firstRow="1" w:lastRow="0" w:firstColumn="1" w:lastColumn="0" w:noHBand="0" w:noVBand="1"/>
      </w:tblPr>
      <w:tblGrid>
        <w:gridCol w:w="9638"/>
      </w:tblGrid>
      <w:tr w:rsidR="00712569" w14:paraId="4C51919E" w14:textId="77777777">
        <w:trPr>
          <w:tblHeader/>
        </w:trPr>
        <w:tc>
          <w:tcPr>
            <w:tcW w:w="9638" w:type="dxa"/>
            <w:shd w:val="clear" w:color="auto" w:fill="EBEBEB"/>
            <w:tcMar>
              <w:top w:w="170" w:type="dxa"/>
              <w:left w:w="170" w:type="dxa"/>
              <w:bottom w:w="113" w:type="dxa"/>
              <w:right w:w="170" w:type="dxa"/>
            </w:tcMar>
            <w:hideMark/>
          </w:tcPr>
          <w:p w14:paraId="32539A42" w14:textId="53C43395" w:rsidR="00712569" w:rsidRPr="00F41176" w:rsidRDefault="00712569">
            <w:pPr>
              <w:pStyle w:val="BoxHeading1"/>
            </w:pPr>
            <w:r>
              <w:lastRenderedPageBreak/>
              <w:t xml:space="preserve">Box </w:t>
            </w:r>
            <w:r w:rsidR="00AC20C1">
              <w:t>2</w:t>
            </w:r>
            <w:r w:rsidR="008F731C">
              <w:t xml:space="preserve"> – Attribution of assets, costs and revenues </w:t>
            </w:r>
            <w:r w:rsidR="00CC722D">
              <w:t>between government businesses and non-business ‘parent’ entities</w:t>
            </w:r>
          </w:p>
        </w:tc>
      </w:tr>
      <w:tr w:rsidR="00712569" w14:paraId="7EFA7426" w14:textId="77777777">
        <w:tc>
          <w:tcPr>
            <w:tcW w:w="9638" w:type="dxa"/>
            <w:shd w:val="clear" w:color="auto" w:fill="EBEBEB"/>
            <w:tcMar>
              <w:top w:w="28" w:type="dxa"/>
              <w:left w:w="170" w:type="dxa"/>
              <w:bottom w:w="170" w:type="dxa"/>
              <w:right w:w="170" w:type="dxa"/>
            </w:tcMar>
            <w:hideMark/>
          </w:tcPr>
          <w:p w14:paraId="745E0E85" w14:textId="0875B824" w:rsidR="00C607F7" w:rsidRDefault="00C607F7" w:rsidP="00C607F7">
            <w:pPr>
              <w:pStyle w:val="BodyText"/>
            </w:pPr>
            <w:r>
              <w:t>The AGCNCO</w:t>
            </w:r>
            <w:r w:rsidR="004A5732">
              <w:t>’s</w:t>
            </w:r>
            <w:r>
              <w:t xml:space="preserve"> research paper, </w:t>
            </w:r>
            <w:r>
              <w:rPr>
                <w:i/>
                <w:iCs/>
              </w:rPr>
              <w:t>Cost Allocation and Pricing</w:t>
            </w:r>
            <w:r>
              <w:t xml:space="preserve">, </w:t>
            </w:r>
            <w:r w:rsidR="004A5732">
              <w:t>advises on the preferred approach for attributing assets</w:t>
            </w:r>
            <w:r w:rsidR="009E5983">
              <w:t xml:space="preserve"> for the purposes of competitive neutrality policy:</w:t>
            </w:r>
          </w:p>
          <w:p w14:paraId="3E88323A" w14:textId="2CEE144D" w:rsidR="008B233D" w:rsidRDefault="0047693E" w:rsidP="008B233D">
            <w:pPr>
              <w:pStyle w:val="Quote"/>
            </w:pPr>
            <w:r>
              <w:t>[M]</w:t>
            </w:r>
            <w:r w:rsidRPr="0047693E">
              <w:t>any business units use the assets and resources controlled by larger non-commercial agencies. In these circumstances, the way a parent agency allocates costs to its business unit can have a significant impact on the unit’s cost base and on price levels. Therefore, cost allocation may be central to resolving complaints that such business units are undercharging for their output.</w:t>
            </w:r>
            <w:r w:rsidR="008B233D">
              <w:t xml:space="preserve"> (AGCNCO 1998</w:t>
            </w:r>
            <w:r w:rsidR="00035234">
              <w:t>a</w:t>
            </w:r>
            <w:r w:rsidR="008B233D">
              <w:t xml:space="preserve">, p. </w:t>
            </w:r>
            <w:r w:rsidR="004D24C7">
              <w:t>vii</w:t>
            </w:r>
            <w:r w:rsidR="008B233D">
              <w:t>)</w:t>
            </w:r>
          </w:p>
          <w:p w14:paraId="16192150" w14:textId="448D8A71" w:rsidR="008B233D" w:rsidRPr="008B233D" w:rsidRDefault="008B233D" w:rsidP="008B233D">
            <w:pPr>
              <w:pStyle w:val="Quote"/>
            </w:pPr>
            <w:r w:rsidRPr="008B233D">
              <w:t>If a business unit can earn revenue to equal (or exceed) its avoidable costs, it will impose no costs on the non-commercial agency in which it is housed. It will also be generating a commercial return on its own assets. Where non</w:t>
            </w:r>
            <w:r w:rsidR="0053379D">
              <w:t>-</w:t>
            </w:r>
            <w:r w:rsidRPr="008B233D">
              <w:t>commercial agencies have assets with spare capacity, the avoidable cost method will allow such capacity to be used commercially, rather than potentially have it lie idle.</w:t>
            </w:r>
            <w:r>
              <w:t xml:space="preserve"> (AGCNCO 1998</w:t>
            </w:r>
            <w:r w:rsidR="00035234">
              <w:t>a</w:t>
            </w:r>
            <w:r>
              <w:t>, p. 14)</w:t>
            </w:r>
          </w:p>
          <w:p w14:paraId="764240FA" w14:textId="41068546" w:rsidR="009E5983" w:rsidRDefault="009E5983" w:rsidP="00C607F7">
            <w:pPr>
              <w:pStyle w:val="BodyText"/>
            </w:pPr>
            <w:r>
              <w:t xml:space="preserve">In applying that guidance in its investigation on the ABC Production </w:t>
            </w:r>
            <w:r w:rsidR="00166B47">
              <w:t>Facilities, the AGCNCO said:</w:t>
            </w:r>
          </w:p>
          <w:p w14:paraId="01780001" w14:textId="7B261E82" w:rsidR="00166B47" w:rsidRPr="00E60807" w:rsidRDefault="00166B47" w:rsidP="00166B47">
            <w:pPr>
              <w:pStyle w:val="Quote"/>
              <w:rPr>
                <w:spacing w:val="-2"/>
              </w:rPr>
            </w:pPr>
            <w:r w:rsidRPr="00E60807">
              <w:rPr>
                <w:spacing w:val="-2"/>
              </w:rPr>
              <w:t>[A]</w:t>
            </w:r>
            <w:r w:rsidR="0047693E" w:rsidRPr="00E60807">
              <w:rPr>
                <w:spacing w:val="-2"/>
              </w:rPr>
              <w:t xml:space="preserve"> </w:t>
            </w:r>
            <w:r w:rsidRPr="00E60807">
              <w:rPr>
                <w:spacing w:val="-2"/>
              </w:rPr>
              <w:t>government business</w:t>
            </w:r>
            <w:r w:rsidR="00B02BC0" w:rsidRPr="00E60807">
              <w:rPr>
                <w:spacing w:val="-2"/>
              </w:rPr>
              <w:t xml:space="preserve">, using assets and resources which are necessary for the functions of the non-commercial parent agency, will be complying with competitive neutrality if its prices for commercial output exceed the </w:t>
            </w:r>
            <w:r w:rsidR="00B02BC0" w:rsidRPr="00E60807">
              <w:rPr>
                <w:i/>
                <w:spacing w:val="-2"/>
              </w:rPr>
              <w:t xml:space="preserve">avoidable cost </w:t>
            </w:r>
            <w:r w:rsidR="00B02BC0" w:rsidRPr="00E60807">
              <w:rPr>
                <w:spacing w:val="-2"/>
              </w:rPr>
              <w:t xml:space="preserve">of supplying the service. (AGCNCO </w:t>
            </w:r>
            <w:r w:rsidR="00E528A7" w:rsidRPr="00E60807">
              <w:rPr>
                <w:spacing w:val="-2"/>
              </w:rPr>
              <w:t>2000</w:t>
            </w:r>
            <w:r w:rsidR="00DC0C10" w:rsidRPr="00E60807">
              <w:rPr>
                <w:spacing w:val="-2"/>
              </w:rPr>
              <w:t>b</w:t>
            </w:r>
            <w:r w:rsidR="00E528A7" w:rsidRPr="00E60807">
              <w:rPr>
                <w:spacing w:val="-2"/>
              </w:rPr>
              <w:t>, p. 4).</w:t>
            </w:r>
          </w:p>
          <w:p w14:paraId="0CFCC822" w14:textId="4EDABCB2" w:rsidR="00E528A7" w:rsidRDefault="0029407B" w:rsidP="00E528A7">
            <w:pPr>
              <w:pStyle w:val="BodyText"/>
            </w:pPr>
            <w:r>
              <w:t xml:space="preserve">In assessing that investigation, the AGCNCO concluded that the ABC was using a fully distributed cost approach to </w:t>
            </w:r>
            <w:r w:rsidR="0097750D">
              <w:t>attribute assets between the business and parent and, with only 3</w:t>
            </w:r>
            <w:r w:rsidR="00821AC3">
              <w:t>–</w:t>
            </w:r>
            <w:r w:rsidR="000842BC">
              <w:t xml:space="preserve">4% of all work being commercial work, few (if any) assets were </w:t>
            </w:r>
            <w:r w:rsidR="00C50781">
              <w:t xml:space="preserve">purchased specifically for the commercial operations. This meant that the </w:t>
            </w:r>
            <w:r w:rsidR="00875F89">
              <w:t>incremental</w:t>
            </w:r>
            <w:r w:rsidR="00C50781">
              <w:t xml:space="preserve"> assets were </w:t>
            </w:r>
            <w:r w:rsidR="00000230">
              <w:t>fewer than those that would be attributed using the fully distributed cost approach.</w:t>
            </w:r>
          </w:p>
          <w:p w14:paraId="3018CEF1" w14:textId="1A46C795" w:rsidR="00C34E39" w:rsidRPr="00E528A7" w:rsidRDefault="00C34E39" w:rsidP="00E528A7">
            <w:pPr>
              <w:pStyle w:val="BodyText"/>
            </w:pPr>
            <w:r>
              <w:t xml:space="preserve">In </w:t>
            </w:r>
            <w:r w:rsidR="006B0256">
              <w:t>i</w:t>
            </w:r>
            <w:r>
              <w:t>ts invest</w:t>
            </w:r>
            <w:r w:rsidR="008B2438">
              <w:t>igation of the A</w:t>
            </w:r>
            <w:r w:rsidR="00975F3E">
              <w:t xml:space="preserve">ustralian </w:t>
            </w:r>
            <w:r w:rsidR="008B2438">
              <w:t>I</w:t>
            </w:r>
            <w:r w:rsidR="00975F3E">
              <w:t xml:space="preserve">nstitute of </w:t>
            </w:r>
            <w:r w:rsidR="008B2438">
              <w:t>S</w:t>
            </w:r>
            <w:r w:rsidR="00975F3E">
              <w:t xml:space="preserve">port </w:t>
            </w:r>
            <w:r w:rsidR="008B2438">
              <w:t>S</w:t>
            </w:r>
            <w:r w:rsidR="00975F3E">
              <w:t xml:space="preserve">wim </w:t>
            </w:r>
            <w:r w:rsidR="008B2438">
              <w:t>S</w:t>
            </w:r>
            <w:r w:rsidR="00975F3E">
              <w:t>chool</w:t>
            </w:r>
            <w:r w:rsidR="006A1F5E">
              <w:t xml:space="preserve"> (AISSS)</w:t>
            </w:r>
            <w:r w:rsidR="008B2438">
              <w:t xml:space="preserve">, </w:t>
            </w:r>
            <w:r w:rsidR="001758E5">
              <w:t xml:space="preserve">the AGCNCO </w:t>
            </w:r>
            <w:r w:rsidR="006A1F5E">
              <w:t>noted that:</w:t>
            </w:r>
          </w:p>
          <w:p w14:paraId="04E93B8C" w14:textId="0A8AAF2A" w:rsidR="006A1F5E" w:rsidRDefault="006A1F5E" w:rsidP="006A1F5E">
            <w:pPr>
              <w:pStyle w:val="Quote"/>
            </w:pPr>
            <w:r>
              <w:t xml:space="preserve">[the] AISSS would be ‘subsidised’ if it did not recover in full the </w:t>
            </w:r>
            <w:r w:rsidR="00216106">
              <w:t>costs that should be attributed to its operations ...</w:t>
            </w:r>
            <w:r w:rsidR="003E5F74">
              <w:t xml:space="preserve"> </w:t>
            </w:r>
            <w:r w:rsidR="00216106">
              <w:t>It is therefore important to assess whether the costs collocated to the AISSS accurately reflect the costs its use of these shared facilities imposes on the AIS.</w:t>
            </w:r>
          </w:p>
          <w:p w14:paraId="060C39AB" w14:textId="3F36A7D2" w:rsidR="00067565" w:rsidRDefault="00067565" w:rsidP="00E528A7">
            <w:pPr>
              <w:pStyle w:val="BodyText"/>
            </w:pPr>
            <w:r>
              <w:t xml:space="preserve">In </w:t>
            </w:r>
            <w:r w:rsidR="00DB0F3A">
              <w:t>applying this approach to the</w:t>
            </w:r>
            <w:r>
              <w:t xml:space="preserve"> investigation, the AGCNCO concluded that:</w:t>
            </w:r>
          </w:p>
          <w:p w14:paraId="16F98F48" w14:textId="783E9D07" w:rsidR="00712569" w:rsidRDefault="00067565" w:rsidP="000C40B0">
            <w:pPr>
              <w:pStyle w:val="Quote"/>
            </w:pPr>
            <w:r>
              <w:t>The incremental (or avoidable) cost arising from AISSS activities relates only to its use of the facilities – such as any additional chemical treatment and heating expenses, or from replacing alternative commercial users of the facilities</w:t>
            </w:r>
            <w:r w:rsidR="004D55F1">
              <w:t xml:space="preserve"> …</w:t>
            </w:r>
            <w:r w:rsidR="00975F3E">
              <w:t xml:space="preserve"> the facilities rent charge levied by the AIS more than recoups the avoidable cost of providing and operating the facilities used by the AISSS</w:t>
            </w:r>
            <w:r w:rsidR="000C40B0">
              <w:t xml:space="preserve">. (AGCNCO </w:t>
            </w:r>
            <w:r w:rsidR="007A61A5">
              <w:t>1999, p. 5)</w:t>
            </w:r>
          </w:p>
        </w:tc>
      </w:tr>
      <w:tr w:rsidR="00712569" w14:paraId="5F6A0701" w14:textId="77777777">
        <w:trPr>
          <w:hidden/>
        </w:trPr>
        <w:tc>
          <w:tcPr>
            <w:tcW w:w="9638" w:type="dxa"/>
            <w:shd w:val="clear" w:color="auto" w:fill="auto"/>
            <w:tcMar>
              <w:top w:w="0" w:type="dxa"/>
              <w:left w:w="170" w:type="dxa"/>
              <w:bottom w:w="0" w:type="dxa"/>
              <w:right w:w="170" w:type="dxa"/>
            </w:tcMar>
          </w:tcPr>
          <w:p w14:paraId="6946E271" w14:textId="151B0C88" w:rsidR="00712569" w:rsidRPr="00465191" w:rsidRDefault="00712569">
            <w:pPr>
              <w:pStyle w:val="BodyText"/>
              <w:spacing w:before="0" w:after="0" w:line="80" w:lineRule="atLeast"/>
              <w:rPr>
                <w:smallCaps/>
                <w:vanish/>
              </w:rPr>
            </w:pPr>
          </w:p>
        </w:tc>
      </w:tr>
    </w:tbl>
    <w:p w14:paraId="66EC106C" w14:textId="3F90EE7C" w:rsidR="0078663E" w:rsidRDefault="005C475B" w:rsidP="005C475B">
      <w:pPr>
        <w:pStyle w:val="BodyText"/>
      </w:pPr>
      <w:r>
        <w:t>For the purposes of competitive neutrality policy, it is sufficient if Australia Post’s rate of return on its non</w:t>
      </w:r>
      <w:r w:rsidR="00DE46B2">
        <w:noBreakHyphen/>
      </w:r>
      <w:r>
        <w:t>CSO business earns a commercial rate of return on the incremental assets held for that business (i.e. excluding the assets that Australia Post is required to hold to deliver its CSOs).</w:t>
      </w:r>
    </w:p>
    <w:p w14:paraId="6C6DA66C" w14:textId="01CDDAFB" w:rsidR="005C475B" w:rsidRDefault="005C475B" w:rsidP="005C475B">
      <w:pPr>
        <w:pStyle w:val="BodyText"/>
      </w:pPr>
      <w:r>
        <w:t xml:space="preserve">The AGCNCO has not been able to calculate the assets in this way, </w:t>
      </w:r>
      <w:r w:rsidR="0078663E">
        <w:t>due to</w:t>
      </w:r>
      <w:r>
        <w:t xml:space="preserve"> Australia Post’s advice on the complexity of such an approach (Australia Post 2025, p. 3). As a proxy for using incremental assets, the </w:t>
      </w:r>
      <w:r w:rsidRPr="004D55F1">
        <w:rPr>
          <w:spacing w:val="2"/>
        </w:rPr>
        <w:t xml:space="preserve">AGCNCO has attributed assets based on the proportion of total revenues for Australia Post’s reported </w:t>
      </w:r>
      <w:r w:rsidRPr="004D55F1">
        <w:rPr>
          <w:spacing w:val="2"/>
        </w:rPr>
        <w:lastRenderedPageBreak/>
        <w:t>letter revenue (CSO adjusted) and non</w:t>
      </w:r>
      <w:r w:rsidRPr="004D55F1">
        <w:rPr>
          <w:spacing w:val="2"/>
        </w:rPr>
        <w:noBreakHyphen/>
        <w:t>letter revenues business. Using a 5-year average, assets apportioned to the non-CSO business are 75% of total assets. The AG</w:t>
      </w:r>
      <w:r w:rsidR="00C42562" w:rsidRPr="004D55F1">
        <w:rPr>
          <w:spacing w:val="2"/>
        </w:rPr>
        <w:t>C</w:t>
      </w:r>
      <w:r w:rsidRPr="004D55F1">
        <w:rPr>
          <w:spacing w:val="2"/>
        </w:rPr>
        <w:t>NCO</w:t>
      </w:r>
      <w:r w:rsidR="00C42562" w:rsidRPr="004D55F1">
        <w:rPr>
          <w:spacing w:val="2"/>
        </w:rPr>
        <w:t xml:space="preserve"> </w:t>
      </w:r>
      <w:r w:rsidRPr="004D55F1">
        <w:rPr>
          <w:spacing w:val="2"/>
        </w:rPr>
        <w:t>notes that incremental assets are likely to be significantly less than this</w:t>
      </w:r>
      <w:r w:rsidR="006A5A3F" w:rsidRPr="004D55F1">
        <w:rPr>
          <w:spacing w:val="2"/>
        </w:rPr>
        <w:t>, unless a vast majority of the assets employed in the CSO business</w:t>
      </w:r>
      <w:r w:rsidR="00693944" w:rsidRPr="004D55F1">
        <w:rPr>
          <w:spacing w:val="2"/>
        </w:rPr>
        <w:t xml:space="preserve"> are fully depreciated</w:t>
      </w:r>
      <w:r w:rsidRPr="004D55F1">
        <w:rPr>
          <w:spacing w:val="2"/>
        </w:rPr>
        <w:t>.</w:t>
      </w:r>
    </w:p>
    <w:p w14:paraId="35804AD5" w14:textId="6B7655F6" w:rsidR="00017739" w:rsidRDefault="005C475B" w:rsidP="005C475B">
      <w:pPr>
        <w:pStyle w:val="BodyText"/>
      </w:pPr>
      <w:r>
        <w:t xml:space="preserve">In addition, </w:t>
      </w:r>
      <w:r w:rsidR="009F72A7">
        <w:t>assets that</w:t>
      </w:r>
      <w:r>
        <w:t xml:space="preserve"> are unable to be employed in the commercial operations of the business to produce output </w:t>
      </w:r>
      <w:r w:rsidR="009F72A7">
        <w:t xml:space="preserve">should also be excluded from assessing the rate of return </w:t>
      </w:r>
      <w:r>
        <w:t>(Victoria Department of Treasury and Finance 2019, p. 37). Relevantly, the AGCNCO recognises that Australia Post</w:t>
      </w:r>
      <w:r w:rsidR="00CB271A">
        <w:t xml:space="preserve"> is required to report </w:t>
      </w:r>
      <w:r w:rsidR="00E1790F">
        <w:t xml:space="preserve">the </w:t>
      </w:r>
      <w:r w:rsidR="00E1790F" w:rsidRPr="00FD3EDB">
        <w:t>net defined benefit</w:t>
      </w:r>
      <w:r w:rsidR="00CC35D6">
        <w:t xml:space="preserve"> superannuation</w:t>
      </w:r>
      <w:r w:rsidR="00E1790F" w:rsidRPr="00FD3EDB">
        <w:t xml:space="preserve"> asset</w:t>
      </w:r>
      <w:r w:rsidR="00E1790F">
        <w:t xml:space="preserve"> (or liability, as may be the case)</w:t>
      </w:r>
      <w:r w:rsidR="004626DB">
        <w:t xml:space="preserve"> as a part of total assets on its balance sheet</w:t>
      </w:r>
      <w:r w:rsidR="008C60D6">
        <w:t xml:space="preserve">. </w:t>
      </w:r>
      <w:r w:rsidR="008C60D6" w:rsidRPr="0003595F">
        <w:t>The net asset in the balance sheet is a calculation of the surplus of assets over the actuarially determined defined benefit liabilities</w:t>
      </w:r>
      <w:r w:rsidR="008C60D6">
        <w:t xml:space="preserve"> (Australia Post 2024, p. 146).</w:t>
      </w:r>
      <w:r w:rsidR="00E46759">
        <w:t xml:space="preserve"> </w:t>
      </w:r>
      <w:r w:rsidR="005D0E7D">
        <w:t>The AGCNCO notes that th</w:t>
      </w:r>
      <w:r w:rsidR="00E46759" w:rsidRPr="00E46759">
        <w:t>is does not represent actual assets held by or available to support Australia Post’s business operations</w:t>
      </w:r>
      <w:r w:rsidR="00405DD7">
        <w:t xml:space="preserve"> and the </w:t>
      </w:r>
      <w:r w:rsidR="004D69A6">
        <w:t xml:space="preserve">defined </w:t>
      </w:r>
      <w:r w:rsidR="0003595F">
        <w:t>benefit assets of the Australia Post Superannuation Scheme</w:t>
      </w:r>
      <w:r>
        <w:t xml:space="preserve"> </w:t>
      </w:r>
      <w:r w:rsidR="00B66AD0">
        <w:t>are held in trust</w:t>
      </w:r>
      <w:r w:rsidR="00433789">
        <w:t>.</w:t>
      </w:r>
      <w:r w:rsidR="00E87ED5">
        <w:t xml:space="preserve"> </w:t>
      </w:r>
      <w:r>
        <w:t xml:space="preserve">The AGCNCO has excluded </w:t>
      </w:r>
      <w:r w:rsidR="007B596F">
        <w:t xml:space="preserve">reported </w:t>
      </w:r>
      <w:r>
        <w:t>superannuation assets from its consideration of Australia Post’s rate of return</w:t>
      </w:r>
      <w:r w:rsidR="00053EF3">
        <w:t xml:space="preserve"> (table 3)</w:t>
      </w:r>
      <w:r>
        <w:t>.</w:t>
      </w:r>
    </w:p>
    <w:p w14:paraId="5FD9A30E" w14:textId="4A97A665" w:rsidR="00017739" w:rsidRDefault="00017739">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017739" w14:paraId="47407062" w14:textId="77777777">
        <w:trPr>
          <w:trHeight w:val="765"/>
          <w:tblHeader/>
        </w:trPr>
        <w:tc>
          <w:tcPr>
            <w:tcW w:w="366" w:type="pct"/>
            <w:tcBorders>
              <w:bottom w:val="nil"/>
            </w:tcBorders>
            <w:tcMar>
              <w:bottom w:w="0" w:type="dxa"/>
            </w:tcMar>
            <w:vAlign w:val="center"/>
          </w:tcPr>
          <w:p w14:paraId="3B512E0C" w14:textId="77777777" w:rsidR="00017739" w:rsidRDefault="00017739">
            <w:pPr>
              <w:pStyle w:val="NoSpacing"/>
              <w:keepNext/>
              <w:keepLines/>
              <w:jc w:val="right"/>
            </w:pPr>
            <w:r w:rsidRPr="00A51374">
              <w:rPr>
                <w:noProof/>
              </w:rPr>
              <w:drawing>
                <wp:inline distT="0" distB="0" distL="0" distR="0" wp14:anchorId="5632B674" wp14:editId="728E5388">
                  <wp:extent cx="288000" cy="288000"/>
                  <wp:effectExtent l="0" t="0" r="0" b="0"/>
                  <wp:docPr id="994480994"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46053A8" w14:textId="269DEC9C" w:rsidR="00017739" w:rsidRPr="00A4395A" w:rsidRDefault="00017739">
            <w:pPr>
              <w:pStyle w:val="TableHeading"/>
              <w:keepNext/>
              <w:keepLines/>
              <w:spacing w:before="120" w:after="120"/>
              <w:contextualSpacing/>
              <w:rPr>
                <w:sz w:val="20"/>
              </w:rPr>
            </w:pPr>
            <w:r w:rsidRPr="00A4395A">
              <w:rPr>
                <w:sz w:val="20"/>
              </w:rPr>
              <w:t xml:space="preserve">Finding </w:t>
            </w:r>
            <w:r>
              <w:rPr>
                <w:sz w:val="20"/>
              </w:rPr>
              <w:t>1</w:t>
            </w:r>
          </w:p>
          <w:p w14:paraId="6E7630F1" w14:textId="4CFAB0E7" w:rsidR="00017739" w:rsidRPr="003C2E7C" w:rsidRDefault="00F15632">
            <w:pPr>
              <w:pStyle w:val="TableHeading"/>
              <w:keepNext/>
              <w:keepLines/>
              <w:spacing w:before="120" w:after="120"/>
              <w:contextualSpacing/>
              <w:rPr>
                <w:sz w:val="20"/>
              </w:rPr>
            </w:pPr>
            <w:r w:rsidRPr="003C2E7C">
              <w:rPr>
                <w:sz w:val="20"/>
              </w:rPr>
              <w:t xml:space="preserve">Competitive neutrality policy requires </w:t>
            </w:r>
            <w:r w:rsidR="0097274C" w:rsidRPr="003C2E7C">
              <w:rPr>
                <w:sz w:val="20"/>
              </w:rPr>
              <w:t xml:space="preserve">Australia Post </w:t>
            </w:r>
            <w:r w:rsidRPr="003C2E7C">
              <w:rPr>
                <w:sz w:val="20"/>
              </w:rPr>
              <w:t xml:space="preserve">to at least </w:t>
            </w:r>
            <w:r w:rsidR="0097274C" w:rsidRPr="003C2E7C">
              <w:rPr>
                <w:sz w:val="20"/>
              </w:rPr>
              <w:t>e</w:t>
            </w:r>
            <w:r w:rsidR="00C5510C" w:rsidRPr="003C2E7C">
              <w:rPr>
                <w:sz w:val="20"/>
              </w:rPr>
              <w:t xml:space="preserve">arn a commercial rate of return on the assets </w:t>
            </w:r>
            <w:r w:rsidRPr="003C2E7C">
              <w:rPr>
                <w:sz w:val="20"/>
              </w:rPr>
              <w:t xml:space="preserve">it </w:t>
            </w:r>
            <w:r w:rsidR="006B4F32" w:rsidRPr="003C2E7C">
              <w:rPr>
                <w:sz w:val="20"/>
              </w:rPr>
              <w:t>employ</w:t>
            </w:r>
            <w:r w:rsidRPr="003C2E7C">
              <w:rPr>
                <w:sz w:val="20"/>
              </w:rPr>
              <w:t>s</w:t>
            </w:r>
            <w:r w:rsidR="006B4F32" w:rsidRPr="003C2E7C">
              <w:rPr>
                <w:sz w:val="20"/>
              </w:rPr>
              <w:t xml:space="preserve"> </w:t>
            </w:r>
            <w:r w:rsidR="0097274C" w:rsidRPr="003C2E7C">
              <w:rPr>
                <w:sz w:val="20"/>
              </w:rPr>
              <w:t xml:space="preserve">in its commercial operations, </w:t>
            </w:r>
            <w:r w:rsidR="006B4F32" w:rsidRPr="003C2E7C">
              <w:rPr>
                <w:sz w:val="20"/>
              </w:rPr>
              <w:t xml:space="preserve">incremental to those needed </w:t>
            </w:r>
            <w:r w:rsidR="00574686" w:rsidRPr="003C2E7C">
              <w:rPr>
                <w:sz w:val="20"/>
              </w:rPr>
              <w:t>to</w:t>
            </w:r>
            <w:r w:rsidR="006B4F32" w:rsidRPr="003C2E7C">
              <w:rPr>
                <w:sz w:val="20"/>
              </w:rPr>
              <w:t xml:space="preserve"> perform </w:t>
            </w:r>
            <w:r w:rsidR="0097274C" w:rsidRPr="003C2E7C">
              <w:rPr>
                <w:sz w:val="20"/>
              </w:rPr>
              <w:t>its community service obligations</w:t>
            </w:r>
          </w:p>
        </w:tc>
      </w:tr>
      <w:tr w:rsidR="00017739" w14:paraId="1C5B1124" w14:textId="77777777" w:rsidTr="00F568AC">
        <w:trPr>
          <w:trHeight w:val="2933"/>
        </w:trPr>
        <w:tc>
          <w:tcPr>
            <w:tcW w:w="5000" w:type="pct"/>
            <w:gridSpan w:val="2"/>
            <w:tcBorders>
              <w:top w:val="nil"/>
              <w:bottom w:val="single" w:sz="4" w:space="0" w:color="66BCDB" w:themeColor="text2"/>
            </w:tcBorders>
          </w:tcPr>
          <w:p w14:paraId="04D885EE" w14:textId="5847BDF2" w:rsidR="00450B2E" w:rsidRDefault="00017739" w:rsidP="00017739">
            <w:pPr>
              <w:pStyle w:val="BodyText"/>
              <w:keepLines/>
            </w:pPr>
            <w:r>
              <w:t xml:space="preserve">The AGNCO has </w:t>
            </w:r>
            <w:proofErr w:type="gramStart"/>
            <w:r>
              <w:t>taken into account</w:t>
            </w:r>
            <w:proofErr w:type="gramEnd"/>
            <w:r>
              <w:t xml:space="preserve"> the additional information provided by CAPEC </w:t>
            </w:r>
            <w:r w:rsidR="00F91195">
              <w:t>on calculating Australia Post’s rate of return.</w:t>
            </w:r>
            <w:r>
              <w:t xml:space="preserve"> The AGCNCO notes that approaches to assessing rates of return for competitive neutrality policy can vary</w:t>
            </w:r>
            <w:r w:rsidR="00450B2E">
              <w:t xml:space="preserve"> to best reflect the operations of the government business involved.</w:t>
            </w:r>
          </w:p>
          <w:p w14:paraId="39BFDE3E" w14:textId="30F6DDD2" w:rsidR="00455B5B" w:rsidRDefault="007A01DE" w:rsidP="00450B2E">
            <w:pPr>
              <w:pStyle w:val="BodyText"/>
              <w:keepLines/>
            </w:pPr>
            <w:r>
              <w:t xml:space="preserve">The approach adopted in the AGCNCO’s investigation report </w:t>
            </w:r>
            <w:r w:rsidR="00017739">
              <w:t>provide</w:t>
            </w:r>
            <w:r w:rsidR="00455B5B">
              <w:t>d</w:t>
            </w:r>
            <w:r w:rsidR="00017739">
              <w:t xml:space="preserve"> a useful, but </w:t>
            </w:r>
            <w:r>
              <w:t xml:space="preserve">potentially </w:t>
            </w:r>
            <w:r w:rsidR="00017739">
              <w:t>incomplete</w:t>
            </w:r>
            <w:r>
              <w:t>,</w:t>
            </w:r>
            <w:r w:rsidR="00017739">
              <w:t xml:space="preserve"> assessment. The assessment of Australia Post’s rate of return for competitive neutrality purposes should </w:t>
            </w:r>
            <w:r w:rsidR="00C10A62">
              <w:t>be based on those assets</w:t>
            </w:r>
            <w:r w:rsidR="00455B5B">
              <w:t>:</w:t>
            </w:r>
          </w:p>
          <w:p w14:paraId="6AB096EF" w14:textId="57D03AE6" w:rsidR="00017739" w:rsidRDefault="00C10A62" w:rsidP="00455B5B">
            <w:pPr>
              <w:pStyle w:val="ListBullet"/>
            </w:pPr>
            <w:r>
              <w:t>that are</w:t>
            </w:r>
            <w:r w:rsidR="00017739">
              <w:t xml:space="preserve"> incremental </w:t>
            </w:r>
            <w:r>
              <w:t>to those</w:t>
            </w:r>
            <w:r w:rsidR="00017739">
              <w:t xml:space="preserve"> held</w:t>
            </w:r>
            <w:r>
              <w:t xml:space="preserve"> by Australia Post to the </w:t>
            </w:r>
            <w:r w:rsidR="00017739">
              <w:t>CSO business</w:t>
            </w:r>
          </w:p>
          <w:p w14:paraId="0E24298F" w14:textId="013DBC36" w:rsidR="00017739" w:rsidRDefault="000B6079" w:rsidP="00F568AC">
            <w:pPr>
              <w:pStyle w:val="ListBullet"/>
              <w:spacing w:before="0" w:after="0"/>
            </w:pPr>
            <w:r>
              <w:t xml:space="preserve">are employed in these commercial operations, meaning </w:t>
            </w:r>
            <w:r w:rsidR="00017739">
              <w:t xml:space="preserve">assets held for the </w:t>
            </w:r>
            <w:r>
              <w:t>defined benefit superannuation fund should be excluded</w:t>
            </w:r>
            <w:r w:rsidR="00017739">
              <w:t>.</w:t>
            </w:r>
          </w:p>
        </w:tc>
      </w:tr>
      <w:tr w:rsidR="00017739" w14:paraId="52B337D2" w14:textId="77777777">
        <w:tc>
          <w:tcPr>
            <w:tcW w:w="5000" w:type="pct"/>
            <w:gridSpan w:val="2"/>
            <w:tcBorders>
              <w:top w:val="single" w:sz="4" w:space="0" w:color="66BCDB" w:themeColor="text2"/>
              <w:left w:val="nil"/>
              <w:bottom w:val="nil"/>
              <w:right w:val="nil"/>
            </w:tcBorders>
            <w:tcMar>
              <w:bottom w:w="0" w:type="dxa"/>
            </w:tcMar>
          </w:tcPr>
          <w:p w14:paraId="6CAD62C6" w14:textId="5A416788" w:rsidR="00017739" w:rsidRDefault="00017739">
            <w:pPr>
              <w:pStyle w:val="NoSpacing"/>
              <w:spacing w:line="200" w:lineRule="atLeast"/>
            </w:pPr>
          </w:p>
        </w:tc>
      </w:tr>
    </w:tbl>
    <w:p w14:paraId="2011884A" w14:textId="77777777" w:rsidR="00C2122A" w:rsidRPr="00D723D4" w:rsidRDefault="00C2122A" w:rsidP="00D723D4">
      <w:pPr>
        <w:pStyle w:val="BodyText"/>
      </w:pPr>
      <w:r>
        <w:br w:type="page"/>
      </w:r>
    </w:p>
    <w:p w14:paraId="6FA3D880" w14:textId="1A7BF277" w:rsidR="00F57BB7" w:rsidRDefault="00F57BB7" w:rsidP="00F57BB7">
      <w:pPr>
        <w:pStyle w:val="FigureTableHeading"/>
      </w:pPr>
      <w:r>
        <w:lastRenderedPageBreak/>
        <w:t xml:space="preserve">Table </w:t>
      </w:r>
      <w:r w:rsidR="00203867">
        <w:t>3</w:t>
      </w:r>
      <w:r>
        <w:rPr>
          <w:noProof/>
        </w:rPr>
        <w:t xml:space="preserve"> – </w:t>
      </w:r>
      <w:r>
        <w:t>Revised consideration of Australia Post’s rate of return</w:t>
      </w:r>
    </w:p>
    <w:tbl>
      <w:tblPr>
        <w:tblpPr w:leftFromText="180" w:rightFromText="180" w:vertAnchor="text" w:horzAnchor="margin" w:tblpY="23"/>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011"/>
        <w:gridCol w:w="1005"/>
        <w:gridCol w:w="1005"/>
        <w:gridCol w:w="1729"/>
        <w:gridCol w:w="1729"/>
        <w:gridCol w:w="1729"/>
        <w:gridCol w:w="1430"/>
      </w:tblGrid>
      <w:tr w:rsidR="00D4650E" w:rsidRPr="008D422F" w14:paraId="0A44B7E8" w14:textId="77777777" w:rsidTr="00A442C2">
        <w:trPr>
          <w:trHeight w:val="882"/>
          <w:tblHeader/>
        </w:trPr>
        <w:tc>
          <w:tcPr>
            <w:tcW w:w="524" w:type="pct"/>
            <w:tcBorders>
              <w:bottom w:val="single" w:sz="4" w:space="0" w:color="B3B3B3"/>
            </w:tcBorders>
            <w:vAlign w:val="bottom"/>
          </w:tcPr>
          <w:p w14:paraId="3335168D" w14:textId="77777777" w:rsidR="00D4650E" w:rsidRPr="008D422F" w:rsidRDefault="00D4650E" w:rsidP="00D4650E">
            <w:pPr>
              <w:spacing w:before="45" w:after="45"/>
              <w:ind w:right="108"/>
              <w:rPr>
                <w:rFonts w:ascii="Arial (Body)" w:hAnsi="Arial (Body)"/>
                <w:b/>
                <w:color w:val="265A9A"/>
                <w:sz w:val="18"/>
              </w:rPr>
            </w:pPr>
          </w:p>
        </w:tc>
        <w:tc>
          <w:tcPr>
            <w:tcW w:w="521" w:type="pct"/>
            <w:tcBorders>
              <w:bottom w:val="single" w:sz="4" w:space="0" w:color="B3B3B3"/>
            </w:tcBorders>
            <w:vAlign w:val="bottom"/>
          </w:tcPr>
          <w:p w14:paraId="2CAFE26E" w14:textId="2567A8E3" w:rsidR="00D4650E" w:rsidRPr="2934A00B" w:rsidRDefault="00D4650E" w:rsidP="00A442C2">
            <w:pPr>
              <w:pStyle w:val="TableHeading"/>
              <w:ind w:right="108"/>
              <w:jc w:val="right"/>
              <w:rPr>
                <w:rFonts w:ascii="Arial (Body)" w:hAnsi="Arial (Body)"/>
              </w:rPr>
            </w:pPr>
            <w:r w:rsidRPr="008D422F">
              <w:rPr>
                <w:rFonts w:ascii="Arial (Body)" w:hAnsi="Arial (Body)"/>
                <w:color w:val="265A9A"/>
              </w:rPr>
              <w:t>Total assets ($m)</w:t>
            </w:r>
          </w:p>
        </w:tc>
        <w:tc>
          <w:tcPr>
            <w:tcW w:w="521" w:type="pct"/>
            <w:tcBorders>
              <w:bottom w:val="single" w:sz="4" w:space="0" w:color="B3B3B3"/>
            </w:tcBorders>
            <w:vAlign w:val="bottom"/>
          </w:tcPr>
          <w:p w14:paraId="16AEE821" w14:textId="5DA20BE9" w:rsidR="00D4650E" w:rsidRPr="008D422F" w:rsidRDefault="00D4650E" w:rsidP="00A442C2">
            <w:pPr>
              <w:pStyle w:val="TableHeading"/>
              <w:ind w:right="108"/>
              <w:jc w:val="right"/>
              <w:rPr>
                <w:rFonts w:ascii="Arial (Body)" w:hAnsi="Arial (Body)"/>
                <w:color w:val="265A9A"/>
                <w:vertAlign w:val="superscript"/>
              </w:rPr>
            </w:pPr>
            <w:r w:rsidRPr="2934A00B">
              <w:rPr>
                <w:rFonts w:ascii="Arial (Body)" w:hAnsi="Arial (Body)"/>
              </w:rPr>
              <w:t>Relevant assets ($</w:t>
            </w:r>
            <w:proofErr w:type="gramStart"/>
            <w:r w:rsidRPr="2934A00B">
              <w:rPr>
                <w:rFonts w:ascii="Arial (Body)" w:hAnsi="Arial (Body)"/>
              </w:rPr>
              <w:t>m)</w:t>
            </w:r>
            <w:r w:rsidRPr="2934A00B">
              <w:rPr>
                <w:rFonts w:ascii="Arial (Body)" w:hAnsi="Arial (Body)"/>
                <w:vertAlign w:val="superscript"/>
              </w:rPr>
              <w:t>a</w:t>
            </w:r>
            <w:proofErr w:type="gramEnd"/>
          </w:p>
        </w:tc>
        <w:tc>
          <w:tcPr>
            <w:tcW w:w="897" w:type="pct"/>
            <w:tcBorders>
              <w:bottom w:val="single" w:sz="4" w:space="0" w:color="B3B3B3"/>
            </w:tcBorders>
            <w:vAlign w:val="bottom"/>
          </w:tcPr>
          <w:p w14:paraId="24E6F12A" w14:textId="2A9613B9" w:rsidR="00D4650E" w:rsidRPr="2934A00B" w:rsidRDefault="00D4650E" w:rsidP="00A442C2">
            <w:pPr>
              <w:pStyle w:val="TableHeading"/>
              <w:ind w:right="108"/>
              <w:jc w:val="right"/>
              <w:rPr>
                <w:rFonts w:ascii="Arial (Body)" w:hAnsi="Arial (Body)"/>
              </w:rPr>
            </w:pPr>
            <w:r w:rsidRPr="4B15E159">
              <w:rPr>
                <w:rFonts w:ascii="Arial (Body)" w:hAnsi="Arial (Body)"/>
                <w:color w:val="265999"/>
              </w:rPr>
              <w:t xml:space="preserve">Pre-tax </w:t>
            </w:r>
            <w:r w:rsidRPr="4B15E159">
              <w:rPr>
                <w:rFonts w:ascii="Arial (Body)" w:hAnsi="Arial (Body)"/>
                <w:bCs/>
              </w:rPr>
              <w:t>prof</w:t>
            </w:r>
            <w:r>
              <w:rPr>
                <w:rFonts w:ascii="Arial (Body)" w:hAnsi="Arial (Body)"/>
                <w:bCs/>
              </w:rPr>
              <w:t>i</w:t>
            </w:r>
            <w:r w:rsidRPr="4B15E159">
              <w:rPr>
                <w:rFonts w:ascii="Arial (Body)" w:hAnsi="Arial (Body)"/>
                <w:bCs/>
              </w:rPr>
              <w:t>t</w:t>
            </w:r>
            <w:r w:rsidRPr="4B15E159">
              <w:rPr>
                <w:rFonts w:ascii="Arial (Body)" w:hAnsi="Arial (Body)"/>
                <w:color w:val="265999"/>
              </w:rPr>
              <w:t xml:space="preserve"> (loss) ($m)</w:t>
            </w:r>
          </w:p>
        </w:tc>
        <w:tc>
          <w:tcPr>
            <w:tcW w:w="897" w:type="pct"/>
            <w:tcBorders>
              <w:bottom w:val="single" w:sz="4" w:space="0" w:color="B3B3B3"/>
            </w:tcBorders>
            <w:vAlign w:val="bottom"/>
          </w:tcPr>
          <w:p w14:paraId="42915BC2" w14:textId="4782689D" w:rsidR="00D4650E" w:rsidRPr="2934A00B" w:rsidRDefault="00D4650E" w:rsidP="00A442C2">
            <w:pPr>
              <w:pStyle w:val="TableHeading"/>
              <w:ind w:right="108"/>
              <w:jc w:val="right"/>
              <w:rPr>
                <w:rFonts w:ascii="Arial (Body)" w:hAnsi="Arial (Body)"/>
              </w:rPr>
            </w:pPr>
            <w:r w:rsidRPr="008D422F">
              <w:rPr>
                <w:rFonts w:ascii="Arial (Body)" w:hAnsi="Arial (Body)"/>
                <w:color w:val="265A9A"/>
              </w:rPr>
              <w:t>CSO loss ($m)</w:t>
            </w:r>
          </w:p>
        </w:tc>
        <w:tc>
          <w:tcPr>
            <w:tcW w:w="897" w:type="pct"/>
            <w:tcBorders>
              <w:bottom w:val="single" w:sz="4" w:space="0" w:color="B3B3B3"/>
            </w:tcBorders>
            <w:vAlign w:val="bottom"/>
          </w:tcPr>
          <w:p w14:paraId="4F0C09B6" w14:textId="364D8C9F" w:rsidR="00D4650E" w:rsidRPr="008D422F" w:rsidRDefault="00D4650E" w:rsidP="00A442C2">
            <w:pPr>
              <w:pStyle w:val="TableHeading"/>
              <w:ind w:right="108"/>
              <w:jc w:val="right"/>
              <w:rPr>
                <w:rFonts w:ascii="Arial (Body)" w:hAnsi="Arial (Body)"/>
                <w:color w:val="265A9A"/>
                <w:vertAlign w:val="superscript"/>
              </w:rPr>
            </w:pPr>
            <w:r w:rsidRPr="2934A00B">
              <w:rPr>
                <w:rFonts w:ascii="Arial (Body)" w:hAnsi="Arial (Body)"/>
              </w:rPr>
              <w:t>Adjusted pre-tax profit (loss) ($</w:t>
            </w:r>
            <w:proofErr w:type="gramStart"/>
            <w:r w:rsidRPr="2934A00B">
              <w:rPr>
                <w:rFonts w:ascii="Arial (Body)" w:hAnsi="Arial (Body)"/>
              </w:rPr>
              <w:t>m)</w:t>
            </w:r>
            <w:r w:rsidRPr="2934A00B">
              <w:rPr>
                <w:rFonts w:ascii="Arial (Body)" w:hAnsi="Arial (Body)"/>
                <w:vertAlign w:val="superscript"/>
              </w:rPr>
              <w:t>b</w:t>
            </w:r>
            <w:proofErr w:type="gramEnd"/>
          </w:p>
        </w:tc>
        <w:tc>
          <w:tcPr>
            <w:tcW w:w="742" w:type="pct"/>
            <w:tcBorders>
              <w:bottom w:val="single" w:sz="4" w:space="0" w:color="B3B3B3"/>
            </w:tcBorders>
            <w:vAlign w:val="bottom"/>
          </w:tcPr>
          <w:p w14:paraId="1BDD6F26" w14:textId="77777777" w:rsidR="00D4650E" w:rsidRPr="008D422F" w:rsidRDefault="00D4650E" w:rsidP="00A442C2">
            <w:pPr>
              <w:pStyle w:val="TableHeading"/>
              <w:ind w:right="108"/>
              <w:jc w:val="right"/>
              <w:rPr>
                <w:rFonts w:ascii="Arial (Body)" w:hAnsi="Arial (Body)"/>
                <w:color w:val="265A9A"/>
              </w:rPr>
            </w:pPr>
            <w:r w:rsidRPr="008D422F">
              <w:rPr>
                <w:rFonts w:ascii="Arial (Body)" w:hAnsi="Arial (Body)"/>
                <w:color w:val="265A9A"/>
              </w:rPr>
              <w:t>Rate of return (%)</w:t>
            </w:r>
          </w:p>
        </w:tc>
      </w:tr>
      <w:tr w:rsidR="00D4650E" w:rsidRPr="008D422F" w14:paraId="51299C2C" w14:textId="77777777" w:rsidTr="00A442C2">
        <w:trPr>
          <w:trHeight w:val="367"/>
        </w:trPr>
        <w:tc>
          <w:tcPr>
            <w:tcW w:w="524" w:type="pct"/>
            <w:tcBorders>
              <w:top w:val="single" w:sz="4" w:space="0" w:color="B3B3B3"/>
              <w:bottom w:val="nil"/>
            </w:tcBorders>
            <w:shd w:val="clear" w:color="auto" w:fill="F2F2F2" w:themeFill="background1" w:themeFillShade="F2"/>
          </w:tcPr>
          <w:p w14:paraId="094FE31A"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2013-14</w:t>
            </w:r>
          </w:p>
        </w:tc>
        <w:tc>
          <w:tcPr>
            <w:tcW w:w="521" w:type="pct"/>
            <w:tcBorders>
              <w:top w:val="single" w:sz="4" w:space="0" w:color="B3B3B3"/>
              <w:bottom w:val="nil"/>
            </w:tcBorders>
            <w:shd w:val="clear" w:color="auto" w:fill="F2F2F2" w:themeFill="background1" w:themeFillShade="F2"/>
          </w:tcPr>
          <w:p w14:paraId="527AFE11" w14:textId="14C6D513"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4651.2</w:t>
            </w:r>
          </w:p>
        </w:tc>
        <w:tc>
          <w:tcPr>
            <w:tcW w:w="521" w:type="pct"/>
            <w:tcBorders>
              <w:top w:val="single" w:sz="4" w:space="0" w:color="B3B3B3"/>
              <w:bottom w:val="nil"/>
            </w:tcBorders>
            <w:shd w:val="clear" w:color="auto" w:fill="F2F2F2" w:themeFill="background1" w:themeFillShade="F2"/>
          </w:tcPr>
          <w:p w14:paraId="58C8092D" w14:textId="47A650EA"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3452.6</w:t>
            </w:r>
          </w:p>
        </w:tc>
        <w:tc>
          <w:tcPr>
            <w:tcW w:w="897" w:type="pct"/>
            <w:tcBorders>
              <w:top w:val="single" w:sz="4" w:space="0" w:color="B3B3B3"/>
              <w:bottom w:val="nil"/>
            </w:tcBorders>
            <w:shd w:val="clear" w:color="auto" w:fill="F2F2F2" w:themeFill="background1" w:themeFillShade="F2"/>
          </w:tcPr>
          <w:p w14:paraId="3DFBAF6A" w14:textId="5A7F7CBE"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103.0</w:t>
            </w:r>
          </w:p>
        </w:tc>
        <w:tc>
          <w:tcPr>
            <w:tcW w:w="897" w:type="pct"/>
            <w:tcBorders>
              <w:top w:val="single" w:sz="4" w:space="0" w:color="B3B3B3"/>
              <w:bottom w:val="nil"/>
            </w:tcBorders>
            <w:shd w:val="clear" w:color="auto" w:fill="F2F2F2" w:themeFill="background1" w:themeFillShade="F2"/>
          </w:tcPr>
          <w:p w14:paraId="46BA2A8B" w14:textId="70F4383B"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203.5</w:t>
            </w:r>
          </w:p>
        </w:tc>
        <w:tc>
          <w:tcPr>
            <w:tcW w:w="897" w:type="pct"/>
            <w:tcBorders>
              <w:top w:val="single" w:sz="4" w:space="0" w:color="B3B3B3"/>
              <w:bottom w:val="nil"/>
            </w:tcBorders>
            <w:shd w:val="clear" w:color="auto" w:fill="F2F2F2" w:themeFill="background1" w:themeFillShade="F2"/>
          </w:tcPr>
          <w:p w14:paraId="0D14EE0D" w14:textId="7E64FD2D" w:rsidR="00D4650E" w:rsidRPr="008D422F" w:rsidRDefault="00C2761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336.5</w:t>
            </w:r>
          </w:p>
        </w:tc>
        <w:tc>
          <w:tcPr>
            <w:tcW w:w="742" w:type="pct"/>
            <w:tcBorders>
              <w:top w:val="single" w:sz="4" w:space="0" w:color="B3B3B3"/>
              <w:bottom w:val="nil"/>
            </w:tcBorders>
            <w:shd w:val="clear" w:color="auto" w:fill="F2F2F2" w:themeFill="background1" w:themeFillShade="F2"/>
          </w:tcPr>
          <w:p w14:paraId="76FD0F02" w14:textId="0351AFDF" w:rsidR="00D4650E" w:rsidRPr="008D422F" w:rsidRDefault="00545FC5"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9.7</w:t>
            </w:r>
          </w:p>
        </w:tc>
      </w:tr>
      <w:tr w:rsidR="00D4650E" w:rsidRPr="008D422F" w14:paraId="1E309276" w14:textId="77777777" w:rsidTr="00A442C2">
        <w:trPr>
          <w:trHeight w:val="380"/>
        </w:trPr>
        <w:tc>
          <w:tcPr>
            <w:tcW w:w="524" w:type="pct"/>
            <w:tcBorders>
              <w:top w:val="nil"/>
              <w:bottom w:val="nil"/>
            </w:tcBorders>
          </w:tcPr>
          <w:p w14:paraId="44592517"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2014-15</w:t>
            </w:r>
          </w:p>
        </w:tc>
        <w:tc>
          <w:tcPr>
            <w:tcW w:w="521" w:type="pct"/>
            <w:tcBorders>
              <w:top w:val="nil"/>
              <w:bottom w:val="nil"/>
            </w:tcBorders>
          </w:tcPr>
          <w:p w14:paraId="2E4C95BA" w14:textId="2AE8EDC1"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5094.4</w:t>
            </w:r>
          </w:p>
        </w:tc>
        <w:tc>
          <w:tcPr>
            <w:tcW w:w="521" w:type="pct"/>
            <w:tcBorders>
              <w:top w:val="nil"/>
              <w:bottom w:val="nil"/>
            </w:tcBorders>
          </w:tcPr>
          <w:p w14:paraId="2AF0CCC8" w14:textId="013A2290"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3361.1</w:t>
            </w:r>
          </w:p>
        </w:tc>
        <w:tc>
          <w:tcPr>
            <w:tcW w:w="897" w:type="pct"/>
            <w:tcBorders>
              <w:top w:val="nil"/>
              <w:bottom w:val="nil"/>
            </w:tcBorders>
          </w:tcPr>
          <w:p w14:paraId="1E4E2A09" w14:textId="67E16B60"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(352.1)</w:t>
            </w:r>
          </w:p>
        </w:tc>
        <w:tc>
          <w:tcPr>
            <w:tcW w:w="897" w:type="pct"/>
            <w:tcBorders>
              <w:top w:val="nil"/>
              <w:bottom w:val="nil"/>
            </w:tcBorders>
          </w:tcPr>
          <w:p w14:paraId="48AEE59C" w14:textId="641E3088"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210.8</w:t>
            </w:r>
          </w:p>
        </w:tc>
        <w:tc>
          <w:tcPr>
            <w:tcW w:w="897" w:type="pct"/>
            <w:tcBorders>
              <w:top w:val="nil"/>
              <w:bottom w:val="nil"/>
            </w:tcBorders>
          </w:tcPr>
          <w:p w14:paraId="72ECDDEF" w14:textId="6FD4AFB0" w:rsidR="00D4650E" w:rsidRPr="008D422F"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w:t>
            </w:r>
            <w:r w:rsidR="00C27617">
              <w:rPr>
                <w:rFonts w:ascii="Arial (Body)" w:hAnsi="Arial (Body)"/>
                <w:color w:val="000000"/>
              </w:rPr>
              <w:t>115.3</w:t>
            </w:r>
            <w:r w:rsidRPr="008D422F">
              <w:rPr>
                <w:rFonts w:ascii="Arial (Body)" w:hAnsi="Arial (Body)"/>
                <w:color w:val="000000"/>
              </w:rPr>
              <w:t>)</w:t>
            </w:r>
          </w:p>
        </w:tc>
        <w:tc>
          <w:tcPr>
            <w:tcW w:w="742" w:type="pct"/>
            <w:tcBorders>
              <w:top w:val="nil"/>
              <w:bottom w:val="nil"/>
            </w:tcBorders>
          </w:tcPr>
          <w:p w14:paraId="040B0C65" w14:textId="31865AB9" w:rsidR="00D4650E" w:rsidRPr="008D422F"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w:t>
            </w:r>
            <w:r w:rsidR="00545FC5">
              <w:rPr>
                <w:rFonts w:ascii="Arial (Body)" w:eastAsia="Arial" w:hAnsi="Arial (Body)" w:cs="Arial"/>
                <w:color w:val="000000"/>
                <w:szCs w:val="18"/>
              </w:rPr>
              <w:t>3.4</w:t>
            </w:r>
            <w:r w:rsidRPr="008D422F">
              <w:rPr>
                <w:rFonts w:ascii="Arial (Body)" w:eastAsia="Arial" w:hAnsi="Arial (Body)" w:cs="Arial"/>
                <w:color w:val="000000"/>
                <w:szCs w:val="18"/>
              </w:rPr>
              <w:t>)</w:t>
            </w:r>
          </w:p>
        </w:tc>
      </w:tr>
      <w:tr w:rsidR="00D4650E" w:rsidRPr="008D422F" w14:paraId="35B17000" w14:textId="77777777" w:rsidTr="00A442C2">
        <w:trPr>
          <w:trHeight w:val="380"/>
        </w:trPr>
        <w:tc>
          <w:tcPr>
            <w:tcW w:w="524" w:type="pct"/>
            <w:tcBorders>
              <w:bottom w:val="nil"/>
            </w:tcBorders>
            <w:shd w:val="clear" w:color="auto" w:fill="F2F2F2" w:themeFill="background1" w:themeFillShade="F2"/>
          </w:tcPr>
          <w:p w14:paraId="486F7808"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2015-16</w:t>
            </w:r>
          </w:p>
        </w:tc>
        <w:tc>
          <w:tcPr>
            <w:tcW w:w="521" w:type="pct"/>
            <w:tcBorders>
              <w:bottom w:val="nil"/>
            </w:tcBorders>
            <w:shd w:val="clear" w:color="auto" w:fill="F2F2F2" w:themeFill="background1" w:themeFillShade="F2"/>
          </w:tcPr>
          <w:p w14:paraId="444C467C" w14:textId="44F5D343"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5043.2</w:t>
            </w:r>
          </w:p>
        </w:tc>
        <w:tc>
          <w:tcPr>
            <w:tcW w:w="521" w:type="pct"/>
            <w:tcBorders>
              <w:bottom w:val="nil"/>
            </w:tcBorders>
            <w:shd w:val="clear" w:color="auto" w:fill="F2F2F2" w:themeFill="background1" w:themeFillShade="F2"/>
          </w:tcPr>
          <w:p w14:paraId="775CA976" w14:textId="5C4B0002"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3479.7</w:t>
            </w:r>
          </w:p>
        </w:tc>
        <w:tc>
          <w:tcPr>
            <w:tcW w:w="897" w:type="pct"/>
            <w:tcBorders>
              <w:bottom w:val="nil"/>
            </w:tcBorders>
            <w:shd w:val="clear" w:color="auto" w:fill="F2F2F2" w:themeFill="background1" w:themeFillShade="F2"/>
          </w:tcPr>
          <w:p w14:paraId="257F22AE" w14:textId="4DE1205C"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41.0</w:t>
            </w:r>
          </w:p>
        </w:tc>
        <w:tc>
          <w:tcPr>
            <w:tcW w:w="897" w:type="pct"/>
            <w:tcBorders>
              <w:bottom w:val="nil"/>
            </w:tcBorders>
            <w:shd w:val="clear" w:color="auto" w:fill="F2F2F2" w:themeFill="background1" w:themeFillShade="F2"/>
          </w:tcPr>
          <w:p w14:paraId="2D79F95D" w14:textId="7538D068"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182.5</w:t>
            </w:r>
          </w:p>
        </w:tc>
        <w:tc>
          <w:tcPr>
            <w:tcW w:w="897" w:type="pct"/>
            <w:tcBorders>
              <w:bottom w:val="nil"/>
            </w:tcBorders>
            <w:shd w:val="clear" w:color="auto" w:fill="F2F2F2" w:themeFill="background1" w:themeFillShade="F2"/>
          </w:tcPr>
          <w:p w14:paraId="38DE1CE9" w14:textId="0A532E59" w:rsidR="00D4650E" w:rsidRPr="008D422F" w:rsidRDefault="00C2761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251.9</w:t>
            </w:r>
          </w:p>
        </w:tc>
        <w:tc>
          <w:tcPr>
            <w:tcW w:w="742" w:type="pct"/>
            <w:tcBorders>
              <w:bottom w:val="nil"/>
            </w:tcBorders>
            <w:shd w:val="clear" w:color="auto" w:fill="F2F2F2" w:themeFill="background1" w:themeFillShade="F2"/>
          </w:tcPr>
          <w:p w14:paraId="3C07F907" w14:textId="3425B638"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7.2</w:t>
            </w:r>
          </w:p>
        </w:tc>
      </w:tr>
      <w:tr w:rsidR="00D4650E" w:rsidRPr="008D422F" w14:paraId="3FA76C53" w14:textId="77777777" w:rsidTr="00A442C2">
        <w:trPr>
          <w:trHeight w:val="380"/>
        </w:trPr>
        <w:tc>
          <w:tcPr>
            <w:tcW w:w="524" w:type="pct"/>
            <w:tcBorders>
              <w:top w:val="nil"/>
              <w:bottom w:val="nil"/>
            </w:tcBorders>
          </w:tcPr>
          <w:p w14:paraId="73227322"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2016-17</w:t>
            </w:r>
          </w:p>
        </w:tc>
        <w:tc>
          <w:tcPr>
            <w:tcW w:w="521" w:type="pct"/>
            <w:tcBorders>
              <w:top w:val="nil"/>
              <w:bottom w:val="nil"/>
            </w:tcBorders>
          </w:tcPr>
          <w:p w14:paraId="404A8545" w14:textId="25B69C7D"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5537.3</w:t>
            </w:r>
          </w:p>
        </w:tc>
        <w:tc>
          <w:tcPr>
            <w:tcW w:w="521" w:type="pct"/>
            <w:tcBorders>
              <w:top w:val="nil"/>
              <w:bottom w:val="nil"/>
            </w:tcBorders>
          </w:tcPr>
          <w:p w14:paraId="0BA7D5F7" w14:textId="3C4BBAD0"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3627.7</w:t>
            </w:r>
          </w:p>
        </w:tc>
        <w:tc>
          <w:tcPr>
            <w:tcW w:w="897" w:type="pct"/>
            <w:tcBorders>
              <w:top w:val="nil"/>
              <w:bottom w:val="nil"/>
            </w:tcBorders>
          </w:tcPr>
          <w:p w14:paraId="420F97C6" w14:textId="50A34522"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126.1</w:t>
            </w:r>
          </w:p>
        </w:tc>
        <w:tc>
          <w:tcPr>
            <w:tcW w:w="897" w:type="pct"/>
            <w:tcBorders>
              <w:top w:val="nil"/>
              <w:bottom w:val="nil"/>
            </w:tcBorders>
          </w:tcPr>
          <w:p w14:paraId="4E06AD76" w14:textId="1FA0216A"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389.9</w:t>
            </w:r>
          </w:p>
        </w:tc>
        <w:tc>
          <w:tcPr>
            <w:tcW w:w="897" w:type="pct"/>
            <w:tcBorders>
              <w:top w:val="nil"/>
              <w:bottom w:val="nil"/>
            </w:tcBorders>
          </w:tcPr>
          <w:p w14:paraId="40C82CE3" w14:textId="25CC4A6D" w:rsidR="00D4650E" w:rsidRPr="008D422F" w:rsidRDefault="00DA2C5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557.3</w:t>
            </w:r>
          </w:p>
        </w:tc>
        <w:tc>
          <w:tcPr>
            <w:tcW w:w="742" w:type="pct"/>
            <w:tcBorders>
              <w:top w:val="nil"/>
              <w:bottom w:val="nil"/>
            </w:tcBorders>
          </w:tcPr>
          <w:p w14:paraId="5A6ED73B" w14:textId="7E3898AF"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15.4</w:t>
            </w:r>
          </w:p>
        </w:tc>
      </w:tr>
      <w:tr w:rsidR="00D4650E" w:rsidRPr="008D422F" w14:paraId="254DD679" w14:textId="77777777" w:rsidTr="00A442C2">
        <w:trPr>
          <w:trHeight w:val="380"/>
        </w:trPr>
        <w:tc>
          <w:tcPr>
            <w:tcW w:w="524" w:type="pct"/>
            <w:tcBorders>
              <w:bottom w:val="nil"/>
            </w:tcBorders>
            <w:shd w:val="clear" w:color="auto" w:fill="F2F2F2" w:themeFill="background1" w:themeFillShade="F2"/>
          </w:tcPr>
          <w:p w14:paraId="14F37FED"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2017-18</w:t>
            </w:r>
          </w:p>
        </w:tc>
        <w:tc>
          <w:tcPr>
            <w:tcW w:w="521" w:type="pct"/>
            <w:tcBorders>
              <w:bottom w:val="nil"/>
            </w:tcBorders>
            <w:shd w:val="clear" w:color="auto" w:fill="F2F2F2" w:themeFill="background1" w:themeFillShade="F2"/>
          </w:tcPr>
          <w:p w14:paraId="2478C37E" w14:textId="699E3782"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5589.1</w:t>
            </w:r>
          </w:p>
        </w:tc>
        <w:tc>
          <w:tcPr>
            <w:tcW w:w="521" w:type="pct"/>
            <w:tcBorders>
              <w:bottom w:val="nil"/>
            </w:tcBorders>
            <w:shd w:val="clear" w:color="auto" w:fill="F2F2F2" w:themeFill="background1" w:themeFillShade="F2"/>
          </w:tcPr>
          <w:p w14:paraId="5C7F5D6B" w14:textId="5DABD78A"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3502.8</w:t>
            </w:r>
          </w:p>
        </w:tc>
        <w:tc>
          <w:tcPr>
            <w:tcW w:w="897" w:type="pct"/>
            <w:tcBorders>
              <w:bottom w:val="nil"/>
            </w:tcBorders>
            <w:shd w:val="clear" w:color="auto" w:fill="F2F2F2" w:themeFill="background1" w:themeFillShade="F2"/>
          </w:tcPr>
          <w:p w14:paraId="048B9477" w14:textId="22A00FC8"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125.7</w:t>
            </w:r>
          </w:p>
        </w:tc>
        <w:tc>
          <w:tcPr>
            <w:tcW w:w="897" w:type="pct"/>
            <w:tcBorders>
              <w:bottom w:val="nil"/>
            </w:tcBorders>
            <w:shd w:val="clear" w:color="auto" w:fill="F2F2F2" w:themeFill="background1" w:themeFillShade="F2"/>
          </w:tcPr>
          <w:p w14:paraId="00EB5CB1" w14:textId="5D2EAE42"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403.2</w:t>
            </w:r>
          </w:p>
        </w:tc>
        <w:tc>
          <w:tcPr>
            <w:tcW w:w="897" w:type="pct"/>
            <w:tcBorders>
              <w:bottom w:val="nil"/>
            </w:tcBorders>
            <w:shd w:val="clear" w:color="auto" w:fill="F2F2F2" w:themeFill="background1" w:themeFillShade="F2"/>
          </w:tcPr>
          <w:p w14:paraId="1D2FC62A" w14:textId="5C468076" w:rsidR="00D4650E" w:rsidRPr="008D422F" w:rsidRDefault="00DA2C5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541.5</w:t>
            </w:r>
          </w:p>
        </w:tc>
        <w:tc>
          <w:tcPr>
            <w:tcW w:w="742" w:type="pct"/>
            <w:tcBorders>
              <w:bottom w:val="nil"/>
            </w:tcBorders>
            <w:shd w:val="clear" w:color="auto" w:fill="F2F2F2" w:themeFill="background1" w:themeFillShade="F2"/>
          </w:tcPr>
          <w:p w14:paraId="4CD1E923" w14:textId="17BB17B2"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15.5</w:t>
            </w:r>
          </w:p>
        </w:tc>
      </w:tr>
      <w:tr w:rsidR="00D4650E" w:rsidRPr="008D422F" w14:paraId="2882C0FB" w14:textId="77777777" w:rsidTr="00A442C2">
        <w:trPr>
          <w:trHeight w:val="380"/>
        </w:trPr>
        <w:tc>
          <w:tcPr>
            <w:tcW w:w="524" w:type="pct"/>
            <w:tcBorders>
              <w:top w:val="nil"/>
              <w:bottom w:val="nil"/>
            </w:tcBorders>
          </w:tcPr>
          <w:p w14:paraId="3629A38B"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2018-19</w:t>
            </w:r>
          </w:p>
        </w:tc>
        <w:tc>
          <w:tcPr>
            <w:tcW w:w="521" w:type="pct"/>
            <w:tcBorders>
              <w:top w:val="nil"/>
              <w:bottom w:val="nil"/>
            </w:tcBorders>
          </w:tcPr>
          <w:p w14:paraId="60B0A946" w14:textId="75C456BB"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5535.6</w:t>
            </w:r>
          </w:p>
        </w:tc>
        <w:tc>
          <w:tcPr>
            <w:tcW w:w="521" w:type="pct"/>
            <w:tcBorders>
              <w:top w:val="nil"/>
              <w:bottom w:val="nil"/>
            </w:tcBorders>
          </w:tcPr>
          <w:p w14:paraId="7673DF30" w14:textId="6275EA76"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3514.0</w:t>
            </w:r>
          </w:p>
        </w:tc>
        <w:tc>
          <w:tcPr>
            <w:tcW w:w="897" w:type="pct"/>
            <w:tcBorders>
              <w:top w:val="nil"/>
              <w:bottom w:val="nil"/>
            </w:tcBorders>
          </w:tcPr>
          <w:p w14:paraId="6D02DD7E" w14:textId="718A2ABE" w:rsidR="00D4650E"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41.1</w:t>
            </w:r>
          </w:p>
        </w:tc>
        <w:tc>
          <w:tcPr>
            <w:tcW w:w="897" w:type="pct"/>
            <w:tcBorders>
              <w:top w:val="nil"/>
              <w:bottom w:val="nil"/>
            </w:tcBorders>
          </w:tcPr>
          <w:p w14:paraId="02F295FF" w14:textId="62DFF024" w:rsidR="00D4650E"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392.2</w:t>
            </w:r>
          </w:p>
        </w:tc>
        <w:tc>
          <w:tcPr>
            <w:tcW w:w="897" w:type="pct"/>
            <w:tcBorders>
              <w:top w:val="nil"/>
              <w:bottom w:val="nil"/>
            </w:tcBorders>
          </w:tcPr>
          <w:p w14:paraId="56463085" w14:textId="3C29BE1F" w:rsidR="00D4650E" w:rsidRPr="008D422F" w:rsidRDefault="00DA2C5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459.3</w:t>
            </w:r>
          </w:p>
        </w:tc>
        <w:tc>
          <w:tcPr>
            <w:tcW w:w="742" w:type="pct"/>
            <w:tcBorders>
              <w:top w:val="nil"/>
              <w:bottom w:val="nil"/>
            </w:tcBorders>
          </w:tcPr>
          <w:p w14:paraId="5DC0305D" w14:textId="286F77C4"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13.1</w:t>
            </w:r>
          </w:p>
        </w:tc>
      </w:tr>
      <w:tr w:rsidR="00D4650E" w:rsidRPr="008D422F" w14:paraId="524FD188" w14:textId="77777777" w:rsidTr="00A442C2">
        <w:trPr>
          <w:trHeight w:val="367"/>
        </w:trPr>
        <w:tc>
          <w:tcPr>
            <w:tcW w:w="524" w:type="pct"/>
            <w:tcBorders>
              <w:bottom w:val="nil"/>
            </w:tcBorders>
            <w:shd w:val="clear" w:color="auto" w:fill="F2F2F2" w:themeFill="background1" w:themeFillShade="F2"/>
          </w:tcPr>
          <w:p w14:paraId="3B3223C4"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2019-20</w:t>
            </w:r>
          </w:p>
        </w:tc>
        <w:tc>
          <w:tcPr>
            <w:tcW w:w="521" w:type="pct"/>
            <w:tcBorders>
              <w:bottom w:val="nil"/>
            </w:tcBorders>
            <w:shd w:val="clear" w:color="auto" w:fill="F2F2F2" w:themeFill="background1" w:themeFillShade="F2"/>
          </w:tcPr>
          <w:p w14:paraId="51BE7DE3" w14:textId="08404257"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6785.3</w:t>
            </w:r>
          </w:p>
        </w:tc>
        <w:tc>
          <w:tcPr>
            <w:tcW w:w="521" w:type="pct"/>
            <w:tcBorders>
              <w:bottom w:val="nil"/>
            </w:tcBorders>
            <w:shd w:val="clear" w:color="auto" w:fill="F2F2F2" w:themeFill="background1" w:themeFillShade="F2"/>
          </w:tcPr>
          <w:p w14:paraId="0D92F417" w14:textId="36CC2BF1"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4618.8</w:t>
            </w:r>
          </w:p>
        </w:tc>
        <w:tc>
          <w:tcPr>
            <w:tcW w:w="897" w:type="pct"/>
            <w:tcBorders>
              <w:bottom w:val="nil"/>
            </w:tcBorders>
            <w:shd w:val="clear" w:color="auto" w:fill="F2F2F2" w:themeFill="background1" w:themeFillShade="F2"/>
          </w:tcPr>
          <w:p w14:paraId="78058D25" w14:textId="5C96B8FA"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53.6</w:t>
            </w:r>
          </w:p>
        </w:tc>
        <w:tc>
          <w:tcPr>
            <w:tcW w:w="897" w:type="pct"/>
            <w:tcBorders>
              <w:bottom w:val="nil"/>
            </w:tcBorders>
            <w:shd w:val="clear" w:color="auto" w:fill="F2F2F2" w:themeFill="background1" w:themeFillShade="F2"/>
          </w:tcPr>
          <w:p w14:paraId="488B15EA" w14:textId="440C90EF"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393.3</w:t>
            </w:r>
          </w:p>
        </w:tc>
        <w:tc>
          <w:tcPr>
            <w:tcW w:w="897" w:type="pct"/>
            <w:tcBorders>
              <w:bottom w:val="nil"/>
            </w:tcBorders>
            <w:shd w:val="clear" w:color="auto" w:fill="F2F2F2" w:themeFill="background1" w:themeFillShade="F2"/>
          </w:tcPr>
          <w:p w14:paraId="59AAE0AF" w14:textId="57525F23" w:rsidR="00D4650E" w:rsidRPr="008D422F" w:rsidRDefault="00DA2C5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492.5</w:t>
            </w:r>
          </w:p>
        </w:tc>
        <w:tc>
          <w:tcPr>
            <w:tcW w:w="742" w:type="pct"/>
            <w:tcBorders>
              <w:bottom w:val="nil"/>
            </w:tcBorders>
            <w:shd w:val="clear" w:color="auto" w:fill="F2F2F2" w:themeFill="background1" w:themeFillShade="F2"/>
          </w:tcPr>
          <w:p w14:paraId="0B7A7A9C" w14:textId="61B56104"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10.7</w:t>
            </w:r>
          </w:p>
        </w:tc>
      </w:tr>
      <w:tr w:rsidR="00D4650E" w:rsidRPr="008D422F" w14:paraId="20021CCE" w14:textId="77777777" w:rsidTr="00A442C2">
        <w:trPr>
          <w:trHeight w:val="380"/>
        </w:trPr>
        <w:tc>
          <w:tcPr>
            <w:tcW w:w="524" w:type="pct"/>
            <w:tcBorders>
              <w:top w:val="nil"/>
              <w:bottom w:val="nil"/>
            </w:tcBorders>
          </w:tcPr>
          <w:p w14:paraId="5B26270C"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2020-21</w:t>
            </w:r>
          </w:p>
        </w:tc>
        <w:tc>
          <w:tcPr>
            <w:tcW w:w="521" w:type="pct"/>
            <w:tcBorders>
              <w:top w:val="nil"/>
              <w:bottom w:val="nil"/>
            </w:tcBorders>
          </w:tcPr>
          <w:p w14:paraId="727C38AD" w14:textId="243DC791"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7064.9</w:t>
            </w:r>
          </w:p>
        </w:tc>
        <w:tc>
          <w:tcPr>
            <w:tcW w:w="521" w:type="pct"/>
            <w:tcBorders>
              <w:top w:val="nil"/>
              <w:bottom w:val="nil"/>
            </w:tcBorders>
          </w:tcPr>
          <w:p w14:paraId="61B4CCA0" w14:textId="2661CBF7" w:rsidR="00D4650E" w:rsidRPr="008D422F" w:rsidRDefault="007054DD"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w:t>
            </w:r>
            <w:r w:rsidR="00D4650E">
              <w:rPr>
                <w:rFonts w:ascii="Arial (Body)" w:eastAsia="Arial" w:hAnsi="Arial (Body)" w:cs="Arial"/>
                <w:color w:val="000000"/>
                <w:szCs w:val="18"/>
              </w:rPr>
              <w:t>600.3</w:t>
            </w:r>
          </w:p>
        </w:tc>
        <w:tc>
          <w:tcPr>
            <w:tcW w:w="897" w:type="pct"/>
            <w:tcBorders>
              <w:top w:val="nil"/>
              <w:bottom w:val="nil"/>
            </w:tcBorders>
          </w:tcPr>
          <w:p w14:paraId="6FC267B0" w14:textId="1D4335B3"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100.7</w:t>
            </w:r>
          </w:p>
        </w:tc>
        <w:tc>
          <w:tcPr>
            <w:tcW w:w="897" w:type="pct"/>
            <w:tcBorders>
              <w:top w:val="nil"/>
              <w:bottom w:val="nil"/>
            </w:tcBorders>
          </w:tcPr>
          <w:p w14:paraId="5558BE10" w14:textId="31210455"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348.3</w:t>
            </w:r>
          </w:p>
        </w:tc>
        <w:tc>
          <w:tcPr>
            <w:tcW w:w="897" w:type="pct"/>
            <w:tcBorders>
              <w:top w:val="nil"/>
              <w:bottom w:val="nil"/>
            </w:tcBorders>
          </w:tcPr>
          <w:p w14:paraId="701B0B16" w14:textId="0657AF3F" w:rsidR="00D4650E" w:rsidRPr="008D422F" w:rsidRDefault="00DA2C5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487.9</w:t>
            </w:r>
          </w:p>
        </w:tc>
        <w:tc>
          <w:tcPr>
            <w:tcW w:w="742" w:type="pct"/>
            <w:tcBorders>
              <w:top w:val="nil"/>
              <w:bottom w:val="nil"/>
            </w:tcBorders>
          </w:tcPr>
          <w:p w14:paraId="58853996" w14:textId="6CEAC0BA"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10.6</w:t>
            </w:r>
          </w:p>
        </w:tc>
      </w:tr>
      <w:tr w:rsidR="00D4650E" w:rsidRPr="008D422F" w14:paraId="268EB023" w14:textId="77777777" w:rsidTr="00A442C2">
        <w:trPr>
          <w:trHeight w:val="380"/>
        </w:trPr>
        <w:tc>
          <w:tcPr>
            <w:tcW w:w="524" w:type="pct"/>
            <w:tcBorders>
              <w:bottom w:val="nil"/>
            </w:tcBorders>
            <w:shd w:val="clear" w:color="auto" w:fill="F2F2F2" w:themeFill="background1" w:themeFillShade="F2"/>
          </w:tcPr>
          <w:p w14:paraId="0C17DF49"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2021-22</w:t>
            </w:r>
          </w:p>
        </w:tc>
        <w:tc>
          <w:tcPr>
            <w:tcW w:w="521" w:type="pct"/>
            <w:tcBorders>
              <w:bottom w:val="nil"/>
            </w:tcBorders>
            <w:shd w:val="clear" w:color="auto" w:fill="F2F2F2" w:themeFill="background1" w:themeFillShade="F2"/>
          </w:tcPr>
          <w:p w14:paraId="5A2C9B50" w14:textId="711DD5D9"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6293.4</w:t>
            </w:r>
          </w:p>
        </w:tc>
        <w:tc>
          <w:tcPr>
            <w:tcW w:w="521" w:type="pct"/>
            <w:tcBorders>
              <w:bottom w:val="nil"/>
            </w:tcBorders>
            <w:shd w:val="clear" w:color="auto" w:fill="F2F2F2" w:themeFill="background1" w:themeFillShade="F2"/>
          </w:tcPr>
          <w:p w14:paraId="0ADD9BD6" w14:textId="33F85DA0"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4007.2</w:t>
            </w:r>
          </w:p>
        </w:tc>
        <w:tc>
          <w:tcPr>
            <w:tcW w:w="897" w:type="pct"/>
            <w:tcBorders>
              <w:bottom w:val="nil"/>
            </w:tcBorders>
            <w:shd w:val="clear" w:color="auto" w:fill="F2F2F2" w:themeFill="background1" w:themeFillShade="F2"/>
          </w:tcPr>
          <w:p w14:paraId="0EC16618" w14:textId="366FD691"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55.3</w:t>
            </w:r>
          </w:p>
        </w:tc>
        <w:tc>
          <w:tcPr>
            <w:tcW w:w="897" w:type="pct"/>
            <w:tcBorders>
              <w:bottom w:val="nil"/>
            </w:tcBorders>
            <w:shd w:val="clear" w:color="auto" w:fill="F2F2F2" w:themeFill="background1" w:themeFillShade="F2"/>
          </w:tcPr>
          <w:p w14:paraId="7975A370" w14:textId="5AAFECBF"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348.5</w:t>
            </w:r>
          </w:p>
        </w:tc>
        <w:tc>
          <w:tcPr>
            <w:tcW w:w="897" w:type="pct"/>
            <w:tcBorders>
              <w:bottom w:val="nil"/>
            </w:tcBorders>
            <w:shd w:val="clear" w:color="auto" w:fill="F2F2F2" w:themeFill="background1" w:themeFillShade="F2"/>
          </w:tcPr>
          <w:p w14:paraId="72B00993" w14:textId="04F08C4C" w:rsidR="00D4650E" w:rsidRPr="008D422F" w:rsidRDefault="00DA2C57"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437</w:t>
            </w:r>
            <w:r w:rsidR="007B6776">
              <w:rPr>
                <w:rFonts w:ascii="Arial (Body)" w:hAnsi="Arial (Body)"/>
                <w:color w:val="000000"/>
              </w:rPr>
              <w:t>.0</w:t>
            </w:r>
          </w:p>
        </w:tc>
        <w:tc>
          <w:tcPr>
            <w:tcW w:w="742" w:type="pct"/>
            <w:tcBorders>
              <w:bottom w:val="nil"/>
            </w:tcBorders>
            <w:shd w:val="clear" w:color="auto" w:fill="F2F2F2" w:themeFill="background1" w:themeFillShade="F2"/>
          </w:tcPr>
          <w:p w14:paraId="666C4C61" w14:textId="6FF081A1" w:rsidR="00D4650E" w:rsidRPr="008D422F" w:rsidRDefault="000A632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10.9</w:t>
            </w:r>
          </w:p>
        </w:tc>
      </w:tr>
      <w:tr w:rsidR="00D4650E" w:rsidRPr="008D422F" w14:paraId="69B950A8" w14:textId="77777777" w:rsidTr="00A442C2">
        <w:trPr>
          <w:trHeight w:val="380"/>
        </w:trPr>
        <w:tc>
          <w:tcPr>
            <w:tcW w:w="524" w:type="pct"/>
            <w:tcBorders>
              <w:top w:val="nil"/>
              <w:bottom w:val="nil"/>
            </w:tcBorders>
          </w:tcPr>
          <w:p w14:paraId="4B07EBC8"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2022-23</w:t>
            </w:r>
          </w:p>
        </w:tc>
        <w:tc>
          <w:tcPr>
            <w:tcW w:w="521" w:type="pct"/>
            <w:tcBorders>
              <w:top w:val="nil"/>
              <w:bottom w:val="nil"/>
            </w:tcBorders>
          </w:tcPr>
          <w:p w14:paraId="6278331A" w14:textId="20A1CD4F" w:rsidR="00D4650E" w:rsidRDefault="00D4650E" w:rsidP="006E63F2">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6353.5</w:t>
            </w:r>
          </w:p>
        </w:tc>
        <w:tc>
          <w:tcPr>
            <w:tcW w:w="521" w:type="pct"/>
            <w:tcBorders>
              <w:top w:val="nil"/>
              <w:bottom w:val="nil"/>
            </w:tcBorders>
          </w:tcPr>
          <w:p w14:paraId="09ED32EC" w14:textId="1EB3600A"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4164.8</w:t>
            </w:r>
          </w:p>
        </w:tc>
        <w:tc>
          <w:tcPr>
            <w:tcW w:w="897" w:type="pct"/>
            <w:tcBorders>
              <w:top w:val="nil"/>
              <w:bottom w:val="nil"/>
            </w:tcBorders>
          </w:tcPr>
          <w:p w14:paraId="0D0E6A1A" w14:textId="7B87378A"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(200.3)</w:t>
            </w:r>
          </w:p>
        </w:tc>
        <w:tc>
          <w:tcPr>
            <w:tcW w:w="897" w:type="pct"/>
            <w:tcBorders>
              <w:top w:val="nil"/>
              <w:bottom w:val="nil"/>
            </w:tcBorders>
          </w:tcPr>
          <w:p w14:paraId="512FAAB9" w14:textId="2A1A3A3F" w:rsidR="00D4650E" w:rsidRPr="008D422F" w:rsidRDefault="00D4650E" w:rsidP="006E63F2">
            <w:pPr>
              <w:pStyle w:val="TableBody"/>
              <w:spacing w:before="45" w:after="45"/>
              <w:ind w:right="108"/>
              <w:jc w:val="right"/>
              <w:rPr>
                <w:rFonts w:ascii="Arial (Body)" w:hAnsi="Arial (Body)"/>
                <w:color w:val="000000"/>
              </w:rPr>
            </w:pPr>
            <w:r w:rsidRPr="008D422F">
              <w:rPr>
                <w:rFonts w:ascii="Arial (Body)" w:hAnsi="Arial (Body)"/>
                <w:color w:val="000000"/>
              </w:rPr>
              <w:t>442.2</w:t>
            </w:r>
          </w:p>
        </w:tc>
        <w:tc>
          <w:tcPr>
            <w:tcW w:w="897" w:type="pct"/>
            <w:tcBorders>
              <w:top w:val="nil"/>
              <w:bottom w:val="nil"/>
            </w:tcBorders>
          </w:tcPr>
          <w:p w14:paraId="6BC74459" w14:textId="78A9FFA3" w:rsidR="00D4650E" w:rsidRPr="008D422F" w:rsidRDefault="007B6776" w:rsidP="006E63F2">
            <w:pPr>
              <w:pStyle w:val="TableBody"/>
              <w:spacing w:before="45" w:after="45"/>
              <w:ind w:right="108"/>
              <w:jc w:val="right"/>
              <w:rPr>
                <w:rFonts w:ascii="Arial (Body)" w:eastAsia="Arial" w:hAnsi="Arial (Body)" w:cs="Arial"/>
                <w:color w:val="000000"/>
                <w:szCs w:val="18"/>
              </w:rPr>
            </w:pPr>
            <w:r>
              <w:rPr>
                <w:rFonts w:ascii="Arial (Body)" w:hAnsi="Arial (Body)"/>
                <w:color w:val="000000"/>
              </w:rPr>
              <w:t>279.4</w:t>
            </w:r>
          </w:p>
        </w:tc>
        <w:tc>
          <w:tcPr>
            <w:tcW w:w="742" w:type="pct"/>
            <w:tcBorders>
              <w:top w:val="nil"/>
              <w:bottom w:val="nil"/>
            </w:tcBorders>
          </w:tcPr>
          <w:p w14:paraId="56960883" w14:textId="02D10AF4" w:rsidR="00D4650E" w:rsidRPr="008D422F" w:rsidRDefault="007B6776"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6.7</w:t>
            </w:r>
          </w:p>
        </w:tc>
      </w:tr>
      <w:tr w:rsidR="00D4650E" w:rsidRPr="008D422F" w14:paraId="103A2AA5" w14:textId="77777777" w:rsidTr="00A442C2">
        <w:trPr>
          <w:trHeight w:val="380"/>
        </w:trPr>
        <w:tc>
          <w:tcPr>
            <w:tcW w:w="524" w:type="pct"/>
            <w:tcBorders>
              <w:bottom w:val="single" w:sz="4" w:space="0" w:color="B3B3B3"/>
            </w:tcBorders>
            <w:shd w:val="clear" w:color="auto" w:fill="F2F2F2" w:themeFill="background1" w:themeFillShade="F2"/>
          </w:tcPr>
          <w:p w14:paraId="0558233D" w14:textId="77777777" w:rsidR="00D4650E" w:rsidRPr="008D422F" w:rsidRDefault="00D4650E" w:rsidP="00D4650E">
            <w:pPr>
              <w:pStyle w:val="TableHeading"/>
              <w:rPr>
                <w:rFonts w:ascii="Arial (Body)" w:hAnsi="Arial (Body)"/>
                <w:color w:val="265A9A"/>
              </w:rPr>
            </w:pPr>
            <w:r w:rsidRPr="008D422F">
              <w:rPr>
                <w:rFonts w:ascii="Arial (Body)" w:hAnsi="Arial (Body)"/>
                <w:color w:val="265A9A"/>
              </w:rPr>
              <w:t>2023-24</w:t>
            </w:r>
          </w:p>
        </w:tc>
        <w:tc>
          <w:tcPr>
            <w:tcW w:w="521" w:type="pct"/>
            <w:tcBorders>
              <w:bottom w:val="single" w:sz="4" w:space="0" w:color="B3B3B3"/>
            </w:tcBorders>
            <w:shd w:val="clear" w:color="auto" w:fill="F2F2F2" w:themeFill="background1" w:themeFillShade="F2"/>
          </w:tcPr>
          <w:p w14:paraId="73D3671E" w14:textId="3C4E9254" w:rsidR="00D4650E" w:rsidRDefault="001B769B"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6121.8</w:t>
            </w:r>
          </w:p>
        </w:tc>
        <w:tc>
          <w:tcPr>
            <w:tcW w:w="521" w:type="pct"/>
            <w:tcBorders>
              <w:bottom w:val="single" w:sz="4" w:space="0" w:color="B3B3B3"/>
            </w:tcBorders>
            <w:shd w:val="clear" w:color="auto" w:fill="F2F2F2" w:themeFill="background1" w:themeFillShade="F2"/>
          </w:tcPr>
          <w:p w14:paraId="214C90D0" w14:textId="21D141BB" w:rsidR="00D4650E" w:rsidRPr="008D422F"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4133.4</w:t>
            </w:r>
          </w:p>
        </w:tc>
        <w:tc>
          <w:tcPr>
            <w:tcW w:w="897" w:type="pct"/>
            <w:tcBorders>
              <w:bottom w:val="single" w:sz="4" w:space="0" w:color="B3B3B3"/>
            </w:tcBorders>
            <w:shd w:val="clear" w:color="auto" w:fill="F2F2F2" w:themeFill="background1" w:themeFillShade="F2"/>
          </w:tcPr>
          <w:p w14:paraId="034EA826" w14:textId="690A1CF4" w:rsidR="00D4650E" w:rsidRDefault="005E75FB"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w:t>
            </w:r>
            <w:r w:rsidR="00D4650E">
              <w:rPr>
                <w:rFonts w:ascii="Arial (Body)" w:eastAsia="Arial" w:hAnsi="Arial (Body)" w:cs="Arial"/>
                <w:color w:val="000000"/>
                <w:szCs w:val="18"/>
              </w:rPr>
              <w:t>88.5</w:t>
            </w:r>
            <w:r>
              <w:rPr>
                <w:rFonts w:ascii="Arial (Body)" w:eastAsia="Arial" w:hAnsi="Arial (Body)" w:cs="Arial"/>
                <w:color w:val="000000"/>
                <w:szCs w:val="18"/>
              </w:rPr>
              <w:t>)</w:t>
            </w:r>
          </w:p>
        </w:tc>
        <w:tc>
          <w:tcPr>
            <w:tcW w:w="897" w:type="pct"/>
            <w:tcBorders>
              <w:bottom w:val="single" w:sz="4" w:space="0" w:color="B3B3B3"/>
            </w:tcBorders>
            <w:shd w:val="clear" w:color="auto" w:fill="F2F2F2" w:themeFill="background1" w:themeFillShade="F2"/>
          </w:tcPr>
          <w:p w14:paraId="25506E2F" w14:textId="31A2FF9B" w:rsidR="00D4650E" w:rsidRDefault="00D4650E"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447.0</w:t>
            </w:r>
          </w:p>
        </w:tc>
        <w:tc>
          <w:tcPr>
            <w:tcW w:w="897" w:type="pct"/>
            <w:tcBorders>
              <w:bottom w:val="single" w:sz="4" w:space="0" w:color="B3B3B3"/>
            </w:tcBorders>
            <w:shd w:val="clear" w:color="auto" w:fill="F2F2F2" w:themeFill="background1" w:themeFillShade="F2"/>
          </w:tcPr>
          <w:p w14:paraId="115C3124" w14:textId="289DE718" w:rsidR="00D4650E" w:rsidRPr="008D422F" w:rsidRDefault="007B6776"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399.1</w:t>
            </w:r>
          </w:p>
        </w:tc>
        <w:tc>
          <w:tcPr>
            <w:tcW w:w="742" w:type="pct"/>
            <w:tcBorders>
              <w:bottom w:val="single" w:sz="4" w:space="0" w:color="B3B3B3"/>
            </w:tcBorders>
            <w:shd w:val="clear" w:color="auto" w:fill="F2F2F2" w:themeFill="background1" w:themeFillShade="F2"/>
          </w:tcPr>
          <w:p w14:paraId="18D5E0B0" w14:textId="2CA7D803" w:rsidR="00D4650E" w:rsidRPr="008D422F" w:rsidRDefault="007B6776" w:rsidP="006E63F2">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9.7</w:t>
            </w:r>
          </w:p>
        </w:tc>
      </w:tr>
    </w:tbl>
    <w:p w14:paraId="5263791F" w14:textId="53DB9A15" w:rsidR="00783576" w:rsidRPr="00747347" w:rsidRDefault="00783576" w:rsidP="00783576">
      <w:pPr>
        <w:pStyle w:val="Note"/>
      </w:pPr>
      <w:r w:rsidRPr="00747347">
        <w:rPr>
          <w:b/>
        </w:rPr>
        <w:t>a.</w:t>
      </w:r>
      <w:r w:rsidRPr="00747347">
        <w:t xml:space="preserve"> Australia Post’s total assets less superannuation assets, apportioned by revenue share, </w:t>
      </w:r>
      <w:r w:rsidR="00747347">
        <w:t>PC</w:t>
      </w:r>
      <w:r w:rsidRPr="00747347">
        <w:t xml:space="preserve"> estimates. </w:t>
      </w:r>
      <w:r w:rsidRPr="00747347">
        <w:rPr>
          <w:b/>
        </w:rPr>
        <w:t>b.</w:t>
      </w:r>
      <w:r w:rsidR="00702A2A" w:rsidRPr="00747347">
        <w:t> </w:t>
      </w:r>
      <w:r w:rsidRPr="00747347">
        <w:t>Australia Post pre-tax profits, adjusted for CSO activities,</w:t>
      </w:r>
      <w:r w:rsidR="00401481">
        <w:t xml:space="preserve"> and </w:t>
      </w:r>
      <w:r w:rsidR="00375066">
        <w:t xml:space="preserve">net </w:t>
      </w:r>
      <w:r w:rsidR="00F435B2">
        <w:t xml:space="preserve">of </w:t>
      </w:r>
      <w:r w:rsidR="00401481">
        <w:t>interest</w:t>
      </w:r>
      <w:r w:rsidR="004617CC">
        <w:t>,</w:t>
      </w:r>
      <w:r w:rsidRPr="00747347">
        <w:t xml:space="preserve"> </w:t>
      </w:r>
      <w:r w:rsidR="007C64DE">
        <w:t>PC</w:t>
      </w:r>
      <w:r w:rsidRPr="00747347">
        <w:t xml:space="preserve"> estimates.</w:t>
      </w:r>
    </w:p>
    <w:p w14:paraId="4D2A7513" w14:textId="35AC1B5F" w:rsidR="00783576" w:rsidRPr="0089468F" w:rsidRDefault="00783576" w:rsidP="00747347">
      <w:pPr>
        <w:pStyle w:val="Source"/>
      </w:pPr>
      <w:r w:rsidRPr="0089468F">
        <w:t>Source: Australia Post (2024</w:t>
      </w:r>
      <w:r w:rsidR="00EE63CA">
        <w:t>,</w:t>
      </w:r>
      <w:r w:rsidRPr="0089468F">
        <w:t xml:space="preserve"> 2023</w:t>
      </w:r>
      <w:r w:rsidR="00EE63CA">
        <w:t>,</w:t>
      </w:r>
      <w:r w:rsidR="00FE66C2">
        <w:t xml:space="preserve"> </w:t>
      </w:r>
      <w:r w:rsidRPr="0089468F">
        <w:t>2021</w:t>
      </w:r>
      <w:r w:rsidR="00EE63CA">
        <w:t>,</w:t>
      </w:r>
      <w:r w:rsidRPr="0089468F">
        <w:t xml:space="preserve"> 2019</w:t>
      </w:r>
      <w:r w:rsidR="00EE63CA">
        <w:t>,</w:t>
      </w:r>
      <w:r w:rsidR="007C64DE">
        <w:t xml:space="preserve"> </w:t>
      </w:r>
      <w:r w:rsidRPr="0089468F">
        <w:t>2017</w:t>
      </w:r>
      <w:r w:rsidR="00EE63CA">
        <w:t>,</w:t>
      </w:r>
      <w:r w:rsidR="007C64DE">
        <w:t xml:space="preserve"> </w:t>
      </w:r>
      <w:r w:rsidRPr="0089468F">
        <w:t>2015</w:t>
      </w:r>
      <w:r w:rsidR="00076161" w:rsidRPr="0089468F">
        <w:t>).</w:t>
      </w:r>
    </w:p>
    <w:p w14:paraId="108CEA55" w14:textId="44B89A69" w:rsidR="005F3F48" w:rsidRDefault="00BC6A2E" w:rsidP="002A074B">
      <w:pPr>
        <w:pStyle w:val="BodyText"/>
      </w:pPr>
      <w:r>
        <w:t xml:space="preserve">Over the past 11 years Australia Post’s rate of return has averaged </w:t>
      </w:r>
      <w:r w:rsidR="00545FC5">
        <w:t>9.6</w:t>
      </w:r>
      <w:r>
        <w:t xml:space="preserve">% when calculated in the manner set out in </w:t>
      </w:r>
      <w:r w:rsidR="00C53CD2">
        <w:t>t</w:t>
      </w:r>
      <w:r>
        <w:t xml:space="preserve">able </w:t>
      </w:r>
      <w:r w:rsidR="00053EF3">
        <w:t>3</w:t>
      </w:r>
      <w:r>
        <w:t xml:space="preserve">. </w:t>
      </w:r>
      <w:r w:rsidR="00726F4F">
        <w:t>T</w:t>
      </w:r>
      <w:r w:rsidR="00BB0A6D">
        <w:t>he benchmark</w:t>
      </w:r>
      <w:r w:rsidR="00726F4F">
        <w:t xml:space="preserve"> rates of return</w:t>
      </w:r>
      <w:r w:rsidR="00BB0A6D">
        <w:t xml:space="preserve"> applied in the investigation report</w:t>
      </w:r>
      <w:r w:rsidR="005A538A">
        <w:t xml:space="preserve"> were</w:t>
      </w:r>
      <w:r w:rsidR="00BB0A6D">
        <w:t xml:space="preserve"> </w:t>
      </w:r>
      <w:r w:rsidR="005A538A">
        <w:t>the likel</w:t>
      </w:r>
      <w:r w:rsidR="004A75F4" w:rsidRPr="004A75F4">
        <w:t xml:space="preserve">y upper bound WACC estimates for Australia Post’s overall business operations of 8.84% to 9.73% or with a risk broad-banding estimate of </w:t>
      </w:r>
      <w:r w:rsidR="00E018F9">
        <w:t>around</w:t>
      </w:r>
      <w:r w:rsidR="004A75F4" w:rsidRPr="004A75F4">
        <w:t xml:space="preserve"> 11.0%</w:t>
      </w:r>
      <w:r w:rsidR="005A538A">
        <w:t>.</w:t>
      </w:r>
    </w:p>
    <w:p w14:paraId="1D5D9067" w14:textId="7EC8C30A" w:rsidR="002B08FA" w:rsidRDefault="002B08FA" w:rsidP="002A074B">
      <w:pPr>
        <w:pStyle w:val="BodyText"/>
      </w:pPr>
      <w:r>
        <w:t>The AGCNCO notes Australia Post’s advice that investments in reforming Australia Post’s business have reduced returns in recent years</w:t>
      </w:r>
      <w:r w:rsidR="00661662">
        <w:t>. The AGCNCO</w:t>
      </w:r>
      <w:r>
        <w:t xml:space="preserve"> expects Australia Post’s return to increase in the short</w:t>
      </w:r>
      <w:r w:rsidR="006A54BF">
        <w:noBreakHyphen/>
      </w:r>
      <w:r>
        <w:t>medium</w:t>
      </w:r>
      <w:r w:rsidR="00157401">
        <w:t xml:space="preserve"> </w:t>
      </w:r>
      <w:r>
        <w:t>term to continue to be compliant with competitive neutrality policy obligations.</w:t>
      </w:r>
    </w:p>
    <w:p w14:paraId="07989049" w14:textId="73C1D9B4" w:rsidR="002A074B" w:rsidRDefault="00C755F0" w:rsidP="002A074B">
      <w:pPr>
        <w:pStyle w:val="BodyText"/>
      </w:pPr>
      <w:r>
        <w:t>These result</w:t>
      </w:r>
      <w:r w:rsidR="002B08FA">
        <w:t>s</w:t>
      </w:r>
      <w:r>
        <w:t xml:space="preserve"> show that Australia Post is meeting its obligation under competitive neutrality policy to earn a commercial rate of return,</w:t>
      </w:r>
      <w:r w:rsidR="00893D2D">
        <w:t xml:space="preserve"> not</w:t>
      </w:r>
      <w:r>
        <w:t>ing</w:t>
      </w:r>
      <w:r w:rsidR="00893D2D">
        <w:t xml:space="preserve"> </w:t>
      </w:r>
      <w:r w:rsidR="005A538A">
        <w:t>that</w:t>
      </w:r>
      <w:r w:rsidR="00072EDB">
        <w:t>:</w:t>
      </w:r>
    </w:p>
    <w:p w14:paraId="4124CDA0" w14:textId="59087D01" w:rsidR="00594D88" w:rsidRDefault="00DA5F29" w:rsidP="005A538A">
      <w:pPr>
        <w:pStyle w:val="ListBullet"/>
      </w:pPr>
      <w:r>
        <w:t>t</w:t>
      </w:r>
      <w:r w:rsidR="00594D88">
        <w:t>h</w:t>
      </w:r>
      <w:r w:rsidR="001A114A">
        <w:t>e calculated average rate of return</w:t>
      </w:r>
      <w:r w:rsidR="00594D88">
        <w:t xml:space="preserve"> </w:t>
      </w:r>
      <w:r w:rsidR="001A114A">
        <w:t xml:space="preserve">is </w:t>
      </w:r>
      <w:r w:rsidR="00591443">
        <w:t xml:space="preserve">at or marginally above </w:t>
      </w:r>
      <w:r w:rsidR="001A114A">
        <w:t>the lower end of the benchmark band</w:t>
      </w:r>
    </w:p>
    <w:p w14:paraId="157876F1" w14:textId="0504DAEF" w:rsidR="005A538A" w:rsidRDefault="00DA5F29" w:rsidP="005A538A">
      <w:pPr>
        <w:pStyle w:val="ListBullet"/>
      </w:pPr>
      <w:r>
        <w:t>a</w:t>
      </w:r>
      <w:r w:rsidR="00CE3A64">
        <w:t xml:space="preserve"> degree of judgement is needed in assessing </w:t>
      </w:r>
      <w:r w:rsidR="001E321C">
        <w:t xml:space="preserve">financial performance (AGCNCO </w:t>
      </w:r>
      <w:r w:rsidR="00B354BD">
        <w:t>1998</w:t>
      </w:r>
      <w:r w:rsidR="00035234">
        <w:t>b</w:t>
      </w:r>
      <w:r w:rsidR="00B354BD">
        <w:t>, p. 23)</w:t>
      </w:r>
    </w:p>
    <w:p w14:paraId="14EFB41F" w14:textId="136376F1" w:rsidR="002548C6" w:rsidRDefault="000B7CB8" w:rsidP="005A538A">
      <w:pPr>
        <w:pStyle w:val="ListBullet"/>
      </w:pPr>
      <w:r>
        <w:t>assets</w:t>
      </w:r>
      <w:r w:rsidR="00DA5F29">
        <w:t xml:space="preserve"> have been attributed</w:t>
      </w:r>
      <w:r>
        <w:t xml:space="preserve"> based on revenue share</w:t>
      </w:r>
      <w:r w:rsidR="008F7455">
        <w:t>;</w:t>
      </w:r>
      <w:r w:rsidR="00DA5F29">
        <w:t xml:space="preserve"> </w:t>
      </w:r>
      <w:r>
        <w:t>an assessment using incremental</w:t>
      </w:r>
      <w:r w:rsidR="00531FED">
        <w:t xml:space="preserve"> </w:t>
      </w:r>
      <w:r>
        <w:t xml:space="preserve">assets </w:t>
      </w:r>
      <w:r w:rsidR="00531FED">
        <w:t xml:space="preserve">and avoidable costs </w:t>
      </w:r>
      <w:r>
        <w:t xml:space="preserve">would </w:t>
      </w:r>
      <w:r w:rsidR="00DA5F29">
        <w:t xml:space="preserve">likely </w:t>
      </w:r>
      <w:r>
        <w:t xml:space="preserve">give </w:t>
      </w:r>
      <w:r w:rsidR="00DA5F29">
        <w:t>a</w:t>
      </w:r>
      <w:r w:rsidR="00531FED">
        <w:t xml:space="preserve"> significantly</w:t>
      </w:r>
      <w:r>
        <w:t xml:space="preserve"> higher rate of return</w:t>
      </w:r>
      <w:r w:rsidR="00594D88">
        <w:t>.</w:t>
      </w:r>
    </w:p>
    <w:p w14:paraId="68C8C7CA" w14:textId="77777777" w:rsidR="002548C6" w:rsidRDefault="002548C6">
      <w:pPr>
        <w:spacing w:before="0" w:after="160" w:line="259" w:lineRule="auto"/>
      </w:pPr>
      <w: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544AC0" w14:paraId="5102BC48" w14:textId="77777777">
        <w:trPr>
          <w:trHeight w:val="765"/>
          <w:tblHeader/>
        </w:trPr>
        <w:tc>
          <w:tcPr>
            <w:tcW w:w="366" w:type="pct"/>
            <w:tcBorders>
              <w:bottom w:val="nil"/>
            </w:tcBorders>
            <w:tcMar>
              <w:bottom w:w="0" w:type="dxa"/>
            </w:tcMar>
            <w:vAlign w:val="center"/>
          </w:tcPr>
          <w:p w14:paraId="4F3A50FB" w14:textId="77777777" w:rsidR="00544AC0" w:rsidRDefault="00544AC0">
            <w:pPr>
              <w:pStyle w:val="NoSpacing"/>
              <w:keepNext/>
              <w:keepLines/>
              <w:jc w:val="right"/>
            </w:pPr>
            <w:r w:rsidRPr="00A51374">
              <w:rPr>
                <w:noProof/>
              </w:rPr>
              <w:lastRenderedPageBreak/>
              <w:drawing>
                <wp:inline distT="0" distB="0" distL="0" distR="0" wp14:anchorId="5CBC0F63" wp14:editId="35A734F0">
                  <wp:extent cx="288000" cy="288000"/>
                  <wp:effectExtent l="0" t="0" r="0" b="0"/>
                  <wp:docPr id="1"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B417F02" w14:textId="20B1E116" w:rsidR="00544AC0" w:rsidRPr="00A4395A" w:rsidRDefault="00544AC0">
            <w:pPr>
              <w:pStyle w:val="TableHeading"/>
              <w:keepNext/>
              <w:keepLines/>
              <w:spacing w:before="120" w:after="120"/>
              <w:contextualSpacing/>
              <w:rPr>
                <w:sz w:val="20"/>
              </w:rPr>
            </w:pPr>
            <w:r w:rsidRPr="00A4395A">
              <w:rPr>
                <w:sz w:val="20"/>
              </w:rPr>
              <w:t xml:space="preserve">Finding </w:t>
            </w:r>
            <w:r w:rsidR="00A546D7">
              <w:rPr>
                <w:sz w:val="20"/>
              </w:rPr>
              <w:t>2</w:t>
            </w:r>
          </w:p>
          <w:p w14:paraId="6AB230B0" w14:textId="77777777" w:rsidR="00544AC0" w:rsidRPr="003C2E7C" w:rsidRDefault="00544AC0">
            <w:pPr>
              <w:pStyle w:val="TableHeading"/>
              <w:keepNext/>
              <w:keepLines/>
              <w:spacing w:before="120" w:after="120"/>
              <w:contextualSpacing/>
              <w:rPr>
                <w:sz w:val="20"/>
              </w:rPr>
            </w:pPr>
            <w:r w:rsidRPr="003C2E7C">
              <w:rPr>
                <w:sz w:val="20"/>
              </w:rPr>
              <w:t>Australia Post is complying with competitive neutrality policy by earning a commercial rate of return</w:t>
            </w:r>
          </w:p>
        </w:tc>
      </w:tr>
      <w:tr w:rsidR="00544AC0" w14:paraId="7F5FC74D" w14:textId="77777777">
        <w:tc>
          <w:tcPr>
            <w:tcW w:w="5000" w:type="pct"/>
            <w:gridSpan w:val="2"/>
            <w:tcBorders>
              <w:top w:val="nil"/>
              <w:bottom w:val="single" w:sz="4" w:space="0" w:color="66BCDB" w:themeColor="text2"/>
            </w:tcBorders>
          </w:tcPr>
          <w:p w14:paraId="1069026B" w14:textId="723F5586" w:rsidR="00903C18" w:rsidRDefault="00B8481A">
            <w:pPr>
              <w:pStyle w:val="BodyText"/>
              <w:keepLines/>
            </w:pPr>
            <w:r w:rsidRPr="00B8481A">
              <w:t xml:space="preserve">Australia Post </w:t>
            </w:r>
            <w:r w:rsidR="00096350">
              <w:t xml:space="preserve">is earning </w:t>
            </w:r>
            <w:r w:rsidR="00CE2CA5">
              <w:t xml:space="preserve">a commercial </w:t>
            </w:r>
            <w:r w:rsidRPr="00B8481A">
              <w:t xml:space="preserve">rate of return on assets as required </w:t>
            </w:r>
            <w:r w:rsidR="00783EE9">
              <w:t>by</w:t>
            </w:r>
            <w:r w:rsidRPr="00B8481A">
              <w:t xml:space="preserve"> competitive neutrality policy</w:t>
            </w:r>
            <w:r w:rsidR="00096350">
              <w:t xml:space="preserve">, once </w:t>
            </w:r>
            <w:r w:rsidRPr="00B8481A">
              <w:t>profitability</w:t>
            </w:r>
            <w:r w:rsidR="00853068">
              <w:t xml:space="preserve"> is appropriately adjusted</w:t>
            </w:r>
            <w:r w:rsidRPr="00B8481A">
              <w:t xml:space="preserve"> to</w:t>
            </w:r>
            <w:r w:rsidR="00903C18">
              <w:t>:</w:t>
            </w:r>
          </w:p>
          <w:p w14:paraId="16A5EF37" w14:textId="31241093" w:rsidR="00903C18" w:rsidRDefault="00853068" w:rsidP="00903C18">
            <w:pPr>
              <w:pStyle w:val="ListBullet"/>
            </w:pPr>
            <w:r>
              <w:t xml:space="preserve">account for </w:t>
            </w:r>
            <w:r w:rsidR="00B8481A" w:rsidRPr="00B8481A">
              <w:t xml:space="preserve">the </w:t>
            </w:r>
            <w:r w:rsidR="0090392B">
              <w:t xml:space="preserve">reductions in profits caused by </w:t>
            </w:r>
            <w:r w:rsidR="00B8481A" w:rsidRPr="00B8481A">
              <w:t>internally funded community service obligations</w:t>
            </w:r>
          </w:p>
          <w:p w14:paraId="71846691" w14:textId="7F3ACDA6" w:rsidR="00544AC0" w:rsidRDefault="00903C18" w:rsidP="005372D8">
            <w:pPr>
              <w:pStyle w:val="ListBullet"/>
            </w:pPr>
            <w:r>
              <w:t>recogni</w:t>
            </w:r>
            <w:r w:rsidR="00853068">
              <w:t xml:space="preserve">se </w:t>
            </w:r>
            <w:r>
              <w:t xml:space="preserve">that a proportion of assets </w:t>
            </w:r>
            <w:r w:rsidR="00853068">
              <w:t xml:space="preserve">are </w:t>
            </w:r>
            <w:r>
              <w:t>for the performance o</w:t>
            </w:r>
            <w:r w:rsidR="00853068">
              <w:t xml:space="preserve">f these community service obligations or </w:t>
            </w:r>
            <w:r w:rsidR="0050159F">
              <w:t>reflect accounting requirements for net superannuation assets</w:t>
            </w:r>
            <w:r w:rsidR="000851D3">
              <w:t>.</w:t>
            </w:r>
          </w:p>
        </w:tc>
      </w:tr>
      <w:tr w:rsidR="00544AC0" w14:paraId="487572A5" w14:textId="77777777">
        <w:tc>
          <w:tcPr>
            <w:tcW w:w="5000" w:type="pct"/>
            <w:gridSpan w:val="2"/>
            <w:tcBorders>
              <w:top w:val="single" w:sz="4" w:space="0" w:color="66BCDB" w:themeColor="text2"/>
              <w:left w:val="nil"/>
              <w:bottom w:val="nil"/>
              <w:right w:val="nil"/>
            </w:tcBorders>
            <w:tcMar>
              <w:bottom w:w="0" w:type="dxa"/>
            </w:tcMar>
          </w:tcPr>
          <w:p w14:paraId="186DD447" w14:textId="75F60842" w:rsidR="00544AC0" w:rsidRDefault="00544AC0">
            <w:pPr>
              <w:pStyle w:val="NoSpacing"/>
              <w:spacing w:line="200" w:lineRule="atLeast"/>
            </w:pPr>
          </w:p>
        </w:tc>
      </w:tr>
    </w:tbl>
    <w:p w14:paraId="59761C12" w14:textId="77777777" w:rsidR="00445B21" w:rsidRPr="00C53CD2" w:rsidRDefault="00445B21" w:rsidP="00C53CD2">
      <w:pPr>
        <w:pStyle w:val="BodyText"/>
      </w:pPr>
      <w:r>
        <w:br w:type="page"/>
      </w:r>
    </w:p>
    <w:p w14:paraId="57E9971A" w14:textId="27D13CE0" w:rsidR="00AB1699" w:rsidRDefault="006A3E70" w:rsidP="0059611F">
      <w:pPr>
        <w:pStyle w:val="Heading1-nobackground"/>
      </w:pPr>
      <w:r>
        <w:lastRenderedPageBreak/>
        <w:t xml:space="preserve">Appendix </w:t>
      </w:r>
      <w:r w:rsidR="00600DF1">
        <w:t>–</w:t>
      </w:r>
      <w:r>
        <w:t xml:space="preserve"> </w:t>
      </w:r>
      <w:r w:rsidR="00AB1699">
        <w:t>Benchmark</w:t>
      </w:r>
      <w:r>
        <w:t xml:space="preserve"> rate of return</w:t>
      </w:r>
    </w:p>
    <w:p w14:paraId="42E56721" w14:textId="3B28D5CD" w:rsidR="00CD06BB" w:rsidRDefault="006A3E70" w:rsidP="00AB1699">
      <w:pPr>
        <w:pStyle w:val="BodyText"/>
      </w:pPr>
      <w:r>
        <w:t xml:space="preserve">The AGCNCO has concluded that Australia Post is </w:t>
      </w:r>
      <w:r w:rsidR="00EB0597">
        <w:t xml:space="preserve">earning a commercial rate of return compared to the benchmark rate of return used in the </w:t>
      </w:r>
      <w:r w:rsidR="00531FED">
        <w:t>investigation report.</w:t>
      </w:r>
    </w:p>
    <w:p w14:paraId="2103486E" w14:textId="3E2817D6" w:rsidR="00AB1699" w:rsidRDefault="00200C32" w:rsidP="00AB1699">
      <w:pPr>
        <w:pStyle w:val="BodyText"/>
      </w:pPr>
      <w:r>
        <w:t xml:space="preserve">In </w:t>
      </w:r>
      <w:r w:rsidR="00EC4053">
        <w:t>considering</w:t>
      </w:r>
      <w:r w:rsidR="00111D0F">
        <w:t xml:space="preserve"> the rate of return, </w:t>
      </w:r>
      <w:r w:rsidR="004C2C57">
        <w:t xml:space="preserve">the AGCNCO </w:t>
      </w:r>
      <w:r w:rsidR="009B24CB">
        <w:t xml:space="preserve">also </w:t>
      </w:r>
      <w:proofErr w:type="gramStart"/>
      <w:r w:rsidR="004B2EFB">
        <w:t>gave further consideration to</w:t>
      </w:r>
      <w:proofErr w:type="gramEnd"/>
      <w:r w:rsidR="009B24CB">
        <w:t xml:space="preserve"> the</w:t>
      </w:r>
      <w:r w:rsidR="004B2EFB">
        <w:t xml:space="preserve"> appropriate</w:t>
      </w:r>
      <w:r w:rsidR="00A708AD">
        <w:t xml:space="preserve"> benchmark.</w:t>
      </w:r>
      <w:r w:rsidR="00EC4053">
        <w:t xml:space="preserve"> While further considering the benchmark was not required, t</w:t>
      </w:r>
      <w:r w:rsidR="009C6860">
        <w:t>his</w:t>
      </w:r>
      <w:r w:rsidR="00EC4053">
        <w:t xml:space="preserve"> </w:t>
      </w:r>
      <w:r w:rsidR="009C6860">
        <w:t xml:space="preserve">appendix provides </w:t>
      </w:r>
      <w:r w:rsidR="00A708AD">
        <w:t>comment</w:t>
      </w:r>
      <w:r w:rsidR="009C6860">
        <w:t xml:space="preserve"> on </w:t>
      </w:r>
      <w:r w:rsidR="005C7006">
        <w:t>the components of the risk broad-banded benchmar</w:t>
      </w:r>
      <w:r w:rsidR="002E77CD">
        <w:t xml:space="preserve">k used in </w:t>
      </w:r>
      <w:r w:rsidR="0020748A">
        <w:t>c</w:t>
      </w:r>
      <w:r w:rsidR="002E77CD">
        <w:t>hapter 6 of the investigation report, and how these could be applied in future complaints.</w:t>
      </w:r>
    </w:p>
    <w:p w14:paraId="1DA73CE0" w14:textId="64C275C5" w:rsidR="007F5CD4" w:rsidRDefault="00E274C0" w:rsidP="00575C25">
      <w:pPr>
        <w:pStyle w:val="Heading3"/>
      </w:pPr>
      <w:r>
        <w:t>The calculation of</w:t>
      </w:r>
      <w:r w:rsidR="007F5CD4">
        <w:t xml:space="preserve"> the long-term bond rate?</w:t>
      </w:r>
    </w:p>
    <w:p w14:paraId="6F73CB3C" w14:textId="3258EFFF" w:rsidR="004604A7" w:rsidRDefault="00734860" w:rsidP="00734860">
      <w:pPr>
        <w:pStyle w:val="BodyText"/>
      </w:pPr>
      <w:r>
        <w:t>In</w:t>
      </w:r>
      <w:r w:rsidR="00E90127">
        <w:t xml:space="preserve"> </w:t>
      </w:r>
      <w:r w:rsidR="0020748A">
        <w:t>c</w:t>
      </w:r>
      <w:r w:rsidR="00E90127">
        <w:t>hapter 6 of</w:t>
      </w:r>
      <w:r>
        <w:t xml:space="preserve"> the report, the AGCNCO applied the </w:t>
      </w:r>
      <w:r w:rsidR="00C323EA">
        <w:t>Australian Government 10-year</w:t>
      </w:r>
      <w:r>
        <w:t xml:space="preserve"> bond rate as </w:t>
      </w:r>
      <w:proofErr w:type="gramStart"/>
      <w:r>
        <w:t>at</w:t>
      </w:r>
      <w:proofErr w:type="gramEnd"/>
      <w:r>
        <w:t xml:space="preserve"> 30 June 2023 </w:t>
      </w:r>
      <w:r w:rsidR="00C323EA">
        <w:t xml:space="preserve">as the </w:t>
      </w:r>
      <w:r>
        <w:t>long-term bond rate</w:t>
      </w:r>
      <w:r w:rsidR="00C323EA">
        <w:t xml:space="preserve"> for </w:t>
      </w:r>
      <w:r>
        <w:t>assess</w:t>
      </w:r>
      <w:r w:rsidR="00C323EA">
        <w:t>ing</w:t>
      </w:r>
      <w:r>
        <w:t xml:space="preserve"> Australia Post’s </w:t>
      </w:r>
      <w:r w:rsidR="00577AFF">
        <w:t>rate of return for each financial year</w:t>
      </w:r>
      <w:r w:rsidR="00BD6633">
        <w:t>.</w:t>
      </w:r>
      <w:r w:rsidR="00577AFF">
        <w:t xml:space="preserve"> </w:t>
      </w:r>
      <w:r w:rsidR="007A5714">
        <w:t xml:space="preserve">This approach </w:t>
      </w:r>
      <w:r w:rsidR="00716CB9">
        <w:t xml:space="preserve">was </w:t>
      </w:r>
      <w:r w:rsidR="00014B6D">
        <w:t>de</w:t>
      </w:r>
      <w:r w:rsidR="00270FBE">
        <w:t>terminative</w:t>
      </w:r>
      <w:r w:rsidR="00014B6D">
        <w:t xml:space="preserve"> </w:t>
      </w:r>
      <w:r w:rsidR="007E0C83">
        <w:t>as</w:t>
      </w:r>
      <w:r w:rsidR="00014B6D">
        <w:t xml:space="preserve"> the long</w:t>
      </w:r>
      <w:r w:rsidR="00FB196E">
        <w:t>-</w:t>
      </w:r>
      <w:r w:rsidR="00014B6D">
        <w:t xml:space="preserve">term bond rate </w:t>
      </w:r>
      <w:proofErr w:type="gramStart"/>
      <w:r w:rsidR="00014B6D">
        <w:t>at</w:t>
      </w:r>
      <w:proofErr w:type="gramEnd"/>
      <w:r w:rsidR="00014B6D">
        <w:t xml:space="preserve"> 30 June 2023 was higher than any previous period under consideration.</w:t>
      </w:r>
    </w:p>
    <w:p w14:paraId="6AF4057F" w14:textId="2353784C" w:rsidR="00404820" w:rsidRPr="00734860" w:rsidRDefault="00270FBE" w:rsidP="00734860">
      <w:pPr>
        <w:pStyle w:val="BodyText"/>
      </w:pPr>
      <w:r>
        <w:t>However, u</w:t>
      </w:r>
      <w:r w:rsidR="00AE4EB2">
        <w:t xml:space="preserve">sing a </w:t>
      </w:r>
      <w:r w:rsidR="003A5EC4">
        <w:t xml:space="preserve">single </w:t>
      </w:r>
      <w:r w:rsidR="00ED1675">
        <w:t xml:space="preserve">daily rate to assess rate of return over </w:t>
      </w:r>
      <w:r w:rsidR="00D033E3">
        <w:t>several</w:t>
      </w:r>
      <w:r w:rsidR="00ED1675">
        <w:t xml:space="preserve"> years risks </w:t>
      </w:r>
      <w:r w:rsidR="00D2068D">
        <w:t xml:space="preserve">not </w:t>
      </w:r>
      <w:r w:rsidR="00E56445">
        <w:t>recognising</w:t>
      </w:r>
      <w:r w:rsidR="00D033E3">
        <w:t xml:space="preserve"> </w:t>
      </w:r>
      <w:r w:rsidR="00E33256">
        <w:t>differences between yea</w:t>
      </w:r>
      <w:r w:rsidR="0086730D">
        <w:t>rs, as economic conditions change, and between days</w:t>
      </w:r>
      <w:r w:rsidR="00D2068D">
        <w:t>,</w:t>
      </w:r>
      <w:r w:rsidR="0086730D">
        <w:t xml:space="preserve"> as markets fl</w:t>
      </w:r>
      <w:r w:rsidR="003411D5">
        <w:t>u</w:t>
      </w:r>
      <w:r w:rsidR="0086730D">
        <w:t>ctuate</w:t>
      </w:r>
      <w:r w:rsidR="003411D5">
        <w:t>.</w:t>
      </w:r>
      <w:r w:rsidR="008571C1">
        <w:t xml:space="preserve"> </w:t>
      </w:r>
      <w:r w:rsidR="00062205">
        <w:t xml:space="preserve">Using an average, for example </w:t>
      </w:r>
      <w:r>
        <w:t>a</w:t>
      </w:r>
      <w:r w:rsidR="00BC6F93">
        <w:t xml:space="preserve"> </w:t>
      </w:r>
      <w:r>
        <w:t>2</w:t>
      </w:r>
      <w:r w:rsidR="00BC6F93">
        <w:t>0</w:t>
      </w:r>
      <w:r w:rsidR="00E56445">
        <w:t xml:space="preserve"> business</w:t>
      </w:r>
      <w:r w:rsidR="00BC6F93">
        <w:t xml:space="preserve">-day average of the </w:t>
      </w:r>
      <w:r w:rsidR="00E56445">
        <w:t xml:space="preserve">Australian Government </w:t>
      </w:r>
      <w:r w:rsidR="00BC6F93">
        <w:t xml:space="preserve">10-year bond rate </w:t>
      </w:r>
      <w:r w:rsidR="00353793">
        <w:t>to</w:t>
      </w:r>
      <w:r w:rsidR="00BC6F93">
        <w:t xml:space="preserve"> 30</w:t>
      </w:r>
      <w:r w:rsidR="00062205">
        <w:t> </w:t>
      </w:r>
      <w:r w:rsidR="00BC6F93">
        <w:t xml:space="preserve">June </w:t>
      </w:r>
      <w:r w:rsidR="00062205">
        <w:t xml:space="preserve">for </w:t>
      </w:r>
      <w:r w:rsidR="00BC6F93">
        <w:t>each year</w:t>
      </w:r>
      <w:r w:rsidR="000C5203">
        <w:t>,</w:t>
      </w:r>
      <w:r w:rsidR="00623D35">
        <w:t xml:space="preserve"> </w:t>
      </w:r>
      <w:r w:rsidR="00062205">
        <w:t>c</w:t>
      </w:r>
      <w:r w:rsidR="00623D35">
        <w:t>ould address these issues</w:t>
      </w:r>
      <w:r w:rsidR="00BC6F93">
        <w:t>.</w:t>
      </w:r>
    </w:p>
    <w:p w14:paraId="494C7FBE" w14:textId="492336ED" w:rsidR="007F5CD4" w:rsidRDefault="007F5CD4" w:rsidP="00575C25">
      <w:pPr>
        <w:pStyle w:val="Heading3"/>
      </w:pPr>
      <w:r>
        <w:t xml:space="preserve">What is the appropriate risk </w:t>
      </w:r>
      <w:r w:rsidR="00306B88">
        <w:t>margin</w:t>
      </w:r>
      <w:r>
        <w:t>?</w:t>
      </w:r>
    </w:p>
    <w:p w14:paraId="3AAA8DB0" w14:textId="0E2A70CC" w:rsidR="00607414" w:rsidRDefault="006B11D0" w:rsidP="00721AA5">
      <w:pPr>
        <w:pStyle w:val="BodyText"/>
      </w:pPr>
      <w:r>
        <w:t xml:space="preserve">The AGCNCO used a risk margin of 6.6% in </w:t>
      </w:r>
      <w:r w:rsidR="00255DEA">
        <w:t>c</w:t>
      </w:r>
      <w:r>
        <w:t xml:space="preserve">hapter 6 of the report, </w:t>
      </w:r>
      <w:r w:rsidR="00690F27">
        <w:t>as a</w:t>
      </w:r>
      <w:r w:rsidR="54527A85">
        <w:t xml:space="preserve">n approximate </w:t>
      </w:r>
      <w:r w:rsidR="00690F27">
        <w:t xml:space="preserve">average of 5.98% for the </w:t>
      </w:r>
      <w:r w:rsidR="00296982">
        <w:t xml:space="preserve">reserved letter business and 7% for the parcel delivery business. This was based on views </w:t>
      </w:r>
      <w:r w:rsidR="00F529DC">
        <w:t xml:space="preserve">provided by </w:t>
      </w:r>
      <w:r w:rsidR="00832B45">
        <w:t xml:space="preserve">CAPEC </w:t>
      </w:r>
      <w:r w:rsidR="00721AA5">
        <w:t>(</w:t>
      </w:r>
      <w:r w:rsidR="0092690B">
        <w:t>AGCNCO</w:t>
      </w:r>
      <w:r w:rsidR="00721AA5">
        <w:t xml:space="preserve"> 2024, p. 68)</w:t>
      </w:r>
      <w:r w:rsidR="00721AA5" w:rsidRPr="00721AA5">
        <w:t>.</w:t>
      </w:r>
      <w:r w:rsidR="003C311F">
        <w:t xml:space="preserve"> </w:t>
      </w:r>
      <w:r w:rsidR="000658A4">
        <w:t xml:space="preserve">As with the long-term bond rate, using the highest risk weighting recommended by the </w:t>
      </w:r>
      <w:r w:rsidR="00FF0416">
        <w:rPr>
          <w:i/>
          <w:iCs/>
        </w:rPr>
        <w:t xml:space="preserve">Guideline for Managers </w:t>
      </w:r>
      <w:r w:rsidR="00FF0416">
        <w:t>was determinative in</w:t>
      </w:r>
      <w:r w:rsidR="001F1A3B">
        <w:t xml:space="preserve"> </w:t>
      </w:r>
      <w:r w:rsidR="003F0423">
        <w:t>the assessment.</w:t>
      </w:r>
    </w:p>
    <w:p w14:paraId="76832CEA" w14:textId="6CF97287" w:rsidR="00721AA5" w:rsidRDefault="00607414" w:rsidP="00721AA5">
      <w:pPr>
        <w:pStyle w:val="BodyText"/>
      </w:pPr>
      <w:r>
        <w:t xml:space="preserve">The AGCNCO has </w:t>
      </w:r>
      <w:proofErr w:type="gramStart"/>
      <w:r>
        <w:t>given further consideration to</w:t>
      </w:r>
      <w:proofErr w:type="gramEnd"/>
      <w:r>
        <w:t xml:space="preserve"> the appropriate risk margin.</w:t>
      </w:r>
      <w:r w:rsidR="003C311F">
        <w:t xml:space="preserve"> In the absence of further evidence from </w:t>
      </w:r>
      <w:r w:rsidR="6B44A316" w:rsidRPr="0F84E5AE">
        <w:t>CAPEC</w:t>
      </w:r>
      <w:r w:rsidR="003C311F">
        <w:t xml:space="preserve">, Australia Post and </w:t>
      </w:r>
      <w:r w:rsidR="00A733F0">
        <w:t xml:space="preserve">the relevant government departments, the AGCNCO has </w:t>
      </w:r>
      <w:r w:rsidR="00232EE8">
        <w:t xml:space="preserve">examined additional sources </w:t>
      </w:r>
      <w:r w:rsidR="007C3C73">
        <w:t>to provide an indication</w:t>
      </w:r>
      <w:r w:rsidR="00CD13DF">
        <w:t xml:space="preserve"> of risk</w:t>
      </w:r>
      <w:r w:rsidR="007C3C73">
        <w:t>.</w:t>
      </w:r>
    </w:p>
    <w:p w14:paraId="22DC8936" w14:textId="1081C8E9" w:rsidR="00F0342F" w:rsidRPr="00734860" w:rsidRDefault="00C73DDA" w:rsidP="00C804CA">
      <w:pPr>
        <w:pStyle w:val="BodyText"/>
      </w:pPr>
      <w:r>
        <w:t>In the</w:t>
      </w:r>
      <w:r w:rsidR="002153A7" w:rsidRPr="362705D9">
        <w:t xml:space="preserve"> </w:t>
      </w:r>
      <w:r w:rsidR="002153A7">
        <w:t>ACCC</w:t>
      </w:r>
      <w:r w:rsidR="00F90C67">
        <w:t xml:space="preserve">’s </w:t>
      </w:r>
      <w:r>
        <w:t xml:space="preserve">assessment of Australia Post’s price notification </w:t>
      </w:r>
      <w:r w:rsidR="00780AF7">
        <w:t>(most recently i</w:t>
      </w:r>
      <w:r w:rsidR="00D2085F">
        <w:t>n its decision in March 2024)</w:t>
      </w:r>
      <w:r w:rsidR="00241ADD">
        <w:t xml:space="preserve"> the ACCC </w:t>
      </w:r>
      <w:proofErr w:type="gramStart"/>
      <w:r w:rsidR="007C1D08">
        <w:t>takes into account</w:t>
      </w:r>
      <w:proofErr w:type="gramEnd"/>
      <w:r w:rsidR="007C1D08">
        <w:t xml:space="preserve"> the</w:t>
      </w:r>
      <w:r w:rsidR="00241ADD">
        <w:t xml:space="preserve"> riskiness of returns, presented as the ‘equity beta’ for the WACC. The equity </w:t>
      </w:r>
      <w:r w:rsidR="00D93702">
        <w:t xml:space="preserve">beta represents </w:t>
      </w:r>
      <w:r w:rsidR="00725CF2">
        <w:t xml:space="preserve">the correlation between the return of the firm and the return of the </w:t>
      </w:r>
      <w:proofErr w:type="gramStart"/>
      <w:r w:rsidR="00725CF2">
        <w:t>market as a whole</w:t>
      </w:r>
      <w:proofErr w:type="gramEnd"/>
      <w:r w:rsidR="00D93702">
        <w:t>. A</w:t>
      </w:r>
      <w:r w:rsidR="00BF1D5E">
        <w:t xml:space="preserve"> business with risk lower than the market average will have an</w:t>
      </w:r>
      <w:r w:rsidR="00D93702">
        <w:t xml:space="preserve"> equity beta of </w:t>
      </w:r>
      <w:r w:rsidR="00BF1D5E">
        <w:t xml:space="preserve">less than one, with a firm riskier than the market average having an equity beta of </w:t>
      </w:r>
      <w:r w:rsidR="00FC4D7D">
        <w:t>greater</w:t>
      </w:r>
      <w:r w:rsidR="00BF1D5E">
        <w:t xml:space="preserve"> than one </w:t>
      </w:r>
      <w:r w:rsidR="000313DF">
        <w:t xml:space="preserve">(ACCC </w:t>
      </w:r>
      <w:r w:rsidR="000313DF" w:rsidRPr="362705D9">
        <w:t>202</w:t>
      </w:r>
      <w:r w:rsidR="00AF4EB4" w:rsidRPr="362705D9">
        <w:t>4</w:t>
      </w:r>
      <w:r w:rsidR="00011BCA">
        <w:t>a</w:t>
      </w:r>
      <w:r w:rsidR="000313DF">
        <w:t xml:space="preserve">, p. </w:t>
      </w:r>
      <w:r w:rsidR="0049592D">
        <w:t>65)</w:t>
      </w:r>
      <w:r w:rsidR="005E718D">
        <w:t>.</w:t>
      </w:r>
      <w:r w:rsidR="00125DBB">
        <w:t xml:space="preserve"> The ACCC received</w:t>
      </w:r>
      <w:r w:rsidR="00C804CA">
        <w:t xml:space="preserve"> reports on the</w:t>
      </w:r>
      <w:r w:rsidR="00F06AA9">
        <w:t xml:space="preserve"> market volatility of similar parcel businesses</w:t>
      </w:r>
      <w:r w:rsidR="00C804CA">
        <w:t>, which</w:t>
      </w:r>
      <w:r w:rsidR="009D5255">
        <w:t xml:space="preserve"> </w:t>
      </w:r>
      <w:r w:rsidR="000B20E4">
        <w:t>demonstrate that t</w:t>
      </w:r>
      <w:r w:rsidR="00FE4EF1">
        <w:t xml:space="preserve">hese businesses </w:t>
      </w:r>
      <w:r w:rsidR="00DE24F2">
        <w:t xml:space="preserve">have </w:t>
      </w:r>
      <w:r w:rsidR="00C804CA">
        <w:t>risk</w:t>
      </w:r>
      <w:r w:rsidR="00C804CA" w:rsidRPr="2934A00B">
        <w:t xml:space="preserve"> </w:t>
      </w:r>
      <w:r w:rsidR="00B962FC">
        <w:t>equal to or marginally</w:t>
      </w:r>
      <w:r w:rsidR="00812534">
        <w:t xml:space="preserve"> </w:t>
      </w:r>
      <w:r w:rsidR="00DE24F2">
        <w:t xml:space="preserve">higher </w:t>
      </w:r>
      <w:r w:rsidR="00812534">
        <w:t>than the market average</w:t>
      </w:r>
      <w:r w:rsidR="00C00B15">
        <w:t xml:space="preserve"> </w:t>
      </w:r>
      <w:r w:rsidR="00996976">
        <w:t>(Deloitte 2022, p. 17)</w:t>
      </w:r>
      <w:r w:rsidR="005E693F">
        <w:t>.</w:t>
      </w:r>
      <w:r w:rsidR="00511B8E">
        <w:t xml:space="preserve"> T</w:t>
      </w:r>
      <w:r w:rsidR="00A454F3">
        <w:t xml:space="preserve">he AGCNCO considers </w:t>
      </w:r>
      <w:r w:rsidR="00511B8E">
        <w:t xml:space="preserve">this </w:t>
      </w:r>
      <w:r w:rsidR="00A454F3">
        <w:t xml:space="preserve">is </w:t>
      </w:r>
      <w:r w:rsidR="005D5C8B">
        <w:t>consistent with a medium risk</w:t>
      </w:r>
      <w:r w:rsidR="00A454F3">
        <w:t>.</w:t>
      </w:r>
    </w:p>
    <w:p w14:paraId="2BBA4FAA" w14:textId="3B2413B7" w:rsidR="0015691F" w:rsidRDefault="0015691F" w:rsidP="00C804CA">
      <w:pPr>
        <w:pStyle w:val="BodyText"/>
      </w:pPr>
      <w:r>
        <w:t xml:space="preserve">The AGCNCO </w:t>
      </w:r>
      <w:r w:rsidR="00882581">
        <w:t xml:space="preserve">has also considered the market risk premium applied </w:t>
      </w:r>
      <w:r w:rsidR="00F3076B">
        <w:t xml:space="preserve">by other regulators </w:t>
      </w:r>
      <w:r w:rsidR="00601608">
        <w:t xml:space="preserve">in assessing rates of return. </w:t>
      </w:r>
      <w:r w:rsidR="00F972D3">
        <w:t xml:space="preserve">The market risk premium represents the difference between </w:t>
      </w:r>
      <w:r w:rsidR="00EA6CEE">
        <w:t>the expected return on a market portfolio and the return on the risk-free asset (AER 2024, p.17)</w:t>
      </w:r>
      <w:r w:rsidR="00831C6F">
        <w:t>.</w:t>
      </w:r>
      <w:r w:rsidR="00EA6CEE">
        <w:t xml:space="preserve"> </w:t>
      </w:r>
      <w:r w:rsidR="00601608">
        <w:t xml:space="preserve">The Australian Energy Regulator has applied </w:t>
      </w:r>
      <w:r w:rsidR="00AC7E93">
        <w:t xml:space="preserve">a market risk premium </w:t>
      </w:r>
      <w:r w:rsidR="00EA6CEE">
        <w:t xml:space="preserve">of 6.2% in its recent determinations, </w:t>
      </w:r>
      <w:r w:rsidR="00780520">
        <w:t>and the ACCC has adopted this market risk premium in its recent decisions (</w:t>
      </w:r>
      <w:r w:rsidR="00D36D51">
        <w:t xml:space="preserve">ACCC 2024a, p. </w:t>
      </w:r>
      <w:r w:rsidR="00102881">
        <w:t xml:space="preserve">64, </w:t>
      </w:r>
      <w:r w:rsidR="00780520">
        <w:t xml:space="preserve">2024b, </w:t>
      </w:r>
      <w:r w:rsidR="00011BCA">
        <w:t>p. 59)</w:t>
      </w:r>
      <w:r w:rsidR="009713DC">
        <w:t>. Similarly, t</w:t>
      </w:r>
      <w:r w:rsidR="003F4EEB">
        <w:t xml:space="preserve">he Independent Pricing and Regulatory Tribunal </w:t>
      </w:r>
      <w:r w:rsidR="009713DC">
        <w:t xml:space="preserve">currently uses 6.1% for its market risk premium (IPART NSW 2024, p. </w:t>
      </w:r>
      <w:r w:rsidR="00E03F3E">
        <w:t>2)</w:t>
      </w:r>
      <w:r w:rsidR="00011BCA">
        <w:t>.</w:t>
      </w:r>
    </w:p>
    <w:p w14:paraId="655AC630" w14:textId="38ABA3AC" w:rsidR="00180091" w:rsidRPr="00180091" w:rsidRDefault="00784877" w:rsidP="00180091">
      <w:pPr>
        <w:pStyle w:val="BodyText"/>
      </w:pPr>
      <w:r>
        <w:lastRenderedPageBreak/>
        <w:t>Based on these sources</w:t>
      </w:r>
      <w:r w:rsidR="00D55417">
        <w:t xml:space="preserve">, the AGCNCO </w:t>
      </w:r>
      <w:r w:rsidR="00623D35">
        <w:t>could have applied a</w:t>
      </w:r>
      <w:r w:rsidR="00D36D51">
        <w:t xml:space="preserve"> </w:t>
      </w:r>
      <w:r w:rsidR="00D55417">
        <w:t xml:space="preserve">risk weighting </w:t>
      </w:r>
      <w:r w:rsidR="00623D35">
        <w:t>of</w:t>
      </w:r>
      <w:r w:rsidR="00E03F3E">
        <w:t xml:space="preserve"> </w:t>
      </w:r>
      <w:r w:rsidR="003272D0">
        <w:t>between 5</w:t>
      </w:r>
      <w:r w:rsidR="00D55417">
        <w:t xml:space="preserve">% </w:t>
      </w:r>
      <w:r w:rsidR="00EF01A6">
        <w:t>(</w:t>
      </w:r>
      <w:r w:rsidR="003272D0">
        <w:t xml:space="preserve">the medium </w:t>
      </w:r>
      <w:r w:rsidR="00EF01A6">
        <w:t>risk</w:t>
      </w:r>
      <w:r w:rsidR="00D36D51">
        <w:t xml:space="preserve"> margin</w:t>
      </w:r>
      <w:r w:rsidR="00EF01A6">
        <w:t xml:space="preserve"> from the </w:t>
      </w:r>
      <w:r w:rsidR="00EF01A6">
        <w:rPr>
          <w:i/>
          <w:iCs/>
        </w:rPr>
        <w:t>Competitive Neutrality Guidelines for Managers</w:t>
      </w:r>
      <w:r w:rsidR="00EF01A6" w:rsidRPr="00EF01A6">
        <w:t>)</w:t>
      </w:r>
      <w:r w:rsidR="00D55417">
        <w:t xml:space="preserve"> </w:t>
      </w:r>
      <w:r w:rsidR="00D36D51">
        <w:t>and 6.2% (the market risk premium applied by other regulators)</w:t>
      </w:r>
      <w:r w:rsidR="00832B45">
        <w:t>.</w:t>
      </w:r>
    </w:p>
    <w:p w14:paraId="1E47FA69" w14:textId="06D8DE61" w:rsidR="007F5CD4" w:rsidRDefault="00961319" w:rsidP="00023E30">
      <w:pPr>
        <w:pStyle w:val="Heading3"/>
      </w:pPr>
      <w:r>
        <w:t>The AGCNCO’s assessment of Australia Post’s rate of return</w:t>
      </w:r>
    </w:p>
    <w:p w14:paraId="66A080D8" w14:textId="4D3ACFBE" w:rsidR="00CB1FC6" w:rsidRDefault="008904E0" w:rsidP="00961319">
      <w:pPr>
        <w:pStyle w:val="BodyText"/>
      </w:pPr>
      <w:r>
        <w:t xml:space="preserve">If the approach to </w:t>
      </w:r>
      <w:r w:rsidR="00365EC3">
        <w:t>calculating the rate of return had been further reviewed considering</w:t>
      </w:r>
      <w:r w:rsidR="00961319">
        <w:t xml:space="preserve"> the </w:t>
      </w:r>
      <w:r w:rsidR="00B26D8B">
        <w:t>matters</w:t>
      </w:r>
      <w:r w:rsidR="00961319">
        <w:t xml:space="preserve"> </w:t>
      </w:r>
      <w:r w:rsidR="00365EC3">
        <w:t>set out</w:t>
      </w:r>
      <w:r w:rsidR="00961319">
        <w:t xml:space="preserve"> in this </w:t>
      </w:r>
      <w:r w:rsidR="002610F2">
        <w:t>a</w:t>
      </w:r>
      <w:r w:rsidR="00365EC3">
        <w:t>ppendix, then</w:t>
      </w:r>
      <w:r w:rsidR="006C2036">
        <w:t xml:space="preserve"> Australia Post </w:t>
      </w:r>
      <w:r w:rsidR="004C0C2A">
        <w:t>would</w:t>
      </w:r>
      <w:r w:rsidR="006C2036">
        <w:t xml:space="preserve"> me</w:t>
      </w:r>
      <w:r w:rsidR="004C0C2A">
        <w:t>e</w:t>
      </w:r>
      <w:r w:rsidR="006C2036">
        <w:t xml:space="preserve">t </w:t>
      </w:r>
      <w:r w:rsidR="004C0C2A">
        <w:t>a revised</w:t>
      </w:r>
      <w:r w:rsidR="006C2036">
        <w:t xml:space="preserve"> </w:t>
      </w:r>
      <w:r w:rsidR="002042FB">
        <w:t xml:space="preserve">benchmark range for the rate of return </w:t>
      </w:r>
      <w:r w:rsidR="004E410C">
        <w:t xml:space="preserve">in </w:t>
      </w:r>
      <w:r w:rsidR="00C6268D">
        <w:t xml:space="preserve">nine </w:t>
      </w:r>
      <w:r w:rsidR="004E410C">
        <w:t>of the previous 11 financial years</w:t>
      </w:r>
      <w:r w:rsidR="00E65B6E">
        <w:t xml:space="preserve"> (</w:t>
      </w:r>
      <w:r w:rsidR="00FC6BB8">
        <w:t>t</w:t>
      </w:r>
      <w:r w:rsidR="004C0C2A">
        <w:t xml:space="preserve">able 4 and </w:t>
      </w:r>
      <w:r w:rsidR="00FC6BB8">
        <w:t>f</w:t>
      </w:r>
      <w:r w:rsidR="00227F09">
        <w:t>igure 1</w:t>
      </w:r>
      <w:r w:rsidR="00E65B6E">
        <w:t>)</w:t>
      </w:r>
      <w:r w:rsidR="006F6FEC">
        <w:t>.</w:t>
      </w:r>
    </w:p>
    <w:p w14:paraId="786D76E0" w14:textId="2A6177F8" w:rsidR="00D87A71" w:rsidRDefault="00D87A71">
      <w:pPr>
        <w:pStyle w:val="FigureTableHeading"/>
      </w:pPr>
      <w:r>
        <w:t xml:space="preserve">Table </w:t>
      </w:r>
      <w:r w:rsidR="00076161">
        <w:t>4</w:t>
      </w:r>
      <w:r>
        <w:rPr>
          <w:noProof/>
        </w:rPr>
        <w:t xml:space="preserve"> – </w:t>
      </w:r>
      <w:r w:rsidR="0007113A">
        <w:t xml:space="preserve">Revised consideration of </w:t>
      </w:r>
      <w:r w:rsidR="007760D3">
        <w:t>Australia Post’s rate of return</w:t>
      </w:r>
    </w:p>
    <w:tbl>
      <w:tblPr>
        <w:tblpPr w:leftFromText="180" w:rightFromText="180" w:vertAnchor="text" w:horzAnchor="margin" w:tblpY="23"/>
        <w:tblW w:w="9638"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42"/>
        <w:gridCol w:w="937"/>
        <w:gridCol w:w="1613"/>
        <w:gridCol w:w="1334"/>
        <w:gridCol w:w="1445"/>
        <w:gridCol w:w="1247"/>
        <w:gridCol w:w="2120"/>
      </w:tblGrid>
      <w:tr w:rsidR="008D422F" w:rsidRPr="008D422F" w14:paraId="19C4FA9D" w14:textId="4076C970" w:rsidTr="2D299F09">
        <w:trPr>
          <w:tblHeader/>
        </w:trPr>
        <w:tc>
          <w:tcPr>
            <w:tcW w:w="942" w:type="dxa"/>
            <w:tcBorders>
              <w:bottom w:val="single" w:sz="4" w:space="0" w:color="B3B3B3"/>
            </w:tcBorders>
            <w:vAlign w:val="bottom"/>
          </w:tcPr>
          <w:p w14:paraId="01628ACB" w14:textId="77777777" w:rsidR="00544631" w:rsidRPr="008D422F" w:rsidRDefault="00544631" w:rsidP="007760D3">
            <w:pPr>
              <w:spacing w:before="45" w:after="45"/>
              <w:ind w:right="108"/>
              <w:rPr>
                <w:rFonts w:ascii="Arial (Body)" w:hAnsi="Arial (Body)"/>
                <w:b/>
                <w:color w:val="265A9A"/>
                <w:sz w:val="18"/>
              </w:rPr>
            </w:pPr>
          </w:p>
        </w:tc>
        <w:tc>
          <w:tcPr>
            <w:tcW w:w="937" w:type="dxa"/>
            <w:tcBorders>
              <w:bottom w:val="single" w:sz="4" w:space="0" w:color="B3B3B3"/>
            </w:tcBorders>
            <w:vAlign w:val="bottom"/>
          </w:tcPr>
          <w:p w14:paraId="3C733370" w14:textId="253880BD" w:rsidR="00544631" w:rsidRPr="008D422F" w:rsidRDefault="00544631" w:rsidP="00072EDB">
            <w:pPr>
              <w:pStyle w:val="TableHeading"/>
              <w:jc w:val="right"/>
              <w:rPr>
                <w:rFonts w:ascii="Arial (Body)" w:hAnsi="Arial (Body)"/>
                <w:color w:val="265A9A"/>
                <w:vertAlign w:val="superscript"/>
              </w:rPr>
            </w:pPr>
            <w:r w:rsidRPr="2934A00B">
              <w:rPr>
                <w:rFonts w:ascii="Arial (Body)" w:hAnsi="Arial (Body)"/>
              </w:rPr>
              <w:t>Relevant assets</w:t>
            </w:r>
            <w:r w:rsidR="00A8209C" w:rsidRPr="2934A00B">
              <w:rPr>
                <w:rFonts w:ascii="Arial (Body)" w:hAnsi="Arial (Body)"/>
              </w:rPr>
              <w:t xml:space="preserve"> ($</w:t>
            </w:r>
            <w:proofErr w:type="gramStart"/>
            <w:r w:rsidR="00A8209C" w:rsidRPr="2934A00B">
              <w:rPr>
                <w:rFonts w:ascii="Arial (Body)" w:hAnsi="Arial (Body)"/>
              </w:rPr>
              <w:t>m)</w:t>
            </w:r>
            <w:r w:rsidR="00A8209C" w:rsidRPr="2934A00B">
              <w:rPr>
                <w:rFonts w:ascii="Arial (Body)" w:hAnsi="Arial (Body)"/>
                <w:vertAlign w:val="superscript"/>
              </w:rPr>
              <w:t>a</w:t>
            </w:r>
            <w:proofErr w:type="gramEnd"/>
          </w:p>
        </w:tc>
        <w:tc>
          <w:tcPr>
            <w:tcW w:w="1613" w:type="dxa"/>
            <w:tcBorders>
              <w:bottom w:val="single" w:sz="4" w:space="0" w:color="B3B3B3"/>
            </w:tcBorders>
            <w:vAlign w:val="bottom"/>
          </w:tcPr>
          <w:p w14:paraId="2A89112D" w14:textId="19D37A9C" w:rsidR="00544631" w:rsidRPr="008D422F" w:rsidRDefault="00544631" w:rsidP="00072EDB">
            <w:pPr>
              <w:pStyle w:val="TableHeading"/>
              <w:jc w:val="right"/>
              <w:rPr>
                <w:rFonts w:ascii="Arial (Body)" w:hAnsi="Arial (Body)"/>
                <w:color w:val="265A9A"/>
                <w:vertAlign w:val="superscript"/>
              </w:rPr>
            </w:pPr>
            <w:r w:rsidRPr="2934A00B">
              <w:rPr>
                <w:rFonts w:ascii="Arial (Body)" w:hAnsi="Arial (Body)"/>
              </w:rPr>
              <w:t>Adjusted pre-tax profit (loss)</w:t>
            </w:r>
            <w:r w:rsidR="00E113AB" w:rsidRPr="2934A00B">
              <w:rPr>
                <w:rFonts w:ascii="Arial (Body)" w:hAnsi="Arial (Body)"/>
              </w:rPr>
              <w:t xml:space="preserve"> ($</w:t>
            </w:r>
            <w:proofErr w:type="gramStart"/>
            <w:r w:rsidR="00E113AB" w:rsidRPr="2934A00B">
              <w:rPr>
                <w:rFonts w:ascii="Arial (Body)" w:hAnsi="Arial (Body)"/>
              </w:rPr>
              <w:t>m)</w:t>
            </w:r>
            <w:r w:rsidR="00080AF1" w:rsidRPr="2934A00B">
              <w:rPr>
                <w:rFonts w:ascii="Arial (Body)" w:hAnsi="Arial (Body)"/>
                <w:vertAlign w:val="superscript"/>
              </w:rPr>
              <w:t>b</w:t>
            </w:r>
            <w:proofErr w:type="gramEnd"/>
          </w:p>
        </w:tc>
        <w:tc>
          <w:tcPr>
            <w:tcW w:w="1334" w:type="dxa"/>
            <w:tcBorders>
              <w:bottom w:val="single" w:sz="4" w:space="0" w:color="B3B3B3"/>
            </w:tcBorders>
            <w:vAlign w:val="bottom"/>
          </w:tcPr>
          <w:p w14:paraId="6764C735" w14:textId="43EE20E9" w:rsidR="00544631" w:rsidRPr="008D422F" w:rsidRDefault="00544631" w:rsidP="00072EDB">
            <w:pPr>
              <w:pStyle w:val="TableHeading"/>
              <w:jc w:val="right"/>
              <w:rPr>
                <w:rFonts w:ascii="Arial (Body)" w:hAnsi="Arial (Body)"/>
                <w:color w:val="265A9A"/>
              </w:rPr>
            </w:pPr>
            <w:r w:rsidRPr="008D422F">
              <w:rPr>
                <w:rFonts w:ascii="Arial (Body)" w:hAnsi="Arial (Body)"/>
                <w:color w:val="265A9A"/>
              </w:rPr>
              <w:t xml:space="preserve">Rate of </w:t>
            </w:r>
            <w:r w:rsidR="00A176DC">
              <w:rPr>
                <w:rFonts w:ascii="Arial (Body)" w:hAnsi="Arial (Body)"/>
                <w:color w:val="265A9A"/>
              </w:rPr>
              <w:br/>
            </w:r>
            <w:r w:rsidRPr="008D422F">
              <w:rPr>
                <w:rFonts w:ascii="Arial (Body)" w:hAnsi="Arial (Body)"/>
                <w:color w:val="265A9A"/>
              </w:rPr>
              <w:t>return</w:t>
            </w:r>
            <w:r w:rsidR="003A1A6D" w:rsidRPr="008D422F">
              <w:rPr>
                <w:rFonts w:ascii="Arial (Body)" w:hAnsi="Arial (Body)"/>
                <w:color w:val="265A9A"/>
              </w:rPr>
              <w:t xml:space="preserve"> (%)</w:t>
            </w:r>
          </w:p>
        </w:tc>
        <w:tc>
          <w:tcPr>
            <w:tcW w:w="1445" w:type="dxa"/>
            <w:tcBorders>
              <w:bottom w:val="single" w:sz="4" w:space="0" w:color="B3B3B3"/>
            </w:tcBorders>
            <w:vAlign w:val="bottom"/>
          </w:tcPr>
          <w:p w14:paraId="203B309F" w14:textId="2FFE256A" w:rsidR="00544631" w:rsidRPr="008D422F" w:rsidRDefault="00544631" w:rsidP="00072EDB">
            <w:pPr>
              <w:pStyle w:val="TableHeading"/>
              <w:jc w:val="right"/>
              <w:rPr>
                <w:rFonts w:ascii="Arial (Body)" w:hAnsi="Arial (Body)"/>
                <w:color w:val="265A9A"/>
                <w:vertAlign w:val="superscript"/>
              </w:rPr>
            </w:pPr>
            <w:r w:rsidRPr="2934A00B">
              <w:rPr>
                <w:rFonts w:ascii="Arial (Body)" w:hAnsi="Arial (Body)"/>
              </w:rPr>
              <w:t xml:space="preserve">Long-term </w:t>
            </w:r>
            <w:r w:rsidR="00A176DC">
              <w:rPr>
                <w:rFonts w:ascii="Arial (Body)" w:hAnsi="Arial (Body)"/>
              </w:rPr>
              <w:br/>
            </w:r>
            <w:r w:rsidRPr="2934A00B">
              <w:rPr>
                <w:rFonts w:ascii="Arial (Body)" w:hAnsi="Arial (Body)"/>
              </w:rPr>
              <w:t>bond rate</w:t>
            </w:r>
            <w:r w:rsidR="003A1A6D" w:rsidRPr="2934A00B">
              <w:rPr>
                <w:rFonts w:ascii="Arial (Body)" w:hAnsi="Arial (Body)"/>
              </w:rPr>
              <w:t xml:space="preserve"> (</w:t>
            </w:r>
            <w:proofErr w:type="gramStart"/>
            <w:r w:rsidR="003A1A6D" w:rsidRPr="2934A00B">
              <w:rPr>
                <w:rFonts w:ascii="Arial (Body)" w:hAnsi="Arial (Body)"/>
              </w:rPr>
              <w:t>%)</w:t>
            </w:r>
            <w:r w:rsidR="00140C8E" w:rsidRPr="2934A00B">
              <w:rPr>
                <w:rFonts w:ascii="Arial (Body)" w:hAnsi="Arial (Body)"/>
                <w:vertAlign w:val="superscript"/>
              </w:rPr>
              <w:t>c</w:t>
            </w:r>
            <w:proofErr w:type="gramEnd"/>
          </w:p>
        </w:tc>
        <w:tc>
          <w:tcPr>
            <w:tcW w:w="1247" w:type="dxa"/>
            <w:tcBorders>
              <w:bottom w:val="single" w:sz="4" w:space="0" w:color="B3B3B3"/>
            </w:tcBorders>
            <w:vAlign w:val="bottom"/>
          </w:tcPr>
          <w:p w14:paraId="12F7F367" w14:textId="2FF4F132" w:rsidR="00544631" w:rsidRPr="008D422F" w:rsidRDefault="00544631" w:rsidP="00072EDB">
            <w:pPr>
              <w:pStyle w:val="TableHeading"/>
              <w:jc w:val="right"/>
              <w:rPr>
                <w:rFonts w:ascii="Arial (Body)" w:hAnsi="Arial (Body)"/>
                <w:color w:val="265A9A"/>
              </w:rPr>
            </w:pPr>
            <w:r w:rsidRPr="2D299F09">
              <w:rPr>
                <w:rFonts w:ascii="Arial (Body)" w:hAnsi="Arial (Body)"/>
              </w:rPr>
              <w:t>Margin for risk</w:t>
            </w:r>
            <w:r w:rsidR="003A1A6D" w:rsidRPr="2D299F09">
              <w:rPr>
                <w:rFonts w:ascii="Arial (Body)" w:hAnsi="Arial (Body)"/>
              </w:rPr>
              <w:t xml:space="preserve"> (%)</w:t>
            </w:r>
          </w:p>
        </w:tc>
        <w:tc>
          <w:tcPr>
            <w:tcW w:w="2120" w:type="dxa"/>
            <w:tcBorders>
              <w:bottom w:val="single" w:sz="4" w:space="0" w:color="B3B3B3"/>
            </w:tcBorders>
            <w:vAlign w:val="bottom"/>
          </w:tcPr>
          <w:p w14:paraId="281AA295" w14:textId="38F23BBF" w:rsidR="00544631" w:rsidRPr="008D422F" w:rsidRDefault="00544631" w:rsidP="00072EDB">
            <w:pPr>
              <w:pStyle w:val="TableHeading"/>
              <w:jc w:val="right"/>
              <w:rPr>
                <w:rFonts w:ascii="Arial (Body)" w:hAnsi="Arial (Body)"/>
                <w:color w:val="265A9A"/>
              </w:rPr>
            </w:pPr>
            <w:r w:rsidRPr="008D422F">
              <w:rPr>
                <w:rFonts w:ascii="Arial (Body)" w:hAnsi="Arial (Body)"/>
                <w:color w:val="265A9A"/>
              </w:rPr>
              <w:t>Benchmark range</w:t>
            </w:r>
            <w:r w:rsidR="003A1A6D" w:rsidRPr="008D422F">
              <w:rPr>
                <w:rFonts w:ascii="Arial (Body)" w:hAnsi="Arial (Body)"/>
                <w:color w:val="265A9A"/>
              </w:rPr>
              <w:t xml:space="preserve"> (%)</w:t>
            </w:r>
          </w:p>
        </w:tc>
      </w:tr>
      <w:tr w:rsidR="006E0F18" w:rsidRPr="008D422F" w14:paraId="6A478427" w14:textId="002C4BDC" w:rsidTr="2D299F09">
        <w:tc>
          <w:tcPr>
            <w:tcW w:w="942" w:type="dxa"/>
            <w:tcBorders>
              <w:top w:val="single" w:sz="4" w:space="0" w:color="B3B3B3"/>
              <w:bottom w:val="nil"/>
            </w:tcBorders>
            <w:shd w:val="clear" w:color="auto" w:fill="F2F2F2" w:themeFill="background1" w:themeFillShade="F2"/>
          </w:tcPr>
          <w:p w14:paraId="34CF0B03" w14:textId="6F0DFB7C" w:rsidR="006E0F18" w:rsidRPr="008D422F" w:rsidRDefault="006E0F18" w:rsidP="006E0F18">
            <w:pPr>
              <w:pStyle w:val="TableHeading"/>
              <w:rPr>
                <w:rFonts w:ascii="Arial (Body)" w:hAnsi="Arial (Body)"/>
                <w:color w:val="265A9A"/>
              </w:rPr>
            </w:pPr>
            <w:r w:rsidRPr="008D422F">
              <w:rPr>
                <w:rFonts w:ascii="Arial (Body)" w:hAnsi="Arial (Body)"/>
                <w:color w:val="265A9A"/>
              </w:rPr>
              <w:t>2013-14</w:t>
            </w:r>
          </w:p>
        </w:tc>
        <w:tc>
          <w:tcPr>
            <w:tcW w:w="937" w:type="dxa"/>
            <w:tcBorders>
              <w:top w:val="single" w:sz="4" w:space="0" w:color="B3B3B3"/>
              <w:bottom w:val="nil"/>
            </w:tcBorders>
            <w:shd w:val="clear" w:color="auto" w:fill="F2F2F2" w:themeFill="background1" w:themeFillShade="F2"/>
          </w:tcPr>
          <w:p w14:paraId="05E651DA" w14:textId="10C4CC3A"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3452.6</w:t>
            </w:r>
          </w:p>
        </w:tc>
        <w:tc>
          <w:tcPr>
            <w:tcW w:w="1613" w:type="dxa"/>
            <w:tcBorders>
              <w:top w:val="single" w:sz="4" w:space="0" w:color="B3B3B3"/>
              <w:bottom w:val="nil"/>
            </w:tcBorders>
            <w:shd w:val="clear" w:color="auto" w:fill="F2F2F2" w:themeFill="background1" w:themeFillShade="F2"/>
          </w:tcPr>
          <w:p w14:paraId="6FDED0EA" w14:textId="334BC390"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336.5</w:t>
            </w:r>
          </w:p>
        </w:tc>
        <w:tc>
          <w:tcPr>
            <w:tcW w:w="1334" w:type="dxa"/>
            <w:tcBorders>
              <w:top w:val="single" w:sz="4" w:space="0" w:color="B3B3B3"/>
              <w:bottom w:val="nil"/>
            </w:tcBorders>
            <w:shd w:val="clear" w:color="auto" w:fill="F2F2F2" w:themeFill="background1" w:themeFillShade="F2"/>
          </w:tcPr>
          <w:p w14:paraId="52018E1A" w14:textId="7C9A3FA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9.7</w:t>
            </w:r>
          </w:p>
        </w:tc>
        <w:tc>
          <w:tcPr>
            <w:tcW w:w="1445" w:type="dxa"/>
            <w:tcBorders>
              <w:top w:val="single" w:sz="4" w:space="0" w:color="B3B3B3"/>
              <w:bottom w:val="nil"/>
            </w:tcBorders>
            <w:shd w:val="clear" w:color="auto" w:fill="F2F2F2" w:themeFill="background1" w:themeFillShade="F2"/>
          </w:tcPr>
          <w:p w14:paraId="20B56745" w14:textId="00980B68"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3.71</w:t>
            </w:r>
          </w:p>
        </w:tc>
        <w:tc>
          <w:tcPr>
            <w:tcW w:w="1247" w:type="dxa"/>
            <w:tcBorders>
              <w:top w:val="single" w:sz="4" w:space="0" w:color="B3B3B3"/>
              <w:bottom w:val="nil"/>
            </w:tcBorders>
            <w:shd w:val="clear" w:color="auto" w:fill="F2F2F2" w:themeFill="background1" w:themeFillShade="F2"/>
          </w:tcPr>
          <w:p w14:paraId="6A5D2C2B" w14:textId="6C87BAFC"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top w:val="single" w:sz="4" w:space="0" w:color="B3B3B3"/>
              <w:bottom w:val="nil"/>
            </w:tcBorders>
            <w:shd w:val="clear" w:color="auto" w:fill="F2F2F2" w:themeFill="background1" w:themeFillShade="F2"/>
          </w:tcPr>
          <w:p w14:paraId="3E66DE8F" w14:textId="57C8052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8</w:t>
            </w:r>
            <w:r w:rsidRPr="008D422F">
              <w:rPr>
                <w:rFonts w:ascii="Arial (Body)" w:eastAsia="Arial" w:hAnsi="Arial (Body)" w:cs="Arial"/>
                <w:color w:val="000000"/>
                <w:szCs w:val="18"/>
              </w:rPr>
              <w:t xml:space="preserve">.7 – </w:t>
            </w:r>
            <w:r>
              <w:rPr>
                <w:rFonts w:ascii="Arial (Body)" w:eastAsia="Arial" w:hAnsi="Arial (Body)" w:cs="Arial"/>
                <w:color w:val="000000"/>
                <w:szCs w:val="18"/>
              </w:rPr>
              <w:t>9</w:t>
            </w:r>
            <w:r w:rsidRPr="008D422F">
              <w:rPr>
                <w:rFonts w:ascii="Arial (Body)" w:eastAsia="Arial" w:hAnsi="Arial (Body)" w:cs="Arial"/>
                <w:color w:val="000000"/>
                <w:szCs w:val="18"/>
              </w:rPr>
              <w:t>.</w:t>
            </w:r>
            <w:r>
              <w:rPr>
                <w:rFonts w:ascii="Arial (Body)" w:eastAsia="Arial" w:hAnsi="Arial (Body)" w:cs="Arial"/>
                <w:color w:val="000000"/>
                <w:szCs w:val="18"/>
              </w:rPr>
              <w:t>9</w:t>
            </w:r>
          </w:p>
        </w:tc>
      </w:tr>
      <w:tr w:rsidR="006E0F18" w:rsidRPr="008D422F" w14:paraId="209A3AD5" w14:textId="686FE6B9" w:rsidTr="2D299F09">
        <w:tc>
          <w:tcPr>
            <w:tcW w:w="942" w:type="dxa"/>
            <w:tcBorders>
              <w:top w:val="nil"/>
              <w:bottom w:val="nil"/>
            </w:tcBorders>
          </w:tcPr>
          <w:p w14:paraId="54A5ADF3" w14:textId="0675C90C" w:rsidR="006E0F18" w:rsidRPr="008D422F" w:rsidRDefault="006E0F18" w:rsidP="006E0F18">
            <w:pPr>
              <w:pStyle w:val="TableHeading"/>
              <w:rPr>
                <w:rFonts w:ascii="Arial (Body)" w:hAnsi="Arial (Body)"/>
                <w:color w:val="265A9A"/>
              </w:rPr>
            </w:pPr>
            <w:r w:rsidRPr="008D422F">
              <w:rPr>
                <w:rFonts w:ascii="Arial (Body)" w:hAnsi="Arial (Body)"/>
                <w:color w:val="265A9A"/>
              </w:rPr>
              <w:t>2014-15</w:t>
            </w:r>
          </w:p>
        </w:tc>
        <w:tc>
          <w:tcPr>
            <w:tcW w:w="937" w:type="dxa"/>
            <w:tcBorders>
              <w:top w:val="nil"/>
              <w:bottom w:val="nil"/>
            </w:tcBorders>
          </w:tcPr>
          <w:p w14:paraId="730F1EB0" w14:textId="2F7A7107"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3361.1</w:t>
            </w:r>
          </w:p>
        </w:tc>
        <w:tc>
          <w:tcPr>
            <w:tcW w:w="1613" w:type="dxa"/>
            <w:tcBorders>
              <w:top w:val="nil"/>
              <w:bottom w:val="nil"/>
            </w:tcBorders>
          </w:tcPr>
          <w:p w14:paraId="261936DB" w14:textId="4489E448"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hAnsi="Arial (Body)"/>
                <w:color w:val="000000"/>
              </w:rPr>
              <w:t>(</w:t>
            </w:r>
            <w:r>
              <w:rPr>
                <w:rFonts w:ascii="Arial (Body)" w:hAnsi="Arial (Body)"/>
                <w:color w:val="000000"/>
              </w:rPr>
              <w:t>115.3</w:t>
            </w:r>
            <w:r w:rsidRPr="008D422F">
              <w:rPr>
                <w:rFonts w:ascii="Arial (Body)" w:hAnsi="Arial (Body)"/>
                <w:color w:val="000000"/>
              </w:rPr>
              <w:t>)</w:t>
            </w:r>
          </w:p>
        </w:tc>
        <w:tc>
          <w:tcPr>
            <w:tcW w:w="1334" w:type="dxa"/>
            <w:tcBorders>
              <w:top w:val="nil"/>
              <w:bottom w:val="nil"/>
            </w:tcBorders>
          </w:tcPr>
          <w:p w14:paraId="305A3F35" w14:textId="56E2747E"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w:t>
            </w:r>
            <w:r>
              <w:rPr>
                <w:rFonts w:ascii="Arial (Body)" w:eastAsia="Arial" w:hAnsi="Arial (Body)" w:cs="Arial"/>
                <w:color w:val="000000"/>
                <w:szCs w:val="18"/>
              </w:rPr>
              <w:t>3.4</w:t>
            </w:r>
            <w:r w:rsidRPr="008D422F">
              <w:rPr>
                <w:rFonts w:ascii="Arial (Body)" w:eastAsia="Arial" w:hAnsi="Arial (Body)" w:cs="Arial"/>
                <w:color w:val="000000"/>
                <w:szCs w:val="18"/>
              </w:rPr>
              <w:t>)</w:t>
            </w:r>
          </w:p>
        </w:tc>
        <w:tc>
          <w:tcPr>
            <w:tcW w:w="1445" w:type="dxa"/>
            <w:tcBorders>
              <w:top w:val="nil"/>
              <w:bottom w:val="nil"/>
            </w:tcBorders>
          </w:tcPr>
          <w:p w14:paraId="1137B151" w14:textId="63FA4449"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3.00</w:t>
            </w:r>
          </w:p>
        </w:tc>
        <w:tc>
          <w:tcPr>
            <w:tcW w:w="1247" w:type="dxa"/>
            <w:tcBorders>
              <w:top w:val="nil"/>
              <w:bottom w:val="nil"/>
            </w:tcBorders>
          </w:tcPr>
          <w:p w14:paraId="42A02C80" w14:textId="088528C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top w:val="nil"/>
              <w:bottom w:val="nil"/>
            </w:tcBorders>
          </w:tcPr>
          <w:p w14:paraId="27F334AE" w14:textId="6FFED710"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8</w:t>
            </w:r>
            <w:r w:rsidRPr="008D422F">
              <w:rPr>
                <w:rFonts w:ascii="Arial (Body)" w:eastAsia="Arial" w:hAnsi="Arial (Body)" w:cs="Arial"/>
                <w:color w:val="000000"/>
                <w:szCs w:val="18"/>
              </w:rPr>
              <w:t xml:space="preserve">.0 – </w:t>
            </w:r>
            <w:r>
              <w:rPr>
                <w:rFonts w:ascii="Arial (Body)" w:eastAsia="Arial" w:hAnsi="Arial (Body)" w:cs="Arial"/>
                <w:color w:val="000000"/>
                <w:szCs w:val="18"/>
              </w:rPr>
              <w:t>9.2</w:t>
            </w:r>
          </w:p>
        </w:tc>
      </w:tr>
      <w:tr w:rsidR="006E0F18" w:rsidRPr="008D422F" w14:paraId="71DCE911" w14:textId="3CBC55F6" w:rsidTr="2D299F09">
        <w:tc>
          <w:tcPr>
            <w:tcW w:w="942" w:type="dxa"/>
            <w:tcBorders>
              <w:bottom w:val="nil"/>
            </w:tcBorders>
            <w:shd w:val="clear" w:color="auto" w:fill="F2F2F2" w:themeFill="background1" w:themeFillShade="F2"/>
          </w:tcPr>
          <w:p w14:paraId="57CFBF04" w14:textId="6FAE94B8" w:rsidR="006E0F18" w:rsidRPr="008D422F" w:rsidRDefault="006E0F18" w:rsidP="006E0F18">
            <w:pPr>
              <w:pStyle w:val="TableHeading"/>
              <w:rPr>
                <w:rFonts w:ascii="Arial (Body)" w:hAnsi="Arial (Body)"/>
                <w:color w:val="265A9A"/>
              </w:rPr>
            </w:pPr>
            <w:r w:rsidRPr="008D422F">
              <w:rPr>
                <w:rFonts w:ascii="Arial (Body)" w:hAnsi="Arial (Body)"/>
                <w:color w:val="265A9A"/>
              </w:rPr>
              <w:t>2015-16</w:t>
            </w:r>
          </w:p>
        </w:tc>
        <w:tc>
          <w:tcPr>
            <w:tcW w:w="937" w:type="dxa"/>
            <w:tcBorders>
              <w:bottom w:val="nil"/>
            </w:tcBorders>
            <w:shd w:val="clear" w:color="auto" w:fill="F2F2F2" w:themeFill="background1" w:themeFillShade="F2"/>
          </w:tcPr>
          <w:p w14:paraId="57DFDAC9" w14:textId="1E8D792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3479.7</w:t>
            </w:r>
          </w:p>
        </w:tc>
        <w:tc>
          <w:tcPr>
            <w:tcW w:w="1613" w:type="dxa"/>
            <w:tcBorders>
              <w:bottom w:val="nil"/>
            </w:tcBorders>
            <w:shd w:val="clear" w:color="auto" w:fill="F2F2F2" w:themeFill="background1" w:themeFillShade="F2"/>
          </w:tcPr>
          <w:p w14:paraId="41D94529" w14:textId="489BDA24"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251.9</w:t>
            </w:r>
          </w:p>
        </w:tc>
        <w:tc>
          <w:tcPr>
            <w:tcW w:w="1334" w:type="dxa"/>
            <w:tcBorders>
              <w:bottom w:val="nil"/>
            </w:tcBorders>
            <w:shd w:val="clear" w:color="auto" w:fill="F2F2F2" w:themeFill="background1" w:themeFillShade="F2"/>
          </w:tcPr>
          <w:p w14:paraId="473EFE33" w14:textId="1E0C852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7.2</w:t>
            </w:r>
          </w:p>
        </w:tc>
        <w:tc>
          <w:tcPr>
            <w:tcW w:w="1445" w:type="dxa"/>
            <w:tcBorders>
              <w:bottom w:val="nil"/>
            </w:tcBorders>
            <w:shd w:val="clear" w:color="auto" w:fill="F2F2F2" w:themeFill="background1" w:themeFillShade="F2"/>
          </w:tcPr>
          <w:p w14:paraId="56AACF3B" w14:textId="131A8482"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2.12</w:t>
            </w:r>
          </w:p>
        </w:tc>
        <w:tc>
          <w:tcPr>
            <w:tcW w:w="1247" w:type="dxa"/>
            <w:tcBorders>
              <w:bottom w:val="nil"/>
            </w:tcBorders>
            <w:shd w:val="clear" w:color="auto" w:fill="F2F2F2" w:themeFill="background1" w:themeFillShade="F2"/>
          </w:tcPr>
          <w:p w14:paraId="7FB1AE8D" w14:textId="2123934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bottom w:val="nil"/>
            </w:tcBorders>
            <w:shd w:val="clear" w:color="auto" w:fill="F2F2F2" w:themeFill="background1" w:themeFillShade="F2"/>
          </w:tcPr>
          <w:p w14:paraId="203A8853" w14:textId="4B92812D"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7</w:t>
            </w:r>
            <w:r w:rsidRPr="008D422F">
              <w:rPr>
                <w:rFonts w:ascii="Arial (Body)" w:eastAsia="Arial" w:hAnsi="Arial (Body)" w:cs="Arial"/>
                <w:color w:val="000000"/>
                <w:szCs w:val="18"/>
              </w:rPr>
              <w:t xml:space="preserve">.1 </w:t>
            </w:r>
            <w:r>
              <w:rPr>
                <w:rFonts w:ascii="Arial (Body)" w:eastAsia="Arial" w:hAnsi="Arial (Body)" w:cs="Arial"/>
                <w:color w:val="000000"/>
                <w:szCs w:val="18"/>
              </w:rPr>
              <w:t>– 8.3</w:t>
            </w:r>
          </w:p>
        </w:tc>
      </w:tr>
      <w:tr w:rsidR="006E0F18" w:rsidRPr="008D422F" w14:paraId="5EB0DDC4" w14:textId="77777777" w:rsidTr="2D299F09">
        <w:tc>
          <w:tcPr>
            <w:tcW w:w="942" w:type="dxa"/>
            <w:tcBorders>
              <w:top w:val="nil"/>
              <w:bottom w:val="nil"/>
            </w:tcBorders>
          </w:tcPr>
          <w:p w14:paraId="24459D33" w14:textId="178C3C00" w:rsidR="006E0F18" w:rsidRPr="008D422F" w:rsidRDefault="006E0F18" w:rsidP="006E0F18">
            <w:pPr>
              <w:pStyle w:val="TableHeading"/>
              <w:rPr>
                <w:rFonts w:ascii="Arial (Body)" w:hAnsi="Arial (Body)"/>
                <w:color w:val="265A9A"/>
              </w:rPr>
            </w:pPr>
            <w:r w:rsidRPr="008D422F">
              <w:rPr>
                <w:rFonts w:ascii="Arial (Body)" w:hAnsi="Arial (Body)"/>
                <w:color w:val="265A9A"/>
              </w:rPr>
              <w:t>2016-17</w:t>
            </w:r>
          </w:p>
        </w:tc>
        <w:tc>
          <w:tcPr>
            <w:tcW w:w="937" w:type="dxa"/>
            <w:tcBorders>
              <w:top w:val="nil"/>
              <w:bottom w:val="nil"/>
            </w:tcBorders>
          </w:tcPr>
          <w:p w14:paraId="1DAC765C" w14:textId="4E7282AC"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3627.7</w:t>
            </w:r>
          </w:p>
        </w:tc>
        <w:tc>
          <w:tcPr>
            <w:tcW w:w="1613" w:type="dxa"/>
            <w:tcBorders>
              <w:top w:val="nil"/>
              <w:bottom w:val="nil"/>
            </w:tcBorders>
          </w:tcPr>
          <w:p w14:paraId="7C45702D" w14:textId="615CD620"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557.3</w:t>
            </w:r>
          </w:p>
        </w:tc>
        <w:tc>
          <w:tcPr>
            <w:tcW w:w="1334" w:type="dxa"/>
            <w:tcBorders>
              <w:top w:val="nil"/>
              <w:bottom w:val="nil"/>
            </w:tcBorders>
          </w:tcPr>
          <w:p w14:paraId="0EED5680" w14:textId="34D09EF0"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15.4</w:t>
            </w:r>
          </w:p>
        </w:tc>
        <w:tc>
          <w:tcPr>
            <w:tcW w:w="1445" w:type="dxa"/>
            <w:tcBorders>
              <w:top w:val="nil"/>
              <w:bottom w:val="nil"/>
            </w:tcBorders>
          </w:tcPr>
          <w:p w14:paraId="421C328F" w14:textId="7B5A21F3"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2.42</w:t>
            </w:r>
          </w:p>
        </w:tc>
        <w:tc>
          <w:tcPr>
            <w:tcW w:w="1247" w:type="dxa"/>
            <w:tcBorders>
              <w:top w:val="nil"/>
              <w:bottom w:val="nil"/>
            </w:tcBorders>
          </w:tcPr>
          <w:p w14:paraId="4ECC6B6B" w14:textId="2003B94F"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top w:val="nil"/>
              <w:bottom w:val="nil"/>
            </w:tcBorders>
          </w:tcPr>
          <w:p w14:paraId="1341CF0D" w14:textId="18C99A65"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7</w:t>
            </w:r>
            <w:r w:rsidRPr="008D422F">
              <w:rPr>
                <w:rFonts w:ascii="Arial (Body)" w:eastAsia="Arial" w:hAnsi="Arial (Body)" w:cs="Arial"/>
                <w:color w:val="000000"/>
                <w:szCs w:val="18"/>
              </w:rPr>
              <w:t xml:space="preserve">.4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8.</w:t>
            </w:r>
            <w:r w:rsidRPr="008D422F">
              <w:rPr>
                <w:rFonts w:ascii="Arial (Body)" w:eastAsia="Arial" w:hAnsi="Arial (Body)" w:cs="Arial"/>
                <w:color w:val="000000"/>
                <w:szCs w:val="18"/>
              </w:rPr>
              <w:t>6</w:t>
            </w:r>
          </w:p>
        </w:tc>
      </w:tr>
      <w:tr w:rsidR="006E0F18" w:rsidRPr="008D422F" w14:paraId="41662147" w14:textId="77777777" w:rsidTr="2D299F09">
        <w:tc>
          <w:tcPr>
            <w:tcW w:w="942" w:type="dxa"/>
            <w:tcBorders>
              <w:bottom w:val="nil"/>
            </w:tcBorders>
            <w:shd w:val="clear" w:color="auto" w:fill="F2F2F2" w:themeFill="background1" w:themeFillShade="F2"/>
          </w:tcPr>
          <w:p w14:paraId="3D23C147" w14:textId="79E687DD" w:rsidR="006E0F18" w:rsidRPr="008D422F" w:rsidRDefault="006E0F18" w:rsidP="006E0F18">
            <w:pPr>
              <w:pStyle w:val="TableHeading"/>
              <w:rPr>
                <w:rFonts w:ascii="Arial (Body)" w:hAnsi="Arial (Body)"/>
                <w:color w:val="265A9A"/>
              </w:rPr>
            </w:pPr>
            <w:r w:rsidRPr="008D422F">
              <w:rPr>
                <w:rFonts w:ascii="Arial (Body)" w:hAnsi="Arial (Body)"/>
                <w:color w:val="265A9A"/>
              </w:rPr>
              <w:t>2017-18</w:t>
            </w:r>
          </w:p>
        </w:tc>
        <w:tc>
          <w:tcPr>
            <w:tcW w:w="937" w:type="dxa"/>
            <w:tcBorders>
              <w:bottom w:val="nil"/>
            </w:tcBorders>
            <w:shd w:val="clear" w:color="auto" w:fill="F2F2F2" w:themeFill="background1" w:themeFillShade="F2"/>
          </w:tcPr>
          <w:p w14:paraId="1FBAA02E" w14:textId="0934DB6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3502.8</w:t>
            </w:r>
          </w:p>
        </w:tc>
        <w:tc>
          <w:tcPr>
            <w:tcW w:w="1613" w:type="dxa"/>
            <w:tcBorders>
              <w:bottom w:val="nil"/>
            </w:tcBorders>
            <w:shd w:val="clear" w:color="auto" w:fill="F2F2F2" w:themeFill="background1" w:themeFillShade="F2"/>
          </w:tcPr>
          <w:p w14:paraId="559FC0F4" w14:textId="426E312F"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541.5</w:t>
            </w:r>
          </w:p>
        </w:tc>
        <w:tc>
          <w:tcPr>
            <w:tcW w:w="1334" w:type="dxa"/>
            <w:tcBorders>
              <w:bottom w:val="nil"/>
            </w:tcBorders>
            <w:shd w:val="clear" w:color="auto" w:fill="F2F2F2" w:themeFill="background1" w:themeFillShade="F2"/>
          </w:tcPr>
          <w:p w14:paraId="6CBA2BFA" w14:textId="1861A34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15.5</w:t>
            </w:r>
          </w:p>
        </w:tc>
        <w:tc>
          <w:tcPr>
            <w:tcW w:w="1445" w:type="dxa"/>
            <w:tcBorders>
              <w:bottom w:val="nil"/>
            </w:tcBorders>
            <w:shd w:val="clear" w:color="auto" w:fill="F2F2F2" w:themeFill="background1" w:themeFillShade="F2"/>
          </w:tcPr>
          <w:p w14:paraId="3D35FFC5" w14:textId="4BD5665B"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2.70</w:t>
            </w:r>
          </w:p>
        </w:tc>
        <w:tc>
          <w:tcPr>
            <w:tcW w:w="1247" w:type="dxa"/>
            <w:tcBorders>
              <w:bottom w:val="nil"/>
            </w:tcBorders>
            <w:shd w:val="clear" w:color="auto" w:fill="F2F2F2" w:themeFill="background1" w:themeFillShade="F2"/>
          </w:tcPr>
          <w:p w14:paraId="5BA1FC69" w14:textId="658DE3F9"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bottom w:val="nil"/>
            </w:tcBorders>
            <w:shd w:val="clear" w:color="auto" w:fill="F2F2F2" w:themeFill="background1" w:themeFillShade="F2"/>
          </w:tcPr>
          <w:p w14:paraId="705D2BCC" w14:textId="3F74CF8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7</w:t>
            </w:r>
            <w:r w:rsidRPr="008D422F">
              <w:rPr>
                <w:rFonts w:ascii="Arial (Body)" w:eastAsia="Arial" w:hAnsi="Arial (Body)" w:cs="Arial"/>
                <w:color w:val="000000"/>
                <w:szCs w:val="18"/>
              </w:rPr>
              <w:t xml:space="preserve">.7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8.9</w:t>
            </w:r>
          </w:p>
        </w:tc>
      </w:tr>
      <w:tr w:rsidR="006E0F18" w:rsidRPr="008D422F" w14:paraId="5D356232" w14:textId="77777777" w:rsidTr="2D299F09">
        <w:tc>
          <w:tcPr>
            <w:tcW w:w="942" w:type="dxa"/>
            <w:tcBorders>
              <w:top w:val="nil"/>
              <w:bottom w:val="nil"/>
            </w:tcBorders>
          </w:tcPr>
          <w:p w14:paraId="796945D0" w14:textId="1BF72E83" w:rsidR="006E0F18" w:rsidRPr="008D422F" w:rsidRDefault="006E0F18" w:rsidP="006E0F18">
            <w:pPr>
              <w:pStyle w:val="TableHeading"/>
              <w:rPr>
                <w:rFonts w:ascii="Arial (Body)" w:hAnsi="Arial (Body)"/>
                <w:color w:val="265A9A"/>
              </w:rPr>
            </w:pPr>
            <w:r w:rsidRPr="008D422F">
              <w:rPr>
                <w:rFonts w:ascii="Arial (Body)" w:hAnsi="Arial (Body)"/>
                <w:color w:val="265A9A"/>
              </w:rPr>
              <w:t>2018-19</w:t>
            </w:r>
          </w:p>
        </w:tc>
        <w:tc>
          <w:tcPr>
            <w:tcW w:w="937" w:type="dxa"/>
            <w:tcBorders>
              <w:top w:val="nil"/>
              <w:bottom w:val="nil"/>
            </w:tcBorders>
          </w:tcPr>
          <w:p w14:paraId="56A83113" w14:textId="7F4B54DF"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3514.0</w:t>
            </w:r>
          </w:p>
        </w:tc>
        <w:tc>
          <w:tcPr>
            <w:tcW w:w="1613" w:type="dxa"/>
            <w:tcBorders>
              <w:top w:val="nil"/>
              <w:bottom w:val="nil"/>
            </w:tcBorders>
          </w:tcPr>
          <w:p w14:paraId="0D6F9121" w14:textId="6AD656EB"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459.3</w:t>
            </w:r>
          </w:p>
        </w:tc>
        <w:tc>
          <w:tcPr>
            <w:tcW w:w="1334" w:type="dxa"/>
            <w:tcBorders>
              <w:top w:val="nil"/>
              <w:bottom w:val="nil"/>
            </w:tcBorders>
          </w:tcPr>
          <w:p w14:paraId="0C1F4FB2" w14:textId="3BD16DC8"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13.1</w:t>
            </w:r>
          </w:p>
        </w:tc>
        <w:tc>
          <w:tcPr>
            <w:tcW w:w="1445" w:type="dxa"/>
            <w:tcBorders>
              <w:top w:val="nil"/>
              <w:bottom w:val="nil"/>
            </w:tcBorders>
          </w:tcPr>
          <w:p w14:paraId="284115B0" w14:textId="54C48D4B"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1.39</w:t>
            </w:r>
          </w:p>
        </w:tc>
        <w:tc>
          <w:tcPr>
            <w:tcW w:w="1247" w:type="dxa"/>
            <w:tcBorders>
              <w:top w:val="nil"/>
              <w:bottom w:val="nil"/>
            </w:tcBorders>
          </w:tcPr>
          <w:p w14:paraId="63E9D95A" w14:textId="7FB122E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top w:val="nil"/>
              <w:bottom w:val="nil"/>
            </w:tcBorders>
          </w:tcPr>
          <w:p w14:paraId="1D44386D" w14:textId="1C4BF1DC"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6</w:t>
            </w:r>
            <w:r w:rsidRPr="008D422F">
              <w:rPr>
                <w:rFonts w:ascii="Arial (Body)" w:eastAsia="Arial" w:hAnsi="Arial (Body)" w:cs="Arial"/>
                <w:color w:val="000000"/>
                <w:szCs w:val="18"/>
              </w:rPr>
              <w:t xml:space="preserve">.4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7.6</w:t>
            </w:r>
          </w:p>
        </w:tc>
      </w:tr>
      <w:tr w:rsidR="006E0F18" w:rsidRPr="008D422F" w14:paraId="6EF5633E" w14:textId="77777777" w:rsidTr="2D299F09">
        <w:tc>
          <w:tcPr>
            <w:tcW w:w="942" w:type="dxa"/>
            <w:tcBorders>
              <w:bottom w:val="nil"/>
            </w:tcBorders>
            <w:shd w:val="clear" w:color="auto" w:fill="F2F2F2" w:themeFill="background1" w:themeFillShade="F2"/>
          </w:tcPr>
          <w:p w14:paraId="1729F0D3" w14:textId="74C00990" w:rsidR="006E0F18" w:rsidRPr="008D422F" w:rsidRDefault="006E0F18" w:rsidP="006E0F18">
            <w:pPr>
              <w:pStyle w:val="TableHeading"/>
              <w:rPr>
                <w:rFonts w:ascii="Arial (Body)" w:hAnsi="Arial (Body)"/>
                <w:color w:val="265A9A"/>
              </w:rPr>
            </w:pPr>
            <w:r w:rsidRPr="008D422F">
              <w:rPr>
                <w:rFonts w:ascii="Arial (Body)" w:hAnsi="Arial (Body)"/>
                <w:color w:val="265A9A"/>
              </w:rPr>
              <w:t>2019-20</w:t>
            </w:r>
          </w:p>
        </w:tc>
        <w:tc>
          <w:tcPr>
            <w:tcW w:w="937" w:type="dxa"/>
            <w:tcBorders>
              <w:bottom w:val="nil"/>
            </w:tcBorders>
            <w:shd w:val="clear" w:color="auto" w:fill="F2F2F2" w:themeFill="background1" w:themeFillShade="F2"/>
          </w:tcPr>
          <w:p w14:paraId="3F088CB1" w14:textId="288A3853"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4618.8</w:t>
            </w:r>
          </w:p>
        </w:tc>
        <w:tc>
          <w:tcPr>
            <w:tcW w:w="1613" w:type="dxa"/>
            <w:tcBorders>
              <w:bottom w:val="nil"/>
            </w:tcBorders>
            <w:shd w:val="clear" w:color="auto" w:fill="F2F2F2" w:themeFill="background1" w:themeFillShade="F2"/>
          </w:tcPr>
          <w:p w14:paraId="460A4B6D" w14:textId="6C6D6799"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492.5</w:t>
            </w:r>
          </w:p>
        </w:tc>
        <w:tc>
          <w:tcPr>
            <w:tcW w:w="1334" w:type="dxa"/>
            <w:tcBorders>
              <w:bottom w:val="nil"/>
            </w:tcBorders>
            <w:shd w:val="clear" w:color="auto" w:fill="F2F2F2" w:themeFill="background1" w:themeFillShade="F2"/>
          </w:tcPr>
          <w:p w14:paraId="13FC685F" w14:textId="088E346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10.7</w:t>
            </w:r>
          </w:p>
        </w:tc>
        <w:tc>
          <w:tcPr>
            <w:tcW w:w="1445" w:type="dxa"/>
            <w:tcBorders>
              <w:bottom w:val="nil"/>
            </w:tcBorders>
            <w:shd w:val="clear" w:color="auto" w:fill="F2F2F2" w:themeFill="background1" w:themeFillShade="F2"/>
          </w:tcPr>
          <w:p w14:paraId="553CBAD5" w14:textId="136D6717"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0.93</w:t>
            </w:r>
          </w:p>
        </w:tc>
        <w:tc>
          <w:tcPr>
            <w:tcW w:w="1247" w:type="dxa"/>
            <w:tcBorders>
              <w:bottom w:val="nil"/>
            </w:tcBorders>
            <w:shd w:val="clear" w:color="auto" w:fill="F2F2F2" w:themeFill="background1" w:themeFillShade="F2"/>
          </w:tcPr>
          <w:p w14:paraId="15D871AC" w14:textId="59AAD087"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bottom w:val="nil"/>
            </w:tcBorders>
            <w:shd w:val="clear" w:color="auto" w:fill="F2F2F2" w:themeFill="background1" w:themeFillShade="F2"/>
          </w:tcPr>
          <w:p w14:paraId="2B8D835D" w14:textId="69A766C6"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.9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7.1</w:t>
            </w:r>
          </w:p>
        </w:tc>
      </w:tr>
      <w:tr w:rsidR="006E0F18" w:rsidRPr="008D422F" w14:paraId="6F0A9659" w14:textId="77777777" w:rsidTr="2D299F09">
        <w:tc>
          <w:tcPr>
            <w:tcW w:w="942" w:type="dxa"/>
            <w:tcBorders>
              <w:top w:val="nil"/>
              <w:bottom w:val="nil"/>
            </w:tcBorders>
          </w:tcPr>
          <w:p w14:paraId="074E9414" w14:textId="063BDF70" w:rsidR="006E0F18" w:rsidRPr="008D422F" w:rsidRDefault="006E0F18" w:rsidP="006E0F18">
            <w:pPr>
              <w:pStyle w:val="TableHeading"/>
              <w:rPr>
                <w:rFonts w:ascii="Arial (Body)" w:hAnsi="Arial (Body)"/>
                <w:color w:val="265A9A"/>
              </w:rPr>
            </w:pPr>
            <w:r w:rsidRPr="008D422F">
              <w:rPr>
                <w:rFonts w:ascii="Arial (Body)" w:hAnsi="Arial (Body)"/>
                <w:color w:val="265A9A"/>
              </w:rPr>
              <w:t>2020-21</w:t>
            </w:r>
          </w:p>
        </w:tc>
        <w:tc>
          <w:tcPr>
            <w:tcW w:w="937" w:type="dxa"/>
            <w:tcBorders>
              <w:top w:val="nil"/>
              <w:bottom w:val="nil"/>
            </w:tcBorders>
          </w:tcPr>
          <w:p w14:paraId="6C936E1F" w14:textId="561EA201"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2600.3</w:t>
            </w:r>
          </w:p>
        </w:tc>
        <w:tc>
          <w:tcPr>
            <w:tcW w:w="1613" w:type="dxa"/>
            <w:tcBorders>
              <w:top w:val="nil"/>
              <w:bottom w:val="nil"/>
            </w:tcBorders>
          </w:tcPr>
          <w:p w14:paraId="6EF49791" w14:textId="527E0247"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487.9</w:t>
            </w:r>
          </w:p>
        </w:tc>
        <w:tc>
          <w:tcPr>
            <w:tcW w:w="1334" w:type="dxa"/>
            <w:tcBorders>
              <w:top w:val="nil"/>
              <w:bottom w:val="nil"/>
            </w:tcBorders>
          </w:tcPr>
          <w:p w14:paraId="38677CB4" w14:textId="472A3EFA"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10.6</w:t>
            </w:r>
          </w:p>
        </w:tc>
        <w:tc>
          <w:tcPr>
            <w:tcW w:w="1445" w:type="dxa"/>
            <w:tcBorders>
              <w:top w:val="nil"/>
              <w:bottom w:val="nil"/>
            </w:tcBorders>
          </w:tcPr>
          <w:p w14:paraId="7527D5F0" w14:textId="6718A5F5"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1.53</w:t>
            </w:r>
          </w:p>
        </w:tc>
        <w:tc>
          <w:tcPr>
            <w:tcW w:w="1247" w:type="dxa"/>
            <w:tcBorders>
              <w:top w:val="nil"/>
              <w:bottom w:val="nil"/>
            </w:tcBorders>
          </w:tcPr>
          <w:p w14:paraId="14473C25" w14:textId="2B44605F"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top w:val="nil"/>
              <w:bottom w:val="nil"/>
            </w:tcBorders>
          </w:tcPr>
          <w:p w14:paraId="0BDB16E9" w14:textId="5EF7671C"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6</w:t>
            </w:r>
            <w:r w:rsidRPr="008D422F">
              <w:rPr>
                <w:rFonts w:ascii="Arial (Body)" w:eastAsia="Arial" w:hAnsi="Arial (Body)" w:cs="Arial"/>
                <w:color w:val="000000"/>
                <w:szCs w:val="18"/>
              </w:rPr>
              <w:t xml:space="preserve">.5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7.7</w:t>
            </w:r>
          </w:p>
        </w:tc>
      </w:tr>
      <w:tr w:rsidR="006E0F18" w:rsidRPr="008D422F" w14:paraId="7076DBCE" w14:textId="77777777" w:rsidTr="2D299F09">
        <w:tc>
          <w:tcPr>
            <w:tcW w:w="942" w:type="dxa"/>
            <w:tcBorders>
              <w:bottom w:val="nil"/>
            </w:tcBorders>
            <w:shd w:val="clear" w:color="auto" w:fill="F2F2F2" w:themeFill="background1" w:themeFillShade="F2"/>
          </w:tcPr>
          <w:p w14:paraId="57EE77E2" w14:textId="41F7848F" w:rsidR="006E0F18" w:rsidRPr="008D422F" w:rsidRDefault="006E0F18" w:rsidP="006E0F18">
            <w:pPr>
              <w:pStyle w:val="TableHeading"/>
              <w:rPr>
                <w:rFonts w:ascii="Arial (Body)" w:hAnsi="Arial (Body)"/>
                <w:color w:val="265A9A"/>
              </w:rPr>
            </w:pPr>
            <w:r w:rsidRPr="008D422F">
              <w:rPr>
                <w:rFonts w:ascii="Arial (Body)" w:hAnsi="Arial (Body)"/>
                <w:color w:val="265A9A"/>
              </w:rPr>
              <w:t>2021-22</w:t>
            </w:r>
          </w:p>
        </w:tc>
        <w:tc>
          <w:tcPr>
            <w:tcW w:w="937" w:type="dxa"/>
            <w:tcBorders>
              <w:bottom w:val="nil"/>
            </w:tcBorders>
            <w:shd w:val="clear" w:color="auto" w:fill="F2F2F2" w:themeFill="background1" w:themeFillShade="F2"/>
          </w:tcPr>
          <w:p w14:paraId="727A0B70" w14:textId="543B9967"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4007.2</w:t>
            </w:r>
          </w:p>
        </w:tc>
        <w:tc>
          <w:tcPr>
            <w:tcW w:w="1613" w:type="dxa"/>
            <w:tcBorders>
              <w:bottom w:val="nil"/>
            </w:tcBorders>
            <w:shd w:val="clear" w:color="auto" w:fill="F2F2F2" w:themeFill="background1" w:themeFillShade="F2"/>
          </w:tcPr>
          <w:p w14:paraId="4F15CEEF" w14:textId="3ABEC6DA"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437.0</w:t>
            </w:r>
          </w:p>
        </w:tc>
        <w:tc>
          <w:tcPr>
            <w:tcW w:w="1334" w:type="dxa"/>
            <w:tcBorders>
              <w:bottom w:val="nil"/>
            </w:tcBorders>
            <w:shd w:val="clear" w:color="auto" w:fill="F2F2F2" w:themeFill="background1" w:themeFillShade="F2"/>
          </w:tcPr>
          <w:p w14:paraId="12B07B6C" w14:textId="6B3395A2"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10.9</w:t>
            </w:r>
          </w:p>
        </w:tc>
        <w:tc>
          <w:tcPr>
            <w:tcW w:w="1445" w:type="dxa"/>
            <w:tcBorders>
              <w:bottom w:val="nil"/>
            </w:tcBorders>
            <w:shd w:val="clear" w:color="auto" w:fill="F2F2F2" w:themeFill="background1" w:themeFillShade="F2"/>
          </w:tcPr>
          <w:p w14:paraId="177B947C" w14:textId="37A3A895"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3.78</w:t>
            </w:r>
          </w:p>
        </w:tc>
        <w:tc>
          <w:tcPr>
            <w:tcW w:w="1247" w:type="dxa"/>
            <w:tcBorders>
              <w:bottom w:val="nil"/>
            </w:tcBorders>
            <w:shd w:val="clear" w:color="auto" w:fill="F2F2F2" w:themeFill="background1" w:themeFillShade="F2"/>
          </w:tcPr>
          <w:p w14:paraId="7AFC2000" w14:textId="7A362CB5"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bottom w:val="nil"/>
            </w:tcBorders>
            <w:shd w:val="clear" w:color="auto" w:fill="F2F2F2" w:themeFill="background1" w:themeFillShade="F2"/>
          </w:tcPr>
          <w:p w14:paraId="3564A0BA" w14:textId="29F68427"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8</w:t>
            </w:r>
            <w:r w:rsidRPr="008D422F">
              <w:rPr>
                <w:rFonts w:ascii="Arial (Body)" w:eastAsia="Arial" w:hAnsi="Arial (Body)" w:cs="Arial"/>
                <w:color w:val="000000"/>
                <w:szCs w:val="18"/>
              </w:rPr>
              <w:t xml:space="preserve">.8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10.0</w:t>
            </w:r>
          </w:p>
        </w:tc>
      </w:tr>
      <w:tr w:rsidR="006E0F18" w:rsidRPr="008D422F" w14:paraId="4ABE3567" w14:textId="77777777" w:rsidTr="2D299F09">
        <w:tc>
          <w:tcPr>
            <w:tcW w:w="942" w:type="dxa"/>
            <w:tcBorders>
              <w:top w:val="nil"/>
              <w:bottom w:val="nil"/>
            </w:tcBorders>
          </w:tcPr>
          <w:p w14:paraId="1FBF977A" w14:textId="4FA5369E" w:rsidR="006E0F18" w:rsidRPr="008D422F" w:rsidRDefault="006E0F18" w:rsidP="006E0F18">
            <w:pPr>
              <w:pStyle w:val="TableHeading"/>
              <w:rPr>
                <w:rFonts w:ascii="Arial (Body)" w:hAnsi="Arial (Body)"/>
                <w:color w:val="265A9A"/>
              </w:rPr>
            </w:pPr>
            <w:r w:rsidRPr="008D422F">
              <w:rPr>
                <w:rFonts w:ascii="Arial (Body)" w:hAnsi="Arial (Body)"/>
                <w:color w:val="265A9A"/>
              </w:rPr>
              <w:t>2022-23</w:t>
            </w:r>
          </w:p>
        </w:tc>
        <w:tc>
          <w:tcPr>
            <w:tcW w:w="937" w:type="dxa"/>
            <w:tcBorders>
              <w:top w:val="nil"/>
              <w:bottom w:val="nil"/>
            </w:tcBorders>
          </w:tcPr>
          <w:p w14:paraId="1422F85E" w14:textId="71389A3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4164.8</w:t>
            </w:r>
          </w:p>
        </w:tc>
        <w:tc>
          <w:tcPr>
            <w:tcW w:w="1613" w:type="dxa"/>
            <w:tcBorders>
              <w:top w:val="nil"/>
              <w:bottom w:val="nil"/>
            </w:tcBorders>
          </w:tcPr>
          <w:p w14:paraId="1C9EF63B" w14:textId="35005A1E"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hAnsi="Arial (Body)"/>
                <w:color w:val="000000"/>
              </w:rPr>
              <w:t>279.4</w:t>
            </w:r>
          </w:p>
        </w:tc>
        <w:tc>
          <w:tcPr>
            <w:tcW w:w="1334" w:type="dxa"/>
            <w:tcBorders>
              <w:top w:val="nil"/>
              <w:bottom w:val="nil"/>
            </w:tcBorders>
          </w:tcPr>
          <w:p w14:paraId="1959053C" w14:textId="09448614"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6.7</w:t>
            </w:r>
          </w:p>
        </w:tc>
        <w:tc>
          <w:tcPr>
            <w:tcW w:w="1445" w:type="dxa"/>
            <w:tcBorders>
              <w:top w:val="nil"/>
              <w:bottom w:val="nil"/>
            </w:tcBorders>
          </w:tcPr>
          <w:p w14:paraId="072A936F" w14:textId="1C872A48"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3.93</w:t>
            </w:r>
          </w:p>
        </w:tc>
        <w:tc>
          <w:tcPr>
            <w:tcW w:w="1247" w:type="dxa"/>
            <w:tcBorders>
              <w:top w:val="nil"/>
              <w:bottom w:val="nil"/>
            </w:tcBorders>
          </w:tcPr>
          <w:p w14:paraId="0766CB7D" w14:textId="2940F94A"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top w:val="nil"/>
              <w:bottom w:val="nil"/>
            </w:tcBorders>
          </w:tcPr>
          <w:p w14:paraId="0D993CCD" w14:textId="31999F8D"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8</w:t>
            </w:r>
            <w:r w:rsidRPr="008D422F">
              <w:rPr>
                <w:rFonts w:ascii="Arial (Body)" w:eastAsia="Arial" w:hAnsi="Arial (Body)" w:cs="Arial"/>
                <w:color w:val="000000"/>
                <w:szCs w:val="18"/>
              </w:rPr>
              <w:t xml:space="preserve">.9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10.1</w:t>
            </w:r>
          </w:p>
        </w:tc>
      </w:tr>
      <w:tr w:rsidR="006E0F18" w:rsidRPr="008D422F" w14:paraId="5DFEB88E" w14:textId="77777777" w:rsidTr="2D299F09">
        <w:tc>
          <w:tcPr>
            <w:tcW w:w="942" w:type="dxa"/>
            <w:tcBorders>
              <w:bottom w:val="single" w:sz="4" w:space="0" w:color="B3B3B3"/>
            </w:tcBorders>
            <w:shd w:val="clear" w:color="auto" w:fill="F2F2F2" w:themeFill="background1" w:themeFillShade="F2"/>
          </w:tcPr>
          <w:p w14:paraId="62045A6F" w14:textId="102D2EFB" w:rsidR="006E0F18" w:rsidRPr="008D422F" w:rsidRDefault="006E0F18" w:rsidP="006E0F18">
            <w:pPr>
              <w:pStyle w:val="TableHeading"/>
              <w:rPr>
                <w:rFonts w:ascii="Arial (Body)" w:hAnsi="Arial (Body)"/>
                <w:color w:val="265A9A"/>
              </w:rPr>
            </w:pPr>
            <w:r w:rsidRPr="008D422F">
              <w:rPr>
                <w:rFonts w:ascii="Arial (Body)" w:hAnsi="Arial (Body)"/>
                <w:color w:val="265A9A"/>
              </w:rPr>
              <w:t>2023-24</w:t>
            </w:r>
          </w:p>
        </w:tc>
        <w:tc>
          <w:tcPr>
            <w:tcW w:w="937" w:type="dxa"/>
            <w:tcBorders>
              <w:bottom w:val="single" w:sz="4" w:space="0" w:color="B3B3B3"/>
            </w:tcBorders>
            <w:shd w:val="clear" w:color="auto" w:fill="F2F2F2" w:themeFill="background1" w:themeFillShade="F2"/>
          </w:tcPr>
          <w:p w14:paraId="5C0E350E" w14:textId="6D8AAD93"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4133.4</w:t>
            </w:r>
          </w:p>
        </w:tc>
        <w:tc>
          <w:tcPr>
            <w:tcW w:w="1613" w:type="dxa"/>
            <w:tcBorders>
              <w:bottom w:val="single" w:sz="4" w:space="0" w:color="B3B3B3"/>
            </w:tcBorders>
            <w:shd w:val="clear" w:color="auto" w:fill="F2F2F2" w:themeFill="background1" w:themeFillShade="F2"/>
          </w:tcPr>
          <w:p w14:paraId="28164709" w14:textId="24D8580D"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399.1</w:t>
            </w:r>
          </w:p>
        </w:tc>
        <w:tc>
          <w:tcPr>
            <w:tcW w:w="1334" w:type="dxa"/>
            <w:tcBorders>
              <w:bottom w:val="single" w:sz="4" w:space="0" w:color="B3B3B3"/>
            </w:tcBorders>
            <w:shd w:val="clear" w:color="auto" w:fill="F2F2F2" w:themeFill="background1" w:themeFillShade="F2"/>
          </w:tcPr>
          <w:p w14:paraId="79AFDBCA" w14:textId="6EFECCBC"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9.7</w:t>
            </w:r>
          </w:p>
        </w:tc>
        <w:tc>
          <w:tcPr>
            <w:tcW w:w="1445" w:type="dxa"/>
            <w:tcBorders>
              <w:bottom w:val="single" w:sz="4" w:space="0" w:color="B3B3B3"/>
            </w:tcBorders>
            <w:shd w:val="clear" w:color="auto" w:fill="F2F2F2" w:themeFill="background1" w:themeFillShade="F2"/>
          </w:tcPr>
          <w:p w14:paraId="6A8FC513" w14:textId="086DD0F2" w:rsidR="006E0F18" w:rsidRPr="008D422F" w:rsidRDefault="006E0F18" w:rsidP="006E0F18">
            <w:pPr>
              <w:pStyle w:val="TableBody"/>
              <w:spacing w:before="45" w:after="45"/>
              <w:ind w:right="108"/>
              <w:jc w:val="right"/>
              <w:rPr>
                <w:rFonts w:ascii="Arial (Body)" w:eastAsia="Arial" w:hAnsi="Arial (Body)" w:cs="Arial"/>
                <w:color w:val="000000"/>
                <w:szCs w:val="18"/>
              </w:rPr>
            </w:pPr>
            <w:r w:rsidRPr="008D422F">
              <w:rPr>
                <w:rFonts w:ascii="Arial (Body)" w:eastAsia="Arial" w:hAnsi="Arial (Body)" w:cs="Arial"/>
                <w:color w:val="000000"/>
                <w:szCs w:val="18"/>
              </w:rPr>
              <w:t>4.25</w:t>
            </w:r>
          </w:p>
        </w:tc>
        <w:tc>
          <w:tcPr>
            <w:tcW w:w="1247" w:type="dxa"/>
            <w:tcBorders>
              <w:bottom w:val="single" w:sz="4" w:space="0" w:color="B3B3B3"/>
            </w:tcBorders>
            <w:shd w:val="clear" w:color="auto" w:fill="F2F2F2" w:themeFill="background1" w:themeFillShade="F2"/>
          </w:tcPr>
          <w:p w14:paraId="28884AF0" w14:textId="5568883B"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5</w:t>
            </w:r>
            <w:r w:rsidRPr="008D422F">
              <w:rPr>
                <w:rFonts w:ascii="Arial (Body)" w:eastAsia="Arial" w:hAnsi="Arial (Body)" w:cs="Arial"/>
                <w:color w:val="000000"/>
                <w:szCs w:val="18"/>
              </w:rPr>
              <w:t xml:space="preserve"> </w:t>
            </w:r>
            <w:r>
              <w:rPr>
                <w:rFonts w:ascii="Arial (Body)" w:eastAsia="Arial" w:hAnsi="Arial (Body)" w:cs="Arial"/>
                <w:color w:val="000000"/>
                <w:szCs w:val="18"/>
              </w:rPr>
              <w:t>–</w:t>
            </w:r>
            <w:r w:rsidRPr="008D422F">
              <w:rPr>
                <w:rFonts w:ascii="Arial (Body)" w:eastAsia="Arial" w:hAnsi="Arial (Body)" w:cs="Arial"/>
                <w:color w:val="000000"/>
                <w:szCs w:val="18"/>
              </w:rPr>
              <w:t xml:space="preserve"> </w:t>
            </w:r>
            <w:r>
              <w:rPr>
                <w:rFonts w:ascii="Arial (Body)" w:eastAsia="Arial" w:hAnsi="Arial (Body)" w:cs="Arial"/>
                <w:color w:val="000000"/>
                <w:szCs w:val="18"/>
              </w:rPr>
              <w:t>6.2</w:t>
            </w:r>
          </w:p>
        </w:tc>
        <w:tc>
          <w:tcPr>
            <w:tcW w:w="2120" w:type="dxa"/>
            <w:tcBorders>
              <w:bottom w:val="single" w:sz="4" w:space="0" w:color="B3B3B3"/>
            </w:tcBorders>
            <w:shd w:val="clear" w:color="auto" w:fill="F2F2F2" w:themeFill="background1" w:themeFillShade="F2"/>
          </w:tcPr>
          <w:p w14:paraId="0FAF9549" w14:textId="61DB3482" w:rsidR="006E0F18" w:rsidRPr="008D422F" w:rsidRDefault="006E0F18" w:rsidP="006E0F18">
            <w:pPr>
              <w:pStyle w:val="TableBody"/>
              <w:spacing w:before="45" w:after="45"/>
              <w:ind w:right="108"/>
              <w:jc w:val="right"/>
              <w:rPr>
                <w:rFonts w:ascii="Arial (Body)" w:eastAsia="Arial" w:hAnsi="Arial (Body)" w:cs="Arial"/>
                <w:color w:val="000000"/>
                <w:szCs w:val="18"/>
              </w:rPr>
            </w:pPr>
            <w:r>
              <w:rPr>
                <w:rFonts w:ascii="Arial (Body)" w:eastAsia="Arial" w:hAnsi="Arial (Body)" w:cs="Arial"/>
                <w:color w:val="000000"/>
                <w:szCs w:val="18"/>
              </w:rPr>
              <w:t>9</w:t>
            </w:r>
            <w:r w:rsidRPr="008D422F">
              <w:rPr>
                <w:rFonts w:ascii="Arial (Body)" w:eastAsia="Arial" w:hAnsi="Arial (Body)" w:cs="Arial"/>
                <w:color w:val="000000"/>
                <w:szCs w:val="18"/>
              </w:rPr>
              <w:t xml:space="preserve">.3 - </w:t>
            </w:r>
            <w:r>
              <w:rPr>
                <w:rFonts w:ascii="Arial (Body)" w:eastAsia="Arial" w:hAnsi="Arial (Body)" w:cs="Arial"/>
                <w:color w:val="000000"/>
                <w:szCs w:val="18"/>
              </w:rPr>
              <w:t>10</w:t>
            </w:r>
            <w:r w:rsidRPr="008D422F">
              <w:rPr>
                <w:rFonts w:ascii="Arial (Body)" w:eastAsia="Arial" w:hAnsi="Arial (Body)" w:cs="Arial"/>
                <w:color w:val="000000"/>
                <w:szCs w:val="18"/>
              </w:rPr>
              <w:t>.5</w:t>
            </w:r>
          </w:p>
        </w:tc>
      </w:tr>
    </w:tbl>
    <w:p w14:paraId="69AD26A3" w14:textId="20AF8430" w:rsidR="00D87A71" w:rsidRPr="00C02E17" w:rsidRDefault="00D87A71">
      <w:pPr>
        <w:pStyle w:val="Note"/>
      </w:pPr>
      <w:r w:rsidRPr="00C02E17">
        <w:rPr>
          <w:b/>
        </w:rPr>
        <w:t>a.</w:t>
      </w:r>
      <w:r w:rsidRPr="00C02E17">
        <w:t xml:space="preserve"> </w:t>
      </w:r>
      <w:r w:rsidR="00B702EC" w:rsidRPr="00C02E17">
        <w:t>Australia Post’s total assets less superannuation assets</w:t>
      </w:r>
      <w:r w:rsidR="007507C1">
        <w:t xml:space="preserve">, </w:t>
      </w:r>
      <w:r w:rsidR="00972C97">
        <w:t xml:space="preserve">apportioned by revenue share, </w:t>
      </w:r>
      <w:r w:rsidR="00FC6BB8">
        <w:t>PC</w:t>
      </w:r>
      <w:r w:rsidR="00B702EC" w:rsidRPr="00C02E17">
        <w:t xml:space="preserve"> estimates</w:t>
      </w:r>
      <w:r w:rsidR="00D305D0" w:rsidRPr="00C02E17">
        <w:t xml:space="preserve">. </w:t>
      </w:r>
      <w:r w:rsidRPr="00C02E17">
        <w:rPr>
          <w:b/>
        </w:rPr>
        <w:t>b.</w:t>
      </w:r>
      <w:r w:rsidR="0013631F" w:rsidRPr="00C02E17">
        <w:rPr>
          <w:b/>
        </w:rPr>
        <w:t xml:space="preserve"> </w:t>
      </w:r>
      <w:r w:rsidR="0013631F" w:rsidRPr="00C02E17">
        <w:t xml:space="preserve">Australia Post </w:t>
      </w:r>
      <w:r w:rsidR="00EA4AD5" w:rsidRPr="00C02E17">
        <w:t xml:space="preserve">pre-tax profits, adjusted for </w:t>
      </w:r>
      <w:r w:rsidR="00EA4AD5" w:rsidRPr="0010410F">
        <w:t>CSO</w:t>
      </w:r>
      <w:r w:rsidR="00EA4AD5" w:rsidRPr="00C02E17">
        <w:t xml:space="preserve"> </w:t>
      </w:r>
      <w:r w:rsidR="00C24903" w:rsidRPr="00C02E17">
        <w:t>activities</w:t>
      </w:r>
      <w:r w:rsidR="004617CC">
        <w:t xml:space="preserve"> and net interest</w:t>
      </w:r>
      <w:r w:rsidR="00C24903" w:rsidRPr="00C02E17">
        <w:t xml:space="preserve">, </w:t>
      </w:r>
      <w:r w:rsidR="00FC6BB8">
        <w:t>PC</w:t>
      </w:r>
      <w:r w:rsidR="00C24903" w:rsidRPr="00C02E17">
        <w:t xml:space="preserve"> estimates</w:t>
      </w:r>
      <w:r w:rsidRPr="00C02E17">
        <w:t>.</w:t>
      </w:r>
      <w:r w:rsidR="00140C8E" w:rsidRPr="00C02E17">
        <w:t xml:space="preserve"> </w:t>
      </w:r>
      <w:r w:rsidR="00140C8E" w:rsidRPr="00C02E17">
        <w:rPr>
          <w:b/>
        </w:rPr>
        <w:t xml:space="preserve">c. </w:t>
      </w:r>
      <w:r w:rsidR="00252D44" w:rsidRPr="00C02E17">
        <w:t xml:space="preserve">20 business day average of 10-year bond rate </w:t>
      </w:r>
      <w:r w:rsidR="004A3A6B" w:rsidRPr="00C02E17">
        <w:t>to 30</w:t>
      </w:r>
      <w:r w:rsidR="009C418F">
        <w:t> </w:t>
      </w:r>
      <w:r w:rsidR="004A3A6B" w:rsidRPr="00C02E17">
        <w:t xml:space="preserve">June. </w:t>
      </w:r>
      <w:r w:rsidR="00FC6BB8">
        <w:t>PC</w:t>
      </w:r>
      <w:r w:rsidR="00140C8E" w:rsidRPr="00C02E17">
        <w:t xml:space="preserve"> estimates from RBA (2025).</w:t>
      </w:r>
    </w:p>
    <w:p w14:paraId="78E5AE29" w14:textId="1906B3D5" w:rsidR="00D87A71" w:rsidRPr="00C02E17" w:rsidRDefault="00D87A71" w:rsidP="00EE63CA">
      <w:pPr>
        <w:pStyle w:val="Source"/>
      </w:pPr>
      <w:r w:rsidRPr="00C02E17">
        <w:t xml:space="preserve">Source: </w:t>
      </w:r>
      <w:r w:rsidR="00542061" w:rsidRPr="00C02E17">
        <w:t>Australia Post (2024</w:t>
      </w:r>
      <w:r w:rsidR="00EE63CA">
        <w:t>,</w:t>
      </w:r>
      <w:r w:rsidR="0010410F">
        <w:t xml:space="preserve"> </w:t>
      </w:r>
      <w:r w:rsidR="00542061" w:rsidRPr="00C02E17">
        <w:t>2023</w:t>
      </w:r>
      <w:r w:rsidR="00EE63CA">
        <w:t>,</w:t>
      </w:r>
      <w:r w:rsidR="00542061" w:rsidRPr="00C02E17">
        <w:t xml:space="preserve"> 20</w:t>
      </w:r>
      <w:r w:rsidR="00D93798" w:rsidRPr="00C02E17">
        <w:t>21</w:t>
      </w:r>
      <w:r w:rsidR="0010410F">
        <w:t>,</w:t>
      </w:r>
      <w:r w:rsidR="00EE63CA">
        <w:t xml:space="preserve"> </w:t>
      </w:r>
      <w:r w:rsidR="00D93798" w:rsidRPr="00C02E17">
        <w:t>2019, 2017, 2015)</w:t>
      </w:r>
      <w:r w:rsidR="00EE63CA">
        <w:t>;</w:t>
      </w:r>
      <w:r w:rsidR="000C52A5" w:rsidRPr="00C02E17">
        <w:t xml:space="preserve"> RBA (2025)</w:t>
      </w:r>
      <w:r w:rsidR="00D93798" w:rsidRPr="00C02E17">
        <w:t>.</w:t>
      </w:r>
    </w:p>
    <w:p w14:paraId="4047A442" w14:textId="2F2A49A0" w:rsidR="00045101" w:rsidRPr="00146382" w:rsidRDefault="00045101" w:rsidP="00446AA0">
      <w:pPr>
        <w:pStyle w:val="FigureTableHeading"/>
      </w:pPr>
      <w:r>
        <w:lastRenderedPageBreak/>
        <w:t xml:space="preserve">Figure </w:t>
      </w:r>
      <w:r w:rsidR="00580324">
        <w:t>1</w:t>
      </w:r>
      <w:r>
        <w:rPr>
          <w:noProof/>
        </w:rPr>
        <w:t xml:space="preserve"> </w:t>
      </w:r>
      <w:r>
        <w:t>– Australia Post’s rate of return compared to the benchmark range 2013-14 to 2023-24</w:t>
      </w:r>
    </w:p>
    <w:p w14:paraId="7556BC39" w14:textId="259E6A5E" w:rsidR="00045101" w:rsidRDefault="00643E0F" w:rsidP="00272493">
      <w:pPr>
        <w:pStyle w:val="BodyText"/>
      </w:pPr>
      <w:r w:rsidRPr="00643E0F">
        <w:rPr>
          <w:noProof/>
        </w:rPr>
        <w:drawing>
          <wp:inline distT="0" distB="0" distL="0" distR="0" wp14:anchorId="381C3D5A" wp14:editId="72BED1F9">
            <wp:extent cx="6115983" cy="2501516"/>
            <wp:effectExtent l="0" t="0" r="0" b="0"/>
            <wp:docPr id="632856234" name="Picture 1" descr="A figure showing how Australia Post's rate of return compares to possible benchmark rates, using the data set out in 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56234" name="Picture 1" descr="A figure showing how Australia Post's rate of return compares to possible benchmark rates, using the data set out in tabl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4102" b="4407"/>
                    <a:stretch>
                      <a:fillRect/>
                    </a:stretch>
                  </pic:blipFill>
                  <pic:spPr bwMode="auto">
                    <a:xfrm>
                      <a:off x="0" y="0"/>
                      <a:ext cx="6116320" cy="2501654"/>
                    </a:xfrm>
                    <a:prstGeom prst="rect">
                      <a:avLst/>
                    </a:prstGeom>
                    <a:noFill/>
                    <a:ln>
                      <a:noFill/>
                    </a:ln>
                    <a:extLst>
                      <a:ext uri="{53640926-AAD7-44D8-BBD7-CCE9431645EC}">
                        <a14:shadowObscured xmlns:a14="http://schemas.microsoft.com/office/drawing/2010/main"/>
                      </a:ext>
                    </a:extLst>
                  </pic:spPr>
                </pic:pic>
              </a:graphicData>
            </a:graphic>
          </wp:inline>
        </w:drawing>
      </w:r>
    </w:p>
    <w:p w14:paraId="4F49C775" w14:textId="5FD9429F" w:rsidR="006F6FEC" w:rsidRDefault="00045101" w:rsidP="007774DB">
      <w:pPr>
        <w:pStyle w:val="Source"/>
      </w:pPr>
      <w:r w:rsidRPr="00696447">
        <w:t xml:space="preserve">Source: </w:t>
      </w:r>
      <w:r w:rsidR="00406972">
        <w:t>PC</w:t>
      </w:r>
      <w:r>
        <w:t xml:space="preserve"> estimates</w:t>
      </w:r>
      <w:r w:rsidR="007774DB">
        <w:t xml:space="preserve"> based on </w:t>
      </w:r>
      <w:r w:rsidR="007774DB" w:rsidRPr="00D41EE6">
        <w:t>Australia Post (2024, 2023, 2021, 2019, 2017</w:t>
      </w:r>
      <w:r w:rsidR="00406972">
        <w:t xml:space="preserve">, </w:t>
      </w:r>
      <w:r w:rsidR="007774DB" w:rsidRPr="00D41EE6">
        <w:t>2015)</w:t>
      </w:r>
      <w:r w:rsidR="00406972">
        <w:t>;</w:t>
      </w:r>
      <w:r w:rsidR="007774DB" w:rsidRPr="00D41EE6">
        <w:t xml:space="preserve"> RBA (2025).</w:t>
      </w:r>
    </w:p>
    <w:p w14:paraId="3DFDEB5F" w14:textId="2546D5F3" w:rsidR="00A91551" w:rsidRDefault="008E60A2" w:rsidP="002B08FA">
      <w:pPr>
        <w:pStyle w:val="Heading1-nobackground"/>
      </w:pPr>
      <w:r>
        <w:br w:type="page"/>
      </w:r>
      <w:r w:rsidR="006D5945">
        <w:lastRenderedPageBreak/>
        <w:t>R</w:t>
      </w:r>
      <w:r w:rsidR="00A91551">
        <w:t>eference</w:t>
      </w:r>
      <w:r w:rsidR="009A6BAB">
        <w:t>s</w:t>
      </w:r>
    </w:p>
    <w:p w14:paraId="6078AE95" w14:textId="77777777" w:rsidR="00850D30" w:rsidRDefault="00850D30" w:rsidP="0033095D">
      <w:pPr>
        <w:pStyle w:val="BodyText"/>
        <w:sectPr w:rsidR="00850D30" w:rsidSect="002E3F19">
          <w:headerReference w:type="even" r:id="rId16"/>
          <w:headerReference w:type="default" r:id="rId17"/>
          <w:footerReference w:type="even" r:id="rId18"/>
          <w:footerReference w:type="default" r:id="rId19"/>
          <w:headerReference w:type="first" r:id="rId20"/>
          <w:pgSz w:w="11906" w:h="16838" w:code="9"/>
          <w:pgMar w:top="1134" w:right="1134" w:bottom="1134" w:left="1134" w:header="794" w:footer="510" w:gutter="0"/>
          <w:cols w:space="708"/>
          <w:docGrid w:linePitch="360"/>
        </w:sectPr>
      </w:pPr>
    </w:p>
    <w:p w14:paraId="26FA4DE3" w14:textId="7B3AFE08" w:rsidR="00CC1410" w:rsidRPr="0073736E" w:rsidRDefault="00CC1410" w:rsidP="00CD797D">
      <w:pPr>
        <w:pStyle w:val="Reference"/>
        <w:rPr>
          <w:spacing w:val="-4"/>
        </w:rPr>
      </w:pPr>
      <w:r w:rsidRPr="0073736E">
        <w:rPr>
          <w:spacing w:val="-4"/>
        </w:rPr>
        <w:t>Australia Post 2015</w:t>
      </w:r>
      <w:r w:rsidR="00E95B80" w:rsidRPr="0073736E">
        <w:rPr>
          <w:spacing w:val="-4"/>
        </w:rPr>
        <w:t xml:space="preserve">, </w:t>
      </w:r>
      <w:r w:rsidR="00E95B80" w:rsidRPr="0073736E">
        <w:rPr>
          <w:i/>
          <w:spacing w:val="-4"/>
        </w:rPr>
        <w:t>Annual Report 2015</w:t>
      </w:r>
      <w:r w:rsidR="006529ED" w:rsidRPr="0073736E">
        <w:rPr>
          <w:i/>
          <w:spacing w:val="-4"/>
        </w:rPr>
        <w:t xml:space="preserve"> – Delivering eCommerce</w:t>
      </w:r>
      <w:r w:rsidR="00DE38D3" w:rsidRPr="0073736E">
        <w:rPr>
          <w:i/>
          <w:spacing w:val="-4"/>
        </w:rPr>
        <w:t xml:space="preserve">: Everyone, Everywhere, </w:t>
      </w:r>
      <w:proofErr w:type="spellStart"/>
      <w:r w:rsidR="00DE38D3" w:rsidRPr="0073736E">
        <w:rPr>
          <w:i/>
          <w:spacing w:val="-4"/>
        </w:rPr>
        <w:t>Everyday</w:t>
      </w:r>
      <w:proofErr w:type="spellEnd"/>
      <w:r w:rsidR="00E95B80" w:rsidRPr="0073736E">
        <w:rPr>
          <w:spacing w:val="-4"/>
        </w:rPr>
        <w:t xml:space="preserve">, </w:t>
      </w:r>
      <w:hyperlink r:id="rId21" w:history="1">
        <w:r w:rsidR="00DC49B4" w:rsidRPr="0073736E">
          <w:rPr>
            <w:rStyle w:val="Hyperlink"/>
            <w:spacing w:val="-4"/>
            <w:szCs w:val="16"/>
            <w:u w:val="none"/>
          </w:rPr>
          <w:t>https://auspost.com.au/content/dam/auspost_corp/media/documents/australia-post-annual-report-2015.pdf</w:t>
        </w:r>
      </w:hyperlink>
      <w:r w:rsidR="00722BA2" w:rsidRPr="0073736E">
        <w:rPr>
          <w:spacing w:val="-4"/>
        </w:rPr>
        <w:t xml:space="preserve"> (accessed </w:t>
      </w:r>
      <w:r w:rsidR="00A652E0" w:rsidRPr="0073736E">
        <w:rPr>
          <w:spacing w:val="-4"/>
        </w:rPr>
        <w:t>1 May 2025)</w:t>
      </w:r>
      <w:r w:rsidR="00C50403" w:rsidRPr="0073736E">
        <w:rPr>
          <w:spacing w:val="-4"/>
        </w:rPr>
        <w:t>.</w:t>
      </w:r>
    </w:p>
    <w:p w14:paraId="4C171191" w14:textId="213070CB" w:rsidR="0077068D" w:rsidRPr="00FF08F7" w:rsidRDefault="0077068D" w:rsidP="00CD797D">
      <w:pPr>
        <w:pStyle w:val="Reference"/>
      </w:pPr>
      <w:r w:rsidRPr="00FF08F7">
        <w:t xml:space="preserve">—— </w:t>
      </w:r>
      <w:r w:rsidR="004D48EB" w:rsidRPr="00FF08F7">
        <w:t>2017</w:t>
      </w:r>
      <w:r w:rsidR="00A652E0" w:rsidRPr="00FF08F7">
        <w:t xml:space="preserve">, </w:t>
      </w:r>
      <w:r w:rsidR="00A652E0" w:rsidRPr="00FF08F7">
        <w:rPr>
          <w:i/>
        </w:rPr>
        <w:t>Annual Report 2017</w:t>
      </w:r>
      <w:r w:rsidR="00202DFF" w:rsidRPr="00FF08F7">
        <w:rPr>
          <w:i/>
        </w:rPr>
        <w:t xml:space="preserve"> – Part of tomorrow</w:t>
      </w:r>
      <w:r w:rsidR="00A652E0" w:rsidRPr="00FF08F7">
        <w:t xml:space="preserve">, </w:t>
      </w:r>
      <w:r w:rsidR="00830FA3" w:rsidRPr="00FF08F7">
        <w:t>https://auspost.com.au/content/dam/auspost_corp/media/documents/Annual-Report-2017.pdf (accessed 1 May 2025)</w:t>
      </w:r>
      <w:r w:rsidR="00C50403">
        <w:t>.</w:t>
      </w:r>
    </w:p>
    <w:p w14:paraId="3F1DF364" w14:textId="5A63E733" w:rsidR="004D48EB" w:rsidRPr="00FF08F7" w:rsidRDefault="004D48EB" w:rsidP="00CD797D">
      <w:pPr>
        <w:pStyle w:val="Reference"/>
      </w:pPr>
      <w:r w:rsidRPr="00FF08F7">
        <w:t>—— 2019</w:t>
      </w:r>
      <w:r w:rsidR="00830FA3" w:rsidRPr="00FF08F7">
        <w:t xml:space="preserve">, </w:t>
      </w:r>
      <w:r w:rsidR="00830FA3" w:rsidRPr="00FF08F7">
        <w:rPr>
          <w:i/>
        </w:rPr>
        <w:t>Annual Report 2019</w:t>
      </w:r>
      <w:r w:rsidR="00F81541" w:rsidRPr="00FF08F7">
        <w:rPr>
          <w:i/>
        </w:rPr>
        <w:t xml:space="preserve"> – Everyone matters</w:t>
      </w:r>
      <w:r w:rsidR="00830FA3" w:rsidRPr="00FF08F7">
        <w:t xml:space="preserve">, </w:t>
      </w:r>
      <w:r w:rsidR="00A866B3" w:rsidRPr="00FF08F7">
        <w:t>https://auspost.com.au/content/dam/auspost_corp/media/documents/publications/2019-australia-post-annual-report.pdf (accessed 1 May 2025)</w:t>
      </w:r>
      <w:r w:rsidR="00C50403">
        <w:t>.</w:t>
      </w:r>
    </w:p>
    <w:p w14:paraId="659947F3" w14:textId="45A965FF" w:rsidR="004D48EB" w:rsidRPr="0073736E" w:rsidRDefault="004D48EB" w:rsidP="00CD797D">
      <w:pPr>
        <w:pStyle w:val="Reference"/>
        <w:rPr>
          <w:spacing w:val="-4"/>
        </w:rPr>
      </w:pPr>
      <w:r w:rsidRPr="0073736E">
        <w:rPr>
          <w:spacing w:val="-4"/>
        </w:rPr>
        <w:t>—— 2021</w:t>
      </w:r>
      <w:r w:rsidR="00A866B3" w:rsidRPr="0073736E">
        <w:rPr>
          <w:spacing w:val="-4"/>
        </w:rPr>
        <w:t xml:space="preserve">, </w:t>
      </w:r>
      <w:r w:rsidR="00A866B3" w:rsidRPr="0073736E">
        <w:rPr>
          <w:i/>
          <w:spacing w:val="-4"/>
        </w:rPr>
        <w:t>Annual Report 2021</w:t>
      </w:r>
      <w:r w:rsidR="00F859B5" w:rsidRPr="0073736E">
        <w:rPr>
          <w:i/>
          <w:spacing w:val="-4"/>
        </w:rPr>
        <w:t xml:space="preserve"> – Delivering for Australia</w:t>
      </w:r>
      <w:r w:rsidR="00A866B3" w:rsidRPr="0073736E">
        <w:rPr>
          <w:spacing w:val="-4"/>
        </w:rPr>
        <w:t xml:space="preserve">, </w:t>
      </w:r>
      <w:r w:rsidR="00F859B5" w:rsidRPr="0073736E">
        <w:rPr>
          <w:spacing w:val="-4"/>
        </w:rPr>
        <w:t>https://auspost.com.au/content/dam/auspost_corp/media/documents/2021-australia-post-annual-report.pdf (accessed 1 May 2025)</w:t>
      </w:r>
      <w:r w:rsidR="00C50403" w:rsidRPr="0073736E">
        <w:rPr>
          <w:spacing w:val="-4"/>
        </w:rPr>
        <w:t>.</w:t>
      </w:r>
    </w:p>
    <w:p w14:paraId="78D77FC7" w14:textId="0EBAB2A5" w:rsidR="004D48EB" w:rsidRPr="0073736E" w:rsidRDefault="004D48EB" w:rsidP="00CD797D">
      <w:pPr>
        <w:pStyle w:val="Reference"/>
        <w:rPr>
          <w:spacing w:val="-4"/>
        </w:rPr>
      </w:pPr>
      <w:r w:rsidRPr="0073736E">
        <w:rPr>
          <w:spacing w:val="-4"/>
        </w:rPr>
        <w:t>—— 2023</w:t>
      </w:r>
      <w:r w:rsidR="00B45996" w:rsidRPr="0073736E">
        <w:rPr>
          <w:spacing w:val="-4"/>
        </w:rPr>
        <w:t xml:space="preserve">, </w:t>
      </w:r>
      <w:r w:rsidR="00B45996" w:rsidRPr="0073736E">
        <w:rPr>
          <w:i/>
          <w:spacing w:val="-4"/>
        </w:rPr>
        <w:t>Annual Report 2023 – Delivering a better tomorrow</w:t>
      </w:r>
      <w:r w:rsidR="00B45996" w:rsidRPr="0073736E">
        <w:rPr>
          <w:spacing w:val="-4"/>
        </w:rPr>
        <w:t xml:space="preserve">, </w:t>
      </w:r>
      <w:hyperlink r:id="rId22" w:history="1">
        <w:r w:rsidR="00550006" w:rsidRPr="0073736E">
          <w:rPr>
            <w:rStyle w:val="Hyperlink"/>
            <w:spacing w:val="-4"/>
            <w:szCs w:val="16"/>
            <w:u w:val="none"/>
          </w:rPr>
          <w:t>https://auspost.com.au/content/dam/auspost_corp/media/documents/2023-australia-post-annual-report.pdf</w:t>
        </w:r>
      </w:hyperlink>
      <w:r w:rsidR="00550006" w:rsidRPr="0073736E">
        <w:rPr>
          <w:spacing w:val="-4"/>
        </w:rPr>
        <w:t xml:space="preserve"> (accessed 1 May 2025)</w:t>
      </w:r>
      <w:r w:rsidR="00C50403" w:rsidRPr="0073736E">
        <w:rPr>
          <w:spacing w:val="-4"/>
        </w:rPr>
        <w:t>.</w:t>
      </w:r>
    </w:p>
    <w:p w14:paraId="1A962F10" w14:textId="2B64109A" w:rsidR="004D48EB" w:rsidRPr="0073736E" w:rsidRDefault="004D48EB" w:rsidP="00CD797D">
      <w:pPr>
        <w:pStyle w:val="Reference"/>
        <w:rPr>
          <w:spacing w:val="-4"/>
        </w:rPr>
      </w:pPr>
      <w:r w:rsidRPr="0073736E">
        <w:rPr>
          <w:spacing w:val="-4"/>
        </w:rPr>
        <w:t>—— 2024</w:t>
      </w:r>
      <w:r w:rsidR="0024248A" w:rsidRPr="0073736E">
        <w:rPr>
          <w:spacing w:val="-4"/>
        </w:rPr>
        <w:t xml:space="preserve">, </w:t>
      </w:r>
      <w:r w:rsidR="0024248A" w:rsidRPr="0073736E">
        <w:rPr>
          <w:i/>
          <w:spacing w:val="-4"/>
        </w:rPr>
        <w:t>Annual Report 2024 – Modernising Australia Post</w:t>
      </w:r>
      <w:r w:rsidR="0024248A" w:rsidRPr="0073736E">
        <w:rPr>
          <w:spacing w:val="-4"/>
        </w:rPr>
        <w:t xml:space="preserve">, </w:t>
      </w:r>
      <w:r w:rsidR="008B5C8C" w:rsidRPr="0073736E">
        <w:rPr>
          <w:spacing w:val="-4"/>
        </w:rPr>
        <w:t>https://auspost.com.au/content/dam/auspost_corp/media/documents/2024-australia-post-annual-report.pdf (accessed 1 May 2025)</w:t>
      </w:r>
      <w:r w:rsidR="00C50403" w:rsidRPr="0073736E">
        <w:rPr>
          <w:spacing w:val="-4"/>
        </w:rPr>
        <w:t>.</w:t>
      </w:r>
    </w:p>
    <w:p w14:paraId="669DBD1E" w14:textId="38DDA150" w:rsidR="00437B69" w:rsidRPr="00FF08F7" w:rsidRDefault="004D48EB" w:rsidP="00CD797D">
      <w:pPr>
        <w:pStyle w:val="Reference"/>
      </w:pPr>
      <w:r w:rsidRPr="00FF08F7">
        <w:t xml:space="preserve">—— </w:t>
      </w:r>
      <w:r w:rsidR="00437B69" w:rsidRPr="00FF08F7">
        <w:t xml:space="preserve">2025, </w:t>
      </w:r>
      <w:r w:rsidR="00437B69" w:rsidRPr="00FF08F7">
        <w:rPr>
          <w:i/>
        </w:rPr>
        <w:t>Submission responding to competitive neutrality complaint by CAPEC</w:t>
      </w:r>
      <w:r w:rsidR="00C50403">
        <w:rPr>
          <w:i/>
          <w:iCs/>
        </w:rPr>
        <w:t>.</w:t>
      </w:r>
    </w:p>
    <w:p w14:paraId="701B0029" w14:textId="29824AD6" w:rsidR="00B75215" w:rsidRPr="00FF08F7" w:rsidRDefault="00B75215" w:rsidP="00CD797D">
      <w:pPr>
        <w:pStyle w:val="Reference"/>
      </w:pPr>
      <w:r w:rsidRPr="00FF08F7">
        <w:t xml:space="preserve">AASB (Australian Accounting Standards Board) 1996, AAS 26 Financial Reporting of General Insurance Activities, </w:t>
      </w:r>
      <w:hyperlink r:id="rId23" w:history="1">
        <w:r w:rsidRPr="00FF08F7">
          <w:rPr>
            <w:rStyle w:val="Hyperlink"/>
            <w:szCs w:val="16"/>
            <w:u w:val="none"/>
          </w:rPr>
          <w:t>https://www.aasb.gov.au/admin/file/content102/c3/AAS26_11-96.pdf</w:t>
        </w:r>
      </w:hyperlink>
      <w:r w:rsidRPr="00FF08F7">
        <w:t xml:space="preserve"> (accessed 1 May 2025)</w:t>
      </w:r>
      <w:r w:rsidR="00C50403">
        <w:t>.</w:t>
      </w:r>
    </w:p>
    <w:p w14:paraId="56659558" w14:textId="067DC63E" w:rsidR="00B75215" w:rsidRPr="0073736E" w:rsidRDefault="00B75215" w:rsidP="00CD797D">
      <w:pPr>
        <w:pStyle w:val="Reference"/>
        <w:rPr>
          <w:spacing w:val="-4"/>
        </w:rPr>
      </w:pPr>
      <w:r w:rsidRPr="0073736E">
        <w:rPr>
          <w:spacing w:val="-4"/>
        </w:rPr>
        <w:t xml:space="preserve">ACCC (Australian Competition and Consumer Commission) 2024a, </w:t>
      </w:r>
      <w:r w:rsidRPr="0073736E">
        <w:rPr>
          <w:i/>
          <w:spacing w:val="-4"/>
        </w:rPr>
        <w:t>ACCC decision on Australia Post’s price notification</w:t>
      </w:r>
      <w:r w:rsidRPr="0073736E">
        <w:rPr>
          <w:spacing w:val="-4"/>
        </w:rPr>
        <w:t>, March, https://www.accc.gov.au/system/files/ACCC%</w:t>
      </w:r>
      <w:r w:rsidR="00540D80" w:rsidRPr="0073736E">
        <w:rPr>
          <w:spacing w:val="-4"/>
        </w:rPr>
        <w:br/>
      </w:r>
      <w:r w:rsidRPr="0073736E">
        <w:rPr>
          <w:spacing w:val="-4"/>
        </w:rPr>
        <w:t>20decision%20on% 20Australia%20Post%202024%20price%</w:t>
      </w:r>
      <w:r w:rsidR="00ED024E" w:rsidRPr="0073736E">
        <w:rPr>
          <w:spacing w:val="-4"/>
        </w:rPr>
        <w:br/>
      </w:r>
      <w:r w:rsidRPr="0073736E">
        <w:rPr>
          <w:spacing w:val="-4"/>
        </w:rPr>
        <w:t>20notification_0.pdf?ref= 0&amp;download=y (accessed 1 May 2025)</w:t>
      </w:r>
      <w:r w:rsidR="00C50403" w:rsidRPr="0073736E">
        <w:rPr>
          <w:spacing w:val="-4"/>
        </w:rPr>
        <w:t>.</w:t>
      </w:r>
    </w:p>
    <w:p w14:paraId="121F3F7E" w14:textId="3C6A9E91" w:rsidR="00B75215" w:rsidRPr="00FF08F7" w:rsidRDefault="00B75215" w:rsidP="00CD797D">
      <w:pPr>
        <w:pStyle w:val="Reference"/>
      </w:pPr>
      <w:r w:rsidRPr="00FF08F7">
        <w:t xml:space="preserve">—— 2024b, </w:t>
      </w:r>
      <w:r w:rsidRPr="00FF08F7">
        <w:rPr>
          <w:i/>
        </w:rPr>
        <w:t>ACCC decision on Airservices Australia’s 2024 price notification</w:t>
      </w:r>
      <w:r w:rsidRPr="00FF08F7">
        <w:t xml:space="preserve">, October, </w:t>
      </w:r>
      <w:hyperlink r:id="rId24" w:history="1">
        <w:r w:rsidRPr="00FF08F7">
          <w:rPr>
            <w:rStyle w:val="Hyperlink"/>
            <w:szCs w:val="16"/>
            <w:u w:val="none"/>
          </w:rPr>
          <w:t>https://www.accc.gov.au/system/</w:t>
        </w:r>
        <w:r w:rsidR="009F18B6">
          <w:rPr>
            <w:rStyle w:val="Hyperlink"/>
            <w:szCs w:val="16"/>
            <w:u w:val="none"/>
          </w:rPr>
          <w:br/>
        </w:r>
        <w:r w:rsidRPr="00FF08F7">
          <w:rPr>
            <w:rStyle w:val="Hyperlink"/>
            <w:szCs w:val="16"/>
            <w:u w:val="none"/>
          </w:rPr>
          <w:t>files/Airservices%20Australia%20price%20notification%202024%20-%20Decision%20with%20attachments.pdf?ref=0&amp;</w:t>
        </w:r>
        <w:r w:rsidR="009F18B6">
          <w:rPr>
            <w:rStyle w:val="Hyperlink"/>
            <w:szCs w:val="16"/>
            <w:u w:val="none"/>
          </w:rPr>
          <w:br/>
        </w:r>
        <w:r w:rsidRPr="00FF08F7">
          <w:rPr>
            <w:rStyle w:val="Hyperlink"/>
            <w:szCs w:val="16"/>
            <w:u w:val="none"/>
          </w:rPr>
          <w:t>download=y</w:t>
        </w:r>
      </w:hyperlink>
      <w:r w:rsidRPr="00FF08F7">
        <w:t xml:space="preserve"> (accessed 1 May 2025)</w:t>
      </w:r>
      <w:r w:rsidR="00C50403">
        <w:t>.</w:t>
      </w:r>
    </w:p>
    <w:p w14:paraId="53D3752D" w14:textId="1E6DE275" w:rsidR="00B75215" w:rsidRPr="009F18B6" w:rsidRDefault="00B75215" w:rsidP="00CD797D">
      <w:pPr>
        <w:pStyle w:val="Reference"/>
        <w:rPr>
          <w:spacing w:val="-2"/>
        </w:rPr>
      </w:pPr>
      <w:r w:rsidRPr="009F18B6">
        <w:rPr>
          <w:spacing w:val="-2"/>
        </w:rPr>
        <w:t xml:space="preserve">Australian Energy Regulator (AER) 2024, </w:t>
      </w:r>
      <w:r w:rsidRPr="009F18B6">
        <w:rPr>
          <w:i/>
          <w:spacing w:val="-2"/>
        </w:rPr>
        <w:t xml:space="preserve">Rate of Return Annual Update 2024, </w:t>
      </w:r>
      <w:r w:rsidRPr="009F18B6">
        <w:rPr>
          <w:spacing w:val="-2"/>
        </w:rPr>
        <w:t xml:space="preserve">December, </w:t>
      </w:r>
      <w:hyperlink r:id="rId25" w:history="1">
        <w:r w:rsidR="009F18B6" w:rsidRPr="009F18B6">
          <w:rPr>
            <w:rStyle w:val="Hyperlink"/>
            <w:spacing w:val="-2"/>
            <w:szCs w:val="16"/>
            <w:u w:val="none"/>
          </w:rPr>
          <w:t>https://www.aer.gov.au/system/files/</w:t>
        </w:r>
        <w:r w:rsidR="009F18B6" w:rsidRPr="009F18B6">
          <w:rPr>
            <w:rStyle w:val="Hyperlink"/>
            <w:spacing w:val="-2"/>
            <w:szCs w:val="16"/>
            <w:u w:val="none"/>
          </w:rPr>
          <w:br/>
          <w:t>2024-11/AER%20-%20Rate%20of%20Return%20annual%</w:t>
        </w:r>
        <w:r w:rsidR="009F18B6" w:rsidRPr="009F18B6">
          <w:rPr>
            <w:rStyle w:val="Hyperlink"/>
            <w:spacing w:val="-2"/>
            <w:szCs w:val="16"/>
            <w:u w:val="none"/>
          </w:rPr>
          <w:br/>
          <w:t>20update%202024%20-%20December%202024.pdf</w:t>
        </w:r>
      </w:hyperlink>
      <w:r w:rsidRPr="009F18B6">
        <w:rPr>
          <w:spacing w:val="-2"/>
        </w:rPr>
        <w:t xml:space="preserve"> (accessed 1 May 2025)</w:t>
      </w:r>
      <w:r w:rsidR="00C50403" w:rsidRPr="009F18B6">
        <w:rPr>
          <w:spacing w:val="-2"/>
        </w:rPr>
        <w:t>.</w:t>
      </w:r>
    </w:p>
    <w:p w14:paraId="35BBED06" w14:textId="3C5ED9B1" w:rsidR="008E60A2" w:rsidRPr="00FF08F7" w:rsidRDefault="008E60A2" w:rsidP="00CD797D">
      <w:pPr>
        <w:pStyle w:val="Reference"/>
      </w:pPr>
      <w:r w:rsidRPr="00FF08F7">
        <w:t>Australian Government 1996, Commonwealth Competitive Neutrality Policy Statement, https://www.pc.gov.au/about/</w:t>
      </w:r>
      <w:r w:rsidR="009F18B6">
        <w:br/>
      </w:r>
      <w:r w:rsidRPr="00FF08F7">
        <w:t>corefunctions/competitive-neutrality/commonwealth-competitiveneutrality-policy-statement-1996.pdf</w:t>
      </w:r>
      <w:r w:rsidR="000978E0" w:rsidRPr="00FF08F7">
        <w:t xml:space="preserve"> (accessed 1</w:t>
      </w:r>
      <w:r w:rsidR="00F642CB">
        <w:t> </w:t>
      </w:r>
      <w:r w:rsidR="000978E0" w:rsidRPr="00FF08F7">
        <w:t>May 2025)</w:t>
      </w:r>
      <w:r w:rsidR="003A31BC">
        <w:t>.</w:t>
      </w:r>
    </w:p>
    <w:p w14:paraId="479C7888" w14:textId="65BE9C04" w:rsidR="00070BF8" w:rsidRPr="00FF08F7" w:rsidRDefault="00070BF8" w:rsidP="00CD797D">
      <w:pPr>
        <w:pStyle w:val="Reference"/>
      </w:pPr>
      <w:r w:rsidRPr="00FF08F7">
        <w:t>AGCNCO (Australian Government Competitive Neutrality Complaints Office) 1998a</w:t>
      </w:r>
      <w:r w:rsidR="00A64A6F" w:rsidRPr="00FF08F7">
        <w:t xml:space="preserve">, </w:t>
      </w:r>
      <w:r w:rsidR="00A64A6F" w:rsidRPr="00FF08F7">
        <w:rPr>
          <w:i/>
        </w:rPr>
        <w:t>Cost Allocation and Pricing</w:t>
      </w:r>
      <w:r w:rsidR="00035234" w:rsidRPr="00FF08F7">
        <w:t>, Research Paper, Productivity Commission,</w:t>
      </w:r>
      <w:r w:rsidR="00035234" w:rsidRPr="00FF08F7">
        <w:rPr>
          <w:i/>
        </w:rPr>
        <w:t xml:space="preserve"> </w:t>
      </w:r>
      <w:r w:rsidR="00A64A6F" w:rsidRPr="00FF08F7">
        <w:t>Canberra, October</w:t>
      </w:r>
      <w:r w:rsidR="003A31BC">
        <w:t>.</w:t>
      </w:r>
    </w:p>
    <w:p w14:paraId="71784CEB" w14:textId="5C74438E" w:rsidR="006964C0" w:rsidRPr="00FF08F7" w:rsidRDefault="001B2ABD" w:rsidP="00CD797D">
      <w:pPr>
        <w:pStyle w:val="Reference"/>
      </w:pPr>
      <w:r w:rsidRPr="00FF08F7">
        <w:t>——</w:t>
      </w:r>
      <w:r w:rsidR="00AB53B1" w:rsidRPr="00FF08F7">
        <w:t xml:space="preserve"> </w:t>
      </w:r>
      <w:r w:rsidR="006964C0" w:rsidRPr="00FF08F7">
        <w:t>1998</w:t>
      </w:r>
      <w:r w:rsidR="00A64A6F" w:rsidRPr="00FF08F7">
        <w:t>b</w:t>
      </w:r>
      <w:r w:rsidR="006964C0" w:rsidRPr="00FF08F7">
        <w:t xml:space="preserve">, </w:t>
      </w:r>
      <w:r w:rsidR="006964C0" w:rsidRPr="00FF08F7">
        <w:rPr>
          <w:i/>
        </w:rPr>
        <w:t>Rate of Return Issues</w:t>
      </w:r>
      <w:r w:rsidR="006964C0" w:rsidRPr="00FF08F7">
        <w:t>, Research Paper, Productivity Commission, Canberra, December</w:t>
      </w:r>
      <w:r w:rsidR="003A31BC">
        <w:t>.</w:t>
      </w:r>
    </w:p>
    <w:p w14:paraId="3C1E97A9" w14:textId="2F29DE7E" w:rsidR="000439A1" w:rsidRPr="00FF08F7" w:rsidRDefault="00AB53B1" w:rsidP="00CD797D">
      <w:pPr>
        <w:pStyle w:val="Reference"/>
      </w:pPr>
      <w:r w:rsidRPr="00FF08F7">
        <w:t>——</w:t>
      </w:r>
      <w:r w:rsidR="000439A1" w:rsidRPr="00FF08F7">
        <w:t xml:space="preserve"> 1999, </w:t>
      </w:r>
      <w:r w:rsidR="000439A1" w:rsidRPr="00FF08F7">
        <w:rPr>
          <w:i/>
        </w:rPr>
        <w:t>AIS Swim School</w:t>
      </w:r>
      <w:r w:rsidR="000439A1" w:rsidRPr="00FF08F7">
        <w:t>, Investigation no. 2, Productivity Commission, Canberra</w:t>
      </w:r>
      <w:r w:rsidR="001D3A02">
        <w:t>.</w:t>
      </w:r>
    </w:p>
    <w:p w14:paraId="3E1541F9" w14:textId="7449492F" w:rsidR="00DC0C10" w:rsidRPr="00FF08F7" w:rsidRDefault="00AB53B1" w:rsidP="00CD797D">
      <w:pPr>
        <w:pStyle w:val="Reference"/>
      </w:pPr>
      <w:r w:rsidRPr="00FF08F7">
        <w:t>——</w:t>
      </w:r>
      <w:r w:rsidR="00DC0C10" w:rsidRPr="00FF08F7">
        <w:t xml:space="preserve"> 2000a, </w:t>
      </w:r>
      <w:r w:rsidR="00DC0C10" w:rsidRPr="00FF08F7">
        <w:rPr>
          <w:i/>
        </w:rPr>
        <w:t>National Rail Corporation Limited</w:t>
      </w:r>
      <w:r w:rsidR="00DC0C10" w:rsidRPr="00FF08F7">
        <w:t>, Investigation no. 3, Productivity Commission, Canberra</w:t>
      </w:r>
      <w:r w:rsidR="001D3A02">
        <w:t>.</w:t>
      </w:r>
    </w:p>
    <w:p w14:paraId="5090C665" w14:textId="3A897FDE" w:rsidR="00DC0C10" w:rsidRPr="00FF08F7" w:rsidRDefault="00AB53B1" w:rsidP="00CD797D">
      <w:pPr>
        <w:pStyle w:val="Reference"/>
      </w:pPr>
      <w:r w:rsidRPr="00FF08F7">
        <w:t xml:space="preserve">—— </w:t>
      </w:r>
      <w:r w:rsidR="00DC0C10" w:rsidRPr="00FF08F7">
        <w:t xml:space="preserve">2000b, </w:t>
      </w:r>
      <w:r w:rsidR="00DC0C10" w:rsidRPr="00FF08F7">
        <w:rPr>
          <w:i/>
        </w:rPr>
        <w:t>ABC Production Facilities</w:t>
      </w:r>
      <w:r w:rsidR="00DC0C10" w:rsidRPr="00FF08F7">
        <w:t>, Investigation no. 4, Productivity Commission, Canberra</w:t>
      </w:r>
      <w:r w:rsidR="001D3A02">
        <w:t>.</w:t>
      </w:r>
    </w:p>
    <w:p w14:paraId="0D79801E" w14:textId="47FB41C9" w:rsidR="00DC0C10" w:rsidRPr="00FF08F7" w:rsidRDefault="00AB53B1" w:rsidP="00CD797D">
      <w:pPr>
        <w:pStyle w:val="Reference"/>
      </w:pPr>
      <w:r w:rsidRPr="00FF08F7">
        <w:t>——</w:t>
      </w:r>
      <w:r w:rsidR="00DC0C10" w:rsidRPr="00FF08F7">
        <w:t xml:space="preserve"> 2001a, </w:t>
      </w:r>
      <w:r w:rsidR="00DC0C10" w:rsidRPr="00FF08F7">
        <w:rPr>
          <w:i/>
        </w:rPr>
        <w:t>ARRB Transport Research Limited</w:t>
      </w:r>
      <w:r w:rsidR="00DC0C10" w:rsidRPr="00FF08F7">
        <w:t>, Investigation no. 6, Productivity Commission, Canberra</w:t>
      </w:r>
      <w:r w:rsidR="001D3A02">
        <w:t>.</w:t>
      </w:r>
    </w:p>
    <w:p w14:paraId="0934C389" w14:textId="3C716E3A" w:rsidR="00DC0C10" w:rsidRPr="00FF08F7" w:rsidRDefault="00AB53B1" w:rsidP="00CD797D">
      <w:pPr>
        <w:pStyle w:val="Reference"/>
      </w:pPr>
      <w:r w:rsidRPr="00FF08F7">
        <w:t>——</w:t>
      </w:r>
      <w:r w:rsidR="00DC0C10" w:rsidRPr="00FF08F7">
        <w:t xml:space="preserve"> 2001b, </w:t>
      </w:r>
      <w:proofErr w:type="spellStart"/>
      <w:r w:rsidR="00DC0C10" w:rsidRPr="00FF08F7">
        <w:rPr>
          <w:i/>
        </w:rPr>
        <w:t>Docimage</w:t>
      </w:r>
      <w:proofErr w:type="spellEnd"/>
      <w:r w:rsidR="00DC0C10" w:rsidRPr="00FF08F7">
        <w:rPr>
          <w:i/>
        </w:rPr>
        <w:t xml:space="preserve"> Business Services</w:t>
      </w:r>
      <w:r w:rsidR="00DC0C10" w:rsidRPr="00FF08F7">
        <w:t>, Investigation no. 9, Productivity Commission, Canberra</w:t>
      </w:r>
      <w:r w:rsidR="001D3A02">
        <w:t>.</w:t>
      </w:r>
    </w:p>
    <w:p w14:paraId="58EC78FF" w14:textId="669E6D6D" w:rsidR="000349BC" w:rsidRPr="00FF08F7" w:rsidRDefault="00AB53B1" w:rsidP="00CD797D">
      <w:pPr>
        <w:pStyle w:val="Reference"/>
      </w:pPr>
      <w:r w:rsidRPr="00FF08F7">
        <w:t>——</w:t>
      </w:r>
      <w:r w:rsidR="000349BC" w:rsidRPr="00FF08F7">
        <w:t xml:space="preserve"> 2022, </w:t>
      </w:r>
      <w:r w:rsidR="000349BC" w:rsidRPr="00FF08F7">
        <w:rPr>
          <w:i/>
        </w:rPr>
        <w:t>NBN Co</w:t>
      </w:r>
      <w:r w:rsidR="000349BC" w:rsidRPr="00FF08F7">
        <w:t xml:space="preserve">, Investigation no. 18, Productivity Commission, </w:t>
      </w:r>
      <w:r w:rsidR="00C1784C" w:rsidRPr="00FF08F7">
        <w:t>Canberra</w:t>
      </w:r>
      <w:r w:rsidR="001D3A02">
        <w:t>.</w:t>
      </w:r>
    </w:p>
    <w:p w14:paraId="513B7E58" w14:textId="66D8DDF0" w:rsidR="00A91551" w:rsidRPr="00FF08F7" w:rsidRDefault="00AB53B1" w:rsidP="00CD797D">
      <w:pPr>
        <w:pStyle w:val="Reference"/>
      </w:pPr>
      <w:r w:rsidRPr="00FF08F7">
        <w:t>——</w:t>
      </w:r>
      <w:r w:rsidR="004D70E5" w:rsidRPr="00FF08F7">
        <w:t xml:space="preserve"> </w:t>
      </w:r>
      <w:r w:rsidR="00085CCE" w:rsidRPr="00FF08F7">
        <w:t xml:space="preserve">2024, </w:t>
      </w:r>
      <w:r w:rsidR="00085CCE" w:rsidRPr="00FF08F7">
        <w:rPr>
          <w:i/>
        </w:rPr>
        <w:t>Australia Post</w:t>
      </w:r>
      <w:r w:rsidR="00085CCE" w:rsidRPr="00FF08F7">
        <w:t>, Investigation no. 19, Productivity Commission, Canberra</w:t>
      </w:r>
      <w:r w:rsidR="001D3A02">
        <w:t>.</w:t>
      </w:r>
    </w:p>
    <w:p w14:paraId="0B144385" w14:textId="28C73D3F" w:rsidR="002B4A71" w:rsidRPr="0073736E" w:rsidRDefault="00B75215" w:rsidP="00CD797D">
      <w:pPr>
        <w:pStyle w:val="Reference"/>
        <w:rPr>
          <w:spacing w:val="-4"/>
        </w:rPr>
      </w:pPr>
      <w:r w:rsidRPr="0073736E">
        <w:rPr>
          <w:spacing w:val="-4"/>
        </w:rPr>
        <w:t xml:space="preserve">Australian Government Department of Infrastructure, Transport, Regional Development, Communications and the Arts and Australian Government Department of Finance </w:t>
      </w:r>
      <w:r w:rsidR="002B4A71" w:rsidRPr="0073736E">
        <w:rPr>
          <w:spacing w:val="-4"/>
        </w:rPr>
        <w:t xml:space="preserve">2025, </w:t>
      </w:r>
      <w:r w:rsidR="002B4A71" w:rsidRPr="0073736E">
        <w:rPr>
          <w:i/>
          <w:spacing w:val="-4"/>
        </w:rPr>
        <w:t>Submission responding to competitive neutrality complaint by CAPEC</w:t>
      </w:r>
      <w:r w:rsidR="001D3A02" w:rsidRPr="0073736E">
        <w:rPr>
          <w:i/>
          <w:iCs/>
          <w:spacing w:val="-4"/>
        </w:rPr>
        <w:t>.</w:t>
      </w:r>
    </w:p>
    <w:p w14:paraId="47001AB9" w14:textId="7E85536E" w:rsidR="002B4A71" w:rsidRPr="0073736E" w:rsidRDefault="002B4A71" w:rsidP="00CD797D">
      <w:pPr>
        <w:pStyle w:val="Reference"/>
        <w:rPr>
          <w:i/>
          <w:spacing w:val="-4"/>
        </w:rPr>
      </w:pPr>
      <w:r w:rsidRPr="0073736E">
        <w:rPr>
          <w:spacing w:val="-4"/>
        </w:rPr>
        <w:t xml:space="preserve">CAPEC (Conference of Asia Pacific Express Carriers) 2024, </w:t>
      </w:r>
      <w:r w:rsidR="001D500D" w:rsidRPr="0073736E">
        <w:rPr>
          <w:i/>
          <w:spacing w:val="-4"/>
        </w:rPr>
        <w:t>Australia Post AGCNCO investigation - Return calculations error</w:t>
      </w:r>
      <w:r w:rsidR="001D3A02" w:rsidRPr="0073736E">
        <w:rPr>
          <w:i/>
          <w:iCs/>
          <w:spacing w:val="-4"/>
        </w:rPr>
        <w:t>.</w:t>
      </w:r>
    </w:p>
    <w:p w14:paraId="74FE9D33" w14:textId="5BDE8FFB" w:rsidR="00592389" w:rsidRPr="00FF08F7" w:rsidRDefault="00592389" w:rsidP="00CD797D">
      <w:pPr>
        <w:pStyle w:val="Reference"/>
      </w:pPr>
      <w:r w:rsidRPr="00FF08F7">
        <w:t xml:space="preserve">Deloitte 2022, </w:t>
      </w:r>
      <w:r w:rsidRPr="00FF08F7">
        <w:rPr>
          <w:i/>
        </w:rPr>
        <w:t>Australian Postal Corporation: Assessment of WACC for Australia Post’s reserved letter business</w:t>
      </w:r>
      <w:r w:rsidRPr="00FF08F7">
        <w:t xml:space="preserve">, </w:t>
      </w:r>
      <w:hyperlink r:id="rId26" w:history="1">
        <w:r w:rsidR="00AF61CD" w:rsidRPr="00FF08F7">
          <w:rPr>
            <w:rStyle w:val="Hyperlink"/>
            <w:szCs w:val="16"/>
            <w:u w:val="none"/>
          </w:rPr>
          <w:t>https://www.accc.gov.au/system/files/Deloitte%20report%20on%20assessment%20of%20WACC%20for%20Australia%20Post%E2%80%99s%20Reserved%20Letters%20Business_0.pdf?ref=0&amp;download=y</w:t>
        </w:r>
      </w:hyperlink>
      <w:r w:rsidRPr="00FF08F7">
        <w:t xml:space="preserve"> (accessed </w:t>
      </w:r>
      <w:r w:rsidR="00AF61CD" w:rsidRPr="00FF08F7">
        <w:t>1 May</w:t>
      </w:r>
      <w:r w:rsidRPr="00FF08F7">
        <w:t xml:space="preserve"> 2025)</w:t>
      </w:r>
      <w:r w:rsidR="001D3A02">
        <w:t>.</w:t>
      </w:r>
    </w:p>
    <w:p w14:paraId="5AF617AB" w14:textId="0446751E" w:rsidR="00592389" w:rsidRDefault="00592389" w:rsidP="00CD797D">
      <w:pPr>
        <w:pStyle w:val="Reference"/>
      </w:pPr>
      <w:r w:rsidRPr="00FF08F7">
        <w:t xml:space="preserve">New South Wales Independent Pricing and Regulatory Tribunal, 2024 </w:t>
      </w:r>
      <w:r w:rsidRPr="00FF08F7">
        <w:rPr>
          <w:i/>
        </w:rPr>
        <w:t>Fact Sheet: WACC Biannual Update</w:t>
      </w:r>
      <w:r w:rsidRPr="00FF08F7">
        <w:t xml:space="preserve">, August, </w:t>
      </w:r>
      <w:hyperlink r:id="rId27" w:history="1">
        <w:r w:rsidRPr="00FF08F7">
          <w:rPr>
            <w:rStyle w:val="Hyperlink"/>
            <w:szCs w:val="16"/>
            <w:u w:val="none"/>
          </w:rPr>
          <w:t>https://www.ipart.nsw.gov.au/sites/default/files/cm9_documents/Fact-sheet-WACC-Biannual-Update-August-2024.PDF</w:t>
        </w:r>
      </w:hyperlink>
      <w:r w:rsidRPr="00FF08F7">
        <w:t xml:space="preserve"> (accessed </w:t>
      </w:r>
      <w:r w:rsidR="00AF61CD" w:rsidRPr="00FF08F7">
        <w:t>1 May</w:t>
      </w:r>
      <w:r w:rsidRPr="00FF08F7">
        <w:t xml:space="preserve"> 2025)</w:t>
      </w:r>
      <w:r w:rsidR="001D3A02">
        <w:t>.</w:t>
      </w:r>
    </w:p>
    <w:p w14:paraId="4BE8A3F2" w14:textId="38038B9F" w:rsidR="00244679" w:rsidRPr="009F18B6" w:rsidRDefault="00244679" w:rsidP="00CD797D">
      <w:pPr>
        <w:pStyle w:val="Reference"/>
        <w:rPr>
          <w:spacing w:val="-4"/>
        </w:rPr>
      </w:pPr>
      <w:r w:rsidRPr="009F18B6">
        <w:rPr>
          <w:spacing w:val="-4"/>
        </w:rPr>
        <w:t xml:space="preserve">RBA (Reserve Bank of Australia) 2025, </w:t>
      </w:r>
      <w:r w:rsidRPr="009F18B6">
        <w:rPr>
          <w:i/>
          <w:spacing w:val="-4"/>
        </w:rPr>
        <w:t>Interest Rates and Yields – Statistical tables</w:t>
      </w:r>
      <w:r w:rsidRPr="009F18B6">
        <w:rPr>
          <w:spacing w:val="-4"/>
        </w:rPr>
        <w:t xml:space="preserve">, </w:t>
      </w:r>
      <w:r w:rsidR="005A06A8" w:rsidRPr="009F18B6">
        <w:rPr>
          <w:spacing w:val="-4"/>
        </w:rPr>
        <w:t>https://www.rba.gov.au/statistics/tables/ (accessed 1 May 2025)</w:t>
      </w:r>
      <w:r w:rsidR="001D3A02" w:rsidRPr="009F18B6">
        <w:rPr>
          <w:spacing w:val="-4"/>
        </w:rPr>
        <w:t>.</w:t>
      </w:r>
    </w:p>
    <w:p w14:paraId="58A6B739" w14:textId="77777777" w:rsidR="001A4C86" w:rsidRPr="00FF08F7" w:rsidRDefault="001A4C86" w:rsidP="001A4C86">
      <w:pPr>
        <w:pStyle w:val="Reference"/>
        <w:rPr>
          <w:szCs w:val="16"/>
        </w:rPr>
      </w:pPr>
      <w:r>
        <w:t xml:space="preserve">The Treasury and DOFA (Australian Government Department of the Treasury and Department of Finance and Administration) </w:t>
      </w:r>
      <w:r w:rsidRPr="00FF08F7">
        <w:t xml:space="preserve">2004, </w:t>
      </w:r>
      <w:r w:rsidRPr="00FF08F7">
        <w:rPr>
          <w:i/>
          <w:iCs/>
          <w:szCs w:val="16"/>
        </w:rPr>
        <w:t>Australian Government Competitive Neutrality Guidelines for Managers</w:t>
      </w:r>
      <w:r w:rsidRPr="00FF08F7">
        <w:rPr>
          <w:szCs w:val="16"/>
        </w:rPr>
        <w:t>, Financial Management Guidance no. 9</w:t>
      </w:r>
      <w:r>
        <w:t>,</w:t>
      </w:r>
      <w:r w:rsidRPr="00FF08F7">
        <w:t xml:space="preserve"> </w:t>
      </w:r>
      <w:r w:rsidRPr="00FF08F7">
        <w:rPr>
          <w:szCs w:val="16"/>
        </w:rPr>
        <w:t>Canberra.</w:t>
      </w:r>
    </w:p>
    <w:p w14:paraId="28E2C12F" w14:textId="26937168" w:rsidR="00883D5A" w:rsidRPr="0073736E" w:rsidRDefault="00213921" w:rsidP="00CD797D">
      <w:pPr>
        <w:pStyle w:val="Reference"/>
        <w:rPr>
          <w:spacing w:val="-2"/>
        </w:rPr>
      </w:pPr>
      <w:r w:rsidRPr="0073736E">
        <w:rPr>
          <w:spacing w:val="-2"/>
        </w:rPr>
        <w:t>Victorian Department of Treasury and Finance</w:t>
      </w:r>
      <w:r w:rsidR="00931A1D" w:rsidRPr="0073736E">
        <w:rPr>
          <w:spacing w:val="-2"/>
        </w:rPr>
        <w:t xml:space="preserve"> 2000</w:t>
      </w:r>
      <w:r w:rsidRPr="0073736E">
        <w:rPr>
          <w:spacing w:val="-2"/>
        </w:rPr>
        <w:t xml:space="preserve">, </w:t>
      </w:r>
      <w:r w:rsidR="00BE2E8B" w:rsidRPr="0073736E">
        <w:rPr>
          <w:i/>
          <w:spacing w:val="-2"/>
        </w:rPr>
        <w:t>Competitive</w:t>
      </w:r>
      <w:r w:rsidR="00931A1D" w:rsidRPr="0073736E">
        <w:rPr>
          <w:i/>
          <w:spacing w:val="-2"/>
        </w:rPr>
        <w:t xml:space="preserve"> Neutrality Guide to Implementation</w:t>
      </w:r>
      <w:r w:rsidR="00BE2E8B" w:rsidRPr="0073736E">
        <w:rPr>
          <w:i/>
          <w:spacing w:val="-2"/>
        </w:rPr>
        <w:t xml:space="preserve"> </w:t>
      </w:r>
      <w:hyperlink r:id="rId28" w:history="1">
        <w:r w:rsidRPr="0073736E">
          <w:rPr>
            <w:rStyle w:val="Hyperlink"/>
            <w:spacing w:val="-2"/>
            <w:szCs w:val="16"/>
            <w:u w:val="none"/>
          </w:rPr>
          <w:t>https://www.vic.gov.au/sites/default/files/2019-06/Competitive-Neutrality-Guide-to-Implementation.pdf</w:t>
        </w:r>
      </w:hyperlink>
      <w:r w:rsidR="00C20A88" w:rsidRPr="0073736E">
        <w:rPr>
          <w:spacing w:val="-2"/>
        </w:rPr>
        <w:t xml:space="preserve"> (accessed </w:t>
      </w:r>
      <w:r w:rsidR="001E32B7" w:rsidRPr="0073736E">
        <w:rPr>
          <w:spacing w:val="-2"/>
        </w:rPr>
        <w:t>1 May</w:t>
      </w:r>
      <w:r w:rsidR="00C20A88" w:rsidRPr="0073736E">
        <w:rPr>
          <w:spacing w:val="-2"/>
        </w:rPr>
        <w:t xml:space="preserve"> 2025)</w:t>
      </w:r>
      <w:r w:rsidR="001D3A02" w:rsidRPr="0073736E">
        <w:rPr>
          <w:spacing w:val="-2"/>
        </w:rPr>
        <w:t>.</w:t>
      </w:r>
    </w:p>
    <w:sectPr w:rsidR="00883D5A" w:rsidRPr="0073736E" w:rsidSect="00850D30">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EB3A" w14:textId="77777777" w:rsidR="001D2500" w:rsidRDefault="001D2500" w:rsidP="008017BC">
      <w:r>
        <w:separator/>
      </w:r>
    </w:p>
    <w:p w14:paraId="0E44C4F9" w14:textId="77777777" w:rsidR="001D2500" w:rsidRDefault="001D2500"/>
  </w:endnote>
  <w:endnote w:type="continuationSeparator" w:id="0">
    <w:p w14:paraId="1EDE4DB8" w14:textId="77777777" w:rsidR="001D2500" w:rsidRDefault="001D2500" w:rsidP="008017BC">
      <w:r>
        <w:continuationSeparator/>
      </w:r>
    </w:p>
    <w:p w14:paraId="51586130" w14:textId="77777777" w:rsidR="001D2500" w:rsidRDefault="001D2500"/>
  </w:endnote>
  <w:endnote w:type="continuationNotice" w:id="1">
    <w:p w14:paraId="675EC4D6" w14:textId="77777777" w:rsidR="001D2500" w:rsidRDefault="001D25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4DA9" w14:textId="545D7DBE" w:rsidR="00D15113" w:rsidRDefault="00F04EA7" w:rsidP="001B0B4F">
    <w:pPr>
      <w:pStyle w:val="Footer"/>
      <w:tabs>
        <w:tab w:val="clear" w:pos="4513"/>
        <w:tab w:val="center" w:pos="4678"/>
      </w:tabs>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7A19531" w14:textId="062476C3" w:rsidR="00D15113" w:rsidRDefault="00F04EA7" w:rsidP="00D35DA5">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BEAE" w14:textId="77777777" w:rsidR="001D2500" w:rsidRPr="00C238D1" w:rsidRDefault="001D2500" w:rsidP="00273E86">
      <w:pPr>
        <w:spacing w:after="0" w:line="240" w:lineRule="auto"/>
        <w:rPr>
          <w:rStyle w:val="ColourDarkBlue"/>
        </w:rPr>
      </w:pPr>
      <w:r w:rsidRPr="00C238D1">
        <w:rPr>
          <w:rStyle w:val="ColourDarkBlue"/>
        </w:rPr>
        <w:continuationSeparator/>
      </w:r>
    </w:p>
  </w:footnote>
  <w:footnote w:type="continuationSeparator" w:id="0">
    <w:p w14:paraId="4861ADFF" w14:textId="77777777" w:rsidR="001D2500" w:rsidRPr="001D7D9B" w:rsidRDefault="001D2500" w:rsidP="001D7D9B">
      <w:pPr>
        <w:spacing w:after="0" w:line="240" w:lineRule="auto"/>
        <w:rPr>
          <w:color w:val="265A9A" w:themeColor="background2"/>
        </w:rPr>
      </w:pPr>
      <w:r w:rsidRPr="00C238D1">
        <w:rPr>
          <w:rStyle w:val="ColourDarkBlue"/>
        </w:rPr>
        <w:continuationSeparator/>
      </w:r>
    </w:p>
  </w:footnote>
  <w:footnote w:type="continuationNotice" w:id="1">
    <w:p w14:paraId="173ECA6F" w14:textId="77777777" w:rsidR="001D2500" w:rsidRDefault="001D2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C8B8" w14:textId="57FAABDB" w:rsidR="00F173EF" w:rsidRPr="0068187B" w:rsidRDefault="7C2EE9C8" w:rsidP="0068187B">
    <w:pPr>
      <w:pStyle w:val="Header-Keyline"/>
    </w:pPr>
    <w:r>
      <w:t>AGCNCO investigation</w:t>
    </w:r>
    <w:r w:rsidR="002508BA">
      <w:t xml:space="preserve"> no.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6F27" w14:textId="7A6D8877" w:rsidR="00F173EF" w:rsidRPr="00A83E78" w:rsidRDefault="00E1684C" w:rsidP="00A83E78">
    <w:pPr>
      <w:pStyle w:val="Header-KeylineRight"/>
    </w:pPr>
    <w:r w:rsidRPr="00E1684C">
      <w:t xml:space="preserve">Addendum to </w:t>
    </w:r>
    <w:r w:rsidR="00D35DA5">
      <w:t>c</w:t>
    </w:r>
    <w:r w:rsidRPr="00E1684C">
      <w:t xml:space="preserve">hapter 6 </w:t>
    </w:r>
    <w:r w:rsidR="0070441F">
      <w:t>–</w:t>
    </w:r>
    <w:r w:rsidRPr="00E1684C">
      <w:t xml:space="preserve"> Earning a commercial rate of return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9B09" w14:textId="07BBBFDF" w:rsidR="00A83E78" w:rsidRDefault="00A83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6B40E2DE"/>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abstractNum w:abstractNumId="17" w15:restartNumberingAfterBreak="0">
    <w:nsid w:val="767C5076"/>
    <w:multiLevelType w:val="hybridMultilevel"/>
    <w:tmpl w:val="C90EBF18"/>
    <w:lvl w:ilvl="0" w:tplc="752817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417846">
    <w:abstractNumId w:val="6"/>
  </w:num>
  <w:num w:numId="2" w16cid:durableId="1519077027">
    <w:abstractNumId w:val="2"/>
  </w:num>
  <w:num w:numId="3" w16cid:durableId="1468549479">
    <w:abstractNumId w:val="9"/>
  </w:num>
  <w:num w:numId="4" w16cid:durableId="915166386">
    <w:abstractNumId w:val="14"/>
  </w:num>
  <w:num w:numId="5" w16cid:durableId="1510681289">
    <w:abstractNumId w:val="15"/>
  </w:num>
  <w:num w:numId="6" w16cid:durableId="912081833">
    <w:abstractNumId w:val="13"/>
  </w:num>
  <w:num w:numId="7" w16cid:durableId="2023432934">
    <w:abstractNumId w:val="11"/>
  </w:num>
  <w:num w:numId="8" w16cid:durableId="192770611">
    <w:abstractNumId w:val="7"/>
  </w:num>
  <w:num w:numId="9" w16cid:durableId="485167421">
    <w:abstractNumId w:val="10"/>
  </w:num>
  <w:num w:numId="10" w16cid:durableId="775756382">
    <w:abstractNumId w:val="16"/>
  </w:num>
  <w:num w:numId="11" w16cid:durableId="1975406722">
    <w:abstractNumId w:val="0"/>
  </w:num>
  <w:num w:numId="12" w16cid:durableId="2055227720">
    <w:abstractNumId w:val="3"/>
  </w:num>
  <w:num w:numId="13" w16cid:durableId="432627348">
    <w:abstractNumId w:val="8"/>
  </w:num>
  <w:num w:numId="14" w16cid:durableId="1889947188">
    <w:abstractNumId w:val="5"/>
  </w:num>
  <w:num w:numId="15" w16cid:durableId="818545292">
    <w:abstractNumId w:val="1"/>
  </w:num>
  <w:num w:numId="16" w16cid:durableId="561333589">
    <w:abstractNumId w:val="12"/>
  </w:num>
  <w:num w:numId="17" w16cid:durableId="267082509">
    <w:abstractNumId w:val="4"/>
  </w:num>
  <w:num w:numId="18" w16cid:durableId="1801874209">
    <w:abstractNumId w:val="4"/>
  </w:num>
  <w:num w:numId="19" w16cid:durableId="576287893">
    <w:abstractNumId w:val="4"/>
  </w:num>
  <w:num w:numId="20" w16cid:durableId="97426298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61"/>
    <w:rsid w:val="00000075"/>
    <w:rsid w:val="00000230"/>
    <w:rsid w:val="000003F0"/>
    <w:rsid w:val="00000D8A"/>
    <w:rsid w:val="00000F3C"/>
    <w:rsid w:val="000023B3"/>
    <w:rsid w:val="00002C9F"/>
    <w:rsid w:val="0000370A"/>
    <w:rsid w:val="0000370C"/>
    <w:rsid w:val="000039E0"/>
    <w:rsid w:val="00003B5F"/>
    <w:rsid w:val="00003E83"/>
    <w:rsid w:val="0000423E"/>
    <w:rsid w:val="00004489"/>
    <w:rsid w:val="00004688"/>
    <w:rsid w:val="00005005"/>
    <w:rsid w:val="000057AF"/>
    <w:rsid w:val="00005AA2"/>
    <w:rsid w:val="00005C79"/>
    <w:rsid w:val="00006260"/>
    <w:rsid w:val="00007056"/>
    <w:rsid w:val="000074FD"/>
    <w:rsid w:val="00011BCA"/>
    <w:rsid w:val="00012127"/>
    <w:rsid w:val="00012A98"/>
    <w:rsid w:val="00012F74"/>
    <w:rsid w:val="00013897"/>
    <w:rsid w:val="00013F90"/>
    <w:rsid w:val="00013FAE"/>
    <w:rsid w:val="000144F4"/>
    <w:rsid w:val="00014B00"/>
    <w:rsid w:val="00014B36"/>
    <w:rsid w:val="00014B6D"/>
    <w:rsid w:val="00015AD4"/>
    <w:rsid w:val="00016043"/>
    <w:rsid w:val="00016051"/>
    <w:rsid w:val="00016777"/>
    <w:rsid w:val="00016F83"/>
    <w:rsid w:val="000172FF"/>
    <w:rsid w:val="00017739"/>
    <w:rsid w:val="00017DF1"/>
    <w:rsid w:val="00017F58"/>
    <w:rsid w:val="000200BD"/>
    <w:rsid w:val="000204D3"/>
    <w:rsid w:val="00020BFF"/>
    <w:rsid w:val="0002176D"/>
    <w:rsid w:val="00021D43"/>
    <w:rsid w:val="000229A6"/>
    <w:rsid w:val="00023033"/>
    <w:rsid w:val="000232B6"/>
    <w:rsid w:val="00023E30"/>
    <w:rsid w:val="00024529"/>
    <w:rsid w:val="00025306"/>
    <w:rsid w:val="00025706"/>
    <w:rsid w:val="000260DF"/>
    <w:rsid w:val="00026310"/>
    <w:rsid w:val="000263EA"/>
    <w:rsid w:val="000263F4"/>
    <w:rsid w:val="000268B2"/>
    <w:rsid w:val="00026C04"/>
    <w:rsid w:val="00027636"/>
    <w:rsid w:val="000300AF"/>
    <w:rsid w:val="000301C5"/>
    <w:rsid w:val="00030740"/>
    <w:rsid w:val="000313DF"/>
    <w:rsid w:val="00032324"/>
    <w:rsid w:val="000326BF"/>
    <w:rsid w:val="000331E4"/>
    <w:rsid w:val="0003338D"/>
    <w:rsid w:val="00033619"/>
    <w:rsid w:val="00033B80"/>
    <w:rsid w:val="000342CC"/>
    <w:rsid w:val="0003437D"/>
    <w:rsid w:val="0003497D"/>
    <w:rsid w:val="000349BC"/>
    <w:rsid w:val="00035234"/>
    <w:rsid w:val="00035770"/>
    <w:rsid w:val="0003595F"/>
    <w:rsid w:val="000360F8"/>
    <w:rsid w:val="00036674"/>
    <w:rsid w:val="00037471"/>
    <w:rsid w:val="00037508"/>
    <w:rsid w:val="00037FD3"/>
    <w:rsid w:val="000413E4"/>
    <w:rsid w:val="0004146E"/>
    <w:rsid w:val="00041825"/>
    <w:rsid w:val="00041F70"/>
    <w:rsid w:val="0004275E"/>
    <w:rsid w:val="000439A1"/>
    <w:rsid w:val="000441BA"/>
    <w:rsid w:val="000445DB"/>
    <w:rsid w:val="00044CC3"/>
    <w:rsid w:val="00045101"/>
    <w:rsid w:val="000454B5"/>
    <w:rsid w:val="00045A86"/>
    <w:rsid w:val="00047192"/>
    <w:rsid w:val="00047258"/>
    <w:rsid w:val="00047759"/>
    <w:rsid w:val="00047894"/>
    <w:rsid w:val="00047ACF"/>
    <w:rsid w:val="00050015"/>
    <w:rsid w:val="000500C8"/>
    <w:rsid w:val="0005060D"/>
    <w:rsid w:val="000512FA"/>
    <w:rsid w:val="0005143D"/>
    <w:rsid w:val="0005151B"/>
    <w:rsid w:val="000515C0"/>
    <w:rsid w:val="000531A5"/>
    <w:rsid w:val="00053AE9"/>
    <w:rsid w:val="00053AEF"/>
    <w:rsid w:val="00053EF3"/>
    <w:rsid w:val="00054C95"/>
    <w:rsid w:val="000551CA"/>
    <w:rsid w:val="00055486"/>
    <w:rsid w:val="00055DB2"/>
    <w:rsid w:val="000561CF"/>
    <w:rsid w:val="00056B89"/>
    <w:rsid w:val="000575F6"/>
    <w:rsid w:val="0005774F"/>
    <w:rsid w:val="00057A00"/>
    <w:rsid w:val="00060089"/>
    <w:rsid w:val="00060B5F"/>
    <w:rsid w:val="00060F73"/>
    <w:rsid w:val="000614AE"/>
    <w:rsid w:val="0006189F"/>
    <w:rsid w:val="00061A32"/>
    <w:rsid w:val="00061BFE"/>
    <w:rsid w:val="00062205"/>
    <w:rsid w:val="00062A44"/>
    <w:rsid w:val="00062B5E"/>
    <w:rsid w:val="00062F20"/>
    <w:rsid w:val="00062F33"/>
    <w:rsid w:val="000637F8"/>
    <w:rsid w:val="00063C8E"/>
    <w:rsid w:val="00063D38"/>
    <w:rsid w:val="0006404B"/>
    <w:rsid w:val="000640F6"/>
    <w:rsid w:val="000646C2"/>
    <w:rsid w:val="000652CB"/>
    <w:rsid w:val="000655D4"/>
    <w:rsid w:val="000658A4"/>
    <w:rsid w:val="00067565"/>
    <w:rsid w:val="00070BF8"/>
    <w:rsid w:val="00070E10"/>
    <w:rsid w:val="0007113A"/>
    <w:rsid w:val="00071B58"/>
    <w:rsid w:val="00071F15"/>
    <w:rsid w:val="00071F38"/>
    <w:rsid w:val="00072288"/>
    <w:rsid w:val="000724AE"/>
    <w:rsid w:val="00072EDB"/>
    <w:rsid w:val="000730A0"/>
    <w:rsid w:val="00073E3B"/>
    <w:rsid w:val="00073FDD"/>
    <w:rsid w:val="000740ED"/>
    <w:rsid w:val="00074662"/>
    <w:rsid w:val="0007587A"/>
    <w:rsid w:val="00076161"/>
    <w:rsid w:val="0007776A"/>
    <w:rsid w:val="00077A76"/>
    <w:rsid w:val="0008037D"/>
    <w:rsid w:val="000807D9"/>
    <w:rsid w:val="00080AF1"/>
    <w:rsid w:val="0008106D"/>
    <w:rsid w:val="00081B21"/>
    <w:rsid w:val="0008334F"/>
    <w:rsid w:val="0008342A"/>
    <w:rsid w:val="00083D7E"/>
    <w:rsid w:val="000842BC"/>
    <w:rsid w:val="00084660"/>
    <w:rsid w:val="00084D57"/>
    <w:rsid w:val="000851D3"/>
    <w:rsid w:val="00085CCE"/>
    <w:rsid w:val="00085FB9"/>
    <w:rsid w:val="00085FC9"/>
    <w:rsid w:val="00086514"/>
    <w:rsid w:val="00086AAC"/>
    <w:rsid w:val="000905BD"/>
    <w:rsid w:val="00091286"/>
    <w:rsid w:val="00092193"/>
    <w:rsid w:val="000921EB"/>
    <w:rsid w:val="00092B8D"/>
    <w:rsid w:val="00093251"/>
    <w:rsid w:val="00096350"/>
    <w:rsid w:val="00096450"/>
    <w:rsid w:val="00097330"/>
    <w:rsid w:val="000978E0"/>
    <w:rsid w:val="000A0F08"/>
    <w:rsid w:val="000A14ED"/>
    <w:rsid w:val="000A2B93"/>
    <w:rsid w:val="000A2EF6"/>
    <w:rsid w:val="000A2F89"/>
    <w:rsid w:val="000A38AA"/>
    <w:rsid w:val="000A41AB"/>
    <w:rsid w:val="000A496E"/>
    <w:rsid w:val="000A632E"/>
    <w:rsid w:val="000A634D"/>
    <w:rsid w:val="000A662C"/>
    <w:rsid w:val="000A6EA3"/>
    <w:rsid w:val="000B1696"/>
    <w:rsid w:val="000B1ADE"/>
    <w:rsid w:val="000B20E4"/>
    <w:rsid w:val="000B2670"/>
    <w:rsid w:val="000B2C22"/>
    <w:rsid w:val="000B3712"/>
    <w:rsid w:val="000B3D87"/>
    <w:rsid w:val="000B4390"/>
    <w:rsid w:val="000B445D"/>
    <w:rsid w:val="000B4495"/>
    <w:rsid w:val="000B497F"/>
    <w:rsid w:val="000B4A72"/>
    <w:rsid w:val="000B5105"/>
    <w:rsid w:val="000B54EC"/>
    <w:rsid w:val="000B5742"/>
    <w:rsid w:val="000B6079"/>
    <w:rsid w:val="000B62E6"/>
    <w:rsid w:val="000B651B"/>
    <w:rsid w:val="000B70CC"/>
    <w:rsid w:val="000B7CB8"/>
    <w:rsid w:val="000C0EE9"/>
    <w:rsid w:val="000C116D"/>
    <w:rsid w:val="000C18E1"/>
    <w:rsid w:val="000C2692"/>
    <w:rsid w:val="000C2ED8"/>
    <w:rsid w:val="000C3245"/>
    <w:rsid w:val="000C40B0"/>
    <w:rsid w:val="000C444A"/>
    <w:rsid w:val="000C5203"/>
    <w:rsid w:val="000C5287"/>
    <w:rsid w:val="000C52A5"/>
    <w:rsid w:val="000C53AF"/>
    <w:rsid w:val="000C6B77"/>
    <w:rsid w:val="000C6B99"/>
    <w:rsid w:val="000C6C23"/>
    <w:rsid w:val="000C791F"/>
    <w:rsid w:val="000C7C9B"/>
    <w:rsid w:val="000D05A2"/>
    <w:rsid w:val="000D10BD"/>
    <w:rsid w:val="000D3584"/>
    <w:rsid w:val="000D544D"/>
    <w:rsid w:val="000D54D5"/>
    <w:rsid w:val="000D7194"/>
    <w:rsid w:val="000D725D"/>
    <w:rsid w:val="000D7745"/>
    <w:rsid w:val="000D7C61"/>
    <w:rsid w:val="000E08D2"/>
    <w:rsid w:val="000E1391"/>
    <w:rsid w:val="000E2377"/>
    <w:rsid w:val="000E2778"/>
    <w:rsid w:val="000E43B0"/>
    <w:rsid w:val="000E4C98"/>
    <w:rsid w:val="000E5479"/>
    <w:rsid w:val="000E55BF"/>
    <w:rsid w:val="000E6AF4"/>
    <w:rsid w:val="000E6CB5"/>
    <w:rsid w:val="000E6D72"/>
    <w:rsid w:val="000E6E0C"/>
    <w:rsid w:val="000E793F"/>
    <w:rsid w:val="000E7DD8"/>
    <w:rsid w:val="000F007C"/>
    <w:rsid w:val="000F07C2"/>
    <w:rsid w:val="000F10AF"/>
    <w:rsid w:val="000F27D3"/>
    <w:rsid w:val="000F28F8"/>
    <w:rsid w:val="000F3615"/>
    <w:rsid w:val="000F3BE7"/>
    <w:rsid w:val="000F4488"/>
    <w:rsid w:val="000F47AE"/>
    <w:rsid w:val="000F4F7E"/>
    <w:rsid w:val="000F4FC7"/>
    <w:rsid w:val="000F5014"/>
    <w:rsid w:val="000F674E"/>
    <w:rsid w:val="000F706F"/>
    <w:rsid w:val="001002E0"/>
    <w:rsid w:val="00100FAB"/>
    <w:rsid w:val="0010124A"/>
    <w:rsid w:val="00101AFB"/>
    <w:rsid w:val="00101C73"/>
    <w:rsid w:val="00101C8D"/>
    <w:rsid w:val="00101F89"/>
    <w:rsid w:val="00102685"/>
    <w:rsid w:val="00102881"/>
    <w:rsid w:val="00102ACD"/>
    <w:rsid w:val="00102D07"/>
    <w:rsid w:val="0010325A"/>
    <w:rsid w:val="0010395A"/>
    <w:rsid w:val="00103ACA"/>
    <w:rsid w:val="0010410F"/>
    <w:rsid w:val="0010476C"/>
    <w:rsid w:val="001048D7"/>
    <w:rsid w:val="00106927"/>
    <w:rsid w:val="0010760F"/>
    <w:rsid w:val="0011075A"/>
    <w:rsid w:val="0011099C"/>
    <w:rsid w:val="00110CC8"/>
    <w:rsid w:val="001117A8"/>
    <w:rsid w:val="00111928"/>
    <w:rsid w:val="00111D0F"/>
    <w:rsid w:val="0011217E"/>
    <w:rsid w:val="001121FD"/>
    <w:rsid w:val="00112584"/>
    <w:rsid w:val="00112E8F"/>
    <w:rsid w:val="00113137"/>
    <w:rsid w:val="001133E3"/>
    <w:rsid w:val="00114352"/>
    <w:rsid w:val="00114C2B"/>
    <w:rsid w:val="00114F3D"/>
    <w:rsid w:val="00115C7D"/>
    <w:rsid w:val="00116AD0"/>
    <w:rsid w:val="001170BB"/>
    <w:rsid w:val="001170D5"/>
    <w:rsid w:val="00117AC5"/>
    <w:rsid w:val="00120283"/>
    <w:rsid w:val="00120792"/>
    <w:rsid w:val="0012098A"/>
    <w:rsid w:val="0012118F"/>
    <w:rsid w:val="00121839"/>
    <w:rsid w:val="001225DF"/>
    <w:rsid w:val="00122E58"/>
    <w:rsid w:val="0012318E"/>
    <w:rsid w:val="00123CE4"/>
    <w:rsid w:val="001259DA"/>
    <w:rsid w:val="001259E2"/>
    <w:rsid w:val="00125DBB"/>
    <w:rsid w:val="001268BC"/>
    <w:rsid w:val="0013066D"/>
    <w:rsid w:val="00131338"/>
    <w:rsid w:val="0013226A"/>
    <w:rsid w:val="00132333"/>
    <w:rsid w:val="00132404"/>
    <w:rsid w:val="00132659"/>
    <w:rsid w:val="00132FD0"/>
    <w:rsid w:val="001333A8"/>
    <w:rsid w:val="0013349A"/>
    <w:rsid w:val="001340F3"/>
    <w:rsid w:val="00134561"/>
    <w:rsid w:val="0013511A"/>
    <w:rsid w:val="00135952"/>
    <w:rsid w:val="0013622C"/>
    <w:rsid w:val="0013631F"/>
    <w:rsid w:val="00136F14"/>
    <w:rsid w:val="0013722E"/>
    <w:rsid w:val="00137FAB"/>
    <w:rsid w:val="00140406"/>
    <w:rsid w:val="00140476"/>
    <w:rsid w:val="00140C8E"/>
    <w:rsid w:val="00140D20"/>
    <w:rsid w:val="001410AC"/>
    <w:rsid w:val="001423C3"/>
    <w:rsid w:val="00142CC2"/>
    <w:rsid w:val="001434F0"/>
    <w:rsid w:val="00143578"/>
    <w:rsid w:val="001441D4"/>
    <w:rsid w:val="001445DA"/>
    <w:rsid w:val="00144782"/>
    <w:rsid w:val="001447BC"/>
    <w:rsid w:val="001456F6"/>
    <w:rsid w:val="00145E18"/>
    <w:rsid w:val="00146538"/>
    <w:rsid w:val="0014687D"/>
    <w:rsid w:val="00146F6A"/>
    <w:rsid w:val="001470E7"/>
    <w:rsid w:val="0014747D"/>
    <w:rsid w:val="0015034E"/>
    <w:rsid w:val="00150655"/>
    <w:rsid w:val="001517A8"/>
    <w:rsid w:val="00151A97"/>
    <w:rsid w:val="001520FA"/>
    <w:rsid w:val="001526BE"/>
    <w:rsid w:val="0015420D"/>
    <w:rsid w:val="00154E0D"/>
    <w:rsid w:val="001566C4"/>
    <w:rsid w:val="00156815"/>
    <w:rsid w:val="0015691F"/>
    <w:rsid w:val="00157401"/>
    <w:rsid w:val="00157AB6"/>
    <w:rsid w:val="001600E9"/>
    <w:rsid w:val="00160805"/>
    <w:rsid w:val="00160A98"/>
    <w:rsid w:val="00160FEC"/>
    <w:rsid w:val="001610E5"/>
    <w:rsid w:val="00161962"/>
    <w:rsid w:val="00161BC8"/>
    <w:rsid w:val="001627F8"/>
    <w:rsid w:val="0016290D"/>
    <w:rsid w:val="00164DF7"/>
    <w:rsid w:val="00166B47"/>
    <w:rsid w:val="00166DD1"/>
    <w:rsid w:val="0016703F"/>
    <w:rsid w:val="00170FBB"/>
    <w:rsid w:val="00171015"/>
    <w:rsid w:val="001714F3"/>
    <w:rsid w:val="00171BA2"/>
    <w:rsid w:val="0017458F"/>
    <w:rsid w:val="00175631"/>
    <w:rsid w:val="001758E5"/>
    <w:rsid w:val="001777CE"/>
    <w:rsid w:val="00177AD6"/>
    <w:rsid w:val="00180091"/>
    <w:rsid w:val="001802F4"/>
    <w:rsid w:val="00181CFD"/>
    <w:rsid w:val="00182A32"/>
    <w:rsid w:val="00182CCA"/>
    <w:rsid w:val="00183DFC"/>
    <w:rsid w:val="001840C3"/>
    <w:rsid w:val="0018530C"/>
    <w:rsid w:val="001855B9"/>
    <w:rsid w:val="00185964"/>
    <w:rsid w:val="00186E7C"/>
    <w:rsid w:val="00187827"/>
    <w:rsid w:val="00187A7C"/>
    <w:rsid w:val="00187F05"/>
    <w:rsid w:val="0019046C"/>
    <w:rsid w:val="0019087D"/>
    <w:rsid w:val="00190CBD"/>
    <w:rsid w:val="00190DBA"/>
    <w:rsid w:val="00191197"/>
    <w:rsid w:val="00191D5A"/>
    <w:rsid w:val="00192045"/>
    <w:rsid w:val="00192D7E"/>
    <w:rsid w:val="00192E94"/>
    <w:rsid w:val="00193A33"/>
    <w:rsid w:val="00194337"/>
    <w:rsid w:val="00195240"/>
    <w:rsid w:val="00195363"/>
    <w:rsid w:val="001957BF"/>
    <w:rsid w:val="00196245"/>
    <w:rsid w:val="001A09B1"/>
    <w:rsid w:val="001A0D77"/>
    <w:rsid w:val="001A114A"/>
    <w:rsid w:val="001A1389"/>
    <w:rsid w:val="001A154F"/>
    <w:rsid w:val="001A16EF"/>
    <w:rsid w:val="001A196A"/>
    <w:rsid w:val="001A1D95"/>
    <w:rsid w:val="001A2249"/>
    <w:rsid w:val="001A2565"/>
    <w:rsid w:val="001A29E0"/>
    <w:rsid w:val="001A3277"/>
    <w:rsid w:val="001A37A2"/>
    <w:rsid w:val="001A3A83"/>
    <w:rsid w:val="001A3B0C"/>
    <w:rsid w:val="001A4C86"/>
    <w:rsid w:val="001A4DA6"/>
    <w:rsid w:val="001A5359"/>
    <w:rsid w:val="001A53B1"/>
    <w:rsid w:val="001A605F"/>
    <w:rsid w:val="001A6ABF"/>
    <w:rsid w:val="001A7BCB"/>
    <w:rsid w:val="001A7CE7"/>
    <w:rsid w:val="001B08EA"/>
    <w:rsid w:val="001B0B4F"/>
    <w:rsid w:val="001B1251"/>
    <w:rsid w:val="001B1762"/>
    <w:rsid w:val="001B17AC"/>
    <w:rsid w:val="001B1D07"/>
    <w:rsid w:val="001B2371"/>
    <w:rsid w:val="001B2ABD"/>
    <w:rsid w:val="001B37E4"/>
    <w:rsid w:val="001B3A38"/>
    <w:rsid w:val="001B3CAB"/>
    <w:rsid w:val="001B3F65"/>
    <w:rsid w:val="001B588D"/>
    <w:rsid w:val="001B6761"/>
    <w:rsid w:val="001B6C10"/>
    <w:rsid w:val="001B6C37"/>
    <w:rsid w:val="001B6EC4"/>
    <w:rsid w:val="001B7285"/>
    <w:rsid w:val="001B769B"/>
    <w:rsid w:val="001B7D3D"/>
    <w:rsid w:val="001B7E1E"/>
    <w:rsid w:val="001C147E"/>
    <w:rsid w:val="001C2363"/>
    <w:rsid w:val="001C27F3"/>
    <w:rsid w:val="001C2A12"/>
    <w:rsid w:val="001C2EAF"/>
    <w:rsid w:val="001C40E5"/>
    <w:rsid w:val="001C4DD9"/>
    <w:rsid w:val="001C4F18"/>
    <w:rsid w:val="001C665B"/>
    <w:rsid w:val="001C7364"/>
    <w:rsid w:val="001C7835"/>
    <w:rsid w:val="001C7E1A"/>
    <w:rsid w:val="001D0C2F"/>
    <w:rsid w:val="001D1BEE"/>
    <w:rsid w:val="001D21C3"/>
    <w:rsid w:val="001D2500"/>
    <w:rsid w:val="001D3089"/>
    <w:rsid w:val="001D3A02"/>
    <w:rsid w:val="001D3CFF"/>
    <w:rsid w:val="001D4050"/>
    <w:rsid w:val="001D43C9"/>
    <w:rsid w:val="001D4910"/>
    <w:rsid w:val="001D500D"/>
    <w:rsid w:val="001D5503"/>
    <w:rsid w:val="001D5ACE"/>
    <w:rsid w:val="001D5BEB"/>
    <w:rsid w:val="001D5E95"/>
    <w:rsid w:val="001D758A"/>
    <w:rsid w:val="001D79F0"/>
    <w:rsid w:val="001D7D9B"/>
    <w:rsid w:val="001E03C5"/>
    <w:rsid w:val="001E0C74"/>
    <w:rsid w:val="001E1901"/>
    <w:rsid w:val="001E2168"/>
    <w:rsid w:val="001E321C"/>
    <w:rsid w:val="001E32B7"/>
    <w:rsid w:val="001E4C21"/>
    <w:rsid w:val="001E5507"/>
    <w:rsid w:val="001E739F"/>
    <w:rsid w:val="001E7BF3"/>
    <w:rsid w:val="001E7F1A"/>
    <w:rsid w:val="001F005B"/>
    <w:rsid w:val="001F13C1"/>
    <w:rsid w:val="001F1421"/>
    <w:rsid w:val="001F15E0"/>
    <w:rsid w:val="001F1A3B"/>
    <w:rsid w:val="001F1DAE"/>
    <w:rsid w:val="001F1E9A"/>
    <w:rsid w:val="001F1F60"/>
    <w:rsid w:val="001F278D"/>
    <w:rsid w:val="001F446D"/>
    <w:rsid w:val="001F4EC6"/>
    <w:rsid w:val="001F66EB"/>
    <w:rsid w:val="001F6B0A"/>
    <w:rsid w:val="001F743D"/>
    <w:rsid w:val="00200820"/>
    <w:rsid w:val="00200C32"/>
    <w:rsid w:val="00201320"/>
    <w:rsid w:val="00201652"/>
    <w:rsid w:val="00201AAC"/>
    <w:rsid w:val="0020204A"/>
    <w:rsid w:val="00202DFF"/>
    <w:rsid w:val="00203867"/>
    <w:rsid w:val="002042FB"/>
    <w:rsid w:val="00205C83"/>
    <w:rsid w:val="002073DB"/>
    <w:rsid w:val="0020748A"/>
    <w:rsid w:val="002074FB"/>
    <w:rsid w:val="00210788"/>
    <w:rsid w:val="00210A1C"/>
    <w:rsid w:val="00210F9C"/>
    <w:rsid w:val="002112DF"/>
    <w:rsid w:val="002112EC"/>
    <w:rsid w:val="00211383"/>
    <w:rsid w:val="00211F7C"/>
    <w:rsid w:val="002121F4"/>
    <w:rsid w:val="00212289"/>
    <w:rsid w:val="00212680"/>
    <w:rsid w:val="00212A1A"/>
    <w:rsid w:val="002131A5"/>
    <w:rsid w:val="00213921"/>
    <w:rsid w:val="00213B6D"/>
    <w:rsid w:val="00214D0D"/>
    <w:rsid w:val="002153A7"/>
    <w:rsid w:val="00215622"/>
    <w:rsid w:val="00215DEC"/>
    <w:rsid w:val="00216106"/>
    <w:rsid w:val="002168B6"/>
    <w:rsid w:val="00216BCD"/>
    <w:rsid w:val="002178E3"/>
    <w:rsid w:val="002211A1"/>
    <w:rsid w:val="00221800"/>
    <w:rsid w:val="00221AB7"/>
    <w:rsid w:val="00222287"/>
    <w:rsid w:val="00224725"/>
    <w:rsid w:val="00225DFC"/>
    <w:rsid w:val="00226626"/>
    <w:rsid w:val="00226875"/>
    <w:rsid w:val="00226D92"/>
    <w:rsid w:val="00227712"/>
    <w:rsid w:val="00227F09"/>
    <w:rsid w:val="00232623"/>
    <w:rsid w:val="00232EE8"/>
    <w:rsid w:val="0023405F"/>
    <w:rsid w:val="00234FD9"/>
    <w:rsid w:val="00237356"/>
    <w:rsid w:val="0023748D"/>
    <w:rsid w:val="00240C01"/>
    <w:rsid w:val="00240C17"/>
    <w:rsid w:val="00241103"/>
    <w:rsid w:val="0024162F"/>
    <w:rsid w:val="00241ADD"/>
    <w:rsid w:val="00241BB6"/>
    <w:rsid w:val="00241DE5"/>
    <w:rsid w:val="0024248A"/>
    <w:rsid w:val="00242E0D"/>
    <w:rsid w:val="00244679"/>
    <w:rsid w:val="002457DE"/>
    <w:rsid w:val="002459CF"/>
    <w:rsid w:val="00246435"/>
    <w:rsid w:val="00246A18"/>
    <w:rsid w:val="00246BCF"/>
    <w:rsid w:val="00246F77"/>
    <w:rsid w:val="002478F1"/>
    <w:rsid w:val="002504DA"/>
    <w:rsid w:val="002508BA"/>
    <w:rsid w:val="00250BC1"/>
    <w:rsid w:val="00250D83"/>
    <w:rsid w:val="00251245"/>
    <w:rsid w:val="0025144E"/>
    <w:rsid w:val="002517A9"/>
    <w:rsid w:val="00251826"/>
    <w:rsid w:val="00251833"/>
    <w:rsid w:val="00251CA2"/>
    <w:rsid w:val="00252214"/>
    <w:rsid w:val="00252219"/>
    <w:rsid w:val="00252D44"/>
    <w:rsid w:val="002546AF"/>
    <w:rsid w:val="002548C6"/>
    <w:rsid w:val="00254E87"/>
    <w:rsid w:val="00255DEA"/>
    <w:rsid w:val="00256429"/>
    <w:rsid w:val="002601BB"/>
    <w:rsid w:val="00260E5F"/>
    <w:rsid w:val="002610F2"/>
    <w:rsid w:val="0026327E"/>
    <w:rsid w:val="002638F1"/>
    <w:rsid w:val="00263949"/>
    <w:rsid w:val="00264A1B"/>
    <w:rsid w:val="00265694"/>
    <w:rsid w:val="00265918"/>
    <w:rsid w:val="0026660C"/>
    <w:rsid w:val="00266647"/>
    <w:rsid w:val="00266B37"/>
    <w:rsid w:val="002671E3"/>
    <w:rsid w:val="0026758C"/>
    <w:rsid w:val="00267700"/>
    <w:rsid w:val="0027005B"/>
    <w:rsid w:val="002705E0"/>
    <w:rsid w:val="00270834"/>
    <w:rsid w:val="00270FB4"/>
    <w:rsid w:val="00270FBE"/>
    <w:rsid w:val="002714D2"/>
    <w:rsid w:val="002719E2"/>
    <w:rsid w:val="00272493"/>
    <w:rsid w:val="002725FB"/>
    <w:rsid w:val="00272621"/>
    <w:rsid w:val="00272FE8"/>
    <w:rsid w:val="00273D47"/>
    <w:rsid w:val="00273DF8"/>
    <w:rsid w:val="00273E86"/>
    <w:rsid w:val="002740C6"/>
    <w:rsid w:val="00274D28"/>
    <w:rsid w:val="00274F4E"/>
    <w:rsid w:val="002764C1"/>
    <w:rsid w:val="00276899"/>
    <w:rsid w:val="00276BDF"/>
    <w:rsid w:val="0028004A"/>
    <w:rsid w:val="00280D77"/>
    <w:rsid w:val="00281377"/>
    <w:rsid w:val="002814E6"/>
    <w:rsid w:val="00281A54"/>
    <w:rsid w:val="00281D28"/>
    <w:rsid w:val="00281D44"/>
    <w:rsid w:val="00282905"/>
    <w:rsid w:val="00282AE5"/>
    <w:rsid w:val="00282FC6"/>
    <w:rsid w:val="00284BAB"/>
    <w:rsid w:val="0028516D"/>
    <w:rsid w:val="00285FF0"/>
    <w:rsid w:val="00286265"/>
    <w:rsid w:val="00286C62"/>
    <w:rsid w:val="00287114"/>
    <w:rsid w:val="00287DAF"/>
    <w:rsid w:val="00291980"/>
    <w:rsid w:val="0029265D"/>
    <w:rsid w:val="00292D2A"/>
    <w:rsid w:val="002936B4"/>
    <w:rsid w:val="00293F25"/>
    <w:rsid w:val="0029407B"/>
    <w:rsid w:val="0029413D"/>
    <w:rsid w:val="002945BC"/>
    <w:rsid w:val="00294BD0"/>
    <w:rsid w:val="00294FE0"/>
    <w:rsid w:val="002951E6"/>
    <w:rsid w:val="00295330"/>
    <w:rsid w:val="00295990"/>
    <w:rsid w:val="002967BF"/>
    <w:rsid w:val="00296982"/>
    <w:rsid w:val="0029797A"/>
    <w:rsid w:val="00297A9E"/>
    <w:rsid w:val="00297BCE"/>
    <w:rsid w:val="002A074B"/>
    <w:rsid w:val="002A1CFF"/>
    <w:rsid w:val="002A281E"/>
    <w:rsid w:val="002A2C39"/>
    <w:rsid w:val="002A2CFC"/>
    <w:rsid w:val="002A394A"/>
    <w:rsid w:val="002A4370"/>
    <w:rsid w:val="002A5666"/>
    <w:rsid w:val="002A5834"/>
    <w:rsid w:val="002A591D"/>
    <w:rsid w:val="002A5BEE"/>
    <w:rsid w:val="002A678B"/>
    <w:rsid w:val="002A680F"/>
    <w:rsid w:val="002A6B77"/>
    <w:rsid w:val="002A6CE0"/>
    <w:rsid w:val="002A758B"/>
    <w:rsid w:val="002A7A6C"/>
    <w:rsid w:val="002A7CFF"/>
    <w:rsid w:val="002B0577"/>
    <w:rsid w:val="002B08FA"/>
    <w:rsid w:val="002B0D01"/>
    <w:rsid w:val="002B11A0"/>
    <w:rsid w:val="002B3587"/>
    <w:rsid w:val="002B35B4"/>
    <w:rsid w:val="002B3EC6"/>
    <w:rsid w:val="002B4A71"/>
    <w:rsid w:val="002B5165"/>
    <w:rsid w:val="002B62F5"/>
    <w:rsid w:val="002B691F"/>
    <w:rsid w:val="002B70C4"/>
    <w:rsid w:val="002C0813"/>
    <w:rsid w:val="002C1882"/>
    <w:rsid w:val="002C20D0"/>
    <w:rsid w:val="002C216B"/>
    <w:rsid w:val="002C273C"/>
    <w:rsid w:val="002C2815"/>
    <w:rsid w:val="002C5444"/>
    <w:rsid w:val="002C6108"/>
    <w:rsid w:val="002C63D0"/>
    <w:rsid w:val="002C694D"/>
    <w:rsid w:val="002C7031"/>
    <w:rsid w:val="002C797E"/>
    <w:rsid w:val="002D1028"/>
    <w:rsid w:val="002D12C4"/>
    <w:rsid w:val="002D28F8"/>
    <w:rsid w:val="002D2D7B"/>
    <w:rsid w:val="002D3F7A"/>
    <w:rsid w:val="002D4BFA"/>
    <w:rsid w:val="002D4C07"/>
    <w:rsid w:val="002D4E9C"/>
    <w:rsid w:val="002D50CB"/>
    <w:rsid w:val="002D5192"/>
    <w:rsid w:val="002E0DFA"/>
    <w:rsid w:val="002E1A82"/>
    <w:rsid w:val="002E3231"/>
    <w:rsid w:val="002E39E4"/>
    <w:rsid w:val="002E3F19"/>
    <w:rsid w:val="002E4493"/>
    <w:rsid w:val="002E4D91"/>
    <w:rsid w:val="002E51D2"/>
    <w:rsid w:val="002E56A6"/>
    <w:rsid w:val="002E58BD"/>
    <w:rsid w:val="002E624E"/>
    <w:rsid w:val="002E6321"/>
    <w:rsid w:val="002E63E8"/>
    <w:rsid w:val="002E77CD"/>
    <w:rsid w:val="002E77E3"/>
    <w:rsid w:val="002E7A0E"/>
    <w:rsid w:val="002E7AFD"/>
    <w:rsid w:val="002E7EFA"/>
    <w:rsid w:val="002F0C89"/>
    <w:rsid w:val="002F2172"/>
    <w:rsid w:val="002F2341"/>
    <w:rsid w:val="002F250D"/>
    <w:rsid w:val="002F2EDB"/>
    <w:rsid w:val="002F2FEC"/>
    <w:rsid w:val="002F3B12"/>
    <w:rsid w:val="002F3C15"/>
    <w:rsid w:val="002F4B7D"/>
    <w:rsid w:val="002F554D"/>
    <w:rsid w:val="002F5AFF"/>
    <w:rsid w:val="002F6386"/>
    <w:rsid w:val="002F65E1"/>
    <w:rsid w:val="002F6E79"/>
    <w:rsid w:val="002F7698"/>
    <w:rsid w:val="002F7733"/>
    <w:rsid w:val="002F7858"/>
    <w:rsid w:val="002F7DAF"/>
    <w:rsid w:val="002F7FDB"/>
    <w:rsid w:val="00301C6A"/>
    <w:rsid w:val="003026E3"/>
    <w:rsid w:val="003033EB"/>
    <w:rsid w:val="00303704"/>
    <w:rsid w:val="00303C7E"/>
    <w:rsid w:val="00304385"/>
    <w:rsid w:val="00305171"/>
    <w:rsid w:val="0030652C"/>
    <w:rsid w:val="00306560"/>
    <w:rsid w:val="00306B88"/>
    <w:rsid w:val="00307246"/>
    <w:rsid w:val="00311060"/>
    <w:rsid w:val="0031168A"/>
    <w:rsid w:val="00311A44"/>
    <w:rsid w:val="00311E09"/>
    <w:rsid w:val="00311E1F"/>
    <w:rsid w:val="00312CD5"/>
    <w:rsid w:val="003131E7"/>
    <w:rsid w:val="00313D3A"/>
    <w:rsid w:val="003156F9"/>
    <w:rsid w:val="00315A7C"/>
    <w:rsid w:val="00315C78"/>
    <w:rsid w:val="00320951"/>
    <w:rsid w:val="00320F39"/>
    <w:rsid w:val="00321769"/>
    <w:rsid w:val="00321E70"/>
    <w:rsid w:val="003224E0"/>
    <w:rsid w:val="003227F7"/>
    <w:rsid w:val="00323400"/>
    <w:rsid w:val="003239AA"/>
    <w:rsid w:val="00324CB4"/>
    <w:rsid w:val="00324E76"/>
    <w:rsid w:val="003258C5"/>
    <w:rsid w:val="0032640C"/>
    <w:rsid w:val="0032643E"/>
    <w:rsid w:val="00326A36"/>
    <w:rsid w:val="00326C34"/>
    <w:rsid w:val="003272D0"/>
    <w:rsid w:val="003273D6"/>
    <w:rsid w:val="00327400"/>
    <w:rsid w:val="003279BC"/>
    <w:rsid w:val="00330564"/>
    <w:rsid w:val="0033095D"/>
    <w:rsid w:val="00330ED0"/>
    <w:rsid w:val="003318E6"/>
    <w:rsid w:val="00331B77"/>
    <w:rsid w:val="003322FC"/>
    <w:rsid w:val="00332981"/>
    <w:rsid w:val="003331A2"/>
    <w:rsid w:val="00333663"/>
    <w:rsid w:val="00333A3A"/>
    <w:rsid w:val="00333DD0"/>
    <w:rsid w:val="00334849"/>
    <w:rsid w:val="00335139"/>
    <w:rsid w:val="003365D7"/>
    <w:rsid w:val="00336ECB"/>
    <w:rsid w:val="00336F95"/>
    <w:rsid w:val="00337631"/>
    <w:rsid w:val="003411D5"/>
    <w:rsid w:val="00341378"/>
    <w:rsid w:val="0034140C"/>
    <w:rsid w:val="00341FA3"/>
    <w:rsid w:val="00342BEC"/>
    <w:rsid w:val="00343C6B"/>
    <w:rsid w:val="00343DFD"/>
    <w:rsid w:val="00345E36"/>
    <w:rsid w:val="0034680A"/>
    <w:rsid w:val="00346895"/>
    <w:rsid w:val="00347265"/>
    <w:rsid w:val="0034750A"/>
    <w:rsid w:val="00347948"/>
    <w:rsid w:val="00347BF3"/>
    <w:rsid w:val="00350A3A"/>
    <w:rsid w:val="003511A3"/>
    <w:rsid w:val="00351577"/>
    <w:rsid w:val="00352A07"/>
    <w:rsid w:val="00353793"/>
    <w:rsid w:val="00354396"/>
    <w:rsid w:val="00354696"/>
    <w:rsid w:val="00354FB6"/>
    <w:rsid w:val="0035519A"/>
    <w:rsid w:val="0035573A"/>
    <w:rsid w:val="00355772"/>
    <w:rsid w:val="00356175"/>
    <w:rsid w:val="00360305"/>
    <w:rsid w:val="0036059A"/>
    <w:rsid w:val="00360AF5"/>
    <w:rsid w:val="003611F3"/>
    <w:rsid w:val="00361A34"/>
    <w:rsid w:val="00361C57"/>
    <w:rsid w:val="00363CD6"/>
    <w:rsid w:val="00363FF8"/>
    <w:rsid w:val="003640E1"/>
    <w:rsid w:val="00364482"/>
    <w:rsid w:val="00364E28"/>
    <w:rsid w:val="00365BB6"/>
    <w:rsid w:val="00365EC3"/>
    <w:rsid w:val="00366497"/>
    <w:rsid w:val="0036693C"/>
    <w:rsid w:val="0036705F"/>
    <w:rsid w:val="003673DB"/>
    <w:rsid w:val="00370541"/>
    <w:rsid w:val="00370ADD"/>
    <w:rsid w:val="00371DE9"/>
    <w:rsid w:val="003720C4"/>
    <w:rsid w:val="00372A08"/>
    <w:rsid w:val="00372FFE"/>
    <w:rsid w:val="003730D7"/>
    <w:rsid w:val="003733AA"/>
    <w:rsid w:val="00374AB9"/>
    <w:rsid w:val="00375066"/>
    <w:rsid w:val="0037599A"/>
    <w:rsid w:val="003759E6"/>
    <w:rsid w:val="00375B30"/>
    <w:rsid w:val="00376425"/>
    <w:rsid w:val="00376491"/>
    <w:rsid w:val="0037721D"/>
    <w:rsid w:val="00380CEF"/>
    <w:rsid w:val="0038102A"/>
    <w:rsid w:val="003833B4"/>
    <w:rsid w:val="00385BC4"/>
    <w:rsid w:val="003869F5"/>
    <w:rsid w:val="00387F14"/>
    <w:rsid w:val="00390317"/>
    <w:rsid w:val="003907EC"/>
    <w:rsid w:val="00391AF7"/>
    <w:rsid w:val="003928EA"/>
    <w:rsid w:val="00393219"/>
    <w:rsid w:val="00393384"/>
    <w:rsid w:val="003937DE"/>
    <w:rsid w:val="003941FA"/>
    <w:rsid w:val="003949DB"/>
    <w:rsid w:val="0039501B"/>
    <w:rsid w:val="0039746A"/>
    <w:rsid w:val="003976F1"/>
    <w:rsid w:val="00397745"/>
    <w:rsid w:val="003A0527"/>
    <w:rsid w:val="003A093B"/>
    <w:rsid w:val="003A1344"/>
    <w:rsid w:val="003A1A6D"/>
    <w:rsid w:val="003A261E"/>
    <w:rsid w:val="003A31BC"/>
    <w:rsid w:val="003A3CE3"/>
    <w:rsid w:val="003A5EC4"/>
    <w:rsid w:val="003A743E"/>
    <w:rsid w:val="003A7495"/>
    <w:rsid w:val="003A7ADE"/>
    <w:rsid w:val="003A7EBF"/>
    <w:rsid w:val="003B29FC"/>
    <w:rsid w:val="003B2A34"/>
    <w:rsid w:val="003B45B2"/>
    <w:rsid w:val="003B4656"/>
    <w:rsid w:val="003B4FC9"/>
    <w:rsid w:val="003B4FD0"/>
    <w:rsid w:val="003B547C"/>
    <w:rsid w:val="003B575B"/>
    <w:rsid w:val="003B6A96"/>
    <w:rsid w:val="003B6E2C"/>
    <w:rsid w:val="003B764E"/>
    <w:rsid w:val="003B781F"/>
    <w:rsid w:val="003B7DB1"/>
    <w:rsid w:val="003B7DDE"/>
    <w:rsid w:val="003C01B2"/>
    <w:rsid w:val="003C01D4"/>
    <w:rsid w:val="003C0382"/>
    <w:rsid w:val="003C0682"/>
    <w:rsid w:val="003C077C"/>
    <w:rsid w:val="003C11AA"/>
    <w:rsid w:val="003C1738"/>
    <w:rsid w:val="003C1F72"/>
    <w:rsid w:val="003C2228"/>
    <w:rsid w:val="003C23F5"/>
    <w:rsid w:val="003C286F"/>
    <w:rsid w:val="003C2CC3"/>
    <w:rsid w:val="003C2DB4"/>
    <w:rsid w:val="003C2E7C"/>
    <w:rsid w:val="003C311F"/>
    <w:rsid w:val="003C37F4"/>
    <w:rsid w:val="003C558E"/>
    <w:rsid w:val="003C5882"/>
    <w:rsid w:val="003C6802"/>
    <w:rsid w:val="003C6905"/>
    <w:rsid w:val="003C69BF"/>
    <w:rsid w:val="003C6EEA"/>
    <w:rsid w:val="003C710D"/>
    <w:rsid w:val="003C7E20"/>
    <w:rsid w:val="003C7E2A"/>
    <w:rsid w:val="003D09EE"/>
    <w:rsid w:val="003D0B9C"/>
    <w:rsid w:val="003D17B9"/>
    <w:rsid w:val="003D232E"/>
    <w:rsid w:val="003D23A3"/>
    <w:rsid w:val="003D2467"/>
    <w:rsid w:val="003D48F9"/>
    <w:rsid w:val="003D4B2C"/>
    <w:rsid w:val="003D51AA"/>
    <w:rsid w:val="003D57B1"/>
    <w:rsid w:val="003D5856"/>
    <w:rsid w:val="003D6401"/>
    <w:rsid w:val="003D66FD"/>
    <w:rsid w:val="003D6728"/>
    <w:rsid w:val="003D748F"/>
    <w:rsid w:val="003E0BB6"/>
    <w:rsid w:val="003E16C4"/>
    <w:rsid w:val="003E33F7"/>
    <w:rsid w:val="003E35F6"/>
    <w:rsid w:val="003E3882"/>
    <w:rsid w:val="003E3F8B"/>
    <w:rsid w:val="003E4766"/>
    <w:rsid w:val="003E570F"/>
    <w:rsid w:val="003E5BE0"/>
    <w:rsid w:val="003E5F74"/>
    <w:rsid w:val="003E6055"/>
    <w:rsid w:val="003F0143"/>
    <w:rsid w:val="003F0423"/>
    <w:rsid w:val="003F0915"/>
    <w:rsid w:val="003F0C42"/>
    <w:rsid w:val="003F0D7C"/>
    <w:rsid w:val="003F0FF6"/>
    <w:rsid w:val="003F20A1"/>
    <w:rsid w:val="003F2E4C"/>
    <w:rsid w:val="003F3715"/>
    <w:rsid w:val="003F4065"/>
    <w:rsid w:val="003F4B4F"/>
    <w:rsid w:val="003F4EEB"/>
    <w:rsid w:val="003F5CFE"/>
    <w:rsid w:val="003F6F1A"/>
    <w:rsid w:val="003F7581"/>
    <w:rsid w:val="0040060F"/>
    <w:rsid w:val="00400887"/>
    <w:rsid w:val="00401038"/>
    <w:rsid w:val="00401481"/>
    <w:rsid w:val="0040187D"/>
    <w:rsid w:val="00401B2E"/>
    <w:rsid w:val="004025FA"/>
    <w:rsid w:val="00402783"/>
    <w:rsid w:val="00402BF7"/>
    <w:rsid w:val="00404820"/>
    <w:rsid w:val="00404BE6"/>
    <w:rsid w:val="00404E4F"/>
    <w:rsid w:val="00405823"/>
    <w:rsid w:val="00405A41"/>
    <w:rsid w:val="00405DD7"/>
    <w:rsid w:val="00406311"/>
    <w:rsid w:val="004064F7"/>
    <w:rsid w:val="00406972"/>
    <w:rsid w:val="004071A9"/>
    <w:rsid w:val="00407A20"/>
    <w:rsid w:val="00407A44"/>
    <w:rsid w:val="00407DF7"/>
    <w:rsid w:val="00412575"/>
    <w:rsid w:val="00412BFA"/>
    <w:rsid w:val="00413404"/>
    <w:rsid w:val="00415A0E"/>
    <w:rsid w:val="0041611A"/>
    <w:rsid w:val="00416A9D"/>
    <w:rsid w:val="00417206"/>
    <w:rsid w:val="00417C04"/>
    <w:rsid w:val="00420A0B"/>
    <w:rsid w:val="00420D04"/>
    <w:rsid w:val="00420F0E"/>
    <w:rsid w:val="00421294"/>
    <w:rsid w:val="00422C99"/>
    <w:rsid w:val="0042339A"/>
    <w:rsid w:val="00423B15"/>
    <w:rsid w:val="00423FE3"/>
    <w:rsid w:val="00424058"/>
    <w:rsid w:val="00424434"/>
    <w:rsid w:val="00424CB8"/>
    <w:rsid w:val="0042508F"/>
    <w:rsid w:val="00426F31"/>
    <w:rsid w:val="00427141"/>
    <w:rsid w:val="00427B2F"/>
    <w:rsid w:val="004306C9"/>
    <w:rsid w:val="00430AB1"/>
    <w:rsid w:val="00430B5A"/>
    <w:rsid w:val="0043326D"/>
    <w:rsid w:val="00433789"/>
    <w:rsid w:val="00433CED"/>
    <w:rsid w:val="00433D1B"/>
    <w:rsid w:val="004349E7"/>
    <w:rsid w:val="00434D57"/>
    <w:rsid w:val="00434E0D"/>
    <w:rsid w:val="004351DE"/>
    <w:rsid w:val="00435AED"/>
    <w:rsid w:val="00435FEB"/>
    <w:rsid w:val="004378FC"/>
    <w:rsid w:val="004379C2"/>
    <w:rsid w:val="00437B69"/>
    <w:rsid w:val="004400E8"/>
    <w:rsid w:val="00440BCF"/>
    <w:rsid w:val="00441BA0"/>
    <w:rsid w:val="00442022"/>
    <w:rsid w:val="004426D3"/>
    <w:rsid w:val="00443D0C"/>
    <w:rsid w:val="004452AD"/>
    <w:rsid w:val="00445B21"/>
    <w:rsid w:val="004462E1"/>
    <w:rsid w:val="004469CA"/>
    <w:rsid w:val="00446AA0"/>
    <w:rsid w:val="00446E7F"/>
    <w:rsid w:val="00447F20"/>
    <w:rsid w:val="004501C8"/>
    <w:rsid w:val="00450A9D"/>
    <w:rsid w:val="00450B2E"/>
    <w:rsid w:val="00450C80"/>
    <w:rsid w:val="00450CA7"/>
    <w:rsid w:val="00450E8A"/>
    <w:rsid w:val="00452F29"/>
    <w:rsid w:val="00453667"/>
    <w:rsid w:val="004544D6"/>
    <w:rsid w:val="00454B57"/>
    <w:rsid w:val="00455076"/>
    <w:rsid w:val="00455483"/>
    <w:rsid w:val="00455B5B"/>
    <w:rsid w:val="004568F8"/>
    <w:rsid w:val="00456BF9"/>
    <w:rsid w:val="00456D35"/>
    <w:rsid w:val="004603AA"/>
    <w:rsid w:val="004604A7"/>
    <w:rsid w:val="0046090F"/>
    <w:rsid w:val="00460DFA"/>
    <w:rsid w:val="004617CC"/>
    <w:rsid w:val="00461CE9"/>
    <w:rsid w:val="00462407"/>
    <w:rsid w:val="004626DB"/>
    <w:rsid w:val="00462E7D"/>
    <w:rsid w:val="004631DD"/>
    <w:rsid w:val="004633C0"/>
    <w:rsid w:val="004634D9"/>
    <w:rsid w:val="004634E2"/>
    <w:rsid w:val="004635FD"/>
    <w:rsid w:val="00463AB2"/>
    <w:rsid w:val="00463C4D"/>
    <w:rsid w:val="00465039"/>
    <w:rsid w:val="0046723F"/>
    <w:rsid w:val="00467872"/>
    <w:rsid w:val="00467E11"/>
    <w:rsid w:val="00470118"/>
    <w:rsid w:val="00470129"/>
    <w:rsid w:val="00470ACC"/>
    <w:rsid w:val="00470F10"/>
    <w:rsid w:val="0047270A"/>
    <w:rsid w:val="004728A0"/>
    <w:rsid w:val="004733F1"/>
    <w:rsid w:val="004738B0"/>
    <w:rsid w:val="00474222"/>
    <w:rsid w:val="004742DD"/>
    <w:rsid w:val="004742EB"/>
    <w:rsid w:val="00475231"/>
    <w:rsid w:val="00475ADB"/>
    <w:rsid w:val="0047693E"/>
    <w:rsid w:val="00477423"/>
    <w:rsid w:val="004774D3"/>
    <w:rsid w:val="00477CA2"/>
    <w:rsid w:val="004807E4"/>
    <w:rsid w:val="004815E4"/>
    <w:rsid w:val="00481E4B"/>
    <w:rsid w:val="004820FC"/>
    <w:rsid w:val="0048270C"/>
    <w:rsid w:val="00482BA0"/>
    <w:rsid w:val="0048352E"/>
    <w:rsid w:val="00483544"/>
    <w:rsid w:val="0048491C"/>
    <w:rsid w:val="00484E96"/>
    <w:rsid w:val="004852E8"/>
    <w:rsid w:val="00485E2C"/>
    <w:rsid w:val="00485EFC"/>
    <w:rsid w:val="00486883"/>
    <w:rsid w:val="00486CB7"/>
    <w:rsid w:val="00487FB2"/>
    <w:rsid w:val="00491394"/>
    <w:rsid w:val="00491A18"/>
    <w:rsid w:val="00491B60"/>
    <w:rsid w:val="004925CD"/>
    <w:rsid w:val="00494957"/>
    <w:rsid w:val="0049592D"/>
    <w:rsid w:val="00496700"/>
    <w:rsid w:val="00496F1B"/>
    <w:rsid w:val="00496F3F"/>
    <w:rsid w:val="004A00E3"/>
    <w:rsid w:val="004A2956"/>
    <w:rsid w:val="004A2FB8"/>
    <w:rsid w:val="004A3134"/>
    <w:rsid w:val="004A3981"/>
    <w:rsid w:val="004A3A01"/>
    <w:rsid w:val="004A3A6B"/>
    <w:rsid w:val="004A45B5"/>
    <w:rsid w:val="004A4824"/>
    <w:rsid w:val="004A486C"/>
    <w:rsid w:val="004A5586"/>
    <w:rsid w:val="004A5732"/>
    <w:rsid w:val="004A721D"/>
    <w:rsid w:val="004A75F4"/>
    <w:rsid w:val="004A7628"/>
    <w:rsid w:val="004A7A18"/>
    <w:rsid w:val="004A7A22"/>
    <w:rsid w:val="004B076F"/>
    <w:rsid w:val="004B0E81"/>
    <w:rsid w:val="004B1531"/>
    <w:rsid w:val="004B2912"/>
    <w:rsid w:val="004B2D73"/>
    <w:rsid w:val="004B2EFB"/>
    <w:rsid w:val="004B345F"/>
    <w:rsid w:val="004B579A"/>
    <w:rsid w:val="004B609E"/>
    <w:rsid w:val="004B61E8"/>
    <w:rsid w:val="004B6B3A"/>
    <w:rsid w:val="004C08B9"/>
    <w:rsid w:val="004C0A2B"/>
    <w:rsid w:val="004C0C2A"/>
    <w:rsid w:val="004C0F4F"/>
    <w:rsid w:val="004C0F5E"/>
    <w:rsid w:val="004C1089"/>
    <w:rsid w:val="004C11D5"/>
    <w:rsid w:val="004C1CEF"/>
    <w:rsid w:val="004C1F7A"/>
    <w:rsid w:val="004C2C57"/>
    <w:rsid w:val="004C34D2"/>
    <w:rsid w:val="004C3B5F"/>
    <w:rsid w:val="004C4823"/>
    <w:rsid w:val="004C4D2B"/>
    <w:rsid w:val="004C5152"/>
    <w:rsid w:val="004C53FF"/>
    <w:rsid w:val="004C5D7E"/>
    <w:rsid w:val="004C7C8C"/>
    <w:rsid w:val="004D0718"/>
    <w:rsid w:val="004D103D"/>
    <w:rsid w:val="004D1CAA"/>
    <w:rsid w:val="004D24C7"/>
    <w:rsid w:val="004D3DF5"/>
    <w:rsid w:val="004D3E79"/>
    <w:rsid w:val="004D48EB"/>
    <w:rsid w:val="004D522D"/>
    <w:rsid w:val="004D55F1"/>
    <w:rsid w:val="004D5B59"/>
    <w:rsid w:val="004D679D"/>
    <w:rsid w:val="004D6830"/>
    <w:rsid w:val="004D69A4"/>
    <w:rsid w:val="004D69A6"/>
    <w:rsid w:val="004D70E5"/>
    <w:rsid w:val="004E00FA"/>
    <w:rsid w:val="004E028D"/>
    <w:rsid w:val="004E0CF5"/>
    <w:rsid w:val="004E1233"/>
    <w:rsid w:val="004E25E2"/>
    <w:rsid w:val="004E26A0"/>
    <w:rsid w:val="004E28C6"/>
    <w:rsid w:val="004E2F24"/>
    <w:rsid w:val="004E410C"/>
    <w:rsid w:val="004E4C70"/>
    <w:rsid w:val="004E4D3E"/>
    <w:rsid w:val="004E4F7B"/>
    <w:rsid w:val="004E55B9"/>
    <w:rsid w:val="004E5AED"/>
    <w:rsid w:val="004E66C1"/>
    <w:rsid w:val="004E6B4B"/>
    <w:rsid w:val="004E6DE1"/>
    <w:rsid w:val="004E72B3"/>
    <w:rsid w:val="004E779D"/>
    <w:rsid w:val="004E7E27"/>
    <w:rsid w:val="004F0B0B"/>
    <w:rsid w:val="004F10E0"/>
    <w:rsid w:val="004F138F"/>
    <w:rsid w:val="004F1B0F"/>
    <w:rsid w:val="004F2A86"/>
    <w:rsid w:val="004F2D0A"/>
    <w:rsid w:val="004F2D94"/>
    <w:rsid w:val="004F420C"/>
    <w:rsid w:val="004F598B"/>
    <w:rsid w:val="004F6680"/>
    <w:rsid w:val="004F6DD9"/>
    <w:rsid w:val="004F7CD1"/>
    <w:rsid w:val="004F7D37"/>
    <w:rsid w:val="00500123"/>
    <w:rsid w:val="005011D2"/>
    <w:rsid w:val="0050159F"/>
    <w:rsid w:val="005024C2"/>
    <w:rsid w:val="00502AD6"/>
    <w:rsid w:val="00503372"/>
    <w:rsid w:val="00503CDC"/>
    <w:rsid w:val="005041BE"/>
    <w:rsid w:val="00505821"/>
    <w:rsid w:val="0050670B"/>
    <w:rsid w:val="00506AEA"/>
    <w:rsid w:val="005075DE"/>
    <w:rsid w:val="00510276"/>
    <w:rsid w:val="00510684"/>
    <w:rsid w:val="00511B29"/>
    <w:rsid w:val="00511B8E"/>
    <w:rsid w:val="00511F37"/>
    <w:rsid w:val="005123D8"/>
    <w:rsid w:val="005124ED"/>
    <w:rsid w:val="0051350D"/>
    <w:rsid w:val="005136BE"/>
    <w:rsid w:val="005139F2"/>
    <w:rsid w:val="00513E5C"/>
    <w:rsid w:val="00513F42"/>
    <w:rsid w:val="005141E8"/>
    <w:rsid w:val="0051420E"/>
    <w:rsid w:val="005144CC"/>
    <w:rsid w:val="00514787"/>
    <w:rsid w:val="00515AE7"/>
    <w:rsid w:val="005166F9"/>
    <w:rsid w:val="00516A89"/>
    <w:rsid w:val="00517257"/>
    <w:rsid w:val="005172C3"/>
    <w:rsid w:val="00517BAF"/>
    <w:rsid w:val="00517DCE"/>
    <w:rsid w:val="005213A4"/>
    <w:rsid w:val="005227EB"/>
    <w:rsid w:val="00523535"/>
    <w:rsid w:val="00523892"/>
    <w:rsid w:val="00523965"/>
    <w:rsid w:val="00524441"/>
    <w:rsid w:val="00524A5C"/>
    <w:rsid w:val="0052520A"/>
    <w:rsid w:val="005269F3"/>
    <w:rsid w:val="00526FA0"/>
    <w:rsid w:val="0052725E"/>
    <w:rsid w:val="005277F3"/>
    <w:rsid w:val="00527A18"/>
    <w:rsid w:val="00527DC1"/>
    <w:rsid w:val="005303F0"/>
    <w:rsid w:val="00531F4C"/>
    <w:rsid w:val="00531FED"/>
    <w:rsid w:val="00532C02"/>
    <w:rsid w:val="0053379D"/>
    <w:rsid w:val="0053491B"/>
    <w:rsid w:val="0053501F"/>
    <w:rsid w:val="005351DD"/>
    <w:rsid w:val="005363A2"/>
    <w:rsid w:val="00536740"/>
    <w:rsid w:val="005367A5"/>
    <w:rsid w:val="00537015"/>
    <w:rsid w:val="005372D8"/>
    <w:rsid w:val="005377A4"/>
    <w:rsid w:val="005378A7"/>
    <w:rsid w:val="00540554"/>
    <w:rsid w:val="0054074D"/>
    <w:rsid w:val="00540950"/>
    <w:rsid w:val="00540A35"/>
    <w:rsid w:val="00540B70"/>
    <w:rsid w:val="00540D80"/>
    <w:rsid w:val="00542061"/>
    <w:rsid w:val="005424BC"/>
    <w:rsid w:val="005430BE"/>
    <w:rsid w:val="0054318B"/>
    <w:rsid w:val="0054370B"/>
    <w:rsid w:val="005443FF"/>
    <w:rsid w:val="00544631"/>
    <w:rsid w:val="00544AC0"/>
    <w:rsid w:val="00544E3C"/>
    <w:rsid w:val="00544EC9"/>
    <w:rsid w:val="005456B9"/>
    <w:rsid w:val="00545EED"/>
    <w:rsid w:val="00545FC5"/>
    <w:rsid w:val="0054602E"/>
    <w:rsid w:val="00546BA3"/>
    <w:rsid w:val="00550006"/>
    <w:rsid w:val="0055066A"/>
    <w:rsid w:val="00550C99"/>
    <w:rsid w:val="005511C2"/>
    <w:rsid w:val="005520DC"/>
    <w:rsid w:val="0055297E"/>
    <w:rsid w:val="00552C5B"/>
    <w:rsid w:val="00552F99"/>
    <w:rsid w:val="00553081"/>
    <w:rsid w:val="00553413"/>
    <w:rsid w:val="00553BAB"/>
    <w:rsid w:val="00555AB2"/>
    <w:rsid w:val="005562D6"/>
    <w:rsid w:val="00556ACA"/>
    <w:rsid w:val="005604BC"/>
    <w:rsid w:val="005608AD"/>
    <w:rsid w:val="0056106E"/>
    <w:rsid w:val="00561129"/>
    <w:rsid w:val="0056162D"/>
    <w:rsid w:val="00561725"/>
    <w:rsid w:val="00561A99"/>
    <w:rsid w:val="00562410"/>
    <w:rsid w:val="00562754"/>
    <w:rsid w:val="0056320E"/>
    <w:rsid w:val="00563612"/>
    <w:rsid w:val="00563631"/>
    <w:rsid w:val="00563945"/>
    <w:rsid w:val="00563EF4"/>
    <w:rsid w:val="00565C25"/>
    <w:rsid w:val="00566610"/>
    <w:rsid w:val="00567180"/>
    <w:rsid w:val="00567BCE"/>
    <w:rsid w:val="00571371"/>
    <w:rsid w:val="00571C54"/>
    <w:rsid w:val="00572674"/>
    <w:rsid w:val="005728F3"/>
    <w:rsid w:val="00572AD5"/>
    <w:rsid w:val="00574686"/>
    <w:rsid w:val="005754AB"/>
    <w:rsid w:val="00575C25"/>
    <w:rsid w:val="005776EA"/>
    <w:rsid w:val="0057794F"/>
    <w:rsid w:val="00577A91"/>
    <w:rsid w:val="00577AFF"/>
    <w:rsid w:val="00580094"/>
    <w:rsid w:val="0058020B"/>
    <w:rsid w:val="00580324"/>
    <w:rsid w:val="0058114F"/>
    <w:rsid w:val="00581808"/>
    <w:rsid w:val="00581DB5"/>
    <w:rsid w:val="00582433"/>
    <w:rsid w:val="005826F4"/>
    <w:rsid w:val="00583074"/>
    <w:rsid w:val="0058369E"/>
    <w:rsid w:val="00584707"/>
    <w:rsid w:val="00584CCD"/>
    <w:rsid w:val="00585395"/>
    <w:rsid w:val="00585634"/>
    <w:rsid w:val="0058569E"/>
    <w:rsid w:val="00585D5A"/>
    <w:rsid w:val="00586041"/>
    <w:rsid w:val="005863C1"/>
    <w:rsid w:val="0058721C"/>
    <w:rsid w:val="0059047E"/>
    <w:rsid w:val="00590D09"/>
    <w:rsid w:val="00591443"/>
    <w:rsid w:val="0059156A"/>
    <w:rsid w:val="00591BA3"/>
    <w:rsid w:val="00591E68"/>
    <w:rsid w:val="00592389"/>
    <w:rsid w:val="00592DB0"/>
    <w:rsid w:val="00592DC5"/>
    <w:rsid w:val="005931F2"/>
    <w:rsid w:val="00593314"/>
    <w:rsid w:val="0059368E"/>
    <w:rsid w:val="00593BF5"/>
    <w:rsid w:val="00594496"/>
    <w:rsid w:val="005945C1"/>
    <w:rsid w:val="00594D88"/>
    <w:rsid w:val="005956D3"/>
    <w:rsid w:val="00595A39"/>
    <w:rsid w:val="0059611F"/>
    <w:rsid w:val="00596186"/>
    <w:rsid w:val="005962DC"/>
    <w:rsid w:val="00596365"/>
    <w:rsid w:val="005965BC"/>
    <w:rsid w:val="00596739"/>
    <w:rsid w:val="00596C29"/>
    <w:rsid w:val="0059714D"/>
    <w:rsid w:val="005A06A8"/>
    <w:rsid w:val="005A06DA"/>
    <w:rsid w:val="005A20B6"/>
    <w:rsid w:val="005A2572"/>
    <w:rsid w:val="005A297B"/>
    <w:rsid w:val="005A2EBC"/>
    <w:rsid w:val="005A3520"/>
    <w:rsid w:val="005A35F6"/>
    <w:rsid w:val="005A3631"/>
    <w:rsid w:val="005A514D"/>
    <w:rsid w:val="005A538A"/>
    <w:rsid w:val="005A550D"/>
    <w:rsid w:val="005A5B49"/>
    <w:rsid w:val="005A5BA9"/>
    <w:rsid w:val="005A5D98"/>
    <w:rsid w:val="005A726B"/>
    <w:rsid w:val="005A7E78"/>
    <w:rsid w:val="005B03ED"/>
    <w:rsid w:val="005B04E0"/>
    <w:rsid w:val="005B1153"/>
    <w:rsid w:val="005B1776"/>
    <w:rsid w:val="005B1BA3"/>
    <w:rsid w:val="005B2505"/>
    <w:rsid w:val="005B32FB"/>
    <w:rsid w:val="005B4C39"/>
    <w:rsid w:val="005B4D01"/>
    <w:rsid w:val="005B4F4E"/>
    <w:rsid w:val="005B56B5"/>
    <w:rsid w:val="005B5E7C"/>
    <w:rsid w:val="005B632C"/>
    <w:rsid w:val="005B7634"/>
    <w:rsid w:val="005B7CEA"/>
    <w:rsid w:val="005B7F0B"/>
    <w:rsid w:val="005B7FE4"/>
    <w:rsid w:val="005C05C6"/>
    <w:rsid w:val="005C05E0"/>
    <w:rsid w:val="005C0E43"/>
    <w:rsid w:val="005C1C20"/>
    <w:rsid w:val="005C1CB7"/>
    <w:rsid w:val="005C2E96"/>
    <w:rsid w:val="005C358A"/>
    <w:rsid w:val="005C37E0"/>
    <w:rsid w:val="005C475B"/>
    <w:rsid w:val="005C5439"/>
    <w:rsid w:val="005C54B9"/>
    <w:rsid w:val="005C5A1C"/>
    <w:rsid w:val="005C6618"/>
    <w:rsid w:val="005C67D6"/>
    <w:rsid w:val="005C7006"/>
    <w:rsid w:val="005C7B8F"/>
    <w:rsid w:val="005C7DE2"/>
    <w:rsid w:val="005D0132"/>
    <w:rsid w:val="005D0189"/>
    <w:rsid w:val="005D06E1"/>
    <w:rsid w:val="005D0E7D"/>
    <w:rsid w:val="005D1E7E"/>
    <w:rsid w:val="005D1F9A"/>
    <w:rsid w:val="005D275A"/>
    <w:rsid w:val="005D3BC6"/>
    <w:rsid w:val="005D3BF5"/>
    <w:rsid w:val="005D40C6"/>
    <w:rsid w:val="005D4453"/>
    <w:rsid w:val="005D4A8D"/>
    <w:rsid w:val="005D50C7"/>
    <w:rsid w:val="005D5C8B"/>
    <w:rsid w:val="005D6322"/>
    <w:rsid w:val="005D6B66"/>
    <w:rsid w:val="005D7115"/>
    <w:rsid w:val="005D769E"/>
    <w:rsid w:val="005D79CB"/>
    <w:rsid w:val="005E0954"/>
    <w:rsid w:val="005E1697"/>
    <w:rsid w:val="005E25D1"/>
    <w:rsid w:val="005E2FD8"/>
    <w:rsid w:val="005E38F3"/>
    <w:rsid w:val="005E4470"/>
    <w:rsid w:val="005E55AE"/>
    <w:rsid w:val="005E5794"/>
    <w:rsid w:val="005E5947"/>
    <w:rsid w:val="005E5ADF"/>
    <w:rsid w:val="005E693F"/>
    <w:rsid w:val="005E718D"/>
    <w:rsid w:val="005E75FB"/>
    <w:rsid w:val="005E7E74"/>
    <w:rsid w:val="005F0355"/>
    <w:rsid w:val="005F1172"/>
    <w:rsid w:val="005F13AA"/>
    <w:rsid w:val="005F2968"/>
    <w:rsid w:val="005F37E3"/>
    <w:rsid w:val="005F3A39"/>
    <w:rsid w:val="005F3F48"/>
    <w:rsid w:val="005F40FB"/>
    <w:rsid w:val="005F51BE"/>
    <w:rsid w:val="005F582A"/>
    <w:rsid w:val="005F5857"/>
    <w:rsid w:val="005F5B35"/>
    <w:rsid w:val="005F64C6"/>
    <w:rsid w:val="005F64F3"/>
    <w:rsid w:val="005F7067"/>
    <w:rsid w:val="005F71B2"/>
    <w:rsid w:val="005F7584"/>
    <w:rsid w:val="005F77BA"/>
    <w:rsid w:val="006004A7"/>
    <w:rsid w:val="00600DF1"/>
    <w:rsid w:val="006010A3"/>
    <w:rsid w:val="00601608"/>
    <w:rsid w:val="00601AAE"/>
    <w:rsid w:val="00602E86"/>
    <w:rsid w:val="00603FD5"/>
    <w:rsid w:val="00604C89"/>
    <w:rsid w:val="00607414"/>
    <w:rsid w:val="0060792B"/>
    <w:rsid w:val="00607EBA"/>
    <w:rsid w:val="00607F03"/>
    <w:rsid w:val="00610627"/>
    <w:rsid w:val="00610761"/>
    <w:rsid w:val="00610B13"/>
    <w:rsid w:val="00610F6C"/>
    <w:rsid w:val="0061273F"/>
    <w:rsid w:val="00612ADF"/>
    <w:rsid w:val="006132D2"/>
    <w:rsid w:val="00613808"/>
    <w:rsid w:val="0061605F"/>
    <w:rsid w:val="00616973"/>
    <w:rsid w:val="00616DC8"/>
    <w:rsid w:val="006170C5"/>
    <w:rsid w:val="00620268"/>
    <w:rsid w:val="00620548"/>
    <w:rsid w:val="00621134"/>
    <w:rsid w:val="00621987"/>
    <w:rsid w:val="0062308C"/>
    <w:rsid w:val="0062352E"/>
    <w:rsid w:val="00623D35"/>
    <w:rsid w:val="00624B90"/>
    <w:rsid w:val="0062540D"/>
    <w:rsid w:val="00625C63"/>
    <w:rsid w:val="00625DB2"/>
    <w:rsid w:val="00625E61"/>
    <w:rsid w:val="006273AC"/>
    <w:rsid w:val="00627F09"/>
    <w:rsid w:val="006309A2"/>
    <w:rsid w:val="00630C69"/>
    <w:rsid w:val="00630F02"/>
    <w:rsid w:val="006315FB"/>
    <w:rsid w:val="00631C49"/>
    <w:rsid w:val="00631C53"/>
    <w:rsid w:val="00631FDF"/>
    <w:rsid w:val="006339F0"/>
    <w:rsid w:val="00633D16"/>
    <w:rsid w:val="0063421C"/>
    <w:rsid w:val="00634B9E"/>
    <w:rsid w:val="0063513F"/>
    <w:rsid w:val="006357CE"/>
    <w:rsid w:val="00637659"/>
    <w:rsid w:val="00641265"/>
    <w:rsid w:val="006416EC"/>
    <w:rsid w:val="00641BFC"/>
    <w:rsid w:val="00643D6A"/>
    <w:rsid w:val="00643E0F"/>
    <w:rsid w:val="00643F5E"/>
    <w:rsid w:val="006444DE"/>
    <w:rsid w:val="00644764"/>
    <w:rsid w:val="00644DB4"/>
    <w:rsid w:val="0064553D"/>
    <w:rsid w:val="006457BD"/>
    <w:rsid w:val="00645855"/>
    <w:rsid w:val="006461EC"/>
    <w:rsid w:val="006468ED"/>
    <w:rsid w:val="006475BD"/>
    <w:rsid w:val="00647E2B"/>
    <w:rsid w:val="00650EBB"/>
    <w:rsid w:val="00651001"/>
    <w:rsid w:val="00651D17"/>
    <w:rsid w:val="00651EB8"/>
    <w:rsid w:val="0065233A"/>
    <w:rsid w:val="006524BD"/>
    <w:rsid w:val="006527FF"/>
    <w:rsid w:val="006529ED"/>
    <w:rsid w:val="00652B36"/>
    <w:rsid w:val="006538A2"/>
    <w:rsid w:val="00654859"/>
    <w:rsid w:val="0065502D"/>
    <w:rsid w:val="00655C78"/>
    <w:rsid w:val="00655FAE"/>
    <w:rsid w:val="00656609"/>
    <w:rsid w:val="006568B8"/>
    <w:rsid w:val="00656A8A"/>
    <w:rsid w:val="00657D4D"/>
    <w:rsid w:val="00657E92"/>
    <w:rsid w:val="006609C4"/>
    <w:rsid w:val="00661662"/>
    <w:rsid w:val="00661D7F"/>
    <w:rsid w:val="00662209"/>
    <w:rsid w:val="00662512"/>
    <w:rsid w:val="00662B69"/>
    <w:rsid w:val="006645DF"/>
    <w:rsid w:val="00670CB8"/>
    <w:rsid w:val="00670F43"/>
    <w:rsid w:val="0067161F"/>
    <w:rsid w:val="006732C0"/>
    <w:rsid w:val="00674FF6"/>
    <w:rsid w:val="006756FD"/>
    <w:rsid w:val="006758FE"/>
    <w:rsid w:val="00675DDD"/>
    <w:rsid w:val="00676124"/>
    <w:rsid w:val="0067617D"/>
    <w:rsid w:val="006764ED"/>
    <w:rsid w:val="006765EB"/>
    <w:rsid w:val="00676BF5"/>
    <w:rsid w:val="006775B0"/>
    <w:rsid w:val="00677E0F"/>
    <w:rsid w:val="00677EB8"/>
    <w:rsid w:val="006804AC"/>
    <w:rsid w:val="006805E4"/>
    <w:rsid w:val="00680FEE"/>
    <w:rsid w:val="00681176"/>
    <w:rsid w:val="006813D3"/>
    <w:rsid w:val="00681434"/>
    <w:rsid w:val="0068185A"/>
    <w:rsid w:val="0068187B"/>
    <w:rsid w:val="00681F8B"/>
    <w:rsid w:val="006825BF"/>
    <w:rsid w:val="006834D4"/>
    <w:rsid w:val="006838F4"/>
    <w:rsid w:val="00683E0B"/>
    <w:rsid w:val="006842D9"/>
    <w:rsid w:val="00686A2F"/>
    <w:rsid w:val="0068724F"/>
    <w:rsid w:val="0068736B"/>
    <w:rsid w:val="00687923"/>
    <w:rsid w:val="0069045F"/>
    <w:rsid w:val="00690F27"/>
    <w:rsid w:val="006927CC"/>
    <w:rsid w:val="00692977"/>
    <w:rsid w:val="00693944"/>
    <w:rsid w:val="00693B53"/>
    <w:rsid w:val="006940F6"/>
    <w:rsid w:val="00694210"/>
    <w:rsid w:val="00694D61"/>
    <w:rsid w:val="00694DD0"/>
    <w:rsid w:val="00696157"/>
    <w:rsid w:val="006964C0"/>
    <w:rsid w:val="006A0520"/>
    <w:rsid w:val="006A1DEF"/>
    <w:rsid w:val="006A1F13"/>
    <w:rsid w:val="006A1F5E"/>
    <w:rsid w:val="006A1FD1"/>
    <w:rsid w:val="006A205B"/>
    <w:rsid w:val="006A22AF"/>
    <w:rsid w:val="006A26F8"/>
    <w:rsid w:val="006A27F4"/>
    <w:rsid w:val="006A3070"/>
    <w:rsid w:val="006A31EE"/>
    <w:rsid w:val="006A3E70"/>
    <w:rsid w:val="006A4877"/>
    <w:rsid w:val="006A4DAD"/>
    <w:rsid w:val="006A54BF"/>
    <w:rsid w:val="006A5A3F"/>
    <w:rsid w:val="006A6332"/>
    <w:rsid w:val="006A7069"/>
    <w:rsid w:val="006A73A3"/>
    <w:rsid w:val="006A7DFD"/>
    <w:rsid w:val="006A7E91"/>
    <w:rsid w:val="006B01D4"/>
    <w:rsid w:val="006B0256"/>
    <w:rsid w:val="006B0B7F"/>
    <w:rsid w:val="006B11D0"/>
    <w:rsid w:val="006B13AD"/>
    <w:rsid w:val="006B15C5"/>
    <w:rsid w:val="006B2741"/>
    <w:rsid w:val="006B3874"/>
    <w:rsid w:val="006B3885"/>
    <w:rsid w:val="006B4D56"/>
    <w:rsid w:val="006B4DB0"/>
    <w:rsid w:val="006B4F32"/>
    <w:rsid w:val="006B58F9"/>
    <w:rsid w:val="006B6ED9"/>
    <w:rsid w:val="006B75FA"/>
    <w:rsid w:val="006C0172"/>
    <w:rsid w:val="006C0784"/>
    <w:rsid w:val="006C2036"/>
    <w:rsid w:val="006C34E8"/>
    <w:rsid w:val="006C36AE"/>
    <w:rsid w:val="006C36D5"/>
    <w:rsid w:val="006C4AF4"/>
    <w:rsid w:val="006C4B34"/>
    <w:rsid w:val="006C4C82"/>
    <w:rsid w:val="006C4D71"/>
    <w:rsid w:val="006C5532"/>
    <w:rsid w:val="006C56B7"/>
    <w:rsid w:val="006C5A42"/>
    <w:rsid w:val="006C61A1"/>
    <w:rsid w:val="006C7227"/>
    <w:rsid w:val="006D095B"/>
    <w:rsid w:val="006D378A"/>
    <w:rsid w:val="006D3F2F"/>
    <w:rsid w:val="006D40DE"/>
    <w:rsid w:val="006D48DD"/>
    <w:rsid w:val="006D4939"/>
    <w:rsid w:val="006D4F09"/>
    <w:rsid w:val="006D5945"/>
    <w:rsid w:val="006D5EC0"/>
    <w:rsid w:val="006D5F4F"/>
    <w:rsid w:val="006D66A5"/>
    <w:rsid w:val="006D6847"/>
    <w:rsid w:val="006D6C5C"/>
    <w:rsid w:val="006D70C0"/>
    <w:rsid w:val="006D73B3"/>
    <w:rsid w:val="006E0112"/>
    <w:rsid w:val="006E0380"/>
    <w:rsid w:val="006E07BA"/>
    <w:rsid w:val="006E0AD2"/>
    <w:rsid w:val="006E0F18"/>
    <w:rsid w:val="006E1BC2"/>
    <w:rsid w:val="006E3536"/>
    <w:rsid w:val="006E396B"/>
    <w:rsid w:val="006E3E0E"/>
    <w:rsid w:val="006E4229"/>
    <w:rsid w:val="006E452D"/>
    <w:rsid w:val="006E63F2"/>
    <w:rsid w:val="006E7424"/>
    <w:rsid w:val="006E7B67"/>
    <w:rsid w:val="006E7C65"/>
    <w:rsid w:val="006E7EEE"/>
    <w:rsid w:val="006F1513"/>
    <w:rsid w:val="006F1E40"/>
    <w:rsid w:val="006F2105"/>
    <w:rsid w:val="006F289E"/>
    <w:rsid w:val="006F28C3"/>
    <w:rsid w:val="006F2BA5"/>
    <w:rsid w:val="006F344F"/>
    <w:rsid w:val="006F3968"/>
    <w:rsid w:val="006F3973"/>
    <w:rsid w:val="006F39C5"/>
    <w:rsid w:val="006F4DBA"/>
    <w:rsid w:val="006F4E9A"/>
    <w:rsid w:val="006F5C94"/>
    <w:rsid w:val="006F5D1B"/>
    <w:rsid w:val="006F6B03"/>
    <w:rsid w:val="006F6E86"/>
    <w:rsid w:val="006F6FEC"/>
    <w:rsid w:val="006F73A1"/>
    <w:rsid w:val="006F7839"/>
    <w:rsid w:val="0070011C"/>
    <w:rsid w:val="007005FC"/>
    <w:rsid w:val="00700CF8"/>
    <w:rsid w:val="00701100"/>
    <w:rsid w:val="00701508"/>
    <w:rsid w:val="00701FEB"/>
    <w:rsid w:val="00702A2A"/>
    <w:rsid w:val="0070355B"/>
    <w:rsid w:val="007039F4"/>
    <w:rsid w:val="0070441F"/>
    <w:rsid w:val="0070520F"/>
    <w:rsid w:val="007054DD"/>
    <w:rsid w:val="007075F0"/>
    <w:rsid w:val="0071000A"/>
    <w:rsid w:val="00710105"/>
    <w:rsid w:val="007115EA"/>
    <w:rsid w:val="00711DE9"/>
    <w:rsid w:val="0071214A"/>
    <w:rsid w:val="00712569"/>
    <w:rsid w:val="00712707"/>
    <w:rsid w:val="00712ACC"/>
    <w:rsid w:val="00713D9F"/>
    <w:rsid w:val="007142EF"/>
    <w:rsid w:val="00714488"/>
    <w:rsid w:val="007151AB"/>
    <w:rsid w:val="007158C6"/>
    <w:rsid w:val="007159EC"/>
    <w:rsid w:val="00715DC9"/>
    <w:rsid w:val="00715ED0"/>
    <w:rsid w:val="007160F0"/>
    <w:rsid w:val="00716255"/>
    <w:rsid w:val="00716C38"/>
    <w:rsid w:val="00716CB9"/>
    <w:rsid w:val="00720507"/>
    <w:rsid w:val="007209BA"/>
    <w:rsid w:val="00720AD6"/>
    <w:rsid w:val="00721022"/>
    <w:rsid w:val="007215EF"/>
    <w:rsid w:val="00721AA5"/>
    <w:rsid w:val="00722BA2"/>
    <w:rsid w:val="00723086"/>
    <w:rsid w:val="0072439D"/>
    <w:rsid w:val="0072460E"/>
    <w:rsid w:val="0072483A"/>
    <w:rsid w:val="007249FB"/>
    <w:rsid w:val="00725603"/>
    <w:rsid w:val="00725CF2"/>
    <w:rsid w:val="00726CD0"/>
    <w:rsid w:val="00726F4F"/>
    <w:rsid w:val="00727141"/>
    <w:rsid w:val="007301C9"/>
    <w:rsid w:val="007308A7"/>
    <w:rsid w:val="007317B9"/>
    <w:rsid w:val="00731D33"/>
    <w:rsid w:val="00732704"/>
    <w:rsid w:val="00732967"/>
    <w:rsid w:val="00732B85"/>
    <w:rsid w:val="00732FE7"/>
    <w:rsid w:val="00733F0C"/>
    <w:rsid w:val="00734860"/>
    <w:rsid w:val="00737273"/>
    <w:rsid w:val="0073736E"/>
    <w:rsid w:val="007373F6"/>
    <w:rsid w:val="00737E9E"/>
    <w:rsid w:val="00737F25"/>
    <w:rsid w:val="00740804"/>
    <w:rsid w:val="007408A9"/>
    <w:rsid w:val="007410B0"/>
    <w:rsid w:val="00741161"/>
    <w:rsid w:val="00741400"/>
    <w:rsid w:val="0074260B"/>
    <w:rsid w:val="00742F0D"/>
    <w:rsid w:val="007434A8"/>
    <w:rsid w:val="00743548"/>
    <w:rsid w:val="00744120"/>
    <w:rsid w:val="0074470D"/>
    <w:rsid w:val="00745544"/>
    <w:rsid w:val="00745B80"/>
    <w:rsid w:val="00745DEE"/>
    <w:rsid w:val="00745F0F"/>
    <w:rsid w:val="0074602A"/>
    <w:rsid w:val="00746A0B"/>
    <w:rsid w:val="00746BC4"/>
    <w:rsid w:val="00747347"/>
    <w:rsid w:val="007507C1"/>
    <w:rsid w:val="0075093E"/>
    <w:rsid w:val="00750FC9"/>
    <w:rsid w:val="00751ACE"/>
    <w:rsid w:val="00751D26"/>
    <w:rsid w:val="00751F91"/>
    <w:rsid w:val="0075216B"/>
    <w:rsid w:val="0075386F"/>
    <w:rsid w:val="00753970"/>
    <w:rsid w:val="00755063"/>
    <w:rsid w:val="007551BB"/>
    <w:rsid w:val="00756926"/>
    <w:rsid w:val="007573B0"/>
    <w:rsid w:val="007579AE"/>
    <w:rsid w:val="00757B7B"/>
    <w:rsid w:val="00757FC5"/>
    <w:rsid w:val="00760005"/>
    <w:rsid w:val="00760304"/>
    <w:rsid w:val="00760860"/>
    <w:rsid w:val="00760E1B"/>
    <w:rsid w:val="00762E5A"/>
    <w:rsid w:val="00762F69"/>
    <w:rsid w:val="0076414F"/>
    <w:rsid w:val="00764838"/>
    <w:rsid w:val="00764F73"/>
    <w:rsid w:val="00764FE1"/>
    <w:rsid w:val="007653BF"/>
    <w:rsid w:val="007653DB"/>
    <w:rsid w:val="007658B0"/>
    <w:rsid w:val="00765A2E"/>
    <w:rsid w:val="007663C9"/>
    <w:rsid w:val="007669DE"/>
    <w:rsid w:val="0076763D"/>
    <w:rsid w:val="007679EA"/>
    <w:rsid w:val="00767EAE"/>
    <w:rsid w:val="00770348"/>
    <w:rsid w:val="0077068D"/>
    <w:rsid w:val="00770DB0"/>
    <w:rsid w:val="00771589"/>
    <w:rsid w:val="00771D2B"/>
    <w:rsid w:val="00772042"/>
    <w:rsid w:val="00772B8E"/>
    <w:rsid w:val="007736BB"/>
    <w:rsid w:val="007743B7"/>
    <w:rsid w:val="00774806"/>
    <w:rsid w:val="00774ECD"/>
    <w:rsid w:val="00775165"/>
    <w:rsid w:val="00775934"/>
    <w:rsid w:val="00775A18"/>
    <w:rsid w:val="00775A78"/>
    <w:rsid w:val="00775F20"/>
    <w:rsid w:val="007760D3"/>
    <w:rsid w:val="007760DE"/>
    <w:rsid w:val="0077686B"/>
    <w:rsid w:val="00776F75"/>
    <w:rsid w:val="00777324"/>
    <w:rsid w:val="007774DB"/>
    <w:rsid w:val="007804E0"/>
    <w:rsid w:val="00780520"/>
    <w:rsid w:val="00780A7D"/>
    <w:rsid w:val="00780AF7"/>
    <w:rsid w:val="00781715"/>
    <w:rsid w:val="00782A22"/>
    <w:rsid w:val="00782D79"/>
    <w:rsid w:val="00782EE1"/>
    <w:rsid w:val="00783576"/>
    <w:rsid w:val="0078363E"/>
    <w:rsid w:val="00783706"/>
    <w:rsid w:val="007838A2"/>
    <w:rsid w:val="00783EE9"/>
    <w:rsid w:val="00784877"/>
    <w:rsid w:val="00785300"/>
    <w:rsid w:val="0078533C"/>
    <w:rsid w:val="0078613D"/>
    <w:rsid w:val="0078663E"/>
    <w:rsid w:val="0078780B"/>
    <w:rsid w:val="00787D67"/>
    <w:rsid w:val="00787EF2"/>
    <w:rsid w:val="007922E8"/>
    <w:rsid w:val="007924BF"/>
    <w:rsid w:val="00792B92"/>
    <w:rsid w:val="00792DC7"/>
    <w:rsid w:val="00793FCB"/>
    <w:rsid w:val="00795C92"/>
    <w:rsid w:val="00795D73"/>
    <w:rsid w:val="00795EC3"/>
    <w:rsid w:val="00795FD2"/>
    <w:rsid w:val="0079603F"/>
    <w:rsid w:val="00796816"/>
    <w:rsid w:val="007969F0"/>
    <w:rsid w:val="00797BE5"/>
    <w:rsid w:val="007A01DE"/>
    <w:rsid w:val="007A0363"/>
    <w:rsid w:val="007A03F9"/>
    <w:rsid w:val="007A0F45"/>
    <w:rsid w:val="007A20A1"/>
    <w:rsid w:val="007A2CD4"/>
    <w:rsid w:val="007A384A"/>
    <w:rsid w:val="007A4521"/>
    <w:rsid w:val="007A52AD"/>
    <w:rsid w:val="007A56E2"/>
    <w:rsid w:val="007A5714"/>
    <w:rsid w:val="007A5D71"/>
    <w:rsid w:val="007A61A5"/>
    <w:rsid w:val="007A6C97"/>
    <w:rsid w:val="007A6E1C"/>
    <w:rsid w:val="007A7010"/>
    <w:rsid w:val="007A72CD"/>
    <w:rsid w:val="007B020F"/>
    <w:rsid w:val="007B0AB4"/>
    <w:rsid w:val="007B0E22"/>
    <w:rsid w:val="007B272A"/>
    <w:rsid w:val="007B2854"/>
    <w:rsid w:val="007B2D21"/>
    <w:rsid w:val="007B2D58"/>
    <w:rsid w:val="007B417E"/>
    <w:rsid w:val="007B547E"/>
    <w:rsid w:val="007B596F"/>
    <w:rsid w:val="007B5CDD"/>
    <w:rsid w:val="007B6776"/>
    <w:rsid w:val="007B78A4"/>
    <w:rsid w:val="007C0A60"/>
    <w:rsid w:val="007C1D08"/>
    <w:rsid w:val="007C2E8D"/>
    <w:rsid w:val="007C3360"/>
    <w:rsid w:val="007C3475"/>
    <w:rsid w:val="007C37DC"/>
    <w:rsid w:val="007C3B29"/>
    <w:rsid w:val="007C3C73"/>
    <w:rsid w:val="007C475F"/>
    <w:rsid w:val="007C5092"/>
    <w:rsid w:val="007C6090"/>
    <w:rsid w:val="007C64DE"/>
    <w:rsid w:val="007C6EDE"/>
    <w:rsid w:val="007C70A8"/>
    <w:rsid w:val="007C7B30"/>
    <w:rsid w:val="007D104B"/>
    <w:rsid w:val="007D1569"/>
    <w:rsid w:val="007D25EB"/>
    <w:rsid w:val="007D35DB"/>
    <w:rsid w:val="007D3BEA"/>
    <w:rsid w:val="007D5060"/>
    <w:rsid w:val="007D5352"/>
    <w:rsid w:val="007D5482"/>
    <w:rsid w:val="007D5FC7"/>
    <w:rsid w:val="007D6234"/>
    <w:rsid w:val="007D68FB"/>
    <w:rsid w:val="007D6A12"/>
    <w:rsid w:val="007D6D7C"/>
    <w:rsid w:val="007D6ECE"/>
    <w:rsid w:val="007D707F"/>
    <w:rsid w:val="007E0261"/>
    <w:rsid w:val="007E0C83"/>
    <w:rsid w:val="007E1729"/>
    <w:rsid w:val="007E18FE"/>
    <w:rsid w:val="007E19A2"/>
    <w:rsid w:val="007E19FF"/>
    <w:rsid w:val="007E1A38"/>
    <w:rsid w:val="007E1E69"/>
    <w:rsid w:val="007E234C"/>
    <w:rsid w:val="007E2AE6"/>
    <w:rsid w:val="007E3C4A"/>
    <w:rsid w:val="007E435A"/>
    <w:rsid w:val="007E467A"/>
    <w:rsid w:val="007E4BF6"/>
    <w:rsid w:val="007E4E44"/>
    <w:rsid w:val="007E5865"/>
    <w:rsid w:val="007E5F46"/>
    <w:rsid w:val="007E619A"/>
    <w:rsid w:val="007E63C4"/>
    <w:rsid w:val="007E63D0"/>
    <w:rsid w:val="007E6E0E"/>
    <w:rsid w:val="007E7AB4"/>
    <w:rsid w:val="007E7BD1"/>
    <w:rsid w:val="007F037C"/>
    <w:rsid w:val="007F0D30"/>
    <w:rsid w:val="007F11B9"/>
    <w:rsid w:val="007F1AB4"/>
    <w:rsid w:val="007F1FD1"/>
    <w:rsid w:val="007F226D"/>
    <w:rsid w:val="007F2483"/>
    <w:rsid w:val="007F413A"/>
    <w:rsid w:val="007F4272"/>
    <w:rsid w:val="007F44FE"/>
    <w:rsid w:val="007F4697"/>
    <w:rsid w:val="007F46B5"/>
    <w:rsid w:val="007F5CD4"/>
    <w:rsid w:val="007F5EE1"/>
    <w:rsid w:val="007F724A"/>
    <w:rsid w:val="007F7BB1"/>
    <w:rsid w:val="007F7E79"/>
    <w:rsid w:val="008002D3"/>
    <w:rsid w:val="00800404"/>
    <w:rsid w:val="00800BA1"/>
    <w:rsid w:val="00800EFD"/>
    <w:rsid w:val="008013CF"/>
    <w:rsid w:val="008017BC"/>
    <w:rsid w:val="00801E9C"/>
    <w:rsid w:val="008020A6"/>
    <w:rsid w:val="00802367"/>
    <w:rsid w:val="00802B2F"/>
    <w:rsid w:val="0080322B"/>
    <w:rsid w:val="008035C3"/>
    <w:rsid w:val="00803B13"/>
    <w:rsid w:val="00803F26"/>
    <w:rsid w:val="00804B8B"/>
    <w:rsid w:val="008052DB"/>
    <w:rsid w:val="00805EDC"/>
    <w:rsid w:val="00806F63"/>
    <w:rsid w:val="0080717F"/>
    <w:rsid w:val="00807F06"/>
    <w:rsid w:val="008103F9"/>
    <w:rsid w:val="00810AF9"/>
    <w:rsid w:val="00811196"/>
    <w:rsid w:val="008113C6"/>
    <w:rsid w:val="0081181D"/>
    <w:rsid w:val="008118D6"/>
    <w:rsid w:val="00812507"/>
    <w:rsid w:val="00812534"/>
    <w:rsid w:val="00812AE6"/>
    <w:rsid w:val="0081307C"/>
    <w:rsid w:val="0081365F"/>
    <w:rsid w:val="00814746"/>
    <w:rsid w:val="008148E8"/>
    <w:rsid w:val="00814EBD"/>
    <w:rsid w:val="0081533C"/>
    <w:rsid w:val="00815C03"/>
    <w:rsid w:val="008161D7"/>
    <w:rsid w:val="0081688E"/>
    <w:rsid w:val="008203A0"/>
    <w:rsid w:val="00820661"/>
    <w:rsid w:val="00821AC3"/>
    <w:rsid w:val="00822197"/>
    <w:rsid w:val="0082377E"/>
    <w:rsid w:val="0082437F"/>
    <w:rsid w:val="00824B97"/>
    <w:rsid w:val="0082500C"/>
    <w:rsid w:val="008250A5"/>
    <w:rsid w:val="00826219"/>
    <w:rsid w:val="008267B9"/>
    <w:rsid w:val="00827603"/>
    <w:rsid w:val="008302BC"/>
    <w:rsid w:val="00830FA3"/>
    <w:rsid w:val="00831C6F"/>
    <w:rsid w:val="008321E2"/>
    <w:rsid w:val="00832B45"/>
    <w:rsid w:val="008331CB"/>
    <w:rsid w:val="00833530"/>
    <w:rsid w:val="00833E30"/>
    <w:rsid w:val="0083428E"/>
    <w:rsid w:val="008347BB"/>
    <w:rsid w:val="00835CE5"/>
    <w:rsid w:val="00836262"/>
    <w:rsid w:val="00836B21"/>
    <w:rsid w:val="00836DF1"/>
    <w:rsid w:val="00836E3A"/>
    <w:rsid w:val="00837210"/>
    <w:rsid w:val="008376C0"/>
    <w:rsid w:val="00837AAF"/>
    <w:rsid w:val="00837F24"/>
    <w:rsid w:val="00841214"/>
    <w:rsid w:val="0084238D"/>
    <w:rsid w:val="008423EB"/>
    <w:rsid w:val="008425AB"/>
    <w:rsid w:val="00842AF9"/>
    <w:rsid w:val="00843383"/>
    <w:rsid w:val="00844609"/>
    <w:rsid w:val="00844C4B"/>
    <w:rsid w:val="00846B12"/>
    <w:rsid w:val="00846C4B"/>
    <w:rsid w:val="00846E07"/>
    <w:rsid w:val="008472B8"/>
    <w:rsid w:val="008475B1"/>
    <w:rsid w:val="00847B9C"/>
    <w:rsid w:val="00850D30"/>
    <w:rsid w:val="00850E3A"/>
    <w:rsid w:val="008518D0"/>
    <w:rsid w:val="0085238D"/>
    <w:rsid w:val="008528F3"/>
    <w:rsid w:val="008529A2"/>
    <w:rsid w:val="008529EE"/>
    <w:rsid w:val="00852C6E"/>
    <w:rsid w:val="00853068"/>
    <w:rsid w:val="00853157"/>
    <w:rsid w:val="00853B11"/>
    <w:rsid w:val="00853B13"/>
    <w:rsid w:val="0085439B"/>
    <w:rsid w:val="00854E8B"/>
    <w:rsid w:val="00855F85"/>
    <w:rsid w:val="00856233"/>
    <w:rsid w:val="00856B0D"/>
    <w:rsid w:val="008571C1"/>
    <w:rsid w:val="00857366"/>
    <w:rsid w:val="008575AF"/>
    <w:rsid w:val="008579B4"/>
    <w:rsid w:val="00860D4C"/>
    <w:rsid w:val="00865777"/>
    <w:rsid w:val="008659FF"/>
    <w:rsid w:val="00866230"/>
    <w:rsid w:val="00866982"/>
    <w:rsid w:val="00867124"/>
    <w:rsid w:val="0086730D"/>
    <w:rsid w:val="00870EC1"/>
    <w:rsid w:val="00870F26"/>
    <w:rsid w:val="00871236"/>
    <w:rsid w:val="00871656"/>
    <w:rsid w:val="00871A6C"/>
    <w:rsid w:val="00871C08"/>
    <w:rsid w:val="00872A6F"/>
    <w:rsid w:val="008731EC"/>
    <w:rsid w:val="00873D5D"/>
    <w:rsid w:val="0087566C"/>
    <w:rsid w:val="00875CCB"/>
    <w:rsid w:val="00875F89"/>
    <w:rsid w:val="008771AC"/>
    <w:rsid w:val="00877555"/>
    <w:rsid w:val="00877D4A"/>
    <w:rsid w:val="00880EF4"/>
    <w:rsid w:val="008811B3"/>
    <w:rsid w:val="0088152D"/>
    <w:rsid w:val="008817A0"/>
    <w:rsid w:val="008818CC"/>
    <w:rsid w:val="008818E6"/>
    <w:rsid w:val="00881B4B"/>
    <w:rsid w:val="00881F9D"/>
    <w:rsid w:val="008821D2"/>
    <w:rsid w:val="00882581"/>
    <w:rsid w:val="00882B8E"/>
    <w:rsid w:val="008833F3"/>
    <w:rsid w:val="00883D5A"/>
    <w:rsid w:val="00884540"/>
    <w:rsid w:val="00884720"/>
    <w:rsid w:val="00884768"/>
    <w:rsid w:val="00884B39"/>
    <w:rsid w:val="008852D8"/>
    <w:rsid w:val="00885ADC"/>
    <w:rsid w:val="00885E4F"/>
    <w:rsid w:val="00887472"/>
    <w:rsid w:val="008904E0"/>
    <w:rsid w:val="0089257C"/>
    <w:rsid w:val="00893D2D"/>
    <w:rsid w:val="0089468F"/>
    <w:rsid w:val="0089591E"/>
    <w:rsid w:val="0089594A"/>
    <w:rsid w:val="00897793"/>
    <w:rsid w:val="008A06FE"/>
    <w:rsid w:val="008A09C4"/>
    <w:rsid w:val="008A1105"/>
    <w:rsid w:val="008A1632"/>
    <w:rsid w:val="008A16CF"/>
    <w:rsid w:val="008A175F"/>
    <w:rsid w:val="008A1BAD"/>
    <w:rsid w:val="008A1E36"/>
    <w:rsid w:val="008A2351"/>
    <w:rsid w:val="008A23DE"/>
    <w:rsid w:val="008A262B"/>
    <w:rsid w:val="008A4652"/>
    <w:rsid w:val="008A4A14"/>
    <w:rsid w:val="008A4C03"/>
    <w:rsid w:val="008A57A7"/>
    <w:rsid w:val="008A6F83"/>
    <w:rsid w:val="008A74D5"/>
    <w:rsid w:val="008B05C3"/>
    <w:rsid w:val="008B0A5E"/>
    <w:rsid w:val="008B0BE7"/>
    <w:rsid w:val="008B0FBF"/>
    <w:rsid w:val="008B15D0"/>
    <w:rsid w:val="008B233D"/>
    <w:rsid w:val="008B2438"/>
    <w:rsid w:val="008B25B6"/>
    <w:rsid w:val="008B2FAC"/>
    <w:rsid w:val="008B4965"/>
    <w:rsid w:val="008B4DED"/>
    <w:rsid w:val="008B58CC"/>
    <w:rsid w:val="008B5B12"/>
    <w:rsid w:val="008B5C8C"/>
    <w:rsid w:val="008B60BB"/>
    <w:rsid w:val="008B640C"/>
    <w:rsid w:val="008B671B"/>
    <w:rsid w:val="008B689C"/>
    <w:rsid w:val="008B745A"/>
    <w:rsid w:val="008B78B1"/>
    <w:rsid w:val="008C02D0"/>
    <w:rsid w:val="008C06E5"/>
    <w:rsid w:val="008C0C58"/>
    <w:rsid w:val="008C1196"/>
    <w:rsid w:val="008C1CCF"/>
    <w:rsid w:val="008C2012"/>
    <w:rsid w:val="008C2CD5"/>
    <w:rsid w:val="008C30DE"/>
    <w:rsid w:val="008C31B9"/>
    <w:rsid w:val="008C3862"/>
    <w:rsid w:val="008C60D6"/>
    <w:rsid w:val="008C6332"/>
    <w:rsid w:val="008C7324"/>
    <w:rsid w:val="008C753F"/>
    <w:rsid w:val="008D0554"/>
    <w:rsid w:val="008D0E9F"/>
    <w:rsid w:val="008D1144"/>
    <w:rsid w:val="008D19FD"/>
    <w:rsid w:val="008D1ABD"/>
    <w:rsid w:val="008D29DB"/>
    <w:rsid w:val="008D2FDD"/>
    <w:rsid w:val="008D3263"/>
    <w:rsid w:val="008D3A0D"/>
    <w:rsid w:val="008D3AD4"/>
    <w:rsid w:val="008D3D3F"/>
    <w:rsid w:val="008D3F70"/>
    <w:rsid w:val="008D404F"/>
    <w:rsid w:val="008D422F"/>
    <w:rsid w:val="008D4B20"/>
    <w:rsid w:val="008D4ED0"/>
    <w:rsid w:val="008D720C"/>
    <w:rsid w:val="008D7671"/>
    <w:rsid w:val="008D7D89"/>
    <w:rsid w:val="008D7E34"/>
    <w:rsid w:val="008E0FC9"/>
    <w:rsid w:val="008E1C48"/>
    <w:rsid w:val="008E21C5"/>
    <w:rsid w:val="008E2558"/>
    <w:rsid w:val="008E25D6"/>
    <w:rsid w:val="008E342F"/>
    <w:rsid w:val="008E42C4"/>
    <w:rsid w:val="008E56AF"/>
    <w:rsid w:val="008E57E3"/>
    <w:rsid w:val="008E60A2"/>
    <w:rsid w:val="008E6868"/>
    <w:rsid w:val="008E68FC"/>
    <w:rsid w:val="008E7964"/>
    <w:rsid w:val="008E7BD4"/>
    <w:rsid w:val="008E7E60"/>
    <w:rsid w:val="008F0156"/>
    <w:rsid w:val="008F04D2"/>
    <w:rsid w:val="008F0A95"/>
    <w:rsid w:val="008F161E"/>
    <w:rsid w:val="008F1F29"/>
    <w:rsid w:val="008F55B3"/>
    <w:rsid w:val="008F567D"/>
    <w:rsid w:val="008F6873"/>
    <w:rsid w:val="008F6884"/>
    <w:rsid w:val="008F6AAA"/>
    <w:rsid w:val="008F6F1A"/>
    <w:rsid w:val="008F731C"/>
    <w:rsid w:val="008F7455"/>
    <w:rsid w:val="008F75FD"/>
    <w:rsid w:val="008F7897"/>
    <w:rsid w:val="00900648"/>
    <w:rsid w:val="0090137A"/>
    <w:rsid w:val="00903150"/>
    <w:rsid w:val="00903370"/>
    <w:rsid w:val="0090362D"/>
    <w:rsid w:val="0090392B"/>
    <w:rsid w:val="00903B02"/>
    <w:rsid w:val="00903B85"/>
    <w:rsid w:val="00903C18"/>
    <w:rsid w:val="0090406B"/>
    <w:rsid w:val="009040EE"/>
    <w:rsid w:val="009042BE"/>
    <w:rsid w:val="0090567D"/>
    <w:rsid w:val="00905A77"/>
    <w:rsid w:val="009062EA"/>
    <w:rsid w:val="009067DF"/>
    <w:rsid w:val="00906E91"/>
    <w:rsid w:val="0091107B"/>
    <w:rsid w:val="009113AC"/>
    <w:rsid w:val="009116C7"/>
    <w:rsid w:val="0091211E"/>
    <w:rsid w:val="0091349A"/>
    <w:rsid w:val="00914259"/>
    <w:rsid w:val="00914399"/>
    <w:rsid w:val="0091530C"/>
    <w:rsid w:val="009158BF"/>
    <w:rsid w:val="00916DB1"/>
    <w:rsid w:val="00923764"/>
    <w:rsid w:val="0092490D"/>
    <w:rsid w:val="00924D4F"/>
    <w:rsid w:val="00924E99"/>
    <w:rsid w:val="00924F60"/>
    <w:rsid w:val="0092541C"/>
    <w:rsid w:val="00926337"/>
    <w:rsid w:val="0092690B"/>
    <w:rsid w:val="009269C5"/>
    <w:rsid w:val="00926DC5"/>
    <w:rsid w:val="009277FE"/>
    <w:rsid w:val="00931A1D"/>
    <w:rsid w:val="00931A3A"/>
    <w:rsid w:val="00931D01"/>
    <w:rsid w:val="00931E24"/>
    <w:rsid w:val="00932289"/>
    <w:rsid w:val="00933E08"/>
    <w:rsid w:val="009342FC"/>
    <w:rsid w:val="00936068"/>
    <w:rsid w:val="00936B2C"/>
    <w:rsid w:val="00936D1A"/>
    <w:rsid w:val="00937932"/>
    <w:rsid w:val="00940493"/>
    <w:rsid w:val="0094075D"/>
    <w:rsid w:val="00942133"/>
    <w:rsid w:val="0094328F"/>
    <w:rsid w:val="00943806"/>
    <w:rsid w:val="009461C6"/>
    <w:rsid w:val="00946351"/>
    <w:rsid w:val="00946A84"/>
    <w:rsid w:val="00946C28"/>
    <w:rsid w:val="009476F4"/>
    <w:rsid w:val="00947B75"/>
    <w:rsid w:val="00947F15"/>
    <w:rsid w:val="009517CC"/>
    <w:rsid w:val="00952186"/>
    <w:rsid w:val="009521D3"/>
    <w:rsid w:val="0095295E"/>
    <w:rsid w:val="00955D30"/>
    <w:rsid w:val="00955F3E"/>
    <w:rsid w:val="00957818"/>
    <w:rsid w:val="00957C89"/>
    <w:rsid w:val="00957D23"/>
    <w:rsid w:val="00960173"/>
    <w:rsid w:val="00960E9D"/>
    <w:rsid w:val="00961319"/>
    <w:rsid w:val="009615D4"/>
    <w:rsid w:val="009616E6"/>
    <w:rsid w:val="0096219C"/>
    <w:rsid w:val="00962905"/>
    <w:rsid w:val="00962CFE"/>
    <w:rsid w:val="0096333C"/>
    <w:rsid w:val="0096337E"/>
    <w:rsid w:val="009639E8"/>
    <w:rsid w:val="009639F3"/>
    <w:rsid w:val="00963D59"/>
    <w:rsid w:val="009665F8"/>
    <w:rsid w:val="0096788F"/>
    <w:rsid w:val="00967B2B"/>
    <w:rsid w:val="009706EE"/>
    <w:rsid w:val="00970A20"/>
    <w:rsid w:val="009713A8"/>
    <w:rsid w:val="009713DC"/>
    <w:rsid w:val="0097163D"/>
    <w:rsid w:val="00971AE7"/>
    <w:rsid w:val="00971D6E"/>
    <w:rsid w:val="009720C3"/>
    <w:rsid w:val="009721F8"/>
    <w:rsid w:val="009724AC"/>
    <w:rsid w:val="0097274C"/>
    <w:rsid w:val="00972C97"/>
    <w:rsid w:val="00973136"/>
    <w:rsid w:val="00973429"/>
    <w:rsid w:val="00973A00"/>
    <w:rsid w:val="00974182"/>
    <w:rsid w:val="00974677"/>
    <w:rsid w:val="0097587C"/>
    <w:rsid w:val="00975F3E"/>
    <w:rsid w:val="00976023"/>
    <w:rsid w:val="00976219"/>
    <w:rsid w:val="00976B90"/>
    <w:rsid w:val="00976D7F"/>
    <w:rsid w:val="009771A3"/>
    <w:rsid w:val="0097750D"/>
    <w:rsid w:val="00977591"/>
    <w:rsid w:val="00980461"/>
    <w:rsid w:val="00981030"/>
    <w:rsid w:val="00981A40"/>
    <w:rsid w:val="009827FB"/>
    <w:rsid w:val="009841B5"/>
    <w:rsid w:val="00984712"/>
    <w:rsid w:val="009847F0"/>
    <w:rsid w:val="00984F1E"/>
    <w:rsid w:val="009864AF"/>
    <w:rsid w:val="00987157"/>
    <w:rsid w:val="009876A7"/>
    <w:rsid w:val="00987C3F"/>
    <w:rsid w:val="00987E20"/>
    <w:rsid w:val="009901F4"/>
    <w:rsid w:val="00991141"/>
    <w:rsid w:val="009915C0"/>
    <w:rsid w:val="0099172E"/>
    <w:rsid w:val="009932EB"/>
    <w:rsid w:val="00993776"/>
    <w:rsid w:val="009940FD"/>
    <w:rsid w:val="00994780"/>
    <w:rsid w:val="009949B0"/>
    <w:rsid w:val="0099572A"/>
    <w:rsid w:val="009959AE"/>
    <w:rsid w:val="00996976"/>
    <w:rsid w:val="0099698E"/>
    <w:rsid w:val="009969C3"/>
    <w:rsid w:val="00996E4B"/>
    <w:rsid w:val="00997559"/>
    <w:rsid w:val="00997B06"/>
    <w:rsid w:val="00997B85"/>
    <w:rsid w:val="009A015E"/>
    <w:rsid w:val="009A262A"/>
    <w:rsid w:val="009A2D27"/>
    <w:rsid w:val="009A2F17"/>
    <w:rsid w:val="009A3C2B"/>
    <w:rsid w:val="009A3E04"/>
    <w:rsid w:val="009A43A5"/>
    <w:rsid w:val="009A48DB"/>
    <w:rsid w:val="009A5140"/>
    <w:rsid w:val="009A568C"/>
    <w:rsid w:val="009A5A66"/>
    <w:rsid w:val="009A6BAB"/>
    <w:rsid w:val="009A71B0"/>
    <w:rsid w:val="009A7D07"/>
    <w:rsid w:val="009B0028"/>
    <w:rsid w:val="009B0492"/>
    <w:rsid w:val="009B0A03"/>
    <w:rsid w:val="009B133D"/>
    <w:rsid w:val="009B15E7"/>
    <w:rsid w:val="009B24CB"/>
    <w:rsid w:val="009B32AF"/>
    <w:rsid w:val="009B34B7"/>
    <w:rsid w:val="009B627C"/>
    <w:rsid w:val="009B6305"/>
    <w:rsid w:val="009B66E4"/>
    <w:rsid w:val="009B6CFE"/>
    <w:rsid w:val="009B7058"/>
    <w:rsid w:val="009B7B58"/>
    <w:rsid w:val="009C003D"/>
    <w:rsid w:val="009C07D1"/>
    <w:rsid w:val="009C080D"/>
    <w:rsid w:val="009C112C"/>
    <w:rsid w:val="009C19D2"/>
    <w:rsid w:val="009C2E52"/>
    <w:rsid w:val="009C2E80"/>
    <w:rsid w:val="009C36D4"/>
    <w:rsid w:val="009C389F"/>
    <w:rsid w:val="009C3D15"/>
    <w:rsid w:val="009C418F"/>
    <w:rsid w:val="009C596A"/>
    <w:rsid w:val="009C598F"/>
    <w:rsid w:val="009C5B02"/>
    <w:rsid w:val="009C5C72"/>
    <w:rsid w:val="009C5FB2"/>
    <w:rsid w:val="009C6075"/>
    <w:rsid w:val="009C6860"/>
    <w:rsid w:val="009C6B2F"/>
    <w:rsid w:val="009C6F53"/>
    <w:rsid w:val="009C7740"/>
    <w:rsid w:val="009C7786"/>
    <w:rsid w:val="009C7C40"/>
    <w:rsid w:val="009D1562"/>
    <w:rsid w:val="009D1834"/>
    <w:rsid w:val="009D1AE1"/>
    <w:rsid w:val="009D24F5"/>
    <w:rsid w:val="009D27FD"/>
    <w:rsid w:val="009D2859"/>
    <w:rsid w:val="009D30ED"/>
    <w:rsid w:val="009D3C61"/>
    <w:rsid w:val="009D3FE8"/>
    <w:rsid w:val="009D4956"/>
    <w:rsid w:val="009D5058"/>
    <w:rsid w:val="009D5228"/>
    <w:rsid w:val="009D5255"/>
    <w:rsid w:val="009D562B"/>
    <w:rsid w:val="009D66D3"/>
    <w:rsid w:val="009D71D0"/>
    <w:rsid w:val="009E0E6B"/>
    <w:rsid w:val="009E19A3"/>
    <w:rsid w:val="009E2854"/>
    <w:rsid w:val="009E2BF5"/>
    <w:rsid w:val="009E34B0"/>
    <w:rsid w:val="009E3A58"/>
    <w:rsid w:val="009E400C"/>
    <w:rsid w:val="009E4393"/>
    <w:rsid w:val="009E4A31"/>
    <w:rsid w:val="009E4DC0"/>
    <w:rsid w:val="009E5983"/>
    <w:rsid w:val="009E61A8"/>
    <w:rsid w:val="009E6A96"/>
    <w:rsid w:val="009E79E4"/>
    <w:rsid w:val="009F068E"/>
    <w:rsid w:val="009F0F24"/>
    <w:rsid w:val="009F11DE"/>
    <w:rsid w:val="009F18A9"/>
    <w:rsid w:val="009F18B6"/>
    <w:rsid w:val="009F230B"/>
    <w:rsid w:val="009F2C5F"/>
    <w:rsid w:val="009F3480"/>
    <w:rsid w:val="009F3856"/>
    <w:rsid w:val="009F44F8"/>
    <w:rsid w:val="009F459B"/>
    <w:rsid w:val="009F478E"/>
    <w:rsid w:val="009F4BE4"/>
    <w:rsid w:val="009F6836"/>
    <w:rsid w:val="009F72A7"/>
    <w:rsid w:val="009F74E0"/>
    <w:rsid w:val="00A0029C"/>
    <w:rsid w:val="00A01253"/>
    <w:rsid w:val="00A017BA"/>
    <w:rsid w:val="00A01A01"/>
    <w:rsid w:val="00A01F84"/>
    <w:rsid w:val="00A02483"/>
    <w:rsid w:val="00A0265A"/>
    <w:rsid w:val="00A03B3D"/>
    <w:rsid w:val="00A0564C"/>
    <w:rsid w:val="00A05C4A"/>
    <w:rsid w:val="00A0757A"/>
    <w:rsid w:val="00A07A0D"/>
    <w:rsid w:val="00A105DF"/>
    <w:rsid w:val="00A1166F"/>
    <w:rsid w:val="00A11A40"/>
    <w:rsid w:val="00A128B7"/>
    <w:rsid w:val="00A133F9"/>
    <w:rsid w:val="00A13664"/>
    <w:rsid w:val="00A142EF"/>
    <w:rsid w:val="00A1565C"/>
    <w:rsid w:val="00A161DE"/>
    <w:rsid w:val="00A176DC"/>
    <w:rsid w:val="00A201EF"/>
    <w:rsid w:val="00A202BA"/>
    <w:rsid w:val="00A206CC"/>
    <w:rsid w:val="00A213AA"/>
    <w:rsid w:val="00A2168A"/>
    <w:rsid w:val="00A21C99"/>
    <w:rsid w:val="00A22F17"/>
    <w:rsid w:val="00A24B2C"/>
    <w:rsid w:val="00A24D3C"/>
    <w:rsid w:val="00A25101"/>
    <w:rsid w:val="00A26CD8"/>
    <w:rsid w:val="00A27A5D"/>
    <w:rsid w:val="00A27CE5"/>
    <w:rsid w:val="00A27F80"/>
    <w:rsid w:val="00A30683"/>
    <w:rsid w:val="00A31937"/>
    <w:rsid w:val="00A31FF9"/>
    <w:rsid w:val="00A3218B"/>
    <w:rsid w:val="00A325B4"/>
    <w:rsid w:val="00A344D8"/>
    <w:rsid w:val="00A3498C"/>
    <w:rsid w:val="00A34FFC"/>
    <w:rsid w:val="00A36002"/>
    <w:rsid w:val="00A36DFE"/>
    <w:rsid w:val="00A415A1"/>
    <w:rsid w:val="00A415ED"/>
    <w:rsid w:val="00A416AD"/>
    <w:rsid w:val="00A41C39"/>
    <w:rsid w:val="00A41CD9"/>
    <w:rsid w:val="00A42882"/>
    <w:rsid w:val="00A43522"/>
    <w:rsid w:val="00A442C2"/>
    <w:rsid w:val="00A454F3"/>
    <w:rsid w:val="00A457CE"/>
    <w:rsid w:val="00A46238"/>
    <w:rsid w:val="00A471AE"/>
    <w:rsid w:val="00A50955"/>
    <w:rsid w:val="00A50CD9"/>
    <w:rsid w:val="00A51374"/>
    <w:rsid w:val="00A546D7"/>
    <w:rsid w:val="00A54ACD"/>
    <w:rsid w:val="00A5529A"/>
    <w:rsid w:val="00A5703F"/>
    <w:rsid w:val="00A574AF"/>
    <w:rsid w:val="00A578BD"/>
    <w:rsid w:val="00A605A4"/>
    <w:rsid w:val="00A61DA1"/>
    <w:rsid w:val="00A62447"/>
    <w:rsid w:val="00A62F02"/>
    <w:rsid w:val="00A64A6F"/>
    <w:rsid w:val="00A64E93"/>
    <w:rsid w:val="00A64EAB"/>
    <w:rsid w:val="00A652E0"/>
    <w:rsid w:val="00A65480"/>
    <w:rsid w:val="00A657C8"/>
    <w:rsid w:val="00A65DCB"/>
    <w:rsid w:val="00A668D5"/>
    <w:rsid w:val="00A70011"/>
    <w:rsid w:val="00A70263"/>
    <w:rsid w:val="00A708AD"/>
    <w:rsid w:val="00A709C9"/>
    <w:rsid w:val="00A70D36"/>
    <w:rsid w:val="00A71922"/>
    <w:rsid w:val="00A728C9"/>
    <w:rsid w:val="00A72A07"/>
    <w:rsid w:val="00A72EFE"/>
    <w:rsid w:val="00A733F0"/>
    <w:rsid w:val="00A73899"/>
    <w:rsid w:val="00A742B8"/>
    <w:rsid w:val="00A74A2D"/>
    <w:rsid w:val="00A74C07"/>
    <w:rsid w:val="00A754FC"/>
    <w:rsid w:val="00A75DCB"/>
    <w:rsid w:val="00A76071"/>
    <w:rsid w:val="00A76797"/>
    <w:rsid w:val="00A76A35"/>
    <w:rsid w:val="00A76B6D"/>
    <w:rsid w:val="00A76F51"/>
    <w:rsid w:val="00A7757F"/>
    <w:rsid w:val="00A778CB"/>
    <w:rsid w:val="00A80069"/>
    <w:rsid w:val="00A802B6"/>
    <w:rsid w:val="00A804A1"/>
    <w:rsid w:val="00A8183A"/>
    <w:rsid w:val="00A81E34"/>
    <w:rsid w:val="00A8201C"/>
    <w:rsid w:val="00A8209C"/>
    <w:rsid w:val="00A82302"/>
    <w:rsid w:val="00A8286E"/>
    <w:rsid w:val="00A82F68"/>
    <w:rsid w:val="00A83590"/>
    <w:rsid w:val="00A83E78"/>
    <w:rsid w:val="00A8493A"/>
    <w:rsid w:val="00A84D5A"/>
    <w:rsid w:val="00A85189"/>
    <w:rsid w:val="00A85E87"/>
    <w:rsid w:val="00A86051"/>
    <w:rsid w:val="00A860C7"/>
    <w:rsid w:val="00A8625F"/>
    <w:rsid w:val="00A866B3"/>
    <w:rsid w:val="00A86774"/>
    <w:rsid w:val="00A87375"/>
    <w:rsid w:val="00A87AB4"/>
    <w:rsid w:val="00A87DB3"/>
    <w:rsid w:val="00A90151"/>
    <w:rsid w:val="00A90256"/>
    <w:rsid w:val="00A902F4"/>
    <w:rsid w:val="00A914D8"/>
    <w:rsid w:val="00A91551"/>
    <w:rsid w:val="00A92D66"/>
    <w:rsid w:val="00A9359B"/>
    <w:rsid w:val="00A936DF"/>
    <w:rsid w:val="00A93D62"/>
    <w:rsid w:val="00A949D5"/>
    <w:rsid w:val="00A9545C"/>
    <w:rsid w:val="00A95980"/>
    <w:rsid w:val="00A95F2E"/>
    <w:rsid w:val="00A970A6"/>
    <w:rsid w:val="00A97CDE"/>
    <w:rsid w:val="00A97FBD"/>
    <w:rsid w:val="00AA0162"/>
    <w:rsid w:val="00AA0442"/>
    <w:rsid w:val="00AA0523"/>
    <w:rsid w:val="00AA0AF4"/>
    <w:rsid w:val="00AA101C"/>
    <w:rsid w:val="00AA163B"/>
    <w:rsid w:val="00AA1BE2"/>
    <w:rsid w:val="00AA2C3A"/>
    <w:rsid w:val="00AA3290"/>
    <w:rsid w:val="00AA3569"/>
    <w:rsid w:val="00AA3DFB"/>
    <w:rsid w:val="00AA4F18"/>
    <w:rsid w:val="00AB0A89"/>
    <w:rsid w:val="00AB0FA8"/>
    <w:rsid w:val="00AB10F4"/>
    <w:rsid w:val="00AB1506"/>
    <w:rsid w:val="00AB1699"/>
    <w:rsid w:val="00AB1E58"/>
    <w:rsid w:val="00AB2D17"/>
    <w:rsid w:val="00AB34AD"/>
    <w:rsid w:val="00AB34C1"/>
    <w:rsid w:val="00AB37F4"/>
    <w:rsid w:val="00AB46E2"/>
    <w:rsid w:val="00AB53B1"/>
    <w:rsid w:val="00AB5662"/>
    <w:rsid w:val="00AB747F"/>
    <w:rsid w:val="00AC0CE4"/>
    <w:rsid w:val="00AC0E60"/>
    <w:rsid w:val="00AC1ACA"/>
    <w:rsid w:val="00AC1BE5"/>
    <w:rsid w:val="00AC1D1D"/>
    <w:rsid w:val="00AC20C1"/>
    <w:rsid w:val="00AC25C9"/>
    <w:rsid w:val="00AC2BD9"/>
    <w:rsid w:val="00AC31B3"/>
    <w:rsid w:val="00AC3468"/>
    <w:rsid w:val="00AC4F7C"/>
    <w:rsid w:val="00AC4FCE"/>
    <w:rsid w:val="00AC5250"/>
    <w:rsid w:val="00AC587D"/>
    <w:rsid w:val="00AC5F75"/>
    <w:rsid w:val="00AC5FCB"/>
    <w:rsid w:val="00AC6726"/>
    <w:rsid w:val="00AC6AF6"/>
    <w:rsid w:val="00AC7B79"/>
    <w:rsid w:val="00AC7E93"/>
    <w:rsid w:val="00AD1AA2"/>
    <w:rsid w:val="00AD1AB8"/>
    <w:rsid w:val="00AD2C75"/>
    <w:rsid w:val="00AD2FDC"/>
    <w:rsid w:val="00AD30E7"/>
    <w:rsid w:val="00AD4C25"/>
    <w:rsid w:val="00AD4D51"/>
    <w:rsid w:val="00AD4EC1"/>
    <w:rsid w:val="00AD58A8"/>
    <w:rsid w:val="00AD70B4"/>
    <w:rsid w:val="00AD7831"/>
    <w:rsid w:val="00AD7A30"/>
    <w:rsid w:val="00AD7CE7"/>
    <w:rsid w:val="00AE044E"/>
    <w:rsid w:val="00AE1244"/>
    <w:rsid w:val="00AE1B3B"/>
    <w:rsid w:val="00AE264B"/>
    <w:rsid w:val="00AE2C8E"/>
    <w:rsid w:val="00AE2F5C"/>
    <w:rsid w:val="00AE3B3F"/>
    <w:rsid w:val="00AE45E0"/>
    <w:rsid w:val="00AE4EB2"/>
    <w:rsid w:val="00AE4F3A"/>
    <w:rsid w:val="00AE528A"/>
    <w:rsid w:val="00AE63D8"/>
    <w:rsid w:val="00AE7579"/>
    <w:rsid w:val="00AF0447"/>
    <w:rsid w:val="00AF185A"/>
    <w:rsid w:val="00AF28A2"/>
    <w:rsid w:val="00AF2D4E"/>
    <w:rsid w:val="00AF3940"/>
    <w:rsid w:val="00AF3BD9"/>
    <w:rsid w:val="00AF40B6"/>
    <w:rsid w:val="00AF422A"/>
    <w:rsid w:val="00AF427C"/>
    <w:rsid w:val="00AF479F"/>
    <w:rsid w:val="00AF4EB4"/>
    <w:rsid w:val="00AF61CD"/>
    <w:rsid w:val="00AF6590"/>
    <w:rsid w:val="00AF72F0"/>
    <w:rsid w:val="00AF778F"/>
    <w:rsid w:val="00AF7D96"/>
    <w:rsid w:val="00B00A4C"/>
    <w:rsid w:val="00B0125E"/>
    <w:rsid w:val="00B015AB"/>
    <w:rsid w:val="00B0231B"/>
    <w:rsid w:val="00B02BC0"/>
    <w:rsid w:val="00B032DE"/>
    <w:rsid w:val="00B04323"/>
    <w:rsid w:val="00B044BC"/>
    <w:rsid w:val="00B04723"/>
    <w:rsid w:val="00B05024"/>
    <w:rsid w:val="00B058F1"/>
    <w:rsid w:val="00B05A88"/>
    <w:rsid w:val="00B05AA2"/>
    <w:rsid w:val="00B06602"/>
    <w:rsid w:val="00B0684A"/>
    <w:rsid w:val="00B07DC1"/>
    <w:rsid w:val="00B11BE8"/>
    <w:rsid w:val="00B11F80"/>
    <w:rsid w:val="00B132EE"/>
    <w:rsid w:val="00B14596"/>
    <w:rsid w:val="00B146B9"/>
    <w:rsid w:val="00B1525E"/>
    <w:rsid w:val="00B15A07"/>
    <w:rsid w:val="00B20A7F"/>
    <w:rsid w:val="00B21134"/>
    <w:rsid w:val="00B216EC"/>
    <w:rsid w:val="00B219F7"/>
    <w:rsid w:val="00B223BF"/>
    <w:rsid w:val="00B23258"/>
    <w:rsid w:val="00B23603"/>
    <w:rsid w:val="00B23FB8"/>
    <w:rsid w:val="00B255DD"/>
    <w:rsid w:val="00B26B98"/>
    <w:rsid w:val="00B26D8B"/>
    <w:rsid w:val="00B2780E"/>
    <w:rsid w:val="00B2783C"/>
    <w:rsid w:val="00B27D0B"/>
    <w:rsid w:val="00B30154"/>
    <w:rsid w:val="00B302FA"/>
    <w:rsid w:val="00B30484"/>
    <w:rsid w:val="00B3113F"/>
    <w:rsid w:val="00B32D6C"/>
    <w:rsid w:val="00B33672"/>
    <w:rsid w:val="00B33A0E"/>
    <w:rsid w:val="00B33EDA"/>
    <w:rsid w:val="00B34048"/>
    <w:rsid w:val="00B34493"/>
    <w:rsid w:val="00B34683"/>
    <w:rsid w:val="00B354BD"/>
    <w:rsid w:val="00B3707C"/>
    <w:rsid w:val="00B3749D"/>
    <w:rsid w:val="00B40736"/>
    <w:rsid w:val="00B40A12"/>
    <w:rsid w:val="00B40D21"/>
    <w:rsid w:val="00B4328E"/>
    <w:rsid w:val="00B4365A"/>
    <w:rsid w:val="00B4392D"/>
    <w:rsid w:val="00B43CA9"/>
    <w:rsid w:val="00B443CC"/>
    <w:rsid w:val="00B4494A"/>
    <w:rsid w:val="00B44CCA"/>
    <w:rsid w:val="00B4555F"/>
    <w:rsid w:val="00B456EB"/>
    <w:rsid w:val="00B45996"/>
    <w:rsid w:val="00B45F7B"/>
    <w:rsid w:val="00B4632F"/>
    <w:rsid w:val="00B4761D"/>
    <w:rsid w:val="00B47628"/>
    <w:rsid w:val="00B50DC1"/>
    <w:rsid w:val="00B52068"/>
    <w:rsid w:val="00B52171"/>
    <w:rsid w:val="00B5327A"/>
    <w:rsid w:val="00B53302"/>
    <w:rsid w:val="00B53575"/>
    <w:rsid w:val="00B55C0B"/>
    <w:rsid w:val="00B57115"/>
    <w:rsid w:val="00B5728E"/>
    <w:rsid w:val="00B620B4"/>
    <w:rsid w:val="00B633A3"/>
    <w:rsid w:val="00B636FF"/>
    <w:rsid w:val="00B63EDB"/>
    <w:rsid w:val="00B65212"/>
    <w:rsid w:val="00B657C7"/>
    <w:rsid w:val="00B65A7E"/>
    <w:rsid w:val="00B65B58"/>
    <w:rsid w:val="00B65DAA"/>
    <w:rsid w:val="00B667A0"/>
    <w:rsid w:val="00B66AD0"/>
    <w:rsid w:val="00B66B2F"/>
    <w:rsid w:val="00B66E34"/>
    <w:rsid w:val="00B6749A"/>
    <w:rsid w:val="00B702EC"/>
    <w:rsid w:val="00B70D6B"/>
    <w:rsid w:val="00B713E6"/>
    <w:rsid w:val="00B71B8D"/>
    <w:rsid w:val="00B720EC"/>
    <w:rsid w:val="00B723BB"/>
    <w:rsid w:val="00B72978"/>
    <w:rsid w:val="00B72B00"/>
    <w:rsid w:val="00B73A1F"/>
    <w:rsid w:val="00B74F7F"/>
    <w:rsid w:val="00B75215"/>
    <w:rsid w:val="00B75415"/>
    <w:rsid w:val="00B7590D"/>
    <w:rsid w:val="00B75B08"/>
    <w:rsid w:val="00B75D43"/>
    <w:rsid w:val="00B7663C"/>
    <w:rsid w:val="00B76B33"/>
    <w:rsid w:val="00B80675"/>
    <w:rsid w:val="00B8154E"/>
    <w:rsid w:val="00B81ACC"/>
    <w:rsid w:val="00B8214A"/>
    <w:rsid w:val="00B8481A"/>
    <w:rsid w:val="00B84869"/>
    <w:rsid w:val="00B848E1"/>
    <w:rsid w:val="00B84972"/>
    <w:rsid w:val="00B8589A"/>
    <w:rsid w:val="00B8628E"/>
    <w:rsid w:val="00B86607"/>
    <w:rsid w:val="00B87859"/>
    <w:rsid w:val="00B878A9"/>
    <w:rsid w:val="00B87A5D"/>
    <w:rsid w:val="00B87D24"/>
    <w:rsid w:val="00B91305"/>
    <w:rsid w:val="00B91D47"/>
    <w:rsid w:val="00B9202C"/>
    <w:rsid w:val="00B92090"/>
    <w:rsid w:val="00B92FAA"/>
    <w:rsid w:val="00B9324A"/>
    <w:rsid w:val="00B93D97"/>
    <w:rsid w:val="00B93DC8"/>
    <w:rsid w:val="00B94F6A"/>
    <w:rsid w:val="00B9507C"/>
    <w:rsid w:val="00B953E2"/>
    <w:rsid w:val="00B96046"/>
    <w:rsid w:val="00B962FC"/>
    <w:rsid w:val="00B966D4"/>
    <w:rsid w:val="00B96AA0"/>
    <w:rsid w:val="00B96B46"/>
    <w:rsid w:val="00B97602"/>
    <w:rsid w:val="00B97D9B"/>
    <w:rsid w:val="00BA05DC"/>
    <w:rsid w:val="00BA09FA"/>
    <w:rsid w:val="00BA0DD4"/>
    <w:rsid w:val="00BA12B9"/>
    <w:rsid w:val="00BA1AAC"/>
    <w:rsid w:val="00BA218D"/>
    <w:rsid w:val="00BA2467"/>
    <w:rsid w:val="00BA3CB8"/>
    <w:rsid w:val="00BA4DDF"/>
    <w:rsid w:val="00BA577A"/>
    <w:rsid w:val="00BA5A45"/>
    <w:rsid w:val="00BA6596"/>
    <w:rsid w:val="00BA65C2"/>
    <w:rsid w:val="00BA6822"/>
    <w:rsid w:val="00BA6921"/>
    <w:rsid w:val="00BA6E16"/>
    <w:rsid w:val="00BA7623"/>
    <w:rsid w:val="00BB0051"/>
    <w:rsid w:val="00BB02D7"/>
    <w:rsid w:val="00BB0A6D"/>
    <w:rsid w:val="00BB34FA"/>
    <w:rsid w:val="00BB42A9"/>
    <w:rsid w:val="00BB46FD"/>
    <w:rsid w:val="00BB4B10"/>
    <w:rsid w:val="00BB4EC9"/>
    <w:rsid w:val="00BB57E6"/>
    <w:rsid w:val="00BB7119"/>
    <w:rsid w:val="00BC04E0"/>
    <w:rsid w:val="00BC0DCE"/>
    <w:rsid w:val="00BC11F6"/>
    <w:rsid w:val="00BC127C"/>
    <w:rsid w:val="00BC1514"/>
    <w:rsid w:val="00BC18F5"/>
    <w:rsid w:val="00BC1D4A"/>
    <w:rsid w:val="00BC1FC6"/>
    <w:rsid w:val="00BC219C"/>
    <w:rsid w:val="00BC24F0"/>
    <w:rsid w:val="00BC27DF"/>
    <w:rsid w:val="00BC2C29"/>
    <w:rsid w:val="00BC3C13"/>
    <w:rsid w:val="00BC3EF3"/>
    <w:rsid w:val="00BC4C39"/>
    <w:rsid w:val="00BC56A4"/>
    <w:rsid w:val="00BC6606"/>
    <w:rsid w:val="00BC6A2E"/>
    <w:rsid w:val="00BC6BF1"/>
    <w:rsid w:val="00BC6F93"/>
    <w:rsid w:val="00BC7C1B"/>
    <w:rsid w:val="00BC7DEE"/>
    <w:rsid w:val="00BD063F"/>
    <w:rsid w:val="00BD07D8"/>
    <w:rsid w:val="00BD11FD"/>
    <w:rsid w:val="00BD13B8"/>
    <w:rsid w:val="00BD16A7"/>
    <w:rsid w:val="00BD190D"/>
    <w:rsid w:val="00BD1D33"/>
    <w:rsid w:val="00BD1ED8"/>
    <w:rsid w:val="00BD22BF"/>
    <w:rsid w:val="00BD2502"/>
    <w:rsid w:val="00BD4F57"/>
    <w:rsid w:val="00BD53B7"/>
    <w:rsid w:val="00BD5E11"/>
    <w:rsid w:val="00BD6633"/>
    <w:rsid w:val="00BE004E"/>
    <w:rsid w:val="00BE03A1"/>
    <w:rsid w:val="00BE0751"/>
    <w:rsid w:val="00BE18B4"/>
    <w:rsid w:val="00BE1AB2"/>
    <w:rsid w:val="00BE1EED"/>
    <w:rsid w:val="00BE2E8B"/>
    <w:rsid w:val="00BE37C1"/>
    <w:rsid w:val="00BE39BA"/>
    <w:rsid w:val="00BE3C96"/>
    <w:rsid w:val="00BE3ECA"/>
    <w:rsid w:val="00BE4209"/>
    <w:rsid w:val="00BE44E2"/>
    <w:rsid w:val="00BE5525"/>
    <w:rsid w:val="00BE63D5"/>
    <w:rsid w:val="00BE6F6B"/>
    <w:rsid w:val="00BF0EF2"/>
    <w:rsid w:val="00BF0F7F"/>
    <w:rsid w:val="00BF11A0"/>
    <w:rsid w:val="00BF19E8"/>
    <w:rsid w:val="00BF1B5B"/>
    <w:rsid w:val="00BF1D5E"/>
    <w:rsid w:val="00BF1F75"/>
    <w:rsid w:val="00BF3A67"/>
    <w:rsid w:val="00BF3B50"/>
    <w:rsid w:val="00BF3BEE"/>
    <w:rsid w:val="00BF3CEB"/>
    <w:rsid w:val="00BF48B1"/>
    <w:rsid w:val="00BF5104"/>
    <w:rsid w:val="00BF513E"/>
    <w:rsid w:val="00BF57AD"/>
    <w:rsid w:val="00BF5A4B"/>
    <w:rsid w:val="00BF5EC5"/>
    <w:rsid w:val="00BF68C8"/>
    <w:rsid w:val="00BF7053"/>
    <w:rsid w:val="00BF70C0"/>
    <w:rsid w:val="00BF7D99"/>
    <w:rsid w:val="00C003C3"/>
    <w:rsid w:val="00C00B15"/>
    <w:rsid w:val="00C016A3"/>
    <w:rsid w:val="00C01E68"/>
    <w:rsid w:val="00C02E17"/>
    <w:rsid w:val="00C041B5"/>
    <w:rsid w:val="00C047D1"/>
    <w:rsid w:val="00C04B9F"/>
    <w:rsid w:val="00C04E87"/>
    <w:rsid w:val="00C0536A"/>
    <w:rsid w:val="00C1027C"/>
    <w:rsid w:val="00C10337"/>
    <w:rsid w:val="00C10A62"/>
    <w:rsid w:val="00C10E2B"/>
    <w:rsid w:val="00C11924"/>
    <w:rsid w:val="00C11CEB"/>
    <w:rsid w:val="00C13DB4"/>
    <w:rsid w:val="00C14016"/>
    <w:rsid w:val="00C154D8"/>
    <w:rsid w:val="00C15C25"/>
    <w:rsid w:val="00C164E4"/>
    <w:rsid w:val="00C166B8"/>
    <w:rsid w:val="00C1784C"/>
    <w:rsid w:val="00C17B40"/>
    <w:rsid w:val="00C20232"/>
    <w:rsid w:val="00C20595"/>
    <w:rsid w:val="00C208CF"/>
    <w:rsid w:val="00C20A88"/>
    <w:rsid w:val="00C20BA8"/>
    <w:rsid w:val="00C20BB3"/>
    <w:rsid w:val="00C2122A"/>
    <w:rsid w:val="00C221A0"/>
    <w:rsid w:val="00C22B71"/>
    <w:rsid w:val="00C22F9C"/>
    <w:rsid w:val="00C2304E"/>
    <w:rsid w:val="00C23327"/>
    <w:rsid w:val="00C23352"/>
    <w:rsid w:val="00C23389"/>
    <w:rsid w:val="00C23399"/>
    <w:rsid w:val="00C238D1"/>
    <w:rsid w:val="00C24857"/>
    <w:rsid w:val="00C24903"/>
    <w:rsid w:val="00C255AD"/>
    <w:rsid w:val="00C259E0"/>
    <w:rsid w:val="00C25C46"/>
    <w:rsid w:val="00C26E28"/>
    <w:rsid w:val="00C27617"/>
    <w:rsid w:val="00C277AE"/>
    <w:rsid w:val="00C3078B"/>
    <w:rsid w:val="00C309E4"/>
    <w:rsid w:val="00C31729"/>
    <w:rsid w:val="00C31E23"/>
    <w:rsid w:val="00C323EA"/>
    <w:rsid w:val="00C326F9"/>
    <w:rsid w:val="00C32AE7"/>
    <w:rsid w:val="00C32B90"/>
    <w:rsid w:val="00C34599"/>
    <w:rsid w:val="00C34843"/>
    <w:rsid w:val="00C34B27"/>
    <w:rsid w:val="00C34E39"/>
    <w:rsid w:val="00C359AF"/>
    <w:rsid w:val="00C3616F"/>
    <w:rsid w:val="00C36308"/>
    <w:rsid w:val="00C3679D"/>
    <w:rsid w:val="00C36C46"/>
    <w:rsid w:val="00C36FFC"/>
    <w:rsid w:val="00C37176"/>
    <w:rsid w:val="00C3759F"/>
    <w:rsid w:val="00C3766B"/>
    <w:rsid w:val="00C37919"/>
    <w:rsid w:val="00C37A29"/>
    <w:rsid w:val="00C403D2"/>
    <w:rsid w:val="00C40956"/>
    <w:rsid w:val="00C414F2"/>
    <w:rsid w:val="00C42562"/>
    <w:rsid w:val="00C42C49"/>
    <w:rsid w:val="00C42D17"/>
    <w:rsid w:val="00C43D46"/>
    <w:rsid w:val="00C44031"/>
    <w:rsid w:val="00C446CA"/>
    <w:rsid w:val="00C45592"/>
    <w:rsid w:val="00C459CF"/>
    <w:rsid w:val="00C45DA5"/>
    <w:rsid w:val="00C46DB2"/>
    <w:rsid w:val="00C47F1B"/>
    <w:rsid w:val="00C501E7"/>
    <w:rsid w:val="00C5030D"/>
    <w:rsid w:val="00C50403"/>
    <w:rsid w:val="00C50683"/>
    <w:rsid w:val="00C50781"/>
    <w:rsid w:val="00C510BE"/>
    <w:rsid w:val="00C52A6E"/>
    <w:rsid w:val="00C52ED1"/>
    <w:rsid w:val="00C53CD2"/>
    <w:rsid w:val="00C54A62"/>
    <w:rsid w:val="00C5510C"/>
    <w:rsid w:val="00C553E6"/>
    <w:rsid w:val="00C577F9"/>
    <w:rsid w:val="00C6018D"/>
    <w:rsid w:val="00C6066E"/>
    <w:rsid w:val="00C607F7"/>
    <w:rsid w:val="00C611FF"/>
    <w:rsid w:val="00C625CF"/>
    <w:rsid w:val="00C6268D"/>
    <w:rsid w:val="00C62E5F"/>
    <w:rsid w:val="00C62F4C"/>
    <w:rsid w:val="00C63742"/>
    <w:rsid w:val="00C637D0"/>
    <w:rsid w:val="00C65083"/>
    <w:rsid w:val="00C65A41"/>
    <w:rsid w:val="00C65AD8"/>
    <w:rsid w:val="00C65E02"/>
    <w:rsid w:val="00C66728"/>
    <w:rsid w:val="00C66740"/>
    <w:rsid w:val="00C66AEB"/>
    <w:rsid w:val="00C66D0D"/>
    <w:rsid w:val="00C700C9"/>
    <w:rsid w:val="00C70626"/>
    <w:rsid w:val="00C70D80"/>
    <w:rsid w:val="00C70EFC"/>
    <w:rsid w:val="00C71688"/>
    <w:rsid w:val="00C71C3B"/>
    <w:rsid w:val="00C737D9"/>
    <w:rsid w:val="00C73DDA"/>
    <w:rsid w:val="00C7470B"/>
    <w:rsid w:val="00C74F2E"/>
    <w:rsid w:val="00C755F0"/>
    <w:rsid w:val="00C75C56"/>
    <w:rsid w:val="00C76014"/>
    <w:rsid w:val="00C7652A"/>
    <w:rsid w:val="00C7671D"/>
    <w:rsid w:val="00C76B7C"/>
    <w:rsid w:val="00C76CA4"/>
    <w:rsid w:val="00C76EB3"/>
    <w:rsid w:val="00C7771C"/>
    <w:rsid w:val="00C804CA"/>
    <w:rsid w:val="00C806B4"/>
    <w:rsid w:val="00C80AF5"/>
    <w:rsid w:val="00C827A5"/>
    <w:rsid w:val="00C8293B"/>
    <w:rsid w:val="00C82A28"/>
    <w:rsid w:val="00C82C44"/>
    <w:rsid w:val="00C83208"/>
    <w:rsid w:val="00C83BD3"/>
    <w:rsid w:val="00C84A5A"/>
    <w:rsid w:val="00C84CA2"/>
    <w:rsid w:val="00C852FA"/>
    <w:rsid w:val="00C858E4"/>
    <w:rsid w:val="00C85CB6"/>
    <w:rsid w:val="00C86866"/>
    <w:rsid w:val="00C87523"/>
    <w:rsid w:val="00C87A55"/>
    <w:rsid w:val="00C87F2F"/>
    <w:rsid w:val="00C901BC"/>
    <w:rsid w:val="00C90577"/>
    <w:rsid w:val="00C90D74"/>
    <w:rsid w:val="00C9177B"/>
    <w:rsid w:val="00C9199D"/>
    <w:rsid w:val="00C92116"/>
    <w:rsid w:val="00C92183"/>
    <w:rsid w:val="00C9294C"/>
    <w:rsid w:val="00C932F3"/>
    <w:rsid w:val="00C9378E"/>
    <w:rsid w:val="00C937EA"/>
    <w:rsid w:val="00C93981"/>
    <w:rsid w:val="00C93F2C"/>
    <w:rsid w:val="00C946D7"/>
    <w:rsid w:val="00C94C52"/>
    <w:rsid w:val="00C95DCD"/>
    <w:rsid w:val="00C95EFD"/>
    <w:rsid w:val="00C961A2"/>
    <w:rsid w:val="00C9654B"/>
    <w:rsid w:val="00C9660A"/>
    <w:rsid w:val="00C9674A"/>
    <w:rsid w:val="00C96814"/>
    <w:rsid w:val="00C97152"/>
    <w:rsid w:val="00C97154"/>
    <w:rsid w:val="00CA04DF"/>
    <w:rsid w:val="00CA0B3F"/>
    <w:rsid w:val="00CA0BE6"/>
    <w:rsid w:val="00CA0F11"/>
    <w:rsid w:val="00CA1810"/>
    <w:rsid w:val="00CA2AEB"/>
    <w:rsid w:val="00CA2D6E"/>
    <w:rsid w:val="00CA3528"/>
    <w:rsid w:val="00CA3619"/>
    <w:rsid w:val="00CA4140"/>
    <w:rsid w:val="00CA4502"/>
    <w:rsid w:val="00CA6CC8"/>
    <w:rsid w:val="00CA7483"/>
    <w:rsid w:val="00CA7531"/>
    <w:rsid w:val="00CA7C3B"/>
    <w:rsid w:val="00CB0B37"/>
    <w:rsid w:val="00CB0CE9"/>
    <w:rsid w:val="00CB140F"/>
    <w:rsid w:val="00CB1F09"/>
    <w:rsid w:val="00CB1FC6"/>
    <w:rsid w:val="00CB271A"/>
    <w:rsid w:val="00CB27E3"/>
    <w:rsid w:val="00CB2966"/>
    <w:rsid w:val="00CB2E13"/>
    <w:rsid w:val="00CB34F5"/>
    <w:rsid w:val="00CB4433"/>
    <w:rsid w:val="00CB4F2C"/>
    <w:rsid w:val="00CB50F0"/>
    <w:rsid w:val="00CB604B"/>
    <w:rsid w:val="00CB613E"/>
    <w:rsid w:val="00CC0C15"/>
    <w:rsid w:val="00CC1410"/>
    <w:rsid w:val="00CC159C"/>
    <w:rsid w:val="00CC15F1"/>
    <w:rsid w:val="00CC1DA2"/>
    <w:rsid w:val="00CC2398"/>
    <w:rsid w:val="00CC2DFA"/>
    <w:rsid w:val="00CC2F91"/>
    <w:rsid w:val="00CC35D6"/>
    <w:rsid w:val="00CC3BCC"/>
    <w:rsid w:val="00CC3DE4"/>
    <w:rsid w:val="00CC459B"/>
    <w:rsid w:val="00CC556C"/>
    <w:rsid w:val="00CC594B"/>
    <w:rsid w:val="00CC5DD1"/>
    <w:rsid w:val="00CC5F5B"/>
    <w:rsid w:val="00CC681C"/>
    <w:rsid w:val="00CC7205"/>
    <w:rsid w:val="00CC722D"/>
    <w:rsid w:val="00CC781A"/>
    <w:rsid w:val="00CC7E5A"/>
    <w:rsid w:val="00CD06BB"/>
    <w:rsid w:val="00CD0ECA"/>
    <w:rsid w:val="00CD1044"/>
    <w:rsid w:val="00CD1166"/>
    <w:rsid w:val="00CD13DF"/>
    <w:rsid w:val="00CD1507"/>
    <w:rsid w:val="00CD17AE"/>
    <w:rsid w:val="00CD1D4D"/>
    <w:rsid w:val="00CD3AD6"/>
    <w:rsid w:val="00CD3F26"/>
    <w:rsid w:val="00CD457E"/>
    <w:rsid w:val="00CD45B1"/>
    <w:rsid w:val="00CD4B36"/>
    <w:rsid w:val="00CD61EB"/>
    <w:rsid w:val="00CD6983"/>
    <w:rsid w:val="00CD797D"/>
    <w:rsid w:val="00CD7F44"/>
    <w:rsid w:val="00CE0F8E"/>
    <w:rsid w:val="00CE2CA5"/>
    <w:rsid w:val="00CE3A64"/>
    <w:rsid w:val="00CE4060"/>
    <w:rsid w:val="00CE4219"/>
    <w:rsid w:val="00CE43AF"/>
    <w:rsid w:val="00CE4D3A"/>
    <w:rsid w:val="00CE511B"/>
    <w:rsid w:val="00CE589C"/>
    <w:rsid w:val="00CE5AEA"/>
    <w:rsid w:val="00CE5FF3"/>
    <w:rsid w:val="00CE64BA"/>
    <w:rsid w:val="00CE64FD"/>
    <w:rsid w:val="00CE6C13"/>
    <w:rsid w:val="00CE710E"/>
    <w:rsid w:val="00CE7236"/>
    <w:rsid w:val="00CF02F0"/>
    <w:rsid w:val="00CF1235"/>
    <w:rsid w:val="00CF19D6"/>
    <w:rsid w:val="00CF3650"/>
    <w:rsid w:val="00CF43C6"/>
    <w:rsid w:val="00CF4A9F"/>
    <w:rsid w:val="00CF4BA3"/>
    <w:rsid w:val="00CF4BC6"/>
    <w:rsid w:val="00CF5251"/>
    <w:rsid w:val="00CF531A"/>
    <w:rsid w:val="00CF6E85"/>
    <w:rsid w:val="00CF72F0"/>
    <w:rsid w:val="00CF7344"/>
    <w:rsid w:val="00CF7F06"/>
    <w:rsid w:val="00D00E4E"/>
    <w:rsid w:val="00D0133A"/>
    <w:rsid w:val="00D01615"/>
    <w:rsid w:val="00D02433"/>
    <w:rsid w:val="00D026A0"/>
    <w:rsid w:val="00D033E3"/>
    <w:rsid w:val="00D0352E"/>
    <w:rsid w:val="00D0494D"/>
    <w:rsid w:val="00D04994"/>
    <w:rsid w:val="00D052BA"/>
    <w:rsid w:val="00D0552F"/>
    <w:rsid w:val="00D05712"/>
    <w:rsid w:val="00D05CFD"/>
    <w:rsid w:val="00D05FC5"/>
    <w:rsid w:val="00D064E1"/>
    <w:rsid w:val="00D06E05"/>
    <w:rsid w:val="00D0704D"/>
    <w:rsid w:val="00D07C40"/>
    <w:rsid w:val="00D07DF2"/>
    <w:rsid w:val="00D10F14"/>
    <w:rsid w:val="00D112C6"/>
    <w:rsid w:val="00D11974"/>
    <w:rsid w:val="00D13312"/>
    <w:rsid w:val="00D136F0"/>
    <w:rsid w:val="00D14957"/>
    <w:rsid w:val="00D14987"/>
    <w:rsid w:val="00D14B07"/>
    <w:rsid w:val="00D14DE5"/>
    <w:rsid w:val="00D14E4B"/>
    <w:rsid w:val="00D14F50"/>
    <w:rsid w:val="00D15113"/>
    <w:rsid w:val="00D1558D"/>
    <w:rsid w:val="00D15855"/>
    <w:rsid w:val="00D15B7C"/>
    <w:rsid w:val="00D15B7D"/>
    <w:rsid w:val="00D15EF2"/>
    <w:rsid w:val="00D16B07"/>
    <w:rsid w:val="00D16F74"/>
    <w:rsid w:val="00D176C5"/>
    <w:rsid w:val="00D17968"/>
    <w:rsid w:val="00D2068D"/>
    <w:rsid w:val="00D2085F"/>
    <w:rsid w:val="00D2119D"/>
    <w:rsid w:val="00D21207"/>
    <w:rsid w:val="00D21DC8"/>
    <w:rsid w:val="00D22D2A"/>
    <w:rsid w:val="00D23018"/>
    <w:rsid w:val="00D231B4"/>
    <w:rsid w:val="00D23225"/>
    <w:rsid w:val="00D23B66"/>
    <w:rsid w:val="00D23BE2"/>
    <w:rsid w:val="00D23E87"/>
    <w:rsid w:val="00D24607"/>
    <w:rsid w:val="00D24D7D"/>
    <w:rsid w:val="00D2710A"/>
    <w:rsid w:val="00D27DC0"/>
    <w:rsid w:val="00D305D0"/>
    <w:rsid w:val="00D30791"/>
    <w:rsid w:val="00D310A9"/>
    <w:rsid w:val="00D31E3E"/>
    <w:rsid w:val="00D32881"/>
    <w:rsid w:val="00D330CA"/>
    <w:rsid w:val="00D3316D"/>
    <w:rsid w:val="00D33AD2"/>
    <w:rsid w:val="00D34466"/>
    <w:rsid w:val="00D3522C"/>
    <w:rsid w:val="00D35B28"/>
    <w:rsid w:val="00D35DA5"/>
    <w:rsid w:val="00D367F7"/>
    <w:rsid w:val="00D36954"/>
    <w:rsid w:val="00D36CC6"/>
    <w:rsid w:val="00D36D51"/>
    <w:rsid w:val="00D36E32"/>
    <w:rsid w:val="00D37732"/>
    <w:rsid w:val="00D37882"/>
    <w:rsid w:val="00D37E5A"/>
    <w:rsid w:val="00D412AF"/>
    <w:rsid w:val="00D41DDC"/>
    <w:rsid w:val="00D41EE6"/>
    <w:rsid w:val="00D42B93"/>
    <w:rsid w:val="00D44BBD"/>
    <w:rsid w:val="00D460EB"/>
    <w:rsid w:val="00D4650E"/>
    <w:rsid w:val="00D46FD9"/>
    <w:rsid w:val="00D5048D"/>
    <w:rsid w:val="00D506E9"/>
    <w:rsid w:val="00D50DE2"/>
    <w:rsid w:val="00D50EAB"/>
    <w:rsid w:val="00D50EAD"/>
    <w:rsid w:val="00D51505"/>
    <w:rsid w:val="00D51AB9"/>
    <w:rsid w:val="00D521AF"/>
    <w:rsid w:val="00D52550"/>
    <w:rsid w:val="00D52866"/>
    <w:rsid w:val="00D533A6"/>
    <w:rsid w:val="00D55417"/>
    <w:rsid w:val="00D56ABD"/>
    <w:rsid w:val="00D56C0C"/>
    <w:rsid w:val="00D56ED5"/>
    <w:rsid w:val="00D5743C"/>
    <w:rsid w:val="00D577DB"/>
    <w:rsid w:val="00D57ABA"/>
    <w:rsid w:val="00D60649"/>
    <w:rsid w:val="00D60D1B"/>
    <w:rsid w:val="00D61403"/>
    <w:rsid w:val="00D61ADC"/>
    <w:rsid w:val="00D61E88"/>
    <w:rsid w:val="00D61FBA"/>
    <w:rsid w:val="00D62241"/>
    <w:rsid w:val="00D628E4"/>
    <w:rsid w:val="00D629AF"/>
    <w:rsid w:val="00D633F6"/>
    <w:rsid w:val="00D647F4"/>
    <w:rsid w:val="00D653E8"/>
    <w:rsid w:val="00D65443"/>
    <w:rsid w:val="00D65628"/>
    <w:rsid w:val="00D6650A"/>
    <w:rsid w:val="00D6667A"/>
    <w:rsid w:val="00D668D7"/>
    <w:rsid w:val="00D66F16"/>
    <w:rsid w:val="00D701D4"/>
    <w:rsid w:val="00D71154"/>
    <w:rsid w:val="00D71325"/>
    <w:rsid w:val="00D71CF8"/>
    <w:rsid w:val="00D72324"/>
    <w:rsid w:val="00D723D4"/>
    <w:rsid w:val="00D72936"/>
    <w:rsid w:val="00D72F0A"/>
    <w:rsid w:val="00D738C7"/>
    <w:rsid w:val="00D7404B"/>
    <w:rsid w:val="00D74695"/>
    <w:rsid w:val="00D74AB5"/>
    <w:rsid w:val="00D762D0"/>
    <w:rsid w:val="00D76613"/>
    <w:rsid w:val="00D76DBE"/>
    <w:rsid w:val="00D76E06"/>
    <w:rsid w:val="00D7703E"/>
    <w:rsid w:val="00D80124"/>
    <w:rsid w:val="00D80702"/>
    <w:rsid w:val="00D81140"/>
    <w:rsid w:val="00D81785"/>
    <w:rsid w:val="00D81D77"/>
    <w:rsid w:val="00D8271E"/>
    <w:rsid w:val="00D83923"/>
    <w:rsid w:val="00D83C1E"/>
    <w:rsid w:val="00D83C4D"/>
    <w:rsid w:val="00D85DBC"/>
    <w:rsid w:val="00D85F1D"/>
    <w:rsid w:val="00D85F45"/>
    <w:rsid w:val="00D86F92"/>
    <w:rsid w:val="00D87A71"/>
    <w:rsid w:val="00D87CBC"/>
    <w:rsid w:val="00D91198"/>
    <w:rsid w:val="00D930B8"/>
    <w:rsid w:val="00D936AE"/>
    <w:rsid w:val="00D93702"/>
    <w:rsid w:val="00D93798"/>
    <w:rsid w:val="00D9419D"/>
    <w:rsid w:val="00D941E1"/>
    <w:rsid w:val="00D9483F"/>
    <w:rsid w:val="00D95182"/>
    <w:rsid w:val="00D95737"/>
    <w:rsid w:val="00D96033"/>
    <w:rsid w:val="00D9633F"/>
    <w:rsid w:val="00D96F65"/>
    <w:rsid w:val="00D971C5"/>
    <w:rsid w:val="00DA136C"/>
    <w:rsid w:val="00DA2C57"/>
    <w:rsid w:val="00DA3017"/>
    <w:rsid w:val="00DA3381"/>
    <w:rsid w:val="00DA3696"/>
    <w:rsid w:val="00DA4179"/>
    <w:rsid w:val="00DA42FF"/>
    <w:rsid w:val="00DA4E34"/>
    <w:rsid w:val="00DA4F01"/>
    <w:rsid w:val="00DA518A"/>
    <w:rsid w:val="00DA5484"/>
    <w:rsid w:val="00DA5A08"/>
    <w:rsid w:val="00DA5D25"/>
    <w:rsid w:val="00DA5E7D"/>
    <w:rsid w:val="00DA5F29"/>
    <w:rsid w:val="00DA60FF"/>
    <w:rsid w:val="00DA625C"/>
    <w:rsid w:val="00DA70FF"/>
    <w:rsid w:val="00DA7166"/>
    <w:rsid w:val="00DA79AA"/>
    <w:rsid w:val="00DB0F3A"/>
    <w:rsid w:val="00DB115F"/>
    <w:rsid w:val="00DB1BAA"/>
    <w:rsid w:val="00DB1D1B"/>
    <w:rsid w:val="00DB26AE"/>
    <w:rsid w:val="00DB41D5"/>
    <w:rsid w:val="00DB48B3"/>
    <w:rsid w:val="00DB6431"/>
    <w:rsid w:val="00DB68AE"/>
    <w:rsid w:val="00DB6DA5"/>
    <w:rsid w:val="00DB7AA3"/>
    <w:rsid w:val="00DB7D76"/>
    <w:rsid w:val="00DB7E8D"/>
    <w:rsid w:val="00DC03A5"/>
    <w:rsid w:val="00DC0B95"/>
    <w:rsid w:val="00DC0C10"/>
    <w:rsid w:val="00DC1012"/>
    <w:rsid w:val="00DC10A9"/>
    <w:rsid w:val="00DC18D8"/>
    <w:rsid w:val="00DC1A36"/>
    <w:rsid w:val="00DC1B37"/>
    <w:rsid w:val="00DC231D"/>
    <w:rsid w:val="00DC25B8"/>
    <w:rsid w:val="00DC49B4"/>
    <w:rsid w:val="00DC5B0B"/>
    <w:rsid w:val="00DC5DFF"/>
    <w:rsid w:val="00DC63D9"/>
    <w:rsid w:val="00DC705C"/>
    <w:rsid w:val="00DC74CB"/>
    <w:rsid w:val="00DD0946"/>
    <w:rsid w:val="00DD134A"/>
    <w:rsid w:val="00DD1375"/>
    <w:rsid w:val="00DD2491"/>
    <w:rsid w:val="00DD2798"/>
    <w:rsid w:val="00DD29D8"/>
    <w:rsid w:val="00DD349B"/>
    <w:rsid w:val="00DD36C0"/>
    <w:rsid w:val="00DD495D"/>
    <w:rsid w:val="00DD6473"/>
    <w:rsid w:val="00DD6939"/>
    <w:rsid w:val="00DD6C3D"/>
    <w:rsid w:val="00DD6F25"/>
    <w:rsid w:val="00DE0FE4"/>
    <w:rsid w:val="00DE1AC4"/>
    <w:rsid w:val="00DE24F2"/>
    <w:rsid w:val="00DE38D3"/>
    <w:rsid w:val="00DE46B2"/>
    <w:rsid w:val="00DE4EF2"/>
    <w:rsid w:val="00DE550D"/>
    <w:rsid w:val="00DE5B87"/>
    <w:rsid w:val="00DE6817"/>
    <w:rsid w:val="00DE6930"/>
    <w:rsid w:val="00DE6A1B"/>
    <w:rsid w:val="00DE6AA3"/>
    <w:rsid w:val="00DE72E8"/>
    <w:rsid w:val="00DF01C8"/>
    <w:rsid w:val="00DF04F8"/>
    <w:rsid w:val="00DF051E"/>
    <w:rsid w:val="00DF091B"/>
    <w:rsid w:val="00DF156A"/>
    <w:rsid w:val="00DF1CBD"/>
    <w:rsid w:val="00DF1FA0"/>
    <w:rsid w:val="00DF1FC2"/>
    <w:rsid w:val="00DF4E3E"/>
    <w:rsid w:val="00DF57D9"/>
    <w:rsid w:val="00DF60B9"/>
    <w:rsid w:val="00DF60CF"/>
    <w:rsid w:val="00DF63B7"/>
    <w:rsid w:val="00DF6586"/>
    <w:rsid w:val="00DF6A42"/>
    <w:rsid w:val="00DF7137"/>
    <w:rsid w:val="00DF7DB3"/>
    <w:rsid w:val="00E00C9E"/>
    <w:rsid w:val="00E00CA0"/>
    <w:rsid w:val="00E010AB"/>
    <w:rsid w:val="00E010CD"/>
    <w:rsid w:val="00E01194"/>
    <w:rsid w:val="00E0168C"/>
    <w:rsid w:val="00E018F9"/>
    <w:rsid w:val="00E01A80"/>
    <w:rsid w:val="00E02794"/>
    <w:rsid w:val="00E03957"/>
    <w:rsid w:val="00E03A0B"/>
    <w:rsid w:val="00E03CC0"/>
    <w:rsid w:val="00E03F3E"/>
    <w:rsid w:val="00E0453D"/>
    <w:rsid w:val="00E0460C"/>
    <w:rsid w:val="00E049A7"/>
    <w:rsid w:val="00E04DD3"/>
    <w:rsid w:val="00E04FA7"/>
    <w:rsid w:val="00E05282"/>
    <w:rsid w:val="00E05D06"/>
    <w:rsid w:val="00E05DDE"/>
    <w:rsid w:val="00E05E9A"/>
    <w:rsid w:val="00E05F17"/>
    <w:rsid w:val="00E05F7A"/>
    <w:rsid w:val="00E05FA6"/>
    <w:rsid w:val="00E06246"/>
    <w:rsid w:val="00E066DE"/>
    <w:rsid w:val="00E07A54"/>
    <w:rsid w:val="00E113AB"/>
    <w:rsid w:val="00E114CF"/>
    <w:rsid w:val="00E115D0"/>
    <w:rsid w:val="00E1162F"/>
    <w:rsid w:val="00E1224D"/>
    <w:rsid w:val="00E122AD"/>
    <w:rsid w:val="00E123A5"/>
    <w:rsid w:val="00E12812"/>
    <w:rsid w:val="00E1291B"/>
    <w:rsid w:val="00E135E7"/>
    <w:rsid w:val="00E15A2F"/>
    <w:rsid w:val="00E166A3"/>
    <w:rsid w:val="00E1684C"/>
    <w:rsid w:val="00E1690B"/>
    <w:rsid w:val="00E169B7"/>
    <w:rsid w:val="00E170A3"/>
    <w:rsid w:val="00E1771C"/>
    <w:rsid w:val="00E17861"/>
    <w:rsid w:val="00E1790F"/>
    <w:rsid w:val="00E20351"/>
    <w:rsid w:val="00E20787"/>
    <w:rsid w:val="00E213DA"/>
    <w:rsid w:val="00E22757"/>
    <w:rsid w:val="00E23610"/>
    <w:rsid w:val="00E23CB8"/>
    <w:rsid w:val="00E25474"/>
    <w:rsid w:val="00E2549B"/>
    <w:rsid w:val="00E26515"/>
    <w:rsid w:val="00E266BE"/>
    <w:rsid w:val="00E26E1C"/>
    <w:rsid w:val="00E274C0"/>
    <w:rsid w:val="00E27587"/>
    <w:rsid w:val="00E27CCE"/>
    <w:rsid w:val="00E27D82"/>
    <w:rsid w:val="00E30808"/>
    <w:rsid w:val="00E30AD6"/>
    <w:rsid w:val="00E32207"/>
    <w:rsid w:val="00E324DF"/>
    <w:rsid w:val="00E32EE5"/>
    <w:rsid w:val="00E32F93"/>
    <w:rsid w:val="00E330EA"/>
    <w:rsid w:val="00E33256"/>
    <w:rsid w:val="00E33532"/>
    <w:rsid w:val="00E346E8"/>
    <w:rsid w:val="00E34B27"/>
    <w:rsid w:val="00E354D9"/>
    <w:rsid w:val="00E354F4"/>
    <w:rsid w:val="00E366D7"/>
    <w:rsid w:val="00E3691F"/>
    <w:rsid w:val="00E3702B"/>
    <w:rsid w:val="00E371EB"/>
    <w:rsid w:val="00E37449"/>
    <w:rsid w:val="00E379F7"/>
    <w:rsid w:val="00E37D9E"/>
    <w:rsid w:val="00E4092D"/>
    <w:rsid w:val="00E40C35"/>
    <w:rsid w:val="00E40EA5"/>
    <w:rsid w:val="00E42779"/>
    <w:rsid w:val="00E4389D"/>
    <w:rsid w:val="00E44763"/>
    <w:rsid w:val="00E4545C"/>
    <w:rsid w:val="00E46759"/>
    <w:rsid w:val="00E469AC"/>
    <w:rsid w:val="00E4702B"/>
    <w:rsid w:val="00E47107"/>
    <w:rsid w:val="00E47C3E"/>
    <w:rsid w:val="00E50FE9"/>
    <w:rsid w:val="00E51256"/>
    <w:rsid w:val="00E52116"/>
    <w:rsid w:val="00E528A7"/>
    <w:rsid w:val="00E536EE"/>
    <w:rsid w:val="00E537B3"/>
    <w:rsid w:val="00E53B1F"/>
    <w:rsid w:val="00E53D90"/>
    <w:rsid w:val="00E54ACD"/>
    <w:rsid w:val="00E54B2B"/>
    <w:rsid w:val="00E55C40"/>
    <w:rsid w:val="00E56066"/>
    <w:rsid w:val="00E560D2"/>
    <w:rsid w:val="00E56445"/>
    <w:rsid w:val="00E5668E"/>
    <w:rsid w:val="00E56A47"/>
    <w:rsid w:val="00E57E70"/>
    <w:rsid w:val="00E57F1D"/>
    <w:rsid w:val="00E60807"/>
    <w:rsid w:val="00E61632"/>
    <w:rsid w:val="00E6173A"/>
    <w:rsid w:val="00E62433"/>
    <w:rsid w:val="00E62A40"/>
    <w:rsid w:val="00E62F5B"/>
    <w:rsid w:val="00E63462"/>
    <w:rsid w:val="00E6360A"/>
    <w:rsid w:val="00E63C7B"/>
    <w:rsid w:val="00E642E7"/>
    <w:rsid w:val="00E64EB8"/>
    <w:rsid w:val="00E650C4"/>
    <w:rsid w:val="00E65B6E"/>
    <w:rsid w:val="00E66E0B"/>
    <w:rsid w:val="00E674D8"/>
    <w:rsid w:val="00E675FB"/>
    <w:rsid w:val="00E70DD7"/>
    <w:rsid w:val="00E7113F"/>
    <w:rsid w:val="00E71C32"/>
    <w:rsid w:val="00E720EA"/>
    <w:rsid w:val="00E7273B"/>
    <w:rsid w:val="00E729AD"/>
    <w:rsid w:val="00E72EE0"/>
    <w:rsid w:val="00E73E4F"/>
    <w:rsid w:val="00E741FB"/>
    <w:rsid w:val="00E743AA"/>
    <w:rsid w:val="00E7450C"/>
    <w:rsid w:val="00E7478D"/>
    <w:rsid w:val="00E7503D"/>
    <w:rsid w:val="00E76437"/>
    <w:rsid w:val="00E765F0"/>
    <w:rsid w:val="00E76F85"/>
    <w:rsid w:val="00E80A11"/>
    <w:rsid w:val="00E80AE3"/>
    <w:rsid w:val="00E82606"/>
    <w:rsid w:val="00E833AA"/>
    <w:rsid w:val="00E834E7"/>
    <w:rsid w:val="00E8449E"/>
    <w:rsid w:val="00E84BD2"/>
    <w:rsid w:val="00E84D68"/>
    <w:rsid w:val="00E84D6E"/>
    <w:rsid w:val="00E85332"/>
    <w:rsid w:val="00E8608A"/>
    <w:rsid w:val="00E8699B"/>
    <w:rsid w:val="00E86C17"/>
    <w:rsid w:val="00E87295"/>
    <w:rsid w:val="00E87B42"/>
    <w:rsid w:val="00E87ED5"/>
    <w:rsid w:val="00E87F09"/>
    <w:rsid w:val="00E90127"/>
    <w:rsid w:val="00E90662"/>
    <w:rsid w:val="00E90A47"/>
    <w:rsid w:val="00E91397"/>
    <w:rsid w:val="00E91A7E"/>
    <w:rsid w:val="00E91FED"/>
    <w:rsid w:val="00E92A47"/>
    <w:rsid w:val="00E92FCA"/>
    <w:rsid w:val="00E93FAE"/>
    <w:rsid w:val="00E943C3"/>
    <w:rsid w:val="00E946B5"/>
    <w:rsid w:val="00E94BB9"/>
    <w:rsid w:val="00E9561B"/>
    <w:rsid w:val="00E95B80"/>
    <w:rsid w:val="00E96BC4"/>
    <w:rsid w:val="00E96BD2"/>
    <w:rsid w:val="00E97AAF"/>
    <w:rsid w:val="00E97DED"/>
    <w:rsid w:val="00EA0913"/>
    <w:rsid w:val="00EA09D7"/>
    <w:rsid w:val="00EA108D"/>
    <w:rsid w:val="00EA16AB"/>
    <w:rsid w:val="00EA17CA"/>
    <w:rsid w:val="00EA1943"/>
    <w:rsid w:val="00EA1E3E"/>
    <w:rsid w:val="00EA246C"/>
    <w:rsid w:val="00EA44C3"/>
    <w:rsid w:val="00EA4AD5"/>
    <w:rsid w:val="00EA5B10"/>
    <w:rsid w:val="00EA5CEA"/>
    <w:rsid w:val="00EA5D88"/>
    <w:rsid w:val="00EA6CEE"/>
    <w:rsid w:val="00EA7A67"/>
    <w:rsid w:val="00EB01ED"/>
    <w:rsid w:val="00EB0451"/>
    <w:rsid w:val="00EB0597"/>
    <w:rsid w:val="00EB15DE"/>
    <w:rsid w:val="00EB1FE3"/>
    <w:rsid w:val="00EB1FEE"/>
    <w:rsid w:val="00EB21CA"/>
    <w:rsid w:val="00EB27B5"/>
    <w:rsid w:val="00EB3357"/>
    <w:rsid w:val="00EB3938"/>
    <w:rsid w:val="00EB3E44"/>
    <w:rsid w:val="00EB3F9D"/>
    <w:rsid w:val="00EB471E"/>
    <w:rsid w:val="00EB49FC"/>
    <w:rsid w:val="00EB5664"/>
    <w:rsid w:val="00EB571A"/>
    <w:rsid w:val="00EB5DC6"/>
    <w:rsid w:val="00EB64B0"/>
    <w:rsid w:val="00EB6FFA"/>
    <w:rsid w:val="00EB7AA0"/>
    <w:rsid w:val="00EB7BE5"/>
    <w:rsid w:val="00EB7FEE"/>
    <w:rsid w:val="00EC1DF1"/>
    <w:rsid w:val="00EC2C12"/>
    <w:rsid w:val="00EC3434"/>
    <w:rsid w:val="00EC35B9"/>
    <w:rsid w:val="00EC3884"/>
    <w:rsid w:val="00EC3CD1"/>
    <w:rsid w:val="00EC4053"/>
    <w:rsid w:val="00EC4EA2"/>
    <w:rsid w:val="00EC5FF1"/>
    <w:rsid w:val="00EC6803"/>
    <w:rsid w:val="00EC7B73"/>
    <w:rsid w:val="00EC7D54"/>
    <w:rsid w:val="00ED024E"/>
    <w:rsid w:val="00ED165B"/>
    <w:rsid w:val="00ED1675"/>
    <w:rsid w:val="00ED1DBC"/>
    <w:rsid w:val="00ED270A"/>
    <w:rsid w:val="00ED324E"/>
    <w:rsid w:val="00ED4577"/>
    <w:rsid w:val="00ED4983"/>
    <w:rsid w:val="00ED4FE2"/>
    <w:rsid w:val="00ED5304"/>
    <w:rsid w:val="00ED5465"/>
    <w:rsid w:val="00ED5622"/>
    <w:rsid w:val="00ED5763"/>
    <w:rsid w:val="00ED655F"/>
    <w:rsid w:val="00ED7B82"/>
    <w:rsid w:val="00EE1195"/>
    <w:rsid w:val="00EE1352"/>
    <w:rsid w:val="00EE330B"/>
    <w:rsid w:val="00EE377E"/>
    <w:rsid w:val="00EE39E5"/>
    <w:rsid w:val="00EE4DF0"/>
    <w:rsid w:val="00EE5265"/>
    <w:rsid w:val="00EE545E"/>
    <w:rsid w:val="00EE5F55"/>
    <w:rsid w:val="00EE63CA"/>
    <w:rsid w:val="00EE6DBB"/>
    <w:rsid w:val="00EE6F14"/>
    <w:rsid w:val="00EE7BEA"/>
    <w:rsid w:val="00EF01A6"/>
    <w:rsid w:val="00EF01F5"/>
    <w:rsid w:val="00EF0934"/>
    <w:rsid w:val="00EF2F7F"/>
    <w:rsid w:val="00EF3B3F"/>
    <w:rsid w:val="00EF3F23"/>
    <w:rsid w:val="00EF43A5"/>
    <w:rsid w:val="00EF4BC1"/>
    <w:rsid w:val="00EF572F"/>
    <w:rsid w:val="00EF5B4D"/>
    <w:rsid w:val="00EF635B"/>
    <w:rsid w:val="00EF6C20"/>
    <w:rsid w:val="00EF7F0C"/>
    <w:rsid w:val="00F00AD1"/>
    <w:rsid w:val="00F01FC2"/>
    <w:rsid w:val="00F029CA"/>
    <w:rsid w:val="00F02E62"/>
    <w:rsid w:val="00F02F60"/>
    <w:rsid w:val="00F03423"/>
    <w:rsid w:val="00F0342F"/>
    <w:rsid w:val="00F035BC"/>
    <w:rsid w:val="00F03736"/>
    <w:rsid w:val="00F04E9E"/>
    <w:rsid w:val="00F04EA7"/>
    <w:rsid w:val="00F04FAF"/>
    <w:rsid w:val="00F05417"/>
    <w:rsid w:val="00F065F9"/>
    <w:rsid w:val="00F069C5"/>
    <w:rsid w:val="00F06AA9"/>
    <w:rsid w:val="00F07813"/>
    <w:rsid w:val="00F078B3"/>
    <w:rsid w:val="00F1030D"/>
    <w:rsid w:val="00F10539"/>
    <w:rsid w:val="00F10E96"/>
    <w:rsid w:val="00F11A22"/>
    <w:rsid w:val="00F13023"/>
    <w:rsid w:val="00F13410"/>
    <w:rsid w:val="00F13A82"/>
    <w:rsid w:val="00F13CDD"/>
    <w:rsid w:val="00F13D6C"/>
    <w:rsid w:val="00F143F9"/>
    <w:rsid w:val="00F14729"/>
    <w:rsid w:val="00F15632"/>
    <w:rsid w:val="00F162D4"/>
    <w:rsid w:val="00F16333"/>
    <w:rsid w:val="00F163B0"/>
    <w:rsid w:val="00F1703F"/>
    <w:rsid w:val="00F173EF"/>
    <w:rsid w:val="00F2058B"/>
    <w:rsid w:val="00F214BF"/>
    <w:rsid w:val="00F2277B"/>
    <w:rsid w:val="00F22C68"/>
    <w:rsid w:val="00F22CF6"/>
    <w:rsid w:val="00F2536A"/>
    <w:rsid w:val="00F25AE6"/>
    <w:rsid w:val="00F25E0E"/>
    <w:rsid w:val="00F26D8B"/>
    <w:rsid w:val="00F3076B"/>
    <w:rsid w:val="00F31238"/>
    <w:rsid w:val="00F31FB4"/>
    <w:rsid w:val="00F3209B"/>
    <w:rsid w:val="00F3214C"/>
    <w:rsid w:val="00F324D9"/>
    <w:rsid w:val="00F33F8D"/>
    <w:rsid w:val="00F35936"/>
    <w:rsid w:val="00F35FEA"/>
    <w:rsid w:val="00F37CB6"/>
    <w:rsid w:val="00F37F65"/>
    <w:rsid w:val="00F4010B"/>
    <w:rsid w:val="00F40E33"/>
    <w:rsid w:val="00F41176"/>
    <w:rsid w:val="00F417AB"/>
    <w:rsid w:val="00F41AF5"/>
    <w:rsid w:val="00F435B2"/>
    <w:rsid w:val="00F43C20"/>
    <w:rsid w:val="00F44FB2"/>
    <w:rsid w:val="00F45A06"/>
    <w:rsid w:val="00F467F5"/>
    <w:rsid w:val="00F468BC"/>
    <w:rsid w:val="00F46E42"/>
    <w:rsid w:val="00F4702C"/>
    <w:rsid w:val="00F47605"/>
    <w:rsid w:val="00F47995"/>
    <w:rsid w:val="00F505B8"/>
    <w:rsid w:val="00F506AA"/>
    <w:rsid w:val="00F50DBB"/>
    <w:rsid w:val="00F522F0"/>
    <w:rsid w:val="00F529DC"/>
    <w:rsid w:val="00F533E1"/>
    <w:rsid w:val="00F53EFE"/>
    <w:rsid w:val="00F56277"/>
    <w:rsid w:val="00F563BC"/>
    <w:rsid w:val="00F563F8"/>
    <w:rsid w:val="00F568AC"/>
    <w:rsid w:val="00F56D06"/>
    <w:rsid w:val="00F5768C"/>
    <w:rsid w:val="00F579A1"/>
    <w:rsid w:val="00F57BB7"/>
    <w:rsid w:val="00F60027"/>
    <w:rsid w:val="00F609A7"/>
    <w:rsid w:val="00F60BA2"/>
    <w:rsid w:val="00F614BA"/>
    <w:rsid w:val="00F62469"/>
    <w:rsid w:val="00F62557"/>
    <w:rsid w:val="00F62B9C"/>
    <w:rsid w:val="00F62EC4"/>
    <w:rsid w:val="00F634F6"/>
    <w:rsid w:val="00F639A8"/>
    <w:rsid w:val="00F63B60"/>
    <w:rsid w:val="00F642CA"/>
    <w:rsid w:val="00F642CB"/>
    <w:rsid w:val="00F65395"/>
    <w:rsid w:val="00F66F2F"/>
    <w:rsid w:val="00F674DC"/>
    <w:rsid w:val="00F70930"/>
    <w:rsid w:val="00F70A95"/>
    <w:rsid w:val="00F7100B"/>
    <w:rsid w:val="00F72DCC"/>
    <w:rsid w:val="00F72F50"/>
    <w:rsid w:val="00F743B7"/>
    <w:rsid w:val="00F747D7"/>
    <w:rsid w:val="00F77B4D"/>
    <w:rsid w:val="00F77D36"/>
    <w:rsid w:val="00F77FB9"/>
    <w:rsid w:val="00F801F9"/>
    <w:rsid w:val="00F81038"/>
    <w:rsid w:val="00F8138C"/>
    <w:rsid w:val="00F81541"/>
    <w:rsid w:val="00F816CD"/>
    <w:rsid w:val="00F8214A"/>
    <w:rsid w:val="00F821FB"/>
    <w:rsid w:val="00F82711"/>
    <w:rsid w:val="00F82E08"/>
    <w:rsid w:val="00F83C5C"/>
    <w:rsid w:val="00F83DA6"/>
    <w:rsid w:val="00F83EDA"/>
    <w:rsid w:val="00F83F7C"/>
    <w:rsid w:val="00F8419A"/>
    <w:rsid w:val="00F85166"/>
    <w:rsid w:val="00F8516D"/>
    <w:rsid w:val="00F853D8"/>
    <w:rsid w:val="00F859B5"/>
    <w:rsid w:val="00F86C26"/>
    <w:rsid w:val="00F86CA4"/>
    <w:rsid w:val="00F86D95"/>
    <w:rsid w:val="00F86E9E"/>
    <w:rsid w:val="00F86EFC"/>
    <w:rsid w:val="00F870A8"/>
    <w:rsid w:val="00F87107"/>
    <w:rsid w:val="00F87134"/>
    <w:rsid w:val="00F87B07"/>
    <w:rsid w:val="00F87B36"/>
    <w:rsid w:val="00F87B4B"/>
    <w:rsid w:val="00F90BAE"/>
    <w:rsid w:val="00F90C67"/>
    <w:rsid w:val="00F91077"/>
    <w:rsid w:val="00F91195"/>
    <w:rsid w:val="00F91F93"/>
    <w:rsid w:val="00F91FA4"/>
    <w:rsid w:val="00F92ACB"/>
    <w:rsid w:val="00F938B0"/>
    <w:rsid w:val="00F93C0E"/>
    <w:rsid w:val="00F94880"/>
    <w:rsid w:val="00F94E72"/>
    <w:rsid w:val="00F95E06"/>
    <w:rsid w:val="00F972D3"/>
    <w:rsid w:val="00F97EE7"/>
    <w:rsid w:val="00FA0468"/>
    <w:rsid w:val="00FA108E"/>
    <w:rsid w:val="00FA117E"/>
    <w:rsid w:val="00FA21EC"/>
    <w:rsid w:val="00FA27BC"/>
    <w:rsid w:val="00FA2F26"/>
    <w:rsid w:val="00FA33D2"/>
    <w:rsid w:val="00FA3688"/>
    <w:rsid w:val="00FA396C"/>
    <w:rsid w:val="00FA4078"/>
    <w:rsid w:val="00FA46F8"/>
    <w:rsid w:val="00FA4816"/>
    <w:rsid w:val="00FA4B22"/>
    <w:rsid w:val="00FA5A0B"/>
    <w:rsid w:val="00FA6A36"/>
    <w:rsid w:val="00FA6CE6"/>
    <w:rsid w:val="00FA76CB"/>
    <w:rsid w:val="00FA77F8"/>
    <w:rsid w:val="00FA7926"/>
    <w:rsid w:val="00FA7A6C"/>
    <w:rsid w:val="00FA7CF5"/>
    <w:rsid w:val="00FB016C"/>
    <w:rsid w:val="00FB0451"/>
    <w:rsid w:val="00FB0ED1"/>
    <w:rsid w:val="00FB16E0"/>
    <w:rsid w:val="00FB196E"/>
    <w:rsid w:val="00FB1D5A"/>
    <w:rsid w:val="00FB2440"/>
    <w:rsid w:val="00FB310E"/>
    <w:rsid w:val="00FB372F"/>
    <w:rsid w:val="00FB3BD7"/>
    <w:rsid w:val="00FB4E93"/>
    <w:rsid w:val="00FB4EAD"/>
    <w:rsid w:val="00FB5592"/>
    <w:rsid w:val="00FB75E2"/>
    <w:rsid w:val="00FC1146"/>
    <w:rsid w:val="00FC1598"/>
    <w:rsid w:val="00FC15C9"/>
    <w:rsid w:val="00FC1895"/>
    <w:rsid w:val="00FC23A6"/>
    <w:rsid w:val="00FC2582"/>
    <w:rsid w:val="00FC29E7"/>
    <w:rsid w:val="00FC2D8B"/>
    <w:rsid w:val="00FC3EC0"/>
    <w:rsid w:val="00FC4952"/>
    <w:rsid w:val="00FC4AC0"/>
    <w:rsid w:val="00FC4D7D"/>
    <w:rsid w:val="00FC66F3"/>
    <w:rsid w:val="00FC6B89"/>
    <w:rsid w:val="00FC6BB8"/>
    <w:rsid w:val="00FC73D1"/>
    <w:rsid w:val="00FC7F5F"/>
    <w:rsid w:val="00FD01DD"/>
    <w:rsid w:val="00FD19DF"/>
    <w:rsid w:val="00FD1C28"/>
    <w:rsid w:val="00FD2E8E"/>
    <w:rsid w:val="00FD3009"/>
    <w:rsid w:val="00FD3306"/>
    <w:rsid w:val="00FD36B1"/>
    <w:rsid w:val="00FD3EDB"/>
    <w:rsid w:val="00FD3FE4"/>
    <w:rsid w:val="00FD524E"/>
    <w:rsid w:val="00FD59EE"/>
    <w:rsid w:val="00FD5FD9"/>
    <w:rsid w:val="00FD64E9"/>
    <w:rsid w:val="00FD6E8E"/>
    <w:rsid w:val="00FD7516"/>
    <w:rsid w:val="00FD7A47"/>
    <w:rsid w:val="00FD7D26"/>
    <w:rsid w:val="00FD7E74"/>
    <w:rsid w:val="00FD7E7C"/>
    <w:rsid w:val="00FE003A"/>
    <w:rsid w:val="00FE08A9"/>
    <w:rsid w:val="00FE0F17"/>
    <w:rsid w:val="00FE1168"/>
    <w:rsid w:val="00FE1423"/>
    <w:rsid w:val="00FE1556"/>
    <w:rsid w:val="00FE1A5B"/>
    <w:rsid w:val="00FE3A59"/>
    <w:rsid w:val="00FE4EF1"/>
    <w:rsid w:val="00FE59FD"/>
    <w:rsid w:val="00FE5AD4"/>
    <w:rsid w:val="00FE66C2"/>
    <w:rsid w:val="00FE6976"/>
    <w:rsid w:val="00FE7326"/>
    <w:rsid w:val="00FE7F98"/>
    <w:rsid w:val="00FF0416"/>
    <w:rsid w:val="00FF06DF"/>
    <w:rsid w:val="00FF08F7"/>
    <w:rsid w:val="00FF0F56"/>
    <w:rsid w:val="00FF18EA"/>
    <w:rsid w:val="00FF2B0E"/>
    <w:rsid w:val="00FF2E7F"/>
    <w:rsid w:val="00FF306D"/>
    <w:rsid w:val="00FF326A"/>
    <w:rsid w:val="00FF47D4"/>
    <w:rsid w:val="00FF68F2"/>
    <w:rsid w:val="00FF6AF3"/>
    <w:rsid w:val="00FF7AA8"/>
    <w:rsid w:val="00FF7BB7"/>
    <w:rsid w:val="02BBB774"/>
    <w:rsid w:val="02E0B31D"/>
    <w:rsid w:val="034C2363"/>
    <w:rsid w:val="034E45E8"/>
    <w:rsid w:val="0369A386"/>
    <w:rsid w:val="06676C33"/>
    <w:rsid w:val="06702617"/>
    <w:rsid w:val="06C4C078"/>
    <w:rsid w:val="07EE603F"/>
    <w:rsid w:val="086B3935"/>
    <w:rsid w:val="0A5F74A0"/>
    <w:rsid w:val="0AB5EF15"/>
    <w:rsid w:val="0AF82B8C"/>
    <w:rsid w:val="0B00343C"/>
    <w:rsid w:val="0B8DAA7C"/>
    <w:rsid w:val="0C0A6903"/>
    <w:rsid w:val="0CB627B5"/>
    <w:rsid w:val="0CEE6688"/>
    <w:rsid w:val="0D36A6A3"/>
    <w:rsid w:val="0D49DC2D"/>
    <w:rsid w:val="0DA4627F"/>
    <w:rsid w:val="0DE899DE"/>
    <w:rsid w:val="0E017887"/>
    <w:rsid w:val="0E4ACEA3"/>
    <w:rsid w:val="0E88D7DE"/>
    <w:rsid w:val="0F84E5AE"/>
    <w:rsid w:val="0FC6A707"/>
    <w:rsid w:val="10158BDF"/>
    <w:rsid w:val="10D3EF37"/>
    <w:rsid w:val="1254D9E9"/>
    <w:rsid w:val="13A75862"/>
    <w:rsid w:val="1445618E"/>
    <w:rsid w:val="169673E9"/>
    <w:rsid w:val="16E3F93C"/>
    <w:rsid w:val="17705753"/>
    <w:rsid w:val="18996EBE"/>
    <w:rsid w:val="197BFAA2"/>
    <w:rsid w:val="19D69341"/>
    <w:rsid w:val="19DF125D"/>
    <w:rsid w:val="1B697268"/>
    <w:rsid w:val="1B7C72FB"/>
    <w:rsid w:val="1E51CD63"/>
    <w:rsid w:val="2209F68E"/>
    <w:rsid w:val="22306CC9"/>
    <w:rsid w:val="237D96D1"/>
    <w:rsid w:val="238D3A35"/>
    <w:rsid w:val="24505524"/>
    <w:rsid w:val="249F2ED3"/>
    <w:rsid w:val="2587D828"/>
    <w:rsid w:val="25EEB7B3"/>
    <w:rsid w:val="25FB37CC"/>
    <w:rsid w:val="26076444"/>
    <w:rsid w:val="273EF21F"/>
    <w:rsid w:val="279616AF"/>
    <w:rsid w:val="27E7E147"/>
    <w:rsid w:val="2908FEFC"/>
    <w:rsid w:val="2934A00B"/>
    <w:rsid w:val="29C1CDF5"/>
    <w:rsid w:val="2A089988"/>
    <w:rsid w:val="2A1E8427"/>
    <w:rsid w:val="2A48DBC2"/>
    <w:rsid w:val="2A786876"/>
    <w:rsid w:val="2B6BE3EB"/>
    <w:rsid w:val="2B76714F"/>
    <w:rsid w:val="2C12A43B"/>
    <w:rsid w:val="2C370976"/>
    <w:rsid w:val="2D299F09"/>
    <w:rsid w:val="2DA837CE"/>
    <w:rsid w:val="2DC81ACF"/>
    <w:rsid w:val="2E3071F8"/>
    <w:rsid w:val="2EA9B0B1"/>
    <w:rsid w:val="2EF61CA2"/>
    <w:rsid w:val="2F6FAF67"/>
    <w:rsid w:val="2FE8A37A"/>
    <w:rsid w:val="3012DD2C"/>
    <w:rsid w:val="321EC185"/>
    <w:rsid w:val="3282E238"/>
    <w:rsid w:val="32BD2790"/>
    <w:rsid w:val="32CE0305"/>
    <w:rsid w:val="32EB1E76"/>
    <w:rsid w:val="33CE21A9"/>
    <w:rsid w:val="3463E056"/>
    <w:rsid w:val="362705D9"/>
    <w:rsid w:val="377681D9"/>
    <w:rsid w:val="38367989"/>
    <w:rsid w:val="3945696D"/>
    <w:rsid w:val="396FDFD8"/>
    <w:rsid w:val="3A100ABE"/>
    <w:rsid w:val="3AB8CF97"/>
    <w:rsid w:val="3B90B7EB"/>
    <w:rsid w:val="3C107F38"/>
    <w:rsid w:val="3C39E061"/>
    <w:rsid w:val="3C45B362"/>
    <w:rsid w:val="3C7CFDCA"/>
    <w:rsid w:val="3D829421"/>
    <w:rsid w:val="3DA6ECA0"/>
    <w:rsid w:val="3DC10CCC"/>
    <w:rsid w:val="3E016188"/>
    <w:rsid w:val="411A22ED"/>
    <w:rsid w:val="414F6099"/>
    <w:rsid w:val="4166E23F"/>
    <w:rsid w:val="416E82CA"/>
    <w:rsid w:val="4275E48E"/>
    <w:rsid w:val="428652DD"/>
    <w:rsid w:val="42DE4817"/>
    <w:rsid w:val="4379C9F2"/>
    <w:rsid w:val="44C8EEF9"/>
    <w:rsid w:val="47760553"/>
    <w:rsid w:val="47F761F9"/>
    <w:rsid w:val="4920F59C"/>
    <w:rsid w:val="4A5DE991"/>
    <w:rsid w:val="4ACDE2EE"/>
    <w:rsid w:val="4B07E647"/>
    <w:rsid w:val="4B15E159"/>
    <w:rsid w:val="4BDCD816"/>
    <w:rsid w:val="4D517746"/>
    <w:rsid w:val="4F065045"/>
    <w:rsid w:val="5151C0EA"/>
    <w:rsid w:val="51CD56A5"/>
    <w:rsid w:val="52E00800"/>
    <w:rsid w:val="530FDC0A"/>
    <w:rsid w:val="5352DE2F"/>
    <w:rsid w:val="54527A85"/>
    <w:rsid w:val="55B3F774"/>
    <w:rsid w:val="56FE82E6"/>
    <w:rsid w:val="575CB382"/>
    <w:rsid w:val="57B368D0"/>
    <w:rsid w:val="5821130A"/>
    <w:rsid w:val="59E40B07"/>
    <w:rsid w:val="5AF0EF99"/>
    <w:rsid w:val="5BE008A7"/>
    <w:rsid w:val="5C1927B6"/>
    <w:rsid w:val="5DB6A425"/>
    <w:rsid w:val="5E1038B6"/>
    <w:rsid w:val="5EA62A9B"/>
    <w:rsid w:val="5EB7852A"/>
    <w:rsid w:val="607CAEDF"/>
    <w:rsid w:val="60AD0040"/>
    <w:rsid w:val="60C77668"/>
    <w:rsid w:val="6227763A"/>
    <w:rsid w:val="622B7F2D"/>
    <w:rsid w:val="623F324A"/>
    <w:rsid w:val="62619E65"/>
    <w:rsid w:val="626587D1"/>
    <w:rsid w:val="62F571A2"/>
    <w:rsid w:val="6561F4F5"/>
    <w:rsid w:val="6583F248"/>
    <w:rsid w:val="66488A79"/>
    <w:rsid w:val="67E8D738"/>
    <w:rsid w:val="68D94982"/>
    <w:rsid w:val="698FC845"/>
    <w:rsid w:val="69F1F3DE"/>
    <w:rsid w:val="6A38AADA"/>
    <w:rsid w:val="6A53D2F7"/>
    <w:rsid w:val="6B44A316"/>
    <w:rsid w:val="6C311C45"/>
    <w:rsid w:val="6CA35116"/>
    <w:rsid w:val="6CA683A5"/>
    <w:rsid w:val="6D0F950F"/>
    <w:rsid w:val="6D65399B"/>
    <w:rsid w:val="6DC8EB4C"/>
    <w:rsid w:val="6E9773AF"/>
    <w:rsid w:val="6F90EF87"/>
    <w:rsid w:val="7158BD09"/>
    <w:rsid w:val="71E0672D"/>
    <w:rsid w:val="71F7D235"/>
    <w:rsid w:val="727CBDD3"/>
    <w:rsid w:val="72BF9AE5"/>
    <w:rsid w:val="72C8A77C"/>
    <w:rsid w:val="72DB3D92"/>
    <w:rsid w:val="73440A34"/>
    <w:rsid w:val="74187084"/>
    <w:rsid w:val="74533038"/>
    <w:rsid w:val="745AFF67"/>
    <w:rsid w:val="74DECB96"/>
    <w:rsid w:val="74FBA62F"/>
    <w:rsid w:val="7543E120"/>
    <w:rsid w:val="75EF38B7"/>
    <w:rsid w:val="760DFD76"/>
    <w:rsid w:val="771B4796"/>
    <w:rsid w:val="774C41A7"/>
    <w:rsid w:val="77B8DC52"/>
    <w:rsid w:val="788F2421"/>
    <w:rsid w:val="7AFE0436"/>
    <w:rsid w:val="7C2EE9C8"/>
    <w:rsid w:val="7CE349D9"/>
    <w:rsid w:val="7F921E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17AC"/>
  <w15:chartTrackingRefBased/>
  <w15:docId w15:val="{1ED30CEC-BEE8-4C26-9CAD-2F5AC64D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8"/>
      </w:numPr>
      <w:contextualSpacing/>
    </w:pPr>
  </w:style>
  <w:style w:type="paragraph" w:styleId="ListBullet2">
    <w:name w:val="List Bullet 2"/>
    <w:basedOn w:val="Normal"/>
    <w:uiPriority w:val="1"/>
    <w:qFormat/>
    <w:rsid w:val="00415A0E"/>
    <w:pPr>
      <w:numPr>
        <w:ilvl w:val="1"/>
        <w:numId w:val="18"/>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8"/>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C7771C"/>
    <w:pPr>
      <w:spacing w:before="46" w:after="46"/>
      <w:ind w:left="170" w:hanging="113"/>
    </w:pPr>
    <w:rPr>
      <w:sz w:val="18"/>
    </w:rPr>
  </w:style>
  <w:style w:type="character" w:styleId="FollowedHyperlink">
    <w:name w:val="FollowedHyperlink"/>
    <w:basedOn w:val="DefaultParagraphFont"/>
    <w:uiPriority w:val="99"/>
    <w:semiHidden/>
    <w:unhideWhenUsed/>
    <w:rsid w:val="00D37732"/>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0439">
      <w:bodyDiv w:val="1"/>
      <w:marLeft w:val="0"/>
      <w:marRight w:val="0"/>
      <w:marTop w:val="0"/>
      <w:marBottom w:val="0"/>
      <w:divBdr>
        <w:top w:val="none" w:sz="0" w:space="0" w:color="auto"/>
        <w:left w:val="none" w:sz="0" w:space="0" w:color="auto"/>
        <w:bottom w:val="none" w:sz="0" w:space="0" w:color="auto"/>
        <w:right w:val="none" w:sz="0" w:space="0" w:color="auto"/>
      </w:divBdr>
    </w:div>
    <w:div w:id="864750924">
      <w:bodyDiv w:val="1"/>
      <w:marLeft w:val="0"/>
      <w:marRight w:val="0"/>
      <w:marTop w:val="0"/>
      <w:marBottom w:val="0"/>
      <w:divBdr>
        <w:top w:val="none" w:sz="0" w:space="0" w:color="auto"/>
        <w:left w:val="none" w:sz="0" w:space="0" w:color="auto"/>
        <w:bottom w:val="none" w:sz="0" w:space="0" w:color="auto"/>
        <w:right w:val="none" w:sz="0" w:space="0" w:color="auto"/>
      </w:divBdr>
    </w:div>
    <w:div w:id="971909796">
      <w:bodyDiv w:val="1"/>
      <w:marLeft w:val="0"/>
      <w:marRight w:val="0"/>
      <w:marTop w:val="0"/>
      <w:marBottom w:val="0"/>
      <w:divBdr>
        <w:top w:val="none" w:sz="0" w:space="0" w:color="auto"/>
        <w:left w:val="none" w:sz="0" w:space="0" w:color="auto"/>
        <w:bottom w:val="none" w:sz="0" w:space="0" w:color="auto"/>
        <w:right w:val="none" w:sz="0" w:space="0" w:color="auto"/>
      </w:divBdr>
    </w:div>
    <w:div w:id="20437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accc.gov.au/system/files/Deloitte%20report%20on%20assessment%20of%20WACC%20for%20Australia%20Post%E2%80%99s%20Reserved%20Letters%20Business_0.pdf?ref=0&amp;download=y" TargetMode="External"/><Relationship Id="rId3" Type="http://schemas.openxmlformats.org/officeDocument/2006/relationships/customXml" Target="../customXml/item3.xml"/><Relationship Id="rId21" Type="http://schemas.openxmlformats.org/officeDocument/2006/relationships/hyperlink" Target="https://auspost.com.au/content/dam/auspost_corp/media/documents/australia-post-annual-report-2015.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aer.gov.au/system/files/2024-11/AER%20-%20Rate%20of%20Return%20annual%20update%202024%20-%20December%202024.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ccc.gov.au/system/files/Airservices%20Australia%20price%20notification%202024%20-%20Decision%20with%20attachments.pdf?ref=0&amp;download=y"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aasb.gov.au/admin/file/content102/c3/AAS26_11-96.pdf" TargetMode="External"/><Relationship Id="rId28" Type="http://schemas.openxmlformats.org/officeDocument/2006/relationships/hyperlink" Target="https://www.vic.gov.au/sites/default/files/2019-06/Competitive-Neutrality-Guide-to-Implementation.pdf"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auspost.com.au/content/dam/auspost_corp/media/documents/2023-australia-post-annual-report.pdf" TargetMode="External"/><Relationship Id="rId27" Type="http://schemas.openxmlformats.org/officeDocument/2006/relationships/hyperlink" Target="https://www.ipart.nsw.gov.au/sites/default/files/cm9_documents/Fact-sheet-WACC-Biannual-Update-August-2024.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sholm\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8DF474-0253-40F3-8613-7C1BD35894B2}">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6295275b06ddf0d18d05f8ed1a7bda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43f490d9d7b3efabb6d344a0dc0c2f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TemplafyTemplateConfiguration><![CDATA[{"elementsMetadata":[],"transformationConfigurations":[],"templateName":"chapter","templateDescription":"","enableDocumentContentUpdater":false,"version":"2.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MPWT-2140667901-85896</_dlc_DocId>
    <_dlc_DocIdUrl xmlns="20393cdf-440a-4521-8f19-00ba43423d00">
      <Url>https://pcgov.sharepoint.com/sites/sceteam/_layouts/15/DocIdRedir.aspx?ID=MPWT-2140667901-85896</Url>
      <Description>MPWT-2140667901-85896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7B59738-4E51-4D4E-9B25-1295EEF1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899AD-BED5-4FA4-8522-B654EC08D519}">
  <ds:schemaRefs>
    <ds:schemaRef ds:uri="http://schemas.microsoft.com/sharepoint/events"/>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9AEC5FCB-ADF8-464D-9830-E76C268395B0}">
  <ds:schemaRefs>
    <ds:schemaRef ds:uri="http://schemas.microsoft.com/sharepoint/v3/contenttype/forms"/>
  </ds:schemaRefs>
</ds:datastoreItem>
</file>

<file path=customXml/itemProps6.xml><?xml version="1.0" encoding="utf-8"?>
<ds:datastoreItem xmlns:ds="http://schemas.openxmlformats.org/officeDocument/2006/customXml" ds:itemID="{A9375862-7444-4178-95BA-49A058BB7408}">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13</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Addendum to chapter 6 – Earning a commercial rate of return - Australia Post - Competitive Neutrality Report 19</vt:lpstr>
    </vt:vector>
  </TitlesOfParts>
  <Company>Productivity Commission</Company>
  <LinksUpToDate>false</LinksUpToDate>
  <CharactersWithSpaces>33115</CharactersWithSpaces>
  <SharedDoc>false</SharedDoc>
  <HLinks>
    <vt:vector size="48" baseType="variant">
      <vt:variant>
        <vt:i4>1048665</vt:i4>
      </vt:variant>
      <vt:variant>
        <vt:i4>21</vt:i4>
      </vt:variant>
      <vt:variant>
        <vt:i4>0</vt:i4>
      </vt:variant>
      <vt:variant>
        <vt:i4>5</vt:i4>
      </vt:variant>
      <vt:variant>
        <vt:lpwstr>https://www.vic.gov.au/sites/default/files/2019-06/Competitive-Neutrality-Guide-to-Implementation.pdf</vt:lpwstr>
      </vt:variant>
      <vt:variant>
        <vt:lpwstr/>
      </vt:variant>
      <vt:variant>
        <vt:i4>3866637</vt:i4>
      </vt:variant>
      <vt:variant>
        <vt:i4>18</vt:i4>
      </vt:variant>
      <vt:variant>
        <vt:i4>0</vt:i4>
      </vt:variant>
      <vt:variant>
        <vt:i4>5</vt:i4>
      </vt:variant>
      <vt:variant>
        <vt:lpwstr>https://www.ipart.nsw.gov.au/sites/default/files/cm9_documents/Fact-sheet-WACC-Biannual-Update-August-2024.PDF</vt:lpwstr>
      </vt:variant>
      <vt:variant>
        <vt:lpwstr/>
      </vt:variant>
      <vt:variant>
        <vt:i4>7143453</vt:i4>
      </vt:variant>
      <vt:variant>
        <vt:i4>15</vt:i4>
      </vt:variant>
      <vt:variant>
        <vt:i4>0</vt:i4>
      </vt:variant>
      <vt:variant>
        <vt:i4>5</vt:i4>
      </vt:variant>
      <vt:variant>
        <vt:lpwstr>https://www.accc.gov.au/system/files/Deloitte report on assessment of WACC for Australia Post%E2%80%99s Reserved Letters Business_0.pdf?ref=0&amp;download=y</vt:lpwstr>
      </vt:variant>
      <vt:variant>
        <vt:lpwstr/>
      </vt:variant>
      <vt:variant>
        <vt:i4>7602275</vt:i4>
      </vt:variant>
      <vt:variant>
        <vt:i4>12</vt:i4>
      </vt:variant>
      <vt:variant>
        <vt:i4>0</vt:i4>
      </vt:variant>
      <vt:variant>
        <vt:i4>5</vt:i4>
      </vt:variant>
      <vt:variant>
        <vt:lpwstr>https://www.aer.gov.au/system/files/2024-11/AER - Rate of Return annual update 2024 - December 2024.pdf</vt:lpwstr>
      </vt:variant>
      <vt:variant>
        <vt:lpwstr/>
      </vt:variant>
      <vt:variant>
        <vt:i4>3080225</vt:i4>
      </vt:variant>
      <vt:variant>
        <vt:i4>9</vt:i4>
      </vt:variant>
      <vt:variant>
        <vt:i4>0</vt:i4>
      </vt:variant>
      <vt:variant>
        <vt:i4>5</vt:i4>
      </vt:variant>
      <vt:variant>
        <vt:lpwstr>https://www.accc.gov.au/system/files/Airservices Australia price notification 2024 - Decision with attachments.pdf?ref=0&amp;download=y</vt:lpwstr>
      </vt:variant>
      <vt:variant>
        <vt:lpwstr/>
      </vt:variant>
      <vt:variant>
        <vt:i4>1179771</vt:i4>
      </vt:variant>
      <vt:variant>
        <vt:i4>6</vt:i4>
      </vt:variant>
      <vt:variant>
        <vt:i4>0</vt:i4>
      </vt:variant>
      <vt:variant>
        <vt:i4>5</vt:i4>
      </vt:variant>
      <vt:variant>
        <vt:lpwstr>https://www.aasb.gov.au/admin/file/content102/c3/AAS26_11-96.pdf</vt:lpwstr>
      </vt:variant>
      <vt:variant>
        <vt:lpwstr/>
      </vt:variant>
      <vt:variant>
        <vt:i4>5570667</vt:i4>
      </vt:variant>
      <vt:variant>
        <vt:i4>3</vt:i4>
      </vt:variant>
      <vt:variant>
        <vt:i4>0</vt:i4>
      </vt:variant>
      <vt:variant>
        <vt:i4>5</vt:i4>
      </vt:variant>
      <vt:variant>
        <vt:lpwstr>https://auspost.com.au/content/dam/auspost_corp/media/documents/2023-australia-post-annual-report.pdf</vt:lpwstr>
      </vt:variant>
      <vt:variant>
        <vt:lpwstr/>
      </vt:variant>
      <vt:variant>
        <vt:i4>1245224</vt:i4>
      </vt:variant>
      <vt:variant>
        <vt:i4>0</vt:i4>
      </vt:variant>
      <vt:variant>
        <vt:i4>0</vt:i4>
      </vt:variant>
      <vt:variant>
        <vt:i4>5</vt:i4>
      </vt:variant>
      <vt:variant>
        <vt:lpwstr>https://auspost.com.au/content/dam/auspost_corp/media/documents/australia-post-annual-report-2015.pdf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chapter 6 – Earning a commercial rate of return - Australia Post - Competitive Neutrality Report 19</dc:title>
  <dc:subject/>
  <dc:creator>Productivity Commission</dc:creator>
  <cp:keywords/>
  <dc:description/>
  <cp:lastModifiedBy>Chris Alston</cp:lastModifiedBy>
  <cp:revision>2</cp:revision>
  <cp:lastPrinted>2025-07-17T03:20:00Z</cp:lastPrinted>
  <dcterms:created xsi:type="dcterms:W3CDTF">2025-07-23T01:40:00Z</dcterms:created>
  <dcterms:modified xsi:type="dcterms:W3CDTF">2025-07-23T01:40:00Z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RevIMBCS">
    <vt:lpwstr>1;#Unclassified|3955eeb1-2d18-4582-aeb2-00144ec3aaf5</vt:lpwstr>
  </property>
  <property fmtid="{D5CDD505-2E9C-101B-9397-08002B2CF9AE}" pid="5" name="_dlc_DocIdItemGuid">
    <vt:lpwstr>892f7286-b997-4b1c-b312-3d97d3a3babc</vt:lpwstr>
  </property>
  <property fmtid="{D5CDD505-2E9C-101B-9397-08002B2CF9AE}" pid="6" name="MediaServiceImageTags">
    <vt:lpwstr/>
  </property>
  <property fmtid="{D5CDD505-2E9C-101B-9397-08002B2CF9AE}" pid="7" name="TemplafyTenantId">
    <vt:lpwstr>productivitycommission</vt:lpwstr>
  </property>
  <property fmtid="{D5CDD505-2E9C-101B-9397-08002B2CF9AE}" pid="8" name="TemplafyTemplateId">
    <vt:lpwstr>637629323564275408</vt:lpwstr>
  </property>
  <property fmtid="{D5CDD505-2E9C-101B-9397-08002B2CF9AE}" pid="9" name="TemplafyUserProfileId">
    <vt:lpwstr>637968911185861194</vt:lpwstr>
  </property>
  <property fmtid="{D5CDD505-2E9C-101B-9397-08002B2CF9AE}" pid="10" name="TemplafyFromBlank">
    <vt:bool>false</vt:bool>
  </property>
  <property fmtid="{D5CDD505-2E9C-101B-9397-08002B2CF9AE}" pid="11" name="ClassificationContentMarkingHeaderShapeIds">
    <vt:lpwstr>43b4fc77,24dcc161</vt:lpwstr>
  </property>
  <property fmtid="{D5CDD505-2E9C-101B-9397-08002B2CF9AE}" pid="12" name="ClassificationContentMarkingHeaderFontProps">
    <vt:lpwstr>#ff0000,12,Calibri</vt:lpwstr>
  </property>
  <property fmtid="{D5CDD505-2E9C-101B-9397-08002B2CF9AE}" pid="13" name="ClassificationContentMarkingHeaderText">
    <vt:lpwstr> OFFICIAL // Sensitive</vt:lpwstr>
  </property>
  <property fmtid="{D5CDD505-2E9C-101B-9397-08002B2CF9AE}" pid="14" name="ContentTypeId">
    <vt:lpwstr>0x0101006C0B5E815648EF46B6FA6D42F17E5E9F000C963E276195B04F83BC027CFDC94A8D</vt:lpwstr>
  </property>
  <property fmtid="{D5CDD505-2E9C-101B-9397-08002B2CF9AE}" pid="15" name="MSIP_Label_c1f2b1ce-4212-46db-a901-dd8453f57141_Enabled">
    <vt:lpwstr>true</vt:lpwstr>
  </property>
  <property fmtid="{D5CDD505-2E9C-101B-9397-08002B2CF9AE}" pid="16" name="MSIP_Label_c1f2b1ce-4212-46db-a901-dd8453f57141_SetDate">
    <vt:lpwstr>2025-07-23T01:40:38Z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2e33fced-582d-4e8e-b866-57f5c3d22ba7</vt:lpwstr>
  </property>
  <property fmtid="{D5CDD505-2E9C-101B-9397-08002B2CF9AE}" pid="21" name="MSIP_Label_c1f2b1ce-4212-46db-a901-dd8453f57141_ContentBits">
    <vt:lpwstr>0</vt:lpwstr>
  </property>
  <property fmtid="{D5CDD505-2E9C-101B-9397-08002B2CF9AE}" pid="22" name="MSIP_Label_c1f2b1ce-4212-46db-a901-dd8453f57141_Tag">
    <vt:lpwstr>10, 0, 1, 1</vt:lpwstr>
  </property>
</Properties>
</file>