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Open Sans" w:hAnsi="Open Sans" w:cs="Open Sans"/>
        </w:rPr>
        <w:id w:val="-228914026"/>
        <w:docPartObj>
          <w:docPartGallery w:val="Cover Pages"/>
          <w:docPartUnique/>
        </w:docPartObj>
      </w:sdtPr>
      <w:sdtEndPr>
        <w:rPr>
          <w:rFonts w:asciiTheme="minorHAnsi" w:hAnsiTheme="minorHAnsi" w:cstheme="minorBidi"/>
        </w:rPr>
      </w:sdtEndPr>
      <w:sdtContent>
        <w:p w14:paraId="232E9E13" w14:textId="755E709F" w:rsidR="0050629F" w:rsidRPr="00CE50F9" w:rsidRDefault="001B7CBF" w:rsidP="002157C7">
          <w:pPr>
            <w:pStyle w:val="Coverdate"/>
            <w:framePr w:wrap="around" w:hAnchor="page" w:x="9969" w:y="15282"/>
            <w:rPr>
              <w:rFonts w:ascii="Open Sans" w:hAnsi="Open Sans" w:cs="Open Sans"/>
              <w:color w:val="FFFFFF" w:themeColor="background1"/>
            </w:rPr>
          </w:pPr>
          <w:r w:rsidRPr="00CE50F9">
            <w:rPr>
              <w:rFonts w:ascii="Open Sans" w:hAnsi="Open Sans" w:cs="Open Sans"/>
              <w:color w:val="FFFFFF" w:themeColor="background1"/>
            </w:rPr>
            <w:t>July</w:t>
          </w:r>
          <w:r w:rsidR="0050629F" w:rsidRPr="00CE50F9">
            <w:rPr>
              <w:rFonts w:ascii="Open Sans" w:hAnsi="Open Sans" w:cs="Open Sans"/>
              <w:color w:val="FFFFFF" w:themeColor="background1"/>
            </w:rPr>
            <w:t xml:space="preserve"> </w:t>
          </w:r>
          <w:r w:rsidRPr="00CE50F9">
            <w:rPr>
              <w:rFonts w:ascii="Open Sans" w:hAnsi="Open Sans" w:cs="Open Sans"/>
              <w:color w:val="FFFFFF" w:themeColor="background1"/>
            </w:rPr>
            <w:t>2025</w:t>
          </w:r>
        </w:p>
        <w:p w14:paraId="4E73100D" w14:textId="655E5236" w:rsidR="00295330" w:rsidRPr="00461CE9" w:rsidRDefault="00295330" w:rsidP="00461CE9"/>
        <w:p w14:paraId="2C850CB3" w14:textId="31CC80F4" w:rsidR="00557482" w:rsidRPr="00411189" w:rsidRDefault="00431234" w:rsidP="00557482">
          <w:pPr>
            <w:rPr>
              <w:rFonts w:ascii="Open Sans Extrabold" w:eastAsiaTheme="majorEastAsia" w:hAnsi="Open Sans Extrabold" w:cs="Open Sans Extrabold"/>
              <w:color w:val="FFFFFF" w:themeColor="background1"/>
              <w:kern w:val="28"/>
              <w:sz w:val="56"/>
              <w:szCs w:val="56"/>
            </w:rPr>
          </w:pPr>
          <w:bookmarkStart w:id="0" w:name="_Hlk202964829"/>
          <w:r w:rsidRPr="00411189">
            <w:rPr>
              <w:rFonts w:ascii="Open Sans Extrabold" w:eastAsiaTheme="majorEastAsia" w:hAnsi="Open Sans Extrabold" w:cs="Open Sans Extrabold"/>
              <w:color w:val="FFFFFF" w:themeColor="background1"/>
              <w:kern w:val="28"/>
              <w:sz w:val="56"/>
              <w:szCs w:val="56"/>
            </w:rPr>
            <w:t>Unlocking the economic potential of native title</w:t>
          </w:r>
          <w:bookmarkEnd w:id="0"/>
        </w:p>
        <w:p w14:paraId="3875016E" w14:textId="737869E2" w:rsidR="00B302FA" w:rsidRPr="00E54DEF" w:rsidRDefault="000867BD" w:rsidP="009B6968">
          <w:pPr>
            <w:pStyle w:val="Subtitle"/>
            <w:rPr>
              <w:rFonts w:ascii="Open Sans Semibold" w:hAnsi="Open Sans Semibold" w:cs="Open Sans Semibold"/>
              <w:sz w:val="48"/>
              <w:szCs w:val="48"/>
            </w:rPr>
          </w:pPr>
          <w:r w:rsidRPr="00E54DEF">
            <w:rPr>
              <w:rFonts w:ascii="Open Sans Semibold" w:hAnsi="Open Sans Semibold" w:cs="Open Sans Semibold"/>
              <w:sz w:val="48"/>
              <w:szCs w:val="48"/>
            </w:rPr>
            <w:t>Productivity Commission submission</w:t>
          </w:r>
        </w:p>
        <w:p w14:paraId="422C29BE" w14:textId="6F1A4760" w:rsidR="00470AD0" w:rsidRPr="00903005" w:rsidRDefault="00470AD0" w:rsidP="00777A84">
          <w:pPr>
            <w:pStyle w:val="Subtitle"/>
            <w:numPr>
              <w:ilvl w:val="0"/>
              <w:numId w:val="0"/>
            </w:numPr>
            <w:spacing w:before="8520" w:after="0"/>
            <w:ind w:right="5527"/>
            <w:rPr>
              <w:rFonts w:ascii="Open Sans" w:hAnsi="Open Sans" w:cs="Open Sans"/>
              <w:sz w:val="28"/>
              <w:szCs w:val="28"/>
            </w:rPr>
          </w:pPr>
          <w:r w:rsidRPr="00484E80">
            <w:rPr>
              <w:rFonts w:ascii="Open Sans" w:hAnsi="Open Sans" w:cs="Open Sans"/>
              <w:spacing w:val="-2"/>
              <w:sz w:val="28"/>
              <w:szCs w:val="28"/>
            </w:rPr>
            <w:t xml:space="preserve">Submission to the </w:t>
          </w:r>
          <w:r w:rsidR="009B4057">
            <w:rPr>
              <w:rFonts w:ascii="Open Sans" w:hAnsi="Open Sans" w:cs="Open Sans"/>
              <w:spacing w:val="-2"/>
              <w:sz w:val="28"/>
              <w:szCs w:val="28"/>
            </w:rPr>
            <w:br/>
          </w:r>
          <w:r w:rsidR="00484E80" w:rsidRPr="00903005">
            <w:rPr>
              <w:rFonts w:ascii="Open Sans" w:hAnsi="Open Sans" w:cs="Open Sans"/>
              <w:spacing w:val="-2"/>
              <w:sz w:val="28"/>
              <w:szCs w:val="28"/>
            </w:rPr>
            <w:t xml:space="preserve">Australian Law Reform </w:t>
          </w:r>
          <w:r w:rsidR="009B4057" w:rsidRPr="00903005">
            <w:rPr>
              <w:rFonts w:ascii="Open Sans" w:hAnsi="Open Sans" w:cs="Open Sans"/>
              <w:spacing w:val="-2"/>
              <w:sz w:val="28"/>
              <w:szCs w:val="28"/>
            </w:rPr>
            <w:br/>
          </w:r>
          <w:r w:rsidR="00484E80" w:rsidRPr="00903005">
            <w:rPr>
              <w:rFonts w:ascii="Open Sans" w:hAnsi="Open Sans" w:cs="Open Sans"/>
              <w:spacing w:val="-2"/>
              <w:sz w:val="28"/>
              <w:szCs w:val="28"/>
            </w:rPr>
            <w:t xml:space="preserve">Commission’s Review of the </w:t>
          </w:r>
          <w:r w:rsidR="009B4057" w:rsidRPr="00903005">
            <w:rPr>
              <w:rFonts w:ascii="Open Sans" w:hAnsi="Open Sans" w:cs="Open Sans"/>
              <w:spacing w:val="-2"/>
              <w:sz w:val="28"/>
              <w:szCs w:val="28"/>
            </w:rPr>
            <w:br/>
          </w:r>
          <w:r w:rsidR="00484E80" w:rsidRPr="00903005">
            <w:rPr>
              <w:rFonts w:ascii="Open Sans" w:hAnsi="Open Sans" w:cs="Open Sans"/>
              <w:spacing w:val="-2"/>
              <w:sz w:val="28"/>
              <w:szCs w:val="28"/>
            </w:rPr>
            <w:t>Future Acts Regime</w:t>
          </w:r>
        </w:p>
        <w:p w14:paraId="17E97BEA" w14:textId="303CE277" w:rsidR="00470AD0" w:rsidRPr="00470AD0" w:rsidRDefault="00470AD0" w:rsidP="00470AD0">
          <w:pPr>
            <w:sectPr w:rsidR="00470AD0" w:rsidRPr="00470AD0" w:rsidSect="00B45E92">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036BBE" w:rsidRPr="00963620" w14:paraId="22E0FC5F" w14:textId="77777777" w:rsidTr="00805A9E">
            <w:trPr>
              <w:trHeight w:hRule="exact" w:val="12643"/>
            </w:trPr>
            <w:tc>
              <w:tcPr>
                <w:tcW w:w="9638" w:type="dxa"/>
                <w:shd w:val="clear" w:color="auto" w:fill="E0F1F7" w:themeFill="text2" w:themeFillTint="33"/>
                <w:tcMar>
                  <w:top w:w="113" w:type="dxa"/>
                </w:tcMar>
                <w:vAlign w:val="top"/>
              </w:tcPr>
              <w:p w14:paraId="55ECA181" w14:textId="77777777" w:rsidR="00036BBE" w:rsidRPr="000049DB" w:rsidRDefault="00036BBE" w:rsidP="00AF548C">
                <w:pPr>
                  <w:pStyle w:val="Copyrightpage-BodyBold"/>
                  <w:ind w:right="-284"/>
                  <w:rPr>
                    <w:rStyle w:val="White"/>
                    <w:b w:val="0"/>
                    <w:bCs/>
                    <w:color w:val="auto"/>
                    <w:sz w:val="4"/>
                    <w:szCs w:val="4"/>
                  </w:rPr>
                </w:pPr>
                <w:r w:rsidRPr="000353F9">
                  <w:rPr>
                    <w:rStyle w:val="White"/>
                    <w:color w:val="000000" w:themeColor="text1"/>
                  </w:rPr>
                  <w:lastRenderedPageBreak/>
                  <w:br w:type="page"/>
                </w:r>
              </w:p>
              <w:p w14:paraId="71FCBEE2" w14:textId="77777777" w:rsidR="00036BBE" w:rsidRPr="000049DB" w:rsidRDefault="00036BBE" w:rsidP="00AF548C">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0" behindDoc="0" locked="0" layoutInCell="1" allowOverlap="1" wp14:anchorId="2C3E8847" wp14:editId="73BBC5FC">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0833C8F5" w14:textId="77777777" w:rsidR="00036BBE" w:rsidRPr="00157240" w:rsidRDefault="00036BBE" w:rsidP="00AF548C">
                <w:pPr>
                  <w:pStyle w:val="Copyrightpage-Keylinenotext"/>
                  <w:ind w:right="-284"/>
                  <w:rPr>
                    <w:color w:val="auto"/>
                  </w:rPr>
                </w:pPr>
              </w:p>
              <w:p w14:paraId="45B1255D" w14:textId="77777777" w:rsidR="00036BBE" w:rsidRPr="000353F9" w:rsidRDefault="00036BBE" w:rsidP="00AF548C">
                <w:pPr>
                  <w:pStyle w:val="Copyrightpage-Heading"/>
                  <w:ind w:right="-284"/>
                  <w:rPr>
                    <w:b/>
                    <w:color w:val="000000" w:themeColor="text1"/>
                  </w:rPr>
                </w:pPr>
                <w:r w:rsidRPr="000353F9">
                  <w:rPr>
                    <w:b/>
                    <w:color w:val="000000" w:themeColor="text1"/>
                  </w:rPr>
                  <w:t>The Productivity Commission</w:t>
                </w:r>
              </w:p>
              <w:p w14:paraId="37F329C4" w14:textId="77777777" w:rsidR="00036BBE" w:rsidRPr="00910D3A" w:rsidRDefault="00036BBE" w:rsidP="00AF548C">
                <w:pPr>
                  <w:pStyle w:val="Copyrightpage-BodyBold"/>
                  <w:rPr>
                    <w:b w:val="0"/>
                    <w:bCs/>
                    <w:color w:val="000000" w:themeColor="text1"/>
                  </w:rPr>
                </w:pPr>
                <w:r w:rsidRPr="00910D3A">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06961AE6" w14:textId="77777777" w:rsidR="00036BBE" w:rsidRPr="00910D3A" w:rsidRDefault="00036BBE" w:rsidP="00AF548C">
                <w:pPr>
                  <w:pStyle w:val="Copyrightpage-BodyBold"/>
                  <w:rPr>
                    <w:b w:val="0"/>
                    <w:bCs/>
                    <w:color w:val="000000" w:themeColor="text1"/>
                  </w:rPr>
                </w:pPr>
                <w:r w:rsidRPr="00910D3A">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910D3A">
                  <w:rPr>
                    <w:b w:val="0"/>
                    <w:bCs/>
                    <w:color w:val="000000" w:themeColor="text1"/>
                  </w:rPr>
                  <w:t>community as a whole</w:t>
                </w:r>
                <w:proofErr w:type="gramEnd"/>
                <w:r w:rsidRPr="00910D3A">
                  <w:rPr>
                    <w:b w:val="0"/>
                    <w:bCs/>
                    <w:color w:val="000000" w:themeColor="text1"/>
                  </w:rPr>
                  <w:t>.</w:t>
                </w:r>
              </w:p>
              <w:p w14:paraId="4792A319" w14:textId="693AF9D7" w:rsidR="00036BBE" w:rsidRPr="003F4D78" w:rsidRDefault="00036BBE" w:rsidP="00AF548C">
                <w:pPr>
                  <w:pStyle w:val="Copyrightpage-BodyBold"/>
                  <w:rPr>
                    <w:b w:val="0"/>
                    <w:bCs/>
                    <w:color w:val="auto"/>
                    <w:spacing w:val="-4"/>
                  </w:rPr>
                </w:pPr>
                <w:r w:rsidRPr="00910D3A">
                  <w:rPr>
                    <w:b w:val="0"/>
                    <w:bCs/>
                    <w:color w:val="000000" w:themeColor="text1"/>
                    <w:spacing w:val="-4"/>
                  </w:rPr>
                  <w:t xml:space="preserve">For more information, visit the PC’s </w:t>
                </w:r>
                <w:r w:rsidRPr="003F4D78">
                  <w:rPr>
                    <w:b w:val="0"/>
                    <w:bCs/>
                    <w:color w:val="auto"/>
                    <w:spacing w:val="-4"/>
                  </w:rPr>
                  <w:t xml:space="preserve">website: </w:t>
                </w:r>
                <w:hyperlink r:id="rId21" w:history="1">
                  <w:r w:rsidRPr="003F4D78">
                    <w:rPr>
                      <w:rStyle w:val="Hyperlink"/>
                      <w:b w:val="0"/>
                      <w:bCs/>
                      <w:spacing w:val="-4"/>
                      <w:u w:val="none"/>
                    </w:rPr>
                    <w:t>www.pc.gov.au</w:t>
                  </w:r>
                </w:hyperlink>
              </w:p>
              <w:p w14:paraId="5F87E31A" w14:textId="77777777" w:rsidR="00036BBE" w:rsidRPr="000353F9" w:rsidRDefault="00036BBE" w:rsidP="00AF548C">
                <w:pPr>
                  <w:pStyle w:val="Copyrightpage-Keylinenotext"/>
                  <w:ind w:right="-284"/>
                  <w:rPr>
                    <w:b/>
                    <w:color w:val="000000" w:themeColor="text1"/>
                  </w:rPr>
                </w:pPr>
              </w:p>
              <w:p w14:paraId="7B20414C" w14:textId="77777777" w:rsidR="00036BBE" w:rsidRPr="00910D3A" w:rsidRDefault="00036BBE" w:rsidP="00AF548C">
                <w:pPr>
                  <w:pStyle w:val="Copyrightpage-BodyBold"/>
                  <w:rPr>
                    <w:b w:val="0"/>
                    <w:bCs/>
                    <w:color w:val="000000" w:themeColor="text1"/>
                  </w:rPr>
                </w:pPr>
                <w:r w:rsidRPr="00910D3A">
                  <w:rPr>
                    <w:b w:val="0"/>
                    <w:bCs/>
                    <w:color w:val="000000" w:themeColor="text1"/>
                  </w:rPr>
                  <w:t>© Commonwealth of Australia 2025</w:t>
                </w:r>
              </w:p>
              <w:p w14:paraId="1F75ED2F" w14:textId="77777777" w:rsidR="00036BBE" w:rsidRPr="00910D3A" w:rsidRDefault="00036BBE" w:rsidP="00AF548C">
                <w:pPr>
                  <w:pStyle w:val="Copyrightpage-Heading2"/>
                  <w:spacing w:before="0"/>
                  <w:ind w:right="-284"/>
                  <w:rPr>
                    <w:b w:val="0"/>
                    <w:bCs/>
                    <w:color w:val="000000" w:themeColor="text1"/>
                  </w:rPr>
                </w:pPr>
                <w:r w:rsidRPr="00910D3A">
                  <w:rPr>
                    <w:b w:val="0"/>
                    <w:bCs/>
                    <w:noProof/>
                    <w:color w:val="000000" w:themeColor="text1"/>
                  </w:rPr>
                  <w:drawing>
                    <wp:inline distT="0" distB="0" distL="0" distR="0" wp14:anchorId="4C4C8596" wp14:editId="2EADB0D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74000" cy="270000"/>
                              </a:xfrm>
                              <a:prstGeom prst="rect">
                                <a:avLst/>
                              </a:prstGeom>
                            </pic:spPr>
                          </pic:pic>
                        </a:graphicData>
                      </a:graphic>
                    </wp:inline>
                  </w:drawing>
                </w:r>
              </w:p>
              <w:p w14:paraId="0A18DF32" w14:textId="77777777" w:rsidR="00036BBE" w:rsidRPr="00910D3A" w:rsidRDefault="00036BBE" w:rsidP="00AF548C">
                <w:pPr>
                  <w:pStyle w:val="Copyrightpage-BodyBold"/>
                  <w:ind w:right="-143"/>
                  <w:rPr>
                    <w:b w:val="0"/>
                    <w:bCs/>
                    <w:color w:val="000000" w:themeColor="text1"/>
                  </w:rPr>
                </w:pPr>
                <w:proofErr w:type="gramStart"/>
                <w:r w:rsidRPr="00910D3A">
                  <w:rPr>
                    <w:b w:val="0"/>
                    <w:bCs/>
                    <w:color w:val="000000" w:themeColor="text1"/>
                  </w:rPr>
                  <w:t>With the exception of</w:t>
                </w:r>
                <w:proofErr w:type="gramEnd"/>
                <w:r w:rsidRPr="00910D3A">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910D3A">
                  <w:rPr>
                    <w:b w:val="0"/>
                    <w:bCs/>
                    <w:color w:val="000000" w:themeColor="text1"/>
                  </w:rPr>
                  <w:t>as long as</w:t>
                </w:r>
                <w:proofErr w:type="gramEnd"/>
                <w:r w:rsidRPr="00910D3A">
                  <w:rPr>
                    <w:b w:val="0"/>
                    <w:bCs/>
                    <w:color w:val="000000" w:themeColor="text1"/>
                  </w:rPr>
                  <w:t xml:space="preserve"> you attribute the work to the PC (but not in any way that suggests the PC endorses you or your use) and abide by the other licence terms. The licence can be viewed at: https://creativecommons.org/licenses/by/4.0.</w:t>
                </w:r>
              </w:p>
              <w:p w14:paraId="773740B3" w14:textId="77777777" w:rsidR="00036BBE" w:rsidRPr="00910D3A" w:rsidRDefault="00036BBE" w:rsidP="00AF548C">
                <w:pPr>
                  <w:pStyle w:val="Copyrightpage-BodyBold"/>
                  <w:rPr>
                    <w:b w:val="0"/>
                    <w:bCs/>
                    <w:color w:val="000000" w:themeColor="text1"/>
                  </w:rPr>
                </w:pPr>
                <w:r w:rsidRPr="00910D3A">
                  <w:rPr>
                    <w:b w:val="0"/>
                    <w:bCs/>
                    <w:color w:val="000000" w:themeColor="text1"/>
                  </w:rPr>
                  <w:t>The terms under which the Coat of Arms can be used are detailed at: www.pmc.gov.au/government/commonwealth-coat-arms.</w:t>
                </w:r>
              </w:p>
              <w:p w14:paraId="1DBA146E" w14:textId="77777777" w:rsidR="00036BBE" w:rsidRPr="00752874" w:rsidRDefault="00036BBE" w:rsidP="00AF548C">
                <w:pPr>
                  <w:pStyle w:val="Copyrightpage-BodyBold"/>
                  <w:rPr>
                    <w:b w:val="0"/>
                    <w:bCs/>
                    <w:color w:val="000000" w:themeColor="text1"/>
                    <w:spacing w:val="-2"/>
                  </w:rPr>
                </w:pPr>
                <w:r w:rsidRPr="00752874">
                  <w:rPr>
                    <w:b w:val="0"/>
                    <w:bCs/>
                    <w:color w:val="000000" w:themeColor="text1"/>
                    <w:spacing w:val="-2"/>
                  </w:rPr>
                  <w:t>Wherever a third party holds copyright in this material the copyright remains with that party. Their permission may be required to use the material, please contact them directly.</w:t>
                </w:r>
              </w:p>
              <w:p w14:paraId="0A8220E4" w14:textId="53993F70" w:rsidR="00036BBE" w:rsidRPr="00910D3A" w:rsidRDefault="00036BBE" w:rsidP="00AF548C">
                <w:pPr>
                  <w:pStyle w:val="Copyrightpage-BodyBold"/>
                  <w:rPr>
                    <w:b w:val="0"/>
                    <w:bCs/>
                    <w:color w:val="000000" w:themeColor="text1"/>
                  </w:rPr>
                </w:pPr>
                <w:r w:rsidRPr="00910D3A">
                  <w:rPr>
                    <w:b w:val="0"/>
                    <w:bCs/>
                    <w:color w:val="000000" w:themeColor="text1"/>
                  </w:rPr>
                  <w:t>An appropriate reference for this publication is:</w:t>
                </w:r>
                <w:r w:rsidRPr="00910D3A">
                  <w:rPr>
                    <w:b w:val="0"/>
                    <w:bCs/>
                    <w:color w:val="000000" w:themeColor="text1"/>
                  </w:rPr>
                  <w:br/>
                  <w:t xml:space="preserve">Productivity Commission 2025, </w:t>
                </w:r>
                <w:r w:rsidR="00DD6EB3" w:rsidRPr="00DD6EB3">
                  <w:rPr>
                    <w:b w:val="0"/>
                    <w:bCs/>
                    <w:i/>
                    <w:iCs/>
                    <w:color w:val="auto"/>
                  </w:rPr>
                  <w:t>Unlocking the economic potential of native title</w:t>
                </w:r>
                <w:r w:rsidRPr="00E9074E">
                  <w:rPr>
                    <w:b w:val="0"/>
                    <w:bCs/>
                    <w:color w:val="auto"/>
                  </w:rPr>
                  <w:t xml:space="preserve">, </w:t>
                </w:r>
                <w:r w:rsidR="0075769B">
                  <w:rPr>
                    <w:b w:val="0"/>
                    <w:bCs/>
                    <w:color w:val="auto"/>
                  </w:rPr>
                  <w:t>Productivity Commission s</w:t>
                </w:r>
                <w:r w:rsidR="00E9074E" w:rsidRPr="00E9074E">
                  <w:rPr>
                    <w:b w:val="0"/>
                    <w:bCs/>
                    <w:color w:val="auto"/>
                  </w:rPr>
                  <w:t>ubmission</w:t>
                </w:r>
                <w:r w:rsidR="00E9074E">
                  <w:rPr>
                    <w:b w:val="0"/>
                    <w:bCs/>
                    <w:color w:val="000000" w:themeColor="text1"/>
                  </w:rPr>
                  <w:t xml:space="preserve">, </w:t>
                </w:r>
                <w:r w:rsidRPr="00910D3A">
                  <w:rPr>
                    <w:b w:val="0"/>
                    <w:bCs/>
                    <w:color w:val="000000" w:themeColor="text1"/>
                  </w:rPr>
                  <w:t>Canberra</w:t>
                </w:r>
              </w:p>
              <w:p w14:paraId="3D34850C" w14:textId="77777777" w:rsidR="00036BBE" w:rsidRPr="00963620" w:rsidRDefault="00036BBE" w:rsidP="00AF548C">
                <w:pPr>
                  <w:pStyle w:val="Copyrightpage-BodyBold"/>
                  <w:ind w:right="-284"/>
                  <w:rPr>
                    <w:color w:val="000000" w:themeColor="text1"/>
                    <w:lang w:val="fr-CA"/>
                  </w:rPr>
                </w:pPr>
                <w:r w:rsidRPr="00963620">
                  <w:rPr>
                    <w:b w:val="0"/>
                    <w:bCs/>
                    <w:color w:val="000000" w:themeColor="text1"/>
                    <w:lang w:val="fr-CA"/>
                  </w:rPr>
                  <w:t xml:space="preserve">Publication </w:t>
                </w:r>
                <w:proofErr w:type="spellStart"/>
                <w:r w:rsidRPr="00963620">
                  <w:rPr>
                    <w:b w:val="0"/>
                    <w:bCs/>
                    <w:color w:val="000000" w:themeColor="text1"/>
                    <w:lang w:val="fr-CA"/>
                  </w:rPr>
                  <w:t>enquiries</w:t>
                </w:r>
                <w:proofErr w:type="spellEnd"/>
                <w:r w:rsidRPr="00963620">
                  <w:rPr>
                    <w:b w:val="0"/>
                    <w:bCs/>
                    <w:color w:val="000000" w:themeColor="text1"/>
                    <w:lang w:val="fr-CA"/>
                  </w:rPr>
                  <w:t xml:space="preserve">: </w:t>
                </w:r>
                <w:r w:rsidRPr="00963620">
                  <w:rPr>
                    <w:b w:val="0"/>
                    <w:bCs/>
                    <w:color w:val="000000" w:themeColor="text1"/>
                    <w:lang w:val="fr-CA"/>
                  </w:rPr>
                  <w:br/>
                  <w:t xml:space="preserve">Phone 03 9653 2244 | </w:t>
                </w:r>
                <w:proofErr w:type="gramStart"/>
                <w:r w:rsidRPr="00963620">
                  <w:rPr>
                    <w:b w:val="0"/>
                    <w:bCs/>
                    <w:color w:val="000000" w:themeColor="text1"/>
                    <w:lang w:val="fr-CA"/>
                  </w:rPr>
                  <w:t>Email</w:t>
                </w:r>
                <w:proofErr w:type="gramEnd"/>
                <w:r w:rsidRPr="00963620">
                  <w:rPr>
                    <w:b w:val="0"/>
                    <w:bCs/>
                    <w:color w:val="000000" w:themeColor="text1"/>
                    <w:lang w:val="fr-CA"/>
                  </w:rPr>
                  <w:t xml:space="preserve"> publications@pc.gov.au</w:t>
                </w:r>
              </w:p>
            </w:tc>
          </w:tr>
        </w:tbl>
        <w:p w14:paraId="184918EF" w14:textId="7C3EAAC8" w:rsidR="00946C03" w:rsidRPr="00FD4076" w:rsidRDefault="00000000" w:rsidP="00FD4076">
          <w:pPr>
            <w:spacing w:before="0" w:after="160" w:line="259" w:lineRule="auto"/>
            <w:rPr>
              <w:b/>
              <w:color w:val="FFFFFF" w:themeColor="background1"/>
            </w:rPr>
            <w:sectPr w:rsidR="00946C03" w:rsidRPr="00FD4076" w:rsidSect="001D4E06">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pgNumType w:start="2"/>
              <w:cols w:space="708"/>
              <w:docGrid w:linePitch="360"/>
            </w:sectPr>
          </w:pPr>
        </w:p>
      </w:sdtContent>
    </w:sdt>
    <w:p w14:paraId="25DF3791" w14:textId="365B5F04" w:rsidR="00035A57" w:rsidRDefault="00035A57" w:rsidP="00035A57">
      <w:pPr>
        <w:pStyle w:val="Heading2-nonumber"/>
      </w:pPr>
      <w:r>
        <w:lastRenderedPageBreak/>
        <w:t>Introduction</w:t>
      </w:r>
    </w:p>
    <w:p w14:paraId="00E89E0A" w14:textId="15883829" w:rsidR="007A7770" w:rsidRPr="000867BD" w:rsidRDefault="007A7770" w:rsidP="000867BD">
      <w:pPr>
        <w:pStyle w:val="BodyText"/>
      </w:pPr>
      <w:r w:rsidRPr="000867BD">
        <w:t xml:space="preserve">The Productivity Commission welcomes the opportunity to make this submission to the </w:t>
      </w:r>
      <w:bookmarkStart w:id="1" w:name="_Hlk202960666"/>
      <w:r w:rsidRPr="000867BD">
        <w:t>Australian Law Reform Commission’s (ALRC) Review of the Future Acts Regime</w:t>
      </w:r>
      <w:bookmarkEnd w:id="1"/>
      <w:r w:rsidRPr="000867BD">
        <w:t xml:space="preserve"> (Review). </w:t>
      </w:r>
    </w:p>
    <w:p w14:paraId="7703A432" w14:textId="709F6CD3" w:rsidR="007A7770" w:rsidRPr="00627645" w:rsidRDefault="007A7770" w:rsidP="000867BD">
      <w:pPr>
        <w:pStyle w:val="BodyText"/>
        <w:rPr>
          <w:spacing w:val="2"/>
        </w:rPr>
      </w:pPr>
      <w:r w:rsidRPr="00627645">
        <w:rPr>
          <w:spacing w:val="2"/>
        </w:rPr>
        <w:t>Native title holds significant potential as a vehicle for self-determined Aboriginal and Torres Strait Islander development. As of April 2025, Aboriginal and Torres Strait Islander peoples’ native title rights cover 55.2</w:t>
      </w:r>
      <w:r w:rsidR="00B22C38" w:rsidRPr="00627645">
        <w:rPr>
          <w:spacing w:val="2"/>
        </w:rPr>
        <w:t>%</w:t>
      </w:r>
      <w:r w:rsidRPr="00627645">
        <w:rPr>
          <w:spacing w:val="2"/>
        </w:rPr>
        <w:t xml:space="preserve"> of Australia’s land mass (NNTT 2025, p. 1). This figure is expected to increase to 65</w:t>
      </w:r>
      <w:r w:rsidR="00B22C38" w:rsidRPr="00627645">
        <w:rPr>
          <w:spacing w:val="2"/>
        </w:rPr>
        <w:t xml:space="preserve">% </w:t>
      </w:r>
      <w:r w:rsidRPr="00627645">
        <w:rPr>
          <w:spacing w:val="2"/>
        </w:rPr>
        <w:t>by 2030 (JSCATSIA</w:t>
      </w:r>
      <w:r w:rsidR="00627645" w:rsidRPr="00627645">
        <w:rPr>
          <w:spacing w:val="2"/>
        </w:rPr>
        <w:t> </w:t>
      </w:r>
      <w:r w:rsidRPr="00627645">
        <w:rPr>
          <w:spacing w:val="2"/>
        </w:rPr>
        <w:t>2024, p.</w:t>
      </w:r>
      <w:r w:rsidR="00627645" w:rsidRPr="00627645">
        <w:rPr>
          <w:spacing w:val="2"/>
        </w:rPr>
        <w:t> </w:t>
      </w:r>
      <w:r w:rsidRPr="00627645">
        <w:rPr>
          <w:spacing w:val="2"/>
        </w:rPr>
        <w:t>57), which highlights the considerable expansion of the Aboriginal estate since the commencement of native title.</w:t>
      </w:r>
    </w:p>
    <w:p w14:paraId="61BF05B4" w14:textId="536C3519" w:rsidR="007A7770" w:rsidRPr="000867BD" w:rsidRDefault="007A7770" w:rsidP="000867BD">
      <w:pPr>
        <w:pStyle w:val="BodyText"/>
      </w:pPr>
      <w:r w:rsidRPr="000867BD">
        <w:t>Yet, Aboriginal and Torres Strait Islander people widely agree that native title has not delivered the sustainable outcomes envisioned by the legislation’s architects (AHRC 2015, p. 70). This view is supported by data that highlights the disparity of economic outcomes between Aboriginal and Torres Strait Islander people and non-Aboriginal and Torres Strait Islander people in areas such as home ownership, homelessness and employment (ABS 2021).</w:t>
      </w:r>
    </w:p>
    <w:p w14:paraId="784AB336" w14:textId="057E3571" w:rsidR="007A7770" w:rsidRPr="000867BD" w:rsidRDefault="007A7770" w:rsidP="000867BD">
      <w:pPr>
        <w:pStyle w:val="BodyText"/>
      </w:pPr>
      <w:r w:rsidRPr="000867BD">
        <w:t xml:space="preserve">The ALRC’s Review is to be guided by a key term of reference to have regard to the opportunity of the native title system to contribute significantly to economic outcomes for Aboriginal and Torres Strait Islander people. The </w:t>
      </w:r>
      <w:r w:rsidR="00A761C0">
        <w:t>PC</w:t>
      </w:r>
      <w:r w:rsidRPr="000867BD">
        <w:t xml:space="preserve"> submits that under the current system such contributions are not being realised. Of concern to the </w:t>
      </w:r>
      <w:r w:rsidR="00A761C0">
        <w:t>PC</w:t>
      </w:r>
      <w:r w:rsidRPr="000867BD">
        <w:t xml:space="preserve"> are the systemic barriers – overlooked in the ALRC’s </w:t>
      </w:r>
      <w:r w:rsidR="00C1457B">
        <w:t>d</w:t>
      </w:r>
      <w:r w:rsidRPr="000867BD">
        <w:t xml:space="preserve">iscussion </w:t>
      </w:r>
      <w:r w:rsidR="00C1457B">
        <w:t>p</w:t>
      </w:r>
      <w:r w:rsidRPr="000867BD">
        <w:t>aper – that prevent Traditional Owners from effectively accessing and leveraging native title rights for economic investment, enterprise development and community empowerment.</w:t>
      </w:r>
    </w:p>
    <w:p w14:paraId="64CA233D" w14:textId="76C02BF1" w:rsidR="007A7770" w:rsidRPr="000867BD" w:rsidRDefault="007A7770" w:rsidP="000867BD">
      <w:pPr>
        <w:pStyle w:val="BodyText"/>
      </w:pPr>
      <w:r w:rsidRPr="000867BD">
        <w:t xml:space="preserve">Drawing on a previous finding that accessing capital is the greatest barrier to Aboriginal and Torres Strait Islander economic development (JSCATSIA 2024, </w:t>
      </w:r>
      <w:r w:rsidR="003F4D78">
        <w:t xml:space="preserve">p. </w:t>
      </w:r>
      <w:r w:rsidRPr="000867BD">
        <w:t>xii), this submission highlights barriers to accessing capital that are currently experienced through the native title system – the inability to leverage the true liquid value</w:t>
      </w:r>
      <w:r w:rsidRPr="001F015B">
        <w:rPr>
          <w:rStyle w:val="FootnoteReference"/>
        </w:rPr>
        <w:footnoteReference w:id="2"/>
      </w:r>
      <w:r w:rsidRPr="000867BD">
        <w:t xml:space="preserve"> of native title within conventional financial institutions and the use of charitable trust structures. Additionally, this submission points out the </w:t>
      </w:r>
      <w:r w:rsidRPr="000867BD">
        <w:rPr>
          <w:rStyle w:val="Heading8Char"/>
          <w:rFonts w:eastAsiaTheme="minorHAnsi" w:cstheme="minorBidi"/>
          <w:b w:val="0"/>
          <w:sz w:val="20"/>
          <w:szCs w:val="20"/>
        </w:rPr>
        <w:t>fundamental barriers and necessary reforms for recognising Aboriginal and Torres Strait Islander interests in water management, access and entitlements.</w:t>
      </w:r>
    </w:p>
    <w:p w14:paraId="39B6C87B" w14:textId="07702EA7" w:rsidR="007A7770" w:rsidRPr="000867BD" w:rsidRDefault="007A7770" w:rsidP="000867BD">
      <w:pPr>
        <w:pStyle w:val="BodyText"/>
      </w:pPr>
      <w:r w:rsidRPr="000867BD">
        <w:t xml:space="preserve">The </w:t>
      </w:r>
      <w:r w:rsidR="00A761C0">
        <w:t>PC</w:t>
      </w:r>
      <w:r w:rsidRPr="000867BD">
        <w:t xml:space="preserve"> recommends the ALRC consider legislative and regulatory reform that removes these barriers, thereby expanding options for Traditional Owners to deploy native title capital in a way that aligns with their own aspirations for economic self-determination.</w:t>
      </w:r>
    </w:p>
    <w:p w14:paraId="3435F10C" w14:textId="77777777" w:rsidR="007A7770" w:rsidRPr="00035A57" w:rsidRDefault="007A7770" w:rsidP="00035A57">
      <w:pPr>
        <w:pStyle w:val="Heading2-nonumber"/>
      </w:pPr>
      <w:r w:rsidRPr="00035A57">
        <w:t>Title to land should catalyse Aboriginal-led development</w:t>
      </w:r>
    </w:p>
    <w:p w14:paraId="146D3573" w14:textId="147125D5" w:rsidR="007A7770" w:rsidRPr="006D5C60" w:rsidRDefault="007A7770" w:rsidP="000867BD">
      <w:pPr>
        <w:pStyle w:val="BodyText"/>
      </w:pPr>
      <w:r w:rsidRPr="006D5C60">
        <w:t xml:space="preserve">Title to land is a significant asset for Aboriginal and Torres Strait Islander people. It is also an asset that offers a platform for Aboriginal and Torres Strait Islander people’s participation in </w:t>
      </w:r>
      <w:r>
        <w:t>business.</w:t>
      </w:r>
    </w:p>
    <w:p w14:paraId="3CA83952" w14:textId="13590C32" w:rsidR="007A7770" w:rsidRPr="006D5C60" w:rsidRDefault="007A7770" w:rsidP="000867BD">
      <w:pPr>
        <w:pStyle w:val="BodyText"/>
      </w:pPr>
      <w:r w:rsidRPr="006D5C60">
        <w:t xml:space="preserve">Traditional Owners want to use native title as means of Aboriginal and Torres Strait Islander-led production, not just for passive participation in land use and development (JSTNA 2022, p. 69). Communities are brimming with ideas on how they can best advance sustainable economic, social and cultural outcomes for current and future generations. However, for Traditional Owners, title to land by itself is not enough to secure </w:t>
      </w:r>
      <w:r w:rsidRPr="006D5C60">
        <w:lastRenderedPageBreak/>
        <w:t>investment and finance for community-led development projects. One reason for this is due to the restrictions and complexities Traditional Owners face in leveraging the liquid value of native title.</w:t>
      </w:r>
    </w:p>
    <w:p w14:paraId="1CABCFA4" w14:textId="77777777" w:rsidR="007A7770" w:rsidRPr="006D5C60" w:rsidRDefault="007A7770" w:rsidP="000867BD">
      <w:pPr>
        <w:pStyle w:val="BodyText"/>
        <w:rPr>
          <w:rFonts w:cstheme="minorHAnsi"/>
          <w:lang w:val="en-US"/>
        </w:rPr>
      </w:pPr>
      <w:r w:rsidRPr="006D5C60">
        <w:rPr>
          <w:rFonts w:cstheme="minorHAnsi"/>
          <w:lang w:val="en-US"/>
        </w:rPr>
        <w:t xml:space="preserve">Native title land is difficult to </w:t>
      </w:r>
      <w:r w:rsidRPr="00CE0D43">
        <w:rPr>
          <w:rFonts w:cstheme="minorHAnsi"/>
          <w:lang w:val="en-US"/>
        </w:rPr>
        <w:t>value in liquid terms due</w:t>
      </w:r>
      <w:r w:rsidRPr="006D5C60">
        <w:rPr>
          <w:rFonts w:cstheme="minorHAnsi"/>
          <w:lang w:val="en-US"/>
        </w:rPr>
        <w:t xml:space="preserve"> to its unique legal status and deep cultural significance. Traditional valuation methods may not adequately capture the non-economic value associated with native </w:t>
      </w:r>
      <w:proofErr w:type="gramStart"/>
      <w:r w:rsidRPr="006D5C60">
        <w:rPr>
          <w:rFonts w:cstheme="minorHAnsi"/>
          <w:lang w:val="en-US"/>
        </w:rPr>
        <w:t>title</w:t>
      </w:r>
      <w:proofErr w:type="gramEnd"/>
      <w:r w:rsidRPr="006D5C60">
        <w:rPr>
          <w:rFonts w:cstheme="minorHAnsi"/>
          <w:lang w:val="en-US"/>
        </w:rPr>
        <w:t xml:space="preserve">, such as the spiritual and cultural connections to the land. Further, native title land, due to its inalienable and communal nature, cannot be </w:t>
      </w:r>
      <w:r>
        <w:rPr>
          <w:rFonts w:cstheme="minorHAnsi"/>
          <w:lang w:val="en-US"/>
        </w:rPr>
        <w:t xml:space="preserve">used </w:t>
      </w:r>
      <w:r w:rsidRPr="006D5C60">
        <w:rPr>
          <w:rFonts w:cstheme="minorHAnsi"/>
          <w:lang w:val="en-US"/>
        </w:rPr>
        <w:t xml:space="preserve">as collateral </w:t>
      </w:r>
      <w:r>
        <w:rPr>
          <w:rFonts w:cstheme="minorHAnsi"/>
          <w:lang w:val="en-US"/>
        </w:rPr>
        <w:t xml:space="preserve">for borrowing </w:t>
      </w:r>
      <w:r w:rsidRPr="006D5C60">
        <w:rPr>
          <w:rFonts w:cstheme="minorHAnsi"/>
          <w:lang w:val="en-US"/>
        </w:rPr>
        <w:t xml:space="preserve">amongst most conventional financial institutions. This has the effect of locking Traditional Owners out of mainstream capital markets. </w:t>
      </w:r>
    </w:p>
    <w:p w14:paraId="064979AF" w14:textId="0C5E32A4" w:rsidR="007A7770" w:rsidRPr="006D5C60" w:rsidRDefault="007A7770" w:rsidP="000867BD">
      <w:pPr>
        <w:pStyle w:val="BodyText"/>
      </w:pPr>
      <w:r w:rsidRPr="006D5C60">
        <w:rPr>
          <w:lang w:val="en-US"/>
        </w:rPr>
        <w:t xml:space="preserve">The </w:t>
      </w:r>
      <w:r w:rsidRPr="006D5C60">
        <w:t xml:space="preserve">inability of Traditional Owners to leverage native title land for commercial purposes is a significant barrier to economic self-determination (JSCATSIA 2024, p. 57). </w:t>
      </w:r>
      <w:r w:rsidRPr="006D5C60">
        <w:rPr>
          <w:lang w:val="en-US"/>
        </w:rPr>
        <w:t xml:space="preserve">The </w:t>
      </w:r>
      <w:r w:rsidR="00A761C0">
        <w:rPr>
          <w:lang w:val="en-US"/>
        </w:rPr>
        <w:t>PC</w:t>
      </w:r>
      <w:r w:rsidRPr="006D5C60">
        <w:rPr>
          <w:lang w:val="en-US"/>
        </w:rPr>
        <w:t xml:space="preserve"> notes that the Joint Standing Committee on Aboriginal and Torres Strait Islander Affairs has recommended that the Australian Government ‘strengthen existing, and develop new, instruments to enhance and fast track Aboriginal and Torres Strait Islander people's access to finance and capital’ (JSCATSIA 2024, </w:t>
      </w:r>
      <w:r w:rsidR="009E5117">
        <w:rPr>
          <w:lang w:val="en-US"/>
        </w:rPr>
        <w:t xml:space="preserve">p. </w:t>
      </w:r>
      <w:r>
        <w:rPr>
          <w:lang w:val="en-US"/>
        </w:rPr>
        <w:t>156</w:t>
      </w:r>
      <w:r w:rsidRPr="006D5C60">
        <w:rPr>
          <w:lang w:val="en-US"/>
        </w:rPr>
        <w:t>).</w:t>
      </w:r>
      <w:r w:rsidR="009779E8">
        <w:rPr>
          <w:lang w:val="en-US"/>
        </w:rPr>
        <w:t xml:space="preserve"> </w:t>
      </w:r>
    </w:p>
    <w:p w14:paraId="4BCDDD67" w14:textId="1BB1014A" w:rsidR="007A7770" w:rsidRPr="006D5C60" w:rsidRDefault="007A7770" w:rsidP="000867BD">
      <w:pPr>
        <w:pStyle w:val="BodyText"/>
        <w:rPr>
          <w:lang w:val="en-US"/>
        </w:rPr>
      </w:pPr>
      <w:r w:rsidRPr="006D5C60">
        <w:rPr>
          <w:lang w:val="en-US"/>
        </w:rPr>
        <w:t xml:space="preserve">The </w:t>
      </w:r>
      <w:r w:rsidR="00A761C0">
        <w:rPr>
          <w:lang w:val="en-US"/>
        </w:rPr>
        <w:t>PC</w:t>
      </w:r>
      <w:r w:rsidRPr="006D5C60">
        <w:rPr>
          <w:lang w:val="en-US"/>
        </w:rPr>
        <w:t xml:space="preserve"> supports the recommendation of the Joint Standing Committee. The recommendation </w:t>
      </w:r>
      <w:proofErr w:type="spellStart"/>
      <w:r w:rsidRPr="006D5C60">
        <w:rPr>
          <w:lang w:val="en-US"/>
        </w:rPr>
        <w:t>emphasises</w:t>
      </w:r>
      <w:proofErr w:type="spellEnd"/>
      <w:r w:rsidRPr="006D5C60">
        <w:rPr>
          <w:lang w:val="en-US"/>
        </w:rPr>
        <w:t xml:space="preserve"> the importance of providing Traditional Owners with broader financial mechanisms and choices to pursue economic development opportunities and outcomes aligned with their community aspirations and priorities.</w:t>
      </w:r>
      <w:r w:rsidRPr="00B22261">
        <w:t xml:space="preserve"> </w:t>
      </w:r>
      <w:r w:rsidRPr="00B22261">
        <w:rPr>
          <w:lang w:val="en-US"/>
        </w:rPr>
        <w:t xml:space="preserve">The </w:t>
      </w:r>
      <w:r w:rsidR="00A761C0">
        <w:rPr>
          <w:lang w:val="en-US"/>
        </w:rPr>
        <w:t>PC</w:t>
      </w:r>
      <w:r w:rsidRPr="00B22261">
        <w:rPr>
          <w:lang w:val="en-US"/>
        </w:rPr>
        <w:t xml:space="preserve"> suggests the Government should consider instruments that help recognise the value of native </w:t>
      </w:r>
      <w:proofErr w:type="gramStart"/>
      <w:r w:rsidRPr="00B22261">
        <w:rPr>
          <w:lang w:val="en-US"/>
        </w:rPr>
        <w:t>title</w:t>
      </w:r>
      <w:proofErr w:type="gramEnd"/>
      <w:r w:rsidRPr="00B22261">
        <w:rPr>
          <w:lang w:val="en-US"/>
        </w:rPr>
        <w:t xml:space="preserve"> and allow Traditional Owners to secure investment and finance for community-led development despite the title's unique legal status</w:t>
      </w:r>
      <w:r w:rsidRPr="006D5C60">
        <w:rPr>
          <w:lang w:val="en-US"/>
        </w:rPr>
        <w:t xml:space="preserve">. </w:t>
      </w:r>
      <w:r>
        <w:rPr>
          <w:lang w:val="en-US"/>
        </w:rPr>
        <w:t>Any such</w:t>
      </w:r>
      <w:r w:rsidRPr="006D5C60">
        <w:rPr>
          <w:lang w:val="en-US"/>
        </w:rPr>
        <w:t xml:space="preserve"> instrument must protect underlying native title rights while empowering Traditional Owners to use their assets to achieve cultural, social and economic aspirations. </w:t>
      </w:r>
    </w:p>
    <w:p w14:paraId="33B3A66A" w14:textId="77777777" w:rsidR="007A7770" w:rsidRPr="00035A57" w:rsidRDefault="007A7770" w:rsidP="00035A57">
      <w:pPr>
        <w:pStyle w:val="Heading2-nonumber"/>
      </w:pPr>
      <w:r w:rsidRPr="00035A57">
        <w:t>While charitable trusts protect the integrity of funds, they act as a barrier to economic self-determination</w:t>
      </w:r>
    </w:p>
    <w:p w14:paraId="0E03FCDD" w14:textId="5E7B202B" w:rsidR="007A7770" w:rsidRPr="000867BD" w:rsidRDefault="007A7770" w:rsidP="000867BD">
      <w:pPr>
        <w:pStyle w:val="BodyText"/>
      </w:pPr>
      <w:r w:rsidRPr="000867BD">
        <w:t xml:space="preserve">Under Australia’s current native title system, registered native title body corporate organisations commonly establish charitable trusts to manage native title benefits on behalf of the Traditional Owners for taxation and governance related purposes. While the charitable trust structure is intentionally designed to ensure integrity and accountability by limiting distributions to purposes deemed ‘charitable’ under Australian law, the </w:t>
      </w:r>
      <w:r w:rsidR="00A761C0">
        <w:t>PC</w:t>
      </w:r>
      <w:r w:rsidR="00A761C0" w:rsidRPr="000867BD">
        <w:t xml:space="preserve"> </w:t>
      </w:r>
      <w:r w:rsidRPr="000867BD">
        <w:t xml:space="preserve">has found this structure to inadvertently hinder the opportunity of Aboriginal and Torres Strait Islander economic empowerment through native title benefits (PC 2020, p. 30). </w:t>
      </w:r>
    </w:p>
    <w:p w14:paraId="4A086148" w14:textId="77777777" w:rsidR="007A7770" w:rsidRPr="00C6614A" w:rsidRDefault="007A7770" w:rsidP="000867BD">
      <w:pPr>
        <w:pStyle w:val="BodyText"/>
        <w:rPr>
          <w:spacing w:val="-2"/>
        </w:rPr>
      </w:pPr>
      <w:r w:rsidRPr="00C6614A">
        <w:rPr>
          <w:spacing w:val="-2"/>
        </w:rPr>
        <w:t xml:space="preserve">Under the use of charitable trusts, native title benefits are distributed for activities providing short-term individual benefit – such as scholarships, funeral expenses, white goods, to meet emergent health care costs and provide living necessities for vulnerable families – rather than activities enabling collective sustained community benefit. </w:t>
      </w:r>
    </w:p>
    <w:p w14:paraId="3E88ED6F" w14:textId="04B63AC0" w:rsidR="007A7770" w:rsidRPr="000867BD" w:rsidRDefault="007A7770" w:rsidP="000867BD">
      <w:pPr>
        <w:pStyle w:val="BodyText"/>
      </w:pPr>
      <w:r w:rsidRPr="000867BD">
        <w:t>As a result, substantial amounts of native title funds remain locked in conservative income trusts, rather than being used for active investment and development. This not only results in the underutilisation of native title capital but also diminishes its value over time. For example, data from 2023 outlines that in Western Australia’s Pilbara Region, six of the wealthiest native title groups collectively held over $1.4 billion in income within charitable trusts over the past decade. As of June 2023, 40</w:t>
      </w:r>
      <w:r w:rsidR="00B22C38">
        <w:t>%</w:t>
      </w:r>
      <w:r w:rsidRPr="000867BD">
        <w:t xml:space="preserve"> of that income had been distributed over the past decade (National Indigenous Times 2024). Census data from the Pilbara region shows this </w:t>
      </w:r>
      <w:r w:rsidRPr="000867BD">
        <w:lastRenderedPageBreak/>
        <w:t>substantial amount of native title capital has not equated to strong economic outcomes for Aboriginal and Torres Strait Islander people living in this region (ABS 2021).</w:t>
      </w:r>
      <w:r w:rsidR="00035A57">
        <w:rPr>
          <w:rStyle w:val="FootnoteReference"/>
        </w:rPr>
        <w:footnoteReference w:id="3"/>
      </w:r>
      <w:r w:rsidRPr="00042C16">
        <w:rPr>
          <w:rStyle w:val="FootnoteReference"/>
        </w:rPr>
        <w:t xml:space="preserve"> </w:t>
      </w:r>
    </w:p>
    <w:p w14:paraId="260992D8" w14:textId="2400C584" w:rsidR="007A7770" w:rsidRPr="000867BD" w:rsidRDefault="007A7770" w:rsidP="000867BD">
      <w:pPr>
        <w:pStyle w:val="BodyText"/>
      </w:pPr>
      <w:r w:rsidRPr="000867BD">
        <w:t xml:space="preserve">The </w:t>
      </w:r>
      <w:r w:rsidR="00A761C0">
        <w:t>PC</w:t>
      </w:r>
      <w:r w:rsidRPr="000867BD">
        <w:t xml:space="preserve"> notes that the use of charitable trusts for native title benefits undermines the policy intent of Closing the Gap. It creates a system that blocks long-term economic, social and cultural progress, and fails to deliver intergenerational change for Aboriginal and Torres Strait Islander people. Reform is needed to provide Traditional Owners with greater flexibility and choice in the pathways available for the deployment of native title capital, including enabling investment options beyond those currently limited by charitable law. </w:t>
      </w:r>
    </w:p>
    <w:p w14:paraId="585321F0" w14:textId="77777777" w:rsidR="007A7770" w:rsidRPr="0040431E" w:rsidRDefault="007A7770" w:rsidP="00035A57">
      <w:pPr>
        <w:pStyle w:val="Heading2-nonumber"/>
        <w:rPr>
          <w:spacing w:val="-6"/>
        </w:rPr>
      </w:pPr>
      <w:r w:rsidRPr="0040431E">
        <w:rPr>
          <w:spacing w:val="-6"/>
        </w:rPr>
        <w:t>Access to capital must be enhanced for economic outcomes to be achieved and future productivity gains to be realised</w:t>
      </w:r>
    </w:p>
    <w:p w14:paraId="0849DA3E" w14:textId="77777777" w:rsidR="007A7770" w:rsidRPr="000867BD" w:rsidRDefault="007A7770" w:rsidP="000867BD">
      <w:pPr>
        <w:pStyle w:val="BodyText"/>
      </w:pPr>
      <w:r w:rsidRPr="000867BD">
        <w:t xml:space="preserve">The Aboriginal business sector is seeing significant growth. In 2022 the sector generated $16.1 billion in revenue, employed 116,795 people and paid $4.2 billion in wages (The University of Melbourne 2024, p. 5). </w:t>
      </w:r>
    </w:p>
    <w:p w14:paraId="14463F23" w14:textId="3FD136A0" w:rsidR="007A7770" w:rsidRPr="00131AFC" w:rsidRDefault="007A7770" w:rsidP="000867BD">
      <w:pPr>
        <w:pStyle w:val="BodyText"/>
        <w:rPr>
          <w:spacing w:val="-2"/>
        </w:rPr>
      </w:pPr>
      <w:r w:rsidRPr="00131AFC">
        <w:rPr>
          <w:spacing w:val="-2"/>
        </w:rPr>
        <w:t xml:space="preserve">The </w:t>
      </w:r>
      <w:r w:rsidR="00A761C0" w:rsidRPr="00131AFC">
        <w:rPr>
          <w:spacing w:val="-2"/>
        </w:rPr>
        <w:t>PC</w:t>
      </w:r>
      <w:r w:rsidRPr="00131AFC">
        <w:rPr>
          <w:spacing w:val="-2"/>
        </w:rPr>
        <w:t xml:space="preserve"> acknowledges that the contribution of the Aboriginal business sector goes beyond the financial benefits it has on the Australian economy. Aboriginal businesses are 40 to 100 times more likely to employ Aboriginal and Torres Strait Islander people than non-Aboriginal owned businesses (Supply Nation 2022, p.</w:t>
      </w:r>
      <w:r w:rsidR="00AF4E62">
        <w:rPr>
          <w:spacing w:val="-2"/>
        </w:rPr>
        <w:t> </w:t>
      </w:r>
      <w:r w:rsidRPr="00131AFC">
        <w:rPr>
          <w:spacing w:val="-2"/>
        </w:rPr>
        <w:t xml:space="preserve">1), more likely to use other Aboriginal businesses in their supply chain, offer more Aboriginal training opportunities and create the provision of culturally sensitive services to communities (PWC 2018, p. 18). A multiplier effect is created by the sector that inspires further Aboriginal and Torres Strait Islander entrepreneurship and fosters greater economic, social and cultural development for Aboriginal and Torres Strait Islander people. </w:t>
      </w:r>
    </w:p>
    <w:p w14:paraId="65F0E78C" w14:textId="77777777" w:rsidR="007A7770" w:rsidRPr="000867BD" w:rsidRDefault="007A7770" w:rsidP="000867BD">
      <w:pPr>
        <w:pStyle w:val="BodyText"/>
      </w:pPr>
      <w:r w:rsidRPr="000867BD">
        <w:t xml:space="preserve">There is the potential for significant expansion within the Aboriginal business sector (PWC 2018). However, Aboriginal and Torres Strait Islander owned businesses report increased barriers accessing mainstream finance and business advisory services to start and grow a business (JSCATSIA 2024, p. 15). Such barriers exist due to the complexities in leveraging land to access commercial finance for economic purposes, a lack of institutional trust and negative risk stereotypes. Additionally, government practices have left Aboriginal and Torres Strait Islander communities with low rates of intergenerational wealth transfer. This has limited the avenue of lending finance from family and friends, a widely used tool for economic advancement available to non-Aboriginal and Torres Strait Islander people. </w:t>
      </w:r>
    </w:p>
    <w:p w14:paraId="65EFCAC9" w14:textId="0712C6F7" w:rsidR="007A7770" w:rsidRPr="000867BD" w:rsidRDefault="007A7770" w:rsidP="000867BD">
      <w:pPr>
        <w:pStyle w:val="BodyText"/>
      </w:pPr>
      <w:r w:rsidRPr="000867BD">
        <w:t xml:space="preserve">The continued growth of the sector presents a powerful opportunity to advance economic outcomes for Aboriginal and Torres Strait Islander people. In 2023 the </w:t>
      </w:r>
      <w:r w:rsidR="00A761C0">
        <w:t>PC</w:t>
      </w:r>
      <w:r w:rsidRPr="000867BD">
        <w:t xml:space="preserve"> identified improved access to capital as a key driver of increased productivity (PC 2023, p. 15), and that productivity and prosperity go hand in hand (PC</w:t>
      </w:r>
      <w:r w:rsidR="00131AFC">
        <w:t> </w:t>
      </w:r>
      <w:r w:rsidRPr="000867BD">
        <w:t xml:space="preserve">2023, p. 1). Considering this, and the barrier to finance commonly reported by Aboriginal and Torres Strait Islander owned businesses, this submission recommends the ALRC to consider reforms that enable Traditional Owners to freely explore and make informed decisions regarding the investment of native title capital in Aboriginal and Torres Strait Islander owned enterprises. </w:t>
      </w:r>
    </w:p>
    <w:p w14:paraId="3B43748F" w14:textId="77777777" w:rsidR="007A7770" w:rsidRPr="00035A57" w:rsidRDefault="007A7770" w:rsidP="00035A57">
      <w:pPr>
        <w:pStyle w:val="Heading2-nonumber"/>
      </w:pPr>
      <w:r w:rsidRPr="00035A57">
        <w:lastRenderedPageBreak/>
        <w:t>A call for a new vehicle of benefit management and investment</w:t>
      </w:r>
    </w:p>
    <w:p w14:paraId="25DB6F3D" w14:textId="113D8B25" w:rsidR="007A7770" w:rsidRPr="006D5C60" w:rsidRDefault="007A7770" w:rsidP="000867BD">
      <w:pPr>
        <w:pStyle w:val="BodyText"/>
      </w:pPr>
      <w:r w:rsidRPr="006D5C60">
        <w:t>There is broad recognition across government, business stakeholders and Aboriginal and Torres Strait Islander people that native title has not created sufficient progress towards the economic</w:t>
      </w:r>
      <w:r w:rsidR="009B6968">
        <w:t xml:space="preserve"> </w:t>
      </w:r>
      <w:r w:rsidRPr="006D5C60">
        <w:t xml:space="preserve">self-determination of Aboriginal and Torres Strait Islander people. The </w:t>
      </w:r>
      <w:r w:rsidR="00A761C0">
        <w:t>PC</w:t>
      </w:r>
      <w:r w:rsidRPr="006D5C60">
        <w:t xml:space="preserve"> acknowledges that alongside such recognition has been the call for a new vehicle of benefit management and investment. </w:t>
      </w:r>
    </w:p>
    <w:p w14:paraId="6E47301A" w14:textId="74F4B07A" w:rsidR="007A7770" w:rsidRPr="006D5C60" w:rsidRDefault="007A7770" w:rsidP="000867BD">
      <w:pPr>
        <w:pStyle w:val="BodyText"/>
      </w:pPr>
      <w:r w:rsidRPr="006D5C60">
        <w:t>Reports, such as the Taxation of Native Title and Traditional Owner Benefits and Governance Report, and the Resources Sector Regulation Report, have acknowledged the current charitable trust structure as a significant barrier to unlocking the economic potential of native title capital (Treasury Working Group 2013, p.</w:t>
      </w:r>
      <w:r w:rsidR="00BE3035">
        <w:t> </w:t>
      </w:r>
      <w:r>
        <w:t>15</w:t>
      </w:r>
      <w:r w:rsidRPr="006D5C60">
        <w:t xml:space="preserve">; PC 2020, p. 30). Both reports have identified the need for a new vehicle that will enable Traditional Owners to use native title benefits for broader economic and community development purposes beyond what is currently permitted under charitable law. </w:t>
      </w:r>
    </w:p>
    <w:p w14:paraId="3C0D5772" w14:textId="3067FE77" w:rsidR="007A7770" w:rsidRPr="006D5C60" w:rsidRDefault="007A7770" w:rsidP="000867BD">
      <w:pPr>
        <w:pStyle w:val="BodyText"/>
      </w:pPr>
      <w:r w:rsidRPr="006D5C60">
        <w:t>The 2013 Treasury Working Group Report recommended the establishment of Indigenous Community Development Corporation (ICDC). The proposal for the ICDC was developed in conjunction by the National Native Title Council (NNTC), the Minerals Council of Australia, native title tax experts and Indigenous leaders. Proposed to be established as a not-for-profit corporation, the ICDC would enable native title benefits to be invested in Aboriginal owned businesses and associated initiatives established for community benefit (Treasury Working Group 2013, p. 7).</w:t>
      </w:r>
    </w:p>
    <w:p w14:paraId="66E08FF2" w14:textId="12432EB8" w:rsidR="007A7770" w:rsidRPr="006D5C60" w:rsidRDefault="007A7770" w:rsidP="000867BD">
      <w:pPr>
        <w:pStyle w:val="BodyText"/>
      </w:pPr>
      <w:r w:rsidRPr="006D5C60">
        <w:t>In 2019, the NNTC and the Minerals Council of Australia developed an updated proposal to the ICDC – the Prescribed Body Corporate (PBC) Economic Vehicle Status (EVS) (NNTC 2019, p.</w:t>
      </w:r>
      <w:r w:rsidR="000B77AE">
        <w:t xml:space="preserve"> </w:t>
      </w:r>
      <w:r w:rsidRPr="006D5C60">
        <w:t>3). The PBC EVS proposal involves the establishment of an optional ‘economic vehicle status’ designation available to PBCs. Such a status would allow PBCs to undertake economic development activities while still accessing tax concessions that apply where an organisation is seeking to address disadvantage (NNTC 2019, p. 3). The principles behind the PBC EVS have been endorsed by the 2013 Treasury Taxation of Native Title and Traditional Owner Benefits and Governance Working Group, and by the Our North, Our Future, White Paper on Developing Northern Australia (NNTC 20</w:t>
      </w:r>
      <w:r>
        <w:t>19</w:t>
      </w:r>
      <w:r w:rsidRPr="006D5C60">
        <w:t>, p. 3).</w:t>
      </w:r>
    </w:p>
    <w:p w14:paraId="4FFF2775" w14:textId="0F9D22FD" w:rsidR="007A7770" w:rsidRPr="006D5C60" w:rsidRDefault="007A7770" w:rsidP="000867BD">
      <w:pPr>
        <w:pStyle w:val="BodyText"/>
      </w:pPr>
      <w:r w:rsidRPr="006D5C60">
        <w:t xml:space="preserve">The </w:t>
      </w:r>
      <w:r w:rsidR="00A761C0">
        <w:t>PC</w:t>
      </w:r>
      <w:r w:rsidRPr="006D5C60">
        <w:t xml:space="preserve"> notes that despite being recommended to Government through numerous reviews and submissions (Treasury Working Group 2013, p. 7; NNTC 2019, p.</w:t>
      </w:r>
      <w:r w:rsidR="007129D1">
        <w:t xml:space="preserve"> </w:t>
      </w:r>
      <w:r w:rsidRPr="006D5C60">
        <w:t>3; NNTC 2020, p. 1; NNTC 2023, p.</w:t>
      </w:r>
      <w:r w:rsidR="006A3168">
        <w:t xml:space="preserve"> </w:t>
      </w:r>
      <w:r w:rsidRPr="006D5C60">
        <w:t xml:space="preserve">33), neither the ICDC nor the PBC EVS proposals have been implemented by the Government. The </w:t>
      </w:r>
      <w:r w:rsidR="00A761C0">
        <w:t>PC</w:t>
      </w:r>
      <w:r w:rsidRPr="006D5C60">
        <w:t xml:space="preserve"> submits the benefit such proposals would have on broadening the range of options available to Traditional Owners to effectively leverage native title for investment, enterprise development and economic and community development.</w:t>
      </w:r>
    </w:p>
    <w:p w14:paraId="0A99869A" w14:textId="25ADF05A" w:rsidR="007A7770" w:rsidRPr="006D5C60" w:rsidRDefault="007A7770" w:rsidP="000867BD">
      <w:pPr>
        <w:pStyle w:val="BodyText"/>
      </w:pPr>
      <w:r w:rsidRPr="006D5C60">
        <w:t xml:space="preserve">In considering options for a new vehicle of benefit management and investment, the </w:t>
      </w:r>
      <w:r w:rsidR="00A761C0">
        <w:t>PC</w:t>
      </w:r>
      <w:r w:rsidRPr="006D5C60">
        <w:t xml:space="preserve"> recommends the ALRC also look to the example of New Zealand’s post-Treaty settlement framework – particularly the role of Post-Settlement Governance Entities (PGSEs). PGSEs are designed to empower Māori iwi with the autonomy to manage settlement assets for intergenerational benefit, offering flexibility to invest in enterprise development, property, education, and environment initiatives, among others, in ways that align with community values and aspirations.</w:t>
      </w:r>
    </w:p>
    <w:p w14:paraId="3ECD8648" w14:textId="4AC9D705" w:rsidR="007A7770" w:rsidRPr="006D5C60" w:rsidRDefault="007A7770" w:rsidP="000867BD">
      <w:pPr>
        <w:pStyle w:val="BodyText"/>
      </w:pPr>
      <w:r w:rsidRPr="006D5C60">
        <w:t>Similarly, Aboriginal Investment NT provides a compelling domestic precedent. An Aboriginal-led financial institution, the organisation provides a platform for Traditional Owners in the Northern Territory to make informed investment decisions with royalties derived from mining on Aboriginal land. Providing grants to support community-led projects and Aboriginal enterprise development on the ground today, through to long term investments that build inter-generational wealth, Aboriginal Investment NT</w:t>
      </w:r>
      <w:r w:rsidR="00C646E7">
        <w:t>’</w:t>
      </w:r>
      <w:r w:rsidRPr="006D5C60">
        <w:t xml:space="preserve">s dual fund model ensures that capital is not only around for future </w:t>
      </w:r>
      <w:proofErr w:type="gramStart"/>
      <w:r w:rsidRPr="006D5C60">
        <w:t>generations, but</w:t>
      </w:r>
      <w:proofErr w:type="gramEnd"/>
      <w:r w:rsidRPr="006D5C60">
        <w:t xml:space="preserve"> actively used in line with community-driven </w:t>
      </w:r>
      <w:r w:rsidRPr="006D5C60">
        <w:lastRenderedPageBreak/>
        <w:t xml:space="preserve">aspirations and priorities. Such a model enables choice, flexibility and self-determination in economic development for Traditional Owners in the Northern Territory. </w:t>
      </w:r>
    </w:p>
    <w:p w14:paraId="6DA544CE" w14:textId="77777777" w:rsidR="007A7770" w:rsidRDefault="007A7770" w:rsidP="000867BD">
      <w:pPr>
        <w:pStyle w:val="BodyText"/>
      </w:pPr>
      <w:r w:rsidRPr="006D5C60">
        <w:t xml:space="preserve">The establishment of a new vehicle of benefit management and investment has the potential to open the door for intergenerational wealth creation for Aboriginal and Torres Strait Islander people, directly supporting the government’s economic empowerment agenda and the policy objective embodied in the National Agreement on Closing the Gap. </w:t>
      </w:r>
    </w:p>
    <w:p w14:paraId="784D8C11" w14:textId="766E2A6D" w:rsidR="007A7770" w:rsidRPr="00035A57" w:rsidRDefault="007A7770" w:rsidP="00035A57">
      <w:pPr>
        <w:pStyle w:val="Heading2-nonumber"/>
        <w:rPr>
          <w:rStyle w:val="normaltextrun"/>
        </w:rPr>
      </w:pPr>
      <w:r w:rsidRPr="00035A57">
        <w:rPr>
          <w:rStyle w:val="normaltextrun"/>
        </w:rPr>
        <w:t>Further reform is needed to recognise interests in water management, access and entitlements</w:t>
      </w:r>
    </w:p>
    <w:p w14:paraId="5203647B" w14:textId="77777777" w:rsidR="007A7770" w:rsidRPr="009B6968" w:rsidRDefault="007A7770" w:rsidP="009B6968">
      <w:pPr>
        <w:pStyle w:val="BodyText"/>
        <w:rPr>
          <w:rStyle w:val="normaltextrun"/>
        </w:rPr>
      </w:pPr>
      <w:r w:rsidRPr="009B6968">
        <w:rPr>
          <w:rStyle w:val="normaltextrun"/>
        </w:rPr>
        <w:t xml:space="preserve">Opportunities for Aboriginal and Torres Strait Islander people to determine when, where and how they </w:t>
      </w:r>
      <w:proofErr w:type="gramStart"/>
      <w:r w:rsidRPr="009B6968">
        <w:rPr>
          <w:rStyle w:val="normaltextrun"/>
        </w:rPr>
        <w:t>use</w:t>
      </w:r>
      <w:proofErr w:type="gramEnd"/>
      <w:r w:rsidRPr="009B6968">
        <w:rPr>
          <w:rStyle w:val="normaltextrun"/>
        </w:rPr>
        <w:t xml:space="preserve"> and access water also holds significant potential for economic development and for emotional, cultural and spiritual wellbeing.</w:t>
      </w:r>
      <w:r w:rsidRPr="00042C16">
        <w:rPr>
          <w:rStyle w:val="FootnoteReference"/>
        </w:rPr>
        <w:footnoteReference w:id="4"/>
      </w:r>
      <w:r w:rsidRPr="009B6968">
        <w:rPr>
          <w:rStyle w:val="normaltextrun"/>
        </w:rPr>
        <w:t xml:space="preserve"> </w:t>
      </w:r>
    </w:p>
    <w:p w14:paraId="6732A9B5" w14:textId="4BBE1487" w:rsidR="007A7770" w:rsidRPr="009B6968" w:rsidRDefault="007A7770" w:rsidP="009B6968">
      <w:pPr>
        <w:pStyle w:val="BodyText"/>
        <w:rPr>
          <w:rStyle w:val="normaltextrun"/>
        </w:rPr>
      </w:pPr>
      <w:r w:rsidRPr="009B6968">
        <w:rPr>
          <w:rStyle w:val="normaltextrun"/>
        </w:rPr>
        <w:t xml:space="preserve">The proposed reforms aim to address some of the specific shortcomings relating to water in the Future Acts Regime. As the </w:t>
      </w:r>
      <w:r w:rsidR="00327376">
        <w:rPr>
          <w:rStyle w:val="normaltextrun"/>
        </w:rPr>
        <w:t>d</w:t>
      </w:r>
      <w:r w:rsidRPr="009B6968">
        <w:rPr>
          <w:rStyle w:val="normaltextrun"/>
        </w:rPr>
        <w:t xml:space="preserve">iscussion </w:t>
      </w:r>
      <w:r w:rsidR="00327376">
        <w:rPr>
          <w:rStyle w:val="normaltextrun"/>
        </w:rPr>
        <w:t>p</w:t>
      </w:r>
      <w:r w:rsidRPr="009B6968">
        <w:rPr>
          <w:rStyle w:val="normaltextrun"/>
        </w:rPr>
        <w:t>aper recognises, most common future acts impacting water only attract a right to comment, not a right to negotiate, and this right to comment is inadequate for mitigating the impacts of future acts on water.</w:t>
      </w:r>
      <w:r w:rsidR="009779E8">
        <w:rPr>
          <w:rStyle w:val="normaltextrun"/>
        </w:rPr>
        <w:t xml:space="preserve"> </w:t>
      </w:r>
      <w:r w:rsidRPr="009B6968">
        <w:rPr>
          <w:rStyle w:val="normaltextrun"/>
        </w:rPr>
        <w:t>The proposed impact-based model to categorise future acts (</w:t>
      </w:r>
      <w:r w:rsidR="00DA7B68">
        <w:rPr>
          <w:rStyle w:val="normaltextrun"/>
        </w:rPr>
        <w:t>q</w:t>
      </w:r>
      <w:r w:rsidRPr="009B6968">
        <w:rPr>
          <w:rStyle w:val="normaltextrun"/>
        </w:rPr>
        <w:t>uestion 14) aims to address this inadequacy. The ALRC is also proposing amendments (</w:t>
      </w:r>
      <w:r w:rsidR="00DA7B68">
        <w:rPr>
          <w:rStyle w:val="normaltextrun"/>
        </w:rPr>
        <w:t>q</w:t>
      </w:r>
      <w:r w:rsidRPr="009B6968">
        <w:rPr>
          <w:rStyle w:val="normaltextrun"/>
        </w:rPr>
        <w:t xml:space="preserve">uestion 16), recognising that the interconnected nature of water systems means that the impact of an act may occur in a location beyond, and a time later, than that which at the act occurred. Beyond these proposals, the ALRC should clarify how baselines will be developed to assess impact, including depending on what hydrogeological and other information is available, collected and monitored. In aiming to address ongoing and cumulative impacts, it is also important </w:t>
      </w:r>
      <w:r w:rsidR="00252B98">
        <w:rPr>
          <w:rStyle w:val="normaltextrun"/>
        </w:rPr>
        <w:t>for</w:t>
      </w:r>
      <w:r w:rsidRPr="009B6968">
        <w:rPr>
          <w:rStyle w:val="normaltextrun"/>
        </w:rPr>
        <w:t xml:space="preserve"> the ALRC to clarify how it will reconcile the impact-based model for future acts with past water management and allocation decisions that caused (or are continuing to cause) negative impacts.</w:t>
      </w:r>
      <w:r w:rsidRPr="00042C16">
        <w:rPr>
          <w:rStyle w:val="FootnoteReference"/>
        </w:rPr>
        <w:footnoteReference w:id="5"/>
      </w:r>
    </w:p>
    <w:p w14:paraId="1DA57B98" w14:textId="72DCDC34" w:rsidR="007A7770" w:rsidRPr="0053476D" w:rsidRDefault="007A7770" w:rsidP="009B6968">
      <w:pPr>
        <w:pStyle w:val="BodyText"/>
        <w:rPr>
          <w:rStyle w:val="normaltextrun"/>
          <w:spacing w:val="-2"/>
        </w:rPr>
      </w:pPr>
      <w:r w:rsidRPr="0053476D">
        <w:rPr>
          <w:rStyle w:val="normaltextrun"/>
          <w:spacing w:val="-2"/>
        </w:rPr>
        <w:t>The ALRC is also seeking input relating to whether water management planning frameworks should be classified as future acts (question 17). To address this question, the ALRC should clarify how the model will be operationalised in a range of water plan contexts. Under the National Water Initiative (NWI)</w:t>
      </w:r>
      <w:r w:rsidR="009779E8" w:rsidRPr="0053476D">
        <w:rPr>
          <w:rStyle w:val="normaltextrun"/>
          <w:spacing w:val="-2"/>
        </w:rPr>
        <w:t xml:space="preserve"> </w:t>
      </w:r>
      <w:r w:rsidRPr="0053476D">
        <w:rPr>
          <w:rStyle w:val="normaltextrun"/>
          <w:spacing w:val="-2"/>
        </w:rPr>
        <w:t>(COAG</w:t>
      </w:r>
      <w:r w:rsidR="0053476D" w:rsidRPr="0053476D">
        <w:rPr>
          <w:rStyle w:val="normaltextrun"/>
          <w:spacing w:val="-2"/>
        </w:rPr>
        <w:t> </w:t>
      </w:r>
      <w:r w:rsidRPr="0053476D">
        <w:rPr>
          <w:rStyle w:val="normaltextrun"/>
          <w:spacing w:val="-2"/>
        </w:rPr>
        <w:t xml:space="preserve">2004), jurisdictions are required to prepare statutory water plans for surface water and groundwater management systems in which entitlements are issued. The NWI also allows jurisdictions to determine the need for water </w:t>
      </w:r>
      <w:r w:rsidRPr="0053476D">
        <w:rPr>
          <w:spacing w:val="-2"/>
        </w:rPr>
        <w:t>plans for specific areas based on an assessment of the level of development, projected future consumptive demand, and the risks of not having a detailed plan</w:t>
      </w:r>
      <w:r w:rsidR="00BE3035" w:rsidRPr="0053476D">
        <w:rPr>
          <w:spacing w:val="-2"/>
        </w:rPr>
        <w:t>.</w:t>
      </w:r>
      <w:r w:rsidRPr="0053476D">
        <w:rPr>
          <w:rStyle w:val="FootnoteReference"/>
          <w:spacing w:val="-2"/>
        </w:rPr>
        <w:footnoteReference w:id="6"/>
      </w:r>
      <w:r w:rsidRPr="0053476D">
        <w:rPr>
          <w:spacing w:val="-2"/>
        </w:rPr>
        <w:t xml:space="preserve"> Depending on the water system, across Australia plans are variously in place, in development, undergoing or scheduled for review, or have not been developed. The ALRC should also consider how proposed reforms will interact with water planning processes, and affect the </w:t>
      </w:r>
      <w:r w:rsidRPr="0053476D">
        <w:rPr>
          <w:spacing w:val="-2"/>
        </w:rPr>
        <w:lastRenderedPageBreak/>
        <w:t xml:space="preserve">aims of water planning, in contexts where concerns have been expressed about: </w:t>
      </w:r>
      <w:proofErr w:type="gramStart"/>
      <w:r w:rsidRPr="0053476D">
        <w:rPr>
          <w:spacing w:val="-2"/>
        </w:rPr>
        <w:t>whether or not</w:t>
      </w:r>
      <w:proofErr w:type="gramEnd"/>
      <w:r w:rsidRPr="0053476D">
        <w:rPr>
          <w:spacing w:val="-2"/>
        </w:rPr>
        <w:t xml:space="preserve"> a water plan is needed, delays to water plan development, and/or the quality of governments’ engagement processes.</w:t>
      </w:r>
    </w:p>
    <w:p w14:paraId="70832CD7" w14:textId="1288E70C" w:rsidR="007A7770" w:rsidRPr="00794A2C" w:rsidRDefault="007A7770" w:rsidP="009B6968">
      <w:pPr>
        <w:pStyle w:val="BodyText"/>
        <w:rPr>
          <w:rStyle w:val="normaltextrun"/>
          <w:spacing w:val="-2"/>
        </w:rPr>
      </w:pPr>
      <w:r w:rsidRPr="00794A2C">
        <w:rPr>
          <w:rStyle w:val="normaltextrun"/>
          <w:spacing w:val="-2"/>
        </w:rPr>
        <w:t xml:space="preserve">Moreover, the </w:t>
      </w:r>
      <w:r w:rsidR="002062F1" w:rsidRPr="00794A2C">
        <w:rPr>
          <w:rStyle w:val="normaltextrun"/>
          <w:spacing w:val="-2"/>
        </w:rPr>
        <w:t>d</w:t>
      </w:r>
      <w:r w:rsidRPr="00794A2C">
        <w:rPr>
          <w:rStyle w:val="normaltextrun"/>
          <w:spacing w:val="-2"/>
        </w:rPr>
        <w:t xml:space="preserve">iscussion </w:t>
      </w:r>
      <w:r w:rsidR="002062F1" w:rsidRPr="00794A2C">
        <w:rPr>
          <w:rStyle w:val="normaltextrun"/>
          <w:spacing w:val="-2"/>
        </w:rPr>
        <w:t>p</w:t>
      </w:r>
      <w:r w:rsidRPr="00794A2C">
        <w:rPr>
          <w:rStyle w:val="normaltextrun"/>
          <w:spacing w:val="-2"/>
        </w:rPr>
        <w:t xml:space="preserve">aper overlooks many fundamental barriers and necessary reforms for recognising Aboriginal and Torres Strait Islander interests in water management, access and entitlements – including those outlined in successive </w:t>
      </w:r>
      <w:r w:rsidR="00A761C0" w:rsidRPr="00794A2C">
        <w:rPr>
          <w:rStyle w:val="normaltextrun"/>
          <w:spacing w:val="-2"/>
        </w:rPr>
        <w:t>PC</w:t>
      </w:r>
      <w:r w:rsidRPr="00794A2C">
        <w:rPr>
          <w:rStyle w:val="normaltextrun"/>
          <w:spacing w:val="-2"/>
        </w:rPr>
        <w:t xml:space="preserve"> inquiries into national water reform and implementation of the Murray</w:t>
      </w:r>
      <w:r w:rsidR="00426F60" w:rsidRPr="00794A2C">
        <w:rPr>
          <w:rStyle w:val="normaltextrun"/>
          <w:spacing w:val="-2"/>
        </w:rPr>
        <w:t>–</w:t>
      </w:r>
      <w:r w:rsidRPr="00794A2C">
        <w:rPr>
          <w:rStyle w:val="normaltextrun"/>
          <w:spacing w:val="-2"/>
        </w:rPr>
        <w:t xml:space="preserve">Darling Basin Plan (PC 2018, 2021, 2023, 2024). </w:t>
      </w:r>
    </w:p>
    <w:p w14:paraId="735C1DE7" w14:textId="69C3A522" w:rsidR="007A7770" w:rsidRPr="009B6968" w:rsidRDefault="007A7770" w:rsidP="009B6968">
      <w:pPr>
        <w:pStyle w:val="BodyText"/>
      </w:pPr>
      <w:r w:rsidRPr="009B6968">
        <w:t xml:space="preserve">Under the NWI (COAG 2004), all jurisdictions committed to </w:t>
      </w:r>
      <w:proofErr w:type="gramStart"/>
      <w:r w:rsidRPr="009B6968">
        <w:t>taking into account</w:t>
      </w:r>
      <w:proofErr w:type="gramEnd"/>
      <w:r w:rsidRPr="009B6968">
        <w:t xml:space="preserve"> the possible existence of native title rights to water. However, native title does not automatically provide access to water in the form of statutory entitlements (</w:t>
      </w:r>
      <w:r w:rsidR="00794A2C" w:rsidRPr="009B6968">
        <w:t>i.e.</w:t>
      </w:r>
      <w:r w:rsidRPr="009B6968">
        <w:t xml:space="preserve"> secure property rights, that would foster investment confidence). Native title determinations can include rights to access and use water for domestic, social or cultural purposes, but the right to use water for commercial or economic purposes in native title determinations are rare.</w:t>
      </w:r>
      <w:r w:rsidRPr="00042C16">
        <w:rPr>
          <w:rStyle w:val="FootnoteReference"/>
        </w:rPr>
        <w:footnoteReference w:id="7"/>
      </w:r>
    </w:p>
    <w:p w14:paraId="2FF4130A" w14:textId="31BC5625" w:rsidR="007A7770" w:rsidRPr="009B6968" w:rsidRDefault="007A7770" w:rsidP="009B6968">
      <w:pPr>
        <w:pStyle w:val="BodyText"/>
      </w:pPr>
      <w:r w:rsidRPr="009B6968">
        <w:t xml:space="preserve">Some states have created alternative ways for Traditional Owners to access water based on native title rights, such as strategic Aboriginal Water Reserves (SAWRs) in NT, Queensland and Western Australia. However, there are </w:t>
      </w:r>
      <w:proofErr w:type="gramStart"/>
      <w:r w:rsidRPr="009B6968">
        <w:t>a number of</w:t>
      </w:r>
      <w:proofErr w:type="gramEnd"/>
      <w:r w:rsidRPr="009B6968">
        <w:t xml:space="preserve"> barriers to accessing this water, and at the time of the </w:t>
      </w:r>
      <w:r w:rsidR="00A761C0">
        <w:t>PC</w:t>
      </w:r>
      <w:r w:rsidRPr="009B6968">
        <w:t xml:space="preserve"> assessment of national water reform in 2024, governments had provided no or limited information about the application processes. There are very few examples of the use of native title rights by Traditional Owners to access water through SAWRs (PC 2021, p. 44, 2024, p. 81).</w:t>
      </w:r>
    </w:p>
    <w:p w14:paraId="418B44AB" w14:textId="59C7D0C5" w:rsidR="007A7770" w:rsidRPr="009B6968" w:rsidRDefault="007A7770" w:rsidP="009B6968">
      <w:pPr>
        <w:pStyle w:val="BodyText"/>
      </w:pPr>
      <w:r w:rsidRPr="009B6968">
        <w:t xml:space="preserve">There </w:t>
      </w:r>
      <w:r w:rsidR="00BE5CA9">
        <w:t>is</w:t>
      </w:r>
      <w:r w:rsidRPr="009B6968">
        <w:t xml:space="preserve"> also significant need for governments to continue to enhance the role of Aboriginal and Torres Strait Islander people in water gove</w:t>
      </w:r>
      <w:r w:rsidR="006901E3">
        <w:t>r</w:t>
      </w:r>
      <w:r w:rsidRPr="009B6968">
        <w:t>nance and management, to transparently report on how engagement informs water planning, and to provide funding and capacity strengthening to support water management partnerships (PC 2024, p.</w:t>
      </w:r>
      <w:r w:rsidR="004D682E">
        <w:t xml:space="preserve"> </w:t>
      </w:r>
      <w:r w:rsidRPr="009B6968">
        <w:t>71</w:t>
      </w:r>
      <w:r w:rsidR="00000EBE">
        <w:t>,</w:t>
      </w:r>
      <w:r w:rsidRPr="009B6968">
        <w:t xml:space="preserve"> 2023, p</w:t>
      </w:r>
      <w:r w:rsidR="006F39B0">
        <w:t>p</w:t>
      </w:r>
      <w:r w:rsidRPr="009B6968">
        <w:t>.164, 171</w:t>
      </w:r>
      <w:r w:rsidR="00F33C16">
        <w:t>–</w:t>
      </w:r>
      <w:r w:rsidRPr="009B6968">
        <w:t>172)</w:t>
      </w:r>
      <w:r w:rsidR="009B6968">
        <w:t>.</w:t>
      </w:r>
    </w:p>
    <w:p w14:paraId="16D62C64" w14:textId="3208089C" w:rsidR="007A7770" w:rsidRPr="009B6968" w:rsidRDefault="007A7770" w:rsidP="009B6968">
      <w:pPr>
        <w:pStyle w:val="BodyText"/>
      </w:pPr>
      <w:r w:rsidRPr="009B6968">
        <w:t xml:space="preserve">The </w:t>
      </w:r>
      <w:r w:rsidR="00A761C0">
        <w:t>PC</w:t>
      </w:r>
      <w:r w:rsidRPr="009B6968">
        <w:t xml:space="preserve"> recommends that the ALRC further explore opportunities for meaningful reform to recognise Aboriginal and Torres Strait Islander interests in water management, access and entitlements.</w:t>
      </w:r>
    </w:p>
    <w:p w14:paraId="3171AAC2" w14:textId="77777777" w:rsidR="007A7770" w:rsidRPr="009779E8" w:rsidRDefault="007A7770" w:rsidP="001F015B">
      <w:pPr>
        <w:pStyle w:val="Heading2-nonumber"/>
        <w:rPr>
          <w:spacing w:val="-6"/>
        </w:rPr>
      </w:pPr>
      <w:r w:rsidRPr="009779E8">
        <w:rPr>
          <w:spacing w:val="-6"/>
        </w:rPr>
        <w:t>Unlocking the potential of native title requires urgent reform</w:t>
      </w:r>
    </w:p>
    <w:p w14:paraId="70B09151" w14:textId="0A1FBAA3" w:rsidR="007A7770" w:rsidRPr="006D5C60" w:rsidRDefault="007A7770" w:rsidP="000867BD">
      <w:pPr>
        <w:pStyle w:val="BodyText"/>
        <w:rPr>
          <w:lang w:val="en-US"/>
        </w:rPr>
      </w:pPr>
      <w:r w:rsidRPr="006D5C60">
        <w:t xml:space="preserve">A recent inquiry found that accessing capital is the greatest barrier to Aboriginal and Torres Strait Islander economic development (JSCATSIA 2024, </w:t>
      </w:r>
      <w:r w:rsidR="00AF3CD8">
        <w:t xml:space="preserve">p. </w:t>
      </w:r>
      <w:r w:rsidRPr="006D5C60">
        <w:t xml:space="preserve">xii). This submission has highlighted areas within Australia’s native title system where significant barriers to accessing capital exist for Traditional Owners and Aboriginal and Torres Strait Islander people, </w:t>
      </w:r>
      <w:r w:rsidRPr="006D5C60">
        <w:rPr>
          <w:lang w:val="en-US"/>
        </w:rPr>
        <w:t xml:space="preserve">as well as the </w:t>
      </w:r>
      <w:r w:rsidRPr="006D5C60">
        <w:rPr>
          <w:rStyle w:val="normaltextrun"/>
        </w:rPr>
        <w:t>fundamental barriers in recognising Aboriginal and Torres Strait Islander interests in water management, access and entitlements.</w:t>
      </w:r>
    </w:p>
    <w:p w14:paraId="4FD375B5" w14:textId="77777777" w:rsidR="003F4D78" w:rsidRDefault="007A7770" w:rsidP="000867BD">
      <w:pPr>
        <w:pStyle w:val="BodyText"/>
      </w:pPr>
      <w:r w:rsidRPr="006D5C60">
        <w:t xml:space="preserve">The </w:t>
      </w:r>
      <w:r w:rsidR="00A761C0">
        <w:t>PC</w:t>
      </w:r>
      <w:r w:rsidRPr="006D5C60">
        <w:t xml:space="preserve"> recommends the ALRC to further explore the barriers highlighted in this submission and consider options for reform developed in partnership with Traditional Owners. Without meaningful reform in these areas, Traditional Owners will not be able to fully unlock the economic potential of native title and create sustainable social, cultural and economic development aligned with their communities’ aspirations. </w:t>
      </w:r>
    </w:p>
    <w:p w14:paraId="6B073B00" w14:textId="34B64720" w:rsidR="003F4D78" w:rsidRDefault="003F4D78" w:rsidP="000867BD">
      <w:pPr>
        <w:pStyle w:val="BodyText"/>
      </w:pPr>
      <w:r>
        <w:br w:type="page"/>
      </w:r>
    </w:p>
    <w:p w14:paraId="0F6F641E" w14:textId="77777777" w:rsidR="007A7770" w:rsidRPr="00C6614A" w:rsidRDefault="007A7770" w:rsidP="00C93767">
      <w:pPr>
        <w:pStyle w:val="Heading2-nonumber"/>
      </w:pPr>
      <w:r w:rsidRPr="00C6614A">
        <w:lastRenderedPageBreak/>
        <w:t>References</w:t>
      </w:r>
    </w:p>
    <w:p w14:paraId="1F3ED2FD" w14:textId="77777777" w:rsidR="000867BD" w:rsidRPr="00C6614A" w:rsidRDefault="000867BD" w:rsidP="00C93767">
      <w:pPr>
        <w:pStyle w:val="Reference"/>
        <w:keepNext/>
        <w:keepLines/>
        <w:sectPr w:rsidR="000867BD" w:rsidRPr="00C6614A" w:rsidSect="00F54CD1">
          <w:headerReference w:type="even" r:id="rId29"/>
          <w:headerReference w:type="default" r:id="rId30"/>
          <w:footerReference w:type="default" r:id="rId31"/>
          <w:headerReference w:type="first" r:id="rId32"/>
          <w:type w:val="continuous"/>
          <w:pgSz w:w="11906" w:h="16838" w:code="9"/>
          <w:pgMar w:top="1134" w:right="1134" w:bottom="1134" w:left="1134" w:header="794" w:footer="510" w:gutter="0"/>
          <w:cols w:space="708"/>
          <w:docGrid w:linePitch="360"/>
        </w:sectPr>
      </w:pPr>
    </w:p>
    <w:p w14:paraId="3F6082C7" w14:textId="671C6F89" w:rsidR="007A7770" w:rsidRPr="0005716D" w:rsidRDefault="007A7770" w:rsidP="00C93767">
      <w:pPr>
        <w:pStyle w:val="Reference"/>
        <w:keepNext/>
        <w:keepLines/>
      </w:pPr>
      <w:r w:rsidRPr="006D5C60">
        <w:t xml:space="preserve">ABS (Australian Bureau of Statistics) 2021, </w:t>
      </w:r>
      <w:r w:rsidRPr="006D5C60">
        <w:rPr>
          <w:i/>
          <w:iCs/>
        </w:rPr>
        <w:t xml:space="preserve">Housing Statistics for </w:t>
      </w:r>
      <w:r w:rsidRPr="0005716D">
        <w:rPr>
          <w:i/>
          <w:iCs/>
        </w:rPr>
        <w:t>Aboriginal and Torres Strait Islander Peoples</w:t>
      </w:r>
      <w:r w:rsidRPr="0005716D">
        <w:t xml:space="preserve">, ABS, </w:t>
      </w:r>
      <w:r w:rsidRPr="003F4D78">
        <w:rPr>
          <w:lang w:val="en-US"/>
        </w:rPr>
        <w:t>https://www.abs.gov.au/statistics/people/aboriginal-and-torres-strait-islander-peoples/housing-statistics-aboriginal-and-torres-strait-islander-peoples/latest-release</w:t>
      </w:r>
      <w:r w:rsidRPr="0005716D">
        <w:t>, accessed 17 June 2025</w:t>
      </w:r>
    </w:p>
    <w:p w14:paraId="7485E8C0" w14:textId="51332C78" w:rsidR="007A7770" w:rsidRPr="0005716D" w:rsidRDefault="00042C16" w:rsidP="007A7770">
      <w:pPr>
        <w:pStyle w:val="Reference"/>
      </w:pPr>
      <w:r w:rsidRPr="0005716D">
        <w:t>___</w:t>
      </w:r>
      <w:r w:rsidR="007A7770" w:rsidRPr="0005716D">
        <w:t xml:space="preserve"> 2021, </w:t>
      </w:r>
      <w:r w:rsidR="007A7770" w:rsidRPr="0005716D">
        <w:rPr>
          <w:i/>
          <w:iCs/>
        </w:rPr>
        <w:t>Data by Region: West Pilbara Region</w:t>
      </w:r>
      <w:r w:rsidR="007A7770" w:rsidRPr="0005716D">
        <w:t xml:space="preserve">, ABS, </w:t>
      </w:r>
      <w:r w:rsidR="007A7770" w:rsidRPr="003F4D78">
        <w:t>https://dbr.abs.gov.au/region.html?lyr=sa3&amp;rgn=51003</w:t>
      </w:r>
      <w:r w:rsidR="007A7770" w:rsidRPr="0005716D">
        <w:t xml:space="preserve">, accessed 18 June 2025. </w:t>
      </w:r>
    </w:p>
    <w:p w14:paraId="503F137F" w14:textId="78BE2801" w:rsidR="007A7770" w:rsidRDefault="00042C16" w:rsidP="007A7770">
      <w:pPr>
        <w:pStyle w:val="Reference"/>
      </w:pPr>
      <w:r>
        <w:t>___</w:t>
      </w:r>
      <w:r w:rsidR="007A7770" w:rsidRPr="006D5C60">
        <w:t xml:space="preserve"> 2021, </w:t>
      </w:r>
      <w:r w:rsidR="007A7770" w:rsidRPr="006D5C60">
        <w:rPr>
          <w:i/>
          <w:iCs/>
        </w:rPr>
        <w:t>Data by Region: East Pilbara Region</w:t>
      </w:r>
      <w:r w:rsidR="007A7770" w:rsidRPr="006D5C60">
        <w:t xml:space="preserve">, ABS, https://dbr.abs.gov.au/region.html?lyr=sa3&amp;rgn=51002, accessed 18 June 2025. </w:t>
      </w:r>
    </w:p>
    <w:p w14:paraId="1EDBD1D2" w14:textId="2CDBE98E" w:rsidR="007A7770" w:rsidRPr="00E064DC" w:rsidRDefault="007A7770" w:rsidP="007A7770">
      <w:pPr>
        <w:pStyle w:val="Reference"/>
        <w:rPr>
          <w:spacing w:val="-4"/>
        </w:rPr>
      </w:pPr>
      <w:r w:rsidRPr="00E064DC">
        <w:rPr>
          <w:spacing w:val="-4"/>
        </w:rPr>
        <w:t xml:space="preserve">AHRC (Australian Human Rights Commission) 2015, </w:t>
      </w:r>
      <w:r w:rsidRPr="00E064DC">
        <w:rPr>
          <w:i/>
          <w:iCs/>
          <w:spacing w:val="-4"/>
        </w:rPr>
        <w:t>Social Justice and Native Title Report 2015</w:t>
      </w:r>
      <w:r w:rsidRPr="00E064DC">
        <w:rPr>
          <w:spacing w:val="-4"/>
        </w:rPr>
        <w:t xml:space="preserve">, Sydney. </w:t>
      </w:r>
    </w:p>
    <w:p w14:paraId="720D213B" w14:textId="77777777" w:rsidR="007A7770" w:rsidRPr="006D5C60" w:rsidRDefault="007A7770" w:rsidP="007A7770">
      <w:pPr>
        <w:pStyle w:val="Reference"/>
      </w:pPr>
      <w:r w:rsidRPr="006D5C60">
        <w:t xml:space="preserve">Bodle, K, Eva, C, Foley, D, Harris, J, Hunter B 2022, </w:t>
      </w:r>
      <w:r w:rsidRPr="006D5C60">
        <w:rPr>
          <w:i/>
          <w:iCs/>
        </w:rPr>
        <w:t>Indigenous employment in the Indigenous business sector</w:t>
      </w:r>
      <w:r>
        <w:t>: Supply Nation Research and Policy Brief No.3.</w:t>
      </w:r>
    </w:p>
    <w:p w14:paraId="7CC0BA42" w14:textId="5C715F0E" w:rsidR="007A7770" w:rsidRPr="0005716D" w:rsidRDefault="007A7770" w:rsidP="007A7770">
      <w:pPr>
        <w:pStyle w:val="Reference"/>
      </w:pPr>
      <w:r w:rsidRPr="006D5C60">
        <w:t xml:space="preserve">COAG (Council of Australian Governments) 2004, </w:t>
      </w:r>
      <w:r w:rsidRPr="006D5C60">
        <w:rPr>
          <w:i/>
          <w:iCs/>
        </w:rPr>
        <w:t>Intergovernmental Agreement on a National Water Initiative</w:t>
      </w:r>
      <w:r w:rsidRPr="006D5C60">
        <w:t xml:space="preserve">, </w:t>
      </w:r>
      <w:r w:rsidRPr="0005716D">
        <w:t>Canberra.</w:t>
      </w:r>
    </w:p>
    <w:p w14:paraId="08B6707D" w14:textId="090FCEC9" w:rsidR="007A7770" w:rsidRPr="0005716D" w:rsidRDefault="007A7770" w:rsidP="007A7770">
      <w:pPr>
        <w:pStyle w:val="Reference"/>
      </w:pPr>
      <w:r w:rsidRPr="0005716D">
        <w:t xml:space="preserve">DCCEEW (Australian Government Department of Climate Change, Energy, the Environment and Water) 2025, </w:t>
      </w:r>
      <w:r w:rsidRPr="0005716D">
        <w:rPr>
          <w:i/>
          <w:iCs/>
        </w:rPr>
        <w:t xml:space="preserve">First Nations </w:t>
      </w:r>
      <w:r w:rsidRPr="00E064DC">
        <w:rPr>
          <w:i/>
          <w:iCs/>
        </w:rPr>
        <w:t>water policy</w:t>
      </w:r>
      <w:r w:rsidRPr="00E064DC">
        <w:t xml:space="preserve">, </w:t>
      </w:r>
      <w:r w:rsidR="00E064DC" w:rsidRPr="003F4D78">
        <w:t>https://www.dcceew.gov.au/water/</w:t>
      </w:r>
      <w:r w:rsidR="00E064DC" w:rsidRPr="003F4D78">
        <w:br/>
        <w:t>policy/</w:t>
      </w:r>
      <w:proofErr w:type="gramStart"/>
      <w:r w:rsidR="00E064DC" w:rsidRPr="003F4D78">
        <w:t>first-nations</w:t>
      </w:r>
      <w:proofErr w:type="gramEnd"/>
      <w:r w:rsidRPr="00E064DC">
        <w:t>, accessed 18 June 2025</w:t>
      </w:r>
      <w:r w:rsidRPr="0005716D">
        <w:t>. </w:t>
      </w:r>
    </w:p>
    <w:p w14:paraId="5A061E49" w14:textId="77777777" w:rsidR="007A7770" w:rsidRPr="006D5C60" w:rsidRDefault="007A7770" w:rsidP="007A7770">
      <w:pPr>
        <w:pStyle w:val="Reference"/>
      </w:pPr>
      <w:r w:rsidRPr="006D5C60">
        <w:t xml:space="preserve">Evans, M, </w:t>
      </w:r>
      <w:proofErr w:type="spellStart"/>
      <w:r w:rsidRPr="006D5C60">
        <w:t>Polidano</w:t>
      </w:r>
      <w:proofErr w:type="spellEnd"/>
      <w:r w:rsidRPr="006D5C60">
        <w:t xml:space="preserve">, C, </w:t>
      </w:r>
      <w:proofErr w:type="spellStart"/>
      <w:r w:rsidRPr="006D5C60">
        <w:t>Dahmann</w:t>
      </w:r>
      <w:proofErr w:type="spellEnd"/>
      <w:r w:rsidRPr="006D5C60">
        <w:t xml:space="preserve">, S, Kalera, Y, Ruiz, M, </w:t>
      </w:r>
      <w:proofErr w:type="spellStart"/>
      <w:r w:rsidRPr="006D5C60">
        <w:t>Moschion</w:t>
      </w:r>
      <w:proofErr w:type="spellEnd"/>
      <w:r w:rsidRPr="006D5C60">
        <w:t xml:space="preserve">, J, Blackman, M 2024, </w:t>
      </w:r>
      <w:r w:rsidRPr="006D5C60">
        <w:rPr>
          <w:i/>
          <w:iCs/>
        </w:rPr>
        <w:t>Indigenous Business and Corporation Snapshot Study 3.0</w:t>
      </w:r>
      <w:r w:rsidRPr="006D5C60">
        <w:t>. The University of Melbourne.</w:t>
      </w:r>
    </w:p>
    <w:p w14:paraId="37C4BD2C" w14:textId="77777777" w:rsidR="007A7770" w:rsidRPr="006D5C60" w:rsidRDefault="007A7770" w:rsidP="007A7770">
      <w:pPr>
        <w:pStyle w:val="Reference"/>
      </w:pPr>
      <w:r w:rsidRPr="006D5C60">
        <w:t xml:space="preserve">JSCATSIA (Joint Standing Committee on Aboriginal and Torres Strait Islander Affairs) 2024, </w:t>
      </w:r>
      <w:r w:rsidRPr="006D5C60">
        <w:rPr>
          <w:i/>
          <w:iCs/>
        </w:rPr>
        <w:t>Inquiry into economic self-determination and opportunities for First Nations Australians</w:t>
      </w:r>
      <w:r w:rsidRPr="006D5C60">
        <w:t xml:space="preserve">. </w:t>
      </w:r>
    </w:p>
    <w:p w14:paraId="119A14FB" w14:textId="77777777" w:rsidR="007A7770" w:rsidRPr="006D5C60" w:rsidRDefault="007A7770" w:rsidP="007A7770">
      <w:pPr>
        <w:pStyle w:val="Reference"/>
      </w:pPr>
      <w:r w:rsidRPr="006D5C60">
        <w:t xml:space="preserve">JSCNA (Joint Standing Committee on Northern Australia) 2022, </w:t>
      </w:r>
      <w:r w:rsidRPr="006D5C60">
        <w:rPr>
          <w:i/>
          <w:iCs/>
        </w:rPr>
        <w:t xml:space="preserve">Inquiry into the Opportunities and Challenges of the Engagement of Traditional Owners in the Economic Development of Northern Australia. </w:t>
      </w:r>
    </w:p>
    <w:p w14:paraId="5F23AC69" w14:textId="77777777" w:rsidR="007A7770" w:rsidRPr="006D5C60" w:rsidRDefault="007A7770" w:rsidP="007A7770">
      <w:pPr>
        <w:pStyle w:val="Reference"/>
      </w:pPr>
      <w:r w:rsidRPr="006D5C60">
        <w:t xml:space="preserve">NNTC (National Native Title Council) 2019, </w:t>
      </w:r>
      <w:r w:rsidRPr="006D5C60">
        <w:rPr>
          <w:i/>
          <w:iCs/>
        </w:rPr>
        <w:t>Realising the Promise of Native Title: A National Native Title Council Position Paper</w:t>
      </w:r>
      <w:r>
        <w:rPr>
          <w:i/>
          <w:iCs/>
        </w:rPr>
        <w:t>.</w:t>
      </w:r>
    </w:p>
    <w:p w14:paraId="769A2011" w14:textId="0F5244DE" w:rsidR="007A7770" w:rsidRPr="006D5C60" w:rsidRDefault="007A7770" w:rsidP="007A7770">
      <w:pPr>
        <w:pStyle w:val="Reference"/>
      </w:pPr>
      <w:r w:rsidRPr="006D5C60">
        <w:t>___ 2020</w:t>
      </w:r>
      <w:r w:rsidRPr="006D5C60">
        <w:rPr>
          <w:i/>
          <w:iCs/>
        </w:rPr>
        <w:t xml:space="preserve">, NNTC Submission to the Corporations Aboriginal and Torres Strait Islander (CATSI) Act 2006 Draft Review Report, </w:t>
      </w:r>
      <w:r w:rsidRPr="006D5C60">
        <w:t xml:space="preserve">sub. 25. </w:t>
      </w:r>
    </w:p>
    <w:p w14:paraId="11CD29E9" w14:textId="11E5A439" w:rsidR="007A7770" w:rsidRPr="0005716D" w:rsidRDefault="007A7770" w:rsidP="007A7770">
      <w:pPr>
        <w:pStyle w:val="Reference"/>
      </w:pPr>
      <w:r w:rsidRPr="006D5C60">
        <w:t>___</w:t>
      </w:r>
      <w:r w:rsidR="00B22C38">
        <w:t xml:space="preserve"> </w:t>
      </w:r>
      <w:r w:rsidRPr="006D5C60">
        <w:t xml:space="preserve">2023, </w:t>
      </w:r>
      <w:r w:rsidRPr="006D5C60">
        <w:rPr>
          <w:i/>
          <w:iCs/>
        </w:rPr>
        <w:t>PBC Futures: Roadmap to Reform</w:t>
      </w:r>
      <w:r w:rsidRPr="006D5C60">
        <w:t xml:space="preserve">, Final Report to </w:t>
      </w:r>
      <w:r w:rsidRPr="0005716D">
        <w:t>the National Indigenous Australians Agency.</w:t>
      </w:r>
    </w:p>
    <w:p w14:paraId="06CD7B55" w14:textId="5DC4DA73" w:rsidR="007A7770" w:rsidRPr="0005716D" w:rsidRDefault="007A7770" w:rsidP="007A7770">
      <w:pPr>
        <w:pStyle w:val="Reference"/>
      </w:pPr>
      <w:r w:rsidRPr="009E5117">
        <w:t>NNTT (National Native Title Tribunal), 2025,</w:t>
      </w:r>
      <w:r w:rsidRPr="009E5117">
        <w:rPr>
          <w:i/>
          <w:iCs/>
        </w:rPr>
        <w:t xml:space="preserve"> Native Title Determinations and Claimant Applications, </w:t>
      </w:r>
      <w:r w:rsidR="008752A8" w:rsidRPr="003F4D78">
        <w:t>https://www.nntt.gov.au/Maps/Schedule_and_Determinations_map.pdf</w:t>
      </w:r>
      <w:r w:rsidRPr="009E5117">
        <w:t>, accessed</w:t>
      </w:r>
      <w:r w:rsidRPr="0005716D">
        <w:t xml:space="preserve"> 6 June 2025.</w:t>
      </w:r>
    </w:p>
    <w:p w14:paraId="14011B63" w14:textId="1D6DDC51" w:rsidR="007A7770" w:rsidRPr="006D5C60" w:rsidRDefault="007A7770" w:rsidP="007A7770">
      <w:pPr>
        <w:pStyle w:val="Reference"/>
      </w:pPr>
      <w:r w:rsidRPr="0005716D">
        <w:t>PC (Productivity Commission</w:t>
      </w:r>
      <w:r w:rsidRPr="006D5C60">
        <w:t xml:space="preserve">) 2018, </w:t>
      </w:r>
      <w:r w:rsidRPr="006D5C60">
        <w:rPr>
          <w:i/>
          <w:iCs/>
        </w:rPr>
        <w:t>Murray</w:t>
      </w:r>
      <w:r w:rsidR="00BA6B15">
        <w:rPr>
          <w:i/>
          <w:iCs/>
        </w:rPr>
        <w:t>–</w:t>
      </w:r>
      <w:r w:rsidRPr="006D5C60">
        <w:rPr>
          <w:i/>
          <w:iCs/>
        </w:rPr>
        <w:t>Darling Basin Plan: Five-year Assessment</w:t>
      </w:r>
      <w:r w:rsidRPr="006D5C60">
        <w:t>, Report no. 90, Canberra. </w:t>
      </w:r>
    </w:p>
    <w:p w14:paraId="09845E97" w14:textId="69C7B4D7" w:rsidR="007A7770" w:rsidRPr="006D5C60" w:rsidRDefault="00042C16" w:rsidP="007A7770">
      <w:pPr>
        <w:pStyle w:val="Reference"/>
      </w:pPr>
      <w:r>
        <w:t>___</w:t>
      </w:r>
      <w:r w:rsidR="007A7770" w:rsidRPr="006D5C60">
        <w:t xml:space="preserve"> 2020, </w:t>
      </w:r>
      <w:r w:rsidR="007A7770" w:rsidRPr="006D5C60">
        <w:rPr>
          <w:i/>
          <w:iCs/>
        </w:rPr>
        <w:t>Resources Sector Regulation</w:t>
      </w:r>
      <w:r w:rsidR="007A7770" w:rsidRPr="006D5C60">
        <w:t>, Study Report, Canberra.</w:t>
      </w:r>
    </w:p>
    <w:p w14:paraId="362D6E1E" w14:textId="4AA25FD4" w:rsidR="007A7770" w:rsidRPr="006D5C60" w:rsidRDefault="00042C16" w:rsidP="007A7770">
      <w:pPr>
        <w:pStyle w:val="Reference"/>
      </w:pPr>
      <w:r>
        <w:t>___</w:t>
      </w:r>
      <w:r w:rsidR="007A7770" w:rsidRPr="006D5C60">
        <w:t xml:space="preserve"> 2021, </w:t>
      </w:r>
      <w:r w:rsidR="007A7770" w:rsidRPr="006D5C60">
        <w:rPr>
          <w:i/>
          <w:iCs/>
        </w:rPr>
        <w:t>Assessment of the National Water Initiative implementation progress (2017-2020)</w:t>
      </w:r>
      <w:r w:rsidR="007A7770" w:rsidRPr="006D5C60">
        <w:t xml:space="preserve">, National Water Reform 2020, </w:t>
      </w:r>
      <w:r w:rsidR="008752A8">
        <w:t xml:space="preserve">Inquiry </w:t>
      </w:r>
      <w:r w:rsidR="007A7770" w:rsidRPr="006D5C60">
        <w:t>Report no. 96, Canberra. </w:t>
      </w:r>
    </w:p>
    <w:p w14:paraId="07E655A2" w14:textId="3A5BAD9F" w:rsidR="007A7770" w:rsidRPr="006D5C60" w:rsidRDefault="00042C16" w:rsidP="007A7770">
      <w:pPr>
        <w:pStyle w:val="Reference"/>
      </w:pPr>
      <w:r>
        <w:t>___</w:t>
      </w:r>
      <w:r w:rsidR="007A7770" w:rsidRPr="006D5C60">
        <w:t xml:space="preserve"> 2023, </w:t>
      </w:r>
      <w:r w:rsidR="007A7770" w:rsidRPr="006D5C60">
        <w:rPr>
          <w:i/>
          <w:iCs/>
        </w:rPr>
        <w:t>Advancing Prosperity: Volume Two: Keys to Growth</w:t>
      </w:r>
      <w:r w:rsidR="007A7770" w:rsidRPr="006D5C60">
        <w:t>, Inquiry Report no. 100, Canberra.</w:t>
      </w:r>
    </w:p>
    <w:p w14:paraId="2A6FEE70" w14:textId="7E00A64B" w:rsidR="007A7770" w:rsidRPr="006D5C60" w:rsidRDefault="00042C16" w:rsidP="007A7770">
      <w:pPr>
        <w:pStyle w:val="Reference"/>
      </w:pPr>
      <w:r>
        <w:t>___</w:t>
      </w:r>
      <w:r w:rsidR="007A7770" w:rsidRPr="006D5C60">
        <w:t xml:space="preserve"> 2023, </w:t>
      </w:r>
      <w:r w:rsidR="007A7770" w:rsidRPr="006D5C60">
        <w:rPr>
          <w:i/>
          <w:iCs/>
        </w:rPr>
        <w:t>Murray–Darling Basin Plan: Implementation review 2023</w:t>
      </w:r>
      <w:r w:rsidR="007A7770" w:rsidRPr="006D5C60">
        <w:t>, Inquiry Report no. 103, Canberra. </w:t>
      </w:r>
    </w:p>
    <w:p w14:paraId="231AF636" w14:textId="4E9A717E" w:rsidR="007A7770" w:rsidRPr="006D5C60" w:rsidRDefault="00042C16" w:rsidP="007A7770">
      <w:pPr>
        <w:pStyle w:val="Reference"/>
      </w:pPr>
      <w:r>
        <w:t>___</w:t>
      </w:r>
      <w:r w:rsidR="007A7770" w:rsidRPr="006D5C60">
        <w:t xml:space="preserve"> 2024, </w:t>
      </w:r>
      <w:r w:rsidR="007A7770" w:rsidRPr="006D5C60">
        <w:rPr>
          <w:i/>
          <w:iCs/>
        </w:rPr>
        <w:t>National Water Reform 2024</w:t>
      </w:r>
      <w:r w:rsidR="007A7770" w:rsidRPr="006D5C60">
        <w:t>, Inquiry Report no. 105, Canberra. </w:t>
      </w:r>
    </w:p>
    <w:p w14:paraId="5C643FF2" w14:textId="77777777" w:rsidR="007A7770" w:rsidRPr="006D5C60" w:rsidRDefault="007A7770" w:rsidP="007A7770">
      <w:pPr>
        <w:pStyle w:val="Reference"/>
      </w:pPr>
      <w:r w:rsidRPr="006D5C60">
        <w:t xml:space="preserve">Prestipino, D, 2024, Pearson calls for change to management of Native Title funds, National Indigenous Times, https://nit.com.au/07-06-2024/11883/pearson-wants-change-to-management-of-native-title-funds, accessed 10 June 2025. </w:t>
      </w:r>
    </w:p>
    <w:p w14:paraId="0CF607F3" w14:textId="77777777" w:rsidR="007A7770" w:rsidRDefault="007A7770" w:rsidP="007A7770">
      <w:pPr>
        <w:pStyle w:val="Reference"/>
        <w:rPr>
          <w:i/>
          <w:iCs/>
        </w:rPr>
      </w:pPr>
      <w:r w:rsidRPr="006D5C60">
        <w:t>PwC’s Indigenous Consulting 2018,</w:t>
      </w:r>
      <w:r w:rsidRPr="006D5C60">
        <w:rPr>
          <w:i/>
          <w:iCs/>
        </w:rPr>
        <w:t xml:space="preserve"> The contribution of the Indigenous business sector to Australia’s economy. </w:t>
      </w:r>
    </w:p>
    <w:p w14:paraId="2090C4A1" w14:textId="77777777" w:rsidR="00042C16" w:rsidRDefault="007A7770" w:rsidP="008265FC">
      <w:pPr>
        <w:pStyle w:val="Reference"/>
      </w:pPr>
      <w:r w:rsidRPr="006D5C60">
        <w:t xml:space="preserve">Treasury Working Group 2013, </w:t>
      </w:r>
      <w:r w:rsidRPr="006D5C60">
        <w:rPr>
          <w:i/>
          <w:iCs/>
        </w:rPr>
        <w:t>Taxation of the Native Title and Traditional Owner Benefits and Governance Working Group</w:t>
      </w:r>
      <w:r w:rsidRPr="006D5C60">
        <w:t xml:space="preserve">: </w:t>
      </w:r>
      <w:r w:rsidRPr="006D5C60">
        <w:rPr>
          <w:i/>
          <w:iCs/>
        </w:rPr>
        <w:t>Report to Australian Government</w:t>
      </w:r>
      <w:r w:rsidR="008265FC">
        <w:t>.</w:t>
      </w:r>
    </w:p>
    <w:p w14:paraId="1DEBF8C6" w14:textId="77777777" w:rsidR="003F4D78" w:rsidRDefault="003F4D78" w:rsidP="008265FC">
      <w:pPr>
        <w:pStyle w:val="Reference"/>
      </w:pPr>
    </w:p>
    <w:p w14:paraId="51412BA8" w14:textId="55B4D55B" w:rsidR="003F4D78" w:rsidRPr="008265FC" w:rsidRDefault="003F4D78" w:rsidP="008265FC">
      <w:pPr>
        <w:pStyle w:val="Reference"/>
        <w:sectPr w:rsidR="003F4D78" w:rsidRPr="008265FC" w:rsidSect="00042C16">
          <w:headerReference w:type="even" r:id="rId33"/>
          <w:headerReference w:type="default" r:id="rId34"/>
          <w:headerReference w:type="first" r:id="rId35"/>
          <w:type w:val="continuous"/>
          <w:pgSz w:w="11906" w:h="16838" w:code="9"/>
          <w:pgMar w:top="1134" w:right="1134" w:bottom="1134" w:left="1134" w:header="794" w:footer="510" w:gutter="0"/>
          <w:pgNumType w:start="1"/>
          <w:cols w:num="2" w:space="708"/>
          <w:docGrid w:linePitch="360"/>
        </w:sectPr>
      </w:pPr>
    </w:p>
    <w:p w14:paraId="765A2B00" w14:textId="77777777" w:rsidR="002A1350" w:rsidRDefault="002A1350" w:rsidP="00042C16">
      <w:pPr>
        <w:rPr>
          <w:bCs/>
          <w:noProof/>
        </w:rPr>
      </w:pPr>
    </w:p>
    <w:sectPr w:rsidR="002A1350" w:rsidSect="00042C16">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C73D" w14:textId="77777777" w:rsidR="0011464D" w:rsidRDefault="0011464D" w:rsidP="008017BC">
      <w:r>
        <w:separator/>
      </w:r>
    </w:p>
    <w:p w14:paraId="0BDF3D3D" w14:textId="77777777" w:rsidR="0011464D" w:rsidRDefault="0011464D"/>
  </w:endnote>
  <w:endnote w:type="continuationSeparator" w:id="0">
    <w:p w14:paraId="56DAED0A" w14:textId="77777777" w:rsidR="0011464D" w:rsidRDefault="0011464D" w:rsidP="008017BC">
      <w:r>
        <w:continuationSeparator/>
      </w:r>
    </w:p>
    <w:p w14:paraId="27C478C5" w14:textId="77777777" w:rsidR="0011464D" w:rsidRDefault="00114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E634"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0D428"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65C9" w14:textId="6E84D1B5"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3AA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4C7C44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527408"/>
      <w:docPartObj>
        <w:docPartGallery w:val="Page Numbers (Bottom of Page)"/>
        <w:docPartUnique/>
      </w:docPartObj>
    </w:sdtPr>
    <w:sdtContent>
      <w:sdt>
        <w:sdtPr>
          <w:id w:val="2130971119"/>
          <w:docPartObj>
            <w:docPartGallery w:val="Page Numbers (Top of Page)"/>
            <w:docPartUnique/>
          </w:docPartObj>
        </w:sdtPr>
        <w:sdtContent>
          <w:p w14:paraId="39CD80F5" w14:textId="77777777" w:rsidR="005B4AC0" w:rsidRDefault="005B4AC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DB5AE" w14:textId="77777777" w:rsidR="0011464D" w:rsidRPr="00C238D1" w:rsidRDefault="0011464D" w:rsidP="00273E86">
      <w:pPr>
        <w:spacing w:after="0" w:line="240" w:lineRule="auto"/>
        <w:rPr>
          <w:rStyle w:val="ColourDarkBlue"/>
        </w:rPr>
      </w:pPr>
      <w:r w:rsidRPr="00C238D1">
        <w:rPr>
          <w:rStyle w:val="ColourDarkBlue"/>
        </w:rPr>
        <w:continuationSeparator/>
      </w:r>
    </w:p>
  </w:footnote>
  <w:footnote w:type="continuationSeparator" w:id="0">
    <w:p w14:paraId="0154D94B" w14:textId="77777777" w:rsidR="0011464D" w:rsidRPr="001D7D9B" w:rsidRDefault="0011464D" w:rsidP="001D7D9B">
      <w:pPr>
        <w:spacing w:after="0" w:line="240" w:lineRule="auto"/>
        <w:rPr>
          <w:color w:val="265A9A" w:themeColor="background2"/>
        </w:rPr>
      </w:pPr>
      <w:r w:rsidRPr="00C238D1">
        <w:rPr>
          <w:rStyle w:val="ColourDarkBlue"/>
        </w:rPr>
        <w:continuationSeparator/>
      </w:r>
    </w:p>
  </w:footnote>
  <w:footnote w:type="continuationNotice" w:id="1">
    <w:p w14:paraId="145CFDC4" w14:textId="77777777" w:rsidR="0011464D" w:rsidRDefault="0011464D"/>
  </w:footnote>
  <w:footnote w:id="2">
    <w:p w14:paraId="302F7AB3" w14:textId="77777777" w:rsidR="007A7770" w:rsidRPr="00035A57" w:rsidRDefault="007A7770" w:rsidP="00035A57">
      <w:pPr>
        <w:pStyle w:val="FootnoteText"/>
      </w:pPr>
      <w:r w:rsidRPr="001F015B">
        <w:rPr>
          <w:rStyle w:val="FootnoteReference"/>
          <w:sz w:val="20"/>
        </w:rPr>
        <w:footnoteRef/>
      </w:r>
      <w:r w:rsidRPr="00035A57">
        <w:t xml:space="preserve"> Liquid value refers to the ease with which an asset can be converted into cash, close to its assessed market value. It’s a measure of how readily available an asset is to be used for spending or investments. </w:t>
      </w:r>
    </w:p>
  </w:footnote>
  <w:footnote w:id="3">
    <w:p w14:paraId="2C673F3E" w14:textId="0B84603C" w:rsidR="00035A57" w:rsidRPr="00B80EA2" w:rsidRDefault="00035A57">
      <w:pPr>
        <w:pStyle w:val="FootnoteText"/>
        <w:rPr>
          <w:spacing w:val="-2"/>
        </w:rPr>
      </w:pPr>
      <w:r w:rsidRPr="00B80EA2">
        <w:rPr>
          <w:rStyle w:val="FootnoteReference"/>
          <w:spacing w:val="-2"/>
        </w:rPr>
        <w:footnoteRef/>
      </w:r>
      <w:r w:rsidRPr="00B80EA2">
        <w:rPr>
          <w:spacing w:val="-2"/>
        </w:rPr>
        <w:t xml:space="preserve"> Only 12.4% of Aboriginal and Torres Strait Islander people living in the East Pilbara region and 13.6% of Aboriginal and Torres Strait Islander people living in the West Pilbara region own their own home with or without a mortgage. This is compared to the non-Aboriginal and Torres Strait Islander national percentage of 68%. In the East Pilbara region of the 465</w:t>
      </w:r>
      <w:r w:rsidR="00BE3035">
        <w:rPr>
          <w:spacing w:val="-2"/>
        </w:rPr>
        <w:t> </w:t>
      </w:r>
      <w:r w:rsidRPr="00B80EA2">
        <w:rPr>
          <w:spacing w:val="-2"/>
        </w:rPr>
        <w:t>people that were identified as homeless or likely to be homeless, 365 (78%) of these individuals identified as Aboriginal and Torres Strait Islander people. In this region, Aboriginal and Torres Strait Islander people make up only 24.9% of the total population. Further, the employment rate for Aboriginal and Torres Strait Islander people in the Pilbara region continues to be below the national non-Aboriginal and Torres Strait Islander rate of 78%, with only 55.4% of Aboriginal and Torres Strait Islander people aged 25</w:t>
      </w:r>
      <w:r w:rsidR="00940951">
        <w:rPr>
          <w:spacing w:val="-2"/>
        </w:rPr>
        <w:t>–</w:t>
      </w:r>
      <w:r w:rsidRPr="00B80EA2">
        <w:rPr>
          <w:spacing w:val="-2"/>
        </w:rPr>
        <w:t>64 employed in the East Pilbara region and 56.3% in the West Pilbara region.</w:t>
      </w:r>
    </w:p>
  </w:footnote>
  <w:footnote w:id="4">
    <w:p w14:paraId="43BAA4DB" w14:textId="458A38A2" w:rsidR="007A7770" w:rsidRPr="000867BD" w:rsidRDefault="007A7770" w:rsidP="000867BD">
      <w:pPr>
        <w:pStyle w:val="FootnoteText"/>
      </w:pPr>
      <w:r w:rsidRPr="00042C16">
        <w:rPr>
          <w:rStyle w:val="FootnoteReference"/>
          <w:sz w:val="20"/>
        </w:rPr>
        <w:footnoteRef/>
      </w:r>
      <w:r w:rsidRPr="000867BD">
        <w:t xml:space="preserve"> </w:t>
      </w:r>
      <w:r w:rsidRPr="00042C16">
        <w:t>There is now greater recognition by Australian governments of the impacts on Aboriginal and Torres Strait Islander people from the dispossession of their lands and waters (PC 2024, p</w:t>
      </w:r>
      <w:r w:rsidR="001641B1">
        <w:t>.</w:t>
      </w:r>
      <w:r w:rsidRPr="00042C16">
        <w:t xml:space="preserve"> 67). However, currently Aboriginal and Torres Strait Islander people own and control less than 0.2% of water nationally </w:t>
      </w:r>
      <w:r w:rsidRPr="00042C16">
        <w:fldChar w:fldCharType="begin"/>
      </w:r>
      <w:r w:rsidRPr="00042C16">
        <w:instrText xml:space="preserve"> ADDIN ZOTERO_ITEM CSL_CITATION {"citationID":"ZC8ZVda0","properties":{"formattedCitation":"(DCCEEW\\uc0\\u160{}2025)","plainCitation":"(DCCEEW 2025)","noteIndex":0},"citationItems":[{"id":9139,"uris":["http://zotero.org/groups/5639045/items/EWCXNU4E"],"itemData":{"id":9139,"type":"webpage","title":"First Nations water policy","URL":"https://www.dcceew.gov.au/water/policy/first-nations","author":[{"family":"Australian Government Department of Climate Change, Energy, the Environment and Water","given":""}],"translator":[{"family":"DCCEEW","given":""}],"accessed":{"date-parts":[["2025",6,18]]},"issued":{"date-parts":[["2025"]]}}}],"schema":"https://github.com/citation-style-language/schema/raw/master/csl-citation.json"} </w:instrText>
      </w:r>
      <w:r w:rsidRPr="00042C16">
        <w:fldChar w:fldCharType="separate"/>
      </w:r>
      <w:r w:rsidRPr="00042C16">
        <w:t>(DCCEEW 2025)</w:t>
      </w:r>
      <w:r w:rsidRPr="00042C16">
        <w:fldChar w:fldCharType="end"/>
      </w:r>
      <w:r w:rsidRPr="00042C16">
        <w:t>.</w:t>
      </w:r>
    </w:p>
  </w:footnote>
  <w:footnote w:id="5">
    <w:p w14:paraId="6A534264" w14:textId="73D6271F" w:rsidR="007A7770" w:rsidRPr="00AF548C" w:rsidRDefault="007A7770" w:rsidP="000867BD">
      <w:pPr>
        <w:pStyle w:val="FootnoteText"/>
        <w:rPr>
          <w:spacing w:val="-4"/>
        </w:rPr>
      </w:pPr>
      <w:r w:rsidRPr="00AF548C">
        <w:rPr>
          <w:rStyle w:val="FootnoteReference"/>
          <w:spacing w:val="-4"/>
          <w:sz w:val="20"/>
        </w:rPr>
        <w:footnoteRef/>
      </w:r>
      <w:r w:rsidRPr="00AF548C">
        <w:rPr>
          <w:spacing w:val="-4"/>
        </w:rPr>
        <w:t xml:space="preserve"> For example, the Murray</w:t>
      </w:r>
      <w:r w:rsidR="00E86307">
        <w:rPr>
          <w:spacing w:val="-4"/>
        </w:rPr>
        <w:t>–</w:t>
      </w:r>
      <w:r w:rsidRPr="00AF548C">
        <w:rPr>
          <w:spacing w:val="-4"/>
        </w:rPr>
        <w:t xml:space="preserve">Darling Basin Plan requires Basin States to have regard to the views of Indigenous Australians across matters such as cultural values and uses, native title rights and claims, </w:t>
      </w:r>
      <w:r w:rsidR="00BA6B15" w:rsidRPr="00BA6B15">
        <w:rPr>
          <w:spacing w:val="-4"/>
        </w:rPr>
        <w:t>Indigenous Land Use Agreements</w:t>
      </w:r>
      <w:r w:rsidRPr="00AF548C">
        <w:rPr>
          <w:spacing w:val="-4"/>
        </w:rPr>
        <w:t>, Aboriginal heritage, risks and cultural flows. Whilst native title rights were recognised for the Barkandji people over a large section of the Darling river in 2015, the PC has heard in successive inquiries of the impacts on Aboriginal people of poor outcomes from water resource management along the Darling</w:t>
      </w:r>
      <w:r w:rsidR="008F2F8C">
        <w:rPr>
          <w:spacing w:val="-4"/>
        </w:rPr>
        <w:t>/</w:t>
      </w:r>
      <w:r w:rsidRPr="00AF548C">
        <w:rPr>
          <w:spacing w:val="-4"/>
        </w:rPr>
        <w:t xml:space="preserve">Baaka River </w:t>
      </w:r>
      <w:r w:rsidRPr="00AF548C">
        <w:rPr>
          <w:spacing w:val="-4"/>
        </w:rPr>
        <w:fldChar w:fldCharType="begin"/>
      </w:r>
      <w:r w:rsidRPr="00AF548C">
        <w:rPr>
          <w:spacing w:val="-4"/>
        </w:rPr>
        <w:instrText xml:space="preserve"> ADDIN ZOTERO_ITEM CSL_CITATION {"citationID":"nP1BuMlI","properties":{"formattedCitation":"(PC\\uc0\\u160{}2018, pp.\\uc0\\u160{}208\\uc0\\u8211{}209, 2023, p.\\uc0\\u160{}268)","plainCitation":"(PC 2018, pp. 208–209, 2023, p. 268)","noteIndex":0},"citationItems":[{"id":678,"uris":["http://zotero.org/groups/164861/items/E63Q7TSX"],"itemData":{"id":678,"type":"report","event-place":"Canberra","number":"Report no. 90","publisher-place":"Canberra","title":"Murray-Darling Basin Plan: Five-year Assessment","author":[{"family":"Productivity Commission","given":""}],"translator":[{"family":"PC","given":""}],"issued":{"date-parts":[["2018"]]}},"locator":"208-209","label":"page"},{"id":6428,"uris":["http://zotero.org/groups/164861/items/6TTGZIR3"],"itemData":{"id":6428,"type":"report","event-place":"Canberra","genre":"Inquiry Report no. 103","publisher-place":"Canberra","title":"Murray–Darling Basin Plan: Implementation review 2023","author":[{"family":"Productivity Commission","given":""}],"translator":[{"family":"PC","given":""}],"issued":{"date-parts":[["2023"]]}},"locator":"268","label":"page"}],"schema":"https://github.com/citation-style-language/schema/raw/master/csl-citation.json"} </w:instrText>
      </w:r>
      <w:r w:rsidRPr="00AF548C">
        <w:rPr>
          <w:spacing w:val="-4"/>
        </w:rPr>
        <w:fldChar w:fldCharType="separate"/>
      </w:r>
      <w:r w:rsidRPr="00AF548C">
        <w:rPr>
          <w:spacing w:val="-4"/>
        </w:rPr>
        <w:t>(PC 2018, pp. 208–209</w:t>
      </w:r>
      <w:r w:rsidR="001072DD">
        <w:rPr>
          <w:spacing w:val="-4"/>
        </w:rPr>
        <w:t>,</w:t>
      </w:r>
      <w:r w:rsidRPr="00AF548C">
        <w:rPr>
          <w:spacing w:val="-4"/>
        </w:rPr>
        <w:t xml:space="preserve"> 2023, p. 268)</w:t>
      </w:r>
      <w:r w:rsidRPr="00AF548C">
        <w:rPr>
          <w:spacing w:val="-4"/>
        </w:rPr>
        <w:fldChar w:fldCharType="end"/>
      </w:r>
      <w:r w:rsidRPr="00AF548C">
        <w:rPr>
          <w:spacing w:val="-4"/>
        </w:rPr>
        <w:t>. The Murray</w:t>
      </w:r>
      <w:r w:rsidR="001D1123">
        <w:rPr>
          <w:spacing w:val="-4"/>
        </w:rPr>
        <w:t>–</w:t>
      </w:r>
      <w:r w:rsidRPr="00AF548C">
        <w:rPr>
          <w:spacing w:val="-4"/>
        </w:rPr>
        <w:t>Darling Basin Plan will be reviewed in 2026.</w:t>
      </w:r>
    </w:p>
  </w:footnote>
  <w:footnote w:id="6">
    <w:p w14:paraId="1726F88E" w14:textId="77777777" w:rsidR="007A7770" w:rsidRPr="000867BD" w:rsidRDefault="007A7770" w:rsidP="000867BD">
      <w:pPr>
        <w:pStyle w:val="FootnoteText"/>
      </w:pPr>
      <w:r w:rsidRPr="001F015B">
        <w:rPr>
          <w:rStyle w:val="FootnoteReference"/>
          <w:sz w:val="20"/>
        </w:rPr>
        <w:footnoteRef/>
      </w:r>
      <w:r w:rsidRPr="000867BD">
        <w:t xml:space="preserve"> In 2024 water plans areas covered 67%, 31% and 27% of water entitlement volumes in Western Australia, Northern Territory and Tasmania respectively </w:t>
      </w:r>
      <w:r w:rsidRPr="000867BD">
        <w:fldChar w:fldCharType="begin"/>
      </w:r>
      <w:r w:rsidRPr="000867BD">
        <w:instrText xml:space="preserve"> ADDIN ZOTERO_ITEM CSL_CITATION {"citationID":"Bf9r0kVU","properties":{"formattedCitation":"(PC\\uc0\\u160{}2024, p.\\uc0\\u160{}131)","plainCitation":"(PC 2024, p. 131)","noteIndex":0},"citationItems":[{"id":7496,"uris":["http://zotero.org/groups/164861/items/A78LXMCA"],"itemData":{"id":7496,"type":"report","event-place":"Canberra","genre":"Inquiry Report no. 105","publisher-place":"Canberra","title":"National Water Reform 2024","author":[{"family":"Productivity Commission","given":""}],"translator":[{"family":"PC","given":""}],"issued":{"date-parts":[["2024"]]}},"locator":"131","label":"page"}],"schema":"https://github.com/citation-style-language/schema/raw/master/csl-citation.json"} </w:instrText>
      </w:r>
      <w:r w:rsidRPr="000867BD">
        <w:fldChar w:fldCharType="separate"/>
      </w:r>
      <w:r w:rsidRPr="000867BD">
        <w:t>(PC 2024, p. 131)</w:t>
      </w:r>
      <w:r w:rsidRPr="000867BD">
        <w:fldChar w:fldCharType="end"/>
      </w:r>
      <w:r w:rsidRPr="000867BD">
        <w:t>.</w:t>
      </w:r>
    </w:p>
  </w:footnote>
  <w:footnote w:id="7">
    <w:p w14:paraId="4D1A2D96" w14:textId="5C6AA3FC" w:rsidR="007A7770" w:rsidRPr="000867BD" w:rsidRDefault="007A7770" w:rsidP="000867BD">
      <w:pPr>
        <w:pStyle w:val="FootnoteText"/>
      </w:pPr>
      <w:r w:rsidRPr="001F015B">
        <w:rPr>
          <w:rStyle w:val="FootnoteReference"/>
          <w:sz w:val="20"/>
        </w:rPr>
        <w:footnoteRef/>
      </w:r>
      <w:r w:rsidRPr="000867BD">
        <w:t xml:space="preserve"> Three examples are documented on the Prescribed Body Corporate website: 1. Akiba v Commonwealth (2013)</w:t>
      </w:r>
      <w:r w:rsidR="000119DF">
        <w:t>,</w:t>
      </w:r>
      <w:r w:rsidRPr="000867BD">
        <w:t xml:space="preserve"> 2.</w:t>
      </w:r>
      <w:r w:rsidR="000119DF">
        <w:t> </w:t>
      </w:r>
      <w:r w:rsidRPr="000867BD">
        <w:t xml:space="preserve">Rrumburriya Borroloola Claim Group v Northern Territory (2016) and 3. Wills on behalf of the Pilki People v Western Australia (2014) </w:t>
      </w:r>
      <w:r w:rsidRPr="000867BD">
        <w:rPr>
          <w:rStyle w:val="BodyTextChar"/>
          <w:sz w:val="18"/>
        </w:rPr>
        <w:fldChar w:fldCharType="begin"/>
      </w:r>
      <w:r w:rsidRPr="000867BD">
        <w:rPr>
          <w:rStyle w:val="BodyTextChar"/>
          <w:sz w:val="18"/>
        </w:rPr>
        <w:instrText xml:space="preserve"> ADDIN ZOTERO_ITEM CSL_CITATION {"citationID":"T9YnzIFy","properties":{"formattedCitation":"(Prescribed Body Corporate\\uc0\\u160{}2023)","plainCitation":"(Prescribed Body Corporate 2023)","noteIndex":2},"citationItems":[{"id":9140,"uris":["http://zotero.org/groups/5639045/items/XBFCJR9T"],"itemData":{"id":9140,"type":"webpage","container-title":"Native title, rights and interests","title":"Water rights","URL":"https://nativetitle.org.au/learn/native-title-and-pbcs/native-title-rights-and-interests","author":[{"family":"Prescribed Body Corporate","given":""}],"accessed":{"date-parts":[["2025",6,18]]},"issued":{"date-parts":[["2023"]]}}}],"schema":"https://github.com/citation-style-language/schema/raw/master/csl-citation.json"} </w:instrText>
      </w:r>
      <w:r w:rsidRPr="000867BD">
        <w:rPr>
          <w:rStyle w:val="BodyTextChar"/>
          <w:sz w:val="18"/>
        </w:rPr>
        <w:fldChar w:fldCharType="separate"/>
      </w:r>
      <w:r w:rsidRPr="000867BD">
        <w:rPr>
          <w:rStyle w:val="BodyTextChar"/>
          <w:sz w:val="18"/>
        </w:rPr>
        <w:t>(Prescribed Body Corporate 2023)</w:t>
      </w:r>
      <w:r w:rsidRPr="000867BD">
        <w:rPr>
          <w:rStyle w:val="BodyTextChar"/>
          <w:sz w:val="18"/>
        </w:rPr>
        <w:fldChar w:fldCharType="end"/>
      </w:r>
      <w:r w:rsidRPr="000867BD">
        <w:rPr>
          <w:rStyle w:val="BodyTextCha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CB58" w14:textId="400F941C" w:rsidR="006D4212" w:rsidRDefault="00000000" w:rsidP="00946C03">
    <w:pPr>
      <w:pStyle w:val="Header-Keyline"/>
    </w:pPr>
    <w:sdt>
      <w:sdtPr>
        <w:rPr>
          <w:rStyle w:val="Strong"/>
        </w:rPr>
        <w:alias w:val="Title"/>
        <w:tag w:val=""/>
        <w:id w:val="-1701777645"/>
        <w:placeholder>
          <w:docPart w:val="7645A0CB6F7547ABA670DC2EB5003864"/>
        </w:placeholder>
        <w:dataBinding w:prefixMappings="xmlns:ns0='http://purl.org/dc/elements/1.1/' xmlns:ns1='http://schemas.openxmlformats.org/package/2006/metadata/core-properties' " w:xpath="/ns1:coreProperties[1]/ns0:title[1]" w:storeItemID="{6C3C8BC8-F283-45AE-878A-BAB7291924A1}"/>
        <w:text/>
      </w:sdtPr>
      <w:sdtContent>
        <w:r w:rsidR="003B2A41">
          <w:rPr>
            <w:rStyle w:val="Strong"/>
          </w:rPr>
          <w:t>Unlocking the economic potential of native title</w:t>
        </w:r>
      </w:sdtContent>
    </w:sdt>
    <w:r w:rsidR="006D4212">
      <w:t xml:space="preserve"> </w:t>
    </w:r>
    <w:r w:rsidR="00C57155">
      <w:t>Staff working paper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FC1FB" w14:textId="2E420386" w:rsidR="00D7043B" w:rsidRDefault="00D704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7683" w14:textId="25F167D0" w:rsidR="00AB0036" w:rsidRDefault="00966793" w:rsidP="004544D6">
    <w:pPr>
      <w:pStyle w:val="Header-KeylineRight"/>
    </w:pPr>
    <w:r>
      <w:fldChar w:fldCharType="begin"/>
    </w:r>
    <w:r>
      <w:instrText xml:space="preserve"> STYLEREF  "Heading 1-no background"  \* MERGEFORMAT </w:instrText>
    </w:r>
    <w:r>
      <w:fldChar w:fldCharType="separate"/>
    </w:r>
    <w:r w:rsidR="002D0962">
      <w:rPr>
        <w:b/>
        <w:bCs/>
        <w:noProof/>
        <w:lang w:val="en-US"/>
      </w:rPr>
      <w:t>Error! No text of specified style in document.</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3194" w14:textId="28D0FD16" w:rsidR="00D7043B" w:rsidRDefault="00D70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D1DF" w14:textId="15B5A6C6" w:rsidR="006D4212" w:rsidRDefault="006D4212" w:rsidP="006D4212">
    <w:pPr>
      <w:pStyle w:val="Header-KeylineRight"/>
    </w:pPr>
    <w:r>
      <w:fldChar w:fldCharType="begin"/>
    </w:r>
    <w:r>
      <w:instrText xml:space="preserve"> STYLEREF  "Heading 1"  \* MERGEFORMAT </w:instrText>
    </w:r>
    <w:r>
      <w:fldChar w:fldCharType="separate"/>
    </w:r>
    <w:r w:rsidR="002D0962">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6874" w14:textId="36A3C5A1" w:rsidR="00F04EA7" w:rsidRPr="005965BC" w:rsidRDefault="00436938" w:rsidP="004329FC">
    <w:r>
      <w:rPr>
        <w:noProof/>
      </w:rPr>
      <w:drawing>
        <wp:anchor distT="0" distB="0" distL="114300" distR="114300" simplePos="0" relativeHeight="251658240" behindDoc="1" locked="0" layoutInCell="1" allowOverlap="1" wp14:anchorId="43E1931E" wp14:editId="6661F6BB">
          <wp:simplePos x="0" y="0"/>
          <wp:positionH relativeFrom="page">
            <wp:align>right</wp:align>
          </wp:positionH>
          <wp:positionV relativeFrom="paragraph">
            <wp:posOffset>-385646</wp:posOffset>
          </wp:positionV>
          <wp:extent cx="7559675" cy="10685577"/>
          <wp:effectExtent l="0" t="0" r="3175" b="1905"/>
          <wp:wrapNone/>
          <wp:docPr id="156127420" name="Picture 3" descr="Australian Government | Productivity Commission logo and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420" name="Picture 3" descr="Australian Government | Productivity Commission logo and cover. "/>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8557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519CB" w14:textId="07E9569F" w:rsidR="00D7043B" w:rsidRPr="00E36BE8" w:rsidRDefault="000867BD" w:rsidP="00E36BE8">
    <w:pPr>
      <w:pStyle w:val="Header-Keyline"/>
      <w:rPr>
        <w:rStyle w:val="Strong"/>
      </w:rPr>
    </w:pPr>
    <w:r w:rsidRPr="00E36BE8">
      <w:rPr>
        <w:rStyle w:val="Strong"/>
        <w:b w:val="0"/>
        <w:bCs w:val="0"/>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C92C" w14:textId="57BF72EC" w:rsidR="00D7043B" w:rsidRDefault="00D704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4489" w14:textId="31115BD0" w:rsidR="00D7043B" w:rsidRDefault="00D704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3BD7" w14:textId="0F65B765" w:rsidR="00D7043B" w:rsidRPr="00FD4076" w:rsidRDefault="0023174D" w:rsidP="00966793">
    <w:pPr>
      <w:pStyle w:val="Header-Keyline"/>
      <w:rPr>
        <w:b/>
        <w:bCs/>
      </w:rPr>
    </w:pPr>
    <w:r>
      <w:rPr>
        <w:rStyle w:val="Strong"/>
        <w:b w:val="0"/>
        <w:bCs w:val="0"/>
      </w:rPr>
      <w:t>Productivity Commission</w:t>
    </w:r>
    <w:r w:rsidR="00D44111">
      <w:rPr>
        <w:rStyle w:val="Strong"/>
        <w:b w:val="0"/>
        <w:bCs w:val="0"/>
      </w:rPr>
      <w:t xml:space="preserve"> submission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4AFC" w14:textId="20FCE664" w:rsidR="006D4212" w:rsidRPr="00FD4076" w:rsidRDefault="007D62EF" w:rsidP="0023174D">
    <w:pPr>
      <w:pStyle w:val="Header-KeylineRight"/>
    </w:pPr>
    <w:r w:rsidRPr="007D62EF">
      <w:t>Unlocking the economic potential of native title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B4795" w14:textId="07A2E4CC" w:rsidR="00D7043B" w:rsidRDefault="00D70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1BE7C3B"/>
    <w:multiLevelType w:val="hybridMultilevel"/>
    <w:tmpl w:val="2630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46888"/>
    <w:multiLevelType w:val="hybridMultilevel"/>
    <w:tmpl w:val="12905C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583453DA">
      <w:numFmt w:val="bullet"/>
      <w:lvlText w:val=""/>
      <w:lvlJc w:val="left"/>
      <w:pPr>
        <w:ind w:left="2256" w:hanging="456"/>
      </w:pPr>
      <w:rPr>
        <w:rFonts w:ascii="Wingdings" w:eastAsiaTheme="minorHAnsi" w:hAnsi="Wingding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F162C7E"/>
    <w:multiLevelType w:val="hybridMultilevel"/>
    <w:tmpl w:val="34B44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1B4A1B"/>
    <w:multiLevelType w:val="multilevel"/>
    <w:tmpl w:val="4F48000A"/>
    <w:numStyleLink w:val="Alphalist"/>
  </w:abstractNum>
  <w:abstractNum w:abstractNumId="22" w15:restartNumberingAfterBreak="0">
    <w:nsid w:val="7EE14DBB"/>
    <w:multiLevelType w:val="hybridMultilevel"/>
    <w:tmpl w:val="F7B8F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2904759">
    <w:abstractNumId w:val="7"/>
  </w:num>
  <w:num w:numId="2" w16cid:durableId="1614894758">
    <w:abstractNumId w:val="3"/>
  </w:num>
  <w:num w:numId="3" w16cid:durableId="1634215242">
    <w:abstractNumId w:val="10"/>
  </w:num>
  <w:num w:numId="4" w16cid:durableId="1221747885">
    <w:abstractNumId w:val="17"/>
  </w:num>
  <w:num w:numId="5" w16cid:durableId="407575386">
    <w:abstractNumId w:val="19"/>
  </w:num>
  <w:num w:numId="6" w16cid:durableId="2046715280">
    <w:abstractNumId w:val="15"/>
  </w:num>
  <w:num w:numId="7" w16cid:durableId="1955091682">
    <w:abstractNumId w:val="12"/>
  </w:num>
  <w:num w:numId="8" w16cid:durableId="1791969526">
    <w:abstractNumId w:val="8"/>
  </w:num>
  <w:num w:numId="9" w16cid:durableId="1418401484">
    <w:abstractNumId w:val="11"/>
  </w:num>
  <w:num w:numId="10" w16cid:durableId="2079353197">
    <w:abstractNumId w:val="21"/>
  </w:num>
  <w:num w:numId="11" w16cid:durableId="420836321">
    <w:abstractNumId w:val="1"/>
  </w:num>
  <w:num w:numId="12" w16cid:durableId="1537767388">
    <w:abstractNumId w:val="4"/>
  </w:num>
  <w:num w:numId="13" w16cid:durableId="139462048">
    <w:abstractNumId w:val="9"/>
  </w:num>
  <w:num w:numId="14" w16cid:durableId="213737887">
    <w:abstractNumId w:val="6"/>
  </w:num>
  <w:num w:numId="15" w16cid:durableId="2002922933">
    <w:abstractNumId w:val="5"/>
  </w:num>
  <w:num w:numId="16" w16cid:durableId="1060058724">
    <w:abstractNumId w:val="2"/>
  </w:num>
  <w:num w:numId="17" w16cid:durableId="1795363624">
    <w:abstractNumId w:val="14"/>
  </w:num>
  <w:num w:numId="18" w16cid:durableId="709112824">
    <w:abstractNumId w:val="0"/>
  </w:num>
  <w:num w:numId="19" w16cid:durableId="910240285">
    <w:abstractNumId w:val="20"/>
  </w:num>
  <w:num w:numId="20" w16cid:durableId="1618835108">
    <w:abstractNumId w:val="16"/>
  </w:num>
  <w:num w:numId="21" w16cid:durableId="2000619190">
    <w:abstractNumId w:val="13"/>
  </w:num>
  <w:num w:numId="22" w16cid:durableId="382682986">
    <w:abstractNumId w:val="22"/>
  </w:num>
  <w:num w:numId="23" w16cid:durableId="88187021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770"/>
    <w:rsid w:val="00000075"/>
    <w:rsid w:val="00000EBE"/>
    <w:rsid w:val="00000F3C"/>
    <w:rsid w:val="00001073"/>
    <w:rsid w:val="00001629"/>
    <w:rsid w:val="00002AD3"/>
    <w:rsid w:val="00002C32"/>
    <w:rsid w:val="00004489"/>
    <w:rsid w:val="000050CF"/>
    <w:rsid w:val="00005C79"/>
    <w:rsid w:val="00010B7B"/>
    <w:rsid w:val="000119DF"/>
    <w:rsid w:val="00013C94"/>
    <w:rsid w:val="00016267"/>
    <w:rsid w:val="00017EBF"/>
    <w:rsid w:val="00022221"/>
    <w:rsid w:val="00022958"/>
    <w:rsid w:val="00026C04"/>
    <w:rsid w:val="000300AF"/>
    <w:rsid w:val="000331E4"/>
    <w:rsid w:val="0003338D"/>
    <w:rsid w:val="00033619"/>
    <w:rsid w:val="00035A57"/>
    <w:rsid w:val="00036BBE"/>
    <w:rsid w:val="00037078"/>
    <w:rsid w:val="000374BF"/>
    <w:rsid w:val="000410D6"/>
    <w:rsid w:val="00042C16"/>
    <w:rsid w:val="000474E8"/>
    <w:rsid w:val="00047894"/>
    <w:rsid w:val="00047B97"/>
    <w:rsid w:val="00050DFE"/>
    <w:rsid w:val="0005151B"/>
    <w:rsid w:val="000522EA"/>
    <w:rsid w:val="00053F56"/>
    <w:rsid w:val="00054C95"/>
    <w:rsid w:val="00055A5D"/>
    <w:rsid w:val="000561CF"/>
    <w:rsid w:val="000568D9"/>
    <w:rsid w:val="0005716D"/>
    <w:rsid w:val="0005774F"/>
    <w:rsid w:val="00062A44"/>
    <w:rsid w:val="00064298"/>
    <w:rsid w:val="0007165D"/>
    <w:rsid w:val="00071AA1"/>
    <w:rsid w:val="000724AE"/>
    <w:rsid w:val="00072C7B"/>
    <w:rsid w:val="0007776A"/>
    <w:rsid w:val="00077A76"/>
    <w:rsid w:val="0008037D"/>
    <w:rsid w:val="00080D47"/>
    <w:rsid w:val="0008191A"/>
    <w:rsid w:val="00084660"/>
    <w:rsid w:val="00085FB9"/>
    <w:rsid w:val="000867BD"/>
    <w:rsid w:val="00090FA4"/>
    <w:rsid w:val="00091286"/>
    <w:rsid w:val="00095E29"/>
    <w:rsid w:val="00097F49"/>
    <w:rsid w:val="000A0F08"/>
    <w:rsid w:val="000A38AA"/>
    <w:rsid w:val="000B1B42"/>
    <w:rsid w:val="000B2F19"/>
    <w:rsid w:val="000B497F"/>
    <w:rsid w:val="000B4A72"/>
    <w:rsid w:val="000B5105"/>
    <w:rsid w:val="000B589B"/>
    <w:rsid w:val="000B6EA7"/>
    <w:rsid w:val="000B77AE"/>
    <w:rsid w:val="000C6B77"/>
    <w:rsid w:val="000C6BB7"/>
    <w:rsid w:val="000D4F5C"/>
    <w:rsid w:val="000D5B87"/>
    <w:rsid w:val="000E43B0"/>
    <w:rsid w:val="000E4FAD"/>
    <w:rsid w:val="000F354B"/>
    <w:rsid w:val="000F4488"/>
    <w:rsid w:val="000F75F2"/>
    <w:rsid w:val="00100FAB"/>
    <w:rsid w:val="0010443E"/>
    <w:rsid w:val="00105AFA"/>
    <w:rsid w:val="001072DD"/>
    <w:rsid w:val="0011200D"/>
    <w:rsid w:val="0011217E"/>
    <w:rsid w:val="00112E8F"/>
    <w:rsid w:val="0011464D"/>
    <w:rsid w:val="00120792"/>
    <w:rsid w:val="00123EB6"/>
    <w:rsid w:val="001268BC"/>
    <w:rsid w:val="0013084C"/>
    <w:rsid w:val="001315EE"/>
    <w:rsid w:val="00131AFC"/>
    <w:rsid w:val="001371F3"/>
    <w:rsid w:val="0013722E"/>
    <w:rsid w:val="00137FAB"/>
    <w:rsid w:val="0014146F"/>
    <w:rsid w:val="00145565"/>
    <w:rsid w:val="00150B03"/>
    <w:rsid w:val="00154E0D"/>
    <w:rsid w:val="001600E9"/>
    <w:rsid w:val="00160FEC"/>
    <w:rsid w:val="001610E5"/>
    <w:rsid w:val="00161BC8"/>
    <w:rsid w:val="00163038"/>
    <w:rsid w:val="001641B1"/>
    <w:rsid w:val="001659D7"/>
    <w:rsid w:val="001714F3"/>
    <w:rsid w:val="00172616"/>
    <w:rsid w:val="0017278B"/>
    <w:rsid w:val="001800DD"/>
    <w:rsid w:val="00182DDC"/>
    <w:rsid w:val="00187583"/>
    <w:rsid w:val="00187F05"/>
    <w:rsid w:val="001957BF"/>
    <w:rsid w:val="00195E97"/>
    <w:rsid w:val="00196882"/>
    <w:rsid w:val="00197137"/>
    <w:rsid w:val="0019791B"/>
    <w:rsid w:val="00197E5F"/>
    <w:rsid w:val="001A0D77"/>
    <w:rsid w:val="001A196A"/>
    <w:rsid w:val="001A1D95"/>
    <w:rsid w:val="001A2565"/>
    <w:rsid w:val="001A32F1"/>
    <w:rsid w:val="001A3815"/>
    <w:rsid w:val="001A7CE7"/>
    <w:rsid w:val="001B1762"/>
    <w:rsid w:val="001B17AC"/>
    <w:rsid w:val="001B212C"/>
    <w:rsid w:val="001B422E"/>
    <w:rsid w:val="001B588D"/>
    <w:rsid w:val="001B7CBF"/>
    <w:rsid w:val="001C1005"/>
    <w:rsid w:val="001C10F5"/>
    <w:rsid w:val="001C1BC7"/>
    <w:rsid w:val="001C5F79"/>
    <w:rsid w:val="001C630B"/>
    <w:rsid w:val="001C7835"/>
    <w:rsid w:val="001D1123"/>
    <w:rsid w:val="001D2182"/>
    <w:rsid w:val="001D24DC"/>
    <w:rsid w:val="001D2668"/>
    <w:rsid w:val="001D4050"/>
    <w:rsid w:val="001D4E06"/>
    <w:rsid w:val="001D7D9B"/>
    <w:rsid w:val="001E766E"/>
    <w:rsid w:val="001F015B"/>
    <w:rsid w:val="001F13C1"/>
    <w:rsid w:val="001F1A1C"/>
    <w:rsid w:val="001F1E9A"/>
    <w:rsid w:val="001F334E"/>
    <w:rsid w:val="001F35AF"/>
    <w:rsid w:val="001F446D"/>
    <w:rsid w:val="001F6936"/>
    <w:rsid w:val="001F6B0A"/>
    <w:rsid w:val="00201320"/>
    <w:rsid w:val="0020204A"/>
    <w:rsid w:val="002062F1"/>
    <w:rsid w:val="002112EC"/>
    <w:rsid w:val="002157C7"/>
    <w:rsid w:val="00215983"/>
    <w:rsid w:val="00221800"/>
    <w:rsid w:val="00221AB7"/>
    <w:rsid w:val="00223A9B"/>
    <w:rsid w:val="00227712"/>
    <w:rsid w:val="00227F80"/>
    <w:rsid w:val="0023174D"/>
    <w:rsid w:val="0023573E"/>
    <w:rsid w:val="00245435"/>
    <w:rsid w:val="002457DE"/>
    <w:rsid w:val="00246435"/>
    <w:rsid w:val="00246BCF"/>
    <w:rsid w:val="00250153"/>
    <w:rsid w:val="00251245"/>
    <w:rsid w:val="00251CA2"/>
    <w:rsid w:val="00252B98"/>
    <w:rsid w:val="0025512C"/>
    <w:rsid w:val="002601BB"/>
    <w:rsid w:val="00260F74"/>
    <w:rsid w:val="002614C4"/>
    <w:rsid w:val="00262748"/>
    <w:rsid w:val="00265918"/>
    <w:rsid w:val="00270834"/>
    <w:rsid w:val="00270BB1"/>
    <w:rsid w:val="00271299"/>
    <w:rsid w:val="00272502"/>
    <w:rsid w:val="0027277F"/>
    <w:rsid w:val="00273E86"/>
    <w:rsid w:val="00275FB2"/>
    <w:rsid w:val="002803CE"/>
    <w:rsid w:val="002814E6"/>
    <w:rsid w:val="002817F4"/>
    <w:rsid w:val="00281A54"/>
    <w:rsid w:val="00282AE5"/>
    <w:rsid w:val="00282C73"/>
    <w:rsid w:val="002867FA"/>
    <w:rsid w:val="00287114"/>
    <w:rsid w:val="00287155"/>
    <w:rsid w:val="00287F45"/>
    <w:rsid w:val="002936B4"/>
    <w:rsid w:val="002947E3"/>
    <w:rsid w:val="002951E6"/>
    <w:rsid w:val="00295330"/>
    <w:rsid w:val="00296E90"/>
    <w:rsid w:val="002A1350"/>
    <w:rsid w:val="002B0577"/>
    <w:rsid w:val="002B0D4E"/>
    <w:rsid w:val="002B184E"/>
    <w:rsid w:val="002B2F42"/>
    <w:rsid w:val="002B41F0"/>
    <w:rsid w:val="002C75A1"/>
    <w:rsid w:val="002C797E"/>
    <w:rsid w:val="002C7B80"/>
    <w:rsid w:val="002C7F9F"/>
    <w:rsid w:val="002D0476"/>
    <w:rsid w:val="002D0962"/>
    <w:rsid w:val="002D0FE4"/>
    <w:rsid w:val="002D50CB"/>
    <w:rsid w:val="002E1D07"/>
    <w:rsid w:val="002E3F19"/>
    <w:rsid w:val="002E51D2"/>
    <w:rsid w:val="002E7A0E"/>
    <w:rsid w:val="002E7EFA"/>
    <w:rsid w:val="002F6386"/>
    <w:rsid w:val="002F7E01"/>
    <w:rsid w:val="00303704"/>
    <w:rsid w:val="0030485E"/>
    <w:rsid w:val="00305171"/>
    <w:rsid w:val="00305E96"/>
    <w:rsid w:val="003122E3"/>
    <w:rsid w:val="003143AB"/>
    <w:rsid w:val="00316307"/>
    <w:rsid w:val="003220DD"/>
    <w:rsid w:val="00323400"/>
    <w:rsid w:val="0032476D"/>
    <w:rsid w:val="00325D9A"/>
    <w:rsid w:val="00326A36"/>
    <w:rsid w:val="00327376"/>
    <w:rsid w:val="00335B2D"/>
    <w:rsid w:val="00336ECB"/>
    <w:rsid w:val="003371BA"/>
    <w:rsid w:val="00337C35"/>
    <w:rsid w:val="00344AF0"/>
    <w:rsid w:val="0034680A"/>
    <w:rsid w:val="00354696"/>
    <w:rsid w:val="0035519A"/>
    <w:rsid w:val="003559B6"/>
    <w:rsid w:val="00356A60"/>
    <w:rsid w:val="0036059A"/>
    <w:rsid w:val="0036251E"/>
    <w:rsid w:val="00363FF8"/>
    <w:rsid w:val="003640E1"/>
    <w:rsid w:val="00366BC3"/>
    <w:rsid w:val="003729B1"/>
    <w:rsid w:val="00372EE8"/>
    <w:rsid w:val="00373545"/>
    <w:rsid w:val="00376491"/>
    <w:rsid w:val="0037721D"/>
    <w:rsid w:val="0038102A"/>
    <w:rsid w:val="0038175A"/>
    <w:rsid w:val="0038327F"/>
    <w:rsid w:val="003833B4"/>
    <w:rsid w:val="0038559D"/>
    <w:rsid w:val="00386ECE"/>
    <w:rsid w:val="00394205"/>
    <w:rsid w:val="00394D4A"/>
    <w:rsid w:val="00396B58"/>
    <w:rsid w:val="00397C5A"/>
    <w:rsid w:val="003A0992"/>
    <w:rsid w:val="003A1D7E"/>
    <w:rsid w:val="003A36F2"/>
    <w:rsid w:val="003A743E"/>
    <w:rsid w:val="003A7ADE"/>
    <w:rsid w:val="003B068B"/>
    <w:rsid w:val="003B2A34"/>
    <w:rsid w:val="003B2A41"/>
    <w:rsid w:val="003B6E2C"/>
    <w:rsid w:val="003B7DB1"/>
    <w:rsid w:val="003C01D4"/>
    <w:rsid w:val="003C03C5"/>
    <w:rsid w:val="003C2CC3"/>
    <w:rsid w:val="003C3946"/>
    <w:rsid w:val="003C69BF"/>
    <w:rsid w:val="003D09EE"/>
    <w:rsid w:val="003D23A3"/>
    <w:rsid w:val="003D5856"/>
    <w:rsid w:val="003D6B29"/>
    <w:rsid w:val="003D7424"/>
    <w:rsid w:val="003D795D"/>
    <w:rsid w:val="003E6055"/>
    <w:rsid w:val="003F205C"/>
    <w:rsid w:val="003F4D78"/>
    <w:rsid w:val="003F6F1A"/>
    <w:rsid w:val="0040060F"/>
    <w:rsid w:val="0040431E"/>
    <w:rsid w:val="00404971"/>
    <w:rsid w:val="00404E4F"/>
    <w:rsid w:val="0040626F"/>
    <w:rsid w:val="004064F7"/>
    <w:rsid w:val="00411189"/>
    <w:rsid w:val="00412570"/>
    <w:rsid w:val="00412FBD"/>
    <w:rsid w:val="00420F0E"/>
    <w:rsid w:val="00421840"/>
    <w:rsid w:val="0042339A"/>
    <w:rsid w:val="00423B15"/>
    <w:rsid w:val="00424CB8"/>
    <w:rsid w:val="0042508F"/>
    <w:rsid w:val="00426BDB"/>
    <w:rsid w:val="00426E33"/>
    <w:rsid w:val="00426F60"/>
    <w:rsid w:val="00431234"/>
    <w:rsid w:val="0043125E"/>
    <w:rsid w:val="004329FC"/>
    <w:rsid w:val="0043326D"/>
    <w:rsid w:val="00436938"/>
    <w:rsid w:val="004379C2"/>
    <w:rsid w:val="004400E8"/>
    <w:rsid w:val="00443FA4"/>
    <w:rsid w:val="00446E1C"/>
    <w:rsid w:val="0044702C"/>
    <w:rsid w:val="00450C80"/>
    <w:rsid w:val="00453BD6"/>
    <w:rsid w:val="00453CB2"/>
    <w:rsid w:val="004544D6"/>
    <w:rsid w:val="004556F6"/>
    <w:rsid w:val="004567C4"/>
    <w:rsid w:val="00461CE9"/>
    <w:rsid w:val="00462407"/>
    <w:rsid w:val="004631DD"/>
    <w:rsid w:val="004635FD"/>
    <w:rsid w:val="00465F97"/>
    <w:rsid w:val="00466F14"/>
    <w:rsid w:val="00467A1D"/>
    <w:rsid w:val="00470129"/>
    <w:rsid w:val="00470AD0"/>
    <w:rsid w:val="004728A0"/>
    <w:rsid w:val="004742DD"/>
    <w:rsid w:val="00475231"/>
    <w:rsid w:val="00482AFD"/>
    <w:rsid w:val="00482FE5"/>
    <w:rsid w:val="00484E80"/>
    <w:rsid w:val="00484E96"/>
    <w:rsid w:val="00485889"/>
    <w:rsid w:val="004862F3"/>
    <w:rsid w:val="00496700"/>
    <w:rsid w:val="004A0368"/>
    <w:rsid w:val="004A2FB8"/>
    <w:rsid w:val="004A5586"/>
    <w:rsid w:val="004A6945"/>
    <w:rsid w:val="004B1531"/>
    <w:rsid w:val="004B609E"/>
    <w:rsid w:val="004C082D"/>
    <w:rsid w:val="004C0B10"/>
    <w:rsid w:val="004C34D2"/>
    <w:rsid w:val="004C4823"/>
    <w:rsid w:val="004C4DC0"/>
    <w:rsid w:val="004D180A"/>
    <w:rsid w:val="004D3B33"/>
    <w:rsid w:val="004D3C1D"/>
    <w:rsid w:val="004D6533"/>
    <w:rsid w:val="004D682E"/>
    <w:rsid w:val="004E1233"/>
    <w:rsid w:val="004E28C6"/>
    <w:rsid w:val="004E4EEF"/>
    <w:rsid w:val="004E6DE1"/>
    <w:rsid w:val="004E7821"/>
    <w:rsid w:val="004F10E0"/>
    <w:rsid w:val="004F138F"/>
    <w:rsid w:val="004F2D0A"/>
    <w:rsid w:val="004F420C"/>
    <w:rsid w:val="004F610B"/>
    <w:rsid w:val="00500123"/>
    <w:rsid w:val="00501676"/>
    <w:rsid w:val="005020E0"/>
    <w:rsid w:val="00503ABF"/>
    <w:rsid w:val="0050629F"/>
    <w:rsid w:val="0050633B"/>
    <w:rsid w:val="0050670B"/>
    <w:rsid w:val="005119A4"/>
    <w:rsid w:val="00511B29"/>
    <w:rsid w:val="00511FD7"/>
    <w:rsid w:val="005124ED"/>
    <w:rsid w:val="005141E8"/>
    <w:rsid w:val="00516A89"/>
    <w:rsid w:val="00517257"/>
    <w:rsid w:val="0052161E"/>
    <w:rsid w:val="00526C00"/>
    <w:rsid w:val="00527A18"/>
    <w:rsid w:val="005328A0"/>
    <w:rsid w:val="0053476D"/>
    <w:rsid w:val="00540B70"/>
    <w:rsid w:val="00542C27"/>
    <w:rsid w:val="00545D4F"/>
    <w:rsid w:val="00546315"/>
    <w:rsid w:val="0054772A"/>
    <w:rsid w:val="00550C99"/>
    <w:rsid w:val="005529D8"/>
    <w:rsid w:val="00553413"/>
    <w:rsid w:val="00554298"/>
    <w:rsid w:val="00555AB2"/>
    <w:rsid w:val="00557482"/>
    <w:rsid w:val="00557850"/>
    <w:rsid w:val="00561129"/>
    <w:rsid w:val="00562410"/>
    <w:rsid w:val="005627EC"/>
    <w:rsid w:val="00565AF9"/>
    <w:rsid w:val="00571371"/>
    <w:rsid w:val="00571C54"/>
    <w:rsid w:val="005749D5"/>
    <w:rsid w:val="005754AB"/>
    <w:rsid w:val="005826F4"/>
    <w:rsid w:val="0058369E"/>
    <w:rsid w:val="005837D3"/>
    <w:rsid w:val="00583C0E"/>
    <w:rsid w:val="00584C66"/>
    <w:rsid w:val="00585395"/>
    <w:rsid w:val="00586A8B"/>
    <w:rsid w:val="00586B6C"/>
    <w:rsid w:val="00590D09"/>
    <w:rsid w:val="0059156A"/>
    <w:rsid w:val="00591ABD"/>
    <w:rsid w:val="00593314"/>
    <w:rsid w:val="0059368E"/>
    <w:rsid w:val="00593BF5"/>
    <w:rsid w:val="00594496"/>
    <w:rsid w:val="005956D3"/>
    <w:rsid w:val="00596365"/>
    <w:rsid w:val="005965BC"/>
    <w:rsid w:val="00597EC5"/>
    <w:rsid w:val="005A35F6"/>
    <w:rsid w:val="005A57F0"/>
    <w:rsid w:val="005A7E78"/>
    <w:rsid w:val="005B03ED"/>
    <w:rsid w:val="005B1776"/>
    <w:rsid w:val="005B1BA3"/>
    <w:rsid w:val="005B32FB"/>
    <w:rsid w:val="005B4AC0"/>
    <w:rsid w:val="005B683C"/>
    <w:rsid w:val="005B7FE4"/>
    <w:rsid w:val="005C05E0"/>
    <w:rsid w:val="005C0C6B"/>
    <w:rsid w:val="005C37E0"/>
    <w:rsid w:val="005C54B9"/>
    <w:rsid w:val="005C5A1C"/>
    <w:rsid w:val="005C6618"/>
    <w:rsid w:val="005D0189"/>
    <w:rsid w:val="005D686A"/>
    <w:rsid w:val="005D76BC"/>
    <w:rsid w:val="005E3DAC"/>
    <w:rsid w:val="005E4470"/>
    <w:rsid w:val="005E550E"/>
    <w:rsid w:val="005E5794"/>
    <w:rsid w:val="005E6F72"/>
    <w:rsid w:val="005E75CD"/>
    <w:rsid w:val="005F3625"/>
    <w:rsid w:val="00601C3B"/>
    <w:rsid w:val="00603947"/>
    <w:rsid w:val="00603FD5"/>
    <w:rsid w:val="00607B82"/>
    <w:rsid w:val="00607F03"/>
    <w:rsid w:val="00607F4C"/>
    <w:rsid w:val="00610569"/>
    <w:rsid w:val="00610627"/>
    <w:rsid w:val="00610F6C"/>
    <w:rsid w:val="00612006"/>
    <w:rsid w:val="00612F36"/>
    <w:rsid w:val="00613C90"/>
    <w:rsid w:val="006152AA"/>
    <w:rsid w:val="00616DC8"/>
    <w:rsid w:val="00620548"/>
    <w:rsid w:val="006211EB"/>
    <w:rsid w:val="00621C50"/>
    <w:rsid w:val="00624B90"/>
    <w:rsid w:val="00625912"/>
    <w:rsid w:val="00627645"/>
    <w:rsid w:val="00630F02"/>
    <w:rsid w:val="0063467D"/>
    <w:rsid w:val="00634687"/>
    <w:rsid w:val="006352B0"/>
    <w:rsid w:val="00636D45"/>
    <w:rsid w:val="00644A8E"/>
    <w:rsid w:val="006475BD"/>
    <w:rsid w:val="006527FF"/>
    <w:rsid w:val="00656A8A"/>
    <w:rsid w:val="00662209"/>
    <w:rsid w:val="00663CCC"/>
    <w:rsid w:val="00664592"/>
    <w:rsid w:val="00664BE8"/>
    <w:rsid w:val="00670DA9"/>
    <w:rsid w:val="0067795A"/>
    <w:rsid w:val="00681434"/>
    <w:rsid w:val="00682D5C"/>
    <w:rsid w:val="0068549B"/>
    <w:rsid w:val="0068724F"/>
    <w:rsid w:val="006901E3"/>
    <w:rsid w:val="00694804"/>
    <w:rsid w:val="006A1DEF"/>
    <w:rsid w:val="006A23D3"/>
    <w:rsid w:val="006A3168"/>
    <w:rsid w:val="006A3877"/>
    <w:rsid w:val="006A3932"/>
    <w:rsid w:val="006A7069"/>
    <w:rsid w:val="006B0B59"/>
    <w:rsid w:val="006B11B5"/>
    <w:rsid w:val="006B1951"/>
    <w:rsid w:val="006B244E"/>
    <w:rsid w:val="006B7C03"/>
    <w:rsid w:val="006C018B"/>
    <w:rsid w:val="006C2075"/>
    <w:rsid w:val="006C364A"/>
    <w:rsid w:val="006C36D5"/>
    <w:rsid w:val="006C38FD"/>
    <w:rsid w:val="006C4AF4"/>
    <w:rsid w:val="006C4C82"/>
    <w:rsid w:val="006D095B"/>
    <w:rsid w:val="006D289C"/>
    <w:rsid w:val="006D2981"/>
    <w:rsid w:val="006D3F2F"/>
    <w:rsid w:val="006D4212"/>
    <w:rsid w:val="006D4F09"/>
    <w:rsid w:val="006D5F4F"/>
    <w:rsid w:val="006E3536"/>
    <w:rsid w:val="006E6531"/>
    <w:rsid w:val="006F06F8"/>
    <w:rsid w:val="006F22DA"/>
    <w:rsid w:val="006F39B0"/>
    <w:rsid w:val="006F5A3E"/>
    <w:rsid w:val="006F6E8E"/>
    <w:rsid w:val="00701100"/>
    <w:rsid w:val="0070220D"/>
    <w:rsid w:val="00704B7F"/>
    <w:rsid w:val="00707DAB"/>
    <w:rsid w:val="00710615"/>
    <w:rsid w:val="007129D1"/>
    <w:rsid w:val="00714488"/>
    <w:rsid w:val="007158C6"/>
    <w:rsid w:val="00715BA6"/>
    <w:rsid w:val="00720507"/>
    <w:rsid w:val="007215EF"/>
    <w:rsid w:val="00722F90"/>
    <w:rsid w:val="00723752"/>
    <w:rsid w:val="007263D8"/>
    <w:rsid w:val="00726703"/>
    <w:rsid w:val="007301C9"/>
    <w:rsid w:val="007313FA"/>
    <w:rsid w:val="00735116"/>
    <w:rsid w:val="007373F6"/>
    <w:rsid w:val="00737A58"/>
    <w:rsid w:val="00742F0D"/>
    <w:rsid w:val="00743548"/>
    <w:rsid w:val="00744120"/>
    <w:rsid w:val="00752874"/>
    <w:rsid w:val="0075386F"/>
    <w:rsid w:val="00756572"/>
    <w:rsid w:val="0075769B"/>
    <w:rsid w:val="00760304"/>
    <w:rsid w:val="00760E1B"/>
    <w:rsid w:val="00762F69"/>
    <w:rsid w:val="00764FE1"/>
    <w:rsid w:val="00765B78"/>
    <w:rsid w:val="007669DE"/>
    <w:rsid w:val="00767E54"/>
    <w:rsid w:val="00767EAE"/>
    <w:rsid w:val="00770DB0"/>
    <w:rsid w:val="00771175"/>
    <w:rsid w:val="00775165"/>
    <w:rsid w:val="00777A84"/>
    <w:rsid w:val="007801BA"/>
    <w:rsid w:val="00780D90"/>
    <w:rsid w:val="00783432"/>
    <w:rsid w:val="00783D7F"/>
    <w:rsid w:val="0078533C"/>
    <w:rsid w:val="00786C8E"/>
    <w:rsid w:val="007877F6"/>
    <w:rsid w:val="0079194B"/>
    <w:rsid w:val="00794A2C"/>
    <w:rsid w:val="007951DC"/>
    <w:rsid w:val="0079631A"/>
    <w:rsid w:val="007A0363"/>
    <w:rsid w:val="007A1992"/>
    <w:rsid w:val="007A617D"/>
    <w:rsid w:val="007A7770"/>
    <w:rsid w:val="007C3475"/>
    <w:rsid w:val="007C3D1F"/>
    <w:rsid w:val="007C4442"/>
    <w:rsid w:val="007C537A"/>
    <w:rsid w:val="007C6BE0"/>
    <w:rsid w:val="007D1569"/>
    <w:rsid w:val="007D15FD"/>
    <w:rsid w:val="007D1AEF"/>
    <w:rsid w:val="007D25EB"/>
    <w:rsid w:val="007D29CC"/>
    <w:rsid w:val="007D56DF"/>
    <w:rsid w:val="007D62EF"/>
    <w:rsid w:val="007E1A38"/>
    <w:rsid w:val="007F0F4F"/>
    <w:rsid w:val="007F284C"/>
    <w:rsid w:val="007F3A46"/>
    <w:rsid w:val="0080009B"/>
    <w:rsid w:val="008003E5"/>
    <w:rsid w:val="008017BC"/>
    <w:rsid w:val="0080322B"/>
    <w:rsid w:val="008035C3"/>
    <w:rsid w:val="00803F26"/>
    <w:rsid w:val="00804B8B"/>
    <w:rsid w:val="00805A9E"/>
    <w:rsid w:val="00805E22"/>
    <w:rsid w:val="00806F63"/>
    <w:rsid w:val="00807005"/>
    <w:rsid w:val="00807F06"/>
    <w:rsid w:val="00811196"/>
    <w:rsid w:val="0081533C"/>
    <w:rsid w:val="008161D7"/>
    <w:rsid w:val="00816471"/>
    <w:rsid w:val="00820661"/>
    <w:rsid w:val="00824042"/>
    <w:rsid w:val="0082437F"/>
    <w:rsid w:val="008265FC"/>
    <w:rsid w:val="00832D3F"/>
    <w:rsid w:val="00834073"/>
    <w:rsid w:val="00836262"/>
    <w:rsid w:val="00836E3A"/>
    <w:rsid w:val="00837210"/>
    <w:rsid w:val="00841351"/>
    <w:rsid w:val="0084238D"/>
    <w:rsid w:val="00843340"/>
    <w:rsid w:val="0084392A"/>
    <w:rsid w:val="00843E97"/>
    <w:rsid w:val="008472B8"/>
    <w:rsid w:val="008529A2"/>
    <w:rsid w:val="0085439B"/>
    <w:rsid w:val="00854A55"/>
    <w:rsid w:val="008579B4"/>
    <w:rsid w:val="00866FB2"/>
    <w:rsid w:val="00871A6C"/>
    <w:rsid w:val="00872A6F"/>
    <w:rsid w:val="008752A8"/>
    <w:rsid w:val="00875CCB"/>
    <w:rsid w:val="008833F3"/>
    <w:rsid w:val="00886BB7"/>
    <w:rsid w:val="008956FC"/>
    <w:rsid w:val="008966E8"/>
    <w:rsid w:val="00897793"/>
    <w:rsid w:val="00897F6E"/>
    <w:rsid w:val="008A0953"/>
    <w:rsid w:val="008A115B"/>
    <w:rsid w:val="008A1632"/>
    <w:rsid w:val="008A6F83"/>
    <w:rsid w:val="008B05C3"/>
    <w:rsid w:val="008B4965"/>
    <w:rsid w:val="008B78B1"/>
    <w:rsid w:val="008C1CCF"/>
    <w:rsid w:val="008C3A71"/>
    <w:rsid w:val="008D19FD"/>
    <w:rsid w:val="008D1ABD"/>
    <w:rsid w:val="008D3A0D"/>
    <w:rsid w:val="008D5359"/>
    <w:rsid w:val="008E1B4F"/>
    <w:rsid w:val="008E25CF"/>
    <w:rsid w:val="008E25D6"/>
    <w:rsid w:val="008E7BD4"/>
    <w:rsid w:val="008F0A95"/>
    <w:rsid w:val="008F1490"/>
    <w:rsid w:val="008F1DB0"/>
    <w:rsid w:val="008F2F8C"/>
    <w:rsid w:val="008F567D"/>
    <w:rsid w:val="008F5B8A"/>
    <w:rsid w:val="008F6F1A"/>
    <w:rsid w:val="008F7897"/>
    <w:rsid w:val="00900010"/>
    <w:rsid w:val="0090137A"/>
    <w:rsid w:val="00902398"/>
    <w:rsid w:val="00902F0A"/>
    <w:rsid w:val="00903005"/>
    <w:rsid w:val="00903370"/>
    <w:rsid w:val="009049A9"/>
    <w:rsid w:val="009051DD"/>
    <w:rsid w:val="00910200"/>
    <w:rsid w:val="0091158C"/>
    <w:rsid w:val="0091349A"/>
    <w:rsid w:val="00914399"/>
    <w:rsid w:val="0091530C"/>
    <w:rsid w:val="009158BF"/>
    <w:rsid w:val="009213A0"/>
    <w:rsid w:val="00921972"/>
    <w:rsid w:val="009219CD"/>
    <w:rsid w:val="00923BBB"/>
    <w:rsid w:val="00927DC0"/>
    <w:rsid w:val="00933E08"/>
    <w:rsid w:val="009342FC"/>
    <w:rsid w:val="009356AE"/>
    <w:rsid w:val="00935BE0"/>
    <w:rsid w:val="00936068"/>
    <w:rsid w:val="00936CC4"/>
    <w:rsid w:val="00936F29"/>
    <w:rsid w:val="00940951"/>
    <w:rsid w:val="00943806"/>
    <w:rsid w:val="00946351"/>
    <w:rsid w:val="00946C03"/>
    <w:rsid w:val="009517CC"/>
    <w:rsid w:val="0095684F"/>
    <w:rsid w:val="00960069"/>
    <w:rsid w:val="0096083C"/>
    <w:rsid w:val="009615D4"/>
    <w:rsid w:val="00961732"/>
    <w:rsid w:val="00962905"/>
    <w:rsid w:val="00963620"/>
    <w:rsid w:val="00966793"/>
    <w:rsid w:val="00967D11"/>
    <w:rsid w:val="00970A20"/>
    <w:rsid w:val="00970FD1"/>
    <w:rsid w:val="0097163D"/>
    <w:rsid w:val="00971E78"/>
    <w:rsid w:val="009721F8"/>
    <w:rsid w:val="00974677"/>
    <w:rsid w:val="0097522B"/>
    <w:rsid w:val="00975EB4"/>
    <w:rsid w:val="00976023"/>
    <w:rsid w:val="009761CE"/>
    <w:rsid w:val="009779E8"/>
    <w:rsid w:val="00980461"/>
    <w:rsid w:val="0098220A"/>
    <w:rsid w:val="009853D8"/>
    <w:rsid w:val="009864AF"/>
    <w:rsid w:val="009901F4"/>
    <w:rsid w:val="00991AC2"/>
    <w:rsid w:val="00995AEB"/>
    <w:rsid w:val="009969C3"/>
    <w:rsid w:val="00997F74"/>
    <w:rsid w:val="009A050B"/>
    <w:rsid w:val="009A0CB8"/>
    <w:rsid w:val="009A2F17"/>
    <w:rsid w:val="009A3C2B"/>
    <w:rsid w:val="009A5376"/>
    <w:rsid w:val="009A7EFF"/>
    <w:rsid w:val="009B03CD"/>
    <w:rsid w:val="009B226D"/>
    <w:rsid w:val="009B4057"/>
    <w:rsid w:val="009B6968"/>
    <w:rsid w:val="009C3A37"/>
    <w:rsid w:val="009C6075"/>
    <w:rsid w:val="009C741E"/>
    <w:rsid w:val="009C7B24"/>
    <w:rsid w:val="009D24F5"/>
    <w:rsid w:val="009D6987"/>
    <w:rsid w:val="009E19A3"/>
    <w:rsid w:val="009E2BF5"/>
    <w:rsid w:val="009E4DC0"/>
    <w:rsid w:val="009E5117"/>
    <w:rsid w:val="009E6EC3"/>
    <w:rsid w:val="009E6F2B"/>
    <w:rsid w:val="009F0B68"/>
    <w:rsid w:val="009F3196"/>
    <w:rsid w:val="009F4453"/>
    <w:rsid w:val="009F59C6"/>
    <w:rsid w:val="009F6207"/>
    <w:rsid w:val="009F6DB3"/>
    <w:rsid w:val="00A05184"/>
    <w:rsid w:val="00A0757A"/>
    <w:rsid w:val="00A11AC4"/>
    <w:rsid w:val="00A122E5"/>
    <w:rsid w:val="00A128B7"/>
    <w:rsid w:val="00A12D08"/>
    <w:rsid w:val="00A13664"/>
    <w:rsid w:val="00A13755"/>
    <w:rsid w:val="00A1416E"/>
    <w:rsid w:val="00A168CE"/>
    <w:rsid w:val="00A26198"/>
    <w:rsid w:val="00A325B9"/>
    <w:rsid w:val="00A36359"/>
    <w:rsid w:val="00A416AD"/>
    <w:rsid w:val="00A447E6"/>
    <w:rsid w:val="00A471AE"/>
    <w:rsid w:val="00A47B60"/>
    <w:rsid w:val="00A50CD9"/>
    <w:rsid w:val="00A51374"/>
    <w:rsid w:val="00A5529A"/>
    <w:rsid w:val="00A5703F"/>
    <w:rsid w:val="00A616CD"/>
    <w:rsid w:val="00A61769"/>
    <w:rsid w:val="00A62358"/>
    <w:rsid w:val="00A62E1F"/>
    <w:rsid w:val="00A630B4"/>
    <w:rsid w:val="00A648A2"/>
    <w:rsid w:val="00A65DCB"/>
    <w:rsid w:val="00A7198E"/>
    <w:rsid w:val="00A71A2F"/>
    <w:rsid w:val="00A7320D"/>
    <w:rsid w:val="00A75DCB"/>
    <w:rsid w:val="00A761C0"/>
    <w:rsid w:val="00A803F2"/>
    <w:rsid w:val="00A8183A"/>
    <w:rsid w:val="00A86051"/>
    <w:rsid w:val="00A8625F"/>
    <w:rsid w:val="00A87AB4"/>
    <w:rsid w:val="00A90151"/>
    <w:rsid w:val="00A90256"/>
    <w:rsid w:val="00A9359B"/>
    <w:rsid w:val="00A9534C"/>
    <w:rsid w:val="00A9545C"/>
    <w:rsid w:val="00A96CC8"/>
    <w:rsid w:val="00A970A6"/>
    <w:rsid w:val="00A979AF"/>
    <w:rsid w:val="00AA163B"/>
    <w:rsid w:val="00AA3569"/>
    <w:rsid w:val="00AA3DFC"/>
    <w:rsid w:val="00AB0036"/>
    <w:rsid w:val="00AB0896"/>
    <w:rsid w:val="00AB10F4"/>
    <w:rsid w:val="00AB2D17"/>
    <w:rsid w:val="00AB34AD"/>
    <w:rsid w:val="00AB46E2"/>
    <w:rsid w:val="00AB4CC3"/>
    <w:rsid w:val="00AB6741"/>
    <w:rsid w:val="00AC25EE"/>
    <w:rsid w:val="00AC46CF"/>
    <w:rsid w:val="00AC4F7C"/>
    <w:rsid w:val="00AC587D"/>
    <w:rsid w:val="00AD1AA2"/>
    <w:rsid w:val="00AD7196"/>
    <w:rsid w:val="00AD7A30"/>
    <w:rsid w:val="00AE1DDA"/>
    <w:rsid w:val="00AE42C3"/>
    <w:rsid w:val="00AE7254"/>
    <w:rsid w:val="00AF26AC"/>
    <w:rsid w:val="00AF28A2"/>
    <w:rsid w:val="00AF3BD9"/>
    <w:rsid w:val="00AF3CD8"/>
    <w:rsid w:val="00AF479F"/>
    <w:rsid w:val="00AF4E62"/>
    <w:rsid w:val="00AF548C"/>
    <w:rsid w:val="00AF5C18"/>
    <w:rsid w:val="00AF780B"/>
    <w:rsid w:val="00B01516"/>
    <w:rsid w:val="00B044BC"/>
    <w:rsid w:val="00B0613D"/>
    <w:rsid w:val="00B10395"/>
    <w:rsid w:val="00B104C3"/>
    <w:rsid w:val="00B11F80"/>
    <w:rsid w:val="00B17D6B"/>
    <w:rsid w:val="00B22C38"/>
    <w:rsid w:val="00B23258"/>
    <w:rsid w:val="00B23603"/>
    <w:rsid w:val="00B23725"/>
    <w:rsid w:val="00B23F35"/>
    <w:rsid w:val="00B26293"/>
    <w:rsid w:val="00B302FA"/>
    <w:rsid w:val="00B32D6C"/>
    <w:rsid w:val="00B34048"/>
    <w:rsid w:val="00B3688A"/>
    <w:rsid w:val="00B3749D"/>
    <w:rsid w:val="00B40495"/>
    <w:rsid w:val="00B41493"/>
    <w:rsid w:val="00B425D4"/>
    <w:rsid w:val="00B443CC"/>
    <w:rsid w:val="00B4445C"/>
    <w:rsid w:val="00B45E92"/>
    <w:rsid w:val="00B5296F"/>
    <w:rsid w:val="00B55EFF"/>
    <w:rsid w:val="00B60E2A"/>
    <w:rsid w:val="00B6207E"/>
    <w:rsid w:val="00B624B1"/>
    <w:rsid w:val="00B65DAA"/>
    <w:rsid w:val="00B66B2F"/>
    <w:rsid w:val="00B70D61"/>
    <w:rsid w:val="00B720EC"/>
    <w:rsid w:val="00B720F6"/>
    <w:rsid w:val="00B73405"/>
    <w:rsid w:val="00B74634"/>
    <w:rsid w:val="00B74F7F"/>
    <w:rsid w:val="00B75B08"/>
    <w:rsid w:val="00B7663C"/>
    <w:rsid w:val="00B80EA2"/>
    <w:rsid w:val="00B845EF"/>
    <w:rsid w:val="00B84869"/>
    <w:rsid w:val="00B86607"/>
    <w:rsid w:val="00B87859"/>
    <w:rsid w:val="00B9038B"/>
    <w:rsid w:val="00B91D47"/>
    <w:rsid w:val="00B953E2"/>
    <w:rsid w:val="00B9661C"/>
    <w:rsid w:val="00BA080A"/>
    <w:rsid w:val="00BA3CB8"/>
    <w:rsid w:val="00BA4BEC"/>
    <w:rsid w:val="00BA55B5"/>
    <w:rsid w:val="00BA6B15"/>
    <w:rsid w:val="00BA7623"/>
    <w:rsid w:val="00BB2D99"/>
    <w:rsid w:val="00BB43D3"/>
    <w:rsid w:val="00BB58E6"/>
    <w:rsid w:val="00BC0DCE"/>
    <w:rsid w:val="00BC127C"/>
    <w:rsid w:val="00BC3D27"/>
    <w:rsid w:val="00BC6606"/>
    <w:rsid w:val="00BC7C1B"/>
    <w:rsid w:val="00BD0CB9"/>
    <w:rsid w:val="00BD190D"/>
    <w:rsid w:val="00BD59F7"/>
    <w:rsid w:val="00BE3035"/>
    <w:rsid w:val="00BE5CA9"/>
    <w:rsid w:val="00BF0EF2"/>
    <w:rsid w:val="00BF11A0"/>
    <w:rsid w:val="00BF209C"/>
    <w:rsid w:val="00BF3E01"/>
    <w:rsid w:val="00BF68C8"/>
    <w:rsid w:val="00C016A3"/>
    <w:rsid w:val="00C01E68"/>
    <w:rsid w:val="00C033CE"/>
    <w:rsid w:val="00C04FE2"/>
    <w:rsid w:val="00C05276"/>
    <w:rsid w:val="00C06428"/>
    <w:rsid w:val="00C06B21"/>
    <w:rsid w:val="00C11924"/>
    <w:rsid w:val="00C13420"/>
    <w:rsid w:val="00C14016"/>
    <w:rsid w:val="00C1457B"/>
    <w:rsid w:val="00C17B40"/>
    <w:rsid w:val="00C221A0"/>
    <w:rsid w:val="00C22D6D"/>
    <w:rsid w:val="00C238D1"/>
    <w:rsid w:val="00C243A9"/>
    <w:rsid w:val="00C24E23"/>
    <w:rsid w:val="00C25C46"/>
    <w:rsid w:val="00C27B17"/>
    <w:rsid w:val="00C31E23"/>
    <w:rsid w:val="00C326F9"/>
    <w:rsid w:val="00C32EB7"/>
    <w:rsid w:val="00C3691E"/>
    <w:rsid w:val="00C36FFC"/>
    <w:rsid w:val="00C37A29"/>
    <w:rsid w:val="00C41F7B"/>
    <w:rsid w:val="00C44317"/>
    <w:rsid w:val="00C54BEA"/>
    <w:rsid w:val="00C54D79"/>
    <w:rsid w:val="00C56A25"/>
    <w:rsid w:val="00C57155"/>
    <w:rsid w:val="00C63E55"/>
    <w:rsid w:val="00C646E7"/>
    <w:rsid w:val="00C6614A"/>
    <w:rsid w:val="00C70D80"/>
    <w:rsid w:val="00C70EFC"/>
    <w:rsid w:val="00C71688"/>
    <w:rsid w:val="00C74E45"/>
    <w:rsid w:val="00C75C56"/>
    <w:rsid w:val="00C764A9"/>
    <w:rsid w:val="00C81EC5"/>
    <w:rsid w:val="00C87B81"/>
    <w:rsid w:val="00C932F3"/>
    <w:rsid w:val="00C93767"/>
    <w:rsid w:val="00C95116"/>
    <w:rsid w:val="00CA06CD"/>
    <w:rsid w:val="00CA0B3F"/>
    <w:rsid w:val="00CA5D9C"/>
    <w:rsid w:val="00CB1478"/>
    <w:rsid w:val="00CB1B75"/>
    <w:rsid w:val="00CB4766"/>
    <w:rsid w:val="00CB7F7E"/>
    <w:rsid w:val="00CC0D21"/>
    <w:rsid w:val="00CC2A15"/>
    <w:rsid w:val="00CC3DE4"/>
    <w:rsid w:val="00CC459B"/>
    <w:rsid w:val="00CC5F5B"/>
    <w:rsid w:val="00CD0A09"/>
    <w:rsid w:val="00CD0ECA"/>
    <w:rsid w:val="00CD11E2"/>
    <w:rsid w:val="00CD2827"/>
    <w:rsid w:val="00CD2D41"/>
    <w:rsid w:val="00CD379A"/>
    <w:rsid w:val="00CD47AF"/>
    <w:rsid w:val="00CD61EB"/>
    <w:rsid w:val="00CD7F44"/>
    <w:rsid w:val="00CE43AF"/>
    <w:rsid w:val="00CE4D3A"/>
    <w:rsid w:val="00CE50F9"/>
    <w:rsid w:val="00CE64FD"/>
    <w:rsid w:val="00CE7236"/>
    <w:rsid w:val="00CE7346"/>
    <w:rsid w:val="00CF02F0"/>
    <w:rsid w:val="00CF0390"/>
    <w:rsid w:val="00CF4BC6"/>
    <w:rsid w:val="00CF67C1"/>
    <w:rsid w:val="00CF7F06"/>
    <w:rsid w:val="00D01615"/>
    <w:rsid w:val="00D02433"/>
    <w:rsid w:val="00D02FEC"/>
    <w:rsid w:val="00D0352E"/>
    <w:rsid w:val="00D10F14"/>
    <w:rsid w:val="00D132EF"/>
    <w:rsid w:val="00D1443A"/>
    <w:rsid w:val="00D15113"/>
    <w:rsid w:val="00D15B7C"/>
    <w:rsid w:val="00D15B7D"/>
    <w:rsid w:val="00D16EA6"/>
    <w:rsid w:val="00D16F74"/>
    <w:rsid w:val="00D17D30"/>
    <w:rsid w:val="00D17E73"/>
    <w:rsid w:val="00D27D70"/>
    <w:rsid w:val="00D30791"/>
    <w:rsid w:val="00D31E3E"/>
    <w:rsid w:val="00D330CA"/>
    <w:rsid w:val="00D3316D"/>
    <w:rsid w:val="00D3418D"/>
    <w:rsid w:val="00D37882"/>
    <w:rsid w:val="00D41E73"/>
    <w:rsid w:val="00D43C02"/>
    <w:rsid w:val="00D4407B"/>
    <w:rsid w:val="00D44111"/>
    <w:rsid w:val="00D441AA"/>
    <w:rsid w:val="00D45A43"/>
    <w:rsid w:val="00D46F8A"/>
    <w:rsid w:val="00D46FD9"/>
    <w:rsid w:val="00D474EC"/>
    <w:rsid w:val="00D50E04"/>
    <w:rsid w:val="00D52F7F"/>
    <w:rsid w:val="00D54469"/>
    <w:rsid w:val="00D551C5"/>
    <w:rsid w:val="00D552E3"/>
    <w:rsid w:val="00D60649"/>
    <w:rsid w:val="00D61E88"/>
    <w:rsid w:val="00D7043B"/>
    <w:rsid w:val="00D70B72"/>
    <w:rsid w:val="00D75690"/>
    <w:rsid w:val="00D76687"/>
    <w:rsid w:val="00D76A5C"/>
    <w:rsid w:val="00D7794E"/>
    <w:rsid w:val="00D83239"/>
    <w:rsid w:val="00D83923"/>
    <w:rsid w:val="00D83B65"/>
    <w:rsid w:val="00D85E17"/>
    <w:rsid w:val="00D911D4"/>
    <w:rsid w:val="00D9419D"/>
    <w:rsid w:val="00D94597"/>
    <w:rsid w:val="00D96199"/>
    <w:rsid w:val="00D9673B"/>
    <w:rsid w:val="00D96F65"/>
    <w:rsid w:val="00D96FE9"/>
    <w:rsid w:val="00D97538"/>
    <w:rsid w:val="00D97A45"/>
    <w:rsid w:val="00DA136C"/>
    <w:rsid w:val="00DA3017"/>
    <w:rsid w:val="00DA3A02"/>
    <w:rsid w:val="00DA494C"/>
    <w:rsid w:val="00DA5484"/>
    <w:rsid w:val="00DA57F0"/>
    <w:rsid w:val="00DA72AA"/>
    <w:rsid w:val="00DA786E"/>
    <w:rsid w:val="00DA7B68"/>
    <w:rsid w:val="00DB19F8"/>
    <w:rsid w:val="00DB3689"/>
    <w:rsid w:val="00DB5FFE"/>
    <w:rsid w:val="00DB7E8D"/>
    <w:rsid w:val="00DC1012"/>
    <w:rsid w:val="00DC18D8"/>
    <w:rsid w:val="00DC1B37"/>
    <w:rsid w:val="00DC5DFF"/>
    <w:rsid w:val="00DC74CB"/>
    <w:rsid w:val="00DD134A"/>
    <w:rsid w:val="00DD6473"/>
    <w:rsid w:val="00DD6EB3"/>
    <w:rsid w:val="00DD7B8D"/>
    <w:rsid w:val="00DE528F"/>
    <w:rsid w:val="00DE5AA9"/>
    <w:rsid w:val="00DF16FD"/>
    <w:rsid w:val="00DF4E3E"/>
    <w:rsid w:val="00DF4E55"/>
    <w:rsid w:val="00DF57D9"/>
    <w:rsid w:val="00DF60B9"/>
    <w:rsid w:val="00DF63B7"/>
    <w:rsid w:val="00E0080D"/>
    <w:rsid w:val="00E010CD"/>
    <w:rsid w:val="00E01876"/>
    <w:rsid w:val="00E0453D"/>
    <w:rsid w:val="00E05FA6"/>
    <w:rsid w:val="00E064DC"/>
    <w:rsid w:val="00E11E12"/>
    <w:rsid w:val="00E122E9"/>
    <w:rsid w:val="00E15A2F"/>
    <w:rsid w:val="00E15D1E"/>
    <w:rsid w:val="00E16163"/>
    <w:rsid w:val="00E169AF"/>
    <w:rsid w:val="00E16DA4"/>
    <w:rsid w:val="00E2093E"/>
    <w:rsid w:val="00E25474"/>
    <w:rsid w:val="00E32EE5"/>
    <w:rsid w:val="00E32F93"/>
    <w:rsid w:val="00E33FC0"/>
    <w:rsid w:val="00E36BE8"/>
    <w:rsid w:val="00E36C67"/>
    <w:rsid w:val="00E379F7"/>
    <w:rsid w:val="00E47107"/>
    <w:rsid w:val="00E54ACD"/>
    <w:rsid w:val="00E54B2B"/>
    <w:rsid w:val="00E54DEF"/>
    <w:rsid w:val="00E61632"/>
    <w:rsid w:val="00E6395E"/>
    <w:rsid w:val="00E70DD7"/>
    <w:rsid w:val="00E7168D"/>
    <w:rsid w:val="00E72EE0"/>
    <w:rsid w:val="00E741FB"/>
    <w:rsid w:val="00E7530E"/>
    <w:rsid w:val="00E77AF0"/>
    <w:rsid w:val="00E8155C"/>
    <w:rsid w:val="00E8482F"/>
    <w:rsid w:val="00E86307"/>
    <w:rsid w:val="00E9074E"/>
    <w:rsid w:val="00E91A7E"/>
    <w:rsid w:val="00E91FED"/>
    <w:rsid w:val="00E95487"/>
    <w:rsid w:val="00EA1943"/>
    <w:rsid w:val="00EA28A5"/>
    <w:rsid w:val="00EA39D7"/>
    <w:rsid w:val="00EA6124"/>
    <w:rsid w:val="00EB0A5E"/>
    <w:rsid w:val="00EB1164"/>
    <w:rsid w:val="00EB25A4"/>
    <w:rsid w:val="00EB32F0"/>
    <w:rsid w:val="00EB3F9D"/>
    <w:rsid w:val="00EB3FC6"/>
    <w:rsid w:val="00EB5274"/>
    <w:rsid w:val="00EB5DC6"/>
    <w:rsid w:val="00EB629E"/>
    <w:rsid w:val="00ED4983"/>
    <w:rsid w:val="00ED559E"/>
    <w:rsid w:val="00ED5FFD"/>
    <w:rsid w:val="00EE6F14"/>
    <w:rsid w:val="00EF3F23"/>
    <w:rsid w:val="00EF50C3"/>
    <w:rsid w:val="00EF540B"/>
    <w:rsid w:val="00EF5929"/>
    <w:rsid w:val="00EF5B6E"/>
    <w:rsid w:val="00F02D30"/>
    <w:rsid w:val="00F04EA7"/>
    <w:rsid w:val="00F0518E"/>
    <w:rsid w:val="00F06589"/>
    <w:rsid w:val="00F10EAE"/>
    <w:rsid w:val="00F116A1"/>
    <w:rsid w:val="00F162D4"/>
    <w:rsid w:val="00F2058B"/>
    <w:rsid w:val="00F23CCE"/>
    <w:rsid w:val="00F2431B"/>
    <w:rsid w:val="00F25AE6"/>
    <w:rsid w:val="00F26BF1"/>
    <w:rsid w:val="00F3209B"/>
    <w:rsid w:val="00F3214C"/>
    <w:rsid w:val="00F33C16"/>
    <w:rsid w:val="00F33F8D"/>
    <w:rsid w:val="00F37CB6"/>
    <w:rsid w:val="00F37F65"/>
    <w:rsid w:val="00F4010B"/>
    <w:rsid w:val="00F46890"/>
    <w:rsid w:val="00F46E42"/>
    <w:rsid w:val="00F4702C"/>
    <w:rsid w:val="00F505B8"/>
    <w:rsid w:val="00F508E2"/>
    <w:rsid w:val="00F53EFE"/>
    <w:rsid w:val="00F53F7B"/>
    <w:rsid w:val="00F54CD1"/>
    <w:rsid w:val="00F6009C"/>
    <w:rsid w:val="00F60BA2"/>
    <w:rsid w:val="00F634F6"/>
    <w:rsid w:val="00F650D3"/>
    <w:rsid w:val="00F659CE"/>
    <w:rsid w:val="00F67A08"/>
    <w:rsid w:val="00F70C55"/>
    <w:rsid w:val="00F715FB"/>
    <w:rsid w:val="00F731D0"/>
    <w:rsid w:val="00F76925"/>
    <w:rsid w:val="00F77B4D"/>
    <w:rsid w:val="00F81097"/>
    <w:rsid w:val="00F87B07"/>
    <w:rsid w:val="00F911BB"/>
    <w:rsid w:val="00F94880"/>
    <w:rsid w:val="00F949AC"/>
    <w:rsid w:val="00FA33D2"/>
    <w:rsid w:val="00FA6DBF"/>
    <w:rsid w:val="00FB016C"/>
    <w:rsid w:val="00FB1E18"/>
    <w:rsid w:val="00FB4E93"/>
    <w:rsid w:val="00FB5BFC"/>
    <w:rsid w:val="00FB7F50"/>
    <w:rsid w:val="00FC2D8B"/>
    <w:rsid w:val="00FC58CD"/>
    <w:rsid w:val="00FD0D80"/>
    <w:rsid w:val="00FD3306"/>
    <w:rsid w:val="00FD36B1"/>
    <w:rsid w:val="00FD4076"/>
    <w:rsid w:val="00FD4A17"/>
    <w:rsid w:val="00FE0E73"/>
    <w:rsid w:val="00FE208E"/>
    <w:rsid w:val="00FE4272"/>
    <w:rsid w:val="00FE59FD"/>
    <w:rsid w:val="00FE7F98"/>
    <w:rsid w:val="00FF2E7F"/>
    <w:rsid w:val="00FF306D"/>
    <w:rsid w:val="00FF4CF1"/>
    <w:rsid w:val="00FF552C"/>
    <w:rsid w:val="00FF5B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BD3D3"/>
  <w15:chartTrackingRefBased/>
  <w15:docId w15:val="{67A306EF-C3DC-4FE4-BCA8-FA4FEA0F4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02FEC"/>
    <w:pPr>
      <w:spacing w:before="120" w:after="120" w:line="280" w:lineRule="atLeast"/>
    </w:pPr>
    <w:rPr>
      <w:sz w:val="20"/>
      <w:szCs w:val="20"/>
    </w:rPr>
  </w:style>
  <w:style w:type="paragraph" w:styleId="Heading1">
    <w:name w:val="heading 1"/>
    <w:basedOn w:val="Normal"/>
    <w:next w:val="BodyText"/>
    <w:link w:val="Heading1Char"/>
    <w:uiPriority w:val="9"/>
    <w:qFormat/>
    <w:rsid w:val="00D02FE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02FE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02FE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02FE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02FE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02FE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D02FE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02FE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02FE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FEC"/>
    <w:rPr>
      <w:color w:val="808080"/>
    </w:rPr>
  </w:style>
  <w:style w:type="paragraph" w:styleId="Date">
    <w:name w:val="Date"/>
    <w:basedOn w:val="Normal"/>
    <w:next w:val="Normal"/>
    <w:link w:val="DateChar"/>
    <w:uiPriority w:val="99"/>
    <w:unhideWhenUsed/>
    <w:rsid w:val="00D02FEC"/>
    <w:pPr>
      <w:spacing w:after="360" w:line="293" w:lineRule="auto"/>
    </w:pPr>
  </w:style>
  <w:style w:type="character" w:customStyle="1" w:styleId="DateChar">
    <w:name w:val="Date Char"/>
    <w:basedOn w:val="DefaultParagraphFont"/>
    <w:link w:val="Date"/>
    <w:uiPriority w:val="99"/>
    <w:rsid w:val="00D02FEC"/>
    <w:rPr>
      <w:sz w:val="20"/>
      <w:szCs w:val="20"/>
    </w:rPr>
  </w:style>
  <w:style w:type="paragraph" w:styleId="NoSpacing">
    <w:name w:val="No Spacing"/>
    <w:basedOn w:val="Normal"/>
    <w:link w:val="NoSpacingChar"/>
    <w:uiPriority w:val="10"/>
    <w:qFormat/>
    <w:rsid w:val="00D02FEC"/>
    <w:pPr>
      <w:spacing w:before="0" w:after="0"/>
    </w:pPr>
  </w:style>
  <w:style w:type="paragraph" w:styleId="ListBullet">
    <w:name w:val="List Bullet"/>
    <w:basedOn w:val="Normal"/>
    <w:link w:val="ListBulletChar"/>
    <w:uiPriority w:val="1"/>
    <w:qFormat/>
    <w:rsid w:val="00D02FEC"/>
    <w:pPr>
      <w:numPr>
        <w:numId w:val="15"/>
      </w:numPr>
      <w:contextualSpacing/>
    </w:pPr>
  </w:style>
  <w:style w:type="paragraph" w:styleId="ListBullet2">
    <w:name w:val="List Bullet 2"/>
    <w:basedOn w:val="Normal"/>
    <w:uiPriority w:val="1"/>
    <w:qFormat/>
    <w:rsid w:val="00D02FEC"/>
    <w:pPr>
      <w:numPr>
        <w:ilvl w:val="1"/>
        <w:numId w:val="15"/>
      </w:numPr>
      <w:contextualSpacing/>
    </w:pPr>
  </w:style>
  <w:style w:type="paragraph" w:styleId="ListNumber">
    <w:name w:val="List Number"/>
    <w:basedOn w:val="Normal"/>
    <w:uiPriority w:val="2"/>
    <w:qFormat/>
    <w:rsid w:val="00D02FEC"/>
    <w:pPr>
      <w:numPr>
        <w:numId w:val="14"/>
      </w:numPr>
      <w:spacing w:before="60"/>
      <w:contextualSpacing/>
    </w:pPr>
  </w:style>
  <w:style w:type="numbering" w:customStyle="1" w:styleId="Bullets">
    <w:name w:val="Bullets"/>
    <w:uiPriority w:val="99"/>
    <w:rsid w:val="00D02FEC"/>
    <w:pPr>
      <w:numPr>
        <w:numId w:val="5"/>
      </w:numPr>
    </w:pPr>
  </w:style>
  <w:style w:type="character" w:customStyle="1" w:styleId="Heading1Char">
    <w:name w:val="Heading 1 Char"/>
    <w:basedOn w:val="DefaultParagraphFont"/>
    <w:link w:val="Heading1"/>
    <w:uiPriority w:val="9"/>
    <w:rsid w:val="00D02FE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02FEC"/>
    <w:pPr>
      <w:numPr>
        <w:ilvl w:val="1"/>
        <w:numId w:val="14"/>
      </w:numPr>
      <w:spacing w:before="60"/>
      <w:contextualSpacing/>
    </w:pPr>
  </w:style>
  <w:style w:type="character" w:customStyle="1" w:styleId="Heading2Char">
    <w:name w:val="Heading 2 Char"/>
    <w:basedOn w:val="DefaultParagraphFont"/>
    <w:link w:val="Heading2"/>
    <w:uiPriority w:val="9"/>
    <w:rsid w:val="00D02FEC"/>
    <w:rPr>
      <w:rFonts w:asciiTheme="majorHAnsi" w:eastAsiaTheme="majorEastAsia" w:hAnsiTheme="majorHAnsi" w:cstheme="majorBidi"/>
      <w:sz w:val="30"/>
      <w:szCs w:val="60"/>
    </w:rPr>
  </w:style>
  <w:style w:type="paragraph" w:styleId="ListParagraph">
    <w:name w:val="List Paragraph"/>
    <w:basedOn w:val="Normal"/>
    <w:uiPriority w:val="34"/>
    <w:rsid w:val="00D02FEC"/>
    <w:pPr>
      <w:spacing w:line="293" w:lineRule="auto"/>
      <w:ind w:left="284"/>
      <w:contextualSpacing/>
    </w:pPr>
  </w:style>
  <w:style w:type="paragraph" w:styleId="Header">
    <w:name w:val="header"/>
    <w:basedOn w:val="Normal"/>
    <w:link w:val="HeaderChar"/>
    <w:uiPriority w:val="99"/>
    <w:unhideWhenUsed/>
    <w:rsid w:val="00D02FE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02FEC"/>
    <w:rPr>
      <w:sz w:val="16"/>
      <w:szCs w:val="20"/>
    </w:rPr>
  </w:style>
  <w:style w:type="paragraph" w:styleId="Footer">
    <w:name w:val="footer"/>
    <w:basedOn w:val="Normal"/>
    <w:link w:val="FooterChar"/>
    <w:uiPriority w:val="11"/>
    <w:rsid w:val="00D02FE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02FEC"/>
    <w:rPr>
      <w:rFonts w:asciiTheme="majorHAnsi" w:hAnsiTheme="majorHAnsi"/>
      <w:sz w:val="17"/>
    </w:rPr>
  </w:style>
  <w:style w:type="numbering" w:customStyle="1" w:styleId="Numbering">
    <w:name w:val="Numbering"/>
    <w:uiPriority w:val="99"/>
    <w:rsid w:val="00D02FEC"/>
    <w:pPr>
      <w:numPr>
        <w:numId w:val="14"/>
      </w:numPr>
    </w:pPr>
  </w:style>
  <w:style w:type="paragraph" w:styleId="ListBullet3">
    <w:name w:val="List Bullet 3"/>
    <w:basedOn w:val="Normal"/>
    <w:uiPriority w:val="1"/>
    <w:qFormat/>
    <w:rsid w:val="00D02FEC"/>
    <w:pPr>
      <w:numPr>
        <w:ilvl w:val="2"/>
        <w:numId w:val="15"/>
      </w:numPr>
      <w:contextualSpacing/>
    </w:pPr>
  </w:style>
  <w:style w:type="paragraph" w:styleId="ListContinue2">
    <w:name w:val="List Continue 2"/>
    <w:basedOn w:val="Normal"/>
    <w:uiPriority w:val="3"/>
    <w:unhideWhenUsed/>
    <w:qFormat/>
    <w:rsid w:val="00D02FEC"/>
    <w:pPr>
      <w:spacing w:before="60"/>
      <w:ind w:left="454"/>
    </w:pPr>
  </w:style>
  <w:style w:type="paragraph" w:styleId="ListNumber3">
    <w:name w:val="List Number 3"/>
    <w:basedOn w:val="Normal"/>
    <w:uiPriority w:val="13"/>
    <w:semiHidden/>
    <w:qFormat/>
    <w:rsid w:val="00D02FEC"/>
    <w:pPr>
      <w:numPr>
        <w:ilvl w:val="2"/>
        <w:numId w:val="14"/>
      </w:numPr>
      <w:spacing w:before="60"/>
      <w:contextualSpacing/>
    </w:pPr>
  </w:style>
  <w:style w:type="paragraph" w:styleId="ListNumber4">
    <w:name w:val="List Number 4"/>
    <w:basedOn w:val="Normal"/>
    <w:uiPriority w:val="13"/>
    <w:semiHidden/>
    <w:qFormat/>
    <w:rsid w:val="00D02FEC"/>
    <w:pPr>
      <w:numPr>
        <w:ilvl w:val="3"/>
        <w:numId w:val="14"/>
      </w:numPr>
      <w:spacing w:after="200" w:line="293" w:lineRule="auto"/>
      <w:contextualSpacing/>
    </w:pPr>
  </w:style>
  <w:style w:type="paragraph" w:styleId="ListNumber5">
    <w:name w:val="List Number 5"/>
    <w:basedOn w:val="Normal"/>
    <w:uiPriority w:val="13"/>
    <w:semiHidden/>
    <w:rsid w:val="00D02FEC"/>
    <w:pPr>
      <w:numPr>
        <w:ilvl w:val="4"/>
        <w:numId w:val="14"/>
      </w:numPr>
      <w:spacing w:after="200" w:line="293" w:lineRule="auto"/>
      <w:contextualSpacing/>
    </w:pPr>
  </w:style>
  <w:style w:type="paragraph" w:styleId="ListContinue">
    <w:name w:val="List Continue"/>
    <w:basedOn w:val="Normal"/>
    <w:uiPriority w:val="3"/>
    <w:unhideWhenUsed/>
    <w:qFormat/>
    <w:rsid w:val="00D02FEC"/>
    <w:pPr>
      <w:spacing w:before="60"/>
      <w:ind w:left="227"/>
    </w:pPr>
  </w:style>
  <w:style w:type="paragraph" w:styleId="ListContinue3">
    <w:name w:val="List Continue 3"/>
    <w:basedOn w:val="Normal"/>
    <w:uiPriority w:val="3"/>
    <w:unhideWhenUsed/>
    <w:qFormat/>
    <w:rsid w:val="00D02FEC"/>
    <w:pPr>
      <w:spacing w:before="60"/>
      <w:ind w:left="907"/>
    </w:pPr>
  </w:style>
  <w:style w:type="paragraph" w:styleId="ListContinue4">
    <w:name w:val="List Continue 4"/>
    <w:basedOn w:val="Normal"/>
    <w:uiPriority w:val="3"/>
    <w:unhideWhenUsed/>
    <w:qFormat/>
    <w:rsid w:val="00D02FEC"/>
    <w:pPr>
      <w:spacing w:line="293" w:lineRule="auto"/>
      <w:ind w:left="907"/>
      <w:contextualSpacing/>
    </w:pPr>
  </w:style>
  <w:style w:type="character" w:customStyle="1" w:styleId="Heading3Char">
    <w:name w:val="Heading 3 Char"/>
    <w:basedOn w:val="DefaultParagraphFont"/>
    <w:link w:val="Heading3"/>
    <w:uiPriority w:val="9"/>
    <w:rsid w:val="00D02FE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02FE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02FEC"/>
    <w:rPr>
      <w:rFonts w:eastAsiaTheme="majorEastAsia" w:cstheme="majorBidi"/>
      <w:b/>
      <w:color w:val="265A9A" w:themeColor="background2"/>
      <w:szCs w:val="29"/>
    </w:rPr>
  </w:style>
  <w:style w:type="numbering" w:customStyle="1" w:styleId="ListHeadings">
    <w:name w:val="List Headings"/>
    <w:uiPriority w:val="99"/>
    <w:rsid w:val="00D02FEC"/>
    <w:pPr>
      <w:numPr>
        <w:numId w:val="12"/>
      </w:numPr>
    </w:pPr>
  </w:style>
  <w:style w:type="paragraph" w:styleId="Title">
    <w:name w:val="Title"/>
    <w:basedOn w:val="Heading1"/>
    <w:next w:val="Normal"/>
    <w:link w:val="TitleChar"/>
    <w:uiPriority w:val="39"/>
    <w:rsid w:val="00D02FE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02FE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02FE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02FEC"/>
    <w:rPr>
      <w:b/>
    </w:rPr>
  </w:style>
  <w:style w:type="character" w:customStyle="1" w:styleId="Pull-outQuoteChar">
    <w:name w:val="Pull-out Quote Char"/>
    <w:basedOn w:val="DefaultParagraphFont"/>
    <w:link w:val="Pull-outQuote"/>
    <w:uiPriority w:val="99"/>
    <w:semiHidden/>
    <w:rsid w:val="00D02FE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02FE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02FEC"/>
  </w:style>
  <w:style w:type="paragraph" w:customStyle="1" w:styleId="NumberedHeading2">
    <w:name w:val="Numbered Heading 2"/>
    <w:basedOn w:val="Heading2"/>
    <w:next w:val="Normal"/>
    <w:link w:val="NumberedHeading2Char"/>
    <w:uiPriority w:val="9"/>
    <w:semiHidden/>
    <w:rsid w:val="00D02FEC"/>
  </w:style>
  <w:style w:type="character" w:customStyle="1" w:styleId="NumberedHeading1Char">
    <w:name w:val="Numbered Heading 1 Char"/>
    <w:basedOn w:val="Heading1Char"/>
    <w:link w:val="NumberedHeading1"/>
    <w:uiPriority w:val="9"/>
    <w:semiHidden/>
    <w:rsid w:val="00D02FE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02FE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02FEC"/>
    <w:pPr>
      <w:ind w:left="1134"/>
      <w:contextualSpacing/>
    </w:pPr>
  </w:style>
  <w:style w:type="table" w:styleId="TableGrid">
    <w:name w:val="Table Grid"/>
    <w:basedOn w:val="TableNormal"/>
    <w:uiPriority w:val="39"/>
    <w:rsid w:val="00D0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02FE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D02FEC"/>
    <w:pPr>
      <w:numPr>
        <w:numId w:val="9"/>
      </w:numPr>
      <w:spacing w:before="60"/>
    </w:pPr>
  </w:style>
  <w:style w:type="paragraph" w:styleId="List2">
    <w:name w:val="List 2"/>
    <w:basedOn w:val="Normal"/>
    <w:uiPriority w:val="99"/>
    <w:semiHidden/>
    <w:qFormat/>
    <w:rsid w:val="00D02FEC"/>
    <w:pPr>
      <w:numPr>
        <w:ilvl w:val="1"/>
        <w:numId w:val="9"/>
      </w:numPr>
      <w:spacing w:before="60"/>
    </w:pPr>
  </w:style>
  <w:style w:type="numbering" w:customStyle="1" w:styleId="LetteredList">
    <w:name w:val="Lettered List"/>
    <w:uiPriority w:val="99"/>
    <w:rsid w:val="00D02FEC"/>
    <w:pPr>
      <w:numPr>
        <w:numId w:val="8"/>
      </w:numPr>
    </w:pPr>
  </w:style>
  <w:style w:type="paragraph" w:styleId="Subtitle">
    <w:name w:val="Subtitle"/>
    <w:basedOn w:val="Normal"/>
    <w:next w:val="Normal"/>
    <w:link w:val="SubtitleChar"/>
    <w:uiPriority w:val="39"/>
    <w:rsid w:val="00D02FE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02FEC"/>
    <w:rPr>
      <w:rFonts w:eastAsiaTheme="minorEastAsia"/>
      <w:color w:val="FFFFFF" w:themeColor="background1"/>
      <w:sz w:val="52"/>
      <w:szCs w:val="20"/>
    </w:rPr>
  </w:style>
  <w:style w:type="character" w:styleId="Strong">
    <w:name w:val="Strong"/>
    <w:basedOn w:val="DefaultParagraphFont"/>
    <w:uiPriority w:val="22"/>
    <w:qFormat/>
    <w:rsid w:val="00D02FEC"/>
    <w:rPr>
      <w:rFonts w:asciiTheme="minorHAnsi" w:hAnsiTheme="minorHAnsi"/>
      <w:b/>
      <w:bCs/>
    </w:rPr>
  </w:style>
  <w:style w:type="paragraph" w:customStyle="1" w:styleId="Header-Keyline">
    <w:name w:val="Header - Keyline"/>
    <w:basedOn w:val="Header"/>
    <w:link w:val="Header-KeylineChar"/>
    <w:uiPriority w:val="99"/>
    <w:rsid w:val="00D02FEC"/>
    <w:pPr>
      <w:pBdr>
        <w:bottom w:val="single" w:sz="4" w:space="31" w:color="66BCDB" w:themeColor="text2"/>
      </w:pBdr>
      <w:spacing w:after="600"/>
    </w:pPr>
  </w:style>
  <w:style w:type="character" w:customStyle="1" w:styleId="Heading6Char">
    <w:name w:val="Heading 6 Char"/>
    <w:basedOn w:val="DefaultParagraphFont"/>
    <w:link w:val="Heading6"/>
    <w:uiPriority w:val="9"/>
    <w:rsid w:val="00D02FE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02FEC"/>
    <w:rPr>
      <w:sz w:val="16"/>
      <w:szCs w:val="20"/>
    </w:rPr>
  </w:style>
  <w:style w:type="character" w:customStyle="1" w:styleId="Heading7Char">
    <w:name w:val="Heading 7 Char"/>
    <w:basedOn w:val="DefaultParagraphFont"/>
    <w:link w:val="Heading7"/>
    <w:uiPriority w:val="9"/>
    <w:semiHidden/>
    <w:rsid w:val="00D02FE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02FEC"/>
    <w:rPr>
      <w:rFonts w:eastAsiaTheme="majorEastAsia" w:cstheme="majorBidi"/>
      <w:b/>
      <w:sz w:val="18"/>
      <w:szCs w:val="21"/>
    </w:rPr>
  </w:style>
  <w:style w:type="table" w:customStyle="1" w:styleId="ProductivityCommissionTable1">
    <w:name w:val="Productivity Commission Table 1"/>
    <w:basedOn w:val="TableNormal"/>
    <w:uiPriority w:val="99"/>
    <w:rsid w:val="00D02FE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02FE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2FE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02FE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02FEC"/>
    <w:pPr>
      <w:spacing w:before="60" w:after="60" w:line="293" w:lineRule="auto"/>
      <w:contextualSpacing/>
    </w:pPr>
    <w:rPr>
      <w:sz w:val="18"/>
    </w:rPr>
  </w:style>
  <w:style w:type="paragraph" w:styleId="TOC1">
    <w:name w:val="toc 1"/>
    <w:basedOn w:val="Normal"/>
    <w:next w:val="BodyText"/>
    <w:autoRedefine/>
    <w:uiPriority w:val="39"/>
    <w:unhideWhenUsed/>
    <w:rsid w:val="00D02FE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02FEC"/>
    <w:rPr>
      <w:sz w:val="18"/>
      <w:szCs w:val="20"/>
    </w:rPr>
  </w:style>
  <w:style w:type="character" w:styleId="FootnoteReference">
    <w:name w:val="footnote reference"/>
    <w:basedOn w:val="DefaultParagraphFont"/>
    <w:uiPriority w:val="99"/>
    <w:semiHidden/>
    <w:unhideWhenUsed/>
    <w:rsid w:val="00035A57"/>
    <w:rPr>
      <w:vertAlign w:val="superscript"/>
    </w:rPr>
  </w:style>
  <w:style w:type="character" w:styleId="Hyperlink">
    <w:name w:val="Hyperlink"/>
    <w:basedOn w:val="DefaultParagraphFont"/>
    <w:uiPriority w:val="99"/>
    <w:unhideWhenUsed/>
    <w:rsid w:val="00D02FEC"/>
    <w:rPr>
      <w:color w:val="000000" w:themeColor="hyperlink"/>
      <w:u w:val="single"/>
    </w:rPr>
  </w:style>
  <w:style w:type="character" w:styleId="HTMLVariable">
    <w:name w:val="HTML Variable"/>
    <w:basedOn w:val="DefaultParagraphFont"/>
    <w:uiPriority w:val="99"/>
    <w:unhideWhenUsed/>
    <w:rsid w:val="00D02FEC"/>
    <w:rPr>
      <w:i/>
      <w:iCs/>
    </w:rPr>
  </w:style>
  <w:style w:type="paragraph" w:styleId="TOC2">
    <w:name w:val="toc 2"/>
    <w:basedOn w:val="Normal"/>
    <w:next w:val="Normal"/>
    <w:autoRedefine/>
    <w:uiPriority w:val="39"/>
    <w:unhideWhenUsed/>
    <w:rsid w:val="00D02FE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02FE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02FE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02FE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02FE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02FE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02FEC"/>
    <w:rPr>
      <w:sz w:val="20"/>
      <w:szCs w:val="20"/>
    </w:rPr>
  </w:style>
  <w:style w:type="character" w:customStyle="1" w:styleId="Copyrightpage-Heading2Char">
    <w:name w:val="Copyright page-Heading 2 Char"/>
    <w:basedOn w:val="NoSpacingChar"/>
    <w:link w:val="Copyrightpage-Heading2"/>
    <w:uiPriority w:val="19"/>
    <w:rsid w:val="00D02FEC"/>
    <w:rPr>
      <w:b/>
      <w:color w:val="FFFFFF" w:themeColor="background1"/>
      <w:sz w:val="16"/>
      <w:szCs w:val="16"/>
    </w:rPr>
  </w:style>
  <w:style w:type="paragraph" w:customStyle="1" w:styleId="Copyrightpage-Heading">
    <w:name w:val="Copyright page-Heading"/>
    <w:basedOn w:val="Subtitle2"/>
    <w:link w:val="Copyrightpage-HeadingChar"/>
    <w:uiPriority w:val="19"/>
    <w:rsid w:val="00D02FE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02FEC"/>
    <w:rPr>
      <w:color w:val="FFFFFF" w:themeColor="background1"/>
      <w:sz w:val="16"/>
      <w:szCs w:val="20"/>
    </w:rPr>
  </w:style>
  <w:style w:type="paragraph" w:customStyle="1" w:styleId="Subtitle4">
    <w:name w:val="Subtitle 4"/>
    <w:basedOn w:val="Copyrightpage-Heading"/>
    <w:link w:val="Subtitle4Char"/>
    <w:uiPriority w:val="39"/>
    <w:rsid w:val="00D02FEC"/>
    <w:pPr>
      <w:spacing w:after="40"/>
    </w:pPr>
    <w:rPr>
      <w:b/>
      <w:sz w:val="16"/>
    </w:rPr>
  </w:style>
  <w:style w:type="character" w:customStyle="1" w:styleId="Copyrightpage-HeadingChar">
    <w:name w:val="Copyright page-Heading Char"/>
    <w:basedOn w:val="Subtitle2Char"/>
    <w:link w:val="Copyrightpage-Heading"/>
    <w:uiPriority w:val="19"/>
    <w:rsid w:val="00D02FE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02FE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02FE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02FE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02FE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02FEC"/>
    <w:pPr>
      <w:spacing w:line="360" w:lineRule="auto"/>
      <w:jc w:val="right"/>
    </w:pPr>
    <w:rPr>
      <w:sz w:val="16"/>
    </w:rPr>
  </w:style>
  <w:style w:type="paragraph" w:customStyle="1" w:styleId="Letterlogo">
    <w:name w:val="Letter logo"/>
    <w:basedOn w:val="LetterRight"/>
    <w:uiPriority w:val="99"/>
    <w:rsid w:val="00D02FEC"/>
    <w:pPr>
      <w:spacing w:after="320"/>
    </w:pPr>
  </w:style>
  <w:style w:type="character" w:customStyle="1" w:styleId="LetterRightChar">
    <w:name w:val="Letter Right Char"/>
    <w:basedOn w:val="DefaultParagraphFont"/>
    <w:link w:val="LetterRight"/>
    <w:uiPriority w:val="99"/>
    <w:rsid w:val="00D02FEC"/>
    <w:rPr>
      <w:sz w:val="16"/>
      <w:szCs w:val="20"/>
    </w:rPr>
  </w:style>
  <w:style w:type="character" w:styleId="UnresolvedMention">
    <w:name w:val="Unresolved Mention"/>
    <w:basedOn w:val="DefaultParagraphFont"/>
    <w:uiPriority w:val="99"/>
    <w:semiHidden/>
    <w:unhideWhenUsed/>
    <w:rsid w:val="00D02FEC"/>
    <w:rPr>
      <w:color w:val="605E5C"/>
      <w:shd w:val="clear" w:color="auto" w:fill="E1DFDD"/>
    </w:rPr>
  </w:style>
  <w:style w:type="paragraph" w:customStyle="1" w:styleId="LetterRight-NoSpace">
    <w:name w:val="Letter Right-No Space"/>
    <w:basedOn w:val="LetterRight"/>
    <w:uiPriority w:val="99"/>
    <w:rsid w:val="00D02FEC"/>
    <w:pPr>
      <w:spacing w:after="0"/>
    </w:pPr>
  </w:style>
  <w:style w:type="table" w:customStyle="1" w:styleId="Blank">
    <w:name w:val="Blank"/>
    <w:basedOn w:val="TableNormal"/>
    <w:uiPriority w:val="99"/>
    <w:rsid w:val="00D02FE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02FEC"/>
    <w:pPr>
      <w:numPr>
        <w:numId w:val="11"/>
      </w:numPr>
      <w:contextualSpacing/>
    </w:pPr>
  </w:style>
  <w:style w:type="paragraph" w:customStyle="1" w:styleId="Coverdate">
    <w:name w:val="Cover date"/>
    <w:basedOn w:val="Normal"/>
    <w:uiPriority w:val="29"/>
    <w:rsid w:val="00D02FE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02FE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02FEC"/>
    <w:rPr>
      <w:color w:val="FFFFFF" w:themeColor="background1"/>
    </w:rPr>
  </w:style>
  <w:style w:type="paragraph" w:customStyle="1" w:styleId="Copyrightpage-Keylinenotext">
    <w:name w:val="Copyright page-Keyline (no text)"/>
    <w:basedOn w:val="Copyrightpage-Heading2"/>
    <w:uiPriority w:val="19"/>
    <w:rsid w:val="00D02FE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02FE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02FEC"/>
    <w:rPr>
      <w:b/>
    </w:rPr>
  </w:style>
  <w:style w:type="paragraph" w:customStyle="1" w:styleId="CoverImage">
    <w:name w:val="Cover Image"/>
    <w:basedOn w:val="Normal"/>
    <w:uiPriority w:val="29"/>
    <w:rsid w:val="00D02FE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D02FE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02FE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02FEC"/>
    <w:pPr>
      <w:spacing w:before="60"/>
      <w:ind w:left="113" w:right="851"/>
    </w:pPr>
    <w:rPr>
      <w:color w:val="58585B"/>
    </w:rPr>
  </w:style>
  <w:style w:type="numbering" w:customStyle="1" w:styleId="TOCList">
    <w:name w:val="TOC List"/>
    <w:uiPriority w:val="99"/>
    <w:rsid w:val="00D02FEC"/>
    <w:pPr>
      <w:numPr>
        <w:numId w:val="17"/>
      </w:numPr>
    </w:pPr>
  </w:style>
  <w:style w:type="paragraph" w:customStyle="1" w:styleId="Heading1-Section-fullpage">
    <w:name w:val="Heading 1-Section-full page"/>
    <w:basedOn w:val="Heading1-nobackground"/>
    <w:uiPriority w:val="9"/>
    <w:qFormat/>
    <w:rsid w:val="00D02FE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02FE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02FEC"/>
    <w:pPr>
      <w:keepNext/>
      <w:spacing w:before="240"/>
    </w:pPr>
  </w:style>
  <w:style w:type="paragraph" w:customStyle="1" w:styleId="Source">
    <w:name w:val="Source"/>
    <w:basedOn w:val="Normal"/>
    <w:uiPriority w:val="9"/>
    <w:qFormat/>
    <w:rsid w:val="00D02FEC"/>
    <w:pPr>
      <w:spacing w:before="80" w:after="240" w:line="216" w:lineRule="atLeast"/>
    </w:pPr>
    <w:rPr>
      <w:sz w:val="18"/>
    </w:rPr>
  </w:style>
  <w:style w:type="paragraph" w:customStyle="1" w:styleId="Note">
    <w:name w:val="Note"/>
    <w:basedOn w:val="Source"/>
    <w:uiPriority w:val="9"/>
    <w:qFormat/>
    <w:rsid w:val="00D02FEC"/>
    <w:pPr>
      <w:spacing w:after="20"/>
    </w:pPr>
  </w:style>
  <w:style w:type="numbering" w:customStyle="1" w:styleId="Figure">
    <w:name w:val="Figure"/>
    <w:uiPriority w:val="99"/>
    <w:rsid w:val="00D02FEC"/>
    <w:pPr>
      <w:numPr>
        <w:numId w:val="6"/>
      </w:numPr>
    </w:pPr>
  </w:style>
  <w:style w:type="table" w:customStyle="1" w:styleId="Boxtable">
    <w:name w:val="Box table"/>
    <w:basedOn w:val="Texttable-Paleblue"/>
    <w:uiPriority w:val="99"/>
    <w:rsid w:val="00D02FE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02FEC"/>
    <w:pPr>
      <w:numPr>
        <w:numId w:val="4"/>
      </w:numPr>
    </w:pPr>
  </w:style>
  <w:style w:type="paragraph" w:customStyle="1" w:styleId="BoxHeading2">
    <w:name w:val="Box Heading 2"/>
    <w:basedOn w:val="Normal"/>
    <w:next w:val="BodyText"/>
    <w:uiPriority w:val="4"/>
    <w:qFormat/>
    <w:rsid w:val="00D02FEC"/>
    <w:rPr>
      <w:b/>
    </w:rPr>
  </w:style>
  <w:style w:type="table" w:customStyle="1" w:styleId="ProductivityCommissionTable2-Dark">
    <w:name w:val="Productivity Commission Table 2 - Dark"/>
    <w:basedOn w:val="ProductivityCommissionTable2"/>
    <w:uiPriority w:val="99"/>
    <w:rsid w:val="00D02FE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02FEC"/>
    <w:rPr>
      <w:i/>
    </w:rPr>
  </w:style>
  <w:style w:type="paragraph" w:customStyle="1" w:styleId="TableHeading">
    <w:name w:val="Table Heading"/>
    <w:basedOn w:val="NoSpacing"/>
    <w:uiPriority w:val="4"/>
    <w:qFormat/>
    <w:rsid w:val="00D02FEC"/>
    <w:pPr>
      <w:spacing w:after="20"/>
      <w:ind w:left="57"/>
    </w:pPr>
    <w:rPr>
      <w:b/>
      <w:color w:val="265A9A" w:themeColor="background2"/>
      <w:sz w:val="18"/>
    </w:rPr>
  </w:style>
  <w:style w:type="paragraph" w:customStyle="1" w:styleId="BodyText-Blue">
    <w:name w:val="Body Text-Blue"/>
    <w:basedOn w:val="BodyText"/>
    <w:link w:val="BodyText-BlueChar"/>
    <w:semiHidden/>
    <w:qFormat/>
    <w:rsid w:val="00D02FEC"/>
    <w:rPr>
      <w:color w:val="265A9A" w:themeColor="background2"/>
    </w:rPr>
  </w:style>
  <w:style w:type="table" w:customStyle="1" w:styleId="Texttable-Keyline">
    <w:name w:val="Text table-Keyline"/>
    <w:basedOn w:val="Texttable-Paleblue"/>
    <w:uiPriority w:val="99"/>
    <w:rsid w:val="00D02FE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02FEC"/>
    <w:pPr>
      <w:jc w:val="right"/>
    </w:pPr>
  </w:style>
  <w:style w:type="table" w:customStyle="1" w:styleId="CopyrightPage">
    <w:name w:val="Copyright Page"/>
    <w:basedOn w:val="OverviewPageBannerTableStyle"/>
    <w:uiPriority w:val="99"/>
    <w:rsid w:val="00D02FE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02FEC"/>
    <w:pPr>
      <w:spacing w:line="312" w:lineRule="atLeast"/>
    </w:pPr>
    <w:rPr>
      <w:color w:val="2C9BC2"/>
    </w:rPr>
  </w:style>
  <w:style w:type="paragraph" w:styleId="BodyText">
    <w:name w:val="Body Text"/>
    <w:basedOn w:val="Normal"/>
    <w:link w:val="BodyTextChar"/>
    <w:qFormat/>
    <w:rsid w:val="00D02FEC"/>
  </w:style>
  <w:style w:type="character" w:customStyle="1" w:styleId="BodyTextChar">
    <w:name w:val="Body Text Char"/>
    <w:basedOn w:val="DefaultParagraphFont"/>
    <w:link w:val="BodyText"/>
    <w:rsid w:val="00D02FEC"/>
    <w:rPr>
      <w:sz w:val="20"/>
      <w:szCs w:val="20"/>
    </w:rPr>
  </w:style>
  <w:style w:type="paragraph" w:styleId="List4">
    <w:name w:val="List 4"/>
    <w:basedOn w:val="Normal"/>
    <w:uiPriority w:val="99"/>
    <w:semiHidden/>
    <w:rsid w:val="00D02FEC"/>
    <w:pPr>
      <w:numPr>
        <w:ilvl w:val="3"/>
        <w:numId w:val="9"/>
      </w:numPr>
      <w:contextualSpacing/>
    </w:pPr>
  </w:style>
  <w:style w:type="paragraph" w:styleId="List3">
    <w:name w:val="List 3"/>
    <w:basedOn w:val="Normal"/>
    <w:uiPriority w:val="99"/>
    <w:semiHidden/>
    <w:rsid w:val="00D02FEC"/>
    <w:pPr>
      <w:numPr>
        <w:ilvl w:val="2"/>
        <w:numId w:val="9"/>
      </w:numPr>
      <w:contextualSpacing/>
    </w:pPr>
  </w:style>
  <w:style w:type="paragraph" w:customStyle="1" w:styleId="Heading1-nonumber">
    <w:name w:val="Heading 1-no number"/>
    <w:basedOn w:val="Heading1"/>
    <w:next w:val="BodyText"/>
    <w:uiPriority w:val="9"/>
    <w:qFormat/>
    <w:rsid w:val="00D02FEC"/>
    <w:pPr>
      <w:numPr>
        <w:numId w:val="0"/>
      </w:numPr>
      <w:ind w:left="567"/>
    </w:pPr>
  </w:style>
  <w:style w:type="paragraph" w:customStyle="1" w:styleId="ListAlpha1">
    <w:name w:val="List Alpha 1"/>
    <w:basedOn w:val="Normal"/>
    <w:uiPriority w:val="3"/>
    <w:qFormat/>
    <w:rsid w:val="00D02FEC"/>
    <w:pPr>
      <w:numPr>
        <w:numId w:val="10"/>
      </w:numPr>
      <w:spacing w:before="60"/>
      <w:contextualSpacing/>
    </w:pPr>
  </w:style>
  <w:style w:type="paragraph" w:customStyle="1" w:styleId="ListAlpha2">
    <w:name w:val="List Alpha 2"/>
    <w:basedOn w:val="ListAlpha1"/>
    <w:uiPriority w:val="3"/>
    <w:qFormat/>
    <w:rsid w:val="00D02FEC"/>
    <w:pPr>
      <w:numPr>
        <w:ilvl w:val="1"/>
      </w:numPr>
    </w:pPr>
  </w:style>
  <w:style w:type="paragraph" w:customStyle="1" w:styleId="ListAlpha3">
    <w:name w:val="List Alpha 3"/>
    <w:basedOn w:val="ListAlpha2"/>
    <w:uiPriority w:val="3"/>
    <w:qFormat/>
    <w:rsid w:val="00D02FEC"/>
    <w:pPr>
      <w:numPr>
        <w:ilvl w:val="2"/>
      </w:numPr>
    </w:pPr>
  </w:style>
  <w:style w:type="paragraph" w:customStyle="1" w:styleId="ListAlpha4">
    <w:name w:val="List Alpha 4"/>
    <w:basedOn w:val="ListAlpha3"/>
    <w:uiPriority w:val="3"/>
    <w:semiHidden/>
    <w:qFormat/>
    <w:rsid w:val="00D02FEC"/>
    <w:pPr>
      <w:numPr>
        <w:ilvl w:val="3"/>
      </w:numPr>
    </w:pPr>
  </w:style>
  <w:style w:type="numbering" w:customStyle="1" w:styleId="Alphalist">
    <w:name w:val="Alpha list"/>
    <w:uiPriority w:val="99"/>
    <w:rsid w:val="00D02FEC"/>
    <w:pPr>
      <w:numPr>
        <w:numId w:val="1"/>
      </w:numPr>
    </w:pPr>
  </w:style>
  <w:style w:type="paragraph" w:customStyle="1" w:styleId="KeyPoints-Bold">
    <w:name w:val="Key Points-Bold"/>
    <w:basedOn w:val="Normal"/>
    <w:uiPriority w:val="10"/>
    <w:qFormat/>
    <w:rsid w:val="00D02FEC"/>
    <w:pPr>
      <w:spacing w:before="40" w:after="60" w:line="274" w:lineRule="atLeast"/>
    </w:pPr>
    <w:rPr>
      <w:b/>
      <w:sz w:val="18"/>
    </w:rPr>
  </w:style>
  <w:style w:type="paragraph" w:customStyle="1" w:styleId="Copyrightpage-BodyBold">
    <w:name w:val="Copyright page-Body Bold"/>
    <w:basedOn w:val="Copyrightpage-BodyText"/>
    <w:uiPriority w:val="19"/>
    <w:rsid w:val="00D02FEC"/>
    <w:rPr>
      <w:b/>
    </w:rPr>
  </w:style>
  <w:style w:type="paragraph" w:customStyle="1" w:styleId="KeyPoints-Bullet">
    <w:name w:val="Key Points-Bullet"/>
    <w:basedOn w:val="ListBullet"/>
    <w:uiPriority w:val="10"/>
    <w:qFormat/>
    <w:rsid w:val="00D02FEC"/>
    <w:pPr>
      <w:spacing w:after="60" w:line="274" w:lineRule="atLeast"/>
    </w:pPr>
    <w:rPr>
      <w:sz w:val="18"/>
    </w:rPr>
  </w:style>
  <w:style w:type="paragraph" w:customStyle="1" w:styleId="BodyText-Grey">
    <w:name w:val="Body Text-Grey"/>
    <w:basedOn w:val="BodyText"/>
    <w:link w:val="BodyText-GreyChar"/>
    <w:semiHidden/>
    <w:qFormat/>
    <w:rsid w:val="00D02FEC"/>
    <w:rPr>
      <w:color w:val="58585B"/>
    </w:rPr>
  </w:style>
  <w:style w:type="character" w:customStyle="1" w:styleId="BodyText-GreyChar">
    <w:name w:val="Body Text-Grey Char"/>
    <w:basedOn w:val="BodyTextChar"/>
    <w:link w:val="BodyText-Grey"/>
    <w:semiHidden/>
    <w:rsid w:val="00D02FEC"/>
    <w:rPr>
      <w:color w:val="58585B"/>
      <w:sz w:val="20"/>
      <w:szCs w:val="20"/>
    </w:rPr>
  </w:style>
  <w:style w:type="paragraph" w:styleId="BalloonText">
    <w:name w:val="Balloon Text"/>
    <w:basedOn w:val="Normal"/>
    <w:link w:val="BalloonTextChar"/>
    <w:uiPriority w:val="99"/>
    <w:semiHidden/>
    <w:unhideWhenUsed/>
    <w:rsid w:val="00D02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FEC"/>
    <w:rPr>
      <w:rFonts w:ascii="Segoe UI" w:hAnsi="Segoe UI" w:cs="Segoe UI"/>
      <w:sz w:val="18"/>
      <w:szCs w:val="18"/>
    </w:rPr>
  </w:style>
  <w:style w:type="character" w:styleId="CommentReference">
    <w:name w:val="annotation reference"/>
    <w:basedOn w:val="DefaultParagraphFont"/>
    <w:uiPriority w:val="99"/>
    <w:semiHidden/>
    <w:unhideWhenUsed/>
    <w:rsid w:val="00D02FEC"/>
    <w:rPr>
      <w:sz w:val="16"/>
      <w:szCs w:val="16"/>
    </w:rPr>
  </w:style>
  <w:style w:type="paragraph" w:styleId="CommentText">
    <w:name w:val="annotation text"/>
    <w:basedOn w:val="Normal"/>
    <w:link w:val="CommentTextChar"/>
    <w:uiPriority w:val="99"/>
    <w:unhideWhenUsed/>
    <w:rsid w:val="00D02FEC"/>
    <w:pPr>
      <w:spacing w:line="240" w:lineRule="auto"/>
    </w:pPr>
  </w:style>
  <w:style w:type="character" w:customStyle="1" w:styleId="CommentTextChar">
    <w:name w:val="Comment Text Char"/>
    <w:basedOn w:val="DefaultParagraphFont"/>
    <w:link w:val="CommentText"/>
    <w:uiPriority w:val="99"/>
    <w:rsid w:val="00D02FEC"/>
    <w:rPr>
      <w:sz w:val="20"/>
      <w:szCs w:val="20"/>
    </w:rPr>
  </w:style>
  <w:style w:type="paragraph" w:styleId="CommentSubject">
    <w:name w:val="annotation subject"/>
    <w:basedOn w:val="CommentText"/>
    <w:next w:val="CommentText"/>
    <w:link w:val="CommentSubjectChar"/>
    <w:uiPriority w:val="99"/>
    <w:semiHidden/>
    <w:unhideWhenUsed/>
    <w:rsid w:val="00D02FEC"/>
    <w:rPr>
      <w:b/>
      <w:bCs/>
    </w:rPr>
  </w:style>
  <w:style w:type="character" w:customStyle="1" w:styleId="CommentSubjectChar">
    <w:name w:val="Comment Subject Char"/>
    <w:basedOn w:val="CommentTextChar"/>
    <w:link w:val="CommentSubject"/>
    <w:uiPriority w:val="99"/>
    <w:semiHidden/>
    <w:rsid w:val="00D02FEC"/>
    <w:rPr>
      <w:b/>
      <w:bCs/>
      <w:sz w:val="20"/>
      <w:szCs w:val="20"/>
    </w:rPr>
  </w:style>
  <w:style w:type="character" w:customStyle="1" w:styleId="ColourBlue">
    <w:name w:val="Colour Blue"/>
    <w:basedOn w:val="DefaultParagraphFont"/>
    <w:uiPriority w:val="22"/>
    <w:qFormat/>
    <w:rsid w:val="00D02FEC"/>
    <w:rPr>
      <w:color w:val="66BCDB" w:themeColor="text2"/>
    </w:rPr>
  </w:style>
  <w:style w:type="character" w:customStyle="1" w:styleId="ColourDarkBlue">
    <w:name w:val="Colour Dark Blue"/>
    <w:basedOn w:val="ColourBlue"/>
    <w:uiPriority w:val="22"/>
    <w:qFormat/>
    <w:rsid w:val="00D02FEC"/>
    <w:rPr>
      <w:color w:val="265A9A" w:themeColor="background2"/>
    </w:rPr>
  </w:style>
  <w:style w:type="paragraph" w:customStyle="1" w:styleId="BodyText-Beforebullet">
    <w:name w:val="Body Text-Before bullet"/>
    <w:basedOn w:val="BodyText"/>
    <w:link w:val="BodyText-BeforebulletChar"/>
    <w:semiHidden/>
    <w:unhideWhenUsed/>
    <w:rsid w:val="00D02FEC"/>
    <w:pPr>
      <w:spacing w:after="20"/>
    </w:pPr>
  </w:style>
  <w:style w:type="paragraph" w:customStyle="1" w:styleId="PullQuote">
    <w:name w:val="Pull Quote"/>
    <w:basedOn w:val="BodyText"/>
    <w:next w:val="BodyText"/>
    <w:uiPriority w:val="10"/>
    <w:qFormat/>
    <w:rsid w:val="00D02FE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02FE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02FE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D02FEC"/>
    <w:pPr>
      <w:spacing w:before="60"/>
      <w:jc w:val="right"/>
    </w:pPr>
  </w:style>
  <w:style w:type="paragraph" w:customStyle="1" w:styleId="FigureTableSubheading">
    <w:name w:val="Figure/Table Subheading"/>
    <w:basedOn w:val="FigureTableHeading"/>
    <w:uiPriority w:val="4"/>
    <w:qFormat/>
    <w:rsid w:val="00D02FEC"/>
    <w:pPr>
      <w:spacing w:before="40"/>
    </w:pPr>
    <w:rPr>
      <w:color w:val="58585B"/>
    </w:rPr>
  </w:style>
  <w:style w:type="table" w:customStyle="1" w:styleId="TextTable-Grey">
    <w:name w:val="Text Table-Grey"/>
    <w:basedOn w:val="Texttable-Paleblue"/>
    <w:uiPriority w:val="99"/>
    <w:rsid w:val="00D02FE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02FEC"/>
    <w:rPr>
      <w:color w:val="265A9A" w:themeColor="background2"/>
      <w:sz w:val="20"/>
      <w:szCs w:val="20"/>
    </w:rPr>
  </w:style>
  <w:style w:type="paragraph" w:customStyle="1" w:styleId="Heading3-nonumber">
    <w:name w:val="Heading 3-no number"/>
    <w:basedOn w:val="Heading3"/>
    <w:uiPriority w:val="9"/>
    <w:semiHidden/>
    <w:qFormat/>
    <w:rsid w:val="00D02FEC"/>
  </w:style>
  <w:style w:type="paragraph" w:customStyle="1" w:styleId="Heading1-nobackground">
    <w:name w:val="Heading 1-no background"/>
    <w:basedOn w:val="Heading1"/>
    <w:next w:val="BodyText"/>
    <w:uiPriority w:val="9"/>
    <w:qFormat/>
    <w:rsid w:val="00D02FE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02FEC"/>
    <w:rPr>
      <w:color w:val="58585B"/>
      <w:sz w:val="20"/>
      <w:szCs w:val="20"/>
    </w:rPr>
  </w:style>
  <w:style w:type="paragraph" w:customStyle="1" w:styleId="TableHeading-numbered">
    <w:name w:val="Table Heading-numbered"/>
    <w:basedOn w:val="Normal"/>
    <w:semiHidden/>
    <w:qFormat/>
    <w:rsid w:val="00D02FEC"/>
    <w:pPr>
      <w:numPr>
        <w:numId w:val="16"/>
      </w:numPr>
      <w:spacing w:before="60"/>
      <w:contextualSpacing/>
    </w:pPr>
    <w:rPr>
      <w:b/>
      <w:color w:val="265A9A" w:themeColor="background2"/>
    </w:rPr>
  </w:style>
  <w:style w:type="numbering" w:customStyle="1" w:styleId="TableList">
    <w:name w:val="TableList"/>
    <w:uiPriority w:val="99"/>
    <w:rsid w:val="00D02FEC"/>
    <w:pPr>
      <w:numPr>
        <w:numId w:val="16"/>
      </w:numPr>
    </w:pPr>
  </w:style>
  <w:style w:type="paragraph" w:customStyle="1" w:styleId="Footer-right">
    <w:name w:val="Footer-right"/>
    <w:basedOn w:val="Footer"/>
    <w:uiPriority w:val="11"/>
    <w:rsid w:val="00D02FEC"/>
    <w:pPr>
      <w:jc w:val="right"/>
    </w:pPr>
    <w:rPr>
      <w:szCs w:val="24"/>
    </w:rPr>
  </w:style>
  <w:style w:type="paragraph" w:customStyle="1" w:styleId="Heading2-nonumber">
    <w:name w:val="Heading 2-no number"/>
    <w:basedOn w:val="Heading2"/>
    <w:uiPriority w:val="9"/>
    <w:qFormat/>
    <w:rsid w:val="00D02FEC"/>
    <w:pPr>
      <w:numPr>
        <w:ilvl w:val="0"/>
        <w:numId w:val="0"/>
      </w:numPr>
    </w:pPr>
  </w:style>
  <w:style w:type="paragraph" w:customStyle="1" w:styleId="Heading-Appendix">
    <w:name w:val="Heading-Appendix"/>
    <w:basedOn w:val="Heading1-nonumber"/>
    <w:next w:val="BodyText"/>
    <w:uiPriority w:val="9"/>
    <w:qFormat/>
    <w:rsid w:val="00D02FEC"/>
    <w:pPr>
      <w:numPr>
        <w:numId w:val="7"/>
      </w:numPr>
    </w:pPr>
  </w:style>
  <w:style w:type="numbering" w:customStyle="1" w:styleId="AppendixHeading">
    <w:name w:val="AppendixHeading"/>
    <w:uiPriority w:val="99"/>
    <w:rsid w:val="00D02FEC"/>
    <w:pPr>
      <w:numPr>
        <w:numId w:val="3"/>
      </w:numPr>
    </w:pPr>
  </w:style>
  <w:style w:type="paragraph" w:customStyle="1" w:styleId="DraftingNote">
    <w:name w:val="Drafting Note"/>
    <w:basedOn w:val="BodyText"/>
    <w:link w:val="DraftingNoteChar"/>
    <w:qFormat/>
    <w:rsid w:val="00D02FEC"/>
    <w:pPr>
      <w:contextualSpacing/>
    </w:pPr>
    <w:rPr>
      <w:color w:val="A22D2B"/>
      <w:sz w:val="24"/>
      <w:u w:val="dotted"/>
    </w:rPr>
  </w:style>
  <w:style w:type="character" w:customStyle="1" w:styleId="DraftingNoteChar">
    <w:name w:val="Drafting Note Char"/>
    <w:basedOn w:val="BodyTextChar"/>
    <w:link w:val="DraftingNote"/>
    <w:rsid w:val="00D02FEC"/>
    <w:rPr>
      <w:color w:val="A22D2B"/>
      <w:sz w:val="24"/>
      <w:szCs w:val="20"/>
      <w:u w:val="dotted"/>
    </w:rPr>
  </w:style>
  <w:style w:type="paragraph" w:customStyle="1" w:styleId="BoxHeading1">
    <w:name w:val="Box Heading 1"/>
    <w:basedOn w:val="FigureTableHeading"/>
    <w:next w:val="BodyText"/>
    <w:uiPriority w:val="4"/>
    <w:qFormat/>
    <w:rsid w:val="00D02FEC"/>
    <w:pPr>
      <w:spacing w:after="0"/>
    </w:pPr>
  </w:style>
  <w:style w:type="character" w:styleId="Emphasis">
    <w:name w:val="Emphasis"/>
    <w:basedOn w:val="DefaultParagraphFont"/>
    <w:uiPriority w:val="22"/>
    <w:qFormat/>
    <w:rsid w:val="00D02FEC"/>
    <w:rPr>
      <w:i/>
      <w:iCs/>
    </w:rPr>
  </w:style>
  <w:style w:type="paragraph" w:customStyle="1" w:styleId="Reference">
    <w:name w:val="Reference"/>
    <w:basedOn w:val="BodyText"/>
    <w:qFormat/>
    <w:rsid w:val="00D02FEC"/>
    <w:pPr>
      <w:spacing w:before="0" w:after="60" w:line="200" w:lineRule="exact"/>
    </w:pPr>
    <w:rPr>
      <w:sz w:val="16"/>
    </w:rPr>
  </w:style>
  <w:style w:type="paragraph" w:customStyle="1" w:styleId="Keypoints-heading">
    <w:name w:val="Key points-heading"/>
    <w:basedOn w:val="Heading3"/>
    <w:uiPriority w:val="10"/>
    <w:qFormat/>
    <w:rsid w:val="00D02FEC"/>
    <w:rPr>
      <w:color w:val="auto"/>
    </w:rPr>
  </w:style>
  <w:style w:type="paragraph" w:customStyle="1" w:styleId="Heading2-Appendix">
    <w:name w:val="Heading 2-Appendix"/>
    <w:basedOn w:val="Heading2-nonumber"/>
    <w:next w:val="Normal"/>
    <w:uiPriority w:val="10"/>
    <w:qFormat/>
    <w:rsid w:val="00D02FEC"/>
    <w:pPr>
      <w:numPr>
        <w:ilvl w:val="1"/>
        <w:numId w:val="7"/>
      </w:numPr>
    </w:pPr>
  </w:style>
  <w:style w:type="numbering" w:customStyle="1" w:styleId="AppendixHeadingList">
    <w:name w:val="Appendix Heading List"/>
    <w:uiPriority w:val="99"/>
    <w:rsid w:val="00D02FEC"/>
    <w:pPr>
      <w:numPr>
        <w:numId w:val="2"/>
      </w:numPr>
    </w:pPr>
  </w:style>
  <w:style w:type="paragraph" w:customStyle="1" w:styleId="Space">
    <w:name w:val="Space"/>
    <w:basedOn w:val="BodyText"/>
    <w:uiPriority w:val="1"/>
    <w:rsid w:val="00D02FEC"/>
    <w:pPr>
      <w:spacing w:before="0" w:after="0"/>
    </w:pPr>
  </w:style>
  <w:style w:type="paragraph" w:customStyle="1" w:styleId="QuoteBullet">
    <w:name w:val="Quote Bullet"/>
    <w:basedOn w:val="ListBullet"/>
    <w:link w:val="QuoteBulletChar"/>
    <w:uiPriority w:val="1"/>
    <w:qFormat/>
    <w:rsid w:val="00D02FEC"/>
    <w:pPr>
      <w:spacing w:before="60"/>
      <w:ind w:left="340" w:right="851"/>
    </w:pPr>
    <w:rPr>
      <w:color w:val="58585B"/>
    </w:rPr>
  </w:style>
  <w:style w:type="character" w:customStyle="1" w:styleId="ListBulletChar">
    <w:name w:val="List Bullet Char"/>
    <w:basedOn w:val="DefaultParagraphFont"/>
    <w:link w:val="ListBullet"/>
    <w:uiPriority w:val="1"/>
    <w:rsid w:val="00D02FEC"/>
    <w:rPr>
      <w:sz w:val="20"/>
      <w:szCs w:val="20"/>
    </w:rPr>
  </w:style>
  <w:style w:type="character" w:customStyle="1" w:styleId="QuoteBulletChar">
    <w:name w:val="Quote Bullet Char"/>
    <w:basedOn w:val="ListBulletChar"/>
    <w:link w:val="QuoteBullet"/>
    <w:uiPriority w:val="1"/>
    <w:rsid w:val="00D02FEC"/>
    <w:rPr>
      <w:color w:val="58585B"/>
      <w:sz w:val="20"/>
      <w:szCs w:val="20"/>
    </w:rPr>
  </w:style>
  <w:style w:type="paragraph" w:customStyle="1" w:styleId="Figurecharttitle">
    <w:name w:val="Figure chart title"/>
    <w:basedOn w:val="BodyText"/>
    <w:uiPriority w:val="10"/>
    <w:qFormat/>
    <w:rsid w:val="00D02FEC"/>
    <w:pPr>
      <w:spacing w:before="0" w:after="0"/>
      <w:ind w:left="284" w:hanging="284"/>
    </w:pPr>
    <w:rPr>
      <w:sz w:val="18"/>
      <w:szCs w:val="18"/>
    </w:rPr>
  </w:style>
  <w:style w:type="paragraph" w:customStyle="1" w:styleId="CoverdisclaimerwhiteCover">
    <w:name w:val="Cover – disclaimer (white) (Cover)"/>
    <w:basedOn w:val="Normal"/>
    <w:uiPriority w:val="99"/>
    <w:rsid w:val="00511FD7"/>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D02FEC"/>
    <w:pPr>
      <w:spacing w:line="160" w:lineRule="exact"/>
    </w:pPr>
  </w:style>
  <w:style w:type="character" w:customStyle="1" w:styleId="PullQuoteNoSpacingChar">
    <w:name w:val="Pull Quote No Spacing Char"/>
    <w:basedOn w:val="NoSpacingChar"/>
    <w:link w:val="PullQuoteNoSpacing"/>
    <w:uiPriority w:val="10"/>
    <w:rsid w:val="00D02FEC"/>
    <w:rPr>
      <w:sz w:val="20"/>
      <w:szCs w:val="20"/>
    </w:rPr>
  </w:style>
  <w:style w:type="paragraph" w:customStyle="1" w:styleId="PullQuote-Indigenous">
    <w:name w:val="Pull Quote-Indigenous"/>
    <w:basedOn w:val="PullQuote"/>
    <w:uiPriority w:val="10"/>
    <w:qFormat/>
    <w:rsid w:val="00D02FE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D02FEC"/>
    <w:pPr>
      <w:spacing w:before="0" w:after="20"/>
      <w:ind w:left="170" w:hanging="113"/>
    </w:pPr>
  </w:style>
  <w:style w:type="character" w:customStyle="1" w:styleId="normaltextrun">
    <w:name w:val="normaltextrun"/>
    <w:basedOn w:val="DefaultParagraphFont"/>
    <w:rsid w:val="007A7770"/>
  </w:style>
  <w:style w:type="paragraph" w:customStyle="1" w:styleId="paragraph">
    <w:name w:val="paragraph"/>
    <w:basedOn w:val="Normal"/>
    <w:rsid w:val="007A777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42">
      <w:bodyDiv w:val="1"/>
      <w:marLeft w:val="0"/>
      <w:marRight w:val="0"/>
      <w:marTop w:val="0"/>
      <w:marBottom w:val="0"/>
      <w:divBdr>
        <w:top w:val="none" w:sz="0" w:space="0" w:color="auto"/>
        <w:left w:val="none" w:sz="0" w:space="0" w:color="auto"/>
        <w:bottom w:val="none" w:sz="0" w:space="0" w:color="auto"/>
        <w:right w:val="none" w:sz="0" w:space="0" w:color="auto"/>
      </w:divBdr>
    </w:div>
    <w:div w:id="30685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4.xml"/><Relationship Id="rId21" Type="http://schemas.openxmlformats.org/officeDocument/2006/relationships/hyperlink" Target="https://www.pc.gov.au" TargetMode="External"/><Relationship Id="rId34" Type="http://schemas.openxmlformats.org/officeDocument/2006/relationships/header" Target="header1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header" Target="header9.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sv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2.xml"/><Relationship Id="rId8" Type="http://schemas.openxmlformats.org/officeDocument/2006/relationships/numbering" Target="numbering.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45A0CB6F7547ABA670DC2EB5003864"/>
        <w:category>
          <w:name w:val="General"/>
          <w:gallery w:val="placeholder"/>
        </w:category>
        <w:types>
          <w:type w:val="bbPlcHdr"/>
        </w:types>
        <w:behaviors>
          <w:behavior w:val="content"/>
        </w:behaviors>
        <w:guid w:val="{2AFCB4A1-9F7A-4CEF-B75C-B7652BA5B3A6}"/>
      </w:docPartPr>
      <w:docPartBody>
        <w:p w:rsidR="00A11AC4" w:rsidRDefault="00A11AC4">
          <w:pPr>
            <w:pStyle w:val="7645A0CB6F7547ABA670DC2EB5003864"/>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C4"/>
    <w:rsid w:val="000474E8"/>
    <w:rsid w:val="002D516A"/>
    <w:rsid w:val="00316307"/>
    <w:rsid w:val="0036322A"/>
    <w:rsid w:val="0063467D"/>
    <w:rsid w:val="006D77B7"/>
    <w:rsid w:val="00A11AC4"/>
    <w:rsid w:val="00B3688A"/>
    <w:rsid w:val="00BE2CF6"/>
    <w:rsid w:val="00C25DC9"/>
    <w:rsid w:val="00CD0A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645A0CB6F7547ABA670DC2EB5003864">
    <w:name w:val="7645A0CB6F7547ABA670DC2EB5003864"/>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TemplafyTemplateConfiguration><![CDATA[{"elementsMetadata":[],"transformationConfigurations":[],"templateName":"prelims-supporting-research","templateDescription":"Prelims for Staff Working Papers and Research Notes","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MPWT-2140667901-85593</_dlc_DocId>
    <_dlc_DocIdUrl xmlns="20393cdf-440a-4521-8f19-00ba43423d00">
      <Url>https://pcgov.sharepoint.com/sites/sceteam/_layouts/15/DocIdRedir.aspx?ID=MPWT-2140667901-85593</Url>
      <Description>MPWT-2140667901-85593</Description>
    </_dlc_DocIdUrl>
    <Status xmlns="3d385984-9344-419b-a80b-49c06a2bdab8" xsi:nil="true"/>
  </documentManagement>
</p:properti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ab21d94b0529b40adc25fafeb2ef3ef">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e4aa543dcfacb60aafe543219951d25"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AE6EBE-3AEA-43B3-A99D-878B59887E74}">
  <ds:schemaRefs>
    <ds:schemaRef ds:uri="http://schemas.microsoft.com/sharepoint/events"/>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5ADD3858-D7FB-4305-85F3-A4BECA4BBF33}">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D3ED372-CA29-4BCC-BDBF-C3E54F002467}">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CC9FC655-B6E0-4EF5-BAB4-B5582C1DB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347</TotalTime>
  <Pages>9</Pages>
  <Words>3865</Words>
  <Characters>22035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Unlocking the economic potential of native title</vt:lpstr>
    </vt:vector>
  </TitlesOfParts>
  <Company>Productivity Commission</Company>
  <LinksUpToDate>false</LinksUpToDate>
  <CharactersWithSpaces>25849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Unlocking the economic potential of native title</dc:title>
  <dc:subject>Productivity Commission submission</dc:subject>
  <dc:creator>Productivity Commission</dc:creator>
  <cp:keywords/>
  <dc:description/>
  <cp:lastModifiedBy>Chris Alston</cp:lastModifiedBy>
  <cp:revision>194</cp:revision>
  <cp:lastPrinted>2025-07-10T23:10:00Z</cp:lastPrinted>
  <dcterms:created xsi:type="dcterms:W3CDTF">2025-07-09T09:18:00Z</dcterms:created>
  <dcterms:modified xsi:type="dcterms:W3CDTF">2025-07-10T23:11:00Z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TemplafyTenantId">
    <vt:lpwstr>productivitycommission</vt:lpwstr>
  </property>
  <property fmtid="{D5CDD505-2E9C-101B-9397-08002B2CF9AE}" pid="6" name="TemplafyTemplateId">
    <vt:lpwstr>637734049687030080</vt:lpwstr>
  </property>
  <property fmtid="{D5CDD505-2E9C-101B-9397-08002B2CF9AE}" pid="7" name="TemplafyUserProfileId">
    <vt:lpwstr>1108872595968884982</vt:lpwstr>
  </property>
  <property fmtid="{D5CDD505-2E9C-101B-9397-08002B2CF9AE}" pid="8" name="TemplafyFromBlank">
    <vt:bool>false</vt:bool>
  </property>
  <property fmtid="{D5CDD505-2E9C-101B-9397-08002B2CF9AE}" pid="9" name="MSIP_Label_c1f2b1ce-4212-46db-a901-dd8453f57141_Enabled">
    <vt:lpwstr>true</vt:lpwstr>
  </property>
  <property fmtid="{D5CDD505-2E9C-101B-9397-08002B2CF9AE}" pid="10" name="MSIP_Label_c1f2b1ce-4212-46db-a901-dd8453f57141_SetDate">
    <vt:lpwstr>2025-07-09T01:55:58Z</vt:lpwstr>
  </property>
  <property fmtid="{D5CDD505-2E9C-101B-9397-08002B2CF9AE}" pid="11" name="MSIP_Label_c1f2b1ce-4212-46db-a901-dd8453f57141_Method">
    <vt:lpwstr>Privileged</vt:lpwstr>
  </property>
  <property fmtid="{D5CDD505-2E9C-101B-9397-08002B2CF9AE}" pid="12" name="MSIP_Label_c1f2b1ce-4212-46db-a901-dd8453f57141_Name">
    <vt:lpwstr>Publish</vt:lpwstr>
  </property>
  <property fmtid="{D5CDD505-2E9C-101B-9397-08002B2CF9AE}" pid="13" name="MSIP_Label_c1f2b1ce-4212-46db-a901-dd8453f57141_SiteId">
    <vt:lpwstr>29f9330b-c0fe-4244-830e-ba9f275d6c34</vt:lpwstr>
  </property>
  <property fmtid="{D5CDD505-2E9C-101B-9397-08002B2CF9AE}" pid="14" name="MSIP_Label_c1f2b1ce-4212-46db-a901-dd8453f57141_ActionId">
    <vt:lpwstr>ff0eac0a-a5b0-4826-8200-b64a66af5a1f</vt:lpwstr>
  </property>
  <property fmtid="{D5CDD505-2E9C-101B-9397-08002B2CF9AE}" pid="15" name="MSIP_Label_c1f2b1ce-4212-46db-a901-dd8453f57141_ContentBits">
    <vt:lpwstr>0</vt:lpwstr>
  </property>
  <property fmtid="{D5CDD505-2E9C-101B-9397-08002B2CF9AE}" pid="16" name="MSIP_Label_c1f2b1ce-4212-46db-a901-dd8453f57141_Tag">
    <vt:lpwstr>10, 0, 1, 1</vt:lpwstr>
  </property>
  <property fmtid="{D5CDD505-2E9C-101B-9397-08002B2CF9AE}" pid="17" name="_dlc_DocIdItemGuid">
    <vt:lpwstr>530f7dbe-6003-4f39-b223-df65e1d9f5e0</vt:lpwstr>
  </property>
</Properties>
</file>