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3E3088D6" w14:textId="77777777" w:rsidR="00B35121" w:rsidRDefault="00B35121" w:rsidP="00B35121">
          <w:pPr>
            <w:pStyle w:val="BodyText"/>
            <w:spacing w:after="0"/>
            <w:rPr>
              <w:color w:val="FFFFFF" w:themeColor="background1"/>
            </w:rPr>
          </w:pPr>
        </w:p>
        <w:p w14:paraId="66FE56E0" w14:textId="77777777" w:rsidR="00B35121" w:rsidRPr="00461CE9" w:rsidRDefault="00B35121" w:rsidP="00B35121">
          <w:pPr>
            <w:pStyle w:val="BodyText"/>
            <w:spacing w:after="0"/>
          </w:pPr>
        </w:p>
        <w:p w14:paraId="307E610D" w14:textId="7CA8ED20" w:rsidR="00B35121" w:rsidRPr="000353F9" w:rsidRDefault="00DB79E3" w:rsidP="00B35121">
          <w:pPr>
            <w:pStyle w:val="Title"/>
            <w:spacing w:before="120"/>
            <w:ind w:right="849"/>
            <w:rPr>
              <w:sz w:val="56"/>
            </w:rPr>
          </w:pPr>
          <w:r>
            <w:rPr>
              <w:rStyle w:val="TitleChar"/>
              <w:rFonts w:ascii="Open Sans Extrabold" w:hAnsi="Open Sans Extrabold" w:cs="Open Sans Extrabold"/>
              <w:sz w:val="56"/>
            </w:rPr>
            <w:t xml:space="preserve">Trade and </w:t>
          </w:r>
          <w:r w:rsidR="000329EC">
            <w:rPr>
              <w:rStyle w:val="TitleChar"/>
              <w:rFonts w:ascii="Open Sans Extrabold" w:hAnsi="Open Sans Extrabold" w:cs="Open Sans Extrabold"/>
              <w:sz w:val="56"/>
            </w:rPr>
            <w:t>A</w:t>
          </w:r>
          <w:r>
            <w:rPr>
              <w:rStyle w:val="TitleChar"/>
              <w:rFonts w:ascii="Open Sans Extrabold" w:hAnsi="Open Sans Extrabold" w:cs="Open Sans Extrabold"/>
              <w:sz w:val="56"/>
            </w:rPr>
            <w:t>ssistance</w:t>
          </w:r>
          <w:r w:rsidR="00B35121" w:rsidRPr="000353F9">
            <w:rPr>
              <w:rStyle w:val="TitleChar"/>
              <w:rFonts w:ascii="Open Sans Extrabold" w:hAnsi="Open Sans Extrabold" w:cs="Open Sans Extrabold"/>
              <w:sz w:val="56"/>
            </w:rPr>
            <w:t xml:space="preserve"> </w:t>
          </w:r>
          <w:r w:rsidR="000329EC">
            <w:rPr>
              <w:rStyle w:val="TitleChar"/>
              <w:rFonts w:ascii="Open Sans Extrabold" w:hAnsi="Open Sans Extrabold" w:cs="Open Sans Extrabold"/>
              <w:sz w:val="56"/>
            </w:rPr>
            <w:t>R</w:t>
          </w:r>
          <w:r w:rsidR="00B35121" w:rsidRPr="000353F9">
            <w:rPr>
              <w:rStyle w:val="TitleChar"/>
              <w:rFonts w:ascii="Open Sans Extrabold" w:hAnsi="Open Sans Extrabold" w:cs="Open Sans Extrabold"/>
              <w:sz w:val="56"/>
            </w:rPr>
            <w:t>eview</w:t>
          </w:r>
          <w:r w:rsidR="000329EC">
            <w:rPr>
              <w:rStyle w:val="TitleChar"/>
              <w:rFonts w:ascii="Open Sans Extrabold" w:hAnsi="Open Sans Extrabold" w:cs="Open Sans Extrabold"/>
              <w:sz w:val="56"/>
            </w:rPr>
            <w:br/>
            <w:t>2023-24</w:t>
          </w:r>
        </w:p>
        <w:p w14:paraId="7B5E0E6E" w14:textId="12B2109F" w:rsidR="00B35121" w:rsidRPr="000353F9" w:rsidRDefault="00DB79E3" w:rsidP="00B35121">
          <w:pPr>
            <w:pStyle w:val="Subtitle"/>
            <w:rPr>
              <w:rFonts w:ascii="Open Sans Semibold" w:hAnsi="Open Sans Semibold" w:cs="Open Sans Semibold"/>
              <w:sz w:val="48"/>
              <w:szCs w:val="48"/>
            </w:rPr>
          </w:pPr>
          <w:r>
            <w:rPr>
              <w:rFonts w:ascii="Open Sans Semibold" w:hAnsi="Open Sans Semibold" w:cs="Open Sans Semibold"/>
              <w:sz w:val="48"/>
              <w:szCs w:val="48"/>
            </w:rPr>
            <w:t>Annual report series</w:t>
          </w:r>
        </w:p>
        <w:p w14:paraId="625C8294" w14:textId="396FFBFC" w:rsidR="00B35121" w:rsidRDefault="00B35121" w:rsidP="00B35121">
          <w:pPr>
            <w:spacing w:after="160" w:line="259" w:lineRule="auto"/>
          </w:pPr>
        </w:p>
        <w:p w14:paraId="0FB55980" w14:textId="77777777" w:rsidR="00B302FA" w:rsidRDefault="00B302FA" w:rsidP="00B35121">
          <w:pPr>
            <w:spacing w:after="4080"/>
            <w:jc w:val="center"/>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0353F9" w:rsidRPr="00AC3BFA" w14:paraId="66169DF1" w14:textId="77777777" w:rsidTr="00FF2244">
            <w:trPr>
              <w:trHeight w:hRule="exact" w:val="12643"/>
            </w:trPr>
            <w:tc>
              <w:tcPr>
                <w:tcW w:w="9638" w:type="dxa"/>
                <w:shd w:val="clear" w:color="auto" w:fill="E0F1F7" w:themeFill="text2" w:themeFillTint="33"/>
                <w:tcMar>
                  <w:top w:w="113" w:type="dxa"/>
                </w:tcMar>
                <w:vAlign w:val="top"/>
              </w:tcPr>
              <w:p w14:paraId="1206A5B4" w14:textId="77777777" w:rsidR="00910D3A" w:rsidRPr="000049DB" w:rsidRDefault="00B302FA" w:rsidP="00FF2244">
                <w:pPr>
                  <w:pStyle w:val="Copyrightpage-BodyBold"/>
                  <w:ind w:right="-284"/>
                  <w:rPr>
                    <w:rStyle w:val="White"/>
                    <w:b w:val="0"/>
                    <w:bCs/>
                    <w:color w:val="auto"/>
                    <w:sz w:val="4"/>
                    <w:szCs w:val="4"/>
                  </w:rPr>
                </w:pPr>
                <w:r w:rsidRPr="000353F9">
                  <w:rPr>
                    <w:rStyle w:val="White"/>
                    <w:color w:val="000000" w:themeColor="text1"/>
                  </w:rPr>
                  <w:lastRenderedPageBreak/>
                  <w:br w:type="page"/>
                </w:r>
              </w:p>
              <w:p w14:paraId="240FA98F" w14:textId="77777777" w:rsidR="00910D3A" w:rsidRPr="000049DB" w:rsidRDefault="00910D3A" w:rsidP="00FF2244">
                <w:pPr>
                  <w:pStyle w:val="Copyrightpage-BodyBold"/>
                  <w:ind w:right="-284"/>
                  <w:rPr>
                    <w:rFonts w:ascii="Arial" w:hAnsi="Arial" w:cs="Arial"/>
                    <w:b w:val="0"/>
                    <w:bCs/>
                    <w:color w:val="auto"/>
                    <w:spacing w:val="2"/>
                  </w:rPr>
                </w:pPr>
                <w:r w:rsidRPr="000049DB">
                  <w:rPr>
                    <w:rFonts w:ascii="Arial" w:hAnsi="Arial" w:cs="Arial"/>
                    <w:b w:val="0"/>
                    <w:bCs/>
                    <w:noProof/>
                    <w:color w:val="auto"/>
                  </w:rPr>
                  <w:drawing>
                    <wp:anchor distT="0" distB="0" distL="114300" distR="114300" simplePos="0" relativeHeight="251658240" behindDoc="0" locked="0" layoutInCell="1" allowOverlap="1" wp14:anchorId="464BA091" wp14:editId="5B972DF1">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0049DB">
                  <w:rPr>
                    <w:rFonts w:ascii="Arial" w:hAnsi="Arial"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07E88B26" w14:textId="77777777" w:rsidR="00910D3A" w:rsidRPr="00157240" w:rsidRDefault="00910D3A" w:rsidP="00FF2244">
                <w:pPr>
                  <w:pStyle w:val="Copyrightpage-Keylinenotext"/>
                  <w:ind w:right="-284"/>
                  <w:rPr>
                    <w:color w:val="auto"/>
                  </w:rPr>
                </w:pPr>
              </w:p>
              <w:p w14:paraId="06634DDA" w14:textId="7F2EED1E" w:rsidR="00C31E23" w:rsidRPr="000353F9" w:rsidRDefault="00C31E23" w:rsidP="00FF2244">
                <w:pPr>
                  <w:pStyle w:val="Copyrightpage-Heading"/>
                  <w:ind w:right="-284"/>
                  <w:rPr>
                    <w:b/>
                    <w:color w:val="000000" w:themeColor="text1"/>
                  </w:rPr>
                </w:pPr>
                <w:r w:rsidRPr="000353F9">
                  <w:rPr>
                    <w:b/>
                    <w:color w:val="000000" w:themeColor="text1"/>
                  </w:rPr>
                  <w:t>The Productivity Commission</w:t>
                </w:r>
              </w:p>
              <w:p w14:paraId="30B4CD18" w14:textId="77777777" w:rsidR="004D6855" w:rsidRPr="00910D3A" w:rsidRDefault="004D6855" w:rsidP="00FF2244">
                <w:pPr>
                  <w:pStyle w:val="Copyrightpage-BodyBold"/>
                  <w:rPr>
                    <w:b w:val="0"/>
                    <w:bCs/>
                    <w:color w:val="000000" w:themeColor="text1"/>
                  </w:rPr>
                </w:pPr>
                <w:r w:rsidRPr="00910D3A">
                  <w:rPr>
                    <w:b w:val="0"/>
                    <w:bCs/>
                    <w:color w:val="000000" w:themeColor="text1"/>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232CE7E3" w14:textId="77777777" w:rsidR="004D6855" w:rsidRPr="00910D3A" w:rsidRDefault="004D6855" w:rsidP="00FF2244">
                <w:pPr>
                  <w:pStyle w:val="Copyrightpage-BodyBold"/>
                  <w:rPr>
                    <w:b w:val="0"/>
                    <w:bCs/>
                    <w:color w:val="000000" w:themeColor="text1"/>
                  </w:rPr>
                </w:pPr>
                <w:r w:rsidRPr="00910D3A">
                  <w:rPr>
                    <w:b w:val="0"/>
                    <w:bCs/>
                    <w:color w:val="000000" w:themeColor="text1"/>
                  </w:rPr>
                  <w:t>The PC’s independence is underpinned by an Act of Parliament. Its processes and outputs are open to public scrutiny and are driven by concern for the wellbeing of the community as a whole.</w:t>
                </w:r>
              </w:p>
              <w:p w14:paraId="0CC8C4F6" w14:textId="4AD862BD" w:rsidR="004D6855" w:rsidRPr="00910D3A" w:rsidRDefault="004D6855" w:rsidP="00FF2244">
                <w:pPr>
                  <w:pStyle w:val="Copyrightpage-BodyBold"/>
                  <w:rPr>
                    <w:b w:val="0"/>
                    <w:bCs/>
                    <w:color w:val="000000" w:themeColor="text1"/>
                    <w:spacing w:val="-4"/>
                  </w:rPr>
                </w:pPr>
                <w:r w:rsidRPr="00910D3A">
                  <w:rPr>
                    <w:b w:val="0"/>
                    <w:bCs/>
                    <w:color w:val="000000" w:themeColor="text1"/>
                    <w:spacing w:val="-4"/>
                  </w:rPr>
                  <w:t xml:space="preserve">For more information, visit the PC’s website: </w:t>
                </w:r>
                <w:hyperlink r:id="rId19" w:history="1">
                  <w:r w:rsidRPr="00910D3A">
                    <w:rPr>
                      <w:rStyle w:val="Hyperlink"/>
                      <w:b w:val="0"/>
                      <w:bCs/>
                      <w:color w:val="000000" w:themeColor="text1"/>
                      <w:spacing w:val="-4"/>
                    </w:rPr>
                    <w:t>www.pc.gov.au</w:t>
                  </w:r>
                </w:hyperlink>
              </w:p>
              <w:p w14:paraId="0D38CE83" w14:textId="77777777" w:rsidR="004D6855" w:rsidRPr="000353F9" w:rsidRDefault="004D6855" w:rsidP="00FF2244">
                <w:pPr>
                  <w:pStyle w:val="Copyrightpage-Keylinenotext"/>
                  <w:ind w:right="-284"/>
                  <w:rPr>
                    <w:b/>
                    <w:color w:val="000000" w:themeColor="text1"/>
                  </w:rPr>
                </w:pPr>
              </w:p>
              <w:p w14:paraId="435A3A93" w14:textId="28052533" w:rsidR="00C31E23" w:rsidRPr="00910D3A" w:rsidRDefault="00C31E23" w:rsidP="00FF2244">
                <w:pPr>
                  <w:pStyle w:val="Copyrightpage-BodyBold"/>
                  <w:rPr>
                    <w:b w:val="0"/>
                    <w:bCs/>
                    <w:color w:val="000000" w:themeColor="text1"/>
                  </w:rPr>
                </w:pPr>
                <w:r w:rsidRPr="00910D3A">
                  <w:rPr>
                    <w:b w:val="0"/>
                    <w:bCs/>
                    <w:color w:val="000000" w:themeColor="text1"/>
                  </w:rPr>
                  <w:t>© Commonwealth of Australia 202</w:t>
                </w:r>
                <w:r w:rsidR="00A05BA2" w:rsidRPr="00910D3A">
                  <w:rPr>
                    <w:b w:val="0"/>
                    <w:bCs/>
                    <w:color w:val="000000" w:themeColor="text1"/>
                  </w:rPr>
                  <w:t>5</w:t>
                </w:r>
              </w:p>
              <w:p w14:paraId="7785FAE2" w14:textId="77777777" w:rsidR="00C31E23" w:rsidRPr="00910D3A" w:rsidRDefault="00C31E23" w:rsidP="00FF2244">
                <w:pPr>
                  <w:pStyle w:val="Copyrightpage-Heading2"/>
                  <w:spacing w:before="0"/>
                  <w:ind w:right="-284"/>
                  <w:rPr>
                    <w:b w:val="0"/>
                    <w:bCs/>
                    <w:color w:val="000000" w:themeColor="text1"/>
                  </w:rPr>
                </w:pPr>
                <w:r w:rsidRPr="00910D3A">
                  <w:rPr>
                    <w:b w:val="0"/>
                    <w:bCs/>
                    <w:noProof/>
                    <w:color w:val="000000" w:themeColor="text1"/>
                  </w:rPr>
                  <w:drawing>
                    <wp:inline distT="0" distB="0" distL="0" distR="0" wp14:anchorId="5CB42B3A" wp14:editId="15483199">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69F69600" w14:textId="6AAB9823" w:rsidR="00C31E23" w:rsidRPr="00910D3A" w:rsidRDefault="00C31E23" w:rsidP="00FF2244">
                <w:pPr>
                  <w:pStyle w:val="Copyrightpage-BodyBold"/>
                  <w:ind w:right="-143"/>
                  <w:rPr>
                    <w:b w:val="0"/>
                    <w:bCs/>
                    <w:color w:val="000000" w:themeColor="text1"/>
                  </w:rPr>
                </w:pPr>
                <w:r w:rsidRPr="00910D3A">
                  <w:rPr>
                    <w:b w:val="0"/>
                    <w:bCs/>
                    <w:color w:val="000000" w:themeColor="text1"/>
                  </w:rPr>
                  <w:t xml:space="preserve">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w:t>
                </w:r>
                <w:r w:rsidR="00A33F64" w:rsidRPr="00910D3A">
                  <w:rPr>
                    <w:b w:val="0"/>
                    <w:bCs/>
                    <w:color w:val="000000" w:themeColor="text1"/>
                  </w:rPr>
                  <w:t>PC</w:t>
                </w:r>
                <w:r w:rsidRPr="00910D3A">
                  <w:rPr>
                    <w:b w:val="0"/>
                    <w:bCs/>
                    <w:color w:val="000000" w:themeColor="text1"/>
                  </w:rPr>
                  <w:t xml:space="preserve"> (but not in any way that suggests the </w:t>
                </w:r>
                <w:r w:rsidR="00A33F64" w:rsidRPr="00910D3A">
                  <w:rPr>
                    <w:b w:val="0"/>
                    <w:bCs/>
                    <w:color w:val="000000" w:themeColor="text1"/>
                  </w:rPr>
                  <w:t>PC</w:t>
                </w:r>
                <w:r w:rsidRPr="00910D3A">
                  <w:rPr>
                    <w:b w:val="0"/>
                    <w:bCs/>
                    <w:color w:val="000000" w:themeColor="text1"/>
                  </w:rPr>
                  <w:t xml:space="preserve"> endorses you or your use) and abide by the other licence terms. The licence can be viewed at: https://creativecommons.org/licenses/by/4.0.</w:t>
                </w:r>
              </w:p>
              <w:p w14:paraId="33E57F67" w14:textId="77777777" w:rsidR="00C31E23" w:rsidRPr="00910D3A" w:rsidRDefault="00C31E23" w:rsidP="00FF2244">
                <w:pPr>
                  <w:pStyle w:val="Copyrightpage-BodyBold"/>
                  <w:rPr>
                    <w:b w:val="0"/>
                    <w:bCs/>
                    <w:color w:val="000000" w:themeColor="text1"/>
                  </w:rPr>
                </w:pPr>
                <w:r w:rsidRPr="00910D3A">
                  <w:rPr>
                    <w:b w:val="0"/>
                    <w:bCs/>
                    <w:color w:val="000000" w:themeColor="text1"/>
                  </w:rPr>
                  <w:t>The terms under which the Coat of Arms can be used are detailed at: www.pmc.gov.au/government/commonwealth-coat-arms.</w:t>
                </w:r>
              </w:p>
              <w:p w14:paraId="1463A5F5" w14:textId="53B2F40A" w:rsidR="00C31E23" w:rsidRPr="00910D3A" w:rsidRDefault="00C31E23" w:rsidP="00FF2244">
                <w:pPr>
                  <w:pStyle w:val="Copyrightpage-BodyBold"/>
                  <w:rPr>
                    <w:b w:val="0"/>
                    <w:bCs/>
                    <w:color w:val="000000" w:themeColor="text1"/>
                  </w:rPr>
                </w:pPr>
                <w:r w:rsidRPr="00910D3A">
                  <w:rPr>
                    <w:b w:val="0"/>
                    <w:bCs/>
                    <w:color w:val="000000" w:themeColor="text1"/>
                  </w:rPr>
                  <w:t>Wherever a third party holds copyright in this material the copyright remains with that party. Their permission may be required to use the material, please contact them directly.</w:t>
                </w:r>
              </w:p>
              <w:p w14:paraId="0B2B5340" w14:textId="77777777" w:rsidR="00A33F64" w:rsidRPr="00910D3A" w:rsidRDefault="00A33F64" w:rsidP="00FF2244">
                <w:pPr>
                  <w:pStyle w:val="Copyrightpage-BodyBold"/>
                  <w:contextualSpacing/>
                  <w:rPr>
                    <w:b w:val="0"/>
                    <w:bCs/>
                    <w:color w:val="000000" w:themeColor="text1"/>
                  </w:rPr>
                </w:pPr>
                <w:r w:rsidRPr="00910D3A">
                  <w:rPr>
                    <w:b w:val="0"/>
                    <w:bCs/>
                    <w:color w:val="000000" w:themeColor="text1"/>
                  </w:rPr>
                  <w:t>2652-2454 (online)</w:t>
                </w:r>
              </w:p>
              <w:p w14:paraId="0826F928" w14:textId="7965652F" w:rsidR="000F7081" w:rsidRPr="00910D3A" w:rsidRDefault="000F7081" w:rsidP="00FF2244">
                <w:pPr>
                  <w:pStyle w:val="Copyrightpage-BodyBold"/>
                  <w:rPr>
                    <w:b w:val="0"/>
                    <w:bCs/>
                    <w:color w:val="000000" w:themeColor="text1"/>
                  </w:rPr>
                </w:pPr>
                <w:r w:rsidRPr="00910D3A">
                  <w:rPr>
                    <w:b w:val="0"/>
                    <w:bCs/>
                    <w:color w:val="000000" w:themeColor="text1"/>
                  </w:rPr>
                  <w:t xml:space="preserve">1329-9123 (print) </w:t>
                </w:r>
              </w:p>
              <w:p w14:paraId="7F04B90D" w14:textId="4F7C3412" w:rsidR="00C31E23" w:rsidRPr="00910D3A" w:rsidRDefault="00C31E23" w:rsidP="00FF2244">
                <w:pPr>
                  <w:pStyle w:val="Copyrightpage-BodyBold"/>
                  <w:rPr>
                    <w:b w:val="0"/>
                    <w:bCs/>
                    <w:color w:val="000000" w:themeColor="text1"/>
                  </w:rPr>
                </w:pPr>
                <w:r w:rsidRPr="00910D3A">
                  <w:rPr>
                    <w:b w:val="0"/>
                    <w:bCs/>
                    <w:color w:val="000000" w:themeColor="text1"/>
                  </w:rPr>
                  <w:t>An appropriate reference for this publication is:</w:t>
                </w:r>
                <w:r w:rsidRPr="00910D3A">
                  <w:rPr>
                    <w:b w:val="0"/>
                    <w:bCs/>
                    <w:color w:val="000000" w:themeColor="text1"/>
                  </w:rPr>
                  <w:br/>
                </w:r>
                <w:r w:rsidR="00E009B1" w:rsidRPr="00910D3A">
                  <w:rPr>
                    <w:b w:val="0"/>
                    <w:bCs/>
                    <w:color w:val="000000" w:themeColor="text1"/>
                  </w:rPr>
                  <w:t xml:space="preserve">Productivity Commission </w:t>
                </w:r>
                <w:r w:rsidR="00EF0E43" w:rsidRPr="00910D3A">
                  <w:rPr>
                    <w:b w:val="0"/>
                    <w:bCs/>
                    <w:color w:val="000000" w:themeColor="text1"/>
                  </w:rPr>
                  <w:t>2025</w:t>
                </w:r>
                <w:r w:rsidR="00E009B1" w:rsidRPr="00910D3A">
                  <w:rPr>
                    <w:b w:val="0"/>
                    <w:bCs/>
                    <w:color w:val="000000" w:themeColor="text1"/>
                  </w:rPr>
                  <w:t xml:space="preserve">, </w:t>
                </w:r>
                <w:r w:rsidR="00EF0E43" w:rsidRPr="00910D3A">
                  <w:rPr>
                    <w:b w:val="0"/>
                    <w:bCs/>
                    <w:i/>
                    <w:iCs/>
                    <w:color w:val="000000" w:themeColor="text1"/>
                  </w:rPr>
                  <w:t>Trade and Assistance Review 2023</w:t>
                </w:r>
                <w:r w:rsidR="007D06D1" w:rsidRPr="00910D3A">
                  <w:rPr>
                    <w:b w:val="0"/>
                    <w:bCs/>
                    <w:i/>
                    <w:iCs/>
                    <w:color w:val="000000" w:themeColor="text1"/>
                  </w:rPr>
                  <w:noBreakHyphen/>
                </w:r>
                <w:r w:rsidR="00EF0E43" w:rsidRPr="00910D3A">
                  <w:rPr>
                    <w:b w:val="0"/>
                    <w:bCs/>
                    <w:i/>
                    <w:iCs/>
                    <w:color w:val="000000" w:themeColor="text1"/>
                  </w:rPr>
                  <w:t>24</w:t>
                </w:r>
                <w:r w:rsidR="00E009B1" w:rsidRPr="00910D3A">
                  <w:rPr>
                    <w:b w:val="0"/>
                    <w:bCs/>
                    <w:color w:val="000000" w:themeColor="text1"/>
                  </w:rPr>
                  <w:t xml:space="preserve">, </w:t>
                </w:r>
                <w:r w:rsidR="00572513" w:rsidRPr="00910D3A">
                  <w:rPr>
                    <w:b w:val="0"/>
                    <w:bCs/>
                    <w:color w:val="000000" w:themeColor="text1"/>
                  </w:rPr>
                  <w:t>Annual report series</w:t>
                </w:r>
                <w:r w:rsidR="00E009B1" w:rsidRPr="00910D3A">
                  <w:rPr>
                    <w:b w:val="0"/>
                    <w:bCs/>
                    <w:color w:val="000000" w:themeColor="text1"/>
                  </w:rPr>
                  <w:t>, Canberra</w:t>
                </w:r>
              </w:p>
              <w:p w14:paraId="733C29A5" w14:textId="71CC0DA5" w:rsidR="00C31E23" w:rsidRPr="00AC3BFA" w:rsidRDefault="00C31E23" w:rsidP="00FF2244">
                <w:pPr>
                  <w:pStyle w:val="Copyrightpage-BodyBold"/>
                  <w:ind w:right="-284"/>
                  <w:rPr>
                    <w:color w:val="000000" w:themeColor="text1"/>
                    <w:lang w:val="fr-CA"/>
                  </w:rPr>
                </w:pPr>
                <w:r w:rsidRPr="00AC3BFA">
                  <w:rPr>
                    <w:b w:val="0"/>
                    <w:bCs/>
                    <w:color w:val="000000" w:themeColor="text1"/>
                    <w:lang w:val="fr-CA"/>
                  </w:rPr>
                  <w:t xml:space="preserve">Publication enquiries: </w:t>
                </w:r>
                <w:r w:rsidRPr="00AC3BFA">
                  <w:rPr>
                    <w:b w:val="0"/>
                    <w:bCs/>
                    <w:color w:val="000000" w:themeColor="text1"/>
                    <w:lang w:val="fr-CA"/>
                  </w:rPr>
                  <w:br/>
                </w:r>
                <w:r w:rsidR="007A677B" w:rsidRPr="00AC3BFA">
                  <w:rPr>
                    <w:b w:val="0"/>
                    <w:bCs/>
                    <w:color w:val="000000" w:themeColor="text1"/>
                    <w:lang w:val="fr-CA"/>
                  </w:rPr>
                  <w:t>P</w:t>
                </w:r>
                <w:r w:rsidRPr="00AC3BFA">
                  <w:rPr>
                    <w:b w:val="0"/>
                    <w:bCs/>
                    <w:color w:val="000000" w:themeColor="text1"/>
                    <w:lang w:val="fr-CA"/>
                  </w:rPr>
                  <w:t xml:space="preserve">hone 03 9653 2244 | </w:t>
                </w:r>
                <w:r w:rsidR="007A677B" w:rsidRPr="00AC3BFA">
                  <w:rPr>
                    <w:b w:val="0"/>
                    <w:bCs/>
                    <w:color w:val="000000" w:themeColor="text1"/>
                    <w:lang w:val="fr-CA"/>
                  </w:rPr>
                  <w:t>E</w:t>
                </w:r>
                <w:r w:rsidRPr="00AC3BFA">
                  <w:rPr>
                    <w:b w:val="0"/>
                    <w:bCs/>
                    <w:color w:val="000000" w:themeColor="text1"/>
                    <w:lang w:val="fr-CA"/>
                  </w:rPr>
                  <w:t>mail publications@pc.gov.au</w:t>
                </w:r>
              </w:p>
            </w:tc>
          </w:tr>
        </w:tbl>
        <w:p w14:paraId="3766C92C" w14:textId="0EA3B1EA" w:rsidR="003A15EC" w:rsidRDefault="00C31E23" w:rsidP="00DA3017">
          <w:pPr>
            <w:spacing w:before="0" w:after="160" w:line="259" w:lineRule="auto"/>
            <w:rPr>
              <w:rStyle w:val="White"/>
              <w:b/>
            </w:rPr>
            <w:sectPr w:rsidR="003A15EC" w:rsidSect="006E2B54">
              <w:headerReference w:type="even" r:id="rId22"/>
              <w:headerReference w:type="default" r:id="rId23"/>
              <w:footerReference w:type="even" r:id="rId24"/>
              <w:footerReference w:type="default" r:id="rId25"/>
              <w:headerReference w:type="first" r:id="rId26"/>
              <w:pgSz w:w="11906" w:h="16838" w:code="9"/>
              <w:pgMar w:top="1134" w:right="1134" w:bottom="1134" w:left="1134" w:header="794" w:footer="510" w:gutter="0"/>
              <w:pgNumType w:fmt="lowerRoman"/>
              <w:cols w:space="708"/>
              <w:docGrid w:linePitch="360"/>
            </w:sectPr>
          </w:pPr>
          <w:r w:rsidRPr="00AC3BFA">
            <w:rPr>
              <w:rStyle w:val="White"/>
              <w:b/>
              <w:lang w:val="fr-CA"/>
            </w:rPr>
            <w:t xml:space="preserve"> </w:t>
          </w:r>
        </w:p>
      </w:sdtContent>
    </w:sdt>
    <w:p w14:paraId="4231F87E" w14:textId="21C63ECC" w:rsidR="00A86051" w:rsidRPr="00EE0416" w:rsidRDefault="00EE0416" w:rsidP="00EE0416">
      <w:pPr>
        <w:pStyle w:val="Heading1-nobackground"/>
      </w:pPr>
      <w:bookmarkStart w:id="0" w:name="_Toc202477842"/>
      <w:r>
        <w:lastRenderedPageBreak/>
        <w:t>Foreword</w:t>
      </w:r>
      <w:bookmarkEnd w:id="0"/>
    </w:p>
    <w:p w14:paraId="7EA4918B" w14:textId="77777777" w:rsidR="00A972CD" w:rsidRDefault="00A972CD" w:rsidP="00A972CD">
      <w:pPr>
        <w:pStyle w:val="BodyText"/>
      </w:pPr>
      <w:r>
        <w:t>This Trade and Assistance Review (TAR) is released at a time of increasing uncertainty and volatility for the world economy</w:t>
      </w:r>
      <w:r w:rsidRPr="007D1569">
        <w:t>.</w:t>
      </w:r>
      <w:r>
        <w:t xml:space="preserve"> </w:t>
      </w:r>
    </w:p>
    <w:p w14:paraId="0A708A05" w14:textId="13CD94D3" w:rsidR="00A972CD" w:rsidRPr="00A33F64" w:rsidRDefault="00A972CD" w:rsidP="00A972CD">
      <w:pPr>
        <w:pStyle w:val="BodyText"/>
        <w:rPr>
          <w:spacing w:val="-2"/>
        </w:rPr>
      </w:pPr>
      <w:r w:rsidRPr="00A33F64">
        <w:rPr>
          <w:spacing w:val="-2"/>
        </w:rPr>
        <w:t>Recent editions of the TAR have discussed the risks to global living standards resulting from the resurgence of ‘behind the border’ forms of industry assistance, strategic competition between major economies, supply chain disruptions during the COVID</w:t>
      </w:r>
      <w:r w:rsidR="00200862" w:rsidRPr="00A33F64">
        <w:rPr>
          <w:spacing w:val="-2"/>
        </w:rPr>
        <w:noBreakHyphen/>
      </w:r>
      <w:r w:rsidRPr="00A33F64">
        <w:rPr>
          <w:spacing w:val="-2"/>
        </w:rPr>
        <w:t>19 pandemic, and potential distortions from climate change policy responses.</w:t>
      </w:r>
    </w:p>
    <w:p w14:paraId="1A6B937F" w14:textId="092F2217" w:rsidR="00A972CD" w:rsidRDefault="00A972CD" w:rsidP="00A972CD">
      <w:pPr>
        <w:pStyle w:val="BodyText"/>
      </w:pPr>
      <w:r>
        <w:t>These trends have continued over the past year with one significant change: tariffs have re</w:t>
      </w:r>
      <w:r w:rsidR="00200862">
        <w:noBreakHyphen/>
      </w:r>
      <w:r>
        <w:t>emerged as a form of industry assistance in major economies, following actions by the United States. The United States’ announcement of wide</w:t>
      </w:r>
      <w:r w:rsidR="00200862">
        <w:noBreakHyphen/>
      </w:r>
      <w:r>
        <w:t xml:space="preserve">ranging tariffs </w:t>
      </w:r>
      <w:r w:rsidR="0046388A">
        <w:t>has</w:t>
      </w:r>
      <w:r>
        <w:t xml:space="preserve"> led to retaliatory measures from their targets and policy responses from affected countries including Australia. This TAR looks in detail at the effects of the introduction of tariffs and the associated global economic uncertainty for Australia, including modelling the likely magnitude and direction of the impacts.</w:t>
      </w:r>
    </w:p>
    <w:p w14:paraId="2C063306" w14:textId="77777777" w:rsidR="00A972CD" w:rsidRDefault="00A972CD" w:rsidP="00A972CD">
      <w:pPr>
        <w:pStyle w:val="BodyText"/>
        <w:rPr>
          <w:lang w:val="en-GB"/>
        </w:rPr>
      </w:pPr>
      <w:r>
        <w:t>One clear finding from our modelling of tariff scenarios is that Australia should not retaliate to tariffs imposed on Australian goods and services.</w:t>
      </w:r>
      <w:r w:rsidRPr="000E67AF">
        <w:t xml:space="preserve"> </w:t>
      </w:r>
      <w:r>
        <w:t xml:space="preserve">Increasing our direct barriers to trade and investment, even if in retaliation, would come at a cost. </w:t>
      </w:r>
    </w:p>
    <w:p w14:paraId="04E03663" w14:textId="444B0CD1" w:rsidR="00A972CD" w:rsidRPr="00E05111" w:rsidRDefault="00A972CD" w:rsidP="00A972CD">
      <w:pPr>
        <w:pStyle w:val="BodyText"/>
        <w:rPr>
          <w:spacing w:val="-4"/>
        </w:rPr>
      </w:pPr>
      <w:r w:rsidRPr="00E05111">
        <w:rPr>
          <w:spacing w:val="-4"/>
        </w:rPr>
        <w:t xml:space="preserve">Instead, tariff reform in Australia should focus on further reduction and removal of tariffs on imports, building on the Government’s previous action to remove around 500 nuisance tariffs. This TAR identifies </w:t>
      </w:r>
      <w:r w:rsidR="00CC292E" w:rsidRPr="00E05111">
        <w:rPr>
          <w:spacing w:val="-4"/>
        </w:rPr>
        <w:t>over 300</w:t>
      </w:r>
      <w:r w:rsidR="00A33F64" w:rsidRPr="00E05111">
        <w:rPr>
          <w:spacing w:val="-4"/>
        </w:rPr>
        <w:t> </w:t>
      </w:r>
      <w:r w:rsidRPr="00E05111">
        <w:rPr>
          <w:spacing w:val="-4"/>
        </w:rPr>
        <w:t xml:space="preserve">additional tariffs which impose a high </w:t>
      </w:r>
      <w:r w:rsidR="00E05111" w:rsidRPr="00E05111">
        <w:rPr>
          <w:spacing w:val="-4"/>
        </w:rPr>
        <w:t xml:space="preserve">indicative </w:t>
      </w:r>
      <w:r w:rsidRPr="00E05111">
        <w:rPr>
          <w:spacing w:val="-4"/>
        </w:rPr>
        <w:t xml:space="preserve">compliance burden and generate little policy or revenue benefit. </w:t>
      </w:r>
    </w:p>
    <w:p w14:paraId="28933933" w14:textId="0F050333" w:rsidR="00A972CD" w:rsidRDefault="00A972CD" w:rsidP="00A972CD">
      <w:pPr>
        <w:pStyle w:val="BodyText"/>
      </w:pPr>
      <w:r w:rsidRPr="00FB110A">
        <w:t xml:space="preserve">Despite developments in tariff policy, budgetary assistance remains the main form of industry assistance in Australia, with the </w:t>
      </w:r>
      <w:r>
        <w:t>G</w:t>
      </w:r>
      <w:r w:rsidRPr="00FB110A">
        <w:t>overnment’s Future Made in Australia agenda cementing this growing role. This</w:t>
      </w:r>
      <w:r w:rsidRPr="00FB110A" w:rsidDel="0013207D">
        <w:t xml:space="preserve"> </w:t>
      </w:r>
      <w:r>
        <w:t>mirrors</w:t>
      </w:r>
      <w:r w:rsidRPr="00FB110A">
        <w:t xml:space="preserve"> international practice seen in the European Green Deal, the Made</w:t>
      </w:r>
      <w:r w:rsidR="00F976B0">
        <w:t>-</w:t>
      </w:r>
      <w:r w:rsidRPr="00FB110A">
        <w:t>in</w:t>
      </w:r>
      <w:r w:rsidR="00F976B0">
        <w:t>-</w:t>
      </w:r>
      <w:r w:rsidRPr="00FB110A">
        <w:t>Canada plan</w:t>
      </w:r>
      <w:r>
        <w:t>, China’s industrial subsidy programs</w:t>
      </w:r>
      <w:r w:rsidRPr="00FB110A">
        <w:t xml:space="preserve"> and the </w:t>
      </w:r>
      <w:r>
        <w:t>Inflation</w:t>
      </w:r>
      <w:r w:rsidRPr="00FB110A">
        <w:t xml:space="preserve"> Reduction Act in the U</w:t>
      </w:r>
      <w:r w:rsidR="00BE08B1">
        <w:t xml:space="preserve">nited </w:t>
      </w:r>
      <w:r w:rsidRPr="00FB110A">
        <w:t>S</w:t>
      </w:r>
      <w:r w:rsidR="00BE08B1">
        <w:t>tates</w:t>
      </w:r>
      <w:r w:rsidRPr="00FB110A">
        <w:t>.</w:t>
      </w:r>
      <w:r w:rsidR="006A640A">
        <w:t xml:space="preserve"> </w:t>
      </w:r>
    </w:p>
    <w:p w14:paraId="33062D13" w14:textId="2315CDB4" w:rsidR="00A972CD" w:rsidRPr="00FB110A" w:rsidRDefault="00A972CD" w:rsidP="00A972CD">
      <w:pPr>
        <w:pStyle w:val="BodyText"/>
      </w:pPr>
      <w:r>
        <w:t>While well</w:t>
      </w:r>
      <w:r w:rsidR="00200862">
        <w:noBreakHyphen/>
      </w:r>
      <w:r>
        <w:t xml:space="preserve">designed </w:t>
      </w:r>
      <w:r w:rsidR="00447AD9">
        <w:t>industry</w:t>
      </w:r>
      <w:r>
        <w:t xml:space="preserve"> policy can offer benefits, when poorly designed it</w:t>
      </w:r>
      <w:r w:rsidRPr="00210BE6">
        <w:t xml:space="preserve"> can</w:t>
      </w:r>
      <w:r>
        <w:t xml:space="preserve"> </w:t>
      </w:r>
      <w:r w:rsidRPr="00210BE6">
        <w:t>be costly for governments, act as a form of trade protection and distort the allocation of Australia’s resources.</w:t>
      </w:r>
      <w:r>
        <w:t xml:space="preserve"> This underscores the critical need for transparency, as is delivered through the TAR, ongoing evaluation and review and clear exit strategies.</w:t>
      </w:r>
    </w:p>
    <w:p w14:paraId="0EFBF9B0" w14:textId="4DB80AA1" w:rsidR="00A972CD" w:rsidRDefault="00A972CD" w:rsidP="00A972CD">
      <w:pPr>
        <w:pStyle w:val="BodyText"/>
      </w:pPr>
      <w:r w:rsidRPr="00C90E2D">
        <w:t>This year</w:t>
      </w:r>
      <w:r>
        <w:t xml:space="preserve"> </w:t>
      </w:r>
      <w:r w:rsidRPr="00C90E2D">
        <w:t xml:space="preserve">marks 50 years since the introduction of the </w:t>
      </w:r>
      <w:r w:rsidRPr="00C90E2D">
        <w:rPr>
          <w:i/>
          <w:iCs/>
        </w:rPr>
        <w:t>Foreign Acquisition and Takeovers Act 1975</w:t>
      </w:r>
      <w:r w:rsidR="00BE08B1">
        <w:rPr>
          <w:i/>
          <w:iCs/>
        </w:rPr>
        <w:t xml:space="preserve"> </w:t>
      </w:r>
      <w:r w:rsidR="00BE08B1">
        <w:t>(Cth)</w:t>
      </w:r>
      <w:r w:rsidRPr="00C90E2D">
        <w:t>, which provides an opportunity to look in more detail at regulatory trends over this period. As a small open economy, foreign investment is vital to assist in driving economic growth and productivity enhancements.</w:t>
      </w:r>
      <w:r>
        <w:t xml:space="preserve"> </w:t>
      </w:r>
    </w:p>
    <w:p w14:paraId="73A688DC" w14:textId="77777777" w:rsidR="00A972CD" w:rsidRDefault="00A972CD" w:rsidP="00B51592">
      <w:pPr>
        <w:pStyle w:val="BodyText"/>
        <w:spacing w:after="480"/>
      </w:pPr>
      <w:r>
        <w:t>We would</w:t>
      </w:r>
      <w:r w:rsidDel="00C1764D">
        <w:t xml:space="preserve"> </w:t>
      </w:r>
      <w:r>
        <w:t>like to take this opportunity to thank the many government agencies that provided advice and data to assist us in developing this year’s TAR.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14"/>
        <w:gridCol w:w="4814"/>
      </w:tblGrid>
      <w:tr w:rsidR="00194FFD" w14:paraId="46A32B5C" w14:textId="77777777" w:rsidTr="00F60C6A">
        <w:tc>
          <w:tcPr>
            <w:tcW w:w="4814" w:type="dxa"/>
          </w:tcPr>
          <w:p w14:paraId="4CAA835A" w14:textId="77777777" w:rsidR="00194FFD" w:rsidRDefault="00194FFD" w:rsidP="00194FFD">
            <w:pPr>
              <w:pStyle w:val="BodyText"/>
              <w:contextualSpacing/>
              <w:rPr>
                <w:b/>
                <w:bCs/>
              </w:rPr>
            </w:pPr>
            <w:r w:rsidRPr="00B97160">
              <w:rPr>
                <w:b/>
                <w:bCs/>
              </w:rPr>
              <w:t>Alex Robson</w:t>
            </w:r>
          </w:p>
          <w:p w14:paraId="72E97C24" w14:textId="45D57DCB" w:rsidR="00194FFD" w:rsidRDefault="00194FFD" w:rsidP="00A972CD">
            <w:pPr>
              <w:pStyle w:val="BodyText"/>
            </w:pPr>
            <w:r>
              <w:t>Deputy Chair</w:t>
            </w:r>
          </w:p>
        </w:tc>
        <w:tc>
          <w:tcPr>
            <w:tcW w:w="4814" w:type="dxa"/>
          </w:tcPr>
          <w:p w14:paraId="7366D187" w14:textId="77777777" w:rsidR="00194FFD" w:rsidRDefault="00194FFD" w:rsidP="00F60C6A">
            <w:pPr>
              <w:pStyle w:val="BodyText"/>
              <w:contextualSpacing/>
              <w:rPr>
                <w:b/>
                <w:bCs/>
              </w:rPr>
            </w:pPr>
            <w:r w:rsidRPr="00B97160">
              <w:rPr>
                <w:b/>
                <w:bCs/>
              </w:rPr>
              <w:t>Catherine de Fontenay</w:t>
            </w:r>
          </w:p>
          <w:p w14:paraId="024C5D47" w14:textId="3B19CA14" w:rsidR="00194FFD" w:rsidRDefault="00194FFD" w:rsidP="00A972CD">
            <w:pPr>
              <w:pStyle w:val="BodyText"/>
            </w:pPr>
            <w:r>
              <w:t>Commissioner</w:t>
            </w:r>
          </w:p>
        </w:tc>
      </w:tr>
    </w:tbl>
    <w:p w14:paraId="4D63D1CE" w14:textId="6D6C2000" w:rsidR="00EE0416" w:rsidRDefault="00AC34A5" w:rsidP="008B2D8E">
      <w:pPr>
        <w:pStyle w:val="BodyText"/>
        <w:spacing w:before="240"/>
      </w:pPr>
      <w:r>
        <w:t>July 2025</w:t>
      </w:r>
    </w:p>
    <w:p w14:paraId="522EA737" w14:textId="77777777" w:rsidR="001F5BBB" w:rsidRDefault="001F5BBB" w:rsidP="008B2D8E">
      <w:pPr>
        <w:pStyle w:val="BodyText"/>
        <w:spacing w:before="240"/>
        <w:sectPr w:rsidR="001F5BBB" w:rsidSect="00623B58">
          <w:headerReference w:type="even" r:id="rId27"/>
          <w:headerReference w:type="default" r:id="rId28"/>
          <w:footerReference w:type="even" r:id="rId29"/>
          <w:footerReference w:type="default" r:id="rId30"/>
          <w:headerReference w:type="first" r:id="rId31"/>
          <w:type w:val="oddPage"/>
          <w:pgSz w:w="11906" w:h="16838" w:code="9"/>
          <w:pgMar w:top="1134" w:right="1134" w:bottom="1134" w:left="1134" w:header="794" w:footer="510" w:gutter="0"/>
          <w:pgNumType w:fmt="lowerRoman" w:start="2"/>
          <w:cols w:space="708"/>
          <w:docGrid w:linePitch="360"/>
        </w:sectPr>
      </w:pPr>
    </w:p>
    <w:p w14:paraId="6DEAFEC6" w14:textId="77777777" w:rsidR="007148C7" w:rsidRDefault="007148C7" w:rsidP="008B2D8E">
      <w:pPr>
        <w:pStyle w:val="BodyText"/>
        <w:spacing w:before="240"/>
      </w:pPr>
    </w:p>
    <w:p w14:paraId="46AFA7C3" w14:textId="77777777" w:rsidR="007148C7" w:rsidRDefault="007148C7" w:rsidP="008B2D8E">
      <w:pPr>
        <w:pStyle w:val="BodyText"/>
        <w:spacing w:before="240"/>
      </w:pPr>
    </w:p>
    <w:p w14:paraId="5D6364BA" w14:textId="77777777" w:rsidR="00EE0416" w:rsidRDefault="00EE0416">
      <w:pPr>
        <w:spacing w:before="0" w:after="160" w:line="259" w:lineRule="auto"/>
        <w:sectPr w:rsidR="00EE0416" w:rsidSect="001F5BBB">
          <w:headerReference w:type="even" r:id="rId32"/>
          <w:pgSz w:w="11906" w:h="16838" w:code="9"/>
          <w:pgMar w:top="1134" w:right="1134" w:bottom="1134" w:left="1134" w:header="794" w:footer="510" w:gutter="0"/>
          <w:pgNumType w:fmt="lowerRoman" w:start="2"/>
          <w:cols w:space="708"/>
          <w:docGrid w:linePitch="360"/>
        </w:sectPr>
      </w:pPr>
    </w:p>
    <w:p w14:paraId="07842F45" w14:textId="273F83BB" w:rsidR="00EE0416" w:rsidRDefault="00EE0416" w:rsidP="001A3709">
      <w:pPr>
        <w:pStyle w:val="Heading1-nobackground"/>
      </w:pPr>
      <w:bookmarkStart w:id="1" w:name="_Toc201668754"/>
      <w:bookmarkStart w:id="2" w:name="_Toc201748029"/>
      <w:bookmarkStart w:id="3" w:name="_Toc201838653"/>
      <w:bookmarkStart w:id="4" w:name="_Toc201838866"/>
      <w:bookmarkStart w:id="5" w:name="_Toc201840903"/>
      <w:bookmarkStart w:id="6" w:name="_Toc201846586"/>
      <w:bookmarkStart w:id="7" w:name="_Toc201847388"/>
      <w:bookmarkStart w:id="8" w:name="_Toc201848343"/>
      <w:bookmarkStart w:id="9" w:name="_Toc201848848"/>
      <w:bookmarkStart w:id="10" w:name="_Toc201849305"/>
      <w:bookmarkStart w:id="11" w:name="_Toc201850474"/>
      <w:bookmarkStart w:id="12" w:name="_Toc201850532"/>
      <w:bookmarkStart w:id="13" w:name="_Toc201850810"/>
      <w:bookmarkStart w:id="14" w:name="_Toc201850931"/>
      <w:bookmarkStart w:id="15" w:name="_Toc201851095"/>
      <w:bookmarkStart w:id="16" w:name="_Toc201909647"/>
      <w:bookmarkStart w:id="17" w:name="_Toc202477757"/>
      <w:bookmarkStart w:id="18" w:name="_Toc202477843"/>
      <w:r w:rsidRPr="00EE0416">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235AC96D" w14:textId="420BBFE9" w:rsidR="00B75DAB" w:rsidRDefault="00B036A0">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B75DAB">
        <w:rPr>
          <w:noProof/>
        </w:rPr>
        <w:t>Foreword</w:t>
      </w:r>
      <w:r w:rsidR="00B75DAB">
        <w:rPr>
          <w:noProof/>
          <w:webHidden/>
        </w:rPr>
        <w:tab/>
      </w:r>
      <w:r w:rsidR="00B75DAB">
        <w:rPr>
          <w:noProof/>
          <w:webHidden/>
        </w:rPr>
        <w:fldChar w:fldCharType="begin"/>
      </w:r>
      <w:r w:rsidR="00B75DAB">
        <w:rPr>
          <w:noProof/>
          <w:webHidden/>
        </w:rPr>
        <w:instrText xml:space="preserve"> PAGEREF _Toc202477842 \h </w:instrText>
      </w:r>
      <w:r w:rsidR="00B75DAB">
        <w:rPr>
          <w:noProof/>
          <w:webHidden/>
        </w:rPr>
      </w:r>
      <w:r w:rsidR="00B75DAB">
        <w:rPr>
          <w:noProof/>
          <w:webHidden/>
        </w:rPr>
        <w:fldChar w:fldCharType="separate"/>
      </w:r>
      <w:r w:rsidR="004A080B">
        <w:rPr>
          <w:noProof/>
          <w:webHidden/>
        </w:rPr>
        <w:t>iii</w:t>
      </w:r>
      <w:r w:rsidR="00B75DAB">
        <w:rPr>
          <w:noProof/>
          <w:webHidden/>
        </w:rPr>
        <w:fldChar w:fldCharType="end"/>
      </w:r>
    </w:p>
    <w:p w14:paraId="06424230" w14:textId="1B6E8A7B"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_Toc202477844 \h </w:instrText>
      </w:r>
      <w:r>
        <w:rPr>
          <w:noProof/>
          <w:webHidden/>
        </w:rPr>
      </w:r>
      <w:r>
        <w:rPr>
          <w:noProof/>
          <w:webHidden/>
        </w:rPr>
        <w:fldChar w:fldCharType="separate"/>
      </w:r>
      <w:r w:rsidR="004A080B">
        <w:rPr>
          <w:noProof/>
          <w:webHidden/>
        </w:rPr>
        <w:t>1</w:t>
      </w:r>
      <w:r>
        <w:rPr>
          <w:noProof/>
          <w:webHidden/>
        </w:rPr>
        <w:fldChar w:fldCharType="end"/>
      </w:r>
    </w:p>
    <w:p w14:paraId="36F1D52C" w14:textId="2FF26C61"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International trade policy developments</w:t>
      </w:r>
      <w:r>
        <w:rPr>
          <w:noProof/>
          <w:webHidden/>
        </w:rPr>
        <w:tab/>
      </w:r>
      <w:r>
        <w:rPr>
          <w:noProof/>
          <w:webHidden/>
        </w:rPr>
        <w:fldChar w:fldCharType="begin"/>
      </w:r>
      <w:r>
        <w:rPr>
          <w:noProof/>
          <w:webHidden/>
        </w:rPr>
        <w:instrText xml:space="preserve"> PAGEREF _Toc202477845 \h </w:instrText>
      </w:r>
      <w:r>
        <w:rPr>
          <w:noProof/>
          <w:webHidden/>
        </w:rPr>
      </w:r>
      <w:r>
        <w:rPr>
          <w:noProof/>
          <w:webHidden/>
        </w:rPr>
        <w:fldChar w:fldCharType="separate"/>
      </w:r>
      <w:r w:rsidR="004A080B">
        <w:rPr>
          <w:noProof/>
          <w:webHidden/>
        </w:rPr>
        <w:t>5</w:t>
      </w:r>
      <w:r>
        <w:rPr>
          <w:noProof/>
          <w:webHidden/>
        </w:rPr>
        <w:fldChar w:fldCharType="end"/>
      </w:r>
    </w:p>
    <w:p w14:paraId="768BD97D" w14:textId="34DC3590" w:rsidR="00B75DAB" w:rsidRDefault="00B75DAB">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The international trade environment has deteriorated</w:t>
      </w:r>
      <w:r>
        <w:rPr>
          <w:webHidden/>
        </w:rPr>
        <w:tab/>
      </w:r>
      <w:r>
        <w:rPr>
          <w:webHidden/>
        </w:rPr>
        <w:fldChar w:fldCharType="begin"/>
      </w:r>
      <w:r>
        <w:rPr>
          <w:webHidden/>
        </w:rPr>
        <w:instrText xml:space="preserve"> PAGEREF _Toc202477846 \h </w:instrText>
      </w:r>
      <w:r>
        <w:rPr>
          <w:webHidden/>
        </w:rPr>
      </w:r>
      <w:r>
        <w:rPr>
          <w:webHidden/>
        </w:rPr>
        <w:fldChar w:fldCharType="separate"/>
      </w:r>
      <w:r w:rsidR="004A080B">
        <w:rPr>
          <w:webHidden/>
        </w:rPr>
        <w:t>6</w:t>
      </w:r>
      <w:r>
        <w:rPr>
          <w:webHidden/>
        </w:rPr>
        <w:fldChar w:fldCharType="end"/>
      </w:r>
    </w:p>
    <w:p w14:paraId="6E238ED0" w14:textId="31769947" w:rsidR="00B75DAB" w:rsidRDefault="00B75DAB">
      <w:pPr>
        <w:pStyle w:val="TOC2"/>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Growing uncertainty will have negative consequences of its own</w:t>
      </w:r>
      <w:r>
        <w:rPr>
          <w:webHidden/>
        </w:rPr>
        <w:tab/>
      </w:r>
      <w:r>
        <w:rPr>
          <w:webHidden/>
        </w:rPr>
        <w:fldChar w:fldCharType="begin"/>
      </w:r>
      <w:r>
        <w:rPr>
          <w:webHidden/>
        </w:rPr>
        <w:instrText xml:space="preserve"> PAGEREF _Toc202477847 \h </w:instrText>
      </w:r>
      <w:r>
        <w:rPr>
          <w:webHidden/>
        </w:rPr>
      </w:r>
      <w:r>
        <w:rPr>
          <w:webHidden/>
        </w:rPr>
        <w:fldChar w:fldCharType="separate"/>
      </w:r>
      <w:r w:rsidR="004A080B">
        <w:rPr>
          <w:webHidden/>
        </w:rPr>
        <w:t>12</w:t>
      </w:r>
      <w:r>
        <w:rPr>
          <w:webHidden/>
        </w:rPr>
        <w:fldChar w:fldCharType="end"/>
      </w:r>
    </w:p>
    <w:p w14:paraId="652AABE2" w14:textId="7715D326"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Australian trade policy developments</w:t>
      </w:r>
      <w:r>
        <w:rPr>
          <w:noProof/>
          <w:webHidden/>
        </w:rPr>
        <w:tab/>
      </w:r>
      <w:r>
        <w:rPr>
          <w:noProof/>
          <w:webHidden/>
        </w:rPr>
        <w:fldChar w:fldCharType="begin"/>
      </w:r>
      <w:r>
        <w:rPr>
          <w:noProof/>
          <w:webHidden/>
        </w:rPr>
        <w:instrText xml:space="preserve"> PAGEREF _Toc202477848 \h </w:instrText>
      </w:r>
      <w:r>
        <w:rPr>
          <w:noProof/>
          <w:webHidden/>
        </w:rPr>
      </w:r>
      <w:r>
        <w:rPr>
          <w:noProof/>
          <w:webHidden/>
        </w:rPr>
        <w:fldChar w:fldCharType="separate"/>
      </w:r>
      <w:r w:rsidR="004A080B">
        <w:rPr>
          <w:noProof/>
          <w:webHidden/>
        </w:rPr>
        <w:t>17</w:t>
      </w:r>
      <w:r>
        <w:rPr>
          <w:noProof/>
          <w:webHidden/>
        </w:rPr>
        <w:fldChar w:fldCharType="end"/>
      </w:r>
    </w:p>
    <w:p w14:paraId="3110F3B7" w14:textId="3D9B5C99" w:rsidR="00B75DAB" w:rsidRDefault="00B75DAB">
      <w:pPr>
        <w:pStyle w:val="TOC2"/>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Australia has a long history of trade liberalisation</w:t>
      </w:r>
      <w:r>
        <w:rPr>
          <w:webHidden/>
        </w:rPr>
        <w:tab/>
      </w:r>
      <w:r>
        <w:rPr>
          <w:webHidden/>
        </w:rPr>
        <w:fldChar w:fldCharType="begin"/>
      </w:r>
      <w:r>
        <w:rPr>
          <w:webHidden/>
        </w:rPr>
        <w:instrText xml:space="preserve"> PAGEREF _Toc202477849 \h </w:instrText>
      </w:r>
      <w:r>
        <w:rPr>
          <w:webHidden/>
        </w:rPr>
      </w:r>
      <w:r>
        <w:rPr>
          <w:webHidden/>
        </w:rPr>
        <w:fldChar w:fldCharType="separate"/>
      </w:r>
      <w:r w:rsidR="004A080B">
        <w:rPr>
          <w:webHidden/>
        </w:rPr>
        <w:t>18</w:t>
      </w:r>
      <w:r>
        <w:rPr>
          <w:webHidden/>
        </w:rPr>
        <w:fldChar w:fldCharType="end"/>
      </w:r>
    </w:p>
    <w:p w14:paraId="72627B8F" w14:textId="7E73520C" w:rsidR="00B75DAB" w:rsidRDefault="00B75DAB">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Australia’s trade agreements, disputes and relationships</w:t>
      </w:r>
      <w:r>
        <w:rPr>
          <w:webHidden/>
        </w:rPr>
        <w:tab/>
      </w:r>
      <w:r>
        <w:rPr>
          <w:webHidden/>
        </w:rPr>
        <w:fldChar w:fldCharType="begin"/>
      </w:r>
      <w:r>
        <w:rPr>
          <w:webHidden/>
        </w:rPr>
        <w:instrText xml:space="preserve"> PAGEREF _Toc202477850 \h </w:instrText>
      </w:r>
      <w:r>
        <w:rPr>
          <w:webHidden/>
        </w:rPr>
      </w:r>
      <w:r>
        <w:rPr>
          <w:webHidden/>
        </w:rPr>
        <w:fldChar w:fldCharType="separate"/>
      </w:r>
      <w:r w:rsidR="004A080B">
        <w:rPr>
          <w:webHidden/>
        </w:rPr>
        <w:t>19</w:t>
      </w:r>
      <w:r>
        <w:rPr>
          <w:webHidden/>
        </w:rPr>
        <w:fldChar w:fldCharType="end"/>
      </w:r>
    </w:p>
    <w:p w14:paraId="472B131C" w14:textId="3AEB8F21" w:rsidR="00B75DAB" w:rsidRDefault="00B75DAB">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Australia continues to have many nuisance tariffs</w:t>
      </w:r>
      <w:r>
        <w:rPr>
          <w:webHidden/>
        </w:rPr>
        <w:tab/>
      </w:r>
      <w:r>
        <w:rPr>
          <w:webHidden/>
        </w:rPr>
        <w:fldChar w:fldCharType="begin"/>
      </w:r>
      <w:r>
        <w:rPr>
          <w:webHidden/>
        </w:rPr>
        <w:instrText xml:space="preserve"> PAGEREF _Toc202477851 \h </w:instrText>
      </w:r>
      <w:r>
        <w:rPr>
          <w:webHidden/>
        </w:rPr>
      </w:r>
      <w:r>
        <w:rPr>
          <w:webHidden/>
        </w:rPr>
        <w:fldChar w:fldCharType="separate"/>
      </w:r>
      <w:r w:rsidR="004A080B">
        <w:rPr>
          <w:webHidden/>
        </w:rPr>
        <w:t>21</w:t>
      </w:r>
      <w:r>
        <w:rPr>
          <w:webHidden/>
        </w:rPr>
        <w:fldChar w:fldCharType="end"/>
      </w:r>
    </w:p>
    <w:p w14:paraId="5A89043E" w14:textId="6E51DEF5" w:rsidR="00B75DAB" w:rsidRDefault="00B75DAB">
      <w:pPr>
        <w:pStyle w:val="TOC2"/>
        <w:rPr>
          <w:rFonts w:eastAsiaTheme="minorEastAsia"/>
          <w:kern w:val="2"/>
          <w:sz w:val="24"/>
          <w:szCs w:val="24"/>
          <w:lang w:eastAsia="en-AU"/>
          <w14:ligatures w14:val="standardContextual"/>
        </w:rPr>
      </w:pPr>
      <w:r>
        <w:t>2.4</w:t>
      </w:r>
      <w:r>
        <w:rPr>
          <w:rFonts w:eastAsiaTheme="minorEastAsia"/>
          <w:kern w:val="2"/>
          <w:sz w:val="24"/>
          <w:szCs w:val="24"/>
          <w:lang w:eastAsia="en-AU"/>
          <w14:ligatures w14:val="standardContextual"/>
        </w:rPr>
        <w:tab/>
      </w:r>
      <w:r>
        <w:t>Prospects for further unilateral trade liberalisation</w:t>
      </w:r>
      <w:r>
        <w:rPr>
          <w:webHidden/>
        </w:rPr>
        <w:tab/>
      </w:r>
      <w:r>
        <w:rPr>
          <w:webHidden/>
        </w:rPr>
        <w:fldChar w:fldCharType="begin"/>
      </w:r>
      <w:r>
        <w:rPr>
          <w:webHidden/>
        </w:rPr>
        <w:instrText xml:space="preserve"> PAGEREF _Toc202477852 \h </w:instrText>
      </w:r>
      <w:r>
        <w:rPr>
          <w:webHidden/>
        </w:rPr>
      </w:r>
      <w:r>
        <w:rPr>
          <w:webHidden/>
        </w:rPr>
        <w:fldChar w:fldCharType="separate"/>
      </w:r>
      <w:r w:rsidR="004A080B">
        <w:rPr>
          <w:webHidden/>
        </w:rPr>
        <w:t>23</w:t>
      </w:r>
      <w:r>
        <w:rPr>
          <w:webHidden/>
        </w:rPr>
        <w:fldChar w:fldCharType="end"/>
      </w:r>
    </w:p>
    <w:p w14:paraId="5574AE04" w14:textId="0B5C6FF5"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Australian industry assistance developments</w:t>
      </w:r>
      <w:r>
        <w:rPr>
          <w:noProof/>
          <w:webHidden/>
        </w:rPr>
        <w:tab/>
      </w:r>
      <w:r>
        <w:rPr>
          <w:noProof/>
          <w:webHidden/>
        </w:rPr>
        <w:fldChar w:fldCharType="begin"/>
      </w:r>
      <w:r>
        <w:rPr>
          <w:noProof/>
          <w:webHidden/>
        </w:rPr>
        <w:instrText xml:space="preserve"> PAGEREF _Toc202477853 \h </w:instrText>
      </w:r>
      <w:r>
        <w:rPr>
          <w:noProof/>
          <w:webHidden/>
        </w:rPr>
      </w:r>
      <w:r>
        <w:rPr>
          <w:noProof/>
          <w:webHidden/>
        </w:rPr>
        <w:fldChar w:fldCharType="separate"/>
      </w:r>
      <w:r w:rsidR="004A080B">
        <w:rPr>
          <w:noProof/>
          <w:webHidden/>
        </w:rPr>
        <w:t>31</w:t>
      </w:r>
      <w:r>
        <w:rPr>
          <w:noProof/>
          <w:webHidden/>
        </w:rPr>
        <w:fldChar w:fldCharType="end"/>
      </w:r>
    </w:p>
    <w:p w14:paraId="7844B414" w14:textId="4C85C728" w:rsidR="00B75DAB" w:rsidRDefault="00B75DAB">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Future Made in Australia’s rationale and risks</w:t>
      </w:r>
      <w:r>
        <w:rPr>
          <w:webHidden/>
        </w:rPr>
        <w:tab/>
      </w:r>
      <w:r>
        <w:rPr>
          <w:webHidden/>
        </w:rPr>
        <w:fldChar w:fldCharType="begin"/>
      </w:r>
      <w:r>
        <w:rPr>
          <w:webHidden/>
        </w:rPr>
        <w:instrText xml:space="preserve"> PAGEREF _Toc202477854 \h </w:instrText>
      </w:r>
      <w:r>
        <w:rPr>
          <w:webHidden/>
        </w:rPr>
      </w:r>
      <w:r>
        <w:rPr>
          <w:webHidden/>
        </w:rPr>
        <w:fldChar w:fldCharType="separate"/>
      </w:r>
      <w:r w:rsidR="004A080B">
        <w:rPr>
          <w:webHidden/>
        </w:rPr>
        <w:t>32</w:t>
      </w:r>
      <w:r>
        <w:rPr>
          <w:webHidden/>
        </w:rPr>
        <w:fldChar w:fldCharType="end"/>
      </w:r>
    </w:p>
    <w:p w14:paraId="7EBD614B" w14:textId="0FE93A53" w:rsidR="00B75DAB" w:rsidRDefault="00B75DAB">
      <w:pPr>
        <w:pStyle w:val="TOC2"/>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Decomposing FMIA’s spending profile</w:t>
      </w:r>
      <w:r>
        <w:rPr>
          <w:webHidden/>
        </w:rPr>
        <w:tab/>
      </w:r>
      <w:r>
        <w:rPr>
          <w:webHidden/>
        </w:rPr>
        <w:fldChar w:fldCharType="begin"/>
      </w:r>
      <w:r>
        <w:rPr>
          <w:webHidden/>
        </w:rPr>
        <w:instrText xml:space="preserve"> PAGEREF _Toc202477855 \h </w:instrText>
      </w:r>
      <w:r>
        <w:rPr>
          <w:webHidden/>
        </w:rPr>
      </w:r>
      <w:r>
        <w:rPr>
          <w:webHidden/>
        </w:rPr>
        <w:fldChar w:fldCharType="separate"/>
      </w:r>
      <w:r w:rsidR="004A080B">
        <w:rPr>
          <w:webHidden/>
        </w:rPr>
        <w:t>36</w:t>
      </w:r>
      <w:r>
        <w:rPr>
          <w:webHidden/>
        </w:rPr>
        <w:fldChar w:fldCharType="end"/>
      </w:r>
    </w:p>
    <w:p w14:paraId="424A682B" w14:textId="2235757D"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4.</w:t>
      </w:r>
      <w:r>
        <w:rPr>
          <w:rFonts w:asciiTheme="minorHAnsi" w:eastAsiaTheme="minorEastAsia" w:hAnsiTheme="minorHAnsi"/>
          <w:noProof/>
          <w:color w:val="auto"/>
          <w:kern w:val="2"/>
          <w:sz w:val="24"/>
          <w:szCs w:val="24"/>
          <w:lang w:eastAsia="en-AU"/>
          <w14:ligatures w14:val="standardContextual"/>
        </w:rPr>
        <w:tab/>
      </w:r>
      <w:r>
        <w:rPr>
          <w:noProof/>
        </w:rPr>
        <w:t>Australian industry assistance estimates for 2023-24</w:t>
      </w:r>
      <w:r>
        <w:rPr>
          <w:noProof/>
          <w:webHidden/>
        </w:rPr>
        <w:tab/>
      </w:r>
      <w:r>
        <w:rPr>
          <w:noProof/>
          <w:webHidden/>
        </w:rPr>
        <w:fldChar w:fldCharType="begin"/>
      </w:r>
      <w:r>
        <w:rPr>
          <w:noProof/>
          <w:webHidden/>
        </w:rPr>
        <w:instrText xml:space="preserve"> PAGEREF _Toc202477856 \h </w:instrText>
      </w:r>
      <w:r>
        <w:rPr>
          <w:noProof/>
          <w:webHidden/>
        </w:rPr>
      </w:r>
      <w:r>
        <w:rPr>
          <w:noProof/>
          <w:webHidden/>
        </w:rPr>
        <w:fldChar w:fldCharType="separate"/>
      </w:r>
      <w:r w:rsidR="004A080B">
        <w:rPr>
          <w:noProof/>
          <w:webHidden/>
        </w:rPr>
        <w:t>41</w:t>
      </w:r>
      <w:r>
        <w:rPr>
          <w:noProof/>
          <w:webHidden/>
        </w:rPr>
        <w:fldChar w:fldCharType="end"/>
      </w:r>
    </w:p>
    <w:p w14:paraId="3B8AFF15" w14:textId="43947799" w:rsidR="00B75DAB" w:rsidRDefault="00B75DAB">
      <w:pPr>
        <w:pStyle w:val="TOC2"/>
        <w:rPr>
          <w:rFonts w:eastAsiaTheme="minorEastAsia"/>
          <w:kern w:val="2"/>
          <w:sz w:val="24"/>
          <w:szCs w:val="24"/>
          <w:lang w:eastAsia="en-AU"/>
          <w14:ligatures w14:val="standardContextual"/>
        </w:rPr>
      </w:pPr>
      <w:r>
        <w:t>4.1</w:t>
      </w:r>
      <w:r>
        <w:rPr>
          <w:rFonts w:eastAsiaTheme="minorEastAsia"/>
          <w:kern w:val="2"/>
          <w:sz w:val="24"/>
          <w:szCs w:val="24"/>
          <w:lang w:eastAsia="en-AU"/>
          <w14:ligatures w14:val="standardContextual"/>
        </w:rPr>
        <w:tab/>
      </w:r>
      <w:r>
        <w:t>A look at budgetary assistance in 2023-24</w:t>
      </w:r>
      <w:r>
        <w:rPr>
          <w:webHidden/>
        </w:rPr>
        <w:tab/>
      </w:r>
      <w:r>
        <w:rPr>
          <w:webHidden/>
        </w:rPr>
        <w:fldChar w:fldCharType="begin"/>
      </w:r>
      <w:r>
        <w:rPr>
          <w:webHidden/>
        </w:rPr>
        <w:instrText xml:space="preserve"> PAGEREF _Toc202477857 \h </w:instrText>
      </w:r>
      <w:r>
        <w:rPr>
          <w:webHidden/>
        </w:rPr>
      </w:r>
      <w:r>
        <w:rPr>
          <w:webHidden/>
        </w:rPr>
        <w:fldChar w:fldCharType="separate"/>
      </w:r>
      <w:r w:rsidR="004A080B">
        <w:rPr>
          <w:webHidden/>
        </w:rPr>
        <w:t>42</w:t>
      </w:r>
      <w:r>
        <w:rPr>
          <w:webHidden/>
        </w:rPr>
        <w:fldChar w:fldCharType="end"/>
      </w:r>
    </w:p>
    <w:p w14:paraId="5E688AB7" w14:textId="392A10E4" w:rsidR="00B75DAB" w:rsidRDefault="00B75DAB">
      <w:pPr>
        <w:pStyle w:val="TOC2"/>
        <w:rPr>
          <w:rFonts w:eastAsiaTheme="minorEastAsia"/>
          <w:kern w:val="2"/>
          <w:sz w:val="24"/>
          <w:szCs w:val="24"/>
          <w:lang w:eastAsia="en-AU"/>
          <w14:ligatures w14:val="standardContextual"/>
        </w:rPr>
      </w:pPr>
      <w:r>
        <w:t>4.2</w:t>
      </w:r>
      <w:r>
        <w:rPr>
          <w:rFonts w:eastAsiaTheme="minorEastAsia"/>
          <w:kern w:val="2"/>
          <w:sz w:val="24"/>
          <w:szCs w:val="24"/>
          <w:lang w:eastAsia="en-AU"/>
          <w14:ligatures w14:val="standardContextual"/>
        </w:rPr>
        <w:tab/>
      </w:r>
      <w:r>
        <w:t>A look at concessional finance in 2023-24</w:t>
      </w:r>
      <w:r>
        <w:rPr>
          <w:webHidden/>
        </w:rPr>
        <w:tab/>
      </w:r>
      <w:r>
        <w:rPr>
          <w:webHidden/>
        </w:rPr>
        <w:fldChar w:fldCharType="begin"/>
      </w:r>
      <w:r>
        <w:rPr>
          <w:webHidden/>
        </w:rPr>
        <w:instrText xml:space="preserve"> PAGEREF _Toc202477858 \h </w:instrText>
      </w:r>
      <w:r>
        <w:rPr>
          <w:webHidden/>
        </w:rPr>
      </w:r>
      <w:r>
        <w:rPr>
          <w:webHidden/>
        </w:rPr>
        <w:fldChar w:fldCharType="separate"/>
      </w:r>
      <w:r w:rsidR="004A080B">
        <w:rPr>
          <w:webHidden/>
        </w:rPr>
        <w:t>52</w:t>
      </w:r>
      <w:r>
        <w:rPr>
          <w:webHidden/>
        </w:rPr>
        <w:fldChar w:fldCharType="end"/>
      </w:r>
    </w:p>
    <w:p w14:paraId="6B9E7042" w14:textId="5719653D"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5.</w:t>
      </w:r>
      <w:r>
        <w:rPr>
          <w:rFonts w:asciiTheme="minorHAnsi" w:eastAsiaTheme="minorEastAsia" w:hAnsiTheme="minorHAnsi"/>
          <w:noProof/>
          <w:color w:val="auto"/>
          <w:kern w:val="2"/>
          <w:sz w:val="24"/>
          <w:szCs w:val="24"/>
          <w:lang w:eastAsia="en-AU"/>
          <w14:ligatures w14:val="standardContextual"/>
        </w:rPr>
        <w:tab/>
      </w:r>
      <w:r>
        <w:rPr>
          <w:noProof/>
        </w:rPr>
        <w:t>Australian foreign investment policy developments</w:t>
      </w:r>
      <w:r>
        <w:rPr>
          <w:noProof/>
          <w:webHidden/>
        </w:rPr>
        <w:tab/>
      </w:r>
      <w:r>
        <w:rPr>
          <w:noProof/>
          <w:webHidden/>
        </w:rPr>
        <w:fldChar w:fldCharType="begin"/>
      </w:r>
      <w:r>
        <w:rPr>
          <w:noProof/>
          <w:webHidden/>
        </w:rPr>
        <w:instrText xml:space="preserve"> PAGEREF _Toc202477859 \h </w:instrText>
      </w:r>
      <w:r>
        <w:rPr>
          <w:noProof/>
          <w:webHidden/>
        </w:rPr>
      </w:r>
      <w:r>
        <w:rPr>
          <w:noProof/>
          <w:webHidden/>
        </w:rPr>
        <w:fldChar w:fldCharType="separate"/>
      </w:r>
      <w:r w:rsidR="004A080B">
        <w:rPr>
          <w:noProof/>
          <w:webHidden/>
        </w:rPr>
        <w:t>57</w:t>
      </w:r>
      <w:r>
        <w:rPr>
          <w:noProof/>
          <w:webHidden/>
        </w:rPr>
        <w:fldChar w:fldCharType="end"/>
      </w:r>
    </w:p>
    <w:p w14:paraId="384595C1" w14:textId="349E14E5" w:rsidR="00B75DAB" w:rsidRDefault="00B75DAB">
      <w:pPr>
        <w:pStyle w:val="TOC2"/>
        <w:rPr>
          <w:rFonts w:eastAsiaTheme="minorEastAsia"/>
          <w:kern w:val="2"/>
          <w:sz w:val="24"/>
          <w:szCs w:val="24"/>
          <w:lang w:eastAsia="en-AU"/>
          <w14:ligatures w14:val="standardContextual"/>
        </w:rPr>
      </w:pPr>
      <w:r>
        <w:t>5.1</w:t>
      </w:r>
      <w:r>
        <w:rPr>
          <w:rFonts w:eastAsiaTheme="minorEastAsia"/>
          <w:kern w:val="2"/>
          <w:sz w:val="24"/>
          <w:szCs w:val="24"/>
          <w:lang w:eastAsia="en-AU"/>
          <w14:ligatures w14:val="standardContextual"/>
        </w:rPr>
        <w:tab/>
      </w:r>
      <w:r>
        <w:t>Changes to foreign investment policy</w:t>
      </w:r>
      <w:r>
        <w:rPr>
          <w:webHidden/>
        </w:rPr>
        <w:tab/>
      </w:r>
      <w:r>
        <w:rPr>
          <w:webHidden/>
        </w:rPr>
        <w:fldChar w:fldCharType="begin"/>
      </w:r>
      <w:r>
        <w:rPr>
          <w:webHidden/>
        </w:rPr>
        <w:instrText xml:space="preserve"> PAGEREF _Toc202477860 \h </w:instrText>
      </w:r>
      <w:r>
        <w:rPr>
          <w:webHidden/>
        </w:rPr>
      </w:r>
      <w:r>
        <w:rPr>
          <w:webHidden/>
        </w:rPr>
        <w:fldChar w:fldCharType="separate"/>
      </w:r>
      <w:r w:rsidR="004A080B">
        <w:rPr>
          <w:webHidden/>
        </w:rPr>
        <w:t>58</w:t>
      </w:r>
      <w:r>
        <w:rPr>
          <w:webHidden/>
        </w:rPr>
        <w:fldChar w:fldCharType="end"/>
      </w:r>
    </w:p>
    <w:p w14:paraId="608ED7AA" w14:textId="6BC7DF56" w:rsidR="00B75DAB" w:rsidRDefault="00B75DAB">
      <w:pPr>
        <w:pStyle w:val="TOC2"/>
        <w:rPr>
          <w:rFonts w:eastAsiaTheme="minorEastAsia"/>
          <w:kern w:val="2"/>
          <w:sz w:val="24"/>
          <w:szCs w:val="24"/>
          <w:lang w:eastAsia="en-AU"/>
          <w14:ligatures w14:val="standardContextual"/>
        </w:rPr>
      </w:pPr>
      <w:r>
        <w:t>5.2</w:t>
      </w:r>
      <w:r>
        <w:rPr>
          <w:rFonts w:eastAsiaTheme="minorEastAsia"/>
          <w:kern w:val="2"/>
          <w:sz w:val="24"/>
          <w:szCs w:val="24"/>
          <w:lang w:eastAsia="en-AU"/>
          <w14:ligatures w14:val="standardContextual"/>
        </w:rPr>
        <w:tab/>
      </w:r>
      <w:r>
        <w:t>Foreign direct investment applications</w:t>
      </w:r>
      <w:r>
        <w:rPr>
          <w:webHidden/>
        </w:rPr>
        <w:tab/>
      </w:r>
      <w:r>
        <w:rPr>
          <w:webHidden/>
        </w:rPr>
        <w:fldChar w:fldCharType="begin"/>
      </w:r>
      <w:r>
        <w:rPr>
          <w:webHidden/>
        </w:rPr>
        <w:instrText xml:space="preserve"> PAGEREF _Toc202477861 \h </w:instrText>
      </w:r>
      <w:r>
        <w:rPr>
          <w:webHidden/>
        </w:rPr>
      </w:r>
      <w:r>
        <w:rPr>
          <w:webHidden/>
        </w:rPr>
        <w:fldChar w:fldCharType="separate"/>
      </w:r>
      <w:r w:rsidR="004A080B">
        <w:rPr>
          <w:webHidden/>
        </w:rPr>
        <w:t>61</w:t>
      </w:r>
      <w:r>
        <w:rPr>
          <w:webHidden/>
        </w:rPr>
        <w:fldChar w:fldCharType="end"/>
      </w:r>
    </w:p>
    <w:p w14:paraId="62F48AB1" w14:textId="5886DAAA" w:rsidR="00B75DAB" w:rsidRDefault="00B75DAB">
      <w:pPr>
        <w:pStyle w:val="TOC2"/>
        <w:rPr>
          <w:rFonts w:eastAsiaTheme="minorEastAsia"/>
          <w:kern w:val="2"/>
          <w:sz w:val="24"/>
          <w:szCs w:val="24"/>
          <w:lang w:eastAsia="en-AU"/>
          <w14:ligatures w14:val="standardContextual"/>
        </w:rPr>
      </w:pPr>
      <w:r>
        <w:t>5.3</w:t>
      </w:r>
      <w:r>
        <w:rPr>
          <w:rFonts w:eastAsiaTheme="minorEastAsia"/>
          <w:kern w:val="2"/>
          <w:sz w:val="24"/>
          <w:szCs w:val="24"/>
          <w:lang w:eastAsia="en-AU"/>
          <w14:ligatures w14:val="standardContextual"/>
        </w:rPr>
        <w:tab/>
      </w:r>
      <w:r>
        <w:t>Trends in foreign investment</w:t>
      </w:r>
      <w:r>
        <w:rPr>
          <w:webHidden/>
        </w:rPr>
        <w:tab/>
      </w:r>
      <w:r>
        <w:rPr>
          <w:webHidden/>
        </w:rPr>
        <w:fldChar w:fldCharType="begin"/>
      </w:r>
      <w:r>
        <w:rPr>
          <w:webHidden/>
        </w:rPr>
        <w:instrText xml:space="preserve"> PAGEREF _Toc202477862 \h </w:instrText>
      </w:r>
      <w:r>
        <w:rPr>
          <w:webHidden/>
        </w:rPr>
      </w:r>
      <w:r>
        <w:rPr>
          <w:webHidden/>
        </w:rPr>
        <w:fldChar w:fldCharType="separate"/>
      </w:r>
      <w:r w:rsidR="004A080B">
        <w:rPr>
          <w:webHidden/>
        </w:rPr>
        <w:t>63</w:t>
      </w:r>
      <w:r>
        <w:rPr>
          <w:webHidden/>
        </w:rPr>
        <w:fldChar w:fldCharType="end"/>
      </w:r>
    </w:p>
    <w:p w14:paraId="5A79A4C1" w14:textId="61123AC9" w:rsidR="00B75DAB" w:rsidRDefault="00B75DAB">
      <w:pPr>
        <w:pStyle w:val="TOC3"/>
        <w:rPr>
          <w:rFonts w:asciiTheme="minorHAnsi" w:eastAsiaTheme="minorEastAsia" w:hAnsiTheme="minorHAnsi"/>
          <w:noProof/>
          <w:color w:val="auto"/>
          <w:kern w:val="2"/>
          <w:sz w:val="24"/>
          <w:szCs w:val="24"/>
          <w:lang w:eastAsia="en-AU"/>
          <w14:ligatures w14:val="standardContextual"/>
        </w:rPr>
      </w:pPr>
      <w:r>
        <w:rPr>
          <w:noProof/>
        </w:rPr>
        <w:t>Appendices</w:t>
      </w:r>
      <w:r>
        <w:rPr>
          <w:noProof/>
          <w:webHidden/>
        </w:rPr>
        <w:tab/>
      </w:r>
      <w:r>
        <w:rPr>
          <w:noProof/>
          <w:webHidden/>
        </w:rPr>
        <w:fldChar w:fldCharType="begin"/>
      </w:r>
      <w:r>
        <w:rPr>
          <w:noProof/>
          <w:webHidden/>
        </w:rPr>
        <w:instrText xml:space="preserve"> PAGEREF _Toc202477863 \h </w:instrText>
      </w:r>
      <w:r>
        <w:rPr>
          <w:noProof/>
          <w:webHidden/>
        </w:rPr>
      </w:r>
      <w:r>
        <w:rPr>
          <w:noProof/>
          <w:webHidden/>
        </w:rPr>
        <w:fldChar w:fldCharType="separate"/>
      </w:r>
      <w:r w:rsidR="004A080B">
        <w:rPr>
          <w:noProof/>
          <w:webHidden/>
        </w:rPr>
        <w:t>69</w:t>
      </w:r>
      <w:r>
        <w:rPr>
          <w:noProof/>
          <w:webHidden/>
        </w:rPr>
        <w:fldChar w:fldCharType="end"/>
      </w:r>
    </w:p>
    <w:p w14:paraId="07B27501" w14:textId="4DA1613F"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Modelling the impact of global tariffs</w:t>
      </w:r>
      <w:r>
        <w:rPr>
          <w:noProof/>
          <w:webHidden/>
        </w:rPr>
        <w:tab/>
      </w:r>
      <w:r>
        <w:rPr>
          <w:noProof/>
          <w:webHidden/>
        </w:rPr>
        <w:fldChar w:fldCharType="begin"/>
      </w:r>
      <w:r>
        <w:rPr>
          <w:noProof/>
          <w:webHidden/>
        </w:rPr>
        <w:instrText xml:space="preserve"> PAGEREF _Toc202477864 \h </w:instrText>
      </w:r>
      <w:r>
        <w:rPr>
          <w:noProof/>
          <w:webHidden/>
        </w:rPr>
      </w:r>
      <w:r>
        <w:rPr>
          <w:noProof/>
          <w:webHidden/>
        </w:rPr>
        <w:fldChar w:fldCharType="separate"/>
      </w:r>
      <w:r w:rsidR="004A080B">
        <w:rPr>
          <w:noProof/>
          <w:webHidden/>
        </w:rPr>
        <w:t>71</w:t>
      </w:r>
      <w:r>
        <w:rPr>
          <w:noProof/>
          <w:webHidden/>
        </w:rPr>
        <w:fldChar w:fldCharType="end"/>
      </w:r>
    </w:p>
    <w:p w14:paraId="643F68A0" w14:textId="3AD4621E"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Assistance estimates</w:t>
      </w:r>
      <w:r>
        <w:rPr>
          <w:noProof/>
          <w:webHidden/>
        </w:rPr>
        <w:tab/>
      </w:r>
      <w:r>
        <w:rPr>
          <w:noProof/>
          <w:webHidden/>
        </w:rPr>
        <w:fldChar w:fldCharType="begin"/>
      </w:r>
      <w:r>
        <w:rPr>
          <w:noProof/>
          <w:webHidden/>
        </w:rPr>
        <w:instrText xml:space="preserve"> PAGEREF _Toc202477865 \h </w:instrText>
      </w:r>
      <w:r>
        <w:rPr>
          <w:noProof/>
          <w:webHidden/>
        </w:rPr>
      </w:r>
      <w:r>
        <w:rPr>
          <w:noProof/>
          <w:webHidden/>
        </w:rPr>
        <w:fldChar w:fldCharType="separate"/>
      </w:r>
      <w:r w:rsidR="004A080B">
        <w:rPr>
          <w:noProof/>
          <w:webHidden/>
        </w:rPr>
        <w:t>93</w:t>
      </w:r>
      <w:r>
        <w:rPr>
          <w:noProof/>
          <w:webHidden/>
        </w:rPr>
        <w:fldChar w:fldCharType="end"/>
      </w:r>
    </w:p>
    <w:p w14:paraId="6F9DA3FB" w14:textId="204A7B32"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Literature review on trade agreement compliance costs</w:t>
      </w:r>
      <w:r>
        <w:rPr>
          <w:noProof/>
          <w:webHidden/>
        </w:rPr>
        <w:tab/>
      </w:r>
      <w:r>
        <w:rPr>
          <w:noProof/>
          <w:webHidden/>
        </w:rPr>
        <w:fldChar w:fldCharType="begin"/>
      </w:r>
      <w:r>
        <w:rPr>
          <w:noProof/>
          <w:webHidden/>
        </w:rPr>
        <w:instrText xml:space="preserve"> PAGEREF _Toc202477866 \h </w:instrText>
      </w:r>
      <w:r>
        <w:rPr>
          <w:noProof/>
          <w:webHidden/>
        </w:rPr>
      </w:r>
      <w:r>
        <w:rPr>
          <w:noProof/>
          <w:webHidden/>
        </w:rPr>
        <w:fldChar w:fldCharType="separate"/>
      </w:r>
      <w:r w:rsidR="004A080B">
        <w:rPr>
          <w:noProof/>
          <w:webHidden/>
        </w:rPr>
        <w:t>95</w:t>
      </w:r>
      <w:r>
        <w:rPr>
          <w:noProof/>
          <w:webHidden/>
        </w:rPr>
        <w:fldChar w:fldCharType="end"/>
      </w:r>
    </w:p>
    <w:p w14:paraId="2797A4FE" w14:textId="0D8F0ACE"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_Toc202477869 \h </w:instrText>
      </w:r>
      <w:r>
        <w:rPr>
          <w:noProof/>
          <w:webHidden/>
        </w:rPr>
      </w:r>
      <w:r>
        <w:rPr>
          <w:noProof/>
          <w:webHidden/>
        </w:rPr>
        <w:fldChar w:fldCharType="separate"/>
      </w:r>
      <w:r w:rsidR="004A080B">
        <w:rPr>
          <w:noProof/>
          <w:webHidden/>
        </w:rPr>
        <w:t>99</w:t>
      </w:r>
      <w:r>
        <w:rPr>
          <w:noProof/>
          <w:webHidden/>
        </w:rPr>
        <w:fldChar w:fldCharType="end"/>
      </w:r>
    </w:p>
    <w:p w14:paraId="7FA172B8" w14:textId="29BF366A" w:rsidR="00B75DAB" w:rsidRDefault="00B75DAB">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_Toc202477870 \h </w:instrText>
      </w:r>
      <w:r>
        <w:rPr>
          <w:noProof/>
          <w:webHidden/>
        </w:rPr>
      </w:r>
      <w:r>
        <w:rPr>
          <w:noProof/>
          <w:webHidden/>
        </w:rPr>
        <w:fldChar w:fldCharType="separate"/>
      </w:r>
      <w:r w:rsidR="004A080B">
        <w:rPr>
          <w:noProof/>
          <w:webHidden/>
        </w:rPr>
        <w:t>101</w:t>
      </w:r>
      <w:r>
        <w:rPr>
          <w:noProof/>
          <w:webHidden/>
        </w:rPr>
        <w:fldChar w:fldCharType="end"/>
      </w:r>
    </w:p>
    <w:p w14:paraId="3A93EBA9" w14:textId="6FBB03DD" w:rsidR="00EE0416" w:rsidRDefault="00B036A0" w:rsidP="00181EE6">
      <w:pPr>
        <w:pStyle w:val="BodyText"/>
        <w:sectPr w:rsidR="00EE0416" w:rsidSect="00081185">
          <w:type w:val="oddPage"/>
          <w:pgSz w:w="11906" w:h="16838" w:code="9"/>
          <w:pgMar w:top="1134" w:right="1134" w:bottom="1134" w:left="1134" w:header="794" w:footer="510" w:gutter="0"/>
          <w:pgNumType w:fmt="lowerRoman"/>
          <w:cols w:space="708"/>
          <w:docGrid w:linePitch="360"/>
        </w:sectPr>
      </w:pPr>
      <w:r>
        <w:rPr>
          <w:sz w:val="18"/>
        </w:rPr>
        <w:fldChar w:fldCharType="end"/>
      </w:r>
    </w:p>
    <w:p w14:paraId="35B30DE5" w14:textId="0F5746E8" w:rsidR="00EE0416" w:rsidRDefault="00EE0416" w:rsidP="00C42A61">
      <w:pPr>
        <w:pStyle w:val="Heading2-noTOC"/>
      </w:pPr>
      <w:r>
        <w:lastRenderedPageBreak/>
        <w:t>Acknowledgments</w:t>
      </w:r>
    </w:p>
    <w:p w14:paraId="51F363CC" w14:textId="58D5E513" w:rsidR="006E2B54" w:rsidRDefault="00EB7DFD" w:rsidP="00EE0416">
      <w:pPr>
        <w:pStyle w:val="BodyText"/>
      </w:pPr>
      <w:r>
        <w:t>The Commissioners on this study were Professor Alex Robson and Dr Catherine de Fon</w:t>
      </w:r>
      <w:r w:rsidR="00F6005A">
        <w:t>t</w:t>
      </w:r>
      <w:r>
        <w:t>enay. The Commissioners express their appreciation to the staff who worked on this report. The team included</w:t>
      </w:r>
      <w:r w:rsidR="009F08D0">
        <w:t xml:space="preserve"> Shane Chisholm, </w:t>
      </w:r>
      <w:r w:rsidR="002F4A80">
        <w:t>Jared Claxton</w:t>
      </w:r>
      <w:r w:rsidR="004D18F0">
        <w:t xml:space="preserve">, </w:t>
      </w:r>
      <w:r w:rsidR="005339FD">
        <w:t xml:space="preserve">Owen Gabbitas, </w:t>
      </w:r>
      <w:r w:rsidR="002F4A80">
        <w:t>Diego Machillanda</w:t>
      </w:r>
      <w:r w:rsidR="004D18F0">
        <w:t xml:space="preserve"> </w:t>
      </w:r>
      <w:r w:rsidR="00CC292E">
        <w:t xml:space="preserve">and </w:t>
      </w:r>
      <w:r w:rsidR="002F4A80">
        <w:t>Jonty Martin.</w:t>
      </w:r>
    </w:p>
    <w:p w14:paraId="6B9F8389" w14:textId="649387C1" w:rsidR="00CE1CDC" w:rsidRDefault="00CE1CDC" w:rsidP="00CE1CDC">
      <w:pPr>
        <w:pStyle w:val="Heading2-noTOC"/>
      </w:pPr>
      <w:r>
        <w:t>Disclosure of interests</w:t>
      </w:r>
    </w:p>
    <w:p w14:paraId="34B2D5FE" w14:textId="77521C04" w:rsidR="00CE1CDC" w:rsidRPr="00CE1CDC" w:rsidRDefault="00CE1CDC" w:rsidP="00EE0416">
      <w:pPr>
        <w:pStyle w:val="BodyText"/>
      </w:pPr>
      <w:r w:rsidRPr="00CE1CDC">
        <w:rPr>
          <w:i/>
          <w:iCs/>
        </w:rPr>
        <w:t xml:space="preserve">The Productivity Commission Act 1998 </w:t>
      </w:r>
      <w:r w:rsidR="00FD0AAF" w:rsidRPr="00FD0AAF">
        <w:t>(Cth)</w:t>
      </w:r>
      <w:r w:rsidR="00FD0AAF">
        <w:t xml:space="preserve"> </w:t>
      </w:r>
      <w:r>
        <w:t xml:space="preserve">specifies that where the Commissioners have or acquire interests, pecuniary or otherwise, that could conflict with the proper performance of the functions they must disclose those interests. The Commissioners working on this report have no interests requiring disclosure. </w:t>
      </w:r>
    </w:p>
    <w:p w14:paraId="758CF27C" w14:textId="77777777" w:rsidR="00AD6BE2" w:rsidRDefault="00AD6BE2" w:rsidP="00EE0416">
      <w:pPr>
        <w:pStyle w:val="BodyText"/>
      </w:pPr>
    </w:p>
    <w:p w14:paraId="5AD7A219" w14:textId="77777777" w:rsidR="000741C8" w:rsidRDefault="000741C8" w:rsidP="00EE0416">
      <w:pPr>
        <w:pStyle w:val="BodyText"/>
        <w:sectPr w:rsidR="000741C8" w:rsidSect="00617AB6">
          <w:headerReference w:type="even" r:id="rId33"/>
          <w:type w:val="evenPage"/>
          <w:pgSz w:w="11906" w:h="16838" w:code="9"/>
          <w:pgMar w:top="1134" w:right="1134" w:bottom="1134" w:left="1134" w:header="794" w:footer="510" w:gutter="0"/>
          <w:pgNumType w:fmt="lowerRoman"/>
          <w:cols w:space="708"/>
          <w:docGrid w:linePitch="360"/>
        </w:sectPr>
      </w:pPr>
    </w:p>
    <w:p w14:paraId="483AA23A" w14:textId="176249DD" w:rsidR="00A972CD" w:rsidRPr="001C5E4D" w:rsidRDefault="00A972CD" w:rsidP="00A972CD">
      <w:pPr>
        <w:pStyle w:val="Heading1-nonumber"/>
      </w:pPr>
      <w:bookmarkStart w:id="19" w:name="_Toc202477844"/>
      <w:r>
        <w:lastRenderedPageBreak/>
        <w:t xml:space="preserve">Executive </w:t>
      </w:r>
      <w:r w:rsidR="006C5624">
        <w:t>s</w:t>
      </w:r>
      <w:r>
        <w:t>ummary</w:t>
      </w:r>
      <w:bookmarkEnd w:id="19"/>
    </w:p>
    <w:p w14:paraId="1DC40FD5" w14:textId="495C2F78" w:rsidR="00862AD4" w:rsidRDefault="00862AD4" w:rsidP="009B7069">
      <w:pPr>
        <w:pStyle w:val="BodyText"/>
      </w:pPr>
      <w:r w:rsidRPr="008702AB">
        <w:t xml:space="preserve">The </w:t>
      </w:r>
      <w:r w:rsidR="00E94372">
        <w:t xml:space="preserve">Trade and Assistance Review </w:t>
      </w:r>
      <w:r w:rsidR="00AD2336">
        <w:t>(TAR)</w:t>
      </w:r>
      <w:r w:rsidR="00E94372">
        <w:t xml:space="preserve"> is the Productivity Commission’s annual report on developments in </w:t>
      </w:r>
      <w:r w:rsidR="00E8597A">
        <w:t xml:space="preserve">Australian </w:t>
      </w:r>
      <w:r w:rsidR="00047789">
        <w:t xml:space="preserve">trade and </w:t>
      </w:r>
      <w:r w:rsidR="00AB1445">
        <w:t xml:space="preserve">industry </w:t>
      </w:r>
      <w:r w:rsidR="00047789">
        <w:t xml:space="preserve">assistance policies. The TAR has a broad remit, </w:t>
      </w:r>
      <w:r w:rsidR="009B7069">
        <w:t xml:space="preserve">based on our obligation to report on assistance from section 10 of </w:t>
      </w:r>
      <w:r w:rsidRPr="008702AB">
        <w:t xml:space="preserve">the </w:t>
      </w:r>
      <w:r w:rsidRPr="008702AB">
        <w:rPr>
          <w:i/>
          <w:iCs/>
        </w:rPr>
        <w:t>Productivity Commission Act 1998</w:t>
      </w:r>
      <w:r w:rsidRPr="008702AB">
        <w:t xml:space="preserve"> (Cth), </w:t>
      </w:r>
      <w:r w:rsidR="009B7069">
        <w:t xml:space="preserve">which </w:t>
      </w:r>
      <w:r w:rsidRPr="008702AB">
        <w:t>defines government assistance to industry as:</w:t>
      </w:r>
    </w:p>
    <w:p w14:paraId="05A01142" w14:textId="77777777" w:rsidR="00862AD4" w:rsidRDefault="00862AD4" w:rsidP="00862AD4">
      <w:pPr>
        <w:pStyle w:val="Quote"/>
      </w:pPr>
      <w:r w:rsidRPr="0048557C">
        <w:t>… any act that, directly or indirectly: assists a person to carry on a business or activity; or confers</w:t>
      </w:r>
      <w:r w:rsidRPr="008702AB">
        <w:t xml:space="preserve"> a pecuniary benefit on, or results in a pecuniary benefit accruing to, a person in respect of carrying on a business or activity. </w:t>
      </w:r>
    </w:p>
    <w:p w14:paraId="05268842" w14:textId="77777777" w:rsidR="00B51CCA" w:rsidRDefault="00E613B6" w:rsidP="009B7069">
      <w:pPr>
        <w:pStyle w:val="BodyText"/>
      </w:pPr>
      <w:r>
        <w:t xml:space="preserve">Reflecting recent policy developments </w:t>
      </w:r>
      <w:r w:rsidR="00B51CCA">
        <w:t>globally and in Australia, this year’s TAR focuses on:</w:t>
      </w:r>
    </w:p>
    <w:p w14:paraId="76022104" w14:textId="07369302" w:rsidR="009B7069" w:rsidRDefault="00B51CCA" w:rsidP="00F33EF0">
      <w:pPr>
        <w:pStyle w:val="ListBullet"/>
      </w:pPr>
      <w:r>
        <w:t xml:space="preserve">the </w:t>
      </w:r>
      <w:r w:rsidR="003A30E6">
        <w:t>impact</w:t>
      </w:r>
      <w:r>
        <w:t xml:space="preserve"> </w:t>
      </w:r>
      <w:r w:rsidR="00713B33">
        <w:t xml:space="preserve">on Australia of international policy developments, including a discussion of the effect of </w:t>
      </w:r>
      <w:r w:rsidR="00E03BD9">
        <w:t>trade policy uncertainty on economic outcomes (chapter 1)</w:t>
      </w:r>
    </w:p>
    <w:p w14:paraId="3F5F9C00" w14:textId="7149EB3A" w:rsidR="00713B33" w:rsidRDefault="00713B33" w:rsidP="00F33EF0">
      <w:pPr>
        <w:pStyle w:val="ListBullet"/>
      </w:pPr>
      <w:r>
        <w:t>Australian trade policy developments and options for further tariff reform</w:t>
      </w:r>
      <w:r w:rsidR="00E03BD9">
        <w:t xml:space="preserve"> (chapter 2)</w:t>
      </w:r>
    </w:p>
    <w:p w14:paraId="5D55E8CC" w14:textId="749247E6" w:rsidR="006918FF" w:rsidRPr="00766A26" w:rsidRDefault="006918FF" w:rsidP="00373FE1">
      <w:pPr>
        <w:pStyle w:val="ListBullet"/>
      </w:pPr>
      <w:r w:rsidRPr="00766A26">
        <w:t>developments in Australian industry policy settings (chapter 3)</w:t>
      </w:r>
    </w:p>
    <w:p w14:paraId="4AA28988" w14:textId="7C49295E" w:rsidR="00E03BD9" w:rsidRDefault="00732425" w:rsidP="00F33EF0">
      <w:pPr>
        <w:pStyle w:val="ListBullet"/>
      </w:pPr>
      <w:r>
        <w:t>estimates of the cost of budgetary assistance to industry in 2023</w:t>
      </w:r>
      <w:r w:rsidR="00261FEE">
        <w:t>–</w:t>
      </w:r>
      <w:r>
        <w:t xml:space="preserve">24 (chapter </w:t>
      </w:r>
      <w:r w:rsidR="006918FF" w:rsidRPr="00766A26">
        <w:t>4</w:t>
      </w:r>
      <w:r>
        <w:t>)</w:t>
      </w:r>
    </w:p>
    <w:p w14:paraId="5443F378" w14:textId="2DCBC12E" w:rsidR="00732425" w:rsidRPr="009B7069" w:rsidRDefault="006F79DB" w:rsidP="00F33EF0">
      <w:pPr>
        <w:pStyle w:val="ListBullet"/>
      </w:pPr>
      <w:r>
        <w:t>trends in foreign investment</w:t>
      </w:r>
      <w:r w:rsidR="003E00B1">
        <w:t xml:space="preserve"> </w:t>
      </w:r>
      <w:r>
        <w:t>impacting Australia (chapter 5)</w:t>
      </w:r>
      <w:r w:rsidR="00F92938">
        <w:t>.</w:t>
      </w:r>
    </w:p>
    <w:p w14:paraId="657F7A37" w14:textId="632044BC" w:rsidR="00862AD4" w:rsidRDefault="00EF3B31" w:rsidP="007A086A">
      <w:pPr>
        <w:pStyle w:val="Heading2-noTOC"/>
      </w:pPr>
      <w:r>
        <w:t>Australia should continue to advocate for free and open markets</w:t>
      </w:r>
    </w:p>
    <w:p w14:paraId="66807BCD" w14:textId="75FB0A7D" w:rsidR="00862AD4" w:rsidRPr="00F96FAA" w:rsidRDefault="00A45DA6" w:rsidP="00862AD4">
      <w:pPr>
        <w:pStyle w:val="BodyText"/>
      </w:pPr>
      <w:r>
        <w:t xml:space="preserve">Rapid and wide-ranging changes to </w:t>
      </w:r>
      <w:r w:rsidR="00A960F6">
        <w:t>United States (</w:t>
      </w:r>
      <w:r>
        <w:t>US</w:t>
      </w:r>
      <w:r w:rsidR="00A960F6">
        <w:t>)</w:t>
      </w:r>
      <w:r>
        <w:t xml:space="preserve"> trade policy have driven </w:t>
      </w:r>
      <w:r w:rsidR="00DD03AF">
        <w:t>significant changes in global trade policy settings</w:t>
      </w:r>
      <w:r w:rsidR="00C9452D">
        <w:t>, including t</w:t>
      </w:r>
      <w:r w:rsidR="00862AD4">
        <w:t xml:space="preserve">he introduction of </w:t>
      </w:r>
      <w:r w:rsidR="00DD03AF">
        <w:t xml:space="preserve">new tariffs </w:t>
      </w:r>
      <w:r w:rsidR="00862AD4">
        <w:t>and increase</w:t>
      </w:r>
      <w:r w:rsidR="008239E3">
        <w:t>s</w:t>
      </w:r>
      <w:r w:rsidR="00862AD4">
        <w:t xml:space="preserve"> in </w:t>
      </w:r>
      <w:r w:rsidR="00DD03AF">
        <w:t>existing</w:t>
      </w:r>
      <w:r w:rsidR="00862AD4">
        <w:t xml:space="preserve"> tariffs.</w:t>
      </w:r>
    </w:p>
    <w:p w14:paraId="105107EF" w14:textId="66876ED0" w:rsidR="00E638FD" w:rsidRDefault="00E638FD" w:rsidP="00862AD4">
      <w:pPr>
        <w:pStyle w:val="BodyText"/>
      </w:pPr>
      <w:r>
        <w:t>The PC has modelled three scenarios, based on recent tariff announcements, to estimate the potential impacts of tariffs and po</w:t>
      </w:r>
      <w:r w:rsidR="0012029C">
        <w:t>ssible</w:t>
      </w:r>
      <w:r>
        <w:t xml:space="preserve"> retaliatory actions on Australia. </w:t>
      </w:r>
      <w:r w:rsidR="009F7DE7">
        <w:t xml:space="preserve">Our modelling </w:t>
      </w:r>
      <w:r w:rsidR="0039618A">
        <w:t>shows</w:t>
      </w:r>
      <w:r w:rsidR="009F7DE7">
        <w:t xml:space="preserve"> that m</w:t>
      </w:r>
      <w:r w:rsidR="009F7DE7" w:rsidRPr="00C21A75">
        <w:t xml:space="preserve">any of the proposed US trade policy measures would likely </w:t>
      </w:r>
      <w:r w:rsidR="0039618A">
        <w:t>have</w:t>
      </w:r>
      <w:r w:rsidR="009F7DE7" w:rsidRPr="00C21A75">
        <w:t xml:space="preserve"> a small</w:t>
      </w:r>
      <w:r w:rsidR="0039618A">
        <w:t xml:space="preserve"> (</w:t>
      </w:r>
      <w:r w:rsidR="009F7DE7" w:rsidRPr="00C21A75">
        <w:t>positive</w:t>
      </w:r>
      <w:r w:rsidR="0039618A">
        <w:t>)</w:t>
      </w:r>
      <w:r w:rsidR="009F7DE7" w:rsidRPr="00C21A75">
        <w:t xml:space="preserve"> impact on Australian production in the long run</w:t>
      </w:r>
      <w:r w:rsidR="003227EB">
        <w:t>.</w:t>
      </w:r>
    </w:p>
    <w:p w14:paraId="318A329C" w14:textId="50FA015C" w:rsidR="00065326" w:rsidRDefault="00136C97" w:rsidP="00065326">
      <w:pPr>
        <w:pStyle w:val="BodyText"/>
      </w:pPr>
      <w:r>
        <w:t xml:space="preserve">But these direct economic impacts are likely to be </w:t>
      </w:r>
      <w:r w:rsidR="00177D03">
        <w:t>minor</w:t>
      </w:r>
      <w:r>
        <w:t xml:space="preserve"> </w:t>
      </w:r>
      <w:r w:rsidR="00CB520D">
        <w:t>compared to the costs associated with growing economic uncertainty.</w:t>
      </w:r>
      <w:r w:rsidR="00065326">
        <w:t xml:space="preserve"> </w:t>
      </w:r>
      <w:r w:rsidR="004E4AE7" w:rsidRPr="005E6843">
        <w:t>In 2025, economic uncertainty in Australia and globally reached its highest level since the COVID-19 pandemic</w:t>
      </w:r>
      <w:r w:rsidR="00065326">
        <w:t xml:space="preserve">. This uncertainty is expected </w:t>
      </w:r>
      <w:r w:rsidR="00065326" w:rsidRPr="00C21A75">
        <w:t>to slow global economic activity, household consumption and business investment</w:t>
      </w:r>
      <w:r w:rsidR="00065326">
        <w:t>.</w:t>
      </w:r>
    </w:p>
    <w:p w14:paraId="50FC8D5D" w14:textId="4A9CADEF" w:rsidR="00862AD4" w:rsidRDefault="00065326" w:rsidP="00862AD4">
      <w:pPr>
        <w:pStyle w:val="BodyText"/>
      </w:pPr>
      <w:r>
        <w:t>Australia’s best response is to continue to work towards open and free markets. Australia can proceed unilaterally, such as by lowering and binding tariff levels to give prospective exporters certainty about Australia’s markets, and multilaterally, such as by committing to free trade agreements and international institutions that can promote long</w:t>
      </w:r>
      <w:r>
        <w:noBreakHyphen/>
        <w:t xml:space="preserve">term economic stability. </w:t>
      </w:r>
    </w:p>
    <w:p w14:paraId="43911DB7" w14:textId="77777777" w:rsidR="00617AB6" w:rsidRPr="00617AB6" w:rsidRDefault="00617AB6" w:rsidP="006F670D"/>
    <w:p w14:paraId="5F79071A" w14:textId="7237805F" w:rsidR="009D70C2" w:rsidRDefault="00294545" w:rsidP="004A7F73">
      <w:pPr>
        <w:pStyle w:val="Heading2-noTOC"/>
        <w:keepNext/>
      </w:pPr>
      <w:r>
        <w:lastRenderedPageBreak/>
        <w:t xml:space="preserve">Further tariff reform would support Australia’s </w:t>
      </w:r>
      <w:r w:rsidR="00991C7A">
        <w:t>economy in the face of continuing uncertainty and change</w:t>
      </w:r>
    </w:p>
    <w:p w14:paraId="78253716" w14:textId="77DC8CE6" w:rsidR="00294545" w:rsidRDefault="001227C5" w:rsidP="00294545">
      <w:pPr>
        <w:pStyle w:val="BodyText"/>
      </w:pPr>
      <w:r>
        <w:t xml:space="preserve">The Australian Government is taking action to address the costs of complying with Australia’s preferential trade agreements, with 457 tariffs to be abolished from this year. </w:t>
      </w:r>
      <w:r w:rsidR="009D70C2">
        <w:t xml:space="preserve">Australia has also furthered its regional and bilateral trading relationships, which </w:t>
      </w:r>
      <w:r w:rsidR="00B9668B">
        <w:t>contribute</w:t>
      </w:r>
      <w:r w:rsidR="009D70C2">
        <w:t xml:space="preserve"> to addressing uncertainty and volatility.</w:t>
      </w:r>
      <w:r w:rsidR="00294545" w:rsidRPr="00294545">
        <w:t xml:space="preserve"> </w:t>
      </w:r>
    </w:p>
    <w:p w14:paraId="177D0111" w14:textId="497C6A9A" w:rsidR="00294545" w:rsidRPr="00F96FAA" w:rsidRDefault="00A2654E" w:rsidP="00294545">
      <w:pPr>
        <w:pStyle w:val="BodyText"/>
      </w:pPr>
      <w:r w:rsidRPr="00F96FAA">
        <w:t>While the</w:t>
      </w:r>
      <w:r w:rsidR="009455DE">
        <w:t>se are positive steps</w:t>
      </w:r>
      <w:r w:rsidRPr="00F96FAA">
        <w:t>,</w:t>
      </w:r>
      <w:r w:rsidR="009455DE">
        <w:t xml:space="preserve"> t</w:t>
      </w:r>
      <w:r w:rsidR="009455DE" w:rsidRPr="00F96FAA">
        <w:t xml:space="preserve">here remain many </w:t>
      </w:r>
      <w:r w:rsidR="009455DE">
        <w:t xml:space="preserve">more </w:t>
      </w:r>
      <w:r w:rsidR="009455DE" w:rsidRPr="00F96FAA">
        <w:t>‘nuisance tariffs’ which generate little revenue and impose high costs on business</w:t>
      </w:r>
      <w:r w:rsidR="009C7CED">
        <w:t>.</w:t>
      </w:r>
      <w:r w:rsidR="009455DE" w:rsidRPr="00F96FAA">
        <w:t xml:space="preserve"> </w:t>
      </w:r>
      <w:r w:rsidR="005A2F0C">
        <w:t>We estimate that,</w:t>
      </w:r>
      <w:r w:rsidR="009C7CED">
        <w:t xml:space="preserve"> </w:t>
      </w:r>
      <w:r w:rsidR="005A2F0C">
        <w:t>i</w:t>
      </w:r>
      <w:r w:rsidR="009C7CED" w:rsidRPr="00F96FAA">
        <w:t>n 2023</w:t>
      </w:r>
      <w:r w:rsidR="009C7CED">
        <w:noBreakHyphen/>
      </w:r>
      <w:r w:rsidR="009C7CED" w:rsidRPr="00F96FAA">
        <w:t>24</w:t>
      </w:r>
      <w:r w:rsidR="00C968A2">
        <w:t>,</w:t>
      </w:r>
      <w:r w:rsidR="009C7CED" w:rsidRPr="00F96FAA">
        <w:t xml:space="preserve"> the tariff regime imposed compliance costs of between $1.</w:t>
      </w:r>
      <w:r w:rsidR="004E4012">
        <w:t>3</w:t>
      </w:r>
      <w:r w:rsidR="009C7CED" w:rsidRPr="00F96FAA">
        <w:t xml:space="preserve"> billion and $</w:t>
      </w:r>
      <w:r w:rsidR="004E4012">
        <w:t>4</w:t>
      </w:r>
      <w:r w:rsidR="009C7CED" w:rsidRPr="00F96FAA">
        <w:t xml:space="preserve"> billion, while collecting $2 billion in revenue.</w:t>
      </w:r>
      <w:r w:rsidR="005A2F0C">
        <w:t xml:space="preserve"> We have</w:t>
      </w:r>
      <w:r w:rsidR="00294545" w:rsidRPr="00F96FAA">
        <w:t xml:space="preserve"> identified </w:t>
      </w:r>
      <w:r w:rsidR="00343A21">
        <w:t>over 300</w:t>
      </w:r>
      <w:r w:rsidR="00294545" w:rsidRPr="00F96FAA">
        <w:t xml:space="preserve"> </w:t>
      </w:r>
      <w:r w:rsidR="00604A68">
        <w:t>further</w:t>
      </w:r>
      <w:r w:rsidR="00604A68" w:rsidRPr="00F96FAA">
        <w:t xml:space="preserve"> </w:t>
      </w:r>
      <w:r w:rsidR="00294545" w:rsidRPr="00F96FAA">
        <w:t xml:space="preserve">nuisance tariffs to prioritise for </w:t>
      </w:r>
      <w:r w:rsidR="0019531B">
        <w:t xml:space="preserve">a </w:t>
      </w:r>
      <w:r w:rsidR="00294545" w:rsidRPr="00F96FAA">
        <w:t>removal</w:t>
      </w:r>
      <w:r w:rsidR="001E3415">
        <w:t xml:space="preserve"> assessment</w:t>
      </w:r>
      <w:r w:rsidR="00294545">
        <w:t xml:space="preserve">, by examining </w:t>
      </w:r>
      <w:r w:rsidR="00294545" w:rsidRPr="00F96FAA">
        <w:t xml:space="preserve">the ratio of </w:t>
      </w:r>
      <w:r w:rsidR="00604A68">
        <w:t xml:space="preserve">indicative </w:t>
      </w:r>
      <w:r w:rsidR="00294545" w:rsidRPr="00F96FAA">
        <w:t>compliance costs to tariff revenue</w:t>
      </w:r>
      <w:r w:rsidR="00294545">
        <w:t xml:space="preserve">. </w:t>
      </w:r>
    </w:p>
    <w:p w14:paraId="3486707F" w14:textId="07E5AB17" w:rsidR="00A972CD" w:rsidRDefault="00450921" w:rsidP="007A086A">
      <w:pPr>
        <w:pStyle w:val="Heading2-noTOC"/>
      </w:pPr>
      <w:r>
        <w:t>The Australian G</w:t>
      </w:r>
      <w:r w:rsidR="00A972CD">
        <w:t xml:space="preserve">overnment is </w:t>
      </w:r>
      <w:r w:rsidR="00902234">
        <w:t xml:space="preserve">increasingly focusing on </w:t>
      </w:r>
      <w:r w:rsidR="00A972CD">
        <w:t xml:space="preserve">industry assistance </w:t>
      </w:r>
    </w:p>
    <w:p w14:paraId="249697F9" w14:textId="537C6DA4" w:rsidR="00A972CD" w:rsidRPr="00F96FAA" w:rsidRDefault="00A972CD" w:rsidP="00837C7A">
      <w:pPr>
        <w:pStyle w:val="BodyText"/>
      </w:pPr>
      <w:r w:rsidRPr="00F96FAA">
        <w:t>The Australian Government’s Future Made in Australia (FMIA) agenda has cemented industry policy’s growing role in Australia’s economy.</w:t>
      </w:r>
      <w:r>
        <w:t xml:space="preserve"> </w:t>
      </w:r>
      <w:r w:rsidRPr="00F96FAA">
        <w:t xml:space="preserve">In December 2024, the </w:t>
      </w:r>
      <w:r w:rsidRPr="00D43B91">
        <w:rPr>
          <w:i/>
        </w:rPr>
        <w:t>Future Made in Australia Act 2024</w:t>
      </w:r>
      <w:r w:rsidRPr="00F96FAA">
        <w:t xml:space="preserve"> (Cth) commenced.</w:t>
      </w:r>
      <w:r>
        <w:t xml:space="preserve"> </w:t>
      </w:r>
      <w:r w:rsidRPr="00F96FAA">
        <w:t xml:space="preserve">The </w:t>
      </w:r>
      <w:r>
        <w:t>Act</w:t>
      </w:r>
      <w:r w:rsidRPr="00F96FAA">
        <w:t xml:space="preserve"> enshrines a National Interest Framework (NIF) sector assessment process</w:t>
      </w:r>
      <w:r w:rsidR="00450921">
        <w:t>.</w:t>
      </w:r>
      <w:r w:rsidRPr="00F96FAA">
        <w:t xml:space="preserve"> </w:t>
      </w:r>
      <w:r w:rsidR="00450921">
        <w:t>H</w:t>
      </w:r>
      <w:r w:rsidR="006F16CF" w:rsidRPr="006F16CF">
        <w:t>ow</w:t>
      </w:r>
      <w:r w:rsidRPr="00F96FAA">
        <w:t xml:space="preserve"> the framework </w:t>
      </w:r>
      <w:r w:rsidR="006F16CF" w:rsidRPr="006F16CF">
        <w:t xml:space="preserve">is applied in practice </w:t>
      </w:r>
      <w:r w:rsidRPr="00F96FAA">
        <w:t xml:space="preserve">will </w:t>
      </w:r>
      <w:r w:rsidR="006F16CF" w:rsidRPr="006F16CF">
        <w:t xml:space="preserve">start to </w:t>
      </w:r>
      <w:r w:rsidRPr="00F96FAA">
        <w:t xml:space="preserve">be </w:t>
      </w:r>
      <w:r w:rsidR="006F16CF" w:rsidRPr="006F16CF">
        <w:t>seen</w:t>
      </w:r>
      <w:r w:rsidRPr="00F96FAA">
        <w:t xml:space="preserve"> throughout 2025</w:t>
      </w:r>
      <w:r w:rsidR="006F16CF" w:rsidRPr="006F16CF">
        <w:t xml:space="preserve"> and in future years</w:t>
      </w:r>
      <w:r w:rsidRPr="00F96FAA">
        <w:t xml:space="preserve">. </w:t>
      </w:r>
      <w:r>
        <w:t>At this stage, m</w:t>
      </w:r>
      <w:r w:rsidRPr="00F96FAA">
        <w:t>ost FMIA spending is via production tax incentives for critical minerals and hydrogen production</w:t>
      </w:r>
      <w:r>
        <w:t xml:space="preserve"> that will take effect from </w:t>
      </w:r>
      <w:r w:rsidRPr="00F96FAA">
        <w:t>2027</w:t>
      </w:r>
      <w:r w:rsidR="00450921">
        <w:t>–</w:t>
      </w:r>
      <w:r w:rsidRPr="00F96FAA">
        <w:t>28.</w:t>
      </w:r>
    </w:p>
    <w:p w14:paraId="4050EB25" w14:textId="5AD8A53A" w:rsidR="00A972CD" w:rsidRPr="00F96FAA" w:rsidRDefault="00676111" w:rsidP="00837C7A">
      <w:pPr>
        <w:pStyle w:val="BodyText"/>
      </w:pPr>
      <w:r>
        <w:t>The</w:t>
      </w:r>
      <w:r w:rsidR="00A972CD">
        <w:t xml:space="preserve"> PC </w:t>
      </w:r>
      <w:r>
        <w:t>has found</w:t>
      </w:r>
      <w:r w:rsidR="00A972CD">
        <w:t xml:space="preserve"> that the costs of FMIA interventions can be minimised through using alternatives </w:t>
      </w:r>
      <w:r w:rsidR="000C2ED8">
        <w:t>or complements</w:t>
      </w:r>
      <w:r w:rsidR="00A972CD">
        <w:t xml:space="preserve"> to </w:t>
      </w:r>
      <w:r w:rsidR="00A972CD" w:rsidRPr="00F96FAA">
        <w:t>domestic production.</w:t>
      </w:r>
      <w:r w:rsidR="00A972CD">
        <w:t xml:space="preserve"> Such</w:t>
      </w:r>
      <w:r w:rsidR="00A972CD" w:rsidRPr="00F96FAA">
        <w:t xml:space="preserve"> policy options could be explicitly considered as part of the legislated sector assessments</w:t>
      </w:r>
      <w:r w:rsidR="00A84B16">
        <w:t xml:space="preserve"> process</w:t>
      </w:r>
      <w:r w:rsidR="00A972CD" w:rsidRPr="00F96FAA">
        <w:t>.</w:t>
      </w:r>
    </w:p>
    <w:p w14:paraId="43C22DD7" w14:textId="5B02C986" w:rsidR="00A85A12" w:rsidRDefault="00A85A12" w:rsidP="00A85A12">
      <w:pPr>
        <w:pStyle w:val="Heading2-noTOC"/>
      </w:pPr>
      <w:r>
        <w:t xml:space="preserve">Budgetary assistance </w:t>
      </w:r>
      <w:r w:rsidR="00902234">
        <w:t>for trade and industry</w:t>
      </w:r>
      <w:r>
        <w:t xml:space="preserve"> continued to grow in 2023</w:t>
      </w:r>
      <w:r w:rsidR="00200862">
        <w:noBreakHyphen/>
      </w:r>
      <w:r>
        <w:t xml:space="preserve">24 </w:t>
      </w:r>
    </w:p>
    <w:p w14:paraId="429EAA3A" w14:textId="22216E83" w:rsidR="00A85A12" w:rsidRDefault="00A85A12" w:rsidP="00676111">
      <w:pPr>
        <w:pStyle w:val="BodyText"/>
      </w:pPr>
      <w:r>
        <w:t>In 2023</w:t>
      </w:r>
      <w:r w:rsidR="00B24050">
        <w:t>-</w:t>
      </w:r>
      <w:r>
        <w:t>24, Australian government trade and industry budgetary assistance increased by 3.9% to $16.1</w:t>
      </w:r>
      <w:r w:rsidR="00B24050">
        <w:t> </w:t>
      </w:r>
      <w:r>
        <w:t>billion but stayed flat as a percentage of gross domestic product. Of this total, tax concessions contributed 52.3% and budgetary outlays contributed 47.7%. There was an additional $1 billion in assistance in new measures</w:t>
      </w:r>
      <w:r w:rsidR="00676111">
        <w:t>.</w:t>
      </w:r>
      <w:r>
        <w:t xml:space="preserve"> </w:t>
      </w:r>
      <w:r w:rsidR="00F13E1B">
        <w:t>E</w:t>
      </w:r>
      <w:r>
        <w:t>xisting measures fell by $351 million and about $91 million in funding was discontinued – largely due to COVID</w:t>
      </w:r>
      <w:r w:rsidR="00200862">
        <w:noBreakHyphen/>
      </w:r>
      <w:r>
        <w:t>19 measures ceasing.</w:t>
      </w:r>
    </w:p>
    <w:p w14:paraId="5BF5438B" w14:textId="77777777" w:rsidR="00A85A12" w:rsidRPr="00F96FAA" w:rsidRDefault="00A85A12" w:rsidP="00A85A12">
      <w:pPr>
        <w:pStyle w:val="BodyText"/>
      </w:pPr>
      <w:r>
        <w:t>Our analysis of budgetary assistance shows that the industries that benefited the most from this assistance (relative to their share of the economy) were f</w:t>
      </w:r>
      <w:r w:rsidRPr="00F96FAA">
        <w:t>armers, filmmakers and manufacturers</w:t>
      </w:r>
      <w:r>
        <w:t xml:space="preserve">. </w:t>
      </w:r>
      <w:r w:rsidRPr="00F96FAA">
        <w:t>Filmmakers (under the information, media and telecommunications industry) benefitted from an expanded tax credit, drawing in approximately three times more assistance than their share of the economy.</w:t>
      </w:r>
    </w:p>
    <w:p w14:paraId="6B2D087B" w14:textId="15CA8C09" w:rsidR="00A85A12" w:rsidRPr="00F96FAA" w:rsidRDefault="00A85A12" w:rsidP="00A85A12">
      <w:pPr>
        <w:pStyle w:val="BodyText"/>
      </w:pPr>
      <w:r>
        <w:t>The PC has also continued to examine off</w:t>
      </w:r>
      <w:r w:rsidR="00200862">
        <w:noBreakHyphen/>
      </w:r>
      <w:r>
        <w:t xml:space="preserve">budget industry assistance provided through concessional financing activities. </w:t>
      </w:r>
      <w:r w:rsidR="000179E5">
        <w:t>Concessional finance refers to loans provided</w:t>
      </w:r>
      <w:r w:rsidR="000A0936">
        <w:t xml:space="preserve"> by government </w:t>
      </w:r>
      <w:r w:rsidR="00D35087">
        <w:t>entities</w:t>
      </w:r>
      <w:r w:rsidR="000179E5">
        <w:t xml:space="preserve"> on more favourable terms than </w:t>
      </w:r>
      <w:r w:rsidR="0054150F">
        <w:t>borrowers could</w:t>
      </w:r>
      <w:r w:rsidR="000179E5">
        <w:t xml:space="preserve"> otherwise</w:t>
      </w:r>
      <w:r w:rsidR="0054150F">
        <w:t xml:space="preserve"> find </w:t>
      </w:r>
      <w:r w:rsidR="000179E5">
        <w:t>in the market</w:t>
      </w:r>
      <w:r w:rsidR="0054150F">
        <w:t>place</w:t>
      </w:r>
      <w:r w:rsidR="00513D62">
        <w:t xml:space="preserve"> </w:t>
      </w:r>
      <w:r w:rsidR="00410539" w:rsidRPr="00410539">
        <w:rPr>
          <w:rFonts w:ascii="Arial" w:hAnsi="Arial" w:cs="Arial"/>
        </w:rPr>
        <w:t>(Finance 2020, p. 5)</w:t>
      </w:r>
      <w:r w:rsidR="000179E5">
        <w:t xml:space="preserve">. </w:t>
      </w:r>
      <w:r>
        <w:t>We estimate that</w:t>
      </w:r>
      <w:r w:rsidRPr="00F96FAA">
        <w:t xml:space="preserve"> the Australian Government provided $127.2 million in assistance to industry through concessional finance in 2023</w:t>
      </w:r>
      <w:r w:rsidR="00B24050">
        <w:t>-</w:t>
      </w:r>
      <w:r w:rsidRPr="00F96FAA">
        <w:t>24 (excluding Export Finance Australia</w:t>
      </w:r>
      <w:r w:rsidR="00F512FE" w:rsidRPr="00F96FAA">
        <w:t>)</w:t>
      </w:r>
      <w:r w:rsidR="00F512FE">
        <w:t>, which</w:t>
      </w:r>
      <w:r>
        <w:t xml:space="preserve"> represents</w:t>
      </w:r>
      <w:r w:rsidRPr="00F96FAA">
        <w:t xml:space="preserve"> a </w:t>
      </w:r>
      <w:r>
        <w:t>slight fall from 2022</w:t>
      </w:r>
      <w:r w:rsidR="00B24050">
        <w:t>-</w:t>
      </w:r>
      <w:r>
        <w:t>23</w:t>
      </w:r>
      <w:r w:rsidR="00F512FE">
        <w:t xml:space="preserve">. </w:t>
      </w:r>
      <w:r w:rsidR="00F512FE" w:rsidRPr="00213BF1">
        <w:t>However</w:t>
      </w:r>
      <w:r w:rsidR="00615E3C" w:rsidRPr="00213BF1">
        <w:t>,</w:t>
      </w:r>
      <w:r w:rsidR="00F512FE" w:rsidRPr="00213BF1">
        <w:t xml:space="preserve"> programs such as the National Reconstruction Fund suggest that governments are </w:t>
      </w:r>
      <w:r w:rsidR="00F512FE">
        <w:t>making</w:t>
      </w:r>
      <w:r w:rsidR="00F512FE" w:rsidRPr="00213BF1">
        <w:t xml:space="preserve"> increasing use of concessional finance, </w:t>
      </w:r>
      <w:r w:rsidR="00F512FE">
        <w:t>so it is likely to grow in the medium term</w:t>
      </w:r>
      <w:r w:rsidRPr="00F96FAA">
        <w:t>.</w:t>
      </w:r>
    </w:p>
    <w:p w14:paraId="6D7148DD" w14:textId="4B09E147" w:rsidR="00A972CD" w:rsidRDefault="00A972CD" w:rsidP="00EF669E">
      <w:pPr>
        <w:pStyle w:val="Heading2-noTOC"/>
        <w:keepNext/>
      </w:pPr>
      <w:r>
        <w:lastRenderedPageBreak/>
        <w:t xml:space="preserve">Foreign investment in Australia </w:t>
      </w:r>
      <w:r w:rsidR="008E7538">
        <w:t xml:space="preserve">also </w:t>
      </w:r>
      <w:r>
        <w:t>continued to grow</w:t>
      </w:r>
    </w:p>
    <w:p w14:paraId="2E0543DE" w14:textId="09CB43C7" w:rsidR="00A972CD" w:rsidRDefault="002A732C" w:rsidP="00837C7A">
      <w:pPr>
        <w:pStyle w:val="BodyText"/>
      </w:pPr>
      <w:r>
        <w:t>I</w:t>
      </w:r>
      <w:r w:rsidR="00A972CD">
        <w:t xml:space="preserve">nternational policy settings also </w:t>
      </w:r>
      <w:r>
        <w:t>impact</w:t>
      </w:r>
      <w:r w:rsidR="00A972CD">
        <w:t xml:space="preserve"> financial capital flows. As a small open economy, Australia benefits from net savings from </w:t>
      </w:r>
      <w:r>
        <w:t>the</w:t>
      </w:r>
      <w:r w:rsidR="00A972CD">
        <w:t xml:space="preserve"> foreign sector and continues to be a net exporter of equity investment and a net importer of debt investment.</w:t>
      </w:r>
    </w:p>
    <w:p w14:paraId="1B095F9C" w14:textId="1F79C1FB" w:rsidR="00A972CD" w:rsidRDefault="00A972CD" w:rsidP="00837C7A">
      <w:pPr>
        <w:pStyle w:val="BodyText"/>
      </w:pPr>
      <w:r>
        <w:t>In 2023</w:t>
      </w:r>
      <w:r w:rsidR="00B24050">
        <w:t>-</w:t>
      </w:r>
      <w:r>
        <w:t>24, the value of foreign investment approvals increased, with the value of foreign investment applications increasing to $193.6 billion, up from $181 billion the previous year. At the same time, the number of applications fell by 13.8%, from 7,</w:t>
      </w:r>
      <w:r w:rsidR="00C125E6">
        <w:t>891</w:t>
      </w:r>
      <w:r>
        <w:t xml:space="preserve"> in 2022</w:t>
      </w:r>
      <w:r w:rsidR="00C125E6">
        <w:t>-</w:t>
      </w:r>
      <w:r>
        <w:t>23 to 6,805 in 2023</w:t>
      </w:r>
      <w:r w:rsidR="00200862">
        <w:noBreakHyphen/>
      </w:r>
      <w:r>
        <w:t>24, meaning the fewer approvals had a higher average value.</w:t>
      </w:r>
    </w:p>
    <w:p w14:paraId="51A5B3D8" w14:textId="6C399F89" w:rsidR="00A972CD" w:rsidRPr="006B4F14" w:rsidRDefault="00A972CD" w:rsidP="00837C7A">
      <w:pPr>
        <w:pStyle w:val="BodyText"/>
        <w:rPr>
          <w:spacing w:val="-2"/>
        </w:rPr>
      </w:pPr>
      <w:r w:rsidRPr="006B4F14">
        <w:rPr>
          <w:spacing w:val="-2"/>
        </w:rPr>
        <w:t xml:space="preserve">Australia’s international investment position grew by the end of 2024. The increasing international investment position was driven by Australia’s growing net asset position in equity, which increased from </w:t>
      </w:r>
      <w:r w:rsidR="00F100F5" w:rsidRPr="006B4F14">
        <w:rPr>
          <w:spacing w:val="-2"/>
        </w:rPr>
        <w:t>14</w:t>
      </w:r>
      <w:r w:rsidRPr="006B4F14">
        <w:rPr>
          <w:spacing w:val="-2"/>
        </w:rPr>
        <w:t xml:space="preserve">.7% to </w:t>
      </w:r>
      <w:r w:rsidR="00F100F5" w:rsidRPr="006B4F14">
        <w:rPr>
          <w:spacing w:val="-2"/>
        </w:rPr>
        <w:t>27</w:t>
      </w:r>
      <w:r w:rsidRPr="006B4F14">
        <w:rPr>
          <w:spacing w:val="-2"/>
        </w:rPr>
        <w:t xml:space="preserve">% of GDP over </w:t>
      </w:r>
      <w:r w:rsidR="00C239C3" w:rsidRPr="006B4F14">
        <w:rPr>
          <w:spacing w:val="-2"/>
        </w:rPr>
        <w:t>2024</w:t>
      </w:r>
      <w:r w:rsidRPr="006B4F14">
        <w:rPr>
          <w:spacing w:val="-2"/>
        </w:rPr>
        <w:t xml:space="preserve">. The superannuation sector is the main holder of Australian equities and is a key driver in this underlying trend. Net foreign debt has risen to 51% of GDP at the end of 2024 </w:t>
      </w:r>
      <w:r w:rsidR="00CF390C" w:rsidRPr="006B4F14">
        <w:rPr>
          <w:spacing w:val="-2"/>
        </w:rPr>
        <w:t>from</w:t>
      </w:r>
      <w:r w:rsidRPr="006B4F14">
        <w:rPr>
          <w:spacing w:val="-2"/>
        </w:rPr>
        <w:t xml:space="preserve"> 45.9% at the end of 2023.</w:t>
      </w:r>
    </w:p>
    <w:p w14:paraId="5925DC54" w14:textId="77777777" w:rsidR="00A972CD" w:rsidRDefault="0095394D" w:rsidP="00837C7A">
      <w:pPr>
        <w:pStyle w:val="BodyText"/>
      </w:pPr>
      <w:r>
        <w:t>Over</w:t>
      </w:r>
      <w:r w:rsidR="00A972CD" w:rsidDel="005C29BF">
        <w:t xml:space="preserve"> the </w:t>
      </w:r>
      <w:r>
        <w:t>year</w:t>
      </w:r>
      <w:r w:rsidR="00A972CD">
        <w:t>, the Australian Government has progressed reforms to encourage foreign investment in ‘build to rent’ housing and in sectors aligned with ‘Future Made in Australia’</w:t>
      </w:r>
      <w:r>
        <w:t>. The Government has</w:t>
      </w:r>
      <w:r w:rsidR="00A972CD">
        <w:t xml:space="preserve"> also </w:t>
      </w:r>
      <w:r>
        <w:t>put</w:t>
      </w:r>
      <w:r w:rsidR="00A972CD">
        <w:t xml:space="preserve"> in place a temporary ban on certain types of foreign residential real estate investment. </w:t>
      </w:r>
    </w:p>
    <w:p w14:paraId="1CE2A476" w14:textId="77777777" w:rsidR="008C76AF" w:rsidRDefault="008C76AF" w:rsidP="00837C7A">
      <w:pPr>
        <w:pStyle w:val="BodyText"/>
      </w:pPr>
    </w:p>
    <w:p w14:paraId="477C4725" w14:textId="77777777" w:rsidR="001F5BBB" w:rsidRDefault="001F5BBB">
      <w:pPr>
        <w:spacing w:before="0" w:after="160" w:line="259" w:lineRule="auto"/>
        <w:sectPr w:rsidR="001F5BBB" w:rsidSect="00A972CD">
          <w:headerReference w:type="even" r:id="rId34"/>
          <w:headerReference w:type="default" r:id="rId35"/>
          <w:footerReference w:type="even" r:id="rId36"/>
          <w:headerReference w:type="first" r:id="rId37"/>
          <w:footerReference w:type="first" r:id="rId38"/>
          <w:type w:val="oddPage"/>
          <w:pgSz w:w="11906" w:h="16838" w:code="9"/>
          <w:pgMar w:top="1134" w:right="1134" w:bottom="1134" w:left="1134" w:header="794" w:footer="510" w:gutter="0"/>
          <w:pgNumType w:start="1"/>
          <w:cols w:space="708"/>
          <w:docGrid w:linePitch="360"/>
        </w:sectPr>
      </w:pPr>
    </w:p>
    <w:p w14:paraId="152951FF" w14:textId="0FD026E9" w:rsidR="0033437A" w:rsidRDefault="0033437A">
      <w:pPr>
        <w:spacing w:before="0" w:after="160" w:line="259" w:lineRule="auto"/>
      </w:pPr>
    </w:p>
    <w:p w14:paraId="178F00DC" w14:textId="77777777" w:rsidR="0033437A" w:rsidRDefault="0033437A" w:rsidP="00837C7A">
      <w:pPr>
        <w:pStyle w:val="BodyText"/>
      </w:pPr>
    </w:p>
    <w:p w14:paraId="6BCD2251" w14:textId="5FD91963" w:rsidR="0033437A" w:rsidRDefault="0033437A" w:rsidP="00837C7A">
      <w:pPr>
        <w:pStyle w:val="BodyText"/>
        <w:sectPr w:rsidR="0033437A" w:rsidSect="008C76AF">
          <w:headerReference w:type="even" r:id="rId39"/>
          <w:headerReference w:type="default" r:id="rId40"/>
          <w:pgSz w:w="11906" w:h="16838" w:code="9"/>
          <w:pgMar w:top="1134" w:right="1134" w:bottom="1134" w:left="1134" w:header="794" w:footer="510" w:gutter="0"/>
          <w:cols w:space="708"/>
          <w:docGrid w:linePitch="360"/>
        </w:sectPr>
      </w:pPr>
    </w:p>
    <w:p w14:paraId="5D99BDDA" w14:textId="712C3DCF" w:rsidR="00A972CD" w:rsidRPr="00C21A75" w:rsidRDefault="00561296" w:rsidP="00DD7735">
      <w:pPr>
        <w:pStyle w:val="Heading1"/>
      </w:pPr>
      <w:bookmarkStart w:id="20" w:name="_Toc202477845"/>
      <w:r>
        <w:lastRenderedPageBreak/>
        <w:t>International t</w:t>
      </w:r>
      <w:r w:rsidR="00A972CD" w:rsidRPr="00C21A75">
        <w:t>rade policy developments</w:t>
      </w:r>
      <w:bookmarkEnd w:id="20"/>
    </w:p>
    <w:tbl>
      <w:tblPr>
        <w:tblStyle w:val="Texttable-Paleblue"/>
        <w:tblW w:w="5000" w:type="pct"/>
        <w:shd w:val="clear" w:color="auto" w:fill="E7F6FD"/>
        <w:tblLook w:val="04A0" w:firstRow="1" w:lastRow="0" w:firstColumn="1" w:lastColumn="0" w:noHBand="0" w:noVBand="1"/>
      </w:tblPr>
      <w:tblGrid>
        <w:gridCol w:w="577"/>
        <w:gridCol w:w="9061"/>
      </w:tblGrid>
      <w:tr w:rsidR="0003329E" w:rsidRPr="002F759A" w14:paraId="0D2E6F49" w14:textId="77777777" w:rsidTr="00616F0E">
        <w:tc>
          <w:tcPr>
            <w:tcW w:w="9638" w:type="dxa"/>
            <w:gridSpan w:val="2"/>
            <w:shd w:val="clear" w:color="auto" w:fill="E7F6FD"/>
            <w:tcMar>
              <w:left w:w="170" w:type="dxa"/>
            </w:tcMar>
          </w:tcPr>
          <w:p w14:paraId="348C809A" w14:textId="77777777" w:rsidR="0003329E" w:rsidRPr="002F759A" w:rsidRDefault="0003329E" w:rsidP="001C79A3">
            <w:pPr>
              <w:pStyle w:val="Keypoints-heading"/>
            </w:pPr>
            <w:r w:rsidRPr="002F759A">
              <w:t>Key points</w:t>
            </w:r>
          </w:p>
        </w:tc>
      </w:tr>
      <w:tr w:rsidR="0003329E" w14:paraId="79926E36" w14:textId="77777777" w:rsidTr="00616F0E">
        <w:tc>
          <w:tcPr>
            <w:tcW w:w="577" w:type="dxa"/>
            <w:shd w:val="clear" w:color="auto" w:fill="E7F6FD"/>
            <w:tcMar>
              <w:top w:w="0" w:type="dxa"/>
              <w:bottom w:w="0" w:type="dxa"/>
              <w:right w:w="113" w:type="dxa"/>
            </w:tcMar>
          </w:tcPr>
          <w:p w14:paraId="4970071B" w14:textId="77777777" w:rsidR="0003329E" w:rsidRDefault="0003329E" w:rsidP="000C6B77">
            <w:pPr>
              <w:pStyle w:val="KeyPointsicon"/>
            </w:pPr>
            <w:r w:rsidRPr="00A51374">
              <w:rPr>
                <w:noProof/>
              </w:rPr>
              <w:drawing>
                <wp:inline distT="0" distB="0" distL="0" distR="0" wp14:anchorId="1672DB86" wp14:editId="4F5C54C2">
                  <wp:extent cx="180000" cy="180000"/>
                  <wp:effectExtent l="0" t="0" r="0" b="0"/>
                  <wp:docPr id="57007349" name="Graphic 57007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DB6ACBE" w14:textId="2C20CF33" w:rsidR="0003329E" w:rsidRDefault="004C75F3" w:rsidP="004C75F3">
            <w:pPr>
              <w:pStyle w:val="KeyPoints-Bold"/>
            </w:pPr>
            <w:r w:rsidRPr="004C75F3">
              <w:t>The past year has seen significant changes in global trade policy settings.</w:t>
            </w:r>
          </w:p>
          <w:p w14:paraId="273E3E4C" w14:textId="2021C9E0" w:rsidR="007D0009" w:rsidRDefault="00AB0A81" w:rsidP="00373FE1">
            <w:pPr>
              <w:pStyle w:val="KeyPoints-Bullet"/>
            </w:pPr>
            <w:r>
              <w:t xml:space="preserve">The </w:t>
            </w:r>
            <w:r w:rsidR="0013259C">
              <w:t xml:space="preserve">US </w:t>
            </w:r>
            <w:r>
              <w:t xml:space="preserve">has imposed </w:t>
            </w:r>
            <w:r w:rsidR="000A107E">
              <w:t xml:space="preserve">tariffs on </w:t>
            </w:r>
            <w:r w:rsidR="00221B2F">
              <w:t xml:space="preserve">particular products and </w:t>
            </w:r>
            <w:r w:rsidR="000A107E">
              <w:t>several trading partners</w:t>
            </w:r>
            <w:r w:rsidR="007D0009">
              <w:t xml:space="preserve">, </w:t>
            </w:r>
            <w:r w:rsidR="00480888">
              <w:t>while</w:t>
            </w:r>
            <w:r w:rsidR="007D0009">
              <w:t xml:space="preserve"> some </w:t>
            </w:r>
            <w:r w:rsidR="00221B2F">
              <w:t xml:space="preserve">trading partners </w:t>
            </w:r>
            <w:r w:rsidR="007D0009">
              <w:t>have responded with tariffs of their own</w:t>
            </w:r>
            <w:r w:rsidR="00754004">
              <w:t>.</w:t>
            </w:r>
          </w:p>
          <w:p w14:paraId="0B98A22E" w14:textId="3B3049AB" w:rsidR="00F01C73" w:rsidRDefault="009F7FC0" w:rsidP="00F33EF0">
            <w:pPr>
              <w:pStyle w:val="KeyPoints-Bullet"/>
            </w:pPr>
            <w:r>
              <w:t>Tariffs</w:t>
            </w:r>
            <w:r w:rsidR="008613A3">
              <w:t xml:space="preserve">, </w:t>
            </w:r>
            <w:r>
              <w:t xml:space="preserve">retaliatory tariffs </w:t>
            </w:r>
            <w:r w:rsidR="008613A3">
              <w:t>and</w:t>
            </w:r>
            <w:r w:rsidR="00F01C73">
              <w:t xml:space="preserve"> protectionist settings </w:t>
            </w:r>
            <w:r w:rsidR="0086523C">
              <w:t>risk</w:t>
            </w:r>
            <w:r w:rsidR="00F01C73">
              <w:t xml:space="preserve"> the gains </w:t>
            </w:r>
            <w:r w:rsidR="008B2B1E">
              <w:t>to Australian and global living standards</w:t>
            </w:r>
            <w:r w:rsidR="00F01C73">
              <w:t xml:space="preserve"> that have been achieved </w:t>
            </w:r>
            <w:r w:rsidR="00903A2F">
              <w:t>because of</w:t>
            </w:r>
            <w:r w:rsidR="00F01C73">
              <w:t xml:space="preserve"> the economic consensus </w:t>
            </w:r>
            <w:r w:rsidR="00544373">
              <w:t>on the benefits of trade liberalisation</w:t>
            </w:r>
            <w:r w:rsidR="00F01C73">
              <w:t>.</w:t>
            </w:r>
          </w:p>
        </w:tc>
      </w:tr>
      <w:tr w:rsidR="0066257E" w:rsidRPr="0066257E" w14:paraId="7049B7F2" w14:textId="77777777" w:rsidTr="00616F0E">
        <w:tc>
          <w:tcPr>
            <w:tcW w:w="577" w:type="dxa"/>
            <w:shd w:val="clear" w:color="auto" w:fill="E7F6FD"/>
            <w:tcMar>
              <w:top w:w="0" w:type="dxa"/>
              <w:bottom w:w="0" w:type="dxa"/>
              <w:right w:w="113" w:type="dxa"/>
            </w:tcMar>
          </w:tcPr>
          <w:p w14:paraId="04C0CF4E" w14:textId="77777777" w:rsidR="0066257E" w:rsidRPr="0066257E" w:rsidRDefault="0066257E" w:rsidP="0066257E">
            <w:pPr>
              <w:pStyle w:val="KeyPointsicon"/>
            </w:pPr>
            <w:r w:rsidRPr="0066257E">
              <w:rPr>
                <w:noProof/>
              </w:rPr>
              <w:drawing>
                <wp:inline distT="0" distB="0" distL="0" distR="0" wp14:anchorId="63BBB8F8" wp14:editId="33B3ED04">
                  <wp:extent cx="180000" cy="180000"/>
                  <wp:effectExtent l="0" t="0" r="0" b="0"/>
                  <wp:docPr id="842911063" name="Graphic 842911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DD9AB5" w14:textId="4A2B0E71" w:rsidR="0066257E" w:rsidRPr="0066257E" w:rsidRDefault="0066257E" w:rsidP="000C0640">
            <w:pPr>
              <w:pStyle w:val="KeyPoints-Bold"/>
            </w:pPr>
            <w:r w:rsidRPr="0066257E">
              <w:t xml:space="preserve">Our modelling indicates that </w:t>
            </w:r>
            <w:r w:rsidR="0086523C">
              <w:t xml:space="preserve">in the long run, </w:t>
            </w:r>
            <w:r w:rsidRPr="0066257E">
              <w:t xml:space="preserve">the </w:t>
            </w:r>
            <w:r w:rsidR="0040117F">
              <w:t xml:space="preserve">direct </w:t>
            </w:r>
            <w:r w:rsidRPr="0066257E">
              <w:t>impacts on Australia from US tariff</w:t>
            </w:r>
            <w:r w:rsidR="007136C9">
              <w:t xml:space="preserve"> changes</w:t>
            </w:r>
            <w:r w:rsidRPr="0066257E">
              <w:t xml:space="preserve"> are likely to be small </w:t>
            </w:r>
            <w:r w:rsidR="00F23369">
              <w:t>(</w:t>
            </w:r>
            <w:r w:rsidRPr="0066257E">
              <w:t>and positive</w:t>
            </w:r>
            <w:r w:rsidR="00F23369">
              <w:t>)</w:t>
            </w:r>
            <w:r w:rsidRPr="0066257E">
              <w:t>, despite negative impacts on the global economy.</w:t>
            </w:r>
          </w:p>
          <w:p w14:paraId="1784F483" w14:textId="4686F12C" w:rsidR="0066257E" w:rsidRPr="0066257E" w:rsidRDefault="0066257E" w:rsidP="00F33EF0">
            <w:pPr>
              <w:pStyle w:val="KeyPoints-Bullet"/>
            </w:pPr>
            <w:r w:rsidRPr="0066257E">
              <w:t>Cheaper imports from the rest of the world, and an outflow of productive capital from the US and high</w:t>
            </w:r>
            <w:r w:rsidR="00200862">
              <w:noBreakHyphen/>
            </w:r>
            <w:r w:rsidRPr="0066257E">
              <w:t xml:space="preserve">tariffed economies, would stimulate Australian production. For example, US ‘Liberation Day’ tariffs </w:t>
            </w:r>
            <w:r w:rsidR="00F374AC">
              <w:t xml:space="preserve">and tariffs on aluminium, steel and automobiles and parts </w:t>
            </w:r>
            <w:r w:rsidRPr="0066257E">
              <w:t xml:space="preserve">could </w:t>
            </w:r>
            <w:r w:rsidR="001E42F7">
              <w:t xml:space="preserve">lead to an </w:t>
            </w:r>
            <w:r w:rsidRPr="0066257E">
              <w:t>increase</w:t>
            </w:r>
            <w:r w:rsidR="001E42F7">
              <w:t xml:space="preserve"> in</w:t>
            </w:r>
            <w:r w:rsidRPr="0066257E">
              <w:t xml:space="preserve"> Australian real </w:t>
            </w:r>
            <w:r w:rsidR="00532682">
              <w:t>Gross Domestic Product</w:t>
            </w:r>
            <w:r w:rsidR="00532682" w:rsidRPr="0066257E">
              <w:t xml:space="preserve"> </w:t>
            </w:r>
            <w:r w:rsidR="00407DAF">
              <w:t>(GDP)</w:t>
            </w:r>
            <w:r w:rsidR="00532682" w:rsidRPr="0066257E">
              <w:t xml:space="preserve"> </w:t>
            </w:r>
            <w:r w:rsidR="001E42F7">
              <w:t>of</w:t>
            </w:r>
            <w:r w:rsidRPr="0066257E">
              <w:t xml:space="preserve"> 0.3</w:t>
            </w:r>
            <w:r w:rsidR="00D935C9">
              <w:t>7</w:t>
            </w:r>
            <w:r w:rsidRPr="0066257E">
              <w:t xml:space="preserve">%. </w:t>
            </w:r>
          </w:p>
          <w:p w14:paraId="260853A3" w14:textId="3BF6C956" w:rsidR="009D4A65" w:rsidRPr="004E4899" w:rsidRDefault="009D4A65" w:rsidP="00373FE1">
            <w:pPr>
              <w:pStyle w:val="KeyPoints-Bullet"/>
              <w:rPr>
                <w:spacing w:val="-4"/>
              </w:rPr>
            </w:pPr>
            <w:r w:rsidRPr="004E4899">
              <w:rPr>
                <w:spacing w:val="-4"/>
              </w:rPr>
              <w:t xml:space="preserve">Australia should not retaliate </w:t>
            </w:r>
            <w:r w:rsidR="00316D3A" w:rsidRPr="004E4899">
              <w:rPr>
                <w:spacing w:val="-4"/>
              </w:rPr>
              <w:t xml:space="preserve">with its own tariffs </w:t>
            </w:r>
            <w:r w:rsidR="006E0E98" w:rsidRPr="004E4899">
              <w:rPr>
                <w:spacing w:val="-4"/>
              </w:rPr>
              <w:t xml:space="preserve">in response </w:t>
            </w:r>
            <w:r w:rsidR="00316D3A" w:rsidRPr="004E4899">
              <w:rPr>
                <w:spacing w:val="-4"/>
              </w:rPr>
              <w:t xml:space="preserve">to tariffs imposed by </w:t>
            </w:r>
            <w:r w:rsidR="00E94F91" w:rsidRPr="004E4899">
              <w:rPr>
                <w:spacing w:val="-4"/>
              </w:rPr>
              <w:t xml:space="preserve">the US or </w:t>
            </w:r>
            <w:r w:rsidR="00316D3A" w:rsidRPr="004E4899">
              <w:rPr>
                <w:spacing w:val="-4"/>
              </w:rPr>
              <w:t xml:space="preserve">other trading partners. </w:t>
            </w:r>
            <w:r w:rsidR="005F4368" w:rsidRPr="004E4899">
              <w:rPr>
                <w:spacing w:val="-4"/>
              </w:rPr>
              <w:t xml:space="preserve">Imposing retaliatory tariffs </w:t>
            </w:r>
            <w:r w:rsidR="00612092" w:rsidRPr="004E4899">
              <w:rPr>
                <w:spacing w:val="-4"/>
              </w:rPr>
              <w:t>leads to worse economic outcomes for Australia</w:t>
            </w:r>
            <w:r w:rsidR="00C13605" w:rsidRPr="004E4899">
              <w:rPr>
                <w:spacing w:val="-4"/>
              </w:rPr>
              <w:t xml:space="preserve"> – for example, if the US imposed a 10% tariff on all imports and </w:t>
            </w:r>
            <w:r w:rsidR="000F6B52" w:rsidRPr="004E4899">
              <w:rPr>
                <w:spacing w:val="-4"/>
              </w:rPr>
              <w:t xml:space="preserve">Australia retaliated </w:t>
            </w:r>
            <w:r w:rsidR="006E14C7" w:rsidRPr="004E4899">
              <w:rPr>
                <w:spacing w:val="-4"/>
              </w:rPr>
              <w:t>alongside</w:t>
            </w:r>
            <w:r w:rsidR="001638F4" w:rsidRPr="004E4899">
              <w:rPr>
                <w:spacing w:val="-4"/>
              </w:rPr>
              <w:t xml:space="preserve"> </w:t>
            </w:r>
            <w:r w:rsidR="00C13605" w:rsidRPr="004E4899">
              <w:rPr>
                <w:spacing w:val="-4"/>
              </w:rPr>
              <w:t xml:space="preserve">other countries </w:t>
            </w:r>
            <w:r w:rsidR="000F6B52" w:rsidRPr="004E4899">
              <w:rPr>
                <w:spacing w:val="-4"/>
              </w:rPr>
              <w:t xml:space="preserve">by imposing </w:t>
            </w:r>
            <w:r w:rsidR="003F49F9" w:rsidRPr="004E4899">
              <w:rPr>
                <w:spacing w:val="-4"/>
              </w:rPr>
              <w:t>a 10% tariff on imports from the US</w:t>
            </w:r>
            <w:r w:rsidR="00C13605" w:rsidRPr="004E4899">
              <w:rPr>
                <w:spacing w:val="-4"/>
              </w:rPr>
              <w:t>, Au</w:t>
            </w:r>
            <w:r w:rsidR="00612978" w:rsidRPr="004E4899">
              <w:rPr>
                <w:spacing w:val="-4"/>
              </w:rPr>
              <w:t>stralian GDP would be 0.14</w:t>
            </w:r>
            <w:r w:rsidR="00D66EE0" w:rsidRPr="004E4899">
              <w:rPr>
                <w:spacing w:val="-4"/>
              </w:rPr>
              <w:t xml:space="preserve"> percentage points </w:t>
            </w:r>
            <w:r w:rsidR="001638F4" w:rsidRPr="004E4899">
              <w:rPr>
                <w:spacing w:val="-4"/>
              </w:rPr>
              <w:t xml:space="preserve">lower than </w:t>
            </w:r>
            <w:r w:rsidR="00D66EE0" w:rsidRPr="004E4899">
              <w:rPr>
                <w:spacing w:val="-4"/>
              </w:rPr>
              <w:t>if Australia chose not to retaliate.</w:t>
            </w:r>
          </w:p>
          <w:p w14:paraId="62A508A6" w14:textId="0729BE89" w:rsidR="0066257E" w:rsidRPr="0066257E" w:rsidRDefault="0066257E" w:rsidP="00F33EF0">
            <w:pPr>
              <w:pStyle w:val="KeyPoints-Bullet"/>
            </w:pPr>
            <w:r w:rsidRPr="0066257E">
              <w:t xml:space="preserve">Australia’s best response to US tariffs </w:t>
            </w:r>
            <w:r w:rsidR="001F07D7">
              <w:t xml:space="preserve">is </w:t>
            </w:r>
            <w:r w:rsidRPr="0066257E">
              <w:t xml:space="preserve">to continue </w:t>
            </w:r>
            <w:r w:rsidR="0061190A">
              <w:t xml:space="preserve">embracing </w:t>
            </w:r>
            <w:r w:rsidRPr="0066257E">
              <w:t xml:space="preserve">free trade. </w:t>
            </w:r>
            <w:r w:rsidR="00B845A7">
              <w:t xml:space="preserve">Removing Australia’s remaining tariffs would </w:t>
            </w:r>
            <w:r w:rsidR="00B1149C">
              <w:t xml:space="preserve">maximise the benefits to Australian production from </w:t>
            </w:r>
            <w:r w:rsidR="00B723D7">
              <w:t>other</w:t>
            </w:r>
            <w:r w:rsidR="00DA4E2C">
              <w:t xml:space="preserve"> countries</w:t>
            </w:r>
            <w:r w:rsidR="006E14C7">
              <w:t xml:space="preserve"> imposing </w:t>
            </w:r>
            <w:r w:rsidR="00DA4E2C">
              <w:t xml:space="preserve">tariffs. </w:t>
            </w:r>
          </w:p>
        </w:tc>
      </w:tr>
      <w:tr w:rsidR="0066257E" w:rsidRPr="0066257E" w14:paraId="1F32322D" w14:textId="77777777" w:rsidTr="00616F0E">
        <w:tc>
          <w:tcPr>
            <w:tcW w:w="577" w:type="dxa"/>
            <w:shd w:val="clear" w:color="auto" w:fill="E7F6FD"/>
            <w:tcMar>
              <w:top w:w="0" w:type="dxa"/>
              <w:bottom w:w="0" w:type="dxa"/>
              <w:right w:w="113" w:type="dxa"/>
            </w:tcMar>
          </w:tcPr>
          <w:p w14:paraId="5722B17A" w14:textId="77777777" w:rsidR="0066257E" w:rsidRPr="0066257E" w:rsidRDefault="0066257E" w:rsidP="0066257E">
            <w:pPr>
              <w:pStyle w:val="KeyPointsicon"/>
            </w:pPr>
            <w:r w:rsidRPr="0066257E">
              <w:rPr>
                <w:noProof/>
              </w:rPr>
              <w:drawing>
                <wp:inline distT="0" distB="0" distL="0" distR="0" wp14:anchorId="18989403" wp14:editId="3072FD99">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8FF8B2E" w14:textId="77777777" w:rsidR="0066257E" w:rsidRPr="0066257E" w:rsidRDefault="0066257E" w:rsidP="000C0640">
            <w:pPr>
              <w:pStyle w:val="KeyPoints-Bold"/>
            </w:pPr>
            <w:r w:rsidRPr="0066257E">
              <w:t>However, growing economic uncertainty will slow global economic activity, household consumption and business investment.</w:t>
            </w:r>
          </w:p>
          <w:p w14:paraId="197A5BF8" w14:textId="0A004EAB" w:rsidR="00230A2D" w:rsidRDefault="003D666B" w:rsidP="000C0640">
            <w:pPr>
              <w:pStyle w:val="KeyPoints-Bullet"/>
            </w:pPr>
            <w:r>
              <w:t>In 2025, e</w:t>
            </w:r>
            <w:r w:rsidR="00312C82">
              <w:t xml:space="preserve">conomic uncertainty in Australia and globally </w:t>
            </w:r>
            <w:r w:rsidR="00D52109">
              <w:t>reached</w:t>
            </w:r>
            <w:r w:rsidR="00312C82">
              <w:t xml:space="preserve"> their highest levels since COVID</w:t>
            </w:r>
            <w:r w:rsidR="00200862">
              <w:noBreakHyphen/>
            </w:r>
            <w:r w:rsidR="00312C82">
              <w:t xml:space="preserve">19 </w:t>
            </w:r>
            <w:r w:rsidR="00863343">
              <w:t xml:space="preserve">according to </w:t>
            </w:r>
            <w:r w:rsidR="0016194F">
              <w:t>several</w:t>
            </w:r>
            <w:r w:rsidR="00863343">
              <w:t xml:space="preserve"> measures</w:t>
            </w:r>
            <w:r w:rsidR="00BC6116">
              <w:t xml:space="preserve"> constructed by leading academic researchers</w:t>
            </w:r>
            <w:r w:rsidR="00863343">
              <w:t>.</w:t>
            </w:r>
          </w:p>
          <w:p w14:paraId="2E8B5933" w14:textId="3BE9739E" w:rsidR="0066257E" w:rsidRPr="0066257E" w:rsidRDefault="0066257E" w:rsidP="00F33EF0">
            <w:pPr>
              <w:pStyle w:val="KeyPoints-Bullet"/>
            </w:pPr>
            <w:r w:rsidRPr="0066257E">
              <w:t xml:space="preserve">Uncertainty has a chilling effect on economic decisions by increasing the relative benefit of waiting to act. </w:t>
            </w:r>
          </w:p>
          <w:p w14:paraId="32E9CC2D" w14:textId="77777777" w:rsidR="0066257E" w:rsidRPr="0066257E" w:rsidRDefault="0066257E" w:rsidP="00F33EF0">
            <w:pPr>
              <w:pStyle w:val="KeyPoints-Bullet"/>
            </w:pPr>
            <w:r w:rsidRPr="0066257E">
              <w:t xml:space="preserve">Trade policy uncertainty will particularly slow irreversible investment decisions by firms, including entry into new export markets and the adoption of new imported inputs and production technologies. </w:t>
            </w:r>
          </w:p>
          <w:p w14:paraId="4E4A9B3C" w14:textId="095B9524" w:rsidR="0066257E" w:rsidRPr="004E4899" w:rsidRDefault="00A02964" w:rsidP="00F33EF0">
            <w:pPr>
              <w:pStyle w:val="KeyPoints-Bullet"/>
              <w:rPr>
                <w:spacing w:val="-2"/>
              </w:rPr>
            </w:pPr>
            <w:r w:rsidRPr="004E4899">
              <w:rPr>
                <w:spacing w:val="-2"/>
              </w:rPr>
              <w:t>Reducing</w:t>
            </w:r>
            <w:r w:rsidR="0066257E" w:rsidRPr="004E4899">
              <w:rPr>
                <w:spacing w:val="-2"/>
              </w:rPr>
              <w:t xml:space="preserve"> trade policy uncertainty, such as by committing to low tariff rates and rebuilding multilateral institutions that promote a stable trading environment, can reverse the negative consequences of uncertainty.</w:t>
            </w:r>
          </w:p>
        </w:tc>
      </w:tr>
    </w:tbl>
    <w:p w14:paraId="6B415D4B" w14:textId="75D262FC" w:rsidR="00A972CD" w:rsidRPr="00C21A75" w:rsidRDefault="00A972CD" w:rsidP="00853179">
      <w:pPr>
        <w:pStyle w:val="Heading2"/>
      </w:pPr>
      <w:bookmarkStart w:id="21" w:name="_Toc202477846"/>
      <w:r w:rsidRPr="00853179">
        <w:lastRenderedPageBreak/>
        <w:t>The</w:t>
      </w:r>
      <w:r w:rsidRPr="00C21A75">
        <w:t xml:space="preserve"> </w:t>
      </w:r>
      <w:r w:rsidR="00522125">
        <w:t>international</w:t>
      </w:r>
      <w:r w:rsidRPr="00C21A75">
        <w:t xml:space="preserve"> trade environment has deteriorated</w:t>
      </w:r>
      <w:bookmarkEnd w:id="21"/>
    </w:p>
    <w:p w14:paraId="45A4F5F7" w14:textId="3D8AEB80" w:rsidR="00A972CD" w:rsidRPr="00C21A75" w:rsidRDefault="00A972CD" w:rsidP="00837C7A">
      <w:pPr>
        <w:pStyle w:val="BodyText"/>
      </w:pPr>
      <w:r>
        <w:t>The past year has seen significant changes in global trade policy settings</w:t>
      </w:r>
      <w:r w:rsidR="003B75A8">
        <w:t xml:space="preserve">. </w:t>
      </w:r>
      <w:r w:rsidR="00ED35A3">
        <w:t>These changes have been primarily driven by rapid and wide</w:t>
      </w:r>
      <w:r w:rsidR="00200862">
        <w:noBreakHyphen/>
      </w:r>
      <w:r w:rsidR="00ED35A3">
        <w:t>ranging</w:t>
      </w:r>
      <w:r>
        <w:t xml:space="preserve"> changes to US trade policy. </w:t>
      </w:r>
      <w:r w:rsidRPr="00C21A75">
        <w:t>These policy changes are occurring at the same time</w:t>
      </w:r>
      <w:r>
        <w:t xml:space="preserve"> as</w:t>
      </w:r>
      <w:r w:rsidRPr="00C21A75">
        <w:t xml:space="preserve"> global volatility </w:t>
      </w:r>
      <w:r>
        <w:t>and uncertainty are</w:t>
      </w:r>
      <w:r w:rsidRPr="00C21A75">
        <w:t xml:space="preserve"> increasing from economic slowdown</w:t>
      </w:r>
      <w:r w:rsidR="00B06347">
        <w:t>s</w:t>
      </w:r>
      <w:r w:rsidRPr="00C21A75">
        <w:t>, war and division</w:t>
      </w:r>
      <w:r w:rsidR="00AA01E0">
        <w:t xml:space="preserve"> </w:t>
      </w:r>
      <w:r w:rsidR="000D31AB">
        <w:t xml:space="preserve">in some parts of the world </w:t>
      </w:r>
      <w:r w:rsidR="003C42E9" w:rsidRPr="003C42E9">
        <w:rPr>
          <w:rFonts w:ascii="Arial" w:hAnsi="Arial" w:cs="Arial"/>
        </w:rPr>
        <w:t>(Chalmers 2025)</w:t>
      </w:r>
      <w:r w:rsidRPr="00C21A75">
        <w:t>.</w:t>
      </w:r>
    </w:p>
    <w:p w14:paraId="647CD7F9" w14:textId="556379F0" w:rsidR="00A972CD" w:rsidRPr="00C21A75" w:rsidRDefault="00A972CD" w:rsidP="00837C7A">
      <w:pPr>
        <w:pStyle w:val="BodyText"/>
      </w:pPr>
      <w:r>
        <w:t xml:space="preserve">The introduction of </w:t>
      </w:r>
      <w:r w:rsidR="000D3B51">
        <w:t>new tariffs</w:t>
      </w:r>
      <w:r w:rsidR="00250591">
        <w:t xml:space="preserve"> </w:t>
      </w:r>
      <w:r>
        <w:t>and increase</w:t>
      </w:r>
      <w:r w:rsidR="00E43876">
        <w:t>s</w:t>
      </w:r>
      <w:r>
        <w:t xml:space="preserve"> in </w:t>
      </w:r>
      <w:r w:rsidR="000D3B51">
        <w:t>existing</w:t>
      </w:r>
      <w:r w:rsidR="00250591">
        <w:t xml:space="preserve"> </w:t>
      </w:r>
      <w:r>
        <w:t>tariffs ha</w:t>
      </w:r>
      <w:r w:rsidR="00A02964">
        <w:t>ve</w:t>
      </w:r>
      <w:r>
        <w:t xml:space="preserve"> been a central feature of trade policy changes over this period. </w:t>
      </w:r>
    </w:p>
    <w:p w14:paraId="24766418" w14:textId="4FAED4E6" w:rsidR="00A972CD" w:rsidRDefault="00A972CD" w:rsidP="00837C7A">
      <w:r>
        <w:t>Australia relies heavily on international trade, with exports accounting for 2</w:t>
      </w:r>
      <w:r w:rsidR="00654A58">
        <w:t>7</w:t>
      </w:r>
      <w:r>
        <w:t xml:space="preserve">% of </w:t>
      </w:r>
      <w:r w:rsidRPr="00787F05">
        <w:t>Gross Domestic Product</w:t>
      </w:r>
      <w:r>
        <w:t xml:space="preserve"> (GDP) and imports for 2</w:t>
      </w:r>
      <w:r w:rsidR="007878BB">
        <w:t>4</w:t>
      </w:r>
      <w:r>
        <w:t>% in 2023</w:t>
      </w:r>
      <w:r w:rsidR="00200862">
        <w:noBreakHyphen/>
      </w:r>
      <w:r>
        <w:t xml:space="preserve">24 </w:t>
      </w:r>
      <w:r w:rsidR="00DA5293" w:rsidRPr="00DA5293">
        <w:rPr>
          <w:rFonts w:ascii="Arial" w:hAnsi="Arial" w:cs="Arial"/>
        </w:rPr>
        <w:t>(ABS 2024a)</w:t>
      </w:r>
      <w:r>
        <w:t xml:space="preserve">. </w:t>
      </w:r>
      <w:r w:rsidR="00721C57">
        <w:t xml:space="preserve">Trade with the </w:t>
      </w:r>
      <w:r w:rsidR="000E740A">
        <w:t>US</w:t>
      </w:r>
      <w:r w:rsidR="00721C57">
        <w:t xml:space="preserve"> and China </w:t>
      </w:r>
      <w:r w:rsidR="000D18CF">
        <w:t>in particular account</w:t>
      </w:r>
      <w:r w:rsidR="00292164">
        <w:t>ed</w:t>
      </w:r>
      <w:r w:rsidR="000D18CF">
        <w:t xml:space="preserve"> for </w:t>
      </w:r>
      <w:r w:rsidR="00B333F5">
        <w:t>33%</w:t>
      </w:r>
      <w:r w:rsidR="00616AA9">
        <w:t xml:space="preserve"> of imports</w:t>
      </w:r>
      <w:r w:rsidR="004E1CF3">
        <w:t xml:space="preserve"> into Australia</w:t>
      </w:r>
      <w:r w:rsidR="00616AA9">
        <w:t xml:space="preserve"> and </w:t>
      </w:r>
      <w:r w:rsidR="009F5760">
        <w:t>38% of</w:t>
      </w:r>
      <w:r w:rsidR="00616AA9">
        <w:t xml:space="preserve"> exports </w:t>
      </w:r>
      <w:r w:rsidR="009F5760">
        <w:t>from Australia in 2023-24</w:t>
      </w:r>
      <w:r w:rsidR="00616AA9">
        <w:t xml:space="preserve"> </w:t>
      </w:r>
      <w:r w:rsidR="00410539" w:rsidRPr="00410539">
        <w:rPr>
          <w:rFonts w:ascii="Arial" w:hAnsi="Arial" w:cs="Arial"/>
        </w:rPr>
        <w:t>(DFAT 2025b)</w:t>
      </w:r>
      <w:r w:rsidR="00616AA9">
        <w:t xml:space="preserve">. </w:t>
      </w:r>
      <w:r>
        <w:t xml:space="preserve">This trade is vital for maintaining Australian living standards but </w:t>
      </w:r>
      <w:r w:rsidR="004045C8">
        <w:t>makes us potentially vulnerable to disruptions in the international trade environment</w:t>
      </w:r>
      <w:r>
        <w:t>.</w:t>
      </w:r>
    </w:p>
    <w:p w14:paraId="1B936DFE" w14:textId="51824FF4" w:rsidR="00A972CD" w:rsidRPr="00BD745F" w:rsidRDefault="00A972CD" w:rsidP="00837C7A">
      <w:pPr>
        <w:pStyle w:val="BodyText"/>
      </w:pPr>
      <w:r>
        <w:t xml:space="preserve">In this context, the PC has modelled the </w:t>
      </w:r>
      <w:r w:rsidR="009D2367">
        <w:t>possible</w:t>
      </w:r>
      <w:r>
        <w:t xml:space="preserve"> effects of </w:t>
      </w:r>
      <w:r w:rsidR="00D16510">
        <w:t>several</w:t>
      </w:r>
      <w:r>
        <w:t xml:space="preserve"> likely tariff scenarios to assess the potential long</w:t>
      </w:r>
      <w:r w:rsidR="00200862">
        <w:noBreakHyphen/>
      </w:r>
      <w:r>
        <w:t xml:space="preserve">run impacts on </w:t>
      </w:r>
      <w:r w:rsidRPr="00C21A75">
        <w:t>Australia</w:t>
      </w:r>
      <w:r>
        <w:t xml:space="preserve">. </w:t>
      </w:r>
      <w:r w:rsidRPr="00D76495">
        <w:t>Whole</w:t>
      </w:r>
      <w:r w:rsidR="00200862">
        <w:noBreakHyphen/>
      </w:r>
      <w:r w:rsidRPr="00D76495">
        <w:t>of</w:t>
      </w:r>
      <w:r w:rsidR="00200862">
        <w:noBreakHyphen/>
      </w:r>
      <w:r w:rsidRPr="00D76495">
        <w:t>economy modelling can indicate the magnitude and direction of effects throughout the domestic economy in response to proposed trade policy measures, as well as the flow</w:t>
      </w:r>
      <w:r w:rsidR="00200862">
        <w:noBreakHyphen/>
      </w:r>
      <w:r w:rsidRPr="00D76495">
        <w:t>on effects on the Australian economy from tariffs levied on other countries.</w:t>
      </w:r>
    </w:p>
    <w:p w14:paraId="27643AB3" w14:textId="77777777" w:rsidR="008A005C" w:rsidRDefault="008A005C" w:rsidP="008A005C">
      <w:r>
        <w:t xml:space="preserve">But the importance of free and open global markets extends beyond the consequences of any single set of protectionist trade policy changes. </w:t>
      </w:r>
    </w:p>
    <w:p w14:paraId="4FC924BF" w14:textId="4566DDC2" w:rsidR="008A005C" w:rsidRPr="00BD745F" w:rsidRDefault="008A005C" w:rsidP="001F3AB0">
      <w:r>
        <w:t xml:space="preserve">In last year’s </w:t>
      </w:r>
      <w:r w:rsidR="0002326C">
        <w:t>Trade and Assistance Review</w:t>
      </w:r>
      <w:r>
        <w:t xml:space="preserve">, the PC </w:t>
      </w:r>
      <w:r w:rsidRPr="0099357C">
        <w:rPr>
          <w:rFonts w:ascii="Arial" w:hAnsi="Arial" w:cs="Arial"/>
        </w:rPr>
        <w:t>(2024c, p. iii)</w:t>
      </w:r>
      <w:r>
        <w:t xml:space="preserve"> noted that trade liberalisation has played a major part in the growth of Australian living standards since the 1970s. A return to the protectionism that predominated in that period risks the gains to living standards that have been achieved. This means that Australia should not only avoid retaliatory tariffs but continue to advocate for free and open global trade.</w:t>
      </w:r>
    </w:p>
    <w:p w14:paraId="01EF6452" w14:textId="403C6C86" w:rsidR="00A972CD" w:rsidRPr="00C21A75" w:rsidRDefault="00A972CD" w:rsidP="00837C7A">
      <w:pPr>
        <w:pStyle w:val="Heading3"/>
      </w:pPr>
      <w:r w:rsidRPr="00C21A75">
        <w:t xml:space="preserve">Australia </w:t>
      </w:r>
      <w:r>
        <w:t>may be</w:t>
      </w:r>
      <w:r w:rsidRPr="00C21A75">
        <w:t xml:space="preserve"> less likely than other</w:t>
      </w:r>
      <w:r>
        <w:t xml:space="preserve"> countries</w:t>
      </w:r>
      <w:r w:rsidRPr="00C21A75">
        <w:t xml:space="preserve"> to be a target for major tariffs </w:t>
      </w:r>
      <w:r>
        <w:t>from the US</w:t>
      </w:r>
    </w:p>
    <w:p w14:paraId="57E8565C" w14:textId="1BBAEAE3" w:rsidR="00A972CD" w:rsidRPr="001F7BDD" w:rsidRDefault="00A972CD" w:rsidP="00963709">
      <w:pPr>
        <w:pStyle w:val="BodyText"/>
      </w:pPr>
      <w:r w:rsidRPr="001F7BDD">
        <w:t>Australian imports into the US have been subject to a</w:t>
      </w:r>
      <w:r w:rsidR="00CC5A0F">
        <w:t>n additional</w:t>
      </w:r>
      <w:r w:rsidRPr="001F7BDD">
        <w:t xml:space="preserve"> </w:t>
      </w:r>
      <w:r w:rsidR="0093238D">
        <w:t>ad valorem</w:t>
      </w:r>
      <w:r w:rsidRPr="001F7BDD">
        <w:t xml:space="preserve"> tariff </w:t>
      </w:r>
      <w:r w:rsidR="004B2E2C">
        <w:t xml:space="preserve">of 10% </w:t>
      </w:r>
      <w:r w:rsidRPr="001F7BDD">
        <w:t>since 5</w:t>
      </w:r>
      <w:r w:rsidR="00DE046A">
        <w:t> </w:t>
      </w:r>
      <w:r w:rsidRPr="001F7BDD">
        <w:t>April 2025</w:t>
      </w:r>
      <w:r w:rsidR="00590ED5">
        <w:t xml:space="preserve"> </w:t>
      </w:r>
      <w:r w:rsidR="00963709" w:rsidRPr="00963709">
        <w:rPr>
          <w:rFonts w:ascii="Arial" w:hAnsi="Arial" w:cs="Arial"/>
        </w:rPr>
        <w:t>(The White House 2025q)</w:t>
      </w:r>
      <w:r w:rsidR="00590ED5">
        <w:t>.</w:t>
      </w:r>
      <w:r w:rsidR="00963709">
        <w:t xml:space="preserve"> </w:t>
      </w:r>
      <w:r w:rsidRPr="001F7BDD">
        <w:t xml:space="preserve">Higher tariff rates have been announced for many other US trading partners, but not Australia. These higher tariffs </w:t>
      </w:r>
      <w:r w:rsidR="0002326C">
        <w:t xml:space="preserve">have been </w:t>
      </w:r>
      <w:r w:rsidRPr="001F7BDD">
        <w:t>suspen</w:t>
      </w:r>
      <w:r w:rsidR="0002326C">
        <w:t>ded</w:t>
      </w:r>
      <w:r w:rsidRPr="001F7BDD">
        <w:t xml:space="preserve"> until 9 July 2025</w:t>
      </w:r>
      <w:r w:rsidR="00D02116" w:rsidRPr="001F7BDD">
        <w:t xml:space="preserve"> </w:t>
      </w:r>
      <w:r w:rsidR="00410539" w:rsidRPr="00410539">
        <w:rPr>
          <w:rFonts w:ascii="Arial" w:hAnsi="Arial" w:cs="Arial"/>
        </w:rPr>
        <w:t>(DFAT 2025d)</w:t>
      </w:r>
      <w:r w:rsidRPr="001F7BDD">
        <w:t xml:space="preserve">. Some goods Australia </w:t>
      </w:r>
      <w:r w:rsidR="00250E92" w:rsidRPr="001F7BDD">
        <w:t>exports</w:t>
      </w:r>
      <w:r w:rsidRPr="001F7BDD">
        <w:t xml:space="preserve"> into the US are subject to higher tariffs, including derivative products that contain steel and aluminium, currently subject to </w:t>
      </w:r>
      <w:r w:rsidR="00250E92" w:rsidRPr="001F7BDD">
        <w:t>50</w:t>
      </w:r>
      <w:r w:rsidRPr="001F7BDD">
        <w:t>% tariffs</w:t>
      </w:r>
      <w:r w:rsidR="00250E92" w:rsidRPr="001F7BDD">
        <w:t xml:space="preserve"> </w:t>
      </w:r>
      <w:r w:rsidR="00A268F9" w:rsidRPr="00A268F9">
        <w:rPr>
          <w:rFonts w:ascii="Arial" w:hAnsi="Arial" w:cs="Arial"/>
        </w:rPr>
        <w:t>(The White House 2025a)</w:t>
      </w:r>
      <w:r w:rsidRPr="001F7BDD">
        <w:t xml:space="preserve">. </w:t>
      </w:r>
    </w:p>
    <w:p w14:paraId="0745E696" w14:textId="1FD5F5C4" w:rsidR="00A972CD" w:rsidRPr="00C21A75" w:rsidRDefault="00A972CD" w:rsidP="00837C7A">
      <w:pPr>
        <w:pStyle w:val="BodyText"/>
      </w:pPr>
      <w:r>
        <w:t xml:space="preserve">While future tariff decisions are highly uncertain, it is possible that </w:t>
      </w:r>
      <w:r w:rsidRPr="00C21A75">
        <w:t>Australia faces a lower likelihood of major tariffs being levied by the US relative to other countries, due to several features of the Australia</w:t>
      </w:r>
      <w:r w:rsidR="000875E7" w:rsidRPr="000875E7">
        <w:t>–</w:t>
      </w:r>
      <w:r w:rsidRPr="00C21A75">
        <w:t>US bilateral trade relationship and the priorities of US trade policy</w:t>
      </w:r>
      <w:r w:rsidR="00250591" w:rsidRPr="00C21A75">
        <w:t xml:space="preserve"> </w:t>
      </w:r>
      <w:r w:rsidR="0028392B" w:rsidRPr="0028392B">
        <w:rPr>
          <w:rFonts w:ascii="Arial" w:hAnsi="Arial" w:cs="Arial"/>
        </w:rPr>
        <w:t>(The White House 2025p)</w:t>
      </w:r>
      <w:r w:rsidR="000E740A">
        <w:t>:</w:t>
      </w:r>
      <w:r w:rsidRPr="00C21A75">
        <w:t xml:space="preserve"> </w:t>
      </w:r>
    </w:p>
    <w:p w14:paraId="1FABC6D6" w14:textId="1E6630A6" w:rsidR="00A972CD" w:rsidRPr="00C21A75" w:rsidRDefault="000E740A" w:rsidP="007A6F6C">
      <w:pPr>
        <w:pStyle w:val="ListBullet"/>
      </w:pPr>
      <w:r>
        <w:t>Australia t</w:t>
      </w:r>
      <w:r w:rsidR="00A972CD" w:rsidRPr="007A6F6C">
        <w:t>ends</w:t>
      </w:r>
      <w:r w:rsidR="00A972CD" w:rsidRPr="00C21A75">
        <w:t xml:space="preserve"> to maintain a trade deficit with the US</w:t>
      </w:r>
      <w:r w:rsidR="00A972CD">
        <w:t xml:space="preserve"> (</w:t>
      </w:r>
      <w:r w:rsidR="000875E7">
        <w:t>that is,</w:t>
      </w:r>
      <w:r w:rsidR="00A972CD" w:rsidRPr="00C21A75">
        <w:t xml:space="preserve"> the </w:t>
      </w:r>
      <w:r w:rsidR="00A972CD">
        <w:t>US has a trade surplus with Australia)</w:t>
      </w:r>
      <w:r w:rsidR="00CF0E42">
        <w:t xml:space="preserve"> </w:t>
      </w:r>
      <w:r w:rsidR="001F4645" w:rsidRPr="001F4645">
        <w:rPr>
          <w:rFonts w:ascii="Arial" w:hAnsi="Arial" w:cs="Arial"/>
        </w:rPr>
        <w:t>(ABS 2025d)</w:t>
      </w:r>
      <w:r w:rsidR="00A972CD">
        <w:t>. Higher tariffs have, to date, been targeted at countries that contribute to the US trade deficit, based on the</w:t>
      </w:r>
      <w:r w:rsidR="00A972CD" w:rsidRPr="00C21A75">
        <w:t xml:space="preserve"> view that the US trade deficit </w:t>
      </w:r>
      <w:r w:rsidR="00557256">
        <w:t>‘</w:t>
      </w:r>
      <w:r w:rsidR="00A972CD" w:rsidRPr="00C21A75">
        <w:t>threatens [</w:t>
      </w:r>
      <w:r w:rsidR="00481DD6">
        <w:t>the US’</w:t>
      </w:r>
      <w:r w:rsidR="00A972CD" w:rsidRPr="00C21A75">
        <w:t>] economic and national security</w:t>
      </w:r>
      <w:r w:rsidR="00557256">
        <w:t>’</w:t>
      </w:r>
      <w:r w:rsidR="00A972CD" w:rsidRPr="00C21A75">
        <w:t xml:space="preserve"> </w:t>
      </w:r>
      <w:r w:rsidR="0028392B" w:rsidRPr="007A6F6C">
        <w:t>(The White House 2025p)</w:t>
      </w:r>
      <w:r w:rsidR="00A972CD">
        <w:t>.</w:t>
      </w:r>
      <w:r w:rsidR="00A972CD" w:rsidRPr="00C21A75">
        <w:t xml:space="preserve"> </w:t>
      </w:r>
      <w:r w:rsidR="00A972CD">
        <w:t xml:space="preserve">The PC notes that countries need not be inherently concerned about the </w:t>
      </w:r>
      <w:r w:rsidR="000875E7">
        <w:t>b</w:t>
      </w:r>
      <w:r w:rsidR="00A972CD">
        <w:t xml:space="preserve">alance of </w:t>
      </w:r>
      <w:r w:rsidR="000875E7">
        <w:t>p</w:t>
      </w:r>
      <w:r w:rsidR="00A972CD">
        <w:t xml:space="preserve">ayments position </w:t>
      </w:r>
      <w:r w:rsidR="00A972CD" w:rsidRPr="007A6F6C">
        <w:t>(</w:t>
      </w:r>
      <w:r w:rsidR="009D793F">
        <w:t>b</w:t>
      </w:r>
      <w:r w:rsidR="000D59ED">
        <w:t xml:space="preserve">ox </w:t>
      </w:r>
      <w:r w:rsidR="000D59ED">
        <w:rPr>
          <w:noProof/>
        </w:rPr>
        <w:t>1</w:t>
      </w:r>
      <w:r w:rsidR="000D59ED">
        <w:t>.</w:t>
      </w:r>
      <w:r w:rsidR="000D59ED">
        <w:rPr>
          <w:noProof/>
        </w:rPr>
        <w:t>1</w:t>
      </w:r>
      <w:r w:rsidR="00A972CD" w:rsidRPr="007A6F6C">
        <w:t>).</w:t>
      </w:r>
    </w:p>
    <w:p w14:paraId="1BF7B804" w14:textId="22C58E78" w:rsidR="00A972CD" w:rsidRPr="00C21A75" w:rsidRDefault="000E740A" w:rsidP="007A6F6C">
      <w:pPr>
        <w:pStyle w:val="ListBullet"/>
      </w:pPr>
      <w:r>
        <w:t>Australia d</w:t>
      </w:r>
      <w:r w:rsidR="00A972CD" w:rsidRPr="007A6F6C">
        <w:t>oes</w:t>
      </w:r>
      <w:r w:rsidR="00A972CD">
        <w:t xml:space="preserve"> not </w:t>
      </w:r>
      <w:r w:rsidR="00A972CD" w:rsidRPr="00C21A75">
        <w:t>lev</w:t>
      </w:r>
      <w:r w:rsidR="00A972CD">
        <w:t>y</w:t>
      </w:r>
      <w:r w:rsidR="00A972CD" w:rsidRPr="00C21A75">
        <w:t xml:space="preserve"> tariffs on US imports</w:t>
      </w:r>
      <w:r w:rsidR="00C80F1D">
        <w:t xml:space="preserve"> under the United States</w:t>
      </w:r>
      <w:r w:rsidR="006C4291" w:rsidRPr="006C4291">
        <w:t>–Australia Free Trade Agreement</w:t>
      </w:r>
      <w:r w:rsidR="00E577CB">
        <w:t xml:space="preserve"> </w:t>
      </w:r>
      <w:r w:rsidR="001F4645" w:rsidRPr="001F4645">
        <w:rPr>
          <w:rFonts w:ascii="Arial" w:hAnsi="Arial" w:cs="Arial"/>
        </w:rPr>
        <w:t>(USTR 2024, p. 21)</w:t>
      </w:r>
      <w:r w:rsidR="00A972CD">
        <w:t xml:space="preserve">. </w:t>
      </w:r>
      <w:r w:rsidR="00716032">
        <w:t>Other countries i</w:t>
      </w:r>
      <w:r w:rsidR="00A972CD" w:rsidRPr="007A6F6C">
        <w:t>mposing</w:t>
      </w:r>
      <w:r w:rsidR="00A972CD">
        <w:t xml:space="preserve"> tariffs on imports from the US has been used to justify higher tariffs</w:t>
      </w:r>
      <w:r w:rsidR="00DC1AEC">
        <w:t xml:space="preserve"> by the US</w:t>
      </w:r>
      <w:r w:rsidR="00A17BCF">
        <w:t xml:space="preserve"> </w:t>
      </w:r>
      <w:r w:rsidR="00410539" w:rsidRPr="00410539">
        <w:rPr>
          <w:rFonts w:ascii="Arial" w:hAnsi="Arial" w:cs="Arial"/>
        </w:rPr>
        <w:t>(The White House 2025p)</w:t>
      </w:r>
      <w:r w:rsidR="00A972CD">
        <w:t xml:space="preserve">. </w:t>
      </w:r>
    </w:p>
    <w:p w14:paraId="104388AD" w14:textId="19E820C2" w:rsidR="00A972CD" w:rsidRPr="0036057F" w:rsidRDefault="00A972CD" w:rsidP="004E4899">
      <w:pPr>
        <w:pStyle w:val="NoSpacing"/>
      </w:pPr>
    </w:p>
    <w:tbl>
      <w:tblPr>
        <w:tblStyle w:val="Boxtable"/>
        <w:tblW w:w="5000" w:type="pct"/>
        <w:tblLook w:val="04A0" w:firstRow="1" w:lastRow="0" w:firstColumn="1" w:lastColumn="0" w:noHBand="0" w:noVBand="1"/>
      </w:tblPr>
      <w:tblGrid>
        <w:gridCol w:w="9638"/>
      </w:tblGrid>
      <w:tr w:rsidR="000D59ED" w14:paraId="2ED4D736" w14:textId="77777777" w:rsidTr="00616F0E">
        <w:trPr>
          <w:tblHeader/>
        </w:trPr>
        <w:tc>
          <w:tcPr>
            <w:tcW w:w="9638" w:type="dxa"/>
            <w:shd w:val="clear" w:color="auto" w:fill="EBEBEB"/>
            <w:tcMar>
              <w:top w:w="170" w:type="dxa"/>
              <w:left w:w="170" w:type="dxa"/>
              <w:bottom w:w="113" w:type="dxa"/>
              <w:right w:w="170" w:type="dxa"/>
            </w:tcMar>
            <w:hideMark/>
          </w:tcPr>
          <w:p w14:paraId="4A07F87E" w14:textId="13151750" w:rsidR="000D59ED" w:rsidRDefault="000D59ED">
            <w:pPr>
              <w:pStyle w:val="BoxHeading1"/>
            </w:pPr>
            <w:bookmarkStart w:id="22" w:name="_Ref201755912"/>
            <w:r>
              <w:lastRenderedPageBreak/>
              <w:t xml:space="preserve">Box </w:t>
            </w:r>
            <w:r>
              <w:fldChar w:fldCharType="begin"/>
            </w:r>
            <w:r>
              <w:instrText xml:space="preserve"> STYLEREF 1 \s </w:instrText>
            </w:r>
            <w:r>
              <w:fldChar w:fldCharType="separate"/>
            </w:r>
            <w:r w:rsidR="004A080B">
              <w:rPr>
                <w:noProof/>
              </w:rPr>
              <w:t>1</w:t>
            </w:r>
            <w:r>
              <w:rPr>
                <w:noProof/>
              </w:rPr>
              <w:fldChar w:fldCharType="end"/>
            </w:r>
            <w:r>
              <w:t>.</w:t>
            </w:r>
            <w:r>
              <w:fldChar w:fldCharType="begin"/>
            </w:r>
            <w:r>
              <w:instrText xml:space="preserve"> SEQ Box \* ARABIC \s 1 </w:instrText>
            </w:r>
            <w:r>
              <w:fldChar w:fldCharType="separate"/>
            </w:r>
            <w:r w:rsidR="004A080B">
              <w:rPr>
                <w:noProof/>
              </w:rPr>
              <w:t>1</w:t>
            </w:r>
            <w:r>
              <w:rPr>
                <w:noProof/>
              </w:rPr>
              <w:fldChar w:fldCharType="end"/>
            </w:r>
            <w:bookmarkEnd w:id="22"/>
            <w:r>
              <w:t xml:space="preserve"> – Trade deficits are not inherently bad</w:t>
            </w:r>
          </w:p>
        </w:tc>
      </w:tr>
      <w:tr w:rsidR="000D59ED" w14:paraId="1A706876" w14:textId="77777777" w:rsidTr="00616F0E">
        <w:tc>
          <w:tcPr>
            <w:tcW w:w="9638" w:type="dxa"/>
            <w:shd w:val="clear" w:color="auto" w:fill="EBEBEB"/>
            <w:tcMar>
              <w:top w:w="28" w:type="dxa"/>
              <w:left w:w="170" w:type="dxa"/>
              <w:bottom w:w="170" w:type="dxa"/>
              <w:right w:w="170" w:type="dxa"/>
            </w:tcMar>
            <w:hideMark/>
          </w:tcPr>
          <w:p w14:paraId="192A97BD" w14:textId="34AF3649" w:rsidR="00C955D3" w:rsidRPr="0036057F" w:rsidRDefault="000D59ED" w:rsidP="00C955D3">
            <w:pPr>
              <w:pStyle w:val="BodyText"/>
            </w:pPr>
            <w:r w:rsidRPr="0036057F">
              <w:t>Trade deficits are not inherently bad nor representative of a lack of competitiveness of domestic industries</w:t>
            </w:r>
            <w:r>
              <w:t xml:space="preserve">. </w:t>
            </w:r>
            <w:r w:rsidR="00C955D3">
              <w:t xml:space="preserve">This can be demonstrated by </w:t>
            </w:r>
            <w:r w:rsidR="00C955D3" w:rsidRPr="0036057F">
              <w:t>the balance of payments (BOP).</w:t>
            </w:r>
          </w:p>
          <w:p w14:paraId="120BFE10" w14:textId="77777777" w:rsidR="00C955D3" w:rsidRPr="0036057F" w:rsidRDefault="00C955D3" w:rsidP="00C955D3">
            <w:pPr>
              <w:pStyle w:val="BodyText"/>
              <w:rPr>
                <w:rFonts w:ascii="Arial" w:eastAsia="Arial" w:hAnsi="Arial" w:cs="Arial"/>
              </w:rPr>
            </w:pPr>
            <w:r w:rsidRPr="0036057F">
              <w:t xml:space="preserve">The BOP is a systematic record of all economic transactions between a nation and the rest of the world. The BOP is structured around two accounts: the current account </w:t>
            </w:r>
            <m:oMath>
              <m:r>
                <m:rPr>
                  <m:sty m:val="p"/>
                </m:rPr>
                <w:rPr>
                  <w:rFonts w:ascii="Cambria Math" w:hAnsi="Cambria Math"/>
                </w:rPr>
                <m:t>(</m:t>
              </m:r>
              <m:r>
                <w:rPr>
                  <w:rFonts w:ascii="Cambria Math" w:hAnsi="Cambria Math"/>
                </w:rPr>
                <m:t>CA</m:t>
              </m:r>
              <m:r>
                <m:rPr>
                  <m:sty m:val="p"/>
                </m:rPr>
                <w:rPr>
                  <w:rFonts w:ascii="Cambria Math" w:hAnsi="Cambria Math"/>
                </w:rPr>
                <m:t>)</m:t>
              </m:r>
            </m:oMath>
            <w:r w:rsidRPr="0036057F">
              <w:t xml:space="preserve"> and the combined capital and financial accounts</w:t>
            </w:r>
            <w:r w:rsidRPr="0036057F">
              <w:rPr>
                <w:rFonts w:ascii="Arial" w:eastAsia="Arial" w:hAnsi="Arial" w:cs="Arial"/>
              </w:rPr>
              <w:t xml:space="preserve"> </w:t>
            </w:r>
            <m:oMath>
              <m:r>
                <w:rPr>
                  <w:rFonts w:ascii="Cambria Math" w:eastAsia="Arial" w:hAnsi="Cambria Math" w:cs="Arial"/>
                </w:rPr>
                <m:t>(KA+ FA)</m:t>
              </m:r>
            </m:oMath>
            <w:r w:rsidRPr="0036057F">
              <w:rPr>
                <w:rFonts w:ascii="Arial" w:eastAsia="Arial" w:hAnsi="Arial" w:cs="Arial"/>
              </w:rPr>
              <w:t xml:space="preserve">. </w:t>
            </w:r>
            <w:r w:rsidRPr="0036057F">
              <w:t>These accounts are linked through an accounting identity, expressed as:</w:t>
            </w:r>
          </w:p>
          <w:p w14:paraId="711E7278" w14:textId="77777777" w:rsidR="00C955D3" w:rsidRPr="0036057F" w:rsidRDefault="00112CB5" w:rsidP="00C955D3">
            <w:pPr>
              <w:pStyle w:val="BodyText"/>
              <w:rPr>
                <w:rFonts w:ascii="Arial" w:eastAsia="Arial" w:hAnsi="Arial" w:cs="Arial"/>
              </w:rPr>
            </w:pPr>
            <m:oMath>
              <m:r>
                <w:rPr>
                  <w:rFonts w:ascii="Cambria Math" w:eastAsia="Arial" w:hAnsi="Cambria Math" w:cs="Arial"/>
                </w:rPr>
                <m:t>CA + KA + FA = 0</m:t>
              </m:r>
            </m:oMath>
            <w:r w:rsidR="00C955D3" w:rsidRPr="0036057F">
              <w:rPr>
                <w:rFonts w:ascii="Arial" w:eastAsia="Arial" w:hAnsi="Arial" w:cs="Arial"/>
              </w:rPr>
              <w:t xml:space="preserve"> (the BOP identity)</w:t>
            </w:r>
            <w:r w:rsidR="00C955D3">
              <w:rPr>
                <w:rFonts w:ascii="Arial" w:eastAsia="Arial" w:hAnsi="Arial" w:cs="Arial"/>
              </w:rPr>
              <w:t>,</w:t>
            </w:r>
          </w:p>
          <w:p w14:paraId="381A4A73" w14:textId="77777777" w:rsidR="00C955D3" w:rsidRPr="0036057F" w:rsidRDefault="00C955D3" w:rsidP="00C955D3">
            <w:pPr>
              <w:pStyle w:val="BodyText"/>
              <w:rPr>
                <w:rFonts w:ascii="Arial" w:eastAsia="Arial" w:hAnsi="Arial" w:cs="Arial"/>
              </w:rPr>
            </w:pPr>
            <w:r w:rsidRPr="0036057F">
              <w:t>Which can be rearranged to</w:t>
            </w:r>
            <w:r w:rsidRPr="0036057F">
              <w:rPr>
                <w:rFonts w:ascii="Arial" w:eastAsia="Arial" w:hAnsi="Arial" w:cs="Arial"/>
              </w:rPr>
              <w:t xml:space="preserve"> </w:t>
            </w:r>
            <m:oMath>
              <m:r>
                <w:rPr>
                  <w:rFonts w:ascii="Cambria Math" w:eastAsia="Arial" w:hAnsi="Cambria Math" w:cs="Arial"/>
                </w:rPr>
                <m:t>CA = -(KA+ FA)</m:t>
              </m:r>
            </m:oMath>
            <w:r>
              <w:rPr>
                <w:rFonts w:ascii="Arial" w:eastAsia="Arial" w:hAnsi="Arial" w:cs="Arial"/>
              </w:rPr>
              <w:t>.</w:t>
            </w:r>
          </w:p>
          <w:p w14:paraId="12E8C5D2" w14:textId="08E4D028" w:rsidR="000D59ED" w:rsidRPr="0036057F" w:rsidRDefault="00C955D3" w:rsidP="000D59ED">
            <w:pPr>
              <w:pStyle w:val="BodyText"/>
            </w:pPr>
            <w:r w:rsidRPr="0036057F">
              <w:t>The current account captures the net flow of money that results from a country engaging in international trade</w:t>
            </w:r>
            <w:r>
              <w:t xml:space="preserve"> (both trade and income flows)</w:t>
            </w:r>
            <w:r w:rsidRPr="0036057F">
              <w:t xml:space="preserve">, while the capital and financial accounts capture a country’s net change in ownership of assets and liabilities. </w:t>
            </w:r>
            <w:r>
              <w:t xml:space="preserve">The accounting identity indicates that the balance of payments always balances. </w:t>
            </w:r>
            <w:r w:rsidRPr="0036057F">
              <w:t xml:space="preserve">A trade deficit, where imports exceed exports (resulting in a negative </w:t>
            </w:r>
            <m:oMath>
              <m:r>
                <w:rPr>
                  <w:rFonts w:ascii="Cambria Math" w:hAnsi="Cambria Math"/>
                </w:rPr>
                <m:t>CA</m:t>
              </m:r>
            </m:oMath>
            <w:r w:rsidRPr="0036057F">
              <w:t>), signifies that a country’s domestic expenditure surpasses its production. This current account deficit necessitates a corresponding capital and financial account surplus, as per the BOP identity</w:t>
            </w:r>
            <w:r w:rsidRPr="0036057F">
              <w:rPr>
                <w:rFonts w:ascii="Arial" w:eastAsia="Arial" w:hAnsi="Arial" w:cs="Arial"/>
              </w:rPr>
              <w:t xml:space="preserve"> </w:t>
            </w:r>
            <m:oMath>
              <m:d>
                <m:dPr>
                  <m:ctrlPr>
                    <w:rPr>
                      <w:rFonts w:ascii="Cambria Math" w:eastAsia="Arial" w:hAnsi="Cambria Math" w:cs="Arial"/>
                      <w:i/>
                    </w:rPr>
                  </m:ctrlPr>
                </m:dPr>
                <m:e>
                  <m:r>
                    <w:rPr>
                      <w:rFonts w:ascii="Cambria Math" w:eastAsia="Arial" w:hAnsi="Cambria Math" w:cs="Arial"/>
                    </w:rPr>
                    <m:t>KA+FA &gt;0</m:t>
                  </m:r>
                </m:e>
              </m:d>
              <m:r>
                <w:rPr>
                  <w:rFonts w:ascii="Cambria Math" w:eastAsia="Arial" w:hAnsi="Cambria Math" w:cs="Arial"/>
                </w:rPr>
                <m:t>.</m:t>
              </m:r>
            </m:oMath>
            <w:r w:rsidRPr="0036057F">
              <w:rPr>
                <w:rFonts w:ascii="Arial" w:eastAsia="Arial" w:hAnsi="Arial" w:cs="Arial"/>
              </w:rPr>
              <w:t xml:space="preserve"> </w:t>
            </w:r>
            <w:r w:rsidRPr="0036057F">
              <w:t xml:space="preserve">This surplus manifests as net capital or financial inflows typically in the form of foreign investment or borrowing, which finances the trade deficit. </w:t>
            </w:r>
          </w:p>
          <w:p w14:paraId="06F9C4DC" w14:textId="77777777" w:rsidR="000D59ED" w:rsidRPr="0036057F" w:rsidRDefault="000D59ED" w:rsidP="000D59ED">
            <w:pPr>
              <w:pStyle w:val="BodyText"/>
            </w:pPr>
            <w:r w:rsidRPr="0036057F">
              <w:t xml:space="preserve">A common critique posits that trade deficits are detrimental, suggesting a nation is ‘losing’ by remitting more funds for imports than it earns from exports, even though it is enjoying goods and services that it did not have to contribute real resources towards. However, this </w:t>
            </w:r>
            <w:r>
              <w:t xml:space="preserve">critique </w:t>
            </w:r>
            <w:r w:rsidRPr="0036057F">
              <w:t>misses that the financial and capital account surplus financing the deficit can reflect international investor confidence in a nation’s economic prospects</w:t>
            </w:r>
            <w:r>
              <w:t>, which may</w:t>
            </w:r>
            <w:r w:rsidRPr="0036057F">
              <w:t xml:space="preserve"> not </w:t>
            </w:r>
            <w:r>
              <w:t xml:space="preserve">be </w:t>
            </w:r>
            <w:r w:rsidRPr="0036057F">
              <w:t xml:space="preserve">inherently negative. </w:t>
            </w:r>
          </w:p>
          <w:p w14:paraId="3701EEE9" w14:textId="7710A4A3" w:rsidR="000D59ED" w:rsidRPr="0036057F" w:rsidRDefault="000D59ED" w:rsidP="000D59ED">
            <w:pPr>
              <w:pStyle w:val="BodyText"/>
            </w:pPr>
            <w:r>
              <w:t>On the other hand</w:t>
            </w:r>
            <w:r w:rsidRPr="00BA7EEC">
              <w:t xml:space="preserve">, these deficits </w:t>
            </w:r>
            <w:r>
              <w:t>can be</w:t>
            </w:r>
            <w:r w:rsidRPr="00BA7EEC">
              <w:t xml:space="preserve"> symptomatic of underlying structural issues that give rise to capital account imbalances</w:t>
            </w:r>
            <w:r>
              <w:t>, for example where</w:t>
            </w:r>
            <w:r w:rsidRPr="00BA7EEC">
              <w:t xml:space="preserve"> the country running the deficit </w:t>
            </w:r>
            <w:r>
              <w:t xml:space="preserve">is </w:t>
            </w:r>
            <w:r w:rsidRPr="00BA7EEC">
              <w:t>effectively rel</w:t>
            </w:r>
            <w:r>
              <w:t>ying</w:t>
            </w:r>
            <w:r w:rsidRPr="00BA7EEC">
              <w:t xml:space="preserve"> on foreign savings to fund domestic capital expenditure. This may occur when governments run large and sustained fiscal deficits (where their spending exceeds the revenue they raise</w:t>
            </w:r>
            <w:r w:rsidR="000875E7">
              <w:t>)</w:t>
            </w:r>
            <w:r w:rsidRPr="00BA7EEC">
              <w:t>.</w:t>
            </w:r>
          </w:p>
          <w:p w14:paraId="603722F4" w14:textId="77777777" w:rsidR="000D59ED" w:rsidRPr="0036057F" w:rsidRDefault="000D59ED" w:rsidP="000D59ED">
            <w:pPr>
              <w:pStyle w:val="BodyText"/>
            </w:pPr>
            <w:r w:rsidRPr="0036057F">
              <w:t xml:space="preserve">Efforts to ‘fix’ the trade deficit by imposing tariffs ignore the underlying forces driving capital to flow into a country. </w:t>
            </w:r>
            <w:r>
              <w:t>Policies targeting</w:t>
            </w:r>
            <w:r w:rsidRPr="0036057F">
              <w:t xml:space="preserve"> the current account </w:t>
            </w:r>
            <w:r>
              <w:t>while ignoring</w:t>
            </w:r>
            <w:r w:rsidRPr="0036057F">
              <w:t xml:space="preserve"> the capital and financial accounts will </w:t>
            </w:r>
            <w:r>
              <w:t xml:space="preserve">only affect </w:t>
            </w:r>
            <w:r w:rsidRPr="0036057F">
              <w:t xml:space="preserve">the country’s exchange rate and real interest rate. </w:t>
            </w:r>
          </w:p>
          <w:p w14:paraId="3E44E154" w14:textId="77777777" w:rsidR="000D59ED" w:rsidRDefault="000D59ED" w:rsidP="000D59ED">
            <w:pPr>
              <w:pStyle w:val="BodyText"/>
            </w:pPr>
            <w:r w:rsidRPr="0036057F">
              <w:t xml:space="preserve">The normative </w:t>
            </w:r>
            <w:r>
              <w:t xml:space="preserve">policy </w:t>
            </w:r>
            <w:r w:rsidRPr="0036057F">
              <w:t>concern lies not in the existence of a deficit</w:t>
            </w:r>
            <w:r>
              <w:t xml:space="preserve"> per se</w:t>
            </w:r>
            <w:r w:rsidRPr="0036057F">
              <w:t>, but in the composition, stability and productive use of the capital financing it.</w:t>
            </w:r>
          </w:p>
          <w:p w14:paraId="65236897" w14:textId="468D8ADD" w:rsidR="000D59ED" w:rsidRDefault="000D59ED">
            <w:pPr>
              <w:pStyle w:val="Source"/>
            </w:pPr>
            <w:r w:rsidRPr="0036057F">
              <w:rPr>
                <w:rFonts w:ascii="Arial" w:eastAsia="Arial" w:hAnsi="Arial" w:cs="Arial"/>
              </w:rPr>
              <w:t>Source: Adams and Atkin (2022).</w:t>
            </w:r>
          </w:p>
        </w:tc>
      </w:tr>
      <w:tr w:rsidR="000D59ED" w14:paraId="50A4CD86" w14:textId="77777777" w:rsidTr="00616F0E">
        <w:trPr>
          <w:hidden/>
        </w:trPr>
        <w:tc>
          <w:tcPr>
            <w:tcW w:w="9638" w:type="dxa"/>
            <w:shd w:val="clear" w:color="auto" w:fill="auto"/>
            <w:tcMar>
              <w:top w:w="0" w:type="dxa"/>
              <w:left w:w="170" w:type="dxa"/>
              <w:bottom w:w="0" w:type="dxa"/>
              <w:right w:w="170" w:type="dxa"/>
            </w:tcMar>
          </w:tcPr>
          <w:p w14:paraId="65643727" w14:textId="2309C648" w:rsidR="000D59ED" w:rsidRPr="00465191" w:rsidRDefault="000D59ED">
            <w:pPr>
              <w:pStyle w:val="BodyText"/>
              <w:spacing w:before="0" w:after="0" w:line="80" w:lineRule="atLeast"/>
              <w:rPr>
                <w:smallCaps/>
                <w:vanish/>
              </w:rPr>
            </w:pPr>
          </w:p>
        </w:tc>
      </w:tr>
    </w:tbl>
    <w:p w14:paraId="7D7B1185" w14:textId="2580D65C" w:rsidR="00A972CD" w:rsidRDefault="00602D6B" w:rsidP="004E4899">
      <w:pPr>
        <w:pStyle w:val="Heading3"/>
        <w:spacing w:before="360"/>
      </w:pPr>
      <w:r>
        <w:t xml:space="preserve">Australia is well placed to weather the impact of </w:t>
      </w:r>
      <w:r w:rsidR="0072121E">
        <w:t>global tariffs</w:t>
      </w:r>
    </w:p>
    <w:p w14:paraId="755C0530" w14:textId="7918350C" w:rsidR="00250591" w:rsidRDefault="00250591" w:rsidP="004B4621">
      <w:pPr>
        <w:pStyle w:val="BodyText"/>
        <w:spacing w:line="270" w:lineRule="atLeast"/>
      </w:pPr>
      <w:r>
        <w:t xml:space="preserve">The PC modelled the following scenarios to </w:t>
      </w:r>
      <w:r w:rsidR="00A80F57">
        <w:t xml:space="preserve">assess </w:t>
      </w:r>
      <w:r>
        <w:t xml:space="preserve">the potential impacts of global tariffs on Australia </w:t>
      </w:r>
      <w:r w:rsidR="00A80F57">
        <w:t>and to understand the transmission mechanisms involved</w:t>
      </w:r>
      <w:r>
        <w:t xml:space="preserve"> (</w:t>
      </w:r>
      <w:r w:rsidR="007C753F">
        <w:t xml:space="preserve">box </w:t>
      </w:r>
      <w:r w:rsidR="007C753F">
        <w:rPr>
          <w:noProof/>
        </w:rPr>
        <w:t>1</w:t>
      </w:r>
      <w:r w:rsidR="007C753F">
        <w:t>.</w:t>
      </w:r>
      <w:r w:rsidR="007C753F">
        <w:rPr>
          <w:noProof/>
        </w:rPr>
        <w:t>2</w:t>
      </w:r>
      <w:r>
        <w:t>).</w:t>
      </w:r>
      <w:r w:rsidR="000B2019">
        <w:t xml:space="preserve"> The scenarios are loosely based on US trade policy announcements but abstract from </w:t>
      </w:r>
      <w:r w:rsidR="00D86022">
        <w:t xml:space="preserve">the </w:t>
      </w:r>
      <w:r w:rsidR="009D6A58">
        <w:t xml:space="preserve">policies </w:t>
      </w:r>
      <w:r w:rsidR="00D86022">
        <w:t>announce</w:t>
      </w:r>
      <w:r w:rsidR="009D6A58">
        <w:t>d</w:t>
      </w:r>
      <w:r w:rsidR="00C00C0E">
        <w:t xml:space="preserve"> in </w:t>
      </w:r>
      <w:r w:rsidR="00392137">
        <w:t>several</w:t>
      </w:r>
      <w:r w:rsidR="00C00C0E">
        <w:t xml:space="preserve"> ways (</w:t>
      </w:r>
      <w:r w:rsidR="00392137">
        <w:t xml:space="preserve">appendix </w:t>
      </w:r>
      <w:r w:rsidR="005F54AA">
        <w:t>A</w:t>
      </w:r>
      <w:r w:rsidR="00C00C0E">
        <w:t>)</w:t>
      </w:r>
      <w:r w:rsidR="005C7874">
        <w:t>.</w:t>
      </w:r>
    </w:p>
    <w:p w14:paraId="663FF59A" w14:textId="46A91D8C" w:rsidR="00250591" w:rsidRDefault="00AF4740" w:rsidP="004B4621">
      <w:pPr>
        <w:pStyle w:val="ListBullet"/>
        <w:numPr>
          <w:ilvl w:val="0"/>
          <w:numId w:val="2"/>
        </w:numPr>
        <w:spacing w:line="270" w:lineRule="atLeast"/>
      </w:pPr>
      <w:r w:rsidRPr="005C7874">
        <w:rPr>
          <w:b/>
        </w:rPr>
        <w:t>Universal 10</w:t>
      </w:r>
      <w:r w:rsidR="00250591">
        <w:t>: an additional 10</w:t>
      </w:r>
      <w:r w:rsidR="00A80F57">
        <w:t>%</w:t>
      </w:r>
      <w:r w:rsidR="00250591">
        <w:t xml:space="preserve"> tariff on all goods imports to the US from all trading partners</w:t>
      </w:r>
      <w:r w:rsidR="001537D1">
        <w:t>.</w:t>
      </w:r>
    </w:p>
    <w:p w14:paraId="3EBDF5D4" w14:textId="7420ABF7" w:rsidR="00250591" w:rsidRDefault="007C6F0F" w:rsidP="004B4621">
      <w:pPr>
        <w:pStyle w:val="ListBullet"/>
        <w:numPr>
          <w:ilvl w:val="0"/>
          <w:numId w:val="2"/>
        </w:numPr>
        <w:spacing w:line="270" w:lineRule="atLeast"/>
      </w:pPr>
      <w:r w:rsidRPr="00735DAF">
        <w:rPr>
          <w:b/>
        </w:rPr>
        <w:lastRenderedPageBreak/>
        <w:t>Liberation D</w:t>
      </w:r>
      <w:r>
        <w:rPr>
          <w:b/>
        </w:rPr>
        <w:t>ay</w:t>
      </w:r>
      <w:r w:rsidR="00160A10">
        <w:rPr>
          <w:b/>
          <w:bCs/>
        </w:rPr>
        <w:t>+</w:t>
      </w:r>
      <w:r w:rsidR="00250591">
        <w:t>: additional tariffs on all goods imports to the US, varying by product and foreign trading partner</w:t>
      </w:r>
      <w:r w:rsidR="00EB3916">
        <w:t xml:space="preserve"> roughly in line with the Liberation Day announcements</w:t>
      </w:r>
      <w:r w:rsidR="001537D1">
        <w:t>.</w:t>
      </w:r>
      <w:r w:rsidR="00164792">
        <w:rPr>
          <w:rStyle w:val="FootnoteReference"/>
        </w:rPr>
        <w:footnoteReference w:id="2"/>
      </w:r>
    </w:p>
    <w:p w14:paraId="188C9A8A" w14:textId="505410E1" w:rsidR="00250591" w:rsidRDefault="007C6F0F" w:rsidP="004B4621">
      <w:pPr>
        <w:pStyle w:val="ListBullet"/>
        <w:numPr>
          <w:ilvl w:val="0"/>
          <w:numId w:val="2"/>
        </w:numPr>
        <w:spacing w:line="270" w:lineRule="atLeast"/>
      </w:pPr>
      <w:r w:rsidRPr="005C7874">
        <w:rPr>
          <w:b/>
        </w:rPr>
        <w:t>China 50</w:t>
      </w:r>
      <w:r w:rsidR="00250591">
        <w:t>: a</w:t>
      </w:r>
      <w:r w:rsidR="00D019CB">
        <w:t>n additional</w:t>
      </w:r>
      <w:r w:rsidR="00250591">
        <w:t xml:space="preserve"> 50</w:t>
      </w:r>
      <w:r w:rsidR="00A80F57">
        <w:t>%</w:t>
      </w:r>
      <w:r w:rsidR="00250591">
        <w:t xml:space="preserve"> tariff on all goods imports to the US from China.</w:t>
      </w:r>
      <w:r w:rsidR="00250591" w:rsidRPr="003553DC">
        <w:rPr>
          <w:rStyle w:val="FootnoteReference"/>
        </w:rPr>
        <w:footnoteReference w:id="3"/>
      </w:r>
    </w:p>
    <w:p w14:paraId="65114F69" w14:textId="3BC69B4F" w:rsidR="00250591" w:rsidRDefault="00250591" w:rsidP="004B4621">
      <w:pPr>
        <w:pStyle w:val="BodyText"/>
        <w:spacing w:line="270" w:lineRule="atLeast"/>
      </w:pPr>
      <w:r>
        <w:t>Each scenario consists of two parts</w:t>
      </w:r>
      <w:r w:rsidR="005C7874">
        <w:t>:</w:t>
      </w:r>
    </w:p>
    <w:p w14:paraId="64206096" w14:textId="427474D3" w:rsidR="00250591" w:rsidRDefault="001537D1" w:rsidP="004B4621">
      <w:pPr>
        <w:pStyle w:val="ListBullet"/>
        <w:numPr>
          <w:ilvl w:val="0"/>
          <w:numId w:val="2"/>
        </w:numPr>
        <w:spacing w:line="270" w:lineRule="atLeast"/>
      </w:pPr>
      <w:r>
        <w:t>T</w:t>
      </w:r>
      <w:r w:rsidR="00250591">
        <w:t xml:space="preserve">he policy is implemented unilaterally </w:t>
      </w:r>
      <w:r w:rsidR="00905C80">
        <w:t>by the US</w:t>
      </w:r>
      <w:r w:rsidR="00250591">
        <w:t xml:space="preserve"> (</w:t>
      </w:r>
      <w:r>
        <w:t>that is,</w:t>
      </w:r>
      <w:r w:rsidR="00250591">
        <w:t xml:space="preserve"> without retaliation</w:t>
      </w:r>
      <w:r w:rsidR="00537500">
        <w:t xml:space="preserve"> from the rest of the world</w:t>
      </w:r>
      <w:r w:rsidR="00250591">
        <w:t>)</w:t>
      </w:r>
      <w:r>
        <w:t>.</w:t>
      </w:r>
    </w:p>
    <w:p w14:paraId="4926347B" w14:textId="6B75B490" w:rsidR="00250591" w:rsidRDefault="001537D1" w:rsidP="004B4621">
      <w:pPr>
        <w:pStyle w:val="ListBullet"/>
        <w:numPr>
          <w:ilvl w:val="0"/>
          <w:numId w:val="2"/>
        </w:numPr>
        <w:spacing w:line="270" w:lineRule="atLeast"/>
      </w:pPr>
      <w:r>
        <w:t>T</w:t>
      </w:r>
      <w:r w:rsidR="00250591">
        <w:t>he economies targeted by the policy retaliate in an identical manner (</w:t>
      </w:r>
      <w:r w:rsidR="00537500">
        <w:t>including Australia</w:t>
      </w:r>
      <w:r w:rsidR="00250591">
        <w:t>).</w:t>
      </w:r>
      <w:r w:rsidR="00250591" w:rsidRPr="003553DC">
        <w:rPr>
          <w:rStyle w:val="FootnoteReference"/>
        </w:rPr>
        <w:footnoteReference w:id="4"/>
      </w:r>
      <w:r w:rsidR="00250591">
        <w:t xml:space="preserve"> </w:t>
      </w:r>
    </w:p>
    <w:p w14:paraId="4A2E33D0" w14:textId="68ED2708" w:rsidR="00274F77" w:rsidRPr="00274F77" w:rsidRDefault="00274F77" w:rsidP="004B4621">
      <w:pPr>
        <w:pStyle w:val="NoSpacing"/>
      </w:pPr>
    </w:p>
    <w:tbl>
      <w:tblPr>
        <w:tblStyle w:val="Boxtable"/>
        <w:tblW w:w="5000" w:type="pct"/>
        <w:tblLook w:val="04A0" w:firstRow="1" w:lastRow="0" w:firstColumn="1" w:lastColumn="0" w:noHBand="0" w:noVBand="1"/>
      </w:tblPr>
      <w:tblGrid>
        <w:gridCol w:w="9638"/>
      </w:tblGrid>
      <w:tr w:rsidR="00274F77" w14:paraId="68B9C91D" w14:textId="77777777" w:rsidTr="00616F0E">
        <w:trPr>
          <w:tblHeader/>
        </w:trPr>
        <w:tc>
          <w:tcPr>
            <w:tcW w:w="9638" w:type="dxa"/>
            <w:shd w:val="clear" w:color="auto" w:fill="EBEBEB"/>
            <w:tcMar>
              <w:top w:w="170" w:type="dxa"/>
              <w:left w:w="170" w:type="dxa"/>
              <w:bottom w:w="113" w:type="dxa"/>
              <w:right w:w="170" w:type="dxa"/>
            </w:tcMar>
            <w:hideMark/>
          </w:tcPr>
          <w:p w14:paraId="6986856E" w14:textId="44C160F5" w:rsidR="00274F77" w:rsidRDefault="00274F77">
            <w:pPr>
              <w:pStyle w:val="BoxHeading1"/>
            </w:pPr>
            <w:bookmarkStart w:id="23" w:name="_Ref201756108"/>
            <w:r>
              <w:t xml:space="preserve">Box </w:t>
            </w:r>
            <w:r>
              <w:fldChar w:fldCharType="begin"/>
            </w:r>
            <w:r>
              <w:instrText xml:space="preserve"> STYLEREF 1 \s </w:instrText>
            </w:r>
            <w:r>
              <w:fldChar w:fldCharType="separate"/>
            </w:r>
            <w:r w:rsidR="004A080B">
              <w:rPr>
                <w:noProof/>
              </w:rPr>
              <w:t>1</w:t>
            </w:r>
            <w:r>
              <w:rPr>
                <w:noProof/>
              </w:rPr>
              <w:fldChar w:fldCharType="end"/>
            </w:r>
            <w:r>
              <w:t>.</w:t>
            </w:r>
            <w:r>
              <w:fldChar w:fldCharType="begin"/>
            </w:r>
            <w:r>
              <w:instrText xml:space="preserve"> SEQ Box \* ARABIC \s 1 </w:instrText>
            </w:r>
            <w:r>
              <w:fldChar w:fldCharType="separate"/>
            </w:r>
            <w:r w:rsidR="004A080B">
              <w:rPr>
                <w:noProof/>
              </w:rPr>
              <w:t>2</w:t>
            </w:r>
            <w:r>
              <w:rPr>
                <w:noProof/>
              </w:rPr>
              <w:fldChar w:fldCharType="end"/>
            </w:r>
            <w:bookmarkEnd w:id="23"/>
            <w:r>
              <w:t xml:space="preserve"> – Modelling the potential impacts of global tariffs on Australia</w:t>
            </w:r>
          </w:p>
        </w:tc>
      </w:tr>
      <w:tr w:rsidR="00274F77" w14:paraId="5601C2E8" w14:textId="77777777" w:rsidTr="00616F0E">
        <w:tc>
          <w:tcPr>
            <w:tcW w:w="9638" w:type="dxa"/>
            <w:shd w:val="clear" w:color="auto" w:fill="EBEBEB"/>
            <w:tcMar>
              <w:top w:w="28" w:type="dxa"/>
              <w:left w:w="170" w:type="dxa"/>
              <w:bottom w:w="170" w:type="dxa"/>
              <w:right w:w="170" w:type="dxa"/>
            </w:tcMar>
            <w:hideMark/>
          </w:tcPr>
          <w:p w14:paraId="53C94A18" w14:textId="3E90780C" w:rsidR="00274F77" w:rsidRDefault="00274F77" w:rsidP="004B4621">
            <w:pPr>
              <w:spacing w:line="270" w:lineRule="atLeast"/>
            </w:pPr>
            <w:r>
              <w:t xml:space="preserve">The PC used PC Global, a computable general equilibrium </w:t>
            </w:r>
            <w:r w:rsidR="006F66C1">
              <w:t xml:space="preserve">(CGE) </w:t>
            </w:r>
            <w:r>
              <w:t xml:space="preserve">model of the world economy, to model the potential impacts of global tariffs on Australia. The model, its key assumptions and limitations are outlined in </w:t>
            </w:r>
            <w:r w:rsidR="006F66C1">
              <w:t>a</w:t>
            </w:r>
            <w:r>
              <w:t xml:space="preserve">ppendix </w:t>
            </w:r>
            <w:r w:rsidR="00FA655F">
              <w:t>A</w:t>
            </w:r>
            <w:r>
              <w:t xml:space="preserve"> and further documented in previous PC reports </w:t>
            </w:r>
            <w:r w:rsidR="00410539" w:rsidRPr="00410539">
              <w:rPr>
                <w:rFonts w:ascii="Arial" w:hAnsi="Arial" w:cs="Arial"/>
              </w:rPr>
              <w:t>(PC 2017c, 2017a, 2024a)</w:t>
            </w:r>
            <w:r>
              <w:t>.</w:t>
            </w:r>
            <w:r w:rsidRPr="003553DC">
              <w:rPr>
                <w:rStyle w:val="FootnoteReference"/>
              </w:rPr>
              <w:footnoteReference w:id="5"/>
            </w:r>
          </w:p>
          <w:p w14:paraId="6C2C56CE" w14:textId="75E325E5" w:rsidR="00274F77" w:rsidRDefault="00274F77" w:rsidP="004B4621">
            <w:pPr>
              <w:spacing w:line="270" w:lineRule="atLeast"/>
            </w:pPr>
            <w:r>
              <w:t>PC Global does</w:t>
            </w:r>
            <w:r w:rsidR="00664026">
              <w:t xml:space="preserve"> the following</w:t>
            </w:r>
            <w:r w:rsidR="00EC556C">
              <w:t>:</w:t>
            </w:r>
          </w:p>
          <w:p w14:paraId="7C0AFFBD" w14:textId="621E9294" w:rsidR="00274F77" w:rsidRDefault="00274F77" w:rsidP="004B4621">
            <w:pPr>
              <w:pStyle w:val="ListBullet"/>
              <w:spacing w:line="270" w:lineRule="atLeast"/>
            </w:pPr>
            <w:r>
              <w:t>Fit actual economic data, using 2017 as a reference year, to a set of equations describing the structure of the global economy.</w:t>
            </w:r>
          </w:p>
          <w:p w14:paraId="4D01ECDF" w14:textId="1591C830" w:rsidR="00274F77" w:rsidRDefault="00274F77" w:rsidP="004B4621">
            <w:pPr>
              <w:pStyle w:val="ListBullet"/>
              <w:spacing w:line="270" w:lineRule="atLeast"/>
            </w:pPr>
            <w:r>
              <w:t>Model trade, production and consumption flows between 35</w:t>
            </w:r>
            <w:r w:rsidR="00913801">
              <w:t> </w:t>
            </w:r>
            <w:r>
              <w:t>regions and 65</w:t>
            </w:r>
            <w:r w:rsidR="00913801">
              <w:t> </w:t>
            </w:r>
            <w:r>
              <w:t>production sectors. Government revenue and expenditure are also included and modelled stylistically.</w:t>
            </w:r>
          </w:p>
          <w:p w14:paraId="5DE9008D" w14:textId="084C510E" w:rsidR="00274F77" w:rsidRDefault="00274F77" w:rsidP="004B4621">
            <w:pPr>
              <w:pStyle w:val="ListBullet"/>
              <w:spacing w:line="270" w:lineRule="atLeast"/>
            </w:pPr>
            <w:r>
              <w:t>Estimate the long</w:t>
            </w:r>
            <w:r w:rsidR="000D5E30">
              <w:t>-</w:t>
            </w:r>
            <w:r>
              <w:t>run impacts of the specified policies after the economy has fully adjusted to the shocks – for example, after all importers and exporters have found alternative markets and wages have adjusted to changes in industry demand. The aggregate supply of labour is fixed in the long run.</w:t>
            </w:r>
          </w:p>
          <w:p w14:paraId="4EC6FD62" w14:textId="77777777" w:rsidR="00274F77" w:rsidRDefault="00274F77" w:rsidP="004B4621">
            <w:pPr>
              <w:pStyle w:val="ListBullet"/>
              <w:spacing w:line="270" w:lineRule="atLeast"/>
            </w:pPr>
            <w:r>
              <w:t xml:space="preserve">Include international capital flows, allowing changes in production in each region to differ from changes in national income and the purchasing power of that income. </w:t>
            </w:r>
          </w:p>
          <w:p w14:paraId="42F3827A" w14:textId="0BF0D6CB" w:rsidR="00274F77" w:rsidRDefault="00274F77" w:rsidP="004B4621">
            <w:pPr>
              <w:spacing w:line="270" w:lineRule="atLeast"/>
            </w:pPr>
            <w:r>
              <w:t>PC Global does not</w:t>
            </w:r>
            <w:r w:rsidR="009F0D24">
              <w:t xml:space="preserve"> do the following</w:t>
            </w:r>
            <w:r>
              <w:t>:</w:t>
            </w:r>
          </w:p>
          <w:p w14:paraId="12E14F0D" w14:textId="5C3CD91F" w:rsidR="00274F77" w:rsidRDefault="00274F77" w:rsidP="004B4621">
            <w:pPr>
              <w:pStyle w:val="ListBullet"/>
              <w:spacing w:line="270" w:lineRule="atLeast"/>
            </w:pPr>
            <w:r>
              <w:lastRenderedPageBreak/>
              <w:t>Estimate the short</w:t>
            </w:r>
            <w:r w:rsidR="00690C08">
              <w:t>-</w:t>
            </w:r>
            <w:r>
              <w:t>run impacts of a policy shock, or an adjustment path to the long</w:t>
            </w:r>
            <w:r w:rsidR="000D5E30">
              <w:t>-</w:t>
            </w:r>
            <w:r>
              <w:t>run results. There are likely to be short</w:t>
            </w:r>
            <w:r w:rsidR="00690C08">
              <w:t>-</w:t>
            </w:r>
            <w:r>
              <w:t xml:space="preserve">term distributional impacts not reflected in </w:t>
            </w:r>
            <w:r w:rsidR="00685CC0">
              <w:t>the</w:t>
            </w:r>
            <w:r>
              <w:t xml:space="preserve"> results.</w:t>
            </w:r>
          </w:p>
          <w:p w14:paraId="68A25932" w14:textId="10CF8D8D" w:rsidR="00274F77" w:rsidRDefault="00274F77" w:rsidP="004B4621">
            <w:pPr>
              <w:pStyle w:val="ListBullet"/>
              <w:spacing w:line="270" w:lineRule="atLeast"/>
            </w:pPr>
            <w:r>
              <w:t>Include bilateral nominal exchange rates or other adjustment mechanisms, such as monetary policy responses.</w:t>
            </w:r>
            <w:r w:rsidR="00FF307C">
              <w:rPr>
                <w:rStyle w:val="FootnoteReference"/>
              </w:rPr>
              <w:footnoteReference w:id="6"/>
            </w:r>
            <w:r>
              <w:t xml:space="preserve"> PC Global is predominantly a model of real economic activity.</w:t>
            </w:r>
          </w:p>
          <w:p w14:paraId="3744CB33" w14:textId="77777777" w:rsidR="00274F77" w:rsidRDefault="00274F77" w:rsidP="004B4621">
            <w:pPr>
              <w:pStyle w:val="ListBullet"/>
              <w:spacing w:line="270" w:lineRule="atLeast"/>
            </w:pPr>
            <w:r>
              <w:t>Disaggregate all regions and production sectors. The economy is modelled as 35 regions and 65 production sectors, resulting in more substitutability than would actually be the case.</w:t>
            </w:r>
          </w:p>
          <w:p w14:paraId="65343CEA" w14:textId="77777777" w:rsidR="00274F77" w:rsidRDefault="00274F77" w:rsidP="004B4621">
            <w:pPr>
              <w:pStyle w:val="ListBullet"/>
              <w:spacing w:line="270" w:lineRule="atLeast"/>
            </w:pPr>
            <w:r>
              <w:t>Include the most recent trade and wider economic developments, particularly those that have occurred since the outbreak of COVID-19 in 2020.</w:t>
            </w:r>
            <w:r>
              <w:rPr>
                <w:rStyle w:val="FootnoteReference"/>
              </w:rPr>
              <w:footnoteReference w:id="7"/>
            </w:r>
          </w:p>
          <w:p w14:paraId="412F7E01" w14:textId="5B2A3288" w:rsidR="00274F77" w:rsidRDefault="00274F77" w:rsidP="004B4621">
            <w:pPr>
              <w:pStyle w:val="BodyText"/>
              <w:spacing w:line="270" w:lineRule="atLeast"/>
            </w:pPr>
            <w:r>
              <w:t>These central assumptions and limitations should inform the interpretation of our results. The capital mobility assumption in particular drives many of the differences between our results and similar studies.</w:t>
            </w:r>
          </w:p>
        </w:tc>
      </w:tr>
      <w:tr w:rsidR="00274F77" w14:paraId="1D3F5C84" w14:textId="77777777" w:rsidTr="00616F0E">
        <w:trPr>
          <w:hidden/>
        </w:trPr>
        <w:tc>
          <w:tcPr>
            <w:tcW w:w="9638" w:type="dxa"/>
            <w:shd w:val="clear" w:color="auto" w:fill="auto"/>
            <w:tcMar>
              <w:top w:w="0" w:type="dxa"/>
              <w:left w:w="170" w:type="dxa"/>
              <w:bottom w:w="0" w:type="dxa"/>
              <w:right w:w="170" w:type="dxa"/>
            </w:tcMar>
          </w:tcPr>
          <w:p w14:paraId="1C9F1041" w14:textId="72119B7F" w:rsidR="00274F77" w:rsidRPr="00465191" w:rsidRDefault="00274F77">
            <w:pPr>
              <w:pStyle w:val="BodyText"/>
              <w:spacing w:before="0" w:after="0" w:line="80" w:lineRule="atLeast"/>
              <w:rPr>
                <w:smallCaps/>
                <w:vanish/>
              </w:rPr>
            </w:pPr>
          </w:p>
        </w:tc>
      </w:tr>
    </w:tbl>
    <w:p w14:paraId="59B8324A" w14:textId="38325E1F" w:rsidR="00250591" w:rsidRDefault="00013727" w:rsidP="001C79A3">
      <w:pPr>
        <w:pStyle w:val="BodyText"/>
      </w:pPr>
      <w:r w:rsidRPr="00C21A75">
        <w:t>Figure </w:t>
      </w:r>
      <w:r>
        <w:rPr>
          <w:noProof/>
        </w:rPr>
        <w:t>1</w:t>
      </w:r>
      <w:r>
        <w:t>.</w:t>
      </w:r>
      <w:r>
        <w:rPr>
          <w:noProof/>
        </w:rPr>
        <w:t>1</w:t>
      </w:r>
      <w:r w:rsidR="00250591">
        <w:t xml:space="preserve"> summarises the effects on Australian production (real GDP)</w:t>
      </w:r>
      <w:r w:rsidR="00627701">
        <w:t xml:space="preserve"> and</w:t>
      </w:r>
      <w:r w:rsidR="00250591">
        <w:t xml:space="preserve"> </w:t>
      </w:r>
      <w:r w:rsidR="003E41A5">
        <w:t xml:space="preserve">national </w:t>
      </w:r>
      <w:r w:rsidR="00250591">
        <w:t xml:space="preserve">income (real </w:t>
      </w:r>
      <w:r w:rsidR="00685CC0">
        <w:t xml:space="preserve">Gross National Product or </w:t>
      </w:r>
      <w:r w:rsidR="00250591">
        <w:t>GNP) associated with each scenario.</w:t>
      </w:r>
      <w:r w:rsidR="00250591" w:rsidRPr="003553DC">
        <w:rPr>
          <w:rStyle w:val="FootnoteReference"/>
        </w:rPr>
        <w:footnoteReference w:id="8"/>
      </w:r>
    </w:p>
    <w:p w14:paraId="1100497E" w14:textId="77777777" w:rsidR="003D168C" w:rsidRDefault="003D168C" w:rsidP="003D168C">
      <w:pPr>
        <w:pStyle w:val="BodyText"/>
      </w:pPr>
      <w:r>
        <w:t xml:space="preserve">The modelling indicates that many of the proposed US trade policy measures would likely lead to a small, positive impact on Australian production, national income, and purchasing power in the long run, despite falls in global production and international trade (appendix A). </w:t>
      </w:r>
    </w:p>
    <w:p w14:paraId="531017B3" w14:textId="77777777" w:rsidR="003D168C" w:rsidRPr="0097030D" w:rsidRDefault="003D168C" w:rsidP="003D168C">
      <w:pPr>
        <w:pStyle w:val="BodyText"/>
        <w:rPr>
          <w:spacing w:val="-2"/>
        </w:rPr>
      </w:pPr>
      <w:r w:rsidRPr="0097030D">
        <w:rPr>
          <w:spacing w:val="-2"/>
        </w:rPr>
        <w:t>The modelled effects on Australia tend to be strongest for domestic production, generally reflecting two factors:</w:t>
      </w:r>
    </w:p>
    <w:p w14:paraId="2B6A1F52" w14:textId="77777777" w:rsidR="003D168C" w:rsidRDefault="003D168C" w:rsidP="003D168C">
      <w:pPr>
        <w:pStyle w:val="ListBullet"/>
        <w:numPr>
          <w:ilvl w:val="0"/>
          <w:numId w:val="2"/>
        </w:numPr>
      </w:pPr>
      <w:r w:rsidRPr="000E0D92">
        <w:t>First</w:t>
      </w:r>
      <w:r w:rsidRPr="00C21A75">
        <w:t xml:space="preserve">, </w:t>
      </w:r>
      <w:r>
        <w:t>since the tariffs levied on Australia are low relative to other countries, the tariffs make US imports from Australia relatively cheaper. American consumers would shift their import demand from other countries toward Australia.</w:t>
      </w:r>
      <w:r w:rsidRPr="008B711D">
        <w:rPr>
          <w:vertAlign w:val="superscript"/>
        </w:rPr>
        <w:footnoteReference w:id="9"/>
      </w:r>
      <w:r>
        <w:t xml:space="preserve"> Additionally, lower US demand for other imports decreases the global price of imports from other countries, reducing the cost of imported inputs to Australian production.</w:t>
      </w:r>
    </w:p>
    <w:p w14:paraId="214058D8" w14:textId="77777777" w:rsidR="003D168C" w:rsidRPr="004C3AE5" w:rsidRDefault="003D168C" w:rsidP="003D168C">
      <w:pPr>
        <w:pStyle w:val="ListBullet"/>
        <w:numPr>
          <w:ilvl w:val="0"/>
          <w:numId w:val="2"/>
        </w:numPr>
      </w:pPr>
      <w:r>
        <w:t>Second</w:t>
      </w:r>
      <w:r w:rsidRPr="004C3AE5">
        <w:t xml:space="preserve">, </w:t>
      </w:r>
      <w:r>
        <w:t xml:space="preserve">the tariffs are likely to create an outflow of capital from the US and high-tariffed countries that benefits production in other economies like Australia. </w:t>
      </w:r>
      <w:r w:rsidRPr="004C3AE5">
        <w:t xml:space="preserve">US tariffs increase the price of domestic consumption and investment in the US </w:t>
      </w:r>
      <w:r>
        <w:t>and high</w:t>
      </w:r>
      <w:r>
        <w:noBreakHyphen/>
        <w:t xml:space="preserve">tariffed countries </w:t>
      </w:r>
      <w:r w:rsidRPr="004C3AE5">
        <w:t xml:space="preserve">relative to the rest of the world, </w:t>
      </w:r>
      <w:r>
        <w:t xml:space="preserve">reducing the competitiveness of these economies and </w:t>
      </w:r>
      <w:r w:rsidRPr="004C3AE5">
        <w:t xml:space="preserve">leading to lower </w:t>
      </w:r>
      <w:r>
        <w:t xml:space="preserve">real </w:t>
      </w:r>
      <w:r w:rsidRPr="004C3AE5">
        <w:t>rate</w:t>
      </w:r>
      <w:r>
        <w:t>s</w:t>
      </w:r>
      <w:r w:rsidRPr="004C3AE5">
        <w:t xml:space="preserve"> of return on capital. </w:t>
      </w:r>
    </w:p>
    <w:p w14:paraId="0A6E3866" w14:textId="029DD0A8" w:rsidR="00250591" w:rsidRPr="00C21A75" w:rsidRDefault="00250591" w:rsidP="0090631B">
      <w:pPr>
        <w:pStyle w:val="FigureTableHeading"/>
        <w:rPr>
          <w:rStyle w:val="FootnoteReference"/>
        </w:rPr>
      </w:pPr>
      <w:bookmarkStart w:id="24" w:name="_Ref201756641"/>
      <w:r w:rsidRPr="00C21A75">
        <w:lastRenderedPageBreak/>
        <w:t>Figure </w:t>
      </w:r>
      <w:r w:rsidR="005642CB">
        <w:fldChar w:fldCharType="begin"/>
      </w:r>
      <w:r w:rsidR="005642CB">
        <w:instrText xml:space="preserve"> STYLEREF 1 \s </w:instrText>
      </w:r>
      <w:r w:rsidR="005642CB">
        <w:fldChar w:fldCharType="separate"/>
      </w:r>
      <w:r w:rsidR="004A080B">
        <w:rPr>
          <w:noProof/>
        </w:rPr>
        <w:t>1</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1</w:t>
      </w:r>
      <w:r w:rsidR="005642CB">
        <w:fldChar w:fldCharType="end"/>
      </w:r>
      <w:bookmarkEnd w:id="24"/>
      <w:r w:rsidR="0097030D">
        <w:t xml:space="preserve"> –</w:t>
      </w:r>
      <w:r w:rsidRPr="00C21A75">
        <w:t xml:space="preserve"> </w:t>
      </w:r>
      <w:r>
        <w:t>The</w:t>
      </w:r>
      <w:r w:rsidRPr="00C21A75">
        <w:t xml:space="preserve"> </w:t>
      </w:r>
      <w:r>
        <w:t>modelled impacts on Australia from US tariffs are small and positive</w:t>
      </w:r>
    </w:p>
    <w:p w14:paraId="417649AB" w14:textId="4ED4A6B0" w:rsidR="00250591" w:rsidRPr="00C21A75" w:rsidRDefault="00250591" w:rsidP="001C79A3">
      <w:pPr>
        <w:pStyle w:val="FigureTableSubheading"/>
        <w:keepLines/>
      </w:pPr>
      <w:r>
        <w:t>Change in real GDP and real GNP for Australia in each scenario</w:t>
      </w:r>
    </w:p>
    <w:p w14:paraId="71F4E9D4" w14:textId="4D6C18D0" w:rsidR="00250591" w:rsidRPr="00C21A75" w:rsidRDefault="00C44196" w:rsidP="003D168C">
      <w:pPr>
        <w:pStyle w:val="Note"/>
        <w:keepNext/>
        <w:keepLines/>
        <w:spacing w:before="0" w:after="0"/>
        <w:rPr>
          <w:b/>
          <w:bCs/>
        </w:rPr>
      </w:pPr>
      <w:r w:rsidRPr="00C44196">
        <w:rPr>
          <w:noProof/>
        </w:rPr>
        <w:drawing>
          <wp:inline distT="0" distB="0" distL="0" distR="0" wp14:anchorId="28649698" wp14:editId="5C8B3A74">
            <wp:extent cx="6120130" cy="3262630"/>
            <wp:effectExtent l="0" t="0" r="0" b="0"/>
            <wp:docPr id="1486340958" name="Picture 1" descr="This figure is a multiple column chart showing the effects on real GDP and real GNA from each of the six tariff scenarios modelled. The effects on real GDP are stronger across all scenarios. The scenario with the strongest effects is ‘Liberation Day+ with retaliation’, where Australian real GDP increases by 0.51% and real GNP by just under 0.06%. The weakest effects are in scenario ‘China 50%’, where real GDP and real GNP increase by 0.08% and 0.02% respectively. In general, the scenarios with retaliation show stronger effects than the scenarios without retaliation, and the Liberation Day+ scenarios show stronger effects for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0958" name="Picture 1" descr="This figure is a multiple column chart showing the effects on real GDP and real GNA from each of the six tariff scenarios modelled. The effects on real GDP are stronger across all scenarios. The scenario with the strongest effects is ‘Liberation Day+ with retaliation’, where Australian real GDP increases by 0.51% and real GNP by just under 0.06%. The weakest effects are in scenario ‘China 50%’, where real GDP and real GNP increase by 0.08% and 0.02% respectively. In general, the scenarios with retaliation show stronger effects than the scenarios without retaliation, and the Liberation Day+ scenarios show stronger effects for Austral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262630"/>
                    </a:xfrm>
                    <a:prstGeom prst="rect">
                      <a:avLst/>
                    </a:prstGeom>
                    <a:noFill/>
                    <a:ln>
                      <a:noFill/>
                    </a:ln>
                  </pic:spPr>
                </pic:pic>
              </a:graphicData>
            </a:graphic>
          </wp:inline>
        </w:drawing>
      </w:r>
    </w:p>
    <w:p w14:paraId="5BBB5982" w14:textId="77777777" w:rsidR="00250591" w:rsidRPr="00C21A75" w:rsidRDefault="00250591" w:rsidP="00F30C08">
      <w:pPr>
        <w:pStyle w:val="Source"/>
        <w:spacing w:before="0"/>
      </w:pPr>
      <w:r w:rsidRPr="00C21A75">
        <w:t xml:space="preserve">Source: </w:t>
      </w:r>
      <w:r>
        <w:t>PC estimates.</w:t>
      </w:r>
    </w:p>
    <w:p w14:paraId="44DA39B7" w14:textId="03DC012C" w:rsidR="00250591" w:rsidRDefault="00250591" w:rsidP="001C79A3">
      <w:pPr>
        <w:pStyle w:val="BodyText"/>
        <w:rPr>
          <w:lang w:val="en-GB"/>
        </w:rPr>
      </w:pPr>
      <w:r>
        <w:t>These results reflect a new, long</w:t>
      </w:r>
      <w:r w:rsidR="00A82567">
        <w:t>-</w:t>
      </w:r>
      <w:r>
        <w:t xml:space="preserve">run equilibrium where Australia has adjusted to the new policy settings, including our exporters having found new markets for their products. </w:t>
      </w:r>
      <w:r w:rsidR="009B00CC">
        <w:t>These</w:t>
      </w:r>
      <w:r>
        <w:t xml:space="preserve"> adjustments may </w:t>
      </w:r>
      <w:r w:rsidR="009B00CC">
        <w:t>happen quickly</w:t>
      </w:r>
      <w:r>
        <w:t xml:space="preserve">, as was observed in the resilience of Australian exports to Chinese trade restrictions in early 2020 </w:t>
      </w:r>
      <w:r w:rsidR="003C42E9" w:rsidRPr="003C42E9">
        <w:rPr>
          <w:rFonts w:ascii="Arial" w:hAnsi="Arial" w:cs="Arial"/>
        </w:rPr>
        <w:t>(PC 2023b, pp. 86–88)</w:t>
      </w:r>
      <w:r>
        <w:t xml:space="preserve">. Indeed, in the scenarios where China would be heavily affected by US tariffs, lower Chinese demand for Australian exports would be offset by higher demand </w:t>
      </w:r>
      <w:r w:rsidR="007F0E30">
        <w:t>from</w:t>
      </w:r>
      <w:r>
        <w:t xml:space="preserve"> other economies. </w:t>
      </w:r>
      <w:r w:rsidRPr="00C21A75">
        <w:t xml:space="preserve">In the short run, it is likely that </w:t>
      </w:r>
      <w:r>
        <w:t>the modelled policies</w:t>
      </w:r>
      <w:r w:rsidRPr="00C21A75">
        <w:t xml:space="preserve"> would impose costs </w:t>
      </w:r>
      <w:r>
        <w:t>as</w:t>
      </w:r>
      <w:r>
        <w:rPr>
          <w:lang w:val="en-GB"/>
        </w:rPr>
        <w:t xml:space="preserve"> d</w:t>
      </w:r>
      <w:r w:rsidRPr="00892EB4">
        <w:rPr>
          <w:lang w:val="en-GB"/>
        </w:rPr>
        <w:t>istributional impacts</w:t>
      </w:r>
      <w:r>
        <w:rPr>
          <w:lang w:val="en-GB"/>
        </w:rPr>
        <w:t xml:space="preserve"> lead to an unequal impact on different regions and sectors. </w:t>
      </w:r>
    </w:p>
    <w:p w14:paraId="5BEC12B2" w14:textId="415157C0" w:rsidR="00317270" w:rsidRDefault="00250591" w:rsidP="00A82567">
      <w:pPr>
        <w:pStyle w:val="BodyText"/>
      </w:pPr>
      <w:r>
        <w:t xml:space="preserve">The modelled scenarios indicate that the </w:t>
      </w:r>
      <w:r w:rsidRPr="00C21A75">
        <w:t xml:space="preserve">gains to Australian production </w:t>
      </w:r>
      <w:r>
        <w:t xml:space="preserve">and </w:t>
      </w:r>
      <w:r w:rsidDel="002E0621">
        <w:t xml:space="preserve">purchasing power </w:t>
      </w:r>
      <w:r w:rsidRPr="00C21A75">
        <w:t xml:space="preserve">would likely be higher </w:t>
      </w:r>
      <w:r>
        <w:t xml:space="preserve">if the economies affected by US tariffs were to retaliate. </w:t>
      </w:r>
      <w:r w:rsidR="0010326A">
        <w:t>This is because w</w:t>
      </w:r>
      <w:r w:rsidR="00F67480">
        <w:t>hile t</w:t>
      </w:r>
      <w:r w:rsidR="00323FC2">
        <w:t>he aggregate effect of retaliation is to lower global production and international trade</w:t>
      </w:r>
      <w:r w:rsidR="0010326A">
        <w:t xml:space="preserve"> even further</w:t>
      </w:r>
      <w:r w:rsidR="00323FC2">
        <w:t xml:space="preserve">, the harms are concentrated among countries imposing and receiving </w:t>
      </w:r>
      <w:r w:rsidR="00B554D7">
        <w:t xml:space="preserve">relatively higher </w:t>
      </w:r>
      <w:r w:rsidR="00323FC2">
        <w:t xml:space="preserve">tariffs. </w:t>
      </w:r>
      <w:r w:rsidR="002D55F8">
        <w:t>Retaliation be</w:t>
      </w:r>
      <w:r w:rsidR="005A143E">
        <w:t>nefits</w:t>
      </w:r>
      <w:r w:rsidR="00185151">
        <w:t xml:space="preserve"> </w:t>
      </w:r>
      <w:r w:rsidR="004822DD">
        <w:t>Australia because</w:t>
      </w:r>
      <w:r w:rsidR="00885232" w:rsidRPr="00885232">
        <w:t xml:space="preserve"> </w:t>
      </w:r>
      <w:r w:rsidR="00885232">
        <w:t xml:space="preserve">the relatively high retaliatory tariffs imposed by other countries lead to an even larger outflow of productive capital from the rest of the world, further benefitting Australian production. Moreover, </w:t>
      </w:r>
      <w:r w:rsidR="0012741E">
        <w:t xml:space="preserve">the tariff rates levied on Australia by the US are low relative to other countries, </w:t>
      </w:r>
      <w:r w:rsidR="00317270">
        <w:t>such that Australia imposes low tariffs in retaliation.</w:t>
      </w:r>
      <w:r w:rsidR="005A143E">
        <w:t xml:space="preserve"> </w:t>
      </w:r>
    </w:p>
    <w:p w14:paraId="6248B1F0" w14:textId="0E94DEC8" w:rsidR="00134227" w:rsidRDefault="001C0E24" w:rsidP="001C79A3">
      <w:pPr>
        <w:pStyle w:val="BodyText"/>
      </w:pPr>
      <w:r>
        <w:t>O</w:t>
      </w:r>
      <w:r w:rsidR="00B554D7">
        <w:t xml:space="preserve">ur </w:t>
      </w:r>
      <w:r w:rsidR="001138E4">
        <w:t>result</w:t>
      </w:r>
      <w:r w:rsidR="00B554D7">
        <w:t>s</w:t>
      </w:r>
      <w:r w:rsidR="001138E4">
        <w:t xml:space="preserve"> indicate that </w:t>
      </w:r>
      <w:r w:rsidR="00790AE6">
        <w:t>Australia should not retaliate with its own tariffs to tariffs imposed by other trading partners</w:t>
      </w:r>
      <w:r w:rsidR="00F209D9">
        <w:t>.</w:t>
      </w:r>
      <w:r w:rsidR="00790AE6">
        <w:t xml:space="preserve"> </w:t>
      </w:r>
      <w:r w:rsidR="00B37100">
        <w:t>W</w:t>
      </w:r>
      <w:r w:rsidR="0035633B">
        <w:t xml:space="preserve">hile the modelling may demonstrate a marginal positive benefit </w:t>
      </w:r>
      <w:r w:rsidR="00631D86">
        <w:t xml:space="preserve">for Australia </w:t>
      </w:r>
      <w:r w:rsidR="0035633B">
        <w:t xml:space="preserve">from </w:t>
      </w:r>
      <w:r w:rsidR="00752C95">
        <w:t xml:space="preserve">the world </w:t>
      </w:r>
      <w:r w:rsidR="00497B5D">
        <w:t>retaliating against US tariffs,</w:t>
      </w:r>
      <w:r w:rsidR="007D63DD">
        <w:t xml:space="preserve"> </w:t>
      </w:r>
      <w:r w:rsidR="00EF6861">
        <w:t>the benefits do not come from Australia’s retaliation per se</w:t>
      </w:r>
      <w:r w:rsidR="00631D86">
        <w:t xml:space="preserve">. Moreover, </w:t>
      </w:r>
      <w:r w:rsidR="0035633B">
        <w:t xml:space="preserve">global retaliation carries the risk of </w:t>
      </w:r>
      <w:r w:rsidR="00BA542A">
        <w:t xml:space="preserve">further </w:t>
      </w:r>
      <w:r w:rsidR="0035633B">
        <w:t>escalation and</w:t>
      </w:r>
      <w:r w:rsidR="00134227">
        <w:t xml:space="preserve"> ultimately worse outcomes for Australia</w:t>
      </w:r>
      <w:r w:rsidR="00DE402A">
        <w:t>.</w:t>
      </w:r>
    </w:p>
    <w:p w14:paraId="627CFC97" w14:textId="59A3D1B7" w:rsidR="001F5707" w:rsidRDefault="00313A01" w:rsidP="001C79A3">
      <w:pPr>
        <w:pStyle w:val="BodyText"/>
      </w:pPr>
      <w:r>
        <w:t>Indeed, t</w:t>
      </w:r>
      <w:r w:rsidR="001F5707">
        <w:t xml:space="preserve">he </w:t>
      </w:r>
      <w:r w:rsidR="00436DB3">
        <w:t xml:space="preserve">gains </w:t>
      </w:r>
      <w:r w:rsidR="001F5707">
        <w:t xml:space="preserve">to Australia would be </w:t>
      </w:r>
      <w:r w:rsidR="00FD2EEA">
        <w:t xml:space="preserve">higher </w:t>
      </w:r>
      <w:r w:rsidR="001F5707">
        <w:t>if Australia chose not to retaliate</w:t>
      </w:r>
      <w:r w:rsidR="00FD2EEA">
        <w:t xml:space="preserve"> with the rest of the world</w:t>
      </w:r>
      <w:r w:rsidR="001F5707">
        <w:t>.</w:t>
      </w:r>
      <w:r w:rsidR="00932FB5">
        <w:t xml:space="preserve"> </w:t>
      </w:r>
      <w:r w:rsidR="001F5707">
        <w:t xml:space="preserve">The PC modelled </w:t>
      </w:r>
      <w:r w:rsidR="006950EF">
        <w:t xml:space="preserve">an additional </w:t>
      </w:r>
      <w:r w:rsidR="00223B15">
        <w:t xml:space="preserve">variant of the Universal 10 </w:t>
      </w:r>
      <w:r w:rsidR="008A7BED">
        <w:t>scenario</w:t>
      </w:r>
      <w:r w:rsidR="00E6550A">
        <w:t>, where Australia takes no action while the rest of the world retaliates by imposing 10% tariffs on US imports,</w:t>
      </w:r>
      <w:r w:rsidR="00144F33">
        <w:t xml:space="preserve"> </w:t>
      </w:r>
      <w:r w:rsidR="00351C5E">
        <w:t xml:space="preserve">to illustrate this </w:t>
      </w:r>
      <w:r w:rsidR="007F02BC">
        <w:t xml:space="preserve">point </w:t>
      </w:r>
      <w:r w:rsidR="00351C5E">
        <w:t>(</w:t>
      </w:r>
      <w:r w:rsidR="006E7DE5">
        <w:t>f</w:t>
      </w:r>
      <w:r w:rsidR="006E7DE5" w:rsidRPr="00C21A75">
        <w:t>igure </w:t>
      </w:r>
      <w:r w:rsidR="006E7DE5">
        <w:rPr>
          <w:noProof/>
        </w:rPr>
        <w:t>1</w:t>
      </w:r>
      <w:r w:rsidR="006E7DE5">
        <w:t>.</w:t>
      </w:r>
      <w:r w:rsidR="006E7DE5">
        <w:rPr>
          <w:noProof/>
        </w:rPr>
        <w:t>2</w:t>
      </w:r>
      <w:r w:rsidR="00351C5E">
        <w:t>)</w:t>
      </w:r>
      <w:r w:rsidR="003556C8">
        <w:t>.</w:t>
      </w:r>
    </w:p>
    <w:p w14:paraId="6EBA7A52" w14:textId="02FA64E1" w:rsidR="0070668B" w:rsidRPr="00C21A75" w:rsidRDefault="00250591" w:rsidP="0070668B">
      <w:pPr>
        <w:pStyle w:val="Caption"/>
        <w:keepNext/>
        <w:rPr>
          <w:rStyle w:val="FootnoteReference"/>
        </w:rPr>
      </w:pPr>
      <w:bookmarkStart w:id="25" w:name="_Ref201747343"/>
      <w:r w:rsidRPr="00C21A75">
        <w:lastRenderedPageBreak/>
        <w:t>Figure </w:t>
      </w:r>
      <w:r w:rsidR="005642CB">
        <w:fldChar w:fldCharType="begin"/>
      </w:r>
      <w:r w:rsidR="005642CB">
        <w:instrText xml:space="preserve"> STYLEREF 1 \s </w:instrText>
      </w:r>
      <w:r w:rsidR="005642CB">
        <w:fldChar w:fldCharType="separate"/>
      </w:r>
      <w:r w:rsidR="004A080B">
        <w:rPr>
          <w:noProof/>
        </w:rPr>
        <w:t>1</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2</w:t>
      </w:r>
      <w:r w:rsidR="005642CB">
        <w:fldChar w:fldCharType="end"/>
      </w:r>
      <w:bookmarkEnd w:id="25"/>
      <w:r w:rsidR="00245629">
        <w:t xml:space="preserve"> –</w:t>
      </w:r>
      <w:r w:rsidR="0070668B" w:rsidRPr="00C21A75">
        <w:t xml:space="preserve"> </w:t>
      </w:r>
      <w:r w:rsidR="003556C8">
        <w:t>Australia’s</w:t>
      </w:r>
      <w:r w:rsidR="0070668B" w:rsidRPr="00C21A75">
        <w:t xml:space="preserve"> </w:t>
      </w:r>
      <w:r w:rsidR="00D470A4">
        <w:t xml:space="preserve">best response </w:t>
      </w:r>
      <w:r w:rsidR="003556C8">
        <w:t xml:space="preserve">to tariffs </w:t>
      </w:r>
      <w:r w:rsidR="00D470A4">
        <w:t>is to embrace free trade</w:t>
      </w:r>
    </w:p>
    <w:p w14:paraId="02F397B9" w14:textId="2BC89E0F" w:rsidR="0070668B" w:rsidRPr="00C21A75" w:rsidRDefault="001F6CFD" w:rsidP="0070668B">
      <w:pPr>
        <w:pStyle w:val="FigureTableSubheading"/>
        <w:keepLines/>
      </w:pPr>
      <w:r w:rsidRPr="001F6CFD">
        <w:t>Change in real GDP and real GNP from Australia’s response</w:t>
      </w:r>
    </w:p>
    <w:p w14:paraId="3FAECDC7" w14:textId="76D7D4F8" w:rsidR="00351C5E" w:rsidRPr="00351C5E" w:rsidRDefault="004D3CF8" w:rsidP="00BD523E">
      <w:pPr>
        <w:pStyle w:val="BodyText"/>
        <w:spacing w:before="0" w:after="0"/>
      </w:pPr>
      <w:r w:rsidRPr="004D3CF8">
        <w:rPr>
          <w:noProof/>
        </w:rPr>
        <w:drawing>
          <wp:inline distT="0" distB="0" distL="0" distR="0" wp14:anchorId="267FAF65" wp14:editId="118F066E">
            <wp:extent cx="6120130" cy="3058510"/>
            <wp:effectExtent l="0" t="0" r="0" b="0"/>
            <wp:docPr id="161235003" name="Picture 2" descr="The figure is a multiple column chart showing the effects on real GDP and real GNP from the three variants of the ‘Universal 10%’ scenario. The effects are strongest for real GDP in every case, and both effects are strongest in the scenario where ‘Australia takes no action while all other countries retaliate’. Real GDP is shown to increase by around 0.29% in this scenario, followed by 0.15% in the scenario where ‘Australia and all other countries retaliate’. The effects on GDP in the baseline ‘Universal 10%’ scenario are the lowest, at a 0.09% increase in GDP. Real GNP increases by under 0.06% in the scenario where Australia takes no action, which is the highest result across the thre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5003" name="Picture 2" descr="The figure is a multiple column chart showing the effects on real GDP and real GNP from the three variants of the ‘Universal 10%’ scenario. The effects are strongest for real GDP in every case, and both effects are strongest in the scenario where ‘Australia takes no action while all other countries retaliate’. Real GDP is shown to increase by around 0.29% in this scenario, followed by 0.15% in the scenario where ‘Australia and all other countries retaliate’. The effects on GDP in the baseline ‘Universal 10%’ scenario are the lowest, at a 0.09% increase in GDP. Real GNP increases by under 0.06% in the scenario where Australia takes no action, which is the highest result across the three scenarios."/>
                    <pic:cNvPicPr>
                      <a:picLocks noChangeAspect="1" noChangeArrowheads="1"/>
                    </pic:cNvPicPr>
                  </pic:nvPicPr>
                  <pic:blipFill rotWithShape="1">
                    <a:blip r:embed="rId44">
                      <a:extLst>
                        <a:ext uri="{28A0092B-C50C-407E-A947-70E740481C1C}">
                          <a14:useLocalDpi xmlns:a14="http://schemas.microsoft.com/office/drawing/2010/main" val="0"/>
                        </a:ext>
                      </a:extLst>
                    </a:blip>
                    <a:srcRect b="3029"/>
                    <a:stretch/>
                  </pic:blipFill>
                  <pic:spPr bwMode="auto">
                    <a:xfrm>
                      <a:off x="0" y="0"/>
                      <a:ext cx="6120130" cy="3058510"/>
                    </a:xfrm>
                    <a:prstGeom prst="rect">
                      <a:avLst/>
                    </a:prstGeom>
                    <a:noFill/>
                    <a:ln>
                      <a:noFill/>
                    </a:ln>
                    <a:extLst>
                      <a:ext uri="{53640926-AAD7-44D8-BBD7-CCE9431645EC}">
                        <a14:shadowObscured xmlns:a14="http://schemas.microsoft.com/office/drawing/2010/main"/>
                      </a:ext>
                    </a:extLst>
                  </pic:spPr>
                </pic:pic>
              </a:graphicData>
            </a:graphic>
          </wp:inline>
        </w:drawing>
      </w:r>
      <w:r w:rsidRPr="004D3CF8">
        <w:t xml:space="preserve"> </w:t>
      </w:r>
    </w:p>
    <w:p w14:paraId="33397F18" w14:textId="77777777" w:rsidR="00250591" w:rsidRDefault="00250591" w:rsidP="004D3CF8">
      <w:pPr>
        <w:pStyle w:val="Source"/>
        <w:spacing w:before="0"/>
      </w:pPr>
      <w:r w:rsidRPr="00C21A75">
        <w:t xml:space="preserve">Source: </w:t>
      </w:r>
      <w:r>
        <w:t>PC estimates.</w:t>
      </w:r>
    </w:p>
    <w:p w14:paraId="3BE94535" w14:textId="621BBC8E" w:rsidR="005B6821" w:rsidRDefault="00313A01" w:rsidP="001C79A3">
      <w:pPr>
        <w:pStyle w:val="BodyText"/>
      </w:pPr>
      <w:r>
        <w:t xml:space="preserve">The modelling indicates that </w:t>
      </w:r>
      <w:r w:rsidR="004F4913">
        <w:t xml:space="preserve">Australia’s best response to global tariffs is to continue to embrace </w:t>
      </w:r>
      <w:r>
        <w:t>and advocate for</w:t>
      </w:r>
      <w:r w:rsidR="004F4913">
        <w:t xml:space="preserve"> </w:t>
      </w:r>
      <w:r w:rsidR="005F7C17">
        <w:t xml:space="preserve">free trade. </w:t>
      </w:r>
      <w:r w:rsidR="00634D68">
        <w:t xml:space="preserve">While we cannot </w:t>
      </w:r>
      <w:r w:rsidR="00052ED8">
        <w:t xml:space="preserve">predict or </w:t>
      </w:r>
      <w:r w:rsidR="00634D68">
        <w:t xml:space="preserve">control </w:t>
      </w:r>
      <w:r w:rsidR="00052ED8">
        <w:t xml:space="preserve">the </w:t>
      </w:r>
      <w:r w:rsidR="001F0794">
        <w:t>trade policies</w:t>
      </w:r>
      <w:r w:rsidR="00052ED8">
        <w:t xml:space="preserve"> of other countries</w:t>
      </w:r>
      <w:r w:rsidR="001F0794">
        <w:t xml:space="preserve">, we can </w:t>
      </w:r>
      <w:r w:rsidR="00B0054A">
        <w:t>calibrate</w:t>
      </w:r>
      <w:r w:rsidR="001F0794">
        <w:t xml:space="preserve"> our own response</w:t>
      </w:r>
      <w:r w:rsidR="00B0054A">
        <w:t xml:space="preserve"> to maximise the benefits to Australia given the policies of other countries</w:t>
      </w:r>
      <w:r w:rsidR="001F0794">
        <w:t>.</w:t>
      </w:r>
      <w:r w:rsidR="00052ED8">
        <w:t xml:space="preserve"> </w:t>
      </w:r>
      <w:r w:rsidR="00E435E5">
        <w:t xml:space="preserve">Moreover, by advocating for free trade with like-minded international partners, </w:t>
      </w:r>
      <w:r w:rsidR="006A4FEB">
        <w:t xml:space="preserve">we can reduce the risk that </w:t>
      </w:r>
      <w:r w:rsidR="00FF2F40">
        <w:t>retaliation spirals into a broader trade war that leads to worse outcomes for Australia.</w:t>
      </w:r>
    </w:p>
    <w:p w14:paraId="4E24571E" w14:textId="2CF4BC5E" w:rsidR="00B969A7" w:rsidRDefault="00780744" w:rsidP="001C79A3">
      <w:pPr>
        <w:pStyle w:val="BodyText"/>
      </w:pPr>
      <w:r>
        <w:t>The benefits of embracing free trade</w:t>
      </w:r>
      <w:r w:rsidR="0017758D">
        <w:t xml:space="preserve">, such as by </w:t>
      </w:r>
      <w:r w:rsidR="000E0B61">
        <w:t>taking no retaliatory action</w:t>
      </w:r>
      <w:r w:rsidR="0017758D">
        <w:t>,</w:t>
      </w:r>
      <w:r>
        <w:t xml:space="preserve"> </w:t>
      </w:r>
      <w:r w:rsidR="0067172D">
        <w:t xml:space="preserve">would </w:t>
      </w:r>
      <w:r w:rsidR="0043002C">
        <w:t>outweigh</w:t>
      </w:r>
      <w:r w:rsidR="0017758D">
        <w:t xml:space="preserve"> any </w:t>
      </w:r>
      <w:r w:rsidR="00B0054A">
        <w:t xml:space="preserve">benefits </w:t>
      </w:r>
      <w:r w:rsidR="0043002C">
        <w:t xml:space="preserve">from </w:t>
      </w:r>
      <w:r w:rsidR="00816432">
        <w:t xml:space="preserve">imposing </w:t>
      </w:r>
      <w:r w:rsidR="00370FC4">
        <w:t xml:space="preserve">retaliatory </w:t>
      </w:r>
      <w:r w:rsidR="00816432">
        <w:t>tariffs</w:t>
      </w:r>
      <w:r w:rsidR="007263CD">
        <w:t xml:space="preserve">. </w:t>
      </w:r>
      <w:r w:rsidR="00B969A7">
        <w:t>Indeed, going further by removing Australia’s remaining tariffs would lead to even greater benefits for Australia. In another</w:t>
      </w:r>
      <w:r w:rsidR="00E6550A">
        <w:t xml:space="preserve"> modelled</w:t>
      </w:r>
      <w:r w:rsidR="00B969A7">
        <w:t xml:space="preserve"> scenario where Australia eliminated its remaining tariffs in response to a 10% import tariff levied by the US, while the rest of the world retaliated, </w:t>
      </w:r>
      <w:r w:rsidR="0087423D">
        <w:t>Australian GDP could increase by 0.35%</w:t>
      </w:r>
      <w:r w:rsidR="00995B27">
        <w:t>, or</w:t>
      </w:r>
      <w:r w:rsidR="0087423D">
        <w:t xml:space="preserve"> 0.0</w:t>
      </w:r>
      <w:r w:rsidR="006E5425">
        <w:t>6</w:t>
      </w:r>
      <w:r w:rsidR="0087423D">
        <w:t xml:space="preserve"> percentage points</w:t>
      </w:r>
      <w:r w:rsidR="00E6550A">
        <w:t xml:space="preserve"> more</w:t>
      </w:r>
      <w:r w:rsidR="0087423D">
        <w:t xml:space="preserve"> </w:t>
      </w:r>
      <w:r w:rsidR="00995B27">
        <w:t>than if Australia took no action</w:t>
      </w:r>
      <w:r w:rsidR="003556C8">
        <w:t xml:space="preserve"> (appendix </w:t>
      </w:r>
      <w:r w:rsidR="00E519C7">
        <w:t>A</w:t>
      </w:r>
      <w:r w:rsidR="00BB4DB7">
        <w:t>)</w:t>
      </w:r>
      <w:r w:rsidR="00995B27">
        <w:t>.</w:t>
      </w:r>
    </w:p>
    <w:p w14:paraId="07FF5295" w14:textId="0F70DC1C" w:rsidR="000C283C" w:rsidRDefault="002C5A67" w:rsidP="00AF6794">
      <w:pPr>
        <w:pStyle w:val="BodyText"/>
      </w:pPr>
      <w:r w:rsidRPr="00C21A75">
        <w:t xml:space="preserve">The results presented </w:t>
      </w:r>
      <w:r>
        <w:t>illustrate</w:t>
      </w:r>
      <w:r w:rsidRPr="00C21A75">
        <w:t xml:space="preserve"> the potential </w:t>
      </w:r>
      <w:r>
        <w:t>impacts on Australia from global tariffs and explain their primary mechanisms, namely trade and capital flows</w:t>
      </w:r>
      <w:r w:rsidRPr="00C21A75">
        <w:t xml:space="preserve">. </w:t>
      </w:r>
      <w:r>
        <w:t>The modelling cannot account for all impacts from global tariffs, such as the effects of economic uncertainty which are discussed separately</w:t>
      </w:r>
      <w:r w:rsidR="00217619">
        <w:t xml:space="preserve"> (box 1.3</w:t>
      </w:r>
      <w:r>
        <w:t>).</w:t>
      </w:r>
    </w:p>
    <w:p w14:paraId="3C78FE11" w14:textId="5349C787" w:rsidR="00A972CD" w:rsidRPr="00C21A75" w:rsidRDefault="0004312D" w:rsidP="0055744B">
      <w:pPr>
        <w:pStyle w:val="Heading2"/>
      </w:pPr>
      <w:bookmarkStart w:id="26" w:name="_Toc202477847"/>
      <w:r>
        <w:lastRenderedPageBreak/>
        <w:t>G</w:t>
      </w:r>
      <w:r w:rsidR="00A972CD" w:rsidRPr="00C21A75">
        <w:t>rowing uncertainty will have negative consequences of its own</w:t>
      </w:r>
      <w:bookmarkEnd w:id="26"/>
    </w:p>
    <w:p w14:paraId="08B79DEF" w14:textId="2AA26A59" w:rsidR="00A972CD" w:rsidDel="00B3576D" w:rsidRDefault="00A972CD" w:rsidP="0055744B">
      <w:pPr>
        <w:pStyle w:val="BodyText"/>
        <w:keepNext/>
        <w:keepLines/>
      </w:pPr>
      <w:r w:rsidDel="00B3576D">
        <w:t>Although the direct economic impacts from tariffs being imposed on Australian exports are likely to be small in the long</w:t>
      </w:r>
      <w:r w:rsidR="00200862">
        <w:noBreakHyphen/>
      </w:r>
      <w:r w:rsidDel="00B3576D">
        <w:t xml:space="preserve">run, the indirect impacts from growing economic uncertainty </w:t>
      </w:r>
      <w:r>
        <w:t>may be more significant</w:t>
      </w:r>
      <w:r w:rsidRPr="00C21A75">
        <w:t>.</w:t>
      </w:r>
      <w:r w:rsidRPr="00C21A75" w:rsidDel="00B3576D">
        <w:t xml:space="preserve"> </w:t>
      </w:r>
    </w:p>
    <w:p w14:paraId="32ED6BE9" w14:textId="08D0AAFF" w:rsidR="007C1656" w:rsidRDefault="000A0F42" w:rsidP="00837C7A">
      <w:pPr>
        <w:pStyle w:val="BodyText"/>
      </w:pPr>
      <w:r>
        <w:t>In 2025, e</w:t>
      </w:r>
      <w:r w:rsidR="00A972CD" w:rsidRPr="00C21A75">
        <w:t xml:space="preserve">conomic uncertainty in Australia and globally </w:t>
      </w:r>
      <w:r w:rsidR="00743AF4">
        <w:t>reached</w:t>
      </w:r>
      <w:r w:rsidR="00A972CD" w:rsidRPr="00C21A75">
        <w:t xml:space="preserve"> their highest levels since COVID</w:t>
      </w:r>
      <w:r w:rsidR="00200862">
        <w:noBreakHyphen/>
      </w:r>
      <w:r w:rsidR="00A972CD" w:rsidRPr="00C21A75">
        <w:t xml:space="preserve">19 according to measures constructed by </w:t>
      </w:r>
      <w:r w:rsidR="00A972CD">
        <w:t xml:space="preserve">leading </w:t>
      </w:r>
      <w:r w:rsidR="00A972CD" w:rsidRPr="00C21A75">
        <w:t xml:space="preserve">academic </w:t>
      </w:r>
      <w:r w:rsidR="00A972CD">
        <w:t>researchers</w:t>
      </w:r>
      <w:r w:rsidR="00A972CD" w:rsidRPr="00C21A75">
        <w:t xml:space="preserve"> (</w:t>
      </w:r>
      <w:r w:rsidR="00736B4E">
        <w:t>f</w:t>
      </w:r>
      <w:r w:rsidR="00736B4E" w:rsidRPr="00C21A75">
        <w:t>igure</w:t>
      </w:r>
      <w:r w:rsidR="00791979" w:rsidRPr="00C21A75">
        <w:t> </w:t>
      </w:r>
      <w:r w:rsidR="00791979">
        <w:rPr>
          <w:noProof/>
        </w:rPr>
        <w:t>1</w:t>
      </w:r>
      <w:r w:rsidR="00791979">
        <w:t>.</w:t>
      </w:r>
      <w:r w:rsidR="00791979">
        <w:rPr>
          <w:noProof/>
        </w:rPr>
        <w:t>3</w:t>
      </w:r>
      <w:r w:rsidR="00250591" w:rsidRPr="00C21A75">
        <w:t>).</w:t>
      </w:r>
      <w:r w:rsidR="00250591" w:rsidRPr="003553DC">
        <w:rPr>
          <w:rStyle w:val="FootnoteReference"/>
        </w:rPr>
        <w:footnoteReference w:id="10"/>
      </w:r>
      <w:r w:rsidR="00A972CD" w:rsidRPr="00C21A75">
        <w:t xml:space="preserve"> Recent developments in US trade policy have </w:t>
      </w:r>
      <w:r w:rsidR="00A972CD">
        <w:t xml:space="preserve">seen </w:t>
      </w:r>
      <w:r w:rsidR="008B5709">
        <w:t xml:space="preserve">the </w:t>
      </w:r>
      <w:r w:rsidR="00DE33EC">
        <w:t xml:space="preserve">largest </w:t>
      </w:r>
      <w:r w:rsidR="008B5709">
        <w:t>change</w:t>
      </w:r>
      <w:r w:rsidR="00682A41">
        <w:t>s</w:t>
      </w:r>
      <w:r w:rsidR="008B5709">
        <w:t xml:space="preserve"> in tariff </w:t>
      </w:r>
      <w:r w:rsidR="00DE33EC">
        <w:t xml:space="preserve">rates since </w:t>
      </w:r>
      <w:r w:rsidR="00682A41">
        <w:t>the</w:t>
      </w:r>
      <w:r w:rsidR="00A972CD">
        <w:t xml:space="preserve"> Smoot</w:t>
      </w:r>
      <w:r w:rsidR="00200862">
        <w:noBreakHyphen/>
      </w:r>
      <w:r w:rsidR="00A972CD">
        <w:t>Hawley Tariff Act of 1930</w:t>
      </w:r>
      <w:r w:rsidR="007E1396">
        <w:t xml:space="preserve"> </w:t>
      </w:r>
      <w:r w:rsidR="007E1396" w:rsidRPr="00410539">
        <w:rPr>
          <w:rFonts w:ascii="Arial" w:hAnsi="Arial" w:cs="Arial"/>
        </w:rPr>
        <w:t>(Bishop-Henchman 2025; Evenett and Fritz 2025)</w:t>
      </w:r>
      <w:r w:rsidR="00553B09">
        <w:t xml:space="preserve">, </w:t>
      </w:r>
      <w:r w:rsidR="00706675">
        <w:t xml:space="preserve">resulting in the highest effective </w:t>
      </w:r>
      <w:r w:rsidR="00486B82">
        <w:t xml:space="preserve">US </w:t>
      </w:r>
      <w:r w:rsidR="00706675">
        <w:t>tariff rate since 1909</w:t>
      </w:r>
      <w:r w:rsidR="00FC0606">
        <w:t xml:space="preserve"> </w:t>
      </w:r>
      <w:r w:rsidR="00820F85" w:rsidRPr="00820F85">
        <w:rPr>
          <w:rFonts w:ascii="Arial" w:hAnsi="Arial" w:cs="Arial"/>
        </w:rPr>
        <w:t>(The Budget Lab 2025)</w:t>
      </w:r>
      <w:r w:rsidR="00A972CD">
        <w:t xml:space="preserve">. </w:t>
      </w:r>
      <w:r w:rsidR="00F745BE">
        <w:t>The speed and frequency of these changes,</w:t>
      </w:r>
      <w:r w:rsidR="000D01DA">
        <w:t xml:space="preserve"> the</w:t>
      </w:r>
      <w:r w:rsidR="00566F17">
        <w:t xml:space="preserve">ir </w:t>
      </w:r>
      <w:r w:rsidR="008C79F0">
        <w:t>varying</w:t>
      </w:r>
      <w:r w:rsidR="00BB3592">
        <w:t xml:space="preserve"> scope and</w:t>
      </w:r>
      <w:r w:rsidR="00685908">
        <w:t xml:space="preserve"> </w:t>
      </w:r>
      <w:r w:rsidR="008C79F0">
        <w:t xml:space="preserve">the range of </w:t>
      </w:r>
      <w:r w:rsidR="00963144">
        <w:t>justification</w:t>
      </w:r>
      <w:r w:rsidR="008C79F0">
        <w:t>s</w:t>
      </w:r>
      <w:r w:rsidR="000D01DA">
        <w:t xml:space="preserve"> </w:t>
      </w:r>
      <w:r w:rsidR="001B71D1">
        <w:t xml:space="preserve">under </w:t>
      </w:r>
      <w:r w:rsidR="00DB36EE">
        <w:t>emergency executive powers</w:t>
      </w:r>
      <w:r w:rsidR="003B6121">
        <w:t xml:space="preserve">, </w:t>
      </w:r>
      <w:r w:rsidR="000C4674">
        <w:t>contribute to a</w:t>
      </w:r>
      <w:r w:rsidR="009D18CC">
        <w:t xml:space="preserve"> new </w:t>
      </w:r>
      <w:r w:rsidR="00566F17">
        <w:t xml:space="preserve">environment where </w:t>
      </w:r>
      <w:r w:rsidR="00D17B2B">
        <w:t xml:space="preserve">perceptions are that </w:t>
      </w:r>
      <w:r w:rsidR="00ED73F8">
        <w:t>trade policies</w:t>
      </w:r>
      <w:r w:rsidR="001A5C1A">
        <w:t xml:space="preserve"> could change </w:t>
      </w:r>
      <w:r w:rsidR="0087411C">
        <w:t>significantly</w:t>
      </w:r>
      <w:r w:rsidR="009D18CC">
        <w:t>, at any time</w:t>
      </w:r>
      <w:r w:rsidR="0087411C">
        <w:t xml:space="preserve"> </w:t>
      </w:r>
      <w:r w:rsidR="00B151B8">
        <w:t>and without warning.</w:t>
      </w:r>
    </w:p>
    <w:p w14:paraId="07327F71" w14:textId="436B9DFC" w:rsidR="00A972CD" w:rsidRDefault="00A972CD" w:rsidP="00837C7A">
      <w:pPr>
        <w:pStyle w:val="BodyText"/>
      </w:pPr>
      <w:r>
        <w:t xml:space="preserve">These changes have </w:t>
      </w:r>
      <w:r w:rsidRPr="00C21A75">
        <w:t>substantially increased economic uncertainty, which is expected to slow global economic activity, household consumption and business investment</w:t>
      </w:r>
      <w:r w:rsidR="00AC71AA">
        <w:t xml:space="preserve"> </w:t>
      </w:r>
      <w:r w:rsidR="00410539" w:rsidRPr="00410539">
        <w:rPr>
          <w:rFonts w:ascii="Arial" w:hAnsi="Arial" w:cs="Arial"/>
        </w:rPr>
        <w:t>(OECD 2025, p. 9; RBA 2025; Treasury 2025d, p. 2)</w:t>
      </w:r>
      <w:r w:rsidRPr="00C21A75">
        <w:t>. In addition, challenges in the Chinese economy, lingering inflationary pressures and ongoing conflicts in the Middle East and Europe compound the uncertainty facing the Australian economy</w:t>
      </w:r>
      <w:r>
        <w:t xml:space="preserve"> </w:t>
      </w:r>
      <w:r w:rsidR="00410539" w:rsidRPr="00410539">
        <w:rPr>
          <w:rFonts w:ascii="Arial" w:hAnsi="Arial" w:cs="Arial"/>
        </w:rPr>
        <w:t>(The Commonwealth of Australia 2025c, p. 1)</w:t>
      </w:r>
      <w:r w:rsidRPr="00C21A75">
        <w:t>.</w:t>
      </w:r>
    </w:p>
    <w:p w14:paraId="6E8BD583" w14:textId="77777777" w:rsidR="00075B46" w:rsidRPr="006B0CD4" w:rsidRDefault="00075B46" w:rsidP="00075B46">
      <w:pPr>
        <w:pStyle w:val="Heading3"/>
      </w:pPr>
      <w:r w:rsidRPr="006B0CD4">
        <w:t>The economic effects of uncertainty</w:t>
      </w:r>
    </w:p>
    <w:p w14:paraId="058AE952" w14:textId="77777777" w:rsidR="00075B46" w:rsidRPr="00C21A75" w:rsidRDefault="00075B46" w:rsidP="00075B46">
      <w:pPr>
        <w:pStyle w:val="BodyText"/>
      </w:pPr>
      <w:r w:rsidRPr="00C21A75">
        <w:t>Uncertainty can have a chilling effect on economic decisions by increasing the relative benefits of waitin</w:t>
      </w:r>
      <w:r>
        <w:t>g to act</w:t>
      </w:r>
      <w:r w:rsidRPr="00C21A75">
        <w:t>. Many important economic decisions are at least partly irreversible and have uncertain outcomes</w:t>
      </w:r>
      <w:r>
        <w:t>.</w:t>
      </w:r>
      <w:r w:rsidRPr="00C21A75">
        <w:t xml:space="preserve"> When uncertainty is elevated, there is a benefit from waiting to act </w:t>
      </w:r>
      <w:r w:rsidRPr="00C21A75" w:rsidDel="00391B33">
        <w:t xml:space="preserve">if </w:t>
      </w:r>
      <w:r>
        <w:t>it</w:t>
      </w:r>
      <w:r w:rsidRPr="00C21A75" w:rsidDel="00391B33">
        <w:t xml:space="preserve"> will </w:t>
      </w:r>
      <w:r>
        <w:t>help economic actors</w:t>
      </w:r>
      <w:r w:rsidRPr="00C21A75" w:rsidDel="00391B33">
        <w:t xml:space="preserve"> to avoid </w:t>
      </w:r>
      <w:r>
        <w:t>making a ‘bad’ decision</w:t>
      </w:r>
      <w:r w:rsidDel="00391B33">
        <w:t xml:space="preserve"> </w:t>
      </w:r>
      <w:r>
        <w:t>they would otherwise regret</w:t>
      </w:r>
      <w:r w:rsidDel="00391B33">
        <w:t xml:space="preserve"> </w:t>
      </w:r>
      <w:r w:rsidRPr="009709F6">
        <w:rPr>
          <w:rFonts w:ascii="Arial" w:hAnsi="Arial" w:cs="Arial"/>
        </w:rPr>
        <w:t>(Bernanke 1983)</w:t>
      </w:r>
      <w:r w:rsidRPr="00C21A75">
        <w:t xml:space="preserve">. </w:t>
      </w:r>
      <w:r w:rsidRPr="006601B0">
        <w:t>This dynamic can exacerbate the vicissitudes of business cycles, which can generate broader financial and macroeconomic risks.</w:t>
      </w:r>
      <w:r>
        <w:t xml:space="preserve"> </w:t>
      </w:r>
    </w:p>
    <w:p w14:paraId="3D25A377" w14:textId="77777777" w:rsidR="00075B46" w:rsidRPr="00C21A75" w:rsidRDefault="00075B46" w:rsidP="00075B46">
      <w:pPr>
        <w:pStyle w:val="BodyText"/>
      </w:pPr>
      <w:r>
        <w:t>W</w:t>
      </w:r>
      <w:r w:rsidRPr="00C21A75">
        <w:t>aiting to act retains the option value associated with not making irreversible decisions. Irreversible decisions expend irrecoverable resources</w:t>
      </w:r>
      <w:r w:rsidRPr="00C21A75" w:rsidDel="00E50EF4">
        <w:t xml:space="preserve"> </w:t>
      </w:r>
      <w:r w:rsidRPr="00C21A75">
        <w:t>and forgo the option of making an alternative decision at the time or in the future. This foregone option is an opportunity cost, increasing in uncertainty and irreversibility,</w:t>
      </w:r>
      <w:r w:rsidRPr="00D23D7D">
        <w:rPr>
          <w:rStyle w:val="FootnoteReference"/>
        </w:rPr>
        <w:footnoteReference w:id="11"/>
      </w:r>
      <w:r w:rsidRPr="00C21A75">
        <w:t xml:space="preserve"> that must also be included as part of the decision to act</w:t>
      </w:r>
      <w:r>
        <w:t xml:space="preserve"> </w:t>
      </w:r>
      <w:r w:rsidRPr="00DD3A5A">
        <w:rPr>
          <w:rFonts w:ascii="Arial" w:hAnsi="Arial" w:cs="Arial"/>
        </w:rPr>
        <w:t>(Dixit and Pindyck 1994, p. 6; Folta et al. 2006, p. 433)</w:t>
      </w:r>
      <w:r w:rsidRPr="00C21A75">
        <w:t xml:space="preserve">. </w:t>
      </w:r>
      <w:r>
        <w:t>Waiting</w:t>
      </w:r>
      <w:r w:rsidRPr="00C21A75">
        <w:t xml:space="preserve"> to </w:t>
      </w:r>
      <w:r>
        <w:t>act can allow valuable information to emerge about</w:t>
      </w:r>
      <w:r w:rsidRPr="00C21A75">
        <w:t xml:space="preserve"> </w:t>
      </w:r>
      <w:r>
        <w:t xml:space="preserve">this opportunity cost and </w:t>
      </w:r>
      <w:r w:rsidRPr="00C21A75">
        <w:t xml:space="preserve">the potential outcomes </w:t>
      </w:r>
      <w:r>
        <w:t>of a decision.</w:t>
      </w:r>
      <w:r w:rsidRPr="00C21A75">
        <w:t xml:space="preserve"> For example, a</w:t>
      </w:r>
      <w:r>
        <w:t xml:space="preserve"> firm deciding whether to invest in a new factory can wait to observe whether local demand and economic conditions are sufficient to justify the investment. If not, by waiting, the firm reserves the option to build the factory in the future or use the capital for another purpose entirely.</w:t>
      </w:r>
    </w:p>
    <w:p w14:paraId="78644DB0" w14:textId="6D3657AE" w:rsidR="00075B46" w:rsidRPr="00C21A75" w:rsidRDefault="00075B46" w:rsidP="00837C7A">
      <w:pPr>
        <w:pStyle w:val="BodyText"/>
      </w:pPr>
      <w:r w:rsidRPr="00C21A75">
        <w:t xml:space="preserve">Agents also effectively insure against uncertainty by requiring the returns from </w:t>
      </w:r>
      <w:r>
        <w:t>their optimal</w:t>
      </w:r>
      <w:r w:rsidRPr="00C21A75">
        <w:t xml:space="preserve"> decision to exceed the expected value of all other available options </w:t>
      </w:r>
      <w:r w:rsidRPr="00C21A75">
        <w:rPr>
          <w:i/>
          <w:iCs/>
        </w:rPr>
        <w:t>and</w:t>
      </w:r>
      <w:r w:rsidRPr="00C21A75">
        <w:t xml:space="preserve"> the uncertainty</w:t>
      </w:r>
      <w:r>
        <w:noBreakHyphen/>
      </w:r>
      <w:r w:rsidRPr="00C21A75">
        <w:t>elevated option value of waiting</w:t>
      </w:r>
      <w:r>
        <w:t xml:space="preserve"> </w:t>
      </w:r>
      <w:r w:rsidRPr="001F4645">
        <w:rPr>
          <w:rFonts w:ascii="Arial" w:hAnsi="Arial" w:cs="Arial"/>
        </w:rPr>
        <w:t>(Bernanke 1983, p. 90)</w:t>
      </w:r>
      <w:r>
        <w:t xml:space="preserve">. </w:t>
      </w:r>
      <w:r w:rsidRPr="00C21A75">
        <w:t xml:space="preserve">This can make waiting the optimal decision when there is uncertainty, depressing </w:t>
      </w:r>
      <w:r w:rsidRPr="00C21A75">
        <w:lastRenderedPageBreak/>
        <w:t>economic decisions</w:t>
      </w:r>
      <w:r>
        <w:t xml:space="preserve"> such as</w:t>
      </w:r>
      <w:r w:rsidRPr="00C21A75">
        <w:t xml:space="preserve"> job switching, household consumption on long</w:t>
      </w:r>
      <w:r>
        <w:noBreakHyphen/>
      </w:r>
      <w:r w:rsidRPr="00C21A75">
        <w:t>term goods and many forms of business investment</w:t>
      </w:r>
      <w:r>
        <w:t xml:space="preserve"> </w:t>
      </w:r>
      <w:r w:rsidRPr="001F4645">
        <w:rPr>
          <w:rFonts w:ascii="Arial" w:hAnsi="Arial" w:cs="Arial"/>
        </w:rPr>
        <w:t>(Benguria et al. 2022; Caldara et al. 2020; Handley 2014)</w:t>
      </w:r>
      <w:r w:rsidRPr="00C21A75">
        <w:t>.</w:t>
      </w:r>
    </w:p>
    <w:p w14:paraId="374FCC92" w14:textId="1DFE4583" w:rsidR="00A972CD" w:rsidRPr="00C21A75" w:rsidRDefault="00250591" w:rsidP="0011121F">
      <w:pPr>
        <w:pStyle w:val="FigureTableHeading"/>
        <w:rPr>
          <w:rStyle w:val="FootnoteReference"/>
        </w:rPr>
      </w:pPr>
      <w:bookmarkStart w:id="27" w:name="_Ref190172375"/>
      <w:r w:rsidRPr="00C21A75">
        <w:t>Figure </w:t>
      </w:r>
      <w:r w:rsidR="005642CB">
        <w:fldChar w:fldCharType="begin"/>
      </w:r>
      <w:r w:rsidR="005642CB">
        <w:instrText xml:space="preserve"> STYLEREF 1 \s </w:instrText>
      </w:r>
      <w:r w:rsidR="005642CB">
        <w:fldChar w:fldCharType="separate"/>
      </w:r>
      <w:r w:rsidR="004A080B">
        <w:rPr>
          <w:noProof/>
        </w:rPr>
        <w:t>1</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3</w:t>
      </w:r>
      <w:r w:rsidR="005642CB">
        <w:fldChar w:fldCharType="end"/>
      </w:r>
      <w:bookmarkEnd w:id="27"/>
      <w:r w:rsidR="00900B7B">
        <w:t xml:space="preserve"> –</w:t>
      </w:r>
      <w:r w:rsidR="00A972CD" w:rsidRPr="00C21A75">
        <w:t xml:space="preserve"> Economic uncertainty has been volatile and rising, especially since 2024</w:t>
      </w:r>
      <w:r w:rsidR="00A972CD" w:rsidRPr="00C21A75">
        <w:rPr>
          <w:vertAlign w:val="superscript"/>
        </w:rPr>
        <w:t>a</w:t>
      </w:r>
      <w:r w:rsidR="001E6EA0">
        <w:rPr>
          <w:vertAlign w:val="superscript"/>
        </w:rPr>
        <w:t>,b</w:t>
      </w:r>
    </w:p>
    <w:p w14:paraId="0B67D190" w14:textId="77777777" w:rsidR="00A972CD" w:rsidRPr="00C21A75" w:rsidRDefault="00A972CD" w:rsidP="00837C7A">
      <w:pPr>
        <w:pStyle w:val="FigureTableSubheading"/>
        <w:keepLines/>
      </w:pPr>
      <w:r w:rsidRPr="00C21A75">
        <w:t>Four indices for economic and trade policy uncertainty, 2016 to 2025</w:t>
      </w:r>
    </w:p>
    <w:p w14:paraId="28DF3098" w14:textId="5AD06B13" w:rsidR="00A972CD" w:rsidRPr="00C21A75" w:rsidRDefault="007F0FF0" w:rsidP="00B56DDA">
      <w:pPr>
        <w:pStyle w:val="Note"/>
        <w:keepNext/>
        <w:keepLines/>
        <w:spacing w:before="0"/>
        <w:rPr>
          <w:b/>
          <w:bCs/>
        </w:rPr>
      </w:pPr>
      <w:r w:rsidRPr="007F0FF0">
        <w:rPr>
          <w:noProof/>
        </w:rPr>
        <w:drawing>
          <wp:inline distT="0" distB="0" distL="0" distR="0" wp14:anchorId="44FE2057" wp14:editId="7EF5F16A">
            <wp:extent cx="6120130" cy="3081655"/>
            <wp:effectExtent l="0" t="0" r="0" b="0"/>
            <wp:docPr id="1875502181" name="Picture 1" descr="This figure is a clustered bar chart comparing the change in industry assistance from financial year 2022-23 to 2023-24 with billions of dollars on the x-axis. The series on the y-axis are: R&amp;D measures ($6 billion in 2023-24 up from $5.7 billion in 2022-23); small business measures ($5.5 billion in 2023-24 up from $4.8 billion in 2022-23); industry specific measures ($1.4 billion in 2023-24 down from $1.6 billion in 2022-23); other measures ($0.8 billion in 2023-24 down from $0.9 billion in 2022-23); general export measures ($1 billion in 2023-24 up from $0.9 billion in 2022-23); sector specific measures ($1.07 billion in 2023-24 down from $1.11 billion in 2022-23); and regional and structural adjustment measures ($0.4 billion in 2023-24 up from $0.3 billion in 2022-23). The remaining industries experienced comparatively small changes in budgetary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502181" name="Picture 1" descr="This figure is a clustered bar chart comparing the change in industry assistance from financial year 2022-23 to 2023-24 with billions of dollars on the x-axis. The series on the y-axis are: R&amp;D measures ($6 billion in 2023-24 up from $5.7 billion in 2022-23); small business measures ($5.5 billion in 2023-24 up from $4.8 billion in 2022-23); industry specific measures ($1.4 billion in 2023-24 down from $1.6 billion in 2022-23); other measures ($0.8 billion in 2023-24 down from $0.9 billion in 2022-23); general export measures ($1 billion in 2023-24 up from $0.9 billion in 2022-23); sector specific measures ($1.07 billion in 2023-24 down from $1.11 billion in 2022-23); and regional and structural adjustment measures ($0.4 billion in 2023-24 up from $0.3 billion in 2022-23). The remaining industries experienced comparatively small changes in budgetary assistance.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081655"/>
                    </a:xfrm>
                    <a:prstGeom prst="rect">
                      <a:avLst/>
                    </a:prstGeom>
                    <a:noFill/>
                    <a:ln>
                      <a:noFill/>
                    </a:ln>
                  </pic:spPr>
                </pic:pic>
              </a:graphicData>
            </a:graphic>
          </wp:inline>
        </w:drawing>
      </w:r>
    </w:p>
    <w:p w14:paraId="1558024D" w14:textId="2C2C8FB5" w:rsidR="00A972CD" w:rsidRPr="00C21A75" w:rsidRDefault="00A972CD" w:rsidP="00837C7A">
      <w:pPr>
        <w:pStyle w:val="Note"/>
        <w:keepNext/>
        <w:keepLines/>
      </w:pPr>
      <w:r w:rsidRPr="00C21A75">
        <w:rPr>
          <w:b/>
          <w:bCs/>
        </w:rPr>
        <w:t>a.</w:t>
      </w:r>
      <w:r w:rsidRPr="00C21A75">
        <w:t xml:space="preserve"> Shaded bars denote </w:t>
      </w:r>
      <w:r w:rsidR="001E4721">
        <w:t>tariffs imposed or increased</w:t>
      </w:r>
      <w:r w:rsidRPr="00C21A75">
        <w:t xml:space="preserve"> by the United States. </w:t>
      </w:r>
      <w:r w:rsidRPr="00C21A75">
        <w:rPr>
          <w:b/>
          <w:bCs/>
        </w:rPr>
        <w:t>b.</w:t>
      </w:r>
      <w:r>
        <w:rPr>
          <w:b/>
        </w:rPr>
        <w:t xml:space="preserve"> </w:t>
      </w:r>
      <w:r w:rsidR="00174429">
        <w:t xml:space="preserve">Data </w:t>
      </w:r>
      <w:r w:rsidR="00E24287">
        <w:t xml:space="preserve">unavailable for World Trade Uncertainty Index beyond March 2025 and for Global Economic Policy Uncertainty Index beyond </w:t>
      </w:r>
      <w:r w:rsidR="004A6BBD">
        <w:t>April 2025.</w:t>
      </w:r>
      <w:r w:rsidR="001E6EA0">
        <w:t xml:space="preserve"> </w:t>
      </w:r>
      <w:r w:rsidR="001E6EA0">
        <w:rPr>
          <w:b/>
          <w:bCs/>
        </w:rPr>
        <w:t>c.</w:t>
      </w:r>
      <w:r w:rsidRPr="00C21A75">
        <w:t xml:space="preserve"> Quarterly index shown monthly.</w:t>
      </w:r>
    </w:p>
    <w:p w14:paraId="6C5CF799" w14:textId="5C04E623" w:rsidR="00A972CD" w:rsidRPr="006B0CD4" w:rsidRDefault="00A972CD" w:rsidP="00837C7A">
      <w:pPr>
        <w:pStyle w:val="Source"/>
      </w:pPr>
      <w:r w:rsidRPr="00AC3BFA">
        <w:rPr>
          <w:lang w:val="fr-CA"/>
        </w:rPr>
        <w:t xml:space="preserve">Source: Ahir et al. </w:t>
      </w:r>
      <w:r w:rsidRPr="00AC3BFA">
        <w:rPr>
          <w:rFonts w:ascii="Arial" w:hAnsi="Arial" w:cs="Arial"/>
          <w:lang w:val="fr-CA"/>
        </w:rPr>
        <w:t>(2022)</w:t>
      </w:r>
      <w:r w:rsidRPr="00AC3BFA">
        <w:rPr>
          <w:lang w:val="fr-CA"/>
        </w:rPr>
        <w:t xml:space="preserve">, </w:t>
      </w:r>
      <w:r w:rsidR="00B827E6" w:rsidRPr="00AC3BFA">
        <w:rPr>
          <w:lang w:val="fr-CA"/>
        </w:rPr>
        <w:t xml:space="preserve">Baker et al. </w:t>
      </w:r>
      <w:r w:rsidR="00B827E6" w:rsidRPr="006B0CD4">
        <w:rPr>
          <w:rFonts w:ascii="Arial" w:hAnsi="Arial" w:cs="Arial"/>
        </w:rPr>
        <w:t>(2016)</w:t>
      </w:r>
      <w:r w:rsidR="00B827E6">
        <w:rPr>
          <w:rFonts w:ascii="Arial" w:hAnsi="Arial" w:cs="Arial"/>
        </w:rPr>
        <w:t xml:space="preserve">, </w:t>
      </w:r>
      <w:r w:rsidR="007F5968" w:rsidRPr="006B0CD4">
        <w:t xml:space="preserve">Bown </w:t>
      </w:r>
      <w:r w:rsidR="007F5968" w:rsidRPr="006B0CD4">
        <w:rPr>
          <w:rFonts w:ascii="Arial" w:hAnsi="Arial" w:cs="Arial"/>
        </w:rPr>
        <w:t>(2019, 2025)</w:t>
      </w:r>
      <w:r w:rsidRPr="006B0CD4">
        <w:t xml:space="preserve">, Caldara et al. </w:t>
      </w:r>
      <w:r w:rsidRPr="006B0CD4">
        <w:rPr>
          <w:rFonts w:ascii="Arial" w:hAnsi="Arial" w:cs="Arial"/>
        </w:rPr>
        <w:t>(2020)</w:t>
      </w:r>
      <w:r w:rsidR="007F5968" w:rsidRPr="006B0CD4">
        <w:t xml:space="preserve"> and</w:t>
      </w:r>
      <w:r w:rsidRPr="006B0CD4">
        <w:t xml:space="preserve"> Davis </w:t>
      </w:r>
      <w:r w:rsidRPr="006B0CD4">
        <w:rPr>
          <w:rFonts w:ascii="Arial" w:hAnsi="Arial" w:cs="Arial"/>
        </w:rPr>
        <w:t>(2016)</w:t>
      </w:r>
      <w:r w:rsidRPr="006B0CD4">
        <w:t>.</w:t>
      </w:r>
    </w:p>
    <w:p w14:paraId="72E002BA" w14:textId="77777777" w:rsidR="00A972CD" w:rsidRPr="00C21A75" w:rsidRDefault="00A972CD" w:rsidP="00C112B7">
      <w:pPr>
        <w:pStyle w:val="Heading3"/>
      </w:pPr>
      <w:r w:rsidRPr="00C21A75">
        <w:t>The economic effects of trade policy uncertainty</w:t>
      </w:r>
    </w:p>
    <w:p w14:paraId="16D59A73" w14:textId="2FA45CAA" w:rsidR="00A972CD" w:rsidRPr="00900B7B" w:rsidRDefault="00A972CD" w:rsidP="00837C7A">
      <w:pPr>
        <w:pStyle w:val="BodyText"/>
        <w:rPr>
          <w:spacing w:val="-2"/>
        </w:rPr>
      </w:pPr>
      <w:r w:rsidRPr="00900B7B">
        <w:rPr>
          <w:spacing w:val="-2"/>
        </w:rPr>
        <w:t>Trade policy settings, including tariffs, trade agreements, and other regulations, can increase or decrease economic uncertainty. Policies that credibly commit to creating a more stable trading environment have been shown to spur economic activity by reducing uncertainty (</w:t>
      </w:r>
      <w:r w:rsidR="0021798E" w:rsidRPr="00900B7B">
        <w:rPr>
          <w:spacing w:val="-2"/>
        </w:rPr>
        <w:t xml:space="preserve">box </w:t>
      </w:r>
      <w:r w:rsidR="0021798E" w:rsidRPr="00900B7B">
        <w:rPr>
          <w:noProof/>
          <w:spacing w:val="-2"/>
        </w:rPr>
        <w:t>1</w:t>
      </w:r>
      <w:r w:rsidR="0021798E" w:rsidRPr="00900B7B">
        <w:rPr>
          <w:spacing w:val="-2"/>
        </w:rPr>
        <w:t>.</w:t>
      </w:r>
      <w:r w:rsidR="0021798E" w:rsidRPr="00900B7B">
        <w:rPr>
          <w:noProof/>
          <w:spacing w:val="-2"/>
        </w:rPr>
        <w:t>3</w:t>
      </w:r>
      <w:r w:rsidRPr="00900B7B">
        <w:rPr>
          <w:spacing w:val="-2"/>
        </w:rPr>
        <w:t>). Conversely, trade policy uncertainty (TPU) arising from a lack of clarity or predictability regarding a country’s trade policies can have the opposite effect.</w:t>
      </w:r>
    </w:p>
    <w:p w14:paraId="1B92F171" w14:textId="3F34BB65" w:rsidR="00A972CD" w:rsidRDefault="00A972CD" w:rsidP="00837C7A">
      <w:pPr>
        <w:pStyle w:val="BodyText"/>
      </w:pPr>
      <w:r>
        <w:t>TPU has many of the economic effects of general uncertainty, with a particular impact on firms’ investment decisions. Choosing whether to enter a new export market, import a new intermediate input or adopt a new production technology all require partially irreversible investments. The potential for trade policy changes that make firms regret having spent their limited resources prompts profit</w:t>
      </w:r>
      <w:r w:rsidR="00200862">
        <w:noBreakHyphen/>
      </w:r>
      <w:r>
        <w:t xml:space="preserve">maximising firms to delay making major decisions under uncertainty </w:t>
      </w:r>
      <w:r w:rsidRPr="00C139DE">
        <w:rPr>
          <w:rFonts w:ascii="Arial" w:hAnsi="Arial" w:cs="Arial"/>
        </w:rPr>
        <w:t>(Handley 2014)</w:t>
      </w:r>
      <w:r>
        <w:t xml:space="preserve">. An exporter may face a new tariff that makes their products uncompetitive after having spent the logistics costs to operate in a new export market, while a domestic producer may face new import tariffs raising the price of their inputs after having entered a contract with an overseas supplier. </w:t>
      </w:r>
    </w:p>
    <w:p w14:paraId="6F453059" w14:textId="16AF9E5C" w:rsidR="00A972CD" w:rsidRPr="00900B7B" w:rsidRDefault="00CD4816" w:rsidP="00837C7A">
      <w:pPr>
        <w:pStyle w:val="BodyText"/>
        <w:rPr>
          <w:spacing w:val="-2"/>
        </w:rPr>
      </w:pPr>
      <w:r w:rsidRPr="00900B7B">
        <w:rPr>
          <w:spacing w:val="-2"/>
        </w:rPr>
        <w:t>The</w:t>
      </w:r>
      <w:r w:rsidR="00A972CD" w:rsidRPr="00900B7B" w:rsidDel="00512773">
        <w:rPr>
          <w:spacing w:val="-2"/>
        </w:rPr>
        <w:t xml:space="preserve"> </w:t>
      </w:r>
      <w:r w:rsidR="00512773" w:rsidRPr="00900B7B">
        <w:rPr>
          <w:spacing w:val="-2"/>
        </w:rPr>
        <w:t>disincentive t</w:t>
      </w:r>
      <w:r w:rsidR="001F447D" w:rsidRPr="00900B7B">
        <w:rPr>
          <w:spacing w:val="-2"/>
        </w:rPr>
        <w:t>o invest</w:t>
      </w:r>
      <w:r w:rsidR="00A972CD" w:rsidRPr="00900B7B">
        <w:rPr>
          <w:spacing w:val="-2"/>
        </w:rPr>
        <w:t xml:space="preserve"> is stronger the more irreversible a firm’s capital is </w:t>
      </w:r>
      <w:r w:rsidR="00A972CD" w:rsidRPr="00900B7B">
        <w:rPr>
          <w:rFonts w:cs="Arial"/>
          <w:spacing w:val="-2"/>
        </w:rPr>
        <w:t>(Chinn et al. 2018, p. 209)</w:t>
      </w:r>
      <w:r w:rsidR="00A972CD" w:rsidRPr="00900B7B">
        <w:rPr>
          <w:spacing w:val="-2"/>
        </w:rPr>
        <w:t xml:space="preserve">, and the more dependent a firm is on export destinations and import sources affected by uncertainty </w:t>
      </w:r>
      <w:r w:rsidR="00A972CD" w:rsidRPr="00900B7B">
        <w:rPr>
          <w:rFonts w:cs="Arial"/>
          <w:spacing w:val="-2"/>
        </w:rPr>
        <w:t>(Benguria et al. 2022)</w:t>
      </w:r>
      <w:r w:rsidR="00A972CD" w:rsidRPr="00900B7B">
        <w:rPr>
          <w:spacing w:val="-2"/>
        </w:rPr>
        <w:t xml:space="preserve">. </w:t>
      </w:r>
      <w:r w:rsidR="00AB6F4A" w:rsidRPr="00900B7B">
        <w:rPr>
          <w:spacing w:val="-2"/>
        </w:rPr>
        <w:t>Uncertainty</w:t>
      </w:r>
      <w:r w:rsidR="00A972CD" w:rsidRPr="00900B7B">
        <w:rPr>
          <w:spacing w:val="-2"/>
        </w:rPr>
        <w:t xml:space="preserve"> is costlier in industries with high fixed capital costs and concentrated supply chains, like heavy manufacturing, than those with more flexible and distributed assets like services and technology. Risk premia</w:t>
      </w:r>
      <w:r w:rsidR="00A972CD" w:rsidRPr="00900B7B" w:rsidDel="0013136A">
        <w:rPr>
          <w:spacing w:val="-2"/>
        </w:rPr>
        <w:t xml:space="preserve"> </w:t>
      </w:r>
      <w:r w:rsidR="00A972CD" w:rsidRPr="00900B7B">
        <w:rPr>
          <w:spacing w:val="-2"/>
        </w:rPr>
        <w:t xml:space="preserve">tend to rise under TPU, which can restrict credit flow to businesses as well as households </w:t>
      </w:r>
      <w:r w:rsidR="001F4645" w:rsidRPr="00900B7B">
        <w:rPr>
          <w:rFonts w:cs="Arial"/>
          <w:spacing w:val="-2"/>
        </w:rPr>
        <w:t>(Chinn et al. 2018, p. 209)</w:t>
      </w:r>
      <w:r w:rsidR="00A972CD" w:rsidRPr="00900B7B">
        <w:rPr>
          <w:spacing w:val="-2"/>
        </w:rPr>
        <w:t xml:space="preserve">. While particularly productive firms may be able to achieve sufficiently high returns from </w:t>
      </w:r>
      <w:r w:rsidR="00A972CD" w:rsidRPr="00900B7B">
        <w:rPr>
          <w:spacing w:val="-2"/>
        </w:rPr>
        <w:lastRenderedPageBreak/>
        <w:t>investments under uncertainty and choose to undertake them, TPU tends to reduce levels of firm investment overall and alter the composition of investment across firms and industries away from an efficient allocation.</w:t>
      </w:r>
    </w:p>
    <w:p w14:paraId="4C5CBE4B" w14:textId="5438483C" w:rsidR="00A972CD" w:rsidRDefault="00A972CD" w:rsidP="00837C7A">
      <w:pPr>
        <w:pStyle w:val="BodyText"/>
      </w:pPr>
      <w:r>
        <w:t xml:space="preserve">TPU also has direct and indirect consequences for households. By slowing firms’ capital investment and hiring decisions, TPU dampens </w:t>
      </w:r>
      <w:r w:rsidR="0091696D">
        <w:t xml:space="preserve">firms’ hiring rates </w:t>
      </w:r>
      <w:r w:rsidR="003C42E9" w:rsidRPr="003C42E9">
        <w:rPr>
          <w:rFonts w:ascii="Arial" w:hAnsi="Arial" w:cs="Arial"/>
        </w:rPr>
        <w:t>(Stein and Stone 2013, p. 24)</w:t>
      </w:r>
      <w:r>
        <w:t xml:space="preserve">. Additionally, lower levels of investment in market entry, overseas inputs and production technologies can limit product varieties and increase consumer prices for households </w:t>
      </w:r>
      <w:r w:rsidR="00820F85" w:rsidRPr="00820F85">
        <w:rPr>
          <w:rFonts w:ascii="Arial" w:hAnsi="Arial" w:cs="Arial"/>
        </w:rPr>
        <w:t>(Kyriazis 2021, pp. 2–6)</w:t>
      </w:r>
      <w:r>
        <w:t xml:space="preserve">. Consumer prices may also rise if the threat of trade barriers associated with TPU leads firms to expect higher marginal costs and increase their markups </w:t>
      </w:r>
      <w:r w:rsidRPr="008147A2">
        <w:rPr>
          <w:rFonts w:ascii="Arial" w:hAnsi="Arial" w:cs="Arial"/>
        </w:rPr>
        <w:t>(Caldara et al. 2020, p. 55)</w:t>
      </w:r>
      <w:r>
        <w:t xml:space="preserve">. In turn, consumers may respond by increasing precautionary savings and reducing spending </w:t>
      </w:r>
      <w:r w:rsidR="00CC12E9" w:rsidRPr="00CC12E9">
        <w:rPr>
          <w:rFonts w:ascii="Arial" w:hAnsi="Arial" w:cs="Arial"/>
        </w:rPr>
        <w:t>(Chinn et al. 2018, p. 209)</w:t>
      </w:r>
      <w:r>
        <w:t xml:space="preserve">, reducing aggregate demand and putting further downward pressure on wages and employment if TPU is prolonged. </w:t>
      </w:r>
    </w:p>
    <w:p w14:paraId="1CFD15BF" w14:textId="69130493" w:rsidR="00A972CD" w:rsidRPr="00C21A75" w:rsidRDefault="00A972CD" w:rsidP="00837C7A">
      <w:pPr>
        <w:pStyle w:val="BodyText"/>
      </w:pPr>
      <w:r>
        <w:t>A growing literature has sought to quantify the effects of trade policy uncertainty, using measurable differences in TPU before and after major policy changes (</w:t>
      </w:r>
      <w:r w:rsidR="00B123B1">
        <w:t xml:space="preserve">box </w:t>
      </w:r>
      <w:r w:rsidR="00B123B1">
        <w:rPr>
          <w:noProof/>
        </w:rPr>
        <w:t>1</w:t>
      </w:r>
      <w:r w:rsidR="00B123B1">
        <w:t>.</w:t>
      </w:r>
      <w:r w:rsidR="00B123B1">
        <w:rPr>
          <w:noProof/>
        </w:rPr>
        <w:t>3</w:t>
      </w:r>
      <w:r w:rsidR="00250591">
        <w:t>).</w:t>
      </w:r>
      <w:r>
        <w:t xml:space="preserve"> This method is not directly applicable to estimating the effect of persistent and ongoing economic uncertainty </w:t>
      </w:r>
      <w:r w:rsidR="00164964">
        <w:t xml:space="preserve">such as </w:t>
      </w:r>
      <w:r>
        <w:t>the world is facing now, but can still generate useful insights on the effects of TPU.</w:t>
      </w:r>
    </w:p>
    <w:p w14:paraId="14D3B071" w14:textId="14462309" w:rsidR="00013727" w:rsidRPr="00013727" w:rsidRDefault="00013727" w:rsidP="001D4BE5">
      <w:pPr>
        <w:pStyle w:val="NoSpacing"/>
      </w:pPr>
    </w:p>
    <w:tbl>
      <w:tblPr>
        <w:tblStyle w:val="Boxtable"/>
        <w:tblW w:w="5000" w:type="pct"/>
        <w:tblLook w:val="04A0" w:firstRow="1" w:lastRow="0" w:firstColumn="1" w:lastColumn="0" w:noHBand="0" w:noVBand="1"/>
      </w:tblPr>
      <w:tblGrid>
        <w:gridCol w:w="9638"/>
      </w:tblGrid>
      <w:tr w:rsidR="00013727" w14:paraId="51B3AD12" w14:textId="77777777" w:rsidTr="00616F0E">
        <w:trPr>
          <w:tblHeader/>
        </w:trPr>
        <w:tc>
          <w:tcPr>
            <w:tcW w:w="9638" w:type="dxa"/>
            <w:shd w:val="clear" w:color="auto" w:fill="EBEBEB"/>
            <w:tcMar>
              <w:top w:w="170" w:type="dxa"/>
              <w:left w:w="170" w:type="dxa"/>
              <w:bottom w:w="113" w:type="dxa"/>
              <w:right w:w="170" w:type="dxa"/>
            </w:tcMar>
            <w:hideMark/>
          </w:tcPr>
          <w:p w14:paraId="1824AAA8" w14:textId="0473A8ED" w:rsidR="00013727" w:rsidRDefault="00013727">
            <w:pPr>
              <w:pStyle w:val="BoxHeading1"/>
            </w:pPr>
            <w:bookmarkStart w:id="28" w:name="_Ref201756857"/>
            <w:bookmarkStart w:id="29" w:name="_Ref78902111"/>
            <w:r>
              <w:t xml:space="preserve">Box </w:t>
            </w:r>
            <w:r>
              <w:fldChar w:fldCharType="begin"/>
            </w:r>
            <w:r>
              <w:instrText xml:space="preserve"> STYLEREF 1 \s </w:instrText>
            </w:r>
            <w:r>
              <w:fldChar w:fldCharType="separate"/>
            </w:r>
            <w:r w:rsidR="004A080B">
              <w:rPr>
                <w:noProof/>
              </w:rPr>
              <w:t>1</w:t>
            </w:r>
            <w:r>
              <w:rPr>
                <w:noProof/>
              </w:rPr>
              <w:fldChar w:fldCharType="end"/>
            </w:r>
            <w:r>
              <w:t>.</w:t>
            </w:r>
            <w:r w:rsidR="00736B4E">
              <w:fldChar w:fldCharType="begin"/>
            </w:r>
            <w:r w:rsidR="00736B4E">
              <w:instrText xml:space="preserve"> SEQ Box \* ARABIC \s 1 </w:instrText>
            </w:r>
            <w:r w:rsidR="00736B4E">
              <w:fldChar w:fldCharType="separate"/>
            </w:r>
            <w:r w:rsidR="004A080B">
              <w:rPr>
                <w:noProof/>
              </w:rPr>
              <w:t>3</w:t>
            </w:r>
            <w:r w:rsidR="00736B4E">
              <w:rPr>
                <w:noProof/>
              </w:rPr>
              <w:fldChar w:fldCharType="end"/>
            </w:r>
            <w:bookmarkEnd w:id="28"/>
            <w:r>
              <w:t xml:space="preserve"> – </w:t>
            </w:r>
            <w:bookmarkEnd w:id="29"/>
            <w:r>
              <w:t>Estimates of the economic effects of trade policy uncertainty</w:t>
            </w:r>
          </w:p>
        </w:tc>
      </w:tr>
      <w:tr w:rsidR="00013727" w14:paraId="1DBD37F0" w14:textId="77777777" w:rsidTr="00616F0E">
        <w:tc>
          <w:tcPr>
            <w:tcW w:w="9638" w:type="dxa"/>
            <w:shd w:val="clear" w:color="auto" w:fill="EBEBEB"/>
            <w:tcMar>
              <w:top w:w="28" w:type="dxa"/>
              <w:left w:w="170" w:type="dxa"/>
              <w:bottom w:w="170" w:type="dxa"/>
              <w:right w:w="170" w:type="dxa"/>
            </w:tcMar>
            <w:hideMark/>
          </w:tcPr>
          <w:p w14:paraId="1D6CCA6F" w14:textId="44445A58" w:rsidR="00013727" w:rsidRPr="00C21A75" w:rsidRDefault="00013727" w:rsidP="00013727">
            <w:pPr>
              <w:pStyle w:val="BodyText"/>
            </w:pPr>
            <w:r w:rsidRPr="00C21A75">
              <w:t xml:space="preserve">Much of </w:t>
            </w:r>
            <w:r>
              <w:t xml:space="preserve">the TPU </w:t>
            </w:r>
            <w:r w:rsidRPr="00C21A75">
              <w:t xml:space="preserve">literature </w:t>
            </w:r>
            <w:r>
              <w:t xml:space="preserve">draws </w:t>
            </w:r>
            <w:r w:rsidRPr="00C21A75">
              <w:t xml:space="preserve">on </w:t>
            </w:r>
            <w:r>
              <w:t xml:space="preserve">Handley and Limao </w:t>
            </w:r>
            <w:r w:rsidRPr="00BD4DF9">
              <w:rPr>
                <w:rFonts w:ascii="Arial" w:hAnsi="Arial" w:cs="Arial"/>
              </w:rPr>
              <w:t>(2012, 2015, 2017, 2022)</w:t>
            </w:r>
            <w:r>
              <w:t>, who demonstrated how TPU can be introduced into a general equilibrium model to quantify its effects.</w:t>
            </w:r>
            <w:r w:rsidRPr="00D23D7D">
              <w:rPr>
                <w:rStyle w:val="FootnoteReference"/>
              </w:rPr>
              <w:footnoteReference w:id="12"/>
            </w:r>
            <w:r>
              <w:t xml:space="preserve"> By increasing the real option value of waiting, uncertainty is shown to decrease the relative value of entering an export market and increase the productivity that a firm requires for entry to be profitable, with downstream economic effects.</w:t>
            </w:r>
          </w:p>
          <w:p w14:paraId="719EC549" w14:textId="77777777" w:rsidR="00013727" w:rsidRDefault="00013727" w:rsidP="00013727">
            <w:pPr>
              <w:pStyle w:val="BodyText"/>
              <w:rPr>
                <w:b/>
                <w:bCs/>
              </w:rPr>
            </w:pPr>
            <w:r>
              <w:rPr>
                <w:b/>
                <w:bCs/>
              </w:rPr>
              <w:t>TPU and</w:t>
            </w:r>
            <w:r w:rsidRPr="00C21A75">
              <w:rPr>
                <w:b/>
                <w:bCs/>
              </w:rPr>
              <w:t xml:space="preserve"> the W</w:t>
            </w:r>
            <w:r>
              <w:rPr>
                <w:b/>
                <w:bCs/>
              </w:rPr>
              <w:t>orld Trade Organisation</w:t>
            </w:r>
          </w:p>
          <w:p w14:paraId="73036DDD" w14:textId="60FB5DC7" w:rsidR="00013727" w:rsidRDefault="00013727" w:rsidP="00013727">
            <w:pPr>
              <w:pStyle w:val="BodyText"/>
            </w:pPr>
            <w:r>
              <w:t xml:space="preserve">Membership to the </w:t>
            </w:r>
            <w:r w:rsidR="00FC0D95">
              <w:t>World Trade Organisation (WTO)</w:t>
            </w:r>
            <w:r>
              <w:t xml:space="preserve"> lowers TPU by binding members’ maximum tariffs to most</w:t>
            </w:r>
            <w:r>
              <w:noBreakHyphen/>
              <w:t>favoured</w:t>
            </w:r>
            <w:r>
              <w:noBreakHyphen/>
              <w:t xml:space="preserve">nation (MFN) levels, providing more predictability over future trade policy settings. </w:t>
            </w:r>
            <w:r w:rsidR="00C6299A">
              <w:t>Several</w:t>
            </w:r>
            <w:r>
              <w:t xml:space="preserve"> studies have investigated the TPU</w:t>
            </w:r>
            <w:r>
              <w:noBreakHyphen/>
              <w:t>related effects of a country’s membership to the WTO</w:t>
            </w:r>
            <w:r w:rsidR="00FC0D95">
              <w:t>.</w:t>
            </w:r>
          </w:p>
          <w:p w14:paraId="659AAA4C" w14:textId="701D3CAA" w:rsidR="00013727" w:rsidDel="00664F6A" w:rsidRDefault="00013727" w:rsidP="00373FE1">
            <w:pPr>
              <w:pStyle w:val="ListBullet"/>
            </w:pPr>
            <w:r w:rsidRPr="00D92F75">
              <w:t>Handley</w:t>
            </w:r>
            <w:r>
              <w:t xml:space="preserve"> </w:t>
            </w:r>
            <w:r w:rsidRPr="009A333B">
              <w:rPr>
                <w:rFonts w:ascii="Arial" w:hAnsi="Arial" w:cs="Arial"/>
              </w:rPr>
              <w:t>(2014)</w:t>
            </w:r>
            <w:r>
              <w:t xml:space="preserve"> finds that lower tariff bindings spur investment by reducing foreign firms’ incentive to delay market entry. He also finds </w:t>
            </w:r>
            <w:r w:rsidR="00B10C19">
              <w:t>that</w:t>
            </w:r>
            <w:r>
              <w:t xml:space="preserve"> tariffs </w:t>
            </w:r>
            <w:r w:rsidR="00B10C19">
              <w:t>have a lasting effect</w:t>
            </w:r>
            <w:r>
              <w:t xml:space="preserve"> – </w:t>
            </w:r>
            <w:r w:rsidR="00B10C19">
              <w:t>while</w:t>
            </w:r>
            <w:r>
              <w:t xml:space="preserve"> lower applied tariffs spur firm entry, the effect is 70</w:t>
            </w:r>
            <w:r w:rsidR="00294ED9">
              <w:t xml:space="preserve">% </w:t>
            </w:r>
            <w:r>
              <w:t>weaker under TPU. Applying his estimates to a simulation where Australia reduced and bound tariffs to zero in 2001, faster firm entry increases the number of imported product varieties by 17</w:t>
            </w:r>
            <w:r w:rsidR="00294ED9">
              <w:t>%</w:t>
            </w:r>
            <w:r>
              <w:t xml:space="preserve"> – with more than half of new product growth due to lower TPU.</w:t>
            </w:r>
            <w:r w:rsidRPr="00D23D7D">
              <w:rPr>
                <w:rStyle w:val="FootnoteReference"/>
              </w:rPr>
              <w:footnoteReference w:id="13"/>
            </w:r>
            <w:r>
              <w:t xml:space="preserve"> </w:t>
            </w:r>
          </w:p>
          <w:p w14:paraId="79841EEA" w14:textId="7FD62FF5" w:rsidR="00013727" w:rsidRDefault="00013727" w:rsidP="00373FE1">
            <w:pPr>
              <w:pStyle w:val="ListBullet"/>
            </w:pPr>
            <w:r>
              <w:lastRenderedPageBreak/>
              <w:t xml:space="preserve">Handley and Limao </w:t>
            </w:r>
            <w:r w:rsidRPr="00BD4DF9">
              <w:rPr>
                <w:rFonts w:ascii="Arial" w:hAnsi="Arial" w:cs="Arial"/>
              </w:rPr>
              <w:t>(2017)</w:t>
            </w:r>
            <w:r>
              <w:t xml:space="preserve"> find that lower TPU due to China’s accession to the WTO accounted for over one</w:t>
            </w:r>
            <w:r>
              <w:noBreakHyphen/>
              <w:t>third of the growth in imports from China to the US from 2000 to 2005. Lower TPU also lowered US prices by the equivalent of a 13 percentage point tariff decrease.</w:t>
            </w:r>
            <w:r w:rsidRPr="00D23D7D">
              <w:rPr>
                <w:rStyle w:val="FootnoteReference"/>
              </w:rPr>
              <w:footnoteReference w:id="14"/>
            </w:r>
            <w:r>
              <w:t xml:space="preserve"> </w:t>
            </w:r>
          </w:p>
          <w:p w14:paraId="5CA2FA22" w14:textId="39A054B6" w:rsidR="00013727" w:rsidRDefault="00013727" w:rsidP="00013727">
            <w:pPr>
              <w:pStyle w:val="BodyText"/>
            </w:pPr>
            <w:r>
              <w:t xml:space="preserve">Other studies suggest that lower TPU from China’s WTO accession also increased Chinese export product quality </w:t>
            </w:r>
            <w:r w:rsidR="003C42E9" w:rsidRPr="003C42E9">
              <w:rPr>
                <w:rFonts w:ascii="Arial" w:hAnsi="Arial" w:cs="Arial"/>
              </w:rPr>
              <w:t>(Imbruno 2019)</w:t>
            </w:r>
            <w:r w:rsidR="00413581">
              <w:t xml:space="preserve"> and </w:t>
            </w:r>
            <w:r>
              <w:t>increased Chinese patent applications in TPU</w:t>
            </w:r>
            <w:r>
              <w:noBreakHyphen/>
              <w:t xml:space="preserve">affected sectors </w:t>
            </w:r>
            <w:r w:rsidRPr="008A68F7">
              <w:rPr>
                <w:rFonts w:ascii="Arial" w:hAnsi="Arial" w:cs="Arial"/>
              </w:rPr>
              <w:t>(Liu and Ma 2020)</w:t>
            </w:r>
            <w:r>
              <w:t>.</w:t>
            </w:r>
          </w:p>
          <w:p w14:paraId="7362BF64" w14:textId="77777777" w:rsidR="00013727" w:rsidRPr="00C21A75" w:rsidRDefault="00013727" w:rsidP="00013727">
            <w:pPr>
              <w:pStyle w:val="BodyText"/>
              <w:rPr>
                <w:b/>
              </w:rPr>
            </w:pPr>
            <w:r>
              <w:rPr>
                <w:b/>
                <w:bCs/>
              </w:rPr>
              <w:t xml:space="preserve">TPU and the </w:t>
            </w:r>
            <w:r w:rsidRPr="00C21A75">
              <w:rPr>
                <w:b/>
                <w:bCs/>
              </w:rPr>
              <w:t>2018 China–U</w:t>
            </w:r>
            <w:r>
              <w:rPr>
                <w:b/>
                <w:bCs/>
              </w:rPr>
              <w:t xml:space="preserve">nited </w:t>
            </w:r>
            <w:r w:rsidRPr="00C21A75">
              <w:rPr>
                <w:b/>
                <w:bCs/>
              </w:rPr>
              <w:t>S</w:t>
            </w:r>
            <w:r>
              <w:rPr>
                <w:b/>
                <w:bCs/>
              </w:rPr>
              <w:t>tates</w:t>
            </w:r>
            <w:r w:rsidRPr="00C21A75">
              <w:rPr>
                <w:b/>
                <w:bCs/>
              </w:rPr>
              <w:t xml:space="preserve"> trade war</w:t>
            </w:r>
          </w:p>
          <w:p w14:paraId="2E5565C0" w14:textId="22C84AB5" w:rsidR="00013727" w:rsidRDefault="00013727" w:rsidP="00013727">
            <w:pPr>
              <w:pStyle w:val="BodyText"/>
            </w:pPr>
            <w:r w:rsidRPr="00C21A75">
              <w:t xml:space="preserve">Caldara et al. </w:t>
            </w:r>
            <w:r w:rsidRPr="004A1C91">
              <w:rPr>
                <w:rFonts w:ascii="Arial" w:hAnsi="Arial" w:cs="Arial"/>
              </w:rPr>
              <w:t>(2020)</w:t>
            </w:r>
            <w:r w:rsidRPr="00C21A75">
              <w:t xml:space="preserve"> </w:t>
            </w:r>
            <w:r>
              <w:t>estimated the effects of TPU on the US from its 2018 trade dispute with China</w:t>
            </w:r>
            <w:r w:rsidR="00B10C19">
              <w:t>.</w:t>
            </w:r>
          </w:p>
          <w:p w14:paraId="1D2D4B7F" w14:textId="537BACB2" w:rsidR="00013727" w:rsidRPr="00D92F75" w:rsidRDefault="00013727" w:rsidP="00373FE1">
            <w:pPr>
              <w:pStyle w:val="ListBullet"/>
            </w:pPr>
            <w:r w:rsidRPr="00D92F75">
              <w:t>In</w:t>
            </w:r>
            <w:r w:rsidRPr="00D92F75" w:rsidDel="000D138D">
              <w:t xml:space="preserve"> a time series regression, </w:t>
            </w:r>
            <w:r w:rsidRPr="00D92F75">
              <w:t xml:space="preserve">firms with median measured concerns regarding TPU have a lower capital stock than firms not concerned about TPU – by </w:t>
            </w:r>
            <w:r w:rsidR="00B7750E" w:rsidRPr="00D92F75">
              <w:t xml:space="preserve">2% </w:t>
            </w:r>
            <w:r w:rsidRPr="00D92F75">
              <w:t>after a year. Firms’ concern about TPU was measured using text analysis of quarterly earnings calls.</w:t>
            </w:r>
          </w:p>
          <w:p w14:paraId="6DB60B52" w14:textId="471F9BF9" w:rsidR="00013727" w:rsidRPr="00D92F75" w:rsidRDefault="00013727" w:rsidP="00373FE1">
            <w:pPr>
              <w:pStyle w:val="ListBullet"/>
            </w:pPr>
            <w:r w:rsidRPr="00D92F75">
              <w:t>In a multivariate VAR framework,</w:t>
            </w:r>
            <w:r w:rsidRPr="00D92F75" w:rsidDel="00AC3E74">
              <w:t xml:space="preserve"> </w:t>
            </w:r>
            <w:r w:rsidRPr="00D92F75">
              <w:t>a trade policy shock sized to match the 2018 China</w:t>
            </w:r>
            <w:r w:rsidR="008906D0">
              <w:t>–</w:t>
            </w:r>
            <w:r w:rsidRPr="00D92F75">
              <w:t>US trade war reduces US GDP by increasing firms’ marginal costs and decreasing the mass of US exporters. GDP is almost 0.8</w:t>
            </w:r>
            <w:r w:rsidR="00D92F75">
              <w:t>%</w:t>
            </w:r>
            <w:r w:rsidR="00A643CE">
              <w:t xml:space="preserve"> </w:t>
            </w:r>
            <w:r w:rsidRPr="00D92F75">
              <w:t>lower six months after the shock, driven by investment and exports falling by 1.5</w:t>
            </w:r>
            <w:r w:rsidR="00D92F75">
              <w:t>%</w:t>
            </w:r>
            <w:r w:rsidRPr="00D92F75">
              <w:t>, with one third of the declines attributable to uncertainty alone.</w:t>
            </w:r>
          </w:p>
          <w:p w14:paraId="7BDD2DDD" w14:textId="0BC8AFEE" w:rsidR="00013727" w:rsidRDefault="00013727" w:rsidP="00013727">
            <w:pPr>
              <w:pStyle w:val="BodyText"/>
            </w:pPr>
            <w:r>
              <w:t xml:space="preserve">Benguria et al. </w:t>
            </w:r>
            <w:r w:rsidRPr="004A1C91">
              <w:rPr>
                <w:rFonts w:ascii="Arial" w:hAnsi="Arial" w:cs="Arial"/>
              </w:rPr>
              <w:t>(2022)</w:t>
            </w:r>
            <w:r>
              <w:t xml:space="preserve"> measure</w:t>
            </w:r>
            <w:r w:rsidR="00B10C19">
              <w:t>d</w:t>
            </w:r>
            <w:r>
              <w:t xml:space="preserve"> the effects of the same dispute on Chinese firms.</w:t>
            </w:r>
            <w:r w:rsidRPr="00D23D7D">
              <w:rPr>
                <w:rStyle w:val="FootnoteReference"/>
              </w:rPr>
              <w:footnoteReference w:id="15"/>
            </w:r>
            <w:r>
              <w:t xml:space="preserve"> </w:t>
            </w:r>
          </w:p>
          <w:p w14:paraId="74B6A3F7" w14:textId="3923EC9F" w:rsidR="00013727" w:rsidRDefault="00013727" w:rsidP="00373FE1">
            <w:pPr>
              <w:pStyle w:val="ListBullet"/>
            </w:pPr>
            <w:r>
              <w:t>The 2017</w:t>
            </w:r>
            <w:r w:rsidR="00541AA4">
              <w:t>-</w:t>
            </w:r>
            <w:r>
              <w:t xml:space="preserve">18 increase in TPU led to a cumulative </w:t>
            </w:r>
            <w:r w:rsidR="00F315AC">
              <w:t>~</w:t>
            </w:r>
            <w:r>
              <w:t xml:space="preserve">2.3% decline in firm investment by </w:t>
            </w:r>
            <w:r w:rsidR="00F315AC">
              <w:t xml:space="preserve">quarter three of </w:t>
            </w:r>
            <w:r>
              <w:t xml:space="preserve">2019, but </w:t>
            </w:r>
            <w:r w:rsidR="00541AA4">
              <w:t xml:space="preserve">the authors </w:t>
            </w:r>
            <w:r>
              <w:t>find no significant impact on firm profits over the same horizon. They also highlight stronger responses among firms with a narrower range of import sources and export destinations as well as fewer varieties of imported inputs and final products.</w:t>
            </w:r>
          </w:p>
        </w:tc>
      </w:tr>
      <w:tr w:rsidR="00013727" w14:paraId="4C3D99C5" w14:textId="77777777" w:rsidTr="00616F0E">
        <w:trPr>
          <w:hidden/>
        </w:trPr>
        <w:tc>
          <w:tcPr>
            <w:tcW w:w="9638" w:type="dxa"/>
            <w:shd w:val="clear" w:color="auto" w:fill="auto"/>
            <w:tcMar>
              <w:top w:w="0" w:type="dxa"/>
              <w:left w:w="170" w:type="dxa"/>
              <w:bottom w:w="0" w:type="dxa"/>
              <w:right w:w="170" w:type="dxa"/>
            </w:tcMar>
          </w:tcPr>
          <w:p w14:paraId="7F17B9BE" w14:textId="6F816E1F" w:rsidR="00013727" w:rsidRPr="00465191" w:rsidRDefault="00013727">
            <w:pPr>
              <w:pStyle w:val="BodyText"/>
              <w:spacing w:before="0" w:after="0" w:line="80" w:lineRule="atLeast"/>
              <w:rPr>
                <w:smallCaps/>
                <w:vanish/>
              </w:rPr>
            </w:pPr>
          </w:p>
        </w:tc>
      </w:tr>
    </w:tbl>
    <w:p w14:paraId="15EF2E62" w14:textId="77777777" w:rsidR="00933A46" w:rsidRDefault="00933A46" w:rsidP="00933A46">
      <w:pPr>
        <w:pStyle w:val="Heading3"/>
      </w:pPr>
      <w:r>
        <w:t>Australia’s best response is to continue to advocate for free trade</w:t>
      </w:r>
    </w:p>
    <w:p w14:paraId="13D3315C" w14:textId="574FE410" w:rsidR="00933A46" w:rsidRPr="009F5E8D" w:rsidRDefault="00933A46" w:rsidP="00933A46">
      <w:pPr>
        <w:pStyle w:val="BodyText"/>
        <w:rPr>
          <w:spacing w:val="-2"/>
        </w:rPr>
      </w:pPr>
      <w:r w:rsidRPr="009F5E8D">
        <w:rPr>
          <w:spacing w:val="-2"/>
        </w:rPr>
        <w:t>Our modelling shows that the long</w:t>
      </w:r>
      <w:r w:rsidRPr="009F5E8D">
        <w:rPr>
          <w:spacing w:val="-2"/>
        </w:rPr>
        <w:noBreakHyphen/>
        <w:t xml:space="preserve">run impact of </w:t>
      </w:r>
      <w:r w:rsidR="009223F7" w:rsidRPr="009F5E8D">
        <w:rPr>
          <w:spacing w:val="-2"/>
        </w:rPr>
        <w:t xml:space="preserve">current changes to global tariff settings </w:t>
      </w:r>
      <w:r w:rsidR="00604967">
        <w:rPr>
          <w:spacing w:val="-2"/>
        </w:rPr>
        <w:t xml:space="preserve">on Australia </w:t>
      </w:r>
      <w:r w:rsidRPr="009F5E8D">
        <w:rPr>
          <w:spacing w:val="-2"/>
        </w:rPr>
        <w:t>is likely to be small overall</w:t>
      </w:r>
      <w:r w:rsidR="009223F7" w:rsidRPr="009F5E8D">
        <w:rPr>
          <w:spacing w:val="-2"/>
        </w:rPr>
        <w:t xml:space="preserve">, and </w:t>
      </w:r>
      <w:r w:rsidR="00A52D54" w:rsidRPr="009F5E8D">
        <w:rPr>
          <w:spacing w:val="-2"/>
        </w:rPr>
        <w:t>that</w:t>
      </w:r>
      <w:r w:rsidR="00476AF5" w:rsidRPr="009F5E8D">
        <w:rPr>
          <w:spacing w:val="-2"/>
        </w:rPr>
        <w:t xml:space="preserve"> the</w:t>
      </w:r>
      <w:r w:rsidR="00A52D54" w:rsidRPr="009F5E8D">
        <w:rPr>
          <w:spacing w:val="-2"/>
        </w:rPr>
        <w:t xml:space="preserve"> current approach of</w:t>
      </w:r>
      <w:r w:rsidR="00476AF5" w:rsidRPr="009F5E8D">
        <w:rPr>
          <w:spacing w:val="-2"/>
        </w:rPr>
        <w:t xml:space="preserve"> the Australian Government </w:t>
      </w:r>
      <w:r w:rsidR="00A52D54" w:rsidRPr="009F5E8D">
        <w:rPr>
          <w:spacing w:val="-2"/>
        </w:rPr>
        <w:t>to</w:t>
      </w:r>
      <w:r w:rsidR="00476AF5" w:rsidRPr="009F5E8D">
        <w:rPr>
          <w:spacing w:val="-2"/>
        </w:rPr>
        <w:t xml:space="preserve"> not </w:t>
      </w:r>
      <w:r w:rsidR="00A52D54" w:rsidRPr="009F5E8D">
        <w:rPr>
          <w:spacing w:val="-2"/>
        </w:rPr>
        <w:t>implement</w:t>
      </w:r>
      <w:r w:rsidR="00476AF5" w:rsidRPr="009F5E8D">
        <w:rPr>
          <w:spacing w:val="-2"/>
        </w:rPr>
        <w:t xml:space="preserve"> retaliatory tariffs</w:t>
      </w:r>
      <w:r w:rsidR="005E610F" w:rsidRPr="009F5E8D">
        <w:rPr>
          <w:spacing w:val="-2"/>
        </w:rPr>
        <w:t xml:space="preserve"> is sound.</w:t>
      </w:r>
      <w:r w:rsidRPr="009F5E8D">
        <w:rPr>
          <w:spacing w:val="-2"/>
        </w:rPr>
        <w:t xml:space="preserve"> </w:t>
      </w:r>
    </w:p>
    <w:p w14:paraId="6E937E72" w14:textId="361406FD" w:rsidR="00933A46" w:rsidRDefault="00933A46" w:rsidP="00933A46">
      <w:pPr>
        <w:pStyle w:val="BodyText"/>
        <w:rPr>
          <w:lang w:val="en-GB"/>
        </w:rPr>
      </w:pPr>
      <w:r>
        <w:t xml:space="preserve">Increasing our direct barriers to trade and investment, even if in retaliation, would come at a cost. </w:t>
      </w:r>
      <w:r>
        <w:rPr>
          <w:lang w:val="en-GB"/>
        </w:rPr>
        <w:t>Retaliatory action by Australia also risks harm to specific industries if it leads to further targeted and strategic action on specific goods and services produced in Australia. Moreover, the potential gains to Australia from liberalisation are higher than the gains from taking no action, let alone from implementing retaliatory tariffs.</w:t>
      </w:r>
    </w:p>
    <w:p w14:paraId="2B66D71F" w14:textId="7C4B0FE4" w:rsidR="00933A46" w:rsidRDefault="00EB1E67" w:rsidP="00933A46">
      <w:pPr>
        <w:pStyle w:val="BodyText"/>
      </w:pPr>
      <w:r w:rsidRPr="006601B0">
        <w:t xml:space="preserve">The same principles apply to </w:t>
      </w:r>
      <w:r w:rsidR="00933A46" w:rsidRPr="006601B0">
        <w:t>indirect retaliation through non</w:t>
      </w:r>
      <w:r w:rsidR="00933A46" w:rsidRPr="006601B0">
        <w:noBreakHyphen/>
        <w:t>tariff measures</w:t>
      </w:r>
      <w:r w:rsidRPr="006601B0">
        <w:t>,</w:t>
      </w:r>
      <w:r w:rsidR="00933A46" w:rsidRPr="006601B0">
        <w:t xml:space="preserve"> such as stronger anti</w:t>
      </w:r>
      <w:r w:rsidR="00933A46" w:rsidRPr="006601B0">
        <w:noBreakHyphen/>
        <w:t xml:space="preserve">dumping protections or local content rules. </w:t>
      </w:r>
      <w:r w:rsidR="005526A4" w:rsidRPr="006601B0">
        <w:t xml:space="preserve">These forms of behind-the-border assistance </w:t>
      </w:r>
      <w:r w:rsidR="00C72C17" w:rsidRPr="006601B0">
        <w:t xml:space="preserve">have </w:t>
      </w:r>
      <w:r w:rsidR="00D22B2E" w:rsidRPr="006601B0">
        <w:t xml:space="preserve">a </w:t>
      </w:r>
      <w:r w:rsidR="007F646D" w:rsidRPr="006601B0">
        <w:t>similar protectionist effect</w:t>
      </w:r>
      <w:r w:rsidR="00F36556" w:rsidRPr="006601B0">
        <w:t xml:space="preserve"> to import tariffs</w:t>
      </w:r>
      <w:r w:rsidR="00074E9F" w:rsidRPr="006601B0">
        <w:t>, while also being less transparent</w:t>
      </w:r>
      <w:r w:rsidR="0017547A" w:rsidRPr="006601B0">
        <w:t xml:space="preserve">. </w:t>
      </w:r>
      <w:r w:rsidR="006B5FDF" w:rsidRPr="006601B0">
        <w:t xml:space="preserve">To the extent that </w:t>
      </w:r>
      <w:r w:rsidR="00552CBB" w:rsidRPr="006601B0">
        <w:t>they</w:t>
      </w:r>
      <w:r w:rsidR="00F36556" w:rsidRPr="006601B0">
        <w:t xml:space="preserve"> protect particular industries</w:t>
      </w:r>
      <w:r w:rsidR="008E5343" w:rsidRPr="006601B0">
        <w:t xml:space="preserve">, indirect assistance measures </w:t>
      </w:r>
      <w:r w:rsidR="00A640F7" w:rsidRPr="006601B0">
        <w:t>do so at a cost</w:t>
      </w:r>
      <w:r w:rsidR="00002991" w:rsidRPr="006601B0">
        <w:t xml:space="preserve"> to the overall economy by raising </w:t>
      </w:r>
      <w:r w:rsidR="00933A46" w:rsidRPr="006601B0">
        <w:t>costs for producers</w:t>
      </w:r>
      <w:r w:rsidR="00002991" w:rsidRPr="006601B0">
        <w:t xml:space="preserve"> and </w:t>
      </w:r>
      <w:r w:rsidR="00002991" w:rsidRPr="006601B0">
        <w:lastRenderedPageBreak/>
        <w:t>prices for consumers</w:t>
      </w:r>
      <w:r w:rsidR="00933A46" w:rsidRPr="006601B0">
        <w:t xml:space="preserve">. </w:t>
      </w:r>
      <w:r w:rsidR="006E0ED3" w:rsidRPr="006601B0">
        <w:t xml:space="preserve">They </w:t>
      </w:r>
      <w:r w:rsidR="00F52316" w:rsidRPr="006601B0">
        <w:t>prevent the domestic economy from fully</w:t>
      </w:r>
      <w:r w:rsidR="00FA39BF" w:rsidRPr="006601B0">
        <w:t xml:space="preserve"> benefitting from the trade policies of other countries </w:t>
      </w:r>
      <w:r w:rsidR="006E0ED3" w:rsidRPr="006601B0">
        <w:t>and may raise the risk of further retaliation.</w:t>
      </w:r>
    </w:p>
    <w:p w14:paraId="55514B34" w14:textId="73137979" w:rsidR="00B15915" w:rsidRDefault="00B15915" w:rsidP="00B15915">
      <w:pPr>
        <w:pStyle w:val="BodyText"/>
      </w:pPr>
      <w:r>
        <w:t xml:space="preserve">Amidst heightened global uncertainty about resurgent trade barriers, Australia’s best response is to continue to work towards </w:t>
      </w:r>
      <w:r w:rsidR="00DC57DF">
        <w:t>reducing</w:t>
      </w:r>
      <w:r w:rsidR="00276203">
        <w:t xml:space="preserve"> </w:t>
      </w:r>
      <w:r w:rsidR="007258E7">
        <w:t xml:space="preserve">trade policy uncertainty </w:t>
      </w:r>
      <w:r w:rsidR="00276203">
        <w:t>(both globally and for Australian firms).</w:t>
      </w:r>
      <w:r w:rsidR="00645F3E">
        <w:t xml:space="preserve"> </w:t>
      </w:r>
      <w:r>
        <w:t>Australia can proceed unilaterally, such as by lowering and binding tariff levels to give prospective exporters certainty about Australia’s markets, and multilaterally, such as by committing to free trade agreements and international institutions that can promote long</w:t>
      </w:r>
      <w:r>
        <w:noBreakHyphen/>
        <w:t xml:space="preserve">term economic stability. </w:t>
      </w:r>
    </w:p>
    <w:p w14:paraId="235795E8" w14:textId="0EC72EC8" w:rsidR="00933A46" w:rsidRDefault="00933A46" w:rsidP="00933A46">
      <w:pPr>
        <w:pStyle w:val="BodyText"/>
      </w:pPr>
      <w:r>
        <w:t>Australia should continue to advocate for the rules</w:t>
      </w:r>
      <w:r>
        <w:noBreakHyphen/>
        <w:t>based international trading system that has underpinned our post</w:t>
      </w:r>
      <w:r>
        <w:noBreakHyphen/>
        <w:t>war prosperity and seek out likeminded countries receptive to the benefits of freer international trade to progress this as far as possible among themselves.</w:t>
      </w:r>
    </w:p>
    <w:p w14:paraId="0A0B82F8" w14:textId="1CA91BAE" w:rsidR="00A972CD" w:rsidRDefault="00A972CD" w:rsidP="00837C7A">
      <w:pPr>
        <w:pStyle w:val="BodyText"/>
        <w:sectPr w:rsidR="00A972CD" w:rsidSect="00A972CD">
          <w:headerReference w:type="even" r:id="rId46"/>
          <w:headerReference w:type="default" r:id="rId47"/>
          <w:footerReference w:type="even" r:id="rId48"/>
          <w:footerReference w:type="default" r:id="rId49"/>
          <w:headerReference w:type="first" r:id="rId50"/>
          <w:type w:val="oddPage"/>
          <w:pgSz w:w="11906" w:h="16838" w:code="9"/>
          <w:pgMar w:top="1134" w:right="1134" w:bottom="1134" w:left="1134" w:header="794" w:footer="510" w:gutter="0"/>
          <w:cols w:space="708"/>
          <w:docGrid w:linePitch="360"/>
        </w:sectPr>
      </w:pPr>
    </w:p>
    <w:p w14:paraId="2B25F23D" w14:textId="17AB5CFB" w:rsidR="00A972CD" w:rsidRDefault="00A972CD" w:rsidP="006008A5">
      <w:pPr>
        <w:pStyle w:val="Heading1"/>
      </w:pPr>
      <w:bookmarkStart w:id="30" w:name="_Toc202477848"/>
      <w:r>
        <w:lastRenderedPageBreak/>
        <w:t>Australia</w:t>
      </w:r>
      <w:r w:rsidR="004854D4">
        <w:t>n</w:t>
      </w:r>
      <w:r>
        <w:t xml:space="preserve"> trade policy developments</w:t>
      </w:r>
      <w:bookmarkEnd w:id="30"/>
    </w:p>
    <w:tbl>
      <w:tblPr>
        <w:tblStyle w:val="Texttable-Paleblue"/>
        <w:tblW w:w="5000" w:type="pct"/>
        <w:shd w:val="clear" w:color="auto" w:fill="E7F6FD"/>
        <w:tblLook w:val="04A0" w:firstRow="1" w:lastRow="0" w:firstColumn="1" w:lastColumn="0" w:noHBand="0" w:noVBand="1"/>
      </w:tblPr>
      <w:tblGrid>
        <w:gridCol w:w="577"/>
        <w:gridCol w:w="9061"/>
      </w:tblGrid>
      <w:tr w:rsidR="009F0CD5" w:rsidRPr="002F759A" w14:paraId="5DB5CAE8" w14:textId="77777777" w:rsidTr="00616F0E">
        <w:tc>
          <w:tcPr>
            <w:tcW w:w="9638" w:type="dxa"/>
            <w:gridSpan w:val="2"/>
            <w:shd w:val="clear" w:color="auto" w:fill="E7F6FD"/>
            <w:tcMar>
              <w:left w:w="170" w:type="dxa"/>
            </w:tcMar>
          </w:tcPr>
          <w:p w14:paraId="7C9AE7A6" w14:textId="77777777" w:rsidR="009F0CD5" w:rsidRPr="002F759A" w:rsidRDefault="009F0CD5" w:rsidP="001C79A3">
            <w:pPr>
              <w:pStyle w:val="Keypoints-heading"/>
            </w:pPr>
            <w:r w:rsidRPr="002F759A">
              <w:t>Key points</w:t>
            </w:r>
          </w:p>
        </w:tc>
      </w:tr>
      <w:tr w:rsidR="00DE65FB" w14:paraId="51441918" w14:textId="77777777" w:rsidTr="00616F0E">
        <w:tc>
          <w:tcPr>
            <w:tcW w:w="577" w:type="dxa"/>
            <w:shd w:val="clear" w:color="auto" w:fill="E7F6FD"/>
            <w:tcMar>
              <w:top w:w="0" w:type="dxa"/>
              <w:bottom w:w="0" w:type="dxa"/>
              <w:right w:w="113" w:type="dxa"/>
            </w:tcMar>
          </w:tcPr>
          <w:p w14:paraId="71F34076" w14:textId="77777777" w:rsidR="00DE65FB" w:rsidRPr="00A51374" w:rsidRDefault="00DE65FB" w:rsidP="001C79A3">
            <w:pPr>
              <w:pStyle w:val="KeyPointsicon"/>
            </w:pPr>
            <w:r w:rsidRPr="00F31E73">
              <w:rPr>
                <w:noProof/>
              </w:rPr>
              <w:drawing>
                <wp:inline distT="0" distB="0" distL="0" distR="0" wp14:anchorId="3C83A169" wp14:editId="20D3FE02">
                  <wp:extent cx="180000" cy="180000"/>
                  <wp:effectExtent l="0" t="0" r="0" b="0"/>
                  <wp:docPr id="1867783265" name="Graphic 1867783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BFCEE06" w14:textId="4A52D4FA" w:rsidR="00DE65FB" w:rsidRPr="00610627" w:rsidRDefault="00DE65FB" w:rsidP="001C79A3">
            <w:pPr>
              <w:pStyle w:val="KeyPoints-Bold"/>
            </w:pPr>
            <w:r>
              <w:t xml:space="preserve">Despite the </w:t>
            </w:r>
            <w:r w:rsidR="006E3875">
              <w:t xml:space="preserve">worsening </w:t>
            </w:r>
            <w:r>
              <w:t>global trad</w:t>
            </w:r>
            <w:r w:rsidR="00E441F3">
              <w:t>e</w:t>
            </w:r>
            <w:r>
              <w:t xml:space="preserve"> </w:t>
            </w:r>
            <w:r w:rsidR="00FA6316">
              <w:t>environment,</w:t>
            </w:r>
            <w:r w:rsidR="006A640A">
              <w:t xml:space="preserve"> </w:t>
            </w:r>
            <w:r w:rsidR="00FA6316">
              <w:t xml:space="preserve">Australia is continuing to </w:t>
            </w:r>
            <w:r w:rsidR="005C1415">
              <w:t>liberalise its trade policy settings</w:t>
            </w:r>
            <w:r w:rsidR="00D646E5">
              <w:t xml:space="preserve"> through resolving trade disputes</w:t>
            </w:r>
            <w:r w:rsidR="00EF312A">
              <w:t>,</w:t>
            </w:r>
            <w:r w:rsidR="006A640A">
              <w:t xml:space="preserve"> </w:t>
            </w:r>
            <w:r w:rsidR="00D646E5">
              <w:t>new bilateral agreements and refinements to existing regional agreements</w:t>
            </w:r>
            <w:r w:rsidR="005C1415">
              <w:t>.</w:t>
            </w:r>
            <w:r w:rsidR="006A640A">
              <w:t xml:space="preserve"> </w:t>
            </w:r>
          </w:p>
        </w:tc>
      </w:tr>
      <w:tr w:rsidR="00016A41" w14:paraId="6E658DF1" w14:textId="77777777" w:rsidTr="00616F0E">
        <w:tc>
          <w:tcPr>
            <w:tcW w:w="577" w:type="dxa"/>
            <w:shd w:val="clear" w:color="auto" w:fill="E7F6FD"/>
            <w:tcMar>
              <w:top w:w="0" w:type="dxa"/>
              <w:bottom w:w="0" w:type="dxa"/>
              <w:right w:w="113" w:type="dxa"/>
            </w:tcMar>
          </w:tcPr>
          <w:p w14:paraId="468F6EBB" w14:textId="77777777" w:rsidR="00016A41" w:rsidRPr="00A51374" w:rsidRDefault="00016A41" w:rsidP="001C79A3">
            <w:pPr>
              <w:pStyle w:val="KeyPointsicon"/>
            </w:pPr>
            <w:r w:rsidRPr="00F31E73">
              <w:rPr>
                <w:noProof/>
              </w:rPr>
              <w:drawing>
                <wp:inline distT="0" distB="0" distL="0" distR="0" wp14:anchorId="4903364F" wp14:editId="1B4753F0">
                  <wp:extent cx="180000" cy="180000"/>
                  <wp:effectExtent l="0" t="0" r="0" b="0"/>
                  <wp:docPr id="881020321" name="Graphic 881020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797D7CD" w14:textId="49E992CD" w:rsidR="00016A41" w:rsidRPr="009F5E8D" w:rsidRDefault="00BB7CD3" w:rsidP="001C79A3">
            <w:pPr>
              <w:pStyle w:val="KeyPoints-Bold"/>
              <w:rPr>
                <w:spacing w:val="-4"/>
              </w:rPr>
            </w:pPr>
            <w:r w:rsidRPr="009F5E8D">
              <w:rPr>
                <w:spacing w:val="-4"/>
              </w:rPr>
              <w:t>However, c</w:t>
            </w:r>
            <w:r w:rsidR="00016A41" w:rsidRPr="009F5E8D">
              <w:rPr>
                <w:spacing w:val="-4"/>
              </w:rPr>
              <w:t>ompliance with Australia’s preferential trade agreements continued to impose significant costs</w:t>
            </w:r>
            <w:r w:rsidR="009F5E8D" w:rsidRPr="009F5E8D">
              <w:rPr>
                <w:spacing w:val="-4"/>
              </w:rPr>
              <w:t>.</w:t>
            </w:r>
          </w:p>
          <w:p w14:paraId="6305BE61" w14:textId="15F65D77" w:rsidR="00016A41" w:rsidRPr="00594D57" w:rsidRDefault="00016A41" w:rsidP="00587022">
            <w:pPr>
              <w:pStyle w:val="ListBullet"/>
              <w:rPr>
                <w:sz w:val="18"/>
                <w:szCs w:val="18"/>
              </w:rPr>
            </w:pPr>
            <w:r w:rsidRPr="00C441DE">
              <w:rPr>
                <w:sz w:val="18"/>
                <w:szCs w:val="18"/>
              </w:rPr>
              <w:t>In 2023</w:t>
            </w:r>
            <w:r w:rsidR="00A645D3">
              <w:rPr>
                <w:sz w:val="18"/>
                <w:szCs w:val="18"/>
              </w:rPr>
              <w:t>-</w:t>
            </w:r>
            <w:r w:rsidRPr="00C441DE">
              <w:rPr>
                <w:sz w:val="18"/>
                <w:szCs w:val="18"/>
              </w:rPr>
              <w:t>24 the tariff regime imposed compliance costs of between $</w:t>
            </w:r>
            <w:r>
              <w:rPr>
                <w:sz w:val="18"/>
                <w:szCs w:val="18"/>
              </w:rPr>
              <w:t>1.</w:t>
            </w:r>
            <w:r w:rsidR="0006724E">
              <w:rPr>
                <w:sz w:val="18"/>
                <w:szCs w:val="18"/>
              </w:rPr>
              <w:t>3</w:t>
            </w:r>
            <w:r w:rsidRPr="00C441DE">
              <w:rPr>
                <w:sz w:val="18"/>
                <w:szCs w:val="18"/>
              </w:rPr>
              <w:t xml:space="preserve"> billion and $</w:t>
            </w:r>
            <w:r w:rsidR="0006724E">
              <w:rPr>
                <w:sz w:val="18"/>
                <w:szCs w:val="18"/>
              </w:rPr>
              <w:t>4</w:t>
            </w:r>
            <w:r w:rsidRPr="00C441DE">
              <w:rPr>
                <w:sz w:val="18"/>
                <w:szCs w:val="18"/>
              </w:rPr>
              <w:t xml:space="preserve"> billion, while collecting $</w:t>
            </w:r>
            <w:r>
              <w:rPr>
                <w:sz w:val="18"/>
                <w:szCs w:val="18"/>
              </w:rPr>
              <w:t>2</w:t>
            </w:r>
            <w:r w:rsidRPr="00C441DE">
              <w:rPr>
                <w:sz w:val="18"/>
                <w:szCs w:val="18"/>
              </w:rPr>
              <w:t xml:space="preserve"> billion in revenue.</w:t>
            </w:r>
          </w:p>
        </w:tc>
      </w:tr>
      <w:tr w:rsidR="00594D57" w14:paraId="3DFE5DF8" w14:textId="77777777" w:rsidTr="00616F0E">
        <w:tc>
          <w:tcPr>
            <w:tcW w:w="577" w:type="dxa"/>
            <w:shd w:val="clear" w:color="auto" w:fill="E7F6FD"/>
            <w:tcMar>
              <w:top w:w="0" w:type="dxa"/>
              <w:bottom w:w="0" w:type="dxa"/>
              <w:right w:w="113" w:type="dxa"/>
            </w:tcMar>
          </w:tcPr>
          <w:p w14:paraId="4FF90AC3" w14:textId="77777777" w:rsidR="00594D57" w:rsidRPr="00A51374" w:rsidRDefault="00594D57" w:rsidP="001C79A3">
            <w:pPr>
              <w:pStyle w:val="KeyPointsicon"/>
            </w:pPr>
            <w:r w:rsidRPr="00F31E73">
              <w:rPr>
                <w:noProof/>
              </w:rPr>
              <w:drawing>
                <wp:inline distT="0" distB="0" distL="0" distR="0" wp14:anchorId="3D8F18DE" wp14:editId="35B9CE06">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01EBEA6" w14:textId="4A59D61A" w:rsidR="00594D57" w:rsidRPr="00B530DC" w:rsidRDefault="00594D57" w:rsidP="00B530DC">
            <w:pPr>
              <w:pStyle w:val="KeyPoints-Bold"/>
            </w:pPr>
            <w:r w:rsidRPr="00B530DC">
              <w:t>The</w:t>
            </w:r>
            <w:r w:rsidR="003B5730">
              <w:t>se costs could be reduced</w:t>
            </w:r>
            <w:r w:rsidRPr="00B530DC">
              <w:t xml:space="preserve"> if remaining opportunities to eliminate nuisance tariffs are taken up.</w:t>
            </w:r>
          </w:p>
          <w:p w14:paraId="568497AE" w14:textId="693623BE" w:rsidR="00594D57" w:rsidRPr="003A5B37" w:rsidRDefault="00594D57" w:rsidP="00F33EF0">
            <w:pPr>
              <w:pStyle w:val="KeyPoints-Bullet"/>
            </w:pPr>
            <w:r w:rsidRPr="003A5B37">
              <w:t>The Australian Government is making the largest unilateral tariff reform in two decades by abolishing 457</w:t>
            </w:r>
            <w:r w:rsidR="00A645D3">
              <w:t> </w:t>
            </w:r>
            <w:r w:rsidRPr="003A5B37">
              <w:t>tariffs from 2024</w:t>
            </w:r>
            <w:r w:rsidR="00A645D3">
              <w:t>-</w:t>
            </w:r>
            <w:r w:rsidRPr="003A5B37">
              <w:t>25 onwards.</w:t>
            </w:r>
          </w:p>
          <w:p w14:paraId="37BBE2F3" w14:textId="77777777" w:rsidR="00594D57" w:rsidRPr="00610627" w:rsidRDefault="00594D57" w:rsidP="00F33EF0">
            <w:pPr>
              <w:pStyle w:val="KeyPoints-Bullet"/>
            </w:pPr>
            <w:r w:rsidRPr="003A5B37">
              <w:t xml:space="preserve">There remain many ‘nuisance tariffs’ in Australia which generate little revenue and impose high costs on businesses seeking to avoid them. </w:t>
            </w:r>
          </w:p>
        </w:tc>
      </w:tr>
      <w:tr w:rsidR="00594D57" w14:paraId="148E98F8" w14:textId="77777777" w:rsidTr="00616F0E">
        <w:tc>
          <w:tcPr>
            <w:tcW w:w="577" w:type="dxa"/>
            <w:shd w:val="clear" w:color="auto" w:fill="E7F6FD"/>
            <w:tcMar>
              <w:top w:w="0" w:type="dxa"/>
              <w:bottom w:w="0" w:type="dxa"/>
              <w:right w:w="113" w:type="dxa"/>
            </w:tcMar>
          </w:tcPr>
          <w:p w14:paraId="6267B6D4" w14:textId="77777777" w:rsidR="00594D57" w:rsidRPr="00A51374" w:rsidRDefault="00594D57" w:rsidP="001C79A3">
            <w:pPr>
              <w:pStyle w:val="KeyPointsicon"/>
            </w:pPr>
            <w:r w:rsidRPr="00F31E73">
              <w:rPr>
                <w:noProof/>
              </w:rPr>
              <w:drawing>
                <wp:inline distT="0" distB="0" distL="0" distR="0" wp14:anchorId="342179B2" wp14:editId="03468061">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FDDC4A6" w14:textId="1A79CCEA" w:rsidR="00594D57" w:rsidRPr="00B530DC" w:rsidRDefault="00594D57" w:rsidP="00B530DC">
            <w:pPr>
              <w:pStyle w:val="KeyPoints-Bold"/>
            </w:pPr>
            <w:r w:rsidRPr="00B530DC">
              <w:t xml:space="preserve">We have identified a further </w:t>
            </w:r>
            <w:r w:rsidR="00B1399E">
              <w:t>315</w:t>
            </w:r>
            <w:r w:rsidRPr="00B530DC">
              <w:t xml:space="preserve"> nuisance tariffs to </w:t>
            </w:r>
            <w:r w:rsidR="00CC14E4">
              <w:t xml:space="preserve">prioritise for </w:t>
            </w:r>
            <w:r w:rsidR="00EF6788">
              <w:t>review for potential removal</w:t>
            </w:r>
            <w:r w:rsidRPr="00B530DC">
              <w:t>.</w:t>
            </w:r>
          </w:p>
          <w:p w14:paraId="39CDE1C8" w14:textId="28C4789D" w:rsidR="00594D57" w:rsidRPr="0090598B" w:rsidRDefault="00594D57" w:rsidP="00F33EF0">
            <w:pPr>
              <w:pStyle w:val="KeyPoints-Bullet"/>
            </w:pPr>
            <w:r w:rsidRPr="0090598B">
              <w:t xml:space="preserve">Tariffs were grouped into four priority levels based on the ratio of </w:t>
            </w:r>
            <w:r w:rsidR="00CF0DD6">
              <w:t xml:space="preserve">indicative </w:t>
            </w:r>
            <w:r w:rsidRPr="0090598B">
              <w:t xml:space="preserve">compliance costs to tariff revenue </w:t>
            </w:r>
            <w:r>
              <w:t>alongside</w:t>
            </w:r>
            <w:r w:rsidRPr="0090598B">
              <w:t xml:space="preserve"> the absolute </w:t>
            </w:r>
            <w:r>
              <w:t xml:space="preserve">tariff </w:t>
            </w:r>
            <w:r w:rsidRPr="0090598B">
              <w:t xml:space="preserve">revenue </w:t>
            </w:r>
            <w:r>
              <w:t xml:space="preserve">collected </w:t>
            </w:r>
            <w:r w:rsidRPr="0090598B">
              <w:t>by the Government</w:t>
            </w:r>
            <w:r>
              <w:t xml:space="preserve"> in 2023</w:t>
            </w:r>
            <w:r w:rsidR="00A645D3">
              <w:t>-</w:t>
            </w:r>
            <w:r>
              <w:t>24</w:t>
            </w:r>
            <w:r w:rsidRPr="00DA3A1E">
              <w:t>.</w:t>
            </w:r>
          </w:p>
          <w:p w14:paraId="2A5B8874" w14:textId="7BD474BD" w:rsidR="00594D57" w:rsidRPr="00B337AC" w:rsidRDefault="00594D57" w:rsidP="00F33EF0">
            <w:pPr>
              <w:pStyle w:val="KeyPoints-Bullet"/>
            </w:pPr>
            <w:r w:rsidRPr="0090598B">
              <w:t>A few imported product categories made up a substantial number of nuisance tariffs</w:t>
            </w:r>
            <w:r w:rsidR="004854D4">
              <w:t>,</w:t>
            </w:r>
            <w:r w:rsidRPr="0090598B">
              <w:t xml:space="preserve"> particularly boilers and appliances, plastics and iron and steel </w:t>
            </w:r>
            <w:r>
              <w:t>products</w:t>
            </w:r>
            <w:r w:rsidRPr="0090598B">
              <w:t>.</w:t>
            </w:r>
          </w:p>
        </w:tc>
      </w:tr>
    </w:tbl>
    <w:p w14:paraId="0F3A67B5" w14:textId="6FE66DD8" w:rsidR="009F0CD5" w:rsidRDefault="009F0CD5" w:rsidP="001C79A3">
      <w:pPr>
        <w:pStyle w:val="NoSpacing"/>
      </w:pPr>
    </w:p>
    <w:p w14:paraId="1B78380B" w14:textId="14F5A855" w:rsidR="00755E70" w:rsidRDefault="00755E70" w:rsidP="00755E70">
      <w:r w:rsidRPr="00104D0E">
        <w:t xml:space="preserve">The role of tariffs in the global economy has changed dramatically. </w:t>
      </w:r>
      <w:r w:rsidRPr="00E25444">
        <w:t xml:space="preserve">Consistent with the analysis presented in </w:t>
      </w:r>
      <w:r w:rsidR="0068352E">
        <w:t>c</w:t>
      </w:r>
      <w:r>
        <w:t>hapter 1</w:t>
      </w:r>
      <w:r w:rsidRPr="00E25444">
        <w:t>, there has been a greater use of tariffs as a trade measure in 2025 compared with previous years, with 1</w:t>
      </w:r>
      <w:r w:rsidR="00176855">
        <w:t>8</w:t>
      </w:r>
      <w:r w:rsidRPr="00E25444">
        <w:t>% of harmful trade measures coming from import tariffs</w:t>
      </w:r>
      <w:r w:rsidR="00002FF2">
        <w:t>,</w:t>
      </w:r>
      <w:r w:rsidRPr="00E25444">
        <w:rPr>
          <w:vertAlign w:val="superscript"/>
        </w:rPr>
        <w:footnoteReference w:id="16"/>
      </w:r>
      <w:r w:rsidRPr="00E25444">
        <w:t xml:space="preserve"> compared to 5.1% in 2024 </w:t>
      </w:r>
      <w:r w:rsidRPr="00E25444">
        <w:rPr>
          <w:rFonts w:ascii="Arial" w:hAnsi="Arial" w:cs="Arial"/>
        </w:rPr>
        <w:t>(Global Trade Alert 2025)</w:t>
      </w:r>
      <w:r w:rsidRPr="00E25444">
        <w:t xml:space="preserve">. </w:t>
      </w:r>
      <w:r w:rsidRPr="00104D0E">
        <w:t xml:space="preserve">However, </w:t>
      </w:r>
      <w:r w:rsidR="00810153">
        <w:t>the increases in</w:t>
      </w:r>
      <w:r w:rsidRPr="00104D0E">
        <w:t xml:space="preserve"> tariff overseas do not call into question the long</w:t>
      </w:r>
      <w:r w:rsidR="00200862">
        <w:noBreakHyphen/>
      </w:r>
      <w:r w:rsidRPr="00104D0E">
        <w:t>term direction of Australia’s tariff policy</w:t>
      </w:r>
      <w:r w:rsidR="00E43DC8">
        <w:t xml:space="preserve"> (section 2.1)</w:t>
      </w:r>
      <w:r w:rsidRPr="00104D0E">
        <w:t>. As is becoming clear from</w:t>
      </w:r>
      <w:r w:rsidR="00985C4D" w:rsidRPr="00985C4D">
        <w:t xml:space="preserve"> </w:t>
      </w:r>
      <w:r w:rsidR="00985C4D" w:rsidRPr="00104D0E">
        <w:t>estimates</w:t>
      </w:r>
      <w:r w:rsidR="00183824">
        <w:t xml:space="preserve"> by the Productivity Commission</w:t>
      </w:r>
      <w:r w:rsidRPr="00104D0E">
        <w:t xml:space="preserve"> and others, raising Australia’s tariffs in response would not be optimal.</w:t>
      </w:r>
    </w:p>
    <w:p w14:paraId="7956358D" w14:textId="67971AF1" w:rsidR="00E43DC8" w:rsidRPr="00E25444" w:rsidRDefault="00E43DC8" w:rsidP="00E43DC8">
      <w:r w:rsidRPr="00E25444">
        <w:lastRenderedPageBreak/>
        <w:t>In this environment, Australia has progressed its trade relations through resolving disputes and furthering regional and bilateral trade agreements. Australia has also committed to unilateral actions designed to protect domestic industries</w:t>
      </w:r>
      <w:r w:rsidR="00540969">
        <w:t xml:space="preserve"> (section 2.2)</w:t>
      </w:r>
      <w:r w:rsidRPr="00E25444">
        <w:t xml:space="preserve">. </w:t>
      </w:r>
    </w:p>
    <w:p w14:paraId="5F127F6F" w14:textId="16475A87" w:rsidR="00643F12" w:rsidRDefault="00643F12" w:rsidP="00643F12">
      <w:r>
        <w:t xml:space="preserve">‘At the border’ assistance’s role through tariffs </w:t>
      </w:r>
      <w:r w:rsidR="00872842">
        <w:t>is set to fall</w:t>
      </w:r>
      <w:r>
        <w:t xml:space="preserve"> following the abolition of around 500 ‘nuisance tariffs’ from 1 July 2024. This term refers to tariffs on goods, mostly imported under trade agreements, that generate little revenue relative to the administrative costs of complying with trade agreements. The aggregate cost of these nuisance tariffs </w:t>
      </w:r>
      <w:r w:rsidR="00D82C7F">
        <w:t>has been</w:t>
      </w:r>
      <w:r w:rsidR="006174A2">
        <w:t xml:space="preserve"> </w:t>
      </w:r>
      <w:r>
        <w:t xml:space="preserve">reported in </w:t>
      </w:r>
      <w:r w:rsidR="00D82C7F">
        <w:t>the</w:t>
      </w:r>
      <w:r>
        <w:t xml:space="preserve"> T</w:t>
      </w:r>
      <w:r w:rsidR="000714C6">
        <w:t>rade and Assistance Review (</w:t>
      </w:r>
      <w:r>
        <w:t>TAR</w:t>
      </w:r>
      <w:r w:rsidR="000714C6">
        <w:t>)</w:t>
      </w:r>
      <w:r>
        <w:t xml:space="preserve"> since the release of the </w:t>
      </w:r>
      <w:r w:rsidRPr="004760D6">
        <w:rPr>
          <w:i/>
          <w:iCs/>
        </w:rPr>
        <w:t>Nuisance Cost of Tariffs</w:t>
      </w:r>
      <w:r>
        <w:t xml:space="preserve"> research report </w:t>
      </w:r>
      <w:r w:rsidRPr="00647D5B">
        <w:rPr>
          <w:rFonts w:ascii="Arial" w:hAnsi="Arial" w:cs="Arial"/>
        </w:rPr>
        <w:t>(PC 2022)</w:t>
      </w:r>
      <w:r w:rsidR="00333547">
        <w:t xml:space="preserve"> (section 2.3)</w:t>
      </w:r>
      <w:r>
        <w:t>. This year’s TAR builds on this work by proposing a framework for prioritising the removal of remaining nuisance tariffs (section 2.</w:t>
      </w:r>
      <w:r w:rsidR="00333547">
        <w:t>4</w:t>
      </w:r>
      <w:r>
        <w:t xml:space="preserve">). </w:t>
      </w:r>
    </w:p>
    <w:p w14:paraId="4188DDEA" w14:textId="7D8B3B6F" w:rsidR="00540969" w:rsidRDefault="003B14C3" w:rsidP="00853179">
      <w:pPr>
        <w:pStyle w:val="Heading2"/>
      </w:pPr>
      <w:bookmarkStart w:id="31" w:name="_Toc202477849"/>
      <w:r>
        <w:t>Australia has a long history of trade liberalisation</w:t>
      </w:r>
      <w:bookmarkEnd w:id="31"/>
    </w:p>
    <w:p w14:paraId="0378D6EE" w14:textId="77777777" w:rsidR="00FB591B" w:rsidRDefault="00FB591B" w:rsidP="001C3703">
      <w:pPr>
        <w:pStyle w:val="BoxHeading2"/>
        <w:spacing w:line="270" w:lineRule="atLeast"/>
        <w:rPr>
          <w:b w:val="0"/>
        </w:rPr>
      </w:pPr>
      <w:r w:rsidRPr="00B42D8F">
        <w:rPr>
          <w:b w:val="0"/>
        </w:rPr>
        <w:t>Australia has progressively dismantled the system of quotas and tariffs that previously protected domestic industry from international competition</w:t>
      </w:r>
      <w:r>
        <w:rPr>
          <w:b w:val="0"/>
        </w:rPr>
        <w:t xml:space="preserve">. This process took three forms: </w:t>
      </w:r>
    </w:p>
    <w:p w14:paraId="45881FAD" w14:textId="10FA3DD0" w:rsidR="00FB591B" w:rsidRPr="006A6ABD" w:rsidRDefault="00FB591B" w:rsidP="001C3703">
      <w:pPr>
        <w:pStyle w:val="ListBullet"/>
        <w:spacing w:line="270" w:lineRule="atLeast"/>
      </w:pPr>
      <w:r w:rsidRPr="00927291">
        <w:t>Australia actively participated in multilateral forums to reduce trade barriers</w:t>
      </w:r>
      <w:r w:rsidR="00927291" w:rsidRPr="00927291">
        <w:t xml:space="preserve">. </w:t>
      </w:r>
      <w:r>
        <w:t>Australia has actively participated in multilateral trade forums, firstly t</w:t>
      </w:r>
      <w:r w:rsidR="00C04072">
        <w:t>h</w:t>
      </w:r>
      <w:r>
        <w:t xml:space="preserve">rough the General Agreement on Tariffs and Trade (1948) and subsequently through the World Trade Organisation (1995). </w:t>
      </w:r>
      <w:r w:rsidRPr="000E3799">
        <w:t>Notable actions include the Uruguay Round (1986</w:t>
      </w:r>
      <w:r w:rsidR="00200862">
        <w:noBreakHyphen/>
      </w:r>
      <w:r w:rsidRPr="000E3799">
        <w:t>1994</w:t>
      </w:r>
      <w:r>
        <w:t>)</w:t>
      </w:r>
      <w:r w:rsidRPr="000E3799">
        <w:t xml:space="preserve"> and </w:t>
      </w:r>
      <w:r>
        <w:t>joining</w:t>
      </w:r>
      <w:r w:rsidRPr="000E3799">
        <w:t xml:space="preserve"> the Information Technology Agreement </w:t>
      </w:r>
      <w:r>
        <w:t xml:space="preserve">(1996) </w:t>
      </w:r>
      <w:r w:rsidRPr="000E3799">
        <w:t xml:space="preserve">to </w:t>
      </w:r>
      <w:r>
        <w:t xml:space="preserve">reduce technology trade barriers which was later extended to eliminate a further 201 </w:t>
      </w:r>
      <w:r w:rsidRPr="006A6ABD">
        <w:t>tariffs in 2015</w:t>
      </w:r>
      <w:r w:rsidR="00AF3399" w:rsidRPr="006A6ABD">
        <w:t xml:space="preserve"> </w:t>
      </w:r>
      <w:r w:rsidR="00A268F9" w:rsidRPr="00A268F9">
        <w:rPr>
          <w:rFonts w:ascii="Arial" w:hAnsi="Arial" w:cs="Arial"/>
        </w:rPr>
        <w:t>(Centre for International Economics 2017, pp. 5–7, 22–25; WTO 2025b)</w:t>
      </w:r>
      <w:r w:rsidRPr="006A6ABD">
        <w:t xml:space="preserve">. </w:t>
      </w:r>
    </w:p>
    <w:p w14:paraId="70D1DD34" w14:textId="66071F79" w:rsidR="00FB591B" w:rsidRPr="003826DC" w:rsidRDefault="00FB591B" w:rsidP="001C3703">
      <w:pPr>
        <w:pStyle w:val="ListBullet"/>
        <w:spacing w:line="270" w:lineRule="atLeast"/>
      </w:pPr>
      <w:r w:rsidRPr="00927291">
        <w:t>Australia took unilateral action to directly remove barriers to trade</w:t>
      </w:r>
      <w:r w:rsidR="00927291">
        <w:rPr>
          <w:b/>
        </w:rPr>
        <w:t xml:space="preserve">. </w:t>
      </w:r>
      <w:r>
        <w:t>Australia began unilaterally cutting tariffs in the 1970s, notably with a 25% across</w:t>
      </w:r>
      <w:r w:rsidR="00200862">
        <w:noBreakHyphen/>
      </w:r>
      <w:r>
        <w:t>the</w:t>
      </w:r>
      <w:r w:rsidR="00200862">
        <w:noBreakHyphen/>
      </w:r>
      <w:r>
        <w:t xml:space="preserve">board </w:t>
      </w:r>
      <w:r w:rsidRPr="003826DC">
        <w:t>reduction in 1973</w:t>
      </w:r>
      <w:r w:rsidR="00964E29" w:rsidRPr="003826DC">
        <w:t xml:space="preserve"> </w:t>
      </w:r>
      <w:r w:rsidR="00A268F9" w:rsidRPr="00A268F9">
        <w:rPr>
          <w:rFonts w:ascii="Arial" w:hAnsi="Arial" w:cs="Arial"/>
        </w:rPr>
        <w:t>(Millmow 2023)</w:t>
      </w:r>
      <w:r w:rsidRPr="003826DC">
        <w:t>. Subsequent reforms lowered most tariffs, reaching 10% by 1992 and a general rate of 5% by 1996. However, sectors like motor vehicles and textiles, clothing and footwear were reduced more slowly, not reaching the 5% rate until 2010 for vehicles and 2015 for textiles</w:t>
      </w:r>
      <w:r w:rsidR="004318EC" w:rsidRPr="003826DC">
        <w:t xml:space="preserve"> </w:t>
      </w:r>
      <w:r w:rsidR="00A268F9" w:rsidRPr="00A268F9">
        <w:rPr>
          <w:rFonts w:ascii="Arial" w:hAnsi="Arial" w:cs="Arial"/>
        </w:rPr>
        <w:t>(Centre for International Economics 2017, pp. 22–25)</w:t>
      </w:r>
      <w:r w:rsidRPr="003826DC">
        <w:t>.</w:t>
      </w:r>
    </w:p>
    <w:p w14:paraId="6C9EF1D8" w14:textId="404D8409" w:rsidR="00FB591B" w:rsidRDefault="00FB591B" w:rsidP="001C3703">
      <w:pPr>
        <w:pStyle w:val="ListBullet"/>
        <w:spacing w:line="270" w:lineRule="atLeast"/>
      </w:pPr>
      <w:r w:rsidRPr="003826DC">
        <w:t>Australia negotiated trade agreements with major trading partners</w:t>
      </w:r>
      <w:r w:rsidR="00927291" w:rsidRPr="003826DC">
        <w:t xml:space="preserve">. </w:t>
      </w:r>
      <w:r w:rsidRPr="003826DC">
        <w:t>From the early 2000s</w:t>
      </w:r>
      <w:r>
        <w:t>, Australia increasingly pursued bilateral and regional trade agreements. These agreements now cover most of Australia’s major trading partners</w:t>
      </w:r>
      <w:r w:rsidR="005642CB">
        <w:t xml:space="preserve"> </w:t>
      </w:r>
      <w:r w:rsidR="005A1C38">
        <w:t>(f</w:t>
      </w:r>
      <w:r w:rsidR="00791979">
        <w:t xml:space="preserve">igure </w:t>
      </w:r>
      <w:r w:rsidR="00791979">
        <w:rPr>
          <w:noProof/>
        </w:rPr>
        <w:t>2</w:t>
      </w:r>
      <w:r w:rsidR="00791979">
        <w:t>.</w:t>
      </w:r>
      <w:r w:rsidR="00791979">
        <w:rPr>
          <w:noProof/>
        </w:rPr>
        <w:t>1</w:t>
      </w:r>
      <w:r w:rsidR="005642CB">
        <w:t>)</w:t>
      </w:r>
      <w:r>
        <w:t>.</w:t>
      </w:r>
    </w:p>
    <w:p w14:paraId="33A13637" w14:textId="3F9754DB" w:rsidR="001C3703" w:rsidRDefault="001C3703" w:rsidP="001C3703">
      <w:pPr>
        <w:pStyle w:val="BodyText"/>
      </w:pPr>
      <w:r>
        <w:t>All three of these forums continue to be used today in different capacities as explored in this chapter.</w:t>
      </w:r>
    </w:p>
    <w:p w14:paraId="28B0DF4F" w14:textId="3EFE1D18" w:rsidR="00FB591B" w:rsidRPr="00146382" w:rsidRDefault="005642CB" w:rsidP="005642CB">
      <w:pPr>
        <w:pStyle w:val="Caption"/>
        <w:keepNext/>
      </w:pPr>
      <w:bookmarkStart w:id="32" w:name="_Ref201227839"/>
      <w:r>
        <w:t xml:space="preserve">Figure </w:t>
      </w:r>
      <w:r>
        <w:fldChar w:fldCharType="begin"/>
      </w:r>
      <w:r>
        <w:instrText xml:space="preserve"> STYLEREF 1 \s </w:instrText>
      </w:r>
      <w:r>
        <w:fldChar w:fldCharType="separate"/>
      </w:r>
      <w:r w:rsidR="004A080B">
        <w:rPr>
          <w:noProof/>
        </w:rPr>
        <w:t>2</w:t>
      </w:r>
      <w:r>
        <w:fldChar w:fldCharType="end"/>
      </w:r>
      <w:r>
        <w:t>.</w:t>
      </w:r>
      <w:r>
        <w:fldChar w:fldCharType="begin"/>
      </w:r>
      <w:r>
        <w:instrText xml:space="preserve"> SEQ Figure \* ARABIC \s 1 </w:instrText>
      </w:r>
      <w:r>
        <w:fldChar w:fldCharType="separate"/>
      </w:r>
      <w:r w:rsidR="004A080B">
        <w:rPr>
          <w:noProof/>
        </w:rPr>
        <w:t>1</w:t>
      </w:r>
      <w:r>
        <w:fldChar w:fldCharType="end"/>
      </w:r>
      <w:bookmarkEnd w:id="32"/>
      <w:r w:rsidR="005A1C38">
        <w:t xml:space="preserve"> –</w:t>
      </w:r>
      <w:r w:rsidR="00FB591B">
        <w:t xml:space="preserve"> Australia’s trade agreements by year entered into force</w:t>
      </w:r>
      <w:r w:rsidR="00FB591B" w:rsidRPr="00066CF5">
        <w:rPr>
          <w:vertAlign w:val="superscript"/>
        </w:rPr>
        <w:t>a</w:t>
      </w:r>
      <w:r w:rsidR="00904448">
        <w:rPr>
          <w:vertAlign w:val="superscript"/>
        </w:rPr>
        <w:t>,</w:t>
      </w:r>
      <w:r w:rsidR="00FB591B">
        <w:rPr>
          <w:vertAlign w:val="superscript"/>
        </w:rPr>
        <w:t>b</w:t>
      </w:r>
    </w:p>
    <w:p w14:paraId="11219959" w14:textId="214684B2" w:rsidR="00C47820" w:rsidRDefault="00F20B67" w:rsidP="00C47820">
      <w:pPr>
        <w:pStyle w:val="BodyText"/>
      </w:pPr>
      <w:r w:rsidRPr="00F20B67">
        <w:rPr>
          <w:noProof/>
        </w:rPr>
        <w:drawing>
          <wp:inline distT="0" distB="0" distL="0" distR="0" wp14:anchorId="537A58F4" wp14:editId="6C26FAE7">
            <wp:extent cx="6082665" cy="1908175"/>
            <wp:effectExtent l="0" t="0" r="0" b="0"/>
            <wp:docPr id="886906798" name="Picture 2" descr="A timeline chart from 1973 to 2025 illustrating Australia's history of trade liberalisation. It begins with a major tariff cut in 1973 and shows key multilateral agreements like the Uruguay Round. From the 2000s onwards, it lists major bilateral and regional free trade agreements, including with the USA, China, the UK, and the CPTPP b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06798" name="Picture 2" descr="A timeline chart from 1973 to 2025 illustrating Australia's history of trade liberalisation. It begins with a major tariff cut in 1973 and shows key multilateral agreements like the Uruguay Round. From the 2000s onwards, it lists major bilateral and regional free trade agreements, including with the USA, China, the UK, and the CPTPP blo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2665" cy="1908175"/>
                    </a:xfrm>
                    <a:prstGeom prst="rect">
                      <a:avLst/>
                    </a:prstGeom>
                    <a:noFill/>
                    <a:ln>
                      <a:noFill/>
                    </a:ln>
                  </pic:spPr>
                </pic:pic>
              </a:graphicData>
            </a:graphic>
          </wp:inline>
        </w:drawing>
      </w:r>
    </w:p>
    <w:p w14:paraId="2473ACA6" w14:textId="0BA9EE24" w:rsidR="00FB591B" w:rsidRPr="00C47820" w:rsidRDefault="00FB591B" w:rsidP="00C47820">
      <w:pPr>
        <w:pStyle w:val="Note"/>
      </w:pPr>
      <w:r w:rsidRPr="00C47820">
        <w:rPr>
          <w:b/>
          <w:bCs/>
        </w:rPr>
        <w:t>a.</w:t>
      </w:r>
      <w:r w:rsidRPr="00C47820">
        <w:t xml:space="preserve"> ASEAN = Association of Southeast Asian Nations. CPTPP = Comprehensive and Progressive Agreement for Trans</w:t>
      </w:r>
      <w:r w:rsidR="00200862" w:rsidRPr="00C47820">
        <w:noBreakHyphen/>
      </w:r>
      <w:r w:rsidRPr="00C47820">
        <w:t xml:space="preserve">Pacific Partnership. PACER = Pacific Agreement on Closer Economic Relations. RCEP = Regional Comprehensive Economic Partnership. </w:t>
      </w:r>
      <w:r w:rsidR="00904448" w:rsidRPr="00C47820">
        <w:rPr>
          <w:b/>
          <w:bCs/>
        </w:rPr>
        <w:t>b</w:t>
      </w:r>
      <w:r w:rsidRPr="00C47820">
        <w:rPr>
          <w:b/>
          <w:bCs/>
        </w:rPr>
        <w:t>.</w:t>
      </w:r>
      <w:r w:rsidRPr="00C47820">
        <w:t xml:space="preserve"> UAE agreement is expected to enter into force in mid</w:t>
      </w:r>
      <w:r w:rsidR="00200862" w:rsidRPr="00C47820">
        <w:noBreakHyphen/>
      </w:r>
      <w:r w:rsidRPr="00C47820">
        <w:t>2025.</w:t>
      </w:r>
    </w:p>
    <w:p w14:paraId="3A3AF1E4" w14:textId="1D5C6469" w:rsidR="00FB591B" w:rsidRDefault="00FB591B" w:rsidP="00C47820">
      <w:pPr>
        <w:pStyle w:val="Source"/>
      </w:pPr>
      <w:r w:rsidRPr="00237387">
        <w:t>Source:</w:t>
      </w:r>
      <w:r>
        <w:t xml:space="preserve"> </w:t>
      </w:r>
      <w:r w:rsidRPr="00237387">
        <w:t xml:space="preserve">DFAT </w:t>
      </w:r>
      <w:r w:rsidR="00410539" w:rsidRPr="00410539">
        <w:rPr>
          <w:rFonts w:ascii="Arial" w:hAnsi="Arial" w:cs="Arial"/>
        </w:rPr>
        <w:t>(2025a, 2025c)</w:t>
      </w:r>
      <w:r>
        <w:t>.</w:t>
      </w:r>
    </w:p>
    <w:p w14:paraId="5097AFB2" w14:textId="51755CA3" w:rsidR="00A972CD" w:rsidRPr="00C21A75" w:rsidRDefault="00AC5557" w:rsidP="00853179">
      <w:pPr>
        <w:pStyle w:val="Heading2"/>
      </w:pPr>
      <w:bookmarkStart w:id="33" w:name="_Toc202477850"/>
      <w:r>
        <w:lastRenderedPageBreak/>
        <w:t xml:space="preserve">Australia’s </w:t>
      </w:r>
      <w:r w:rsidR="00A972CD" w:rsidRPr="00C21A75">
        <w:t xml:space="preserve">trade </w:t>
      </w:r>
      <w:r>
        <w:t>agreements</w:t>
      </w:r>
      <w:r w:rsidR="00A972CD">
        <w:t xml:space="preserve">, </w:t>
      </w:r>
      <w:r w:rsidR="00A972CD" w:rsidRPr="00C21A75">
        <w:t xml:space="preserve">disputes and </w:t>
      </w:r>
      <w:r w:rsidR="00886C70">
        <w:t>relationships</w:t>
      </w:r>
      <w:bookmarkEnd w:id="33"/>
    </w:p>
    <w:p w14:paraId="231D99CC" w14:textId="77777777" w:rsidR="00A972CD" w:rsidRPr="00E25444" w:rsidRDefault="00A972CD" w:rsidP="00E25444">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E25444">
        <w:rPr>
          <w:rFonts w:asciiTheme="majorHAnsi" w:eastAsiaTheme="majorEastAsia" w:hAnsiTheme="majorHAnsi" w:cstheme="majorBidi"/>
          <w:color w:val="2D9AC2" w:themeColor="text2" w:themeShade="BF"/>
          <w:sz w:val="26"/>
          <w:szCs w:val="37"/>
        </w:rPr>
        <w:t>Developments in Trade Agreements</w:t>
      </w:r>
    </w:p>
    <w:p w14:paraId="41A1DDE2" w14:textId="7BCEBFDE" w:rsidR="00A972CD" w:rsidRPr="00DD2B31" w:rsidRDefault="00A972CD" w:rsidP="00E25444">
      <w:r w:rsidRPr="00DD2B31">
        <w:t>Australia has continued to negotiate and implement</w:t>
      </w:r>
      <w:r w:rsidRPr="00DD2B31" w:rsidDel="000D45D1">
        <w:t xml:space="preserve"> </w:t>
      </w:r>
      <w:r w:rsidRPr="00DD2B31">
        <w:t>regional and bilateral trade agreements over the past year. While progress on some trade agreements have stalled, recent global uncertainty has revived the possibility of further developments</w:t>
      </w:r>
      <w:r>
        <w:t xml:space="preserve">, even though the ability for parties to act in </w:t>
      </w:r>
      <w:r w:rsidR="00322F28">
        <w:t xml:space="preserve">a </w:t>
      </w:r>
      <w:r>
        <w:t>manner contrary to the aims of a bilateral agreement potentially reduces the benefits of the agreement</w:t>
      </w:r>
      <w:r w:rsidRPr="00DD2B31">
        <w:t>. There has also been expansion in membership for some multilateral trade agreements that Australia is a party to.</w:t>
      </w:r>
    </w:p>
    <w:p w14:paraId="79CA0F79" w14:textId="77777777" w:rsidR="00A972CD" w:rsidRPr="00E25444" w:rsidRDefault="00A972CD" w:rsidP="00E25444">
      <w:pPr>
        <w:keepNext/>
        <w:keepLines/>
        <w:spacing w:before="240" w:line="264" w:lineRule="atLeast"/>
        <w:outlineLvl w:val="3"/>
        <w:rPr>
          <w:rFonts w:asciiTheme="majorHAnsi" w:eastAsiaTheme="majorEastAsia" w:hAnsiTheme="majorHAnsi" w:cstheme="majorBidi"/>
          <w:color w:val="265A9A" w:themeColor="background2"/>
          <w:sz w:val="22"/>
          <w:szCs w:val="33"/>
        </w:rPr>
      </w:pPr>
      <w:r w:rsidRPr="00E25444">
        <w:rPr>
          <w:rFonts w:asciiTheme="majorHAnsi" w:eastAsiaTheme="majorEastAsia" w:hAnsiTheme="majorHAnsi" w:cstheme="majorBidi"/>
          <w:color w:val="265A9A" w:themeColor="background2"/>
          <w:sz w:val="22"/>
          <w:szCs w:val="33"/>
        </w:rPr>
        <w:t>Regional agreements</w:t>
      </w:r>
    </w:p>
    <w:p w14:paraId="57C09622" w14:textId="36A63EF0" w:rsidR="00A972CD" w:rsidRPr="00DD2B31" w:rsidRDefault="00A972CD" w:rsidP="00E25444">
      <w:r w:rsidRPr="00DD2B31">
        <w:t xml:space="preserve">On 19 September 2024, the Australian Government initiated the process for ratifying agreements between the members of the </w:t>
      </w:r>
      <w:r w:rsidRPr="00DD2B31">
        <w:rPr>
          <w:i/>
          <w:iCs/>
        </w:rPr>
        <w:t>Indo</w:t>
      </w:r>
      <w:r w:rsidR="00200862">
        <w:rPr>
          <w:i/>
          <w:iCs/>
        </w:rPr>
        <w:noBreakHyphen/>
      </w:r>
      <w:r w:rsidRPr="00DD2B31">
        <w:rPr>
          <w:i/>
          <w:iCs/>
        </w:rPr>
        <w:t xml:space="preserve">Pacific Economic </w:t>
      </w:r>
      <w:r w:rsidR="00D56927">
        <w:rPr>
          <w:i/>
          <w:iCs/>
        </w:rPr>
        <w:t>Framework</w:t>
      </w:r>
      <w:r w:rsidRPr="00DD2B31">
        <w:t xml:space="preserve">. </w:t>
      </w:r>
      <w:r w:rsidR="00E25444" w:rsidRPr="00E25444">
        <w:t xml:space="preserve">The Australian Government had previously signed these agreements on 6 June 2024 </w:t>
      </w:r>
      <w:r w:rsidR="006750D8" w:rsidRPr="006750D8">
        <w:rPr>
          <w:rFonts w:ascii="Arial" w:hAnsi="Arial" w:cs="Arial"/>
        </w:rPr>
        <w:t>(DFAT 2024b)</w:t>
      </w:r>
      <w:r w:rsidR="00E25444" w:rsidRPr="00E25444">
        <w:t>.</w:t>
      </w:r>
      <w:r w:rsidRPr="00DD2B31">
        <w:t xml:space="preserve"> The ratified agreements were:</w:t>
      </w:r>
    </w:p>
    <w:p w14:paraId="124C75E3" w14:textId="77777777" w:rsidR="00A972CD" w:rsidRPr="00DD2B31" w:rsidRDefault="00A972CD" w:rsidP="00E25444">
      <w:pPr>
        <w:pStyle w:val="ListBullet"/>
      </w:pPr>
      <w:r w:rsidRPr="00DD2B31">
        <w:t>the IPEF Clean Economy Agreement</w:t>
      </w:r>
    </w:p>
    <w:p w14:paraId="1A534FA5" w14:textId="77777777" w:rsidR="00A972CD" w:rsidRPr="00DD2B31" w:rsidRDefault="00A972CD" w:rsidP="00E25444">
      <w:pPr>
        <w:pStyle w:val="ListBullet"/>
      </w:pPr>
      <w:r w:rsidRPr="00DD2B31">
        <w:t>the Fair Economy Agreement and</w:t>
      </w:r>
    </w:p>
    <w:p w14:paraId="0923400A" w14:textId="7FDD2396" w:rsidR="00A972CD" w:rsidRPr="00DD2B31" w:rsidRDefault="00A972CD" w:rsidP="00E25444">
      <w:pPr>
        <w:pStyle w:val="ListBullet"/>
      </w:pPr>
      <w:r w:rsidRPr="00DD2B31">
        <w:t>the Agreement on the Indo</w:t>
      </w:r>
      <w:r w:rsidR="00200862">
        <w:noBreakHyphen/>
      </w:r>
      <w:r w:rsidRPr="00DD2B31">
        <w:t xml:space="preserve">Pacific Economic Framework for Prosperity. </w:t>
      </w:r>
    </w:p>
    <w:p w14:paraId="285C83F8" w14:textId="0B47FFE4" w:rsidR="00E25444" w:rsidRPr="006331E8" w:rsidRDefault="00E25444" w:rsidP="00E25444">
      <w:pPr>
        <w:rPr>
          <w:spacing w:val="-4"/>
        </w:rPr>
      </w:pPr>
      <w:r w:rsidRPr="006331E8">
        <w:rPr>
          <w:spacing w:val="-4"/>
        </w:rPr>
        <w:t xml:space="preserve">Australia ratified the United Kingdom’s accession to the </w:t>
      </w:r>
      <w:r w:rsidRPr="006331E8">
        <w:rPr>
          <w:i/>
          <w:iCs/>
          <w:spacing w:val="-4"/>
        </w:rPr>
        <w:t>Comprehensive and Progressive Trans</w:t>
      </w:r>
      <w:r w:rsidR="00200862" w:rsidRPr="006331E8">
        <w:rPr>
          <w:i/>
          <w:iCs/>
          <w:spacing w:val="-4"/>
        </w:rPr>
        <w:noBreakHyphen/>
      </w:r>
      <w:r w:rsidRPr="006331E8">
        <w:rPr>
          <w:i/>
          <w:iCs/>
          <w:spacing w:val="-4"/>
        </w:rPr>
        <w:t>Pacific Partnership</w:t>
      </w:r>
      <w:r w:rsidRPr="006331E8">
        <w:rPr>
          <w:spacing w:val="-4"/>
        </w:rPr>
        <w:t xml:space="preserve"> (CPTPP), with trade between Australia and the UK covered by the CPTPP from December 2024 </w:t>
      </w:r>
      <w:r w:rsidRPr="006331E8">
        <w:rPr>
          <w:rFonts w:cs="Arial"/>
          <w:spacing w:val="-4"/>
        </w:rPr>
        <w:t>(UK Department of Business and Trade and UK Department of International Trade 2024)</w:t>
      </w:r>
      <w:r w:rsidRPr="006331E8">
        <w:rPr>
          <w:spacing w:val="-4"/>
        </w:rPr>
        <w:t xml:space="preserve">. Further, in November 2024, Costa Rica received an invitation to join the CPTPP. Detailed discussions for Costa Rica’s accession to membership of the CPTPP are expected to begin this year </w:t>
      </w:r>
      <w:r w:rsidRPr="006331E8">
        <w:rPr>
          <w:rFonts w:cs="Arial"/>
          <w:spacing w:val="-4"/>
        </w:rPr>
        <w:t>(UK Department of Business and Trade 2024)</w:t>
      </w:r>
      <w:r w:rsidRPr="006331E8">
        <w:rPr>
          <w:spacing w:val="-4"/>
        </w:rPr>
        <w:t xml:space="preserve">. </w:t>
      </w:r>
    </w:p>
    <w:p w14:paraId="003F8DC0" w14:textId="77777777" w:rsidR="00E25444" w:rsidRPr="00E25444" w:rsidRDefault="00E25444" w:rsidP="00E25444">
      <w:pPr>
        <w:keepNext/>
        <w:keepLines/>
        <w:spacing w:before="240" w:line="264" w:lineRule="atLeast"/>
        <w:outlineLvl w:val="3"/>
        <w:rPr>
          <w:rFonts w:asciiTheme="majorHAnsi" w:eastAsiaTheme="majorEastAsia" w:hAnsiTheme="majorHAnsi" w:cstheme="majorBidi"/>
          <w:iCs/>
          <w:color w:val="265A9A" w:themeColor="background2"/>
          <w:sz w:val="22"/>
          <w:szCs w:val="33"/>
        </w:rPr>
      </w:pPr>
      <w:r w:rsidRPr="00E25444">
        <w:rPr>
          <w:rFonts w:asciiTheme="majorHAnsi" w:eastAsiaTheme="majorEastAsia" w:hAnsiTheme="majorHAnsi" w:cstheme="majorBidi"/>
          <w:iCs/>
          <w:color w:val="265A9A" w:themeColor="background2"/>
          <w:sz w:val="22"/>
          <w:szCs w:val="33"/>
        </w:rPr>
        <w:t>Bilateral agreements</w:t>
      </w:r>
    </w:p>
    <w:p w14:paraId="212DAB42" w14:textId="443CDAE4" w:rsidR="00E25444" w:rsidRPr="00E25444" w:rsidRDefault="00E25444" w:rsidP="00E25444">
      <w:r w:rsidRPr="00E25444">
        <w:t xml:space="preserve">In November 2024, Australia and the United Arab Emirates finalised the Comprehensive Economic Partnership Agreement, which removed tariffs on over 99% of Australia’s exports to the UAE, including on meat, dairy, grains and oilseeds, chickpeas, lentils, nuts, horticulture and honey. The agreement also included provisions for further economic cooperation, digital trade and skilled labour mobility, intellectual property and First Nations trade </w:t>
      </w:r>
      <w:r w:rsidRPr="00E25444">
        <w:rPr>
          <w:rFonts w:ascii="Arial" w:hAnsi="Arial" w:cs="Arial"/>
        </w:rPr>
        <w:t>(Farrell 2024a)</w:t>
      </w:r>
      <w:r w:rsidRPr="00E25444">
        <w:t>.</w:t>
      </w:r>
      <w:r w:rsidR="00A03C25">
        <w:t xml:space="preserve"> The agreement is expected to commence in the second half of 2025 (DFAT 2025a).</w:t>
      </w:r>
    </w:p>
    <w:p w14:paraId="700FD8C5" w14:textId="4667FCEF" w:rsidR="00E25444" w:rsidRPr="00E25444" w:rsidRDefault="00E25444" w:rsidP="00E25444">
      <w:r w:rsidRPr="00E25444">
        <w:t xml:space="preserve">Australia has continued progress towards further trade engagement with India, including through the Australian Government releasing a roadmap for economic engagement with India in February 2025 </w:t>
      </w:r>
      <w:r w:rsidRPr="00E25444">
        <w:rPr>
          <w:rFonts w:ascii="Arial" w:hAnsi="Arial" w:cs="Arial"/>
        </w:rPr>
        <w:t>(Albanese et al. 2025)</w:t>
      </w:r>
      <w:r w:rsidRPr="00E25444">
        <w:t>. In addition, negotiations continue for the Australia</w:t>
      </w:r>
      <w:r w:rsidR="00200862">
        <w:noBreakHyphen/>
      </w:r>
      <w:r w:rsidRPr="00E25444">
        <w:t xml:space="preserve">India Comprehensive Economic Cooperation Agreement, which is aimed at increasing economic cooperation beyond the existing Economic Cooperation and Trade Agreement </w:t>
      </w:r>
      <w:r w:rsidRPr="00E25444">
        <w:rPr>
          <w:rFonts w:ascii="Arial" w:hAnsi="Arial" w:cs="Arial"/>
        </w:rPr>
        <w:t>(Farrell 2024b)</w:t>
      </w:r>
      <w:r w:rsidRPr="00E25444">
        <w:t>.</w:t>
      </w:r>
    </w:p>
    <w:p w14:paraId="2AFBE4F8" w14:textId="7BB2A869" w:rsidR="00E25444" w:rsidRPr="00E25444" w:rsidRDefault="00E25444" w:rsidP="00E25444">
      <w:r w:rsidRPr="00E25444">
        <w:t>Some existing agreements were modified to provide further trade opportunities. Australia ratified an upgraded ASEAN</w:t>
      </w:r>
      <w:r w:rsidR="00200862">
        <w:noBreakHyphen/>
      </w:r>
      <w:r w:rsidRPr="00E25444">
        <w:t>Australia</w:t>
      </w:r>
      <w:r w:rsidR="00200862">
        <w:noBreakHyphen/>
      </w:r>
      <w:r w:rsidRPr="00E25444">
        <w:t xml:space="preserve">New Zealand Free Trade Area agreement in February 2025 </w:t>
      </w:r>
      <w:r w:rsidRPr="00E25444">
        <w:rPr>
          <w:rFonts w:ascii="Arial" w:hAnsi="Arial" w:cs="Arial"/>
        </w:rPr>
        <w:t>(Farrell 2025b)</w:t>
      </w:r>
      <w:r w:rsidRPr="00E25444">
        <w:t xml:space="preserve">. Further market access agreements were entered into between Australia and Vietnam to provide access for additional products </w:t>
      </w:r>
      <w:r w:rsidRPr="00E25444">
        <w:rPr>
          <w:rFonts w:ascii="Arial" w:hAnsi="Arial" w:cs="Arial"/>
        </w:rPr>
        <w:t>(Farrell and Collins 2024)</w:t>
      </w:r>
      <w:r w:rsidRPr="00E25444">
        <w:t xml:space="preserve">. </w:t>
      </w:r>
    </w:p>
    <w:p w14:paraId="1C8BCB0C" w14:textId="3285DAA3" w:rsidR="00E25444" w:rsidRPr="00E25444" w:rsidRDefault="00E25444" w:rsidP="00E25444">
      <w:r w:rsidRPr="00E25444">
        <w:t xml:space="preserve">The Australian Trade Minister has also indicated that further talks are being held with the European Union for a free trade agreement, after negotiations stalled for this agreement in late 2023 </w:t>
      </w:r>
      <w:r w:rsidRPr="00E25444">
        <w:rPr>
          <w:rFonts w:ascii="Arial" w:hAnsi="Arial" w:cs="Arial"/>
        </w:rPr>
        <w:t>(Farrell 2025a)</w:t>
      </w:r>
      <w:r w:rsidRPr="00E25444">
        <w:t>.</w:t>
      </w:r>
    </w:p>
    <w:p w14:paraId="0252817A" w14:textId="7DDF3CE3" w:rsidR="00B84CBB" w:rsidRPr="00E25444" w:rsidRDefault="00B84CBB" w:rsidP="00B84CBB">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E25444">
        <w:rPr>
          <w:rFonts w:asciiTheme="majorHAnsi" w:eastAsiaTheme="majorEastAsia" w:hAnsiTheme="majorHAnsi" w:cstheme="majorBidi"/>
          <w:color w:val="2D9AC2" w:themeColor="text2" w:themeShade="BF"/>
          <w:sz w:val="26"/>
          <w:szCs w:val="37"/>
        </w:rPr>
        <w:lastRenderedPageBreak/>
        <w:t xml:space="preserve">Developments in </w:t>
      </w:r>
      <w:r w:rsidR="008F0AE3">
        <w:rPr>
          <w:rFonts w:asciiTheme="majorHAnsi" w:eastAsiaTheme="majorEastAsia" w:hAnsiTheme="majorHAnsi" w:cstheme="majorBidi"/>
          <w:color w:val="2D9AC2" w:themeColor="text2" w:themeShade="BF"/>
          <w:sz w:val="26"/>
          <w:szCs w:val="37"/>
        </w:rPr>
        <w:t>the</w:t>
      </w:r>
      <w:r w:rsidRPr="00E25444">
        <w:rPr>
          <w:rFonts w:asciiTheme="majorHAnsi" w:eastAsiaTheme="majorEastAsia" w:hAnsiTheme="majorHAnsi" w:cstheme="majorBidi"/>
          <w:color w:val="2D9AC2" w:themeColor="text2" w:themeShade="BF"/>
          <w:sz w:val="26"/>
          <w:szCs w:val="37"/>
        </w:rPr>
        <w:t xml:space="preserve"> </w:t>
      </w:r>
      <w:r w:rsidR="0042332B">
        <w:rPr>
          <w:rFonts w:asciiTheme="majorHAnsi" w:eastAsiaTheme="majorEastAsia" w:hAnsiTheme="majorHAnsi" w:cstheme="majorBidi"/>
          <w:color w:val="2D9AC2" w:themeColor="text2" w:themeShade="BF"/>
          <w:sz w:val="26"/>
          <w:szCs w:val="37"/>
        </w:rPr>
        <w:t>m</w:t>
      </w:r>
      <w:r w:rsidR="001C154A">
        <w:rPr>
          <w:rFonts w:asciiTheme="majorHAnsi" w:eastAsiaTheme="majorEastAsia" w:hAnsiTheme="majorHAnsi" w:cstheme="majorBidi"/>
          <w:color w:val="2D9AC2" w:themeColor="text2" w:themeShade="BF"/>
          <w:sz w:val="26"/>
          <w:szCs w:val="37"/>
        </w:rPr>
        <w:t xml:space="preserve">ultilateral </w:t>
      </w:r>
      <w:r w:rsidR="0042332B">
        <w:rPr>
          <w:rFonts w:asciiTheme="majorHAnsi" w:eastAsiaTheme="majorEastAsia" w:hAnsiTheme="majorHAnsi" w:cstheme="majorBidi"/>
          <w:color w:val="2D9AC2" w:themeColor="text2" w:themeShade="BF"/>
          <w:sz w:val="26"/>
          <w:szCs w:val="37"/>
        </w:rPr>
        <w:t>t</w:t>
      </w:r>
      <w:r w:rsidRPr="00E25444">
        <w:rPr>
          <w:rFonts w:asciiTheme="majorHAnsi" w:eastAsiaTheme="majorEastAsia" w:hAnsiTheme="majorHAnsi" w:cstheme="majorBidi"/>
          <w:color w:val="2D9AC2" w:themeColor="text2" w:themeShade="BF"/>
          <w:sz w:val="26"/>
          <w:szCs w:val="37"/>
        </w:rPr>
        <w:t>rad</w:t>
      </w:r>
      <w:r w:rsidR="008F0AE3">
        <w:rPr>
          <w:rFonts w:asciiTheme="majorHAnsi" w:eastAsiaTheme="majorEastAsia" w:hAnsiTheme="majorHAnsi" w:cstheme="majorBidi"/>
          <w:color w:val="2D9AC2" w:themeColor="text2" w:themeShade="BF"/>
          <w:sz w:val="26"/>
          <w:szCs w:val="37"/>
        </w:rPr>
        <w:t>ing system</w:t>
      </w:r>
      <w:r w:rsidRPr="00E25444">
        <w:rPr>
          <w:rFonts w:asciiTheme="majorHAnsi" w:eastAsiaTheme="majorEastAsia" w:hAnsiTheme="majorHAnsi" w:cstheme="majorBidi"/>
          <w:color w:val="2D9AC2" w:themeColor="text2" w:themeShade="BF"/>
          <w:sz w:val="26"/>
          <w:szCs w:val="37"/>
        </w:rPr>
        <w:t xml:space="preserve"> </w:t>
      </w:r>
      <w:r w:rsidR="00197F74">
        <w:rPr>
          <w:rFonts w:asciiTheme="majorHAnsi" w:eastAsiaTheme="majorEastAsia" w:hAnsiTheme="majorHAnsi" w:cstheme="majorBidi"/>
          <w:color w:val="2D9AC2" w:themeColor="text2" w:themeShade="BF"/>
          <w:sz w:val="26"/>
          <w:szCs w:val="37"/>
        </w:rPr>
        <w:t>affecting Australia</w:t>
      </w:r>
    </w:p>
    <w:p w14:paraId="323DCA30" w14:textId="7D39AF3A" w:rsidR="00B84CBB" w:rsidRPr="00E25444" w:rsidRDefault="00D75402" w:rsidP="00B84CBB">
      <w:r>
        <w:t xml:space="preserve">The main developments in </w:t>
      </w:r>
      <w:r w:rsidR="00197F74">
        <w:t xml:space="preserve">the </w:t>
      </w:r>
      <w:r>
        <w:t>multilateral trad</w:t>
      </w:r>
      <w:r w:rsidR="00197F74">
        <w:t>ing</w:t>
      </w:r>
      <w:r>
        <w:t xml:space="preserve"> </w:t>
      </w:r>
      <w:r w:rsidR="00197F74">
        <w:t>system</w:t>
      </w:r>
      <w:r>
        <w:t xml:space="preserve"> affecting Australia concern trade disputes through the </w:t>
      </w:r>
      <w:r w:rsidR="00C06EF1">
        <w:t>World Trade Organisation (</w:t>
      </w:r>
      <w:r>
        <w:t>WTO</w:t>
      </w:r>
      <w:r w:rsidR="00C06EF1">
        <w:t>)</w:t>
      </w:r>
      <w:r>
        <w:t xml:space="preserve">. Over this year, </w:t>
      </w:r>
      <w:r w:rsidR="00B84CBB" w:rsidRPr="00E25444">
        <w:t>Australia has continued to resolve ongoing trade disputes in the absence of effective formal dispute resolution procedures (</w:t>
      </w:r>
      <w:r w:rsidR="006331E8">
        <w:t>b</w:t>
      </w:r>
      <w:r w:rsidR="00B84CBB" w:rsidRPr="00E25444">
        <w:t xml:space="preserve">ox 3.5). </w:t>
      </w:r>
    </w:p>
    <w:p w14:paraId="07826C00" w14:textId="3DA11A5F" w:rsidR="00B84CBB" w:rsidRPr="00E25444" w:rsidRDefault="00B84CBB" w:rsidP="00B84CBB">
      <w:r w:rsidRPr="00E25444">
        <w:t xml:space="preserve">In December 2024, China lifted trade restrictions on live rock lobsters from Australia </w:t>
      </w:r>
      <w:r w:rsidRPr="0028392B">
        <w:rPr>
          <w:rFonts w:ascii="Arial" w:hAnsi="Arial" w:cs="Arial"/>
        </w:rPr>
        <w:t>(Albanese et al. 2024c)</w:t>
      </w:r>
      <w:r w:rsidRPr="00E25444">
        <w:t xml:space="preserve">. In addition, China lifted its suspension on imports from the remaining Australian meat processing establishments, following the removal of restrictions on five processing establishments discussed in last year’s TAR </w:t>
      </w:r>
      <w:r w:rsidRPr="0028392B">
        <w:rPr>
          <w:rFonts w:ascii="Arial" w:hAnsi="Arial" w:cs="Arial"/>
        </w:rPr>
        <w:t>(Albanese et al. 2024d)</w:t>
      </w:r>
      <w:r w:rsidRPr="00E25444">
        <w:t xml:space="preserve">. </w:t>
      </w:r>
    </w:p>
    <w:p w14:paraId="317602A9" w14:textId="63756406" w:rsidR="00B84CBB" w:rsidRPr="004F0230" w:rsidRDefault="00B84CBB" w:rsidP="00B84CBB">
      <w:pPr>
        <w:rPr>
          <w:spacing w:val="-4"/>
        </w:rPr>
      </w:pPr>
      <w:r w:rsidRPr="004F0230">
        <w:rPr>
          <w:spacing w:val="-4"/>
        </w:rPr>
        <w:t>Australia’s WTO dispute with China (DS603), in which China disputed Australia’s anti</w:t>
      </w:r>
      <w:r w:rsidRPr="004F0230">
        <w:rPr>
          <w:spacing w:val="-4"/>
        </w:rPr>
        <w:noBreakHyphen/>
        <w:t xml:space="preserve">dumping and countervailing measures on certain steel products, was finalised in January 2025, when the Australian Government advised the WTO that it had fully implemented the recommendations of the Dispute Settlement Body </w:t>
      </w:r>
      <w:r w:rsidR="00A268F9" w:rsidRPr="004F0230">
        <w:rPr>
          <w:rFonts w:cs="Arial"/>
          <w:spacing w:val="-4"/>
        </w:rPr>
        <w:t>(WTO 2025c)</w:t>
      </w:r>
      <w:r w:rsidRPr="004F0230">
        <w:rPr>
          <w:spacing w:val="-4"/>
        </w:rPr>
        <w:t xml:space="preserve">. </w:t>
      </w:r>
    </w:p>
    <w:p w14:paraId="1750CBE3" w14:textId="29FEDD87" w:rsidR="00B84CBB" w:rsidRPr="00E25444" w:rsidRDefault="00B84CBB" w:rsidP="00B84CBB">
      <w:r w:rsidRPr="00E25444">
        <w:t xml:space="preserve">Australia’s trade dispute with India (DS580), in which Australia has disputed India’s sugarcane and sugar policies remains stalled until the WTO Appellate Body resumes operation </w:t>
      </w:r>
      <w:r w:rsidRPr="00E25444">
        <w:rPr>
          <w:rFonts w:ascii="Arial" w:hAnsi="Arial" w:cs="Arial"/>
        </w:rPr>
        <w:t>(WTO 2022)</w:t>
      </w:r>
      <w:r w:rsidRPr="00E25444">
        <w:t xml:space="preserve">. As noted in previous TARs, the Dispute Settlement Body had previously found that India’s domestic support and export subsidies were inconsistent with WTO trade rules. </w:t>
      </w:r>
    </w:p>
    <w:p w14:paraId="11AA89AD" w14:textId="6F540D2D" w:rsidR="00B84CBB" w:rsidRPr="00E25444" w:rsidRDefault="00B84CBB" w:rsidP="00B84CBB">
      <w:pPr>
        <w:spacing w:before="0" w:after="0" w:line="240" w:lineRule="auto"/>
        <w:rPr>
          <w:rFonts w:ascii="Arial" w:eastAsia="Arial" w:hAnsi="Arial" w:cs="Arial"/>
          <w:sz w:val="22"/>
          <w:szCs w:val="22"/>
        </w:rPr>
      </w:pPr>
    </w:p>
    <w:tbl>
      <w:tblPr>
        <w:tblStyle w:val="Boxtable"/>
        <w:tblW w:w="5000" w:type="pct"/>
        <w:tblLook w:val="04A0" w:firstRow="1" w:lastRow="0" w:firstColumn="1" w:lastColumn="0" w:noHBand="0" w:noVBand="1"/>
      </w:tblPr>
      <w:tblGrid>
        <w:gridCol w:w="9638"/>
      </w:tblGrid>
      <w:tr w:rsidR="00B84CBB" w:rsidRPr="00E25444" w14:paraId="320E45C3" w14:textId="77777777" w:rsidTr="00616F0E">
        <w:trPr>
          <w:tblHeader/>
        </w:trPr>
        <w:tc>
          <w:tcPr>
            <w:tcW w:w="9638" w:type="dxa"/>
            <w:shd w:val="clear" w:color="auto" w:fill="EBEBEB"/>
            <w:tcMar>
              <w:top w:w="170" w:type="dxa"/>
              <w:left w:w="170" w:type="dxa"/>
              <w:bottom w:w="113" w:type="dxa"/>
              <w:right w:w="170" w:type="dxa"/>
            </w:tcMar>
            <w:hideMark/>
          </w:tcPr>
          <w:p w14:paraId="56706CE4" w14:textId="09D19463" w:rsidR="00B84CBB" w:rsidRPr="00E25444" w:rsidRDefault="00B84CBB">
            <w:pPr>
              <w:keepNext/>
              <w:spacing w:before="240" w:after="0"/>
              <w:rPr>
                <w:rFonts w:ascii="Arial Black" w:eastAsia="Arial" w:hAnsi="Arial Black" w:cs="Arial"/>
                <w:iCs/>
                <w:color w:val="000000"/>
                <w:szCs w:val="18"/>
              </w:rPr>
            </w:pPr>
            <w:r w:rsidRPr="00E25444">
              <w:rPr>
                <w:rFonts w:ascii="Arial Black" w:eastAsia="Arial" w:hAnsi="Arial Black" w:cs="Arial"/>
                <w:iCs/>
                <w:color w:val="000000"/>
                <w:szCs w:val="18"/>
              </w:rPr>
              <w:t xml:space="preserve">Box </w:t>
            </w:r>
            <w:r w:rsidR="001D5DA3">
              <w:rPr>
                <w:rFonts w:ascii="Arial Black" w:eastAsia="Arial" w:hAnsi="Arial Black" w:cs="Arial"/>
                <w:iCs/>
                <w:color w:val="000000"/>
                <w:szCs w:val="18"/>
              </w:rPr>
              <w:fldChar w:fldCharType="begin"/>
            </w:r>
            <w:r w:rsidR="001D5DA3">
              <w:rPr>
                <w:rFonts w:ascii="Arial Black" w:eastAsia="Arial" w:hAnsi="Arial Black" w:cs="Arial"/>
                <w:iCs/>
                <w:color w:val="000000"/>
                <w:szCs w:val="18"/>
              </w:rPr>
              <w:instrText xml:space="preserve"> STYLEREF 1 \s </w:instrText>
            </w:r>
            <w:r w:rsidR="001D5DA3">
              <w:rPr>
                <w:rFonts w:ascii="Arial Black" w:eastAsia="Arial" w:hAnsi="Arial Black" w:cs="Arial"/>
                <w:iCs/>
                <w:color w:val="000000"/>
                <w:szCs w:val="18"/>
              </w:rPr>
              <w:fldChar w:fldCharType="separate"/>
            </w:r>
            <w:r w:rsidR="004A080B">
              <w:rPr>
                <w:rFonts w:ascii="Arial Black" w:eastAsia="Arial" w:hAnsi="Arial Black" w:cs="Arial"/>
                <w:iCs/>
                <w:noProof/>
                <w:color w:val="000000"/>
                <w:szCs w:val="18"/>
              </w:rPr>
              <w:t>2</w:t>
            </w:r>
            <w:r w:rsidR="001D5DA3">
              <w:rPr>
                <w:rFonts w:ascii="Arial Black" w:eastAsia="Arial" w:hAnsi="Arial Black" w:cs="Arial"/>
                <w:iCs/>
                <w:color w:val="000000"/>
                <w:szCs w:val="18"/>
              </w:rPr>
              <w:fldChar w:fldCharType="end"/>
            </w:r>
            <w:r w:rsidR="001D5DA3">
              <w:rPr>
                <w:rFonts w:ascii="Arial Black" w:eastAsia="Arial" w:hAnsi="Arial Black" w:cs="Arial"/>
                <w:iCs/>
                <w:color w:val="000000"/>
                <w:szCs w:val="18"/>
              </w:rPr>
              <w:t>.</w:t>
            </w:r>
            <w:r w:rsidR="001D5DA3">
              <w:rPr>
                <w:rFonts w:ascii="Arial Black" w:eastAsia="Arial" w:hAnsi="Arial Black" w:cs="Arial"/>
                <w:iCs/>
                <w:color w:val="000000"/>
                <w:szCs w:val="18"/>
              </w:rPr>
              <w:fldChar w:fldCharType="begin"/>
            </w:r>
            <w:r w:rsidR="001D5DA3">
              <w:rPr>
                <w:rFonts w:ascii="Arial Black" w:eastAsia="Arial" w:hAnsi="Arial Black" w:cs="Arial"/>
                <w:iCs/>
                <w:color w:val="000000"/>
                <w:szCs w:val="18"/>
              </w:rPr>
              <w:instrText xml:space="preserve"> SEQ Box \* ARABIC \s 1 </w:instrText>
            </w:r>
            <w:r w:rsidR="001D5DA3">
              <w:rPr>
                <w:rFonts w:ascii="Arial Black" w:eastAsia="Arial" w:hAnsi="Arial Black" w:cs="Arial"/>
                <w:iCs/>
                <w:color w:val="000000"/>
                <w:szCs w:val="18"/>
              </w:rPr>
              <w:fldChar w:fldCharType="separate"/>
            </w:r>
            <w:r w:rsidR="004A080B">
              <w:rPr>
                <w:rFonts w:ascii="Arial Black" w:eastAsia="Arial" w:hAnsi="Arial Black" w:cs="Arial"/>
                <w:iCs/>
                <w:noProof/>
                <w:color w:val="000000"/>
                <w:szCs w:val="18"/>
              </w:rPr>
              <w:t>1</w:t>
            </w:r>
            <w:r w:rsidR="001D5DA3">
              <w:rPr>
                <w:rFonts w:ascii="Arial Black" w:eastAsia="Arial" w:hAnsi="Arial Black" w:cs="Arial"/>
                <w:iCs/>
                <w:color w:val="000000"/>
                <w:szCs w:val="18"/>
              </w:rPr>
              <w:fldChar w:fldCharType="end"/>
            </w:r>
            <w:r w:rsidRPr="00E25444">
              <w:rPr>
                <w:rFonts w:ascii="Arial Black" w:eastAsia="Arial" w:hAnsi="Arial Black" w:cs="Arial"/>
                <w:iCs/>
                <w:color w:val="000000"/>
                <w:szCs w:val="18"/>
              </w:rPr>
              <w:t xml:space="preserve"> – The W</w:t>
            </w:r>
            <w:r w:rsidR="003817D5">
              <w:rPr>
                <w:rFonts w:ascii="Arial Black" w:eastAsia="Arial" w:hAnsi="Arial Black" w:cs="Arial"/>
                <w:iCs/>
                <w:color w:val="000000"/>
                <w:szCs w:val="18"/>
              </w:rPr>
              <w:t xml:space="preserve">orld </w:t>
            </w:r>
            <w:r w:rsidRPr="00E25444">
              <w:rPr>
                <w:rFonts w:ascii="Arial Black" w:eastAsia="Arial" w:hAnsi="Arial Black" w:cs="Arial"/>
                <w:iCs/>
                <w:color w:val="000000"/>
                <w:szCs w:val="18"/>
              </w:rPr>
              <w:t>T</w:t>
            </w:r>
            <w:r w:rsidR="003817D5">
              <w:rPr>
                <w:rFonts w:ascii="Arial Black" w:eastAsia="Arial" w:hAnsi="Arial Black" w:cs="Arial"/>
                <w:iCs/>
                <w:color w:val="000000"/>
                <w:szCs w:val="18"/>
              </w:rPr>
              <w:t xml:space="preserve">rade </w:t>
            </w:r>
            <w:r w:rsidRPr="00E25444">
              <w:rPr>
                <w:rFonts w:ascii="Arial Black" w:eastAsia="Arial" w:hAnsi="Arial Black" w:cs="Arial"/>
                <w:iCs/>
                <w:color w:val="000000"/>
                <w:szCs w:val="18"/>
              </w:rPr>
              <w:t>O</w:t>
            </w:r>
            <w:r w:rsidR="003817D5">
              <w:rPr>
                <w:rFonts w:ascii="Arial Black" w:eastAsia="Arial" w:hAnsi="Arial Black" w:cs="Arial"/>
                <w:iCs/>
                <w:color w:val="000000"/>
                <w:szCs w:val="18"/>
              </w:rPr>
              <w:t>rganisation</w:t>
            </w:r>
            <w:r w:rsidRPr="00E25444">
              <w:rPr>
                <w:rFonts w:ascii="Arial Black" w:eastAsia="Arial" w:hAnsi="Arial Black" w:cs="Arial"/>
                <w:iCs/>
                <w:color w:val="000000"/>
                <w:szCs w:val="18"/>
              </w:rPr>
              <w:t xml:space="preserve"> Appellate Body continues to be inoperative</w:t>
            </w:r>
          </w:p>
        </w:tc>
      </w:tr>
      <w:tr w:rsidR="00B84CBB" w:rsidRPr="00E25444" w14:paraId="466F2CF3" w14:textId="77777777" w:rsidTr="00616F0E">
        <w:tc>
          <w:tcPr>
            <w:tcW w:w="9638" w:type="dxa"/>
            <w:shd w:val="clear" w:color="auto" w:fill="EBEBEB"/>
            <w:tcMar>
              <w:top w:w="28" w:type="dxa"/>
              <w:left w:w="170" w:type="dxa"/>
              <w:bottom w:w="170" w:type="dxa"/>
              <w:right w:w="170" w:type="dxa"/>
            </w:tcMar>
            <w:hideMark/>
          </w:tcPr>
          <w:p w14:paraId="689728FF" w14:textId="6776458E" w:rsidR="00B84CBB" w:rsidRPr="00E25444" w:rsidRDefault="00B84CBB" w:rsidP="004F0230">
            <w:pPr>
              <w:spacing w:line="270" w:lineRule="atLeast"/>
              <w:rPr>
                <w:rFonts w:ascii="Arial" w:eastAsia="Arial" w:hAnsi="Arial" w:cs="Arial"/>
              </w:rPr>
            </w:pPr>
            <w:r w:rsidRPr="00E25444">
              <w:rPr>
                <w:rFonts w:ascii="Arial" w:eastAsia="Arial" w:hAnsi="Arial" w:cs="Arial"/>
              </w:rPr>
              <w:t>The W</w:t>
            </w:r>
            <w:r w:rsidR="003817D5">
              <w:rPr>
                <w:rFonts w:ascii="Arial" w:eastAsia="Arial" w:hAnsi="Arial" w:cs="Arial"/>
              </w:rPr>
              <w:t xml:space="preserve">orld </w:t>
            </w:r>
            <w:r w:rsidRPr="00E25444">
              <w:rPr>
                <w:rFonts w:ascii="Arial" w:eastAsia="Arial" w:hAnsi="Arial" w:cs="Arial"/>
              </w:rPr>
              <w:t>T</w:t>
            </w:r>
            <w:r w:rsidR="003817D5">
              <w:rPr>
                <w:rFonts w:ascii="Arial" w:eastAsia="Arial" w:hAnsi="Arial" w:cs="Arial"/>
              </w:rPr>
              <w:t xml:space="preserve">rade </w:t>
            </w:r>
            <w:r w:rsidRPr="00E25444">
              <w:rPr>
                <w:rFonts w:ascii="Arial" w:eastAsia="Arial" w:hAnsi="Arial" w:cs="Arial"/>
              </w:rPr>
              <w:t>O</w:t>
            </w:r>
            <w:r w:rsidR="003817D5">
              <w:rPr>
                <w:rFonts w:ascii="Arial" w:eastAsia="Arial" w:hAnsi="Arial" w:cs="Arial"/>
              </w:rPr>
              <w:t>rganisation</w:t>
            </w:r>
            <w:r w:rsidRPr="00E25444">
              <w:rPr>
                <w:rFonts w:ascii="Arial" w:eastAsia="Arial" w:hAnsi="Arial" w:cs="Arial"/>
              </w:rPr>
              <w:t>’s</w:t>
            </w:r>
            <w:r w:rsidR="003817D5">
              <w:rPr>
                <w:rFonts w:ascii="Arial" w:eastAsia="Arial" w:hAnsi="Arial" w:cs="Arial"/>
              </w:rPr>
              <w:t xml:space="preserve"> (WTO)</w:t>
            </w:r>
            <w:r w:rsidRPr="00E25444">
              <w:rPr>
                <w:rFonts w:ascii="Arial" w:eastAsia="Arial" w:hAnsi="Arial" w:cs="Arial"/>
              </w:rPr>
              <w:t xml:space="preserve"> appellate body is designed to assist members in resolving trade disputes where they have been unable to resolve the matter between the relevant parties, and a party is dissatisfied with a decision of the WTO’s dispute settlement mechanism. </w:t>
            </w:r>
          </w:p>
          <w:p w14:paraId="0A0CB2B4" w14:textId="46C1A657" w:rsidR="00B84CBB" w:rsidRPr="00E25444" w:rsidRDefault="00B84CBB" w:rsidP="004F0230">
            <w:pPr>
              <w:spacing w:line="270" w:lineRule="atLeast"/>
              <w:rPr>
                <w:rFonts w:ascii="Arial" w:eastAsia="Arial" w:hAnsi="Arial" w:cs="Arial"/>
              </w:rPr>
            </w:pPr>
            <w:r w:rsidRPr="00E25444">
              <w:rPr>
                <w:rFonts w:ascii="Arial" w:eastAsia="Arial" w:hAnsi="Arial" w:cs="Arial"/>
              </w:rPr>
              <w:t xml:space="preserve">As reported in previous TARs, the appellate body has been unable to function since 2019, due to disagreements over the appointment of new members leaving it without a quorum to be able to adjudicate over trade disputes </w:t>
            </w:r>
            <w:r w:rsidRPr="00E25444">
              <w:rPr>
                <w:rFonts w:ascii="Arial" w:hAnsi="Arial" w:cs="Arial"/>
              </w:rPr>
              <w:t>(PC 2024c, p. 53)</w:t>
            </w:r>
            <w:r w:rsidRPr="00E25444">
              <w:rPr>
                <w:rFonts w:ascii="Arial" w:eastAsia="Arial" w:hAnsi="Arial" w:cs="Arial"/>
              </w:rPr>
              <w:t>. This leaves trade disputes that are appealed from the dispute settlement body unable to be finalised, like Australia’s current dispute with India (DS580).</w:t>
            </w:r>
          </w:p>
          <w:p w14:paraId="243064BB" w14:textId="5A840D1E" w:rsidR="00B84CBB" w:rsidRPr="006331E8" w:rsidRDefault="00B84CBB" w:rsidP="004F0230">
            <w:pPr>
              <w:spacing w:line="270" w:lineRule="atLeast"/>
              <w:rPr>
                <w:rFonts w:ascii="Arial" w:eastAsia="Arial" w:hAnsi="Arial" w:cs="Arial"/>
                <w:spacing w:val="-4"/>
              </w:rPr>
            </w:pPr>
            <w:r w:rsidRPr="006331E8">
              <w:rPr>
                <w:rFonts w:ascii="Arial" w:eastAsia="Arial" w:hAnsi="Arial" w:cs="Arial"/>
                <w:spacing w:val="-4"/>
              </w:rPr>
              <w:t xml:space="preserve">Over the past year, the WTO General Council has continued discussions on reforms to the dispute settlement mechanism, including the role of the appellate body </w:t>
            </w:r>
            <w:r w:rsidRPr="006331E8">
              <w:rPr>
                <w:rFonts w:ascii="Arial" w:hAnsi="Arial" w:cs="Arial"/>
                <w:spacing w:val="-4"/>
              </w:rPr>
              <w:t>(WTO 2024)</w:t>
            </w:r>
            <w:r w:rsidRPr="006331E8">
              <w:rPr>
                <w:rFonts w:ascii="Arial" w:eastAsia="Arial" w:hAnsi="Arial" w:cs="Arial"/>
                <w:spacing w:val="-4"/>
              </w:rPr>
              <w:t xml:space="preserve">. However, to date, these discussions have not resulted </w:t>
            </w:r>
            <w:r w:rsidR="00E952C5" w:rsidRPr="006331E8">
              <w:rPr>
                <w:rFonts w:ascii="Arial" w:eastAsia="Arial" w:hAnsi="Arial" w:cs="Arial"/>
                <w:spacing w:val="-4"/>
              </w:rPr>
              <w:t>in</w:t>
            </w:r>
            <w:r w:rsidRPr="006331E8">
              <w:rPr>
                <w:rFonts w:ascii="Arial" w:eastAsia="Arial" w:hAnsi="Arial" w:cs="Arial"/>
                <w:spacing w:val="-4"/>
              </w:rPr>
              <w:t xml:space="preserve"> any substantial outcomes </w:t>
            </w:r>
            <w:r w:rsidRPr="006331E8">
              <w:rPr>
                <w:rFonts w:ascii="Arial" w:hAnsi="Arial" w:cs="Arial"/>
                <w:spacing w:val="-4"/>
              </w:rPr>
              <w:t>(Suarez 2024)</w:t>
            </w:r>
            <w:r w:rsidRPr="006331E8">
              <w:rPr>
                <w:rFonts w:ascii="Arial" w:eastAsia="Arial" w:hAnsi="Arial" w:cs="Arial"/>
                <w:spacing w:val="-4"/>
              </w:rPr>
              <w:t xml:space="preserve">. Some parties, particularly the US, hold concerns about the powers and functions of the appellate body </w:t>
            </w:r>
            <w:r w:rsidRPr="006331E8">
              <w:rPr>
                <w:rFonts w:ascii="Arial" w:hAnsi="Arial" w:cs="Arial"/>
                <w:spacing w:val="-4"/>
              </w:rPr>
              <w:t>(Grieger 2024)</w:t>
            </w:r>
            <w:r w:rsidRPr="006331E8">
              <w:rPr>
                <w:rFonts w:ascii="Arial" w:eastAsia="Arial" w:hAnsi="Arial" w:cs="Arial"/>
                <w:spacing w:val="-4"/>
              </w:rPr>
              <w:t xml:space="preserve">. The US has recently blocked a proposal by 130 members of the WTO to start the selection process for new members to the appellate body, noting that its concerns about the appellate body have not been addressed </w:t>
            </w:r>
            <w:r w:rsidR="00A268F9" w:rsidRPr="006331E8">
              <w:rPr>
                <w:rFonts w:ascii="Arial" w:hAnsi="Arial" w:cs="Arial"/>
                <w:spacing w:val="-4"/>
              </w:rPr>
              <w:t>(WTO 2025d)</w:t>
            </w:r>
            <w:r w:rsidRPr="006331E8">
              <w:rPr>
                <w:rFonts w:ascii="Arial" w:eastAsia="Arial" w:hAnsi="Arial" w:cs="Arial"/>
                <w:spacing w:val="-4"/>
              </w:rPr>
              <w:t>.</w:t>
            </w:r>
          </w:p>
          <w:p w14:paraId="6F951C64" w14:textId="15B0DA1D" w:rsidR="00B84CBB" w:rsidRPr="00E25444" w:rsidRDefault="00B84CBB" w:rsidP="004F0230">
            <w:pPr>
              <w:spacing w:line="270" w:lineRule="atLeast"/>
              <w:rPr>
                <w:rFonts w:ascii="Arial" w:eastAsia="Arial" w:hAnsi="Arial" w:cs="Arial"/>
              </w:rPr>
            </w:pPr>
            <w:r w:rsidRPr="00E25444">
              <w:rPr>
                <w:rFonts w:ascii="Arial" w:eastAsia="Arial" w:hAnsi="Arial" w:cs="Arial"/>
              </w:rPr>
              <w:t xml:space="preserve">The recent increase in </w:t>
            </w:r>
            <w:r w:rsidR="003817D5">
              <w:rPr>
                <w:rFonts w:ascii="Arial" w:eastAsia="Arial" w:hAnsi="Arial" w:cs="Arial"/>
              </w:rPr>
              <w:t>trade policy uncertainty</w:t>
            </w:r>
            <w:r w:rsidRPr="00E25444">
              <w:rPr>
                <w:rFonts w:ascii="Arial" w:eastAsia="Arial" w:hAnsi="Arial" w:cs="Arial"/>
              </w:rPr>
              <w:t xml:space="preserve"> has revived interest in strengthening international trade dispute resolution for some countries, particularly as parties seek to resolve disputes concerning newly imposed tariffs and retaliatory measures. For example, some commentators advocate more nations joining a ‘coalition of the willing’ in the Multi</w:t>
            </w:r>
            <w:r w:rsidR="00200862">
              <w:rPr>
                <w:rFonts w:ascii="Arial" w:eastAsia="Arial" w:hAnsi="Arial" w:cs="Arial"/>
              </w:rPr>
              <w:noBreakHyphen/>
            </w:r>
            <w:r w:rsidRPr="00E25444">
              <w:rPr>
                <w:rFonts w:ascii="Arial" w:eastAsia="Arial" w:hAnsi="Arial" w:cs="Arial"/>
              </w:rPr>
              <w:t>Party Interim Arbitration Arrangement to support rules</w:t>
            </w:r>
            <w:r w:rsidR="00200862">
              <w:rPr>
                <w:rFonts w:ascii="Arial" w:eastAsia="Arial" w:hAnsi="Arial" w:cs="Arial"/>
              </w:rPr>
              <w:noBreakHyphen/>
            </w:r>
            <w:r w:rsidRPr="00E25444">
              <w:rPr>
                <w:rFonts w:ascii="Arial" w:eastAsia="Arial" w:hAnsi="Arial" w:cs="Arial"/>
              </w:rPr>
              <w:t xml:space="preserve">based trade </w:t>
            </w:r>
            <w:r w:rsidRPr="00E25444">
              <w:rPr>
                <w:rFonts w:ascii="Arial" w:hAnsi="Arial" w:cs="Arial"/>
              </w:rPr>
              <w:t>(Smith et al. 2025)</w:t>
            </w:r>
            <w:r w:rsidRPr="00E25444">
              <w:rPr>
                <w:rFonts w:ascii="Arial" w:eastAsia="Arial" w:hAnsi="Arial" w:cs="Arial"/>
              </w:rPr>
              <w:t>. The European Union has also placed greater focus on using the dispute settlement provisions of applicable</w:t>
            </w:r>
            <w:r w:rsidR="00BB7577">
              <w:rPr>
                <w:rFonts w:ascii="Arial" w:eastAsia="Arial" w:hAnsi="Arial" w:cs="Arial"/>
              </w:rPr>
              <w:t xml:space="preserve"> regional and</w:t>
            </w:r>
            <w:r w:rsidRPr="00E25444">
              <w:rPr>
                <w:rFonts w:ascii="Arial" w:eastAsia="Arial" w:hAnsi="Arial" w:cs="Arial"/>
              </w:rPr>
              <w:t xml:space="preserve"> bilateral agreements, as these provisions are often based on WTO dispute settlement rules </w:t>
            </w:r>
            <w:r w:rsidRPr="00E25444">
              <w:rPr>
                <w:rFonts w:ascii="Arial" w:hAnsi="Arial" w:cs="Arial"/>
              </w:rPr>
              <w:t>(Grieger 2024)</w:t>
            </w:r>
            <w:r w:rsidRPr="00E25444">
              <w:rPr>
                <w:rFonts w:ascii="Arial" w:eastAsia="Arial" w:hAnsi="Arial" w:cs="Arial"/>
              </w:rPr>
              <w:t>.</w:t>
            </w:r>
          </w:p>
        </w:tc>
      </w:tr>
      <w:tr w:rsidR="00B84CBB" w:rsidRPr="00E25444" w14:paraId="03BFEEF3" w14:textId="77777777" w:rsidTr="00616F0E">
        <w:trPr>
          <w:hidden/>
        </w:trPr>
        <w:tc>
          <w:tcPr>
            <w:tcW w:w="9638" w:type="dxa"/>
            <w:shd w:val="clear" w:color="auto" w:fill="auto"/>
            <w:tcMar>
              <w:top w:w="0" w:type="dxa"/>
              <w:left w:w="170" w:type="dxa"/>
              <w:bottom w:w="0" w:type="dxa"/>
              <w:right w:w="170" w:type="dxa"/>
            </w:tcMar>
          </w:tcPr>
          <w:p w14:paraId="321C5399" w14:textId="0377F41B" w:rsidR="00B84CBB" w:rsidRPr="00E25444" w:rsidRDefault="00B84CBB">
            <w:pPr>
              <w:spacing w:before="0" w:after="0" w:line="80" w:lineRule="atLeast"/>
              <w:rPr>
                <w:rFonts w:ascii="Arial" w:eastAsia="Arial" w:hAnsi="Arial" w:cs="Arial"/>
                <w:smallCaps/>
                <w:vanish/>
              </w:rPr>
            </w:pPr>
          </w:p>
        </w:tc>
      </w:tr>
    </w:tbl>
    <w:p w14:paraId="3D6A195D" w14:textId="77777777" w:rsidR="00773E88" w:rsidRPr="00E25444" w:rsidRDefault="00773E88" w:rsidP="00773E88">
      <w:pPr>
        <w:keepNext/>
        <w:keepLines/>
        <w:spacing w:before="240" w:line="300" w:lineRule="atLeast"/>
        <w:outlineLvl w:val="2"/>
        <w:rPr>
          <w:rFonts w:asciiTheme="majorHAnsi" w:eastAsiaTheme="majorEastAsia" w:hAnsiTheme="majorHAnsi" w:cstheme="majorBidi"/>
          <w:color w:val="2D9AC2" w:themeColor="text2" w:themeShade="BF"/>
          <w:sz w:val="26"/>
          <w:szCs w:val="37"/>
        </w:rPr>
      </w:pPr>
      <w:r w:rsidRPr="00E25444">
        <w:rPr>
          <w:rFonts w:asciiTheme="majorHAnsi" w:eastAsiaTheme="majorEastAsia" w:hAnsiTheme="majorHAnsi" w:cstheme="majorBidi"/>
          <w:color w:val="2D9AC2" w:themeColor="text2" w:themeShade="BF"/>
          <w:sz w:val="26"/>
          <w:szCs w:val="37"/>
        </w:rPr>
        <w:lastRenderedPageBreak/>
        <w:t>Australia’s unilateral actions in response to tariffs and trade policy uncertainty</w:t>
      </w:r>
    </w:p>
    <w:p w14:paraId="2A5BCF57" w14:textId="7CFF3824" w:rsidR="00773E88" w:rsidRPr="00E25444" w:rsidRDefault="00773E88" w:rsidP="00CC71CA">
      <w:pPr>
        <w:pStyle w:val="BodyText"/>
      </w:pPr>
      <w:r w:rsidRPr="00E25444">
        <w:t>The Australian Government has announced measures to address the current global trading environment and economic uncertainty. During the 2025 Federal election campaign, the Labor Party responded to the US Liberation Day tariff announcements with a ‘five point plan’ (</w:t>
      </w:r>
      <w:r w:rsidR="006331E8">
        <w:t>b</w:t>
      </w:r>
      <w:r w:rsidR="004306BD">
        <w:t>ox</w:t>
      </w:r>
      <w:r w:rsidRPr="00E25444">
        <w:t xml:space="preserve"> </w:t>
      </w:r>
      <w:r>
        <w:t>2</w:t>
      </w:r>
      <w:r w:rsidRPr="00E25444">
        <w:t>.</w:t>
      </w:r>
      <w:r w:rsidR="004306BD">
        <w:t>2</w:t>
      </w:r>
      <w:r w:rsidRPr="00E25444">
        <w:t xml:space="preserve">). Aspects of the government’s response </w:t>
      </w:r>
      <w:r>
        <w:t>are</w:t>
      </w:r>
      <w:r w:rsidRPr="00E25444">
        <w:t xml:space="preserve"> discussed </w:t>
      </w:r>
      <w:r>
        <w:t xml:space="preserve">further </w:t>
      </w:r>
      <w:r w:rsidRPr="00E25444">
        <w:t xml:space="preserve">in </w:t>
      </w:r>
      <w:r w:rsidR="0068352E">
        <w:t>c</w:t>
      </w:r>
      <w:r w:rsidRPr="00E25444">
        <w:t xml:space="preserve">hapter </w:t>
      </w:r>
      <w:r>
        <w:t>3</w:t>
      </w:r>
      <w:r w:rsidRPr="00E25444">
        <w:t xml:space="preserve">, as they provide direct forms of industry assistance. </w:t>
      </w:r>
    </w:p>
    <w:p w14:paraId="1F2E0C2F" w14:textId="6007707A" w:rsidR="00A972CD" w:rsidRPr="00DD2B31" w:rsidRDefault="00A972CD" w:rsidP="00773E88">
      <w:pPr>
        <w:spacing w:before="0" w:after="0" w:line="240" w:lineRule="auto"/>
        <w:rPr>
          <w:rFonts w:ascii="Arial" w:eastAsia="Arial" w:hAnsi="Arial" w:cs="Arial"/>
          <w:sz w:val="22"/>
          <w:szCs w:val="22"/>
        </w:rPr>
      </w:pPr>
    </w:p>
    <w:tbl>
      <w:tblPr>
        <w:tblStyle w:val="Boxtable"/>
        <w:tblW w:w="5000" w:type="pct"/>
        <w:tblLook w:val="04A0" w:firstRow="1" w:lastRow="0" w:firstColumn="1" w:lastColumn="0" w:noHBand="0" w:noVBand="1"/>
      </w:tblPr>
      <w:tblGrid>
        <w:gridCol w:w="9638"/>
      </w:tblGrid>
      <w:tr w:rsidR="00773E88" w:rsidRPr="00E25444" w14:paraId="4CF5AB5C" w14:textId="77777777" w:rsidTr="00616F0E">
        <w:trPr>
          <w:tblHeader/>
        </w:trPr>
        <w:tc>
          <w:tcPr>
            <w:tcW w:w="9638" w:type="dxa"/>
            <w:shd w:val="clear" w:color="auto" w:fill="EBEBEB"/>
            <w:tcMar>
              <w:top w:w="170" w:type="dxa"/>
              <w:left w:w="170" w:type="dxa"/>
              <w:bottom w:w="113" w:type="dxa"/>
              <w:right w:w="170" w:type="dxa"/>
            </w:tcMar>
            <w:hideMark/>
          </w:tcPr>
          <w:p w14:paraId="449616CE" w14:textId="096F652E" w:rsidR="00773E88" w:rsidRPr="00E25444" w:rsidRDefault="00773E88">
            <w:pPr>
              <w:keepNext/>
              <w:spacing w:before="240" w:after="0"/>
              <w:rPr>
                <w:rFonts w:ascii="Arial Black" w:eastAsia="Arial" w:hAnsi="Arial Black" w:cs="Arial"/>
                <w:iCs/>
                <w:color w:val="000000"/>
                <w:szCs w:val="18"/>
              </w:rPr>
            </w:pPr>
            <w:bookmarkStart w:id="34" w:name="_Ref201135321"/>
            <w:r w:rsidRPr="00E25444">
              <w:rPr>
                <w:rFonts w:ascii="Arial Black" w:eastAsia="Arial" w:hAnsi="Arial Black" w:cs="Arial"/>
                <w:iCs/>
                <w:color w:val="000000"/>
                <w:szCs w:val="18"/>
              </w:rPr>
              <w:t xml:space="preserve">Box </w:t>
            </w:r>
            <w:r w:rsidR="001D5DA3">
              <w:rPr>
                <w:rFonts w:ascii="Arial Black" w:eastAsia="Arial" w:hAnsi="Arial Black" w:cs="Arial"/>
                <w:iCs/>
                <w:color w:val="000000"/>
                <w:szCs w:val="18"/>
              </w:rPr>
              <w:fldChar w:fldCharType="begin"/>
            </w:r>
            <w:r w:rsidR="001D5DA3">
              <w:rPr>
                <w:rFonts w:ascii="Arial Black" w:eastAsia="Arial" w:hAnsi="Arial Black" w:cs="Arial"/>
                <w:iCs/>
                <w:color w:val="000000"/>
                <w:szCs w:val="18"/>
              </w:rPr>
              <w:instrText xml:space="preserve"> STYLEREF 1 \s </w:instrText>
            </w:r>
            <w:r w:rsidR="001D5DA3">
              <w:rPr>
                <w:rFonts w:ascii="Arial Black" w:eastAsia="Arial" w:hAnsi="Arial Black" w:cs="Arial"/>
                <w:iCs/>
                <w:color w:val="000000"/>
                <w:szCs w:val="18"/>
              </w:rPr>
              <w:fldChar w:fldCharType="separate"/>
            </w:r>
            <w:r w:rsidR="004A080B">
              <w:rPr>
                <w:rFonts w:ascii="Arial Black" w:eastAsia="Arial" w:hAnsi="Arial Black" w:cs="Arial"/>
                <w:iCs/>
                <w:noProof/>
                <w:color w:val="000000"/>
                <w:szCs w:val="18"/>
              </w:rPr>
              <w:t>2</w:t>
            </w:r>
            <w:r w:rsidR="001D5DA3">
              <w:rPr>
                <w:rFonts w:ascii="Arial Black" w:eastAsia="Arial" w:hAnsi="Arial Black" w:cs="Arial"/>
                <w:iCs/>
                <w:color w:val="000000"/>
                <w:szCs w:val="18"/>
              </w:rPr>
              <w:fldChar w:fldCharType="end"/>
            </w:r>
            <w:r w:rsidR="001D5DA3">
              <w:rPr>
                <w:rFonts w:ascii="Arial Black" w:eastAsia="Arial" w:hAnsi="Arial Black" w:cs="Arial"/>
                <w:iCs/>
                <w:color w:val="000000"/>
                <w:szCs w:val="18"/>
              </w:rPr>
              <w:t>.</w:t>
            </w:r>
            <w:r w:rsidR="001D5DA3">
              <w:rPr>
                <w:rFonts w:ascii="Arial Black" w:eastAsia="Arial" w:hAnsi="Arial Black" w:cs="Arial"/>
                <w:iCs/>
                <w:color w:val="000000"/>
                <w:szCs w:val="18"/>
              </w:rPr>
              <w:fldChar w:fldCharType="begin"/>
            </w:r>
            <w:r w:rsidR="001D5DA3">
              <w:rPr>
                <w:rFonts w:ascii="Arial Black" w:eastAsia="Arial" w:hAnsi="Arial Black" w:cs="Arial"/>
                <w:iCs/>
                <w:color w:val="000000"/>
                <w:szCs w:val="18"/>
              </w:rPr>
              <w:instrText xml:space="preserve"> SEQ Box \* ARABIC \s 1 </w:instrText>
            </w:r>
            <w:r w:rsidR="001D5DA3">
              <w:rPr>
                <w:rFonts w:ascii="Arial Black" w:eastAsia="Arial" w:hAnsi="Arial Black" w:cs="Arial"/>
                <w:iCs/>
                <w:color w:val="000000"/>
                <w:szCs w:val="18"/>
              </w:rPr>
              <w:fldChar w:fldCharType="separate"/>
            </w:r>
            <w:r w:rsidR="004A080B">
              <w:rPr>
                <w:rFonts w:ascii="Arial Black" w:eastAsia="Arial" w:hAnsi="Arial Black" w:cs="Arial"/>
                <w:iCs/>
                <w:noProof/>
                <w:color w:val="000000"/>
                <w:szCs w:val="18"/>
              </w:rPr>
              <w:t>2</w:t>
            </w:r>
            <w:r w:rsidR="001D5DA3">
              <w:rPr>
                <w:rFonts w:ascii="Arial Black" w:eastAsia="Arial" w:hAnsi="Arial Black" w:cs="Arial"/>
                <w:iCs/>
                <w:color w:val="000000"/>
                <w:szCs w:val="18"/>
              </w:rPr>
              <w:fldChar w:fldCharType="end"/>
            </w:r>
            <w:bookmarkEnd w:id="34"/>
            <w:r w:rsidRPr="00E25444">
              <w:rPr>
                <w:rFonts w:ascii="Arial Black" w:eastAsia="Arial" w:hAnsi="Arial Black" w:cs="Arial"/>
                <w:iCs/>
                <w:color w:val="000000"/>
                <w:szCs w:val="18"/>
              </w:rPr>
              <w:t xml:space="preserve"> – Australian Government’s response to ‘Liberation Day’ tariff announcements</w:t>
            </w:r>
          </w:p>
        </w:tc>
      </w:tr>
      <w:tr w:rsidR="00773E88" w:rsidRPr="00E25444" w14:paraId="3D13D392" w14:textId="77777777" w:rsidTr="00616F0E">
        <w:tc>
          <w:tcPr>
            <w:tcW w:w="9638" w:type="dxa"/>
            <w:shd w:val="clear" w:color="auto" w:fill="EBEBEB"/>
            <w:tcMar>
              <w:top w:w="28" w:type="dxa"/>
              <w:left w:w="170" w:type="dxa"/>
              <w:bottom w:w="170" w:type="dxa"/>
              <w:right w:w="170" w:type="dxa"/>
            </w:tcMar>
            <w:hideMark/>
          </w:tcPr>
          <w:p w14:paraId="07BBD00D" w14:textId="77777777" w:rsidR="00773E88" w:rsidRPr="00E25444" w:rsidRDefault="00773E88" w:rsidP="00CC71CA">
            <w:pPr>
              <w:pStyle w:val="BodyText"/>
            </w:pPr>
            <w:r w:rsidRPr="00E25444">
              <w:t>On 3 April 2025, during the 2025 Federal election campaign, the Prime Minister, the Hon Anthony Albanese MP, announced a five point plan for responding to the tariffs announced by the United States earlier that day. The Prime Minister announced:</w:t>
            </w:r>
          </w:p>
          <w:p w14:paraId="4B293E37" w14:textId="0EC0547F" w:rsidR="00773E88" w:rsidRPr="00E25444" w:rsidRDefault="00773E88" w:rsidP="00CC71CA">
            <w:pPr>
              <w:pStyle w:val="ListNumber"/>
            </w:pPr>
            <w:r w:rsidRPr="00E25444">
              <w:t>A strengthening of Australia’s anti</w:t>
            </w:r>
            <w:r w:rsidR="00200862">
              <w:noBreakHyphen/>
            </w:r>
            <w:r w:rsidRPr="00E25444">
              <w:t>dumping regime to safeguard against unfair competition in specific sectors, such as steel, aluminium and manufacturing</w:t>
            </w:r>
            <w:r w:rsidR="00482166">
              <w:t>.</w:t>
            </w:r>
          </w:p>
          <w:p w14:paraId="0844A65D" w14:textId="0067FBB1" w:rsidR="00773E88" w:rsidRPr="00E25444" w:rsidRDefault="00773E88" w:rsidP="00CC71CA">
            <w:pPr>
              <w:pStyle w:val="ListNumber"/>
            </w:pPr>
            <w:r w:rsidRPr="00E25444">
              <w:t>$50 million for affected sectors (and particularly for their peak bodies) to grow new global markets for products</w:t>
            </w:r>
            <w:r w:rsidR="00482166">
              <w:t>.</w:t>
            </w:r>
          </w:p>
          <w:p w14:paraId="4CAF0438" w14:textId="18D7DB87" w:rsidR="00773E88" w:rsidRPr="00E25444" w:rsidRDefault="00773E88" w:rsidP="00CC71CA">
            <w:pPr>
              <w:pStyle w:val="ListNumber"/>
            </w:pPr>
            <w:r w:rsidRPr="00E25444">
              <w:t>A new Economic Resilience Program to deliver $1 billion in zero interest loans through the National Reconstruction Fund, to assist firms to take up new export opportunities</w:t>
            </w:r>
            <w:r w:rsidR="00482166">
              <w:t>.</w:t>
            </w:r>
          </w:p>
          <w:p w14:paraId="7141A84A" w14:textId="4AB40E75" w:rsidR="00773E88" w:rsidRPr="00E25444" w:rsidRDefault="00773E88" w:rsidP="00CC71CA">
            <w:pPr>
              <w:pStyle w:val="ListNumber"/>
            </w:pPr>
            <w:r w:rsidRPr="00E25444">
              <w:t>Expanding the Australian Government’s ‘Buy Australian’ campaign, through changes to government procurement processes to favour Australian businesses</w:t>
            </w:r>
            <w:r w:rsidR="00482166">
              <w:t>.</w:t>
            </w:r>
          </w:p>
          <w:p w14:paraId="7EE217D0" w14:textId="77777777" w:rsidR="00773E88" w:rsidRPr="00E25444" w:rsidRDefault="00773E88" w:rsidP="00CC71CA">
            <w:pPr>
              <w:pStyle w:val="ListNumber"/>
            </w:pPr>
            <w:r w:rsidRPr="00E25444">
              <w:t>Establishing a critical minerals reserve.</w:t>
            </w:r>
          </w:p>
          <w:p w14:paraId="42B88D5C" w14:textId="19DD287E" w:rsidR="00773E88" w:rsidRPr="00E25444" w:rsidRDefault="00773E88">
            <w:pPr>
              <w:spacing w:before="80" w:after="240" w:line="216" w:lineRule="atLeast"/>
              <w:rPr>
                <w:rFonts w:ascii="Arial" w:eastAsia="Arial" w:hAnsi="Arial" w:cs="Arial"/>
                <w:sz w:val="18"/>
              </w:rPr>
            </w:pPr>
            <w:r w:rsidRPr="00E25444">
              <w:rPr>
                <w:rFonts w:ascii="Arial" w:eastAsia="Arial" w:hAnsi="Arial" w:cs="Arial"/>
                <w:sz w:val="18"/>
              </w:rPr>
              <w:t xml:space="preserve">Source: Albanese </w:t>
            </w:r>
            <w:r w:rsidRPr="0028392B">
              <w:rPr>
                <w:rFonts w:ascii="Arial" w:hAnsi="Arial" w:cs="Arial"/>
                <w:sz w:val="18"/>
              </w:rPr>
              <w:t>(2025b)</w:t>
            </w:r>
          </w:p>
        </w:tc>
      </w:tr>
      <w:tr w:rsidR="00773E88" w:rsidRPr="00E25444" w14:paraId="211EF92A" w14:textId="77777777" w:rsidTr="00616F0E">
        <w:trPr>
          <w:hidden/>
        </w:trPr>
        <w:tc>
          <w:tcPr>
            <w:tcW w:w="9638" w:type="dxa"/>
            <w:shd w:val="clear" w:color="auto" w:fill="auto"/>
            <w:tcMar>
              <w:top w:w="0" w:type="dxa"/>
              <w:left w:w="170" w:type="dxa"/>
              <w:bottom w:w="0" w:type="dxa"/>
              <w:right w:w="170" w:type="dxa"/>
            </w:tcMar>
          </w:tcPr>
          <w:p w14:paraId="3CA85704" w14:textId="1D585933" w:rsidR="00773E88" w:rsidRPr="00E25444" w:rsidRDefault="00773E88">
            <w:pPr>
              <w:spacing w:before="0" w:after="0" w:line="80" w:lineRule="atLeast"/>
              <w:rPr>
                <w:rFonts w:ascii="Arial" w:eastAsia="Arial" w:hAnsi="Arial" w:cs="Arial"/>
                <w:smallCaps/>
                <w:vanish/>
              </w:rPr>
            </w:pPr>
          </w:p>
        </w:tc>
      </w:tr>
    </w:tbl>
    <w:p w14:paraId="3C498963" w14:textId="4FF6C324" w:rsidR="00773E88" w:rsidRPr="00E25444" w:rsidRDefault="00773E88" w:rsidP="00C83B99">
      <w:pPr>
        <w:spacing w:before="240"/>
      </w:pPr>
      <w:r w:rsidRPr="00E25444">
        <w:t xml:space="preserve">Measures targeting dumping are designed to protect domestic producers from unfair and unsustainable competition through dumping. Dumping occurs when a product is imported at less than its ‘normal value’, which occurs where the export price is less than the ordinary price of the product when supplied for consumption in the exporting country </w:t>
      </w:r>
      <w:r w:rsidRPr="00E25444">
        <w:rPr>
          <w:rFonts w:ascii="Arial" w:hAnsi="Arial" w:cs="Arial"/>
        </w:rPr>
        <w:t>(WTO 1994)</w:t>
      </w:r>
      <w:r w:rsidRPr="00E25444">
        <w:t>.The PC has previously recommended changes to the anti</w:t>
      </w:r>
      <w:r w:rsidR="00200862">
        <w:noBreakHyphen/>
      </w:r>
      <w:r w:rsidRPr="00E25444">
        <w:t xml:space="preserve">dumping system to </w:t>
      </w:r>
      <w:r w:rsidRPr="00E25444">
        <w:rPr>
          <w:i/>
          <w:iCs/>
        </w:rPr>
        <w:t>reduce</w:t>
      </w:r>
      <w:r w:rsidRPr="00E25444">
        <w:t xml:space="preserve"> the </w:t>
      </w:r>
      <w:r w:rsidR="00AD4E21">
        <w:t>protectionist impact</w:t>
      </w:r>
      <w:r w:rsidR="00AD4E21" w:rsidRPr="00E25444">
        <w:t xml:space="preserve"> </w:t>
      </w:r>
      <w:r w:rsidRPr="00E25444">
        <w:t xml:space="preserve">of the system </w:t>
      </w:r>
      <w:r w:rsidRPr="0028392B">
        <w:rPr>
          <w:rFonts w:ascii="Arial" w:hAnsi="Arial" w:cs="Arial"/>
        </w:rPr>
        <w:t>(PC 2010a)</w:t>
      </w:r>
      <w:r w:rsidR="001018AF">
        <w:t>,</w:t>
      </w:r>
      <w:r w:rsidRPr="00E25444">
        <w:t xml:space="preserve"> and has more recently observed that the most significant changes since the 2009 inquiry have </w:t>
      </w:r>
      <w:r w:rsidRPr="00E25444">
        <w:rPr>
          <w:i/>
          <w:iCs/>
        </w:rPr>
        <w:t>increased</w:t>
      </w:r>
      <w:r w:rsidRPr="00E25444">
        <w:t xml:space="preserve"> </w:t>
      </w:r>
      <w:r w:rsidR="00AD4E21">
        <w:t>protectionism</w:t>
      </w:r>
      <w:r w:rsidR="00AD4E21" w:rsidRPr="00E25444">
        <w:t xml:space="preserve"> </w:t>
      </w:r>
      <w:r w:rsidRPr="00E25444">
        <w:rPr>
          <w:rFonts w:ascii="Arial" w:hAnsi="Arial" w:cs="Arial"/>
        </w:rPr>
        <w:t>(PC 2016)</w:t>
      </w:r>
      <w:r w:rsidRPr="00E25444">
        <w:t>. Changes to Australia’s anti</w:t>
      </w:r>
      <w:r w:rsidR="00200862">
        <w:noBreakHyphen/>
      </w:r>
      <w:r w:rsidRPr="00E25444">
        <w:t xml:space="preserve">dumping regime should only proceed where it can be established that the benefits to protected industries outweigh the costs to the community of increased protectionism. The PC noted in this previous work that it is likely to be rare for this threshold to be met. </w:t>
      </w:r>
    </w:p>
    <w:p w14:paraId="6C287F97" w14:textId="6D46C1E2" w:rsidR="00773E88" w:rsidRPr="00E25444" w:rsidRDefault="00773E88" w:rsidP="00773E88">
      <w:r w:rsidRPr="00E25444">
        <w:t>Strengthening Australia’s anti</w:t>
      </w:r>
      <w:r w:rsidR="00200862">
        <w:noBreakHyphen/>
      </w:r>
      <w:r w:rsidRPr="00E25444">
        <w:t>dumping regime will impact Australia’s relationships with several trading partners that have been or may be subject to the anti</w:t>
      </w:r>
      <w:r w:rsidR="00200862">
        <w:noBreakHyphen/>
      </w:r>
      <w:r w:rsidRPr="00E25444">
        <w:t>dumping measures.</w:t>
      </w:r>
    </w:p>
    <w:p w14:paraId="15B4CED6" w14:textId="469CCEE3" w:rsidR="005B3AD9" w:rsidRDefault="005B3AD9" w:rsidP="00853179">
      <w:pPr>
        <w:pStyle w:val="Heading2"/>
      </w:pPr>
      <w:bookmarkStart w:id="35" w:name="_Toc202477851"/>
      <w:r>
        <w:t xml:space="preserve">Australia continues to have many </w:t>
      </w:r>
      <w:r w:rsidR="00893845">
        <w:t xml:space="preserve">nuisance </w:t>
      </w:r>
      <w:r>
        <w:t>tariffs</w:t>
      </w:r>
      <w:bookmarkEnd w:id="35"/>
    </w:p>
    <w:p w14:paraId="0BE5DE8E" w14:textId="35CD8800" w:rsidR="00E94181" w:rsidRDefault="00E94181" w:rsidP="00E94181">
      <w:pPr>
        <w:pStyle w:val="BodyText"/>
      </w:pPr>
      <w:r>
        <w:t>The Australian Government has made the largest unilateral tariff reform in two decades by abolishing 457</w:t>
      </w:r>
      <w:r w:rsidR="007315F9">
        <w:t> </w:t>
      </w:r>
      <w:r>
        <w:t xml:space="preserve">tariffs from 2024–25 </w:t>
      </w:r>
      <w:r w:rsidRPr="0028392B">
        <w:rPr>
          <w:rFonts w:ascii="Arial" w:hAnsi="Arial" w:cs="Arial"/>
        </w:rPr>
        <w:t>(Treasury 2024f)</w:t>
      </w:r>
      <w:r>
        <w:t xml:space="preserve">. The selected tariffs were chosen on the basis of being ‘nuisance tariffs’ – goods predominantly imported under trade agreements or concessions that generate little revenue </w:t>
      </w:r>
      <w:r>
        <w:lastRenderedPageBreak/>
        <w:t>while imposing compliance costs on businesses accessing the agreement to avoid the tariff. This continues a long history of tariff reform in Australia and supports the prospects for further unilateral action.</w:t>
      </w:r>
    </w:p>
    <w:p w14:paraId="546F9B84" w14:textId="08B7DC9B" w:rsidR="00A972CD" w:rsidRDefault="00A972CD" w:rsidP="00A972CD">
      <w:pPr>
        <w:pStyle w:val="BodyText"/>
      </w:pPr>
      <w:r>
        <w:t xml:space="preserve">Despite </w:t>
      </w:r>
      <w:r w:rsidR="00E94181">
        <w:t>these</w:t>
      </w:r>
      <w:r>
        <w:t xml:space="preserve"> reform</w:t>
      </w:r>
      <w:r w:rsidR="00E94181">
        <w:t>s</w:t>
      </w:r>
      <w:r>
        <w:t>, Australia continues to impose tariffs on many products. Under the Customs Tariff classification system:</w:t>
      </w:r>
      <w:r w:rsidRPr="00D23D7D">
        <w:rPr>
          <w:rStyle w:val="FootnoteReference"/>
        </w:rPr>
        <w:footnoteReference w:id="17"/>
      </w:r>
      <w:r>
        <w:t xml:space="preserve"> </w:t>
      </w:r>
    </w:p>
    <w:p w14:paraId="58AE047F" w14:textId="38ABB679" w:rsidR="00A972CD" w:rsidRDefault="00A972CD" w:rsidP="001124E7">
      <w:pPr>
        <w:pStyle w:val="ListBullet"/>
      </w:pPr>
      <w:r>
        <w:t>Australia levies most</w:t>
      </w:r>
      <w:r w:rsidR="00200862">
        <w:noBreakHyphen/>
      </w:r>
      <w:r>
        <w:t>favoured</w:t>
      </w:r>
      <w:r w:rsidR="00200862">
        <w:noBreakHyphen/>
      </w:r>
      <w:r>
        <w:t xml:space="preserve">nation (MFN) duties on 3,470 products (51% of </w:t>
      </w:r>
      <w:r w:rsidR="0007615A">
        <w:t>cou</w:t>
      </w:r>
      <w:r w:rsidR="00292808">
        <w:t>nt of</w:t>
      </w:r>
      <w:r>
        <w:t xml:space="preserve"> imported products)</w:t>
      </w:r>
    </w:p>
    <w:p w14:paraId="26EF6B68" w14:textId="77777777" w:rsidR="00A972CD" w:rsidRDefault="00A972CD" w:rsidP="001124E7">
      <w:pPr>
        <w:pStyle w:val="ListBullet"/>
      </w:pPr>
      <w:r>
        <w:t>the remaining 3,358 products (49%) can enter the country duty free</w:t>
      </w:r>
    </w:p>
    <w:p w14:paraId="49F84481" w14:textId="0EBF3A8B" w:rsidR="00A972CD" w:rsidRDefault="00A972CD" w:rsidP="001124E7">
      <w:pPr>
        <w:pStyle w:val="ListBullet"/>
      </w:pPr>
      <w:r>
        <w:t>most of these tariffs are levied at the statutory (maximum) rate of 5% (8</w:t>
      </w:r>
      <w:r w:rsidR="00A47386">
        <w:t>5</w:t>
      </w:r>
      <w:r>
        <w:t xml:space="preserve">%), while the remaining tariffs are levied at rates </w:t>
      </w:r>
      <w:r w:rsidR="00B74334">
        <w:t>above</w:t>
      </w:r>
      <w:r>
        <w:t xml:space="preserve"> 0</w:t>
      </w:r>
      <w:r w:rsidR="001C20C6">
        <w:t>%</w:t>
      </w:r>
      <w:r>
        <w:t xml:space="preserve"> </w:t>
      </w:r>
      <w:r w:rsidR="00B74334">
        <w:t xml:space="preserve">but below </w:t>
      </w:r>
      <w:r>
        <w:t>5% and</w:t>
      </w:r>
    </w:p>
    <w:p w14:paraId="5468ECE4" w14:textId="41DD1CED" w:rsidR="00A972CD" w:rsidRDefault="00A972CD" w:rsidP="001124E7">
      <w:pPr>
        <w:pStyle w:val="ListBullet"/>
      </w:pPr>
      <w:r>
        <w:t xml:space="preserve">tariffs are </w:t>
      </w:r>
      <w:r w:rsidR="006637A0">
        <w:t xml:space="preserve">almost all </w:t>
      </w:r>
      <w:r>
        <w:t>on manufactured goods (~</w:t>
      </w:r>
      <w:r w:rsidR="008A46DC">
        <w:t>95</w:t>
      </w:r>
      <w:r>
        <w:t>% by count of products), with the remainder being primarily on agricultural products</w:t>
      </w:r>
      <w:r w:rsidR="002A7E7C">
        <w:t xml:space="preserve"> </w:t>
      </w:r>
      <w:r w:rsidR="00A268F9" w:rsidRPr="00A268F9">
        <w:rPr>
          <w:rFonts w:ascii="Arial" w:hAnsi="Arial" w:cs="Arial"/>
        </w:rPr>
        <w:t>(WTO 2025a)</w:t>
      </w:r>
      <w:r w:rsidRPr="002A7E7C">
        <w:t>.</w:t>
      </w:r>
      <w:r>
        <w:t xml:space="preserve"> </w:t>
      </w:r>
    </w:p>
    <w:p w14:paraId="5854D379" w14:textId="436C4AC6" w:rsidR="00A972CD" w:rsidRDefault="00A972CD" w:rsidP="00A972CD">
      <w:pPr>
        <w:pStyle w:val="BodyText"/>
      </w:pPr>
      <w:r>
        <w:t xml:space="preserve">A large proportion of products with tariffs in Australia are </w:t>
      </w:r>
      <w:r w:rsidR="0005246F">
        <w:t>avoidable</w:t>
      </w:r>
      <w:r w:rsidDel="009B5612">
        <w:t xml:space="preserve"> </w:t>
      </w:r>
      <w:r w:rsidR="001216F8">
        <w:t xml:space="preserve">mainly </w:t>
      </w:r>
      <w:r>
        <w:t xml:space="preserve">due to Australia’s wide ranging preferential trade agreements (PTAs), which now cover </w:t>
      </w:r>
      <w:r w:rsidDel="001D3D23">
        <w:t xml:space="preserve">most </w:t>
      </w:r>
      <w:r>
        <w:t xml:space="preserve">of Australia’s major trading partners, </w:t>
      </w:r>
      <w:r w:rsidR="000F3EFA">
        <w:t>apart from</w:t>
      </w:r>
      <w:r>
        <w:t xml:space="preserve"> the European Union. </w:t>
      </w:r>
      <w:r w:rsidR="00A83E68">
        <w:t>Importers can also reduce tariffs through the Tariff Concession Scheme for some goods not produced locally</w:t>
      </w:r>
      <w:r w:rsidR="00893757">
        <w:t xml:space="preserve">. </w:t>
      </w:r>
      <w:r w:rsidR="00AB2D21">
        <w:t>Concessions can also be granted</w:t>
      </w:r>
      <w:r w:rsidR="009D4498">
        <w:t xml:space="preserve"> for </w:t>
      </w:r>
      <w:r w:rsidR="00AB2D21">
        <w:t xml:space="preserve">imports with </w:t>
      </w:r>
      <w:r w:rsidR="009D4498">
        <w:t>certain uses</w:t>
      </w:r>
      <w:r w:rsidR="00A47D38">
        <w:t xml:space="preserve"> (such as aids for persons with a disability)</w:t>
      </w:r>
      <w:r w:rsidR="00175F4F">
        <w:t xml:space="preserve"> </w:t>
      </w:r>
      <w:r w:rsidR="00B3553A">
        <w:t xml:space="preserve">or </w:t>
      </w:r>
      <w:r w:rsidR="00BC26FA">
        <w:t xml:space="preserve">for certain users (such as goods </w:t>
      </w:r>
      <w:r w:rsidR="00B07012">
        <w:t xml:space="preserve">for </w:t>
      </w:r>
      <w:r w:rsidR="00376B58">
        <w:t>international</w:t>
      </w:r>
      <w:r w:rsidR="001A7490">
        <w:t xml:space="preserve"> bodies</w:t>
      </w:r>
      <w:r w:rsidR="00B07012">
        <w:t>)</w:t>
      </w:r>
      <w:r w:rsidR="005D4EF8">
        <w:t xml:space="preserve"> </w:t>
      </w:r>
      <w:r w:rsidR="00807A67" w:rsidRPr="00807A67">
        <w:rPr>
          <w:rFonts w:ascii="Arial" w:hAnsi="Arial" w:cs="Arial"/>
        </w:rPr>
        <w:t>(ABF 2024)</w:t>
      </w:r>
      <w:r>
        <w:t xml:space="preserve">. As a result, in </w:t>
      </w:r>
      <w:r w:rsidR="00F87F3A">
        <w:t>2023</w:t>
      </w:r>
      <w:r w:rsidR="00200862">
        <w:noBreakHyphen/>
      </w:r>
      <w:r w:rsidR="00F87F3A">
        <w:t>24</w:t>
      </w:r>
      <w:r>
        <w:t xml:space="preserve"> approximately 9</w:t>
      </w:r>
      <w:r w:rsidR="008E1CEB">
        <w:t>0</w:t>
      </w:r>
      <w:r>
        <w:t xml:space="preserve">% of imports entered the country duty free. </w:t>
      </w:r>
      <w:r w:rsidR="001124E7">
        <w:t xml:space="preserve">As shown in </w:t>
      </w:r>
      <w:r w:rsidR="00AB0523">
        <w:t>f</w:t>
      </w:r>
      <w:r w:rsidR="00791979">
        <w:t xml:space="preserve">igure </w:t>
      </w:r>
      <w:r w:rsidR="00791979">
        <w:rPr>
          <w:noProof/>
        </w:rPr>
        <w:t>2</w:t>
      </w:r>
      <w:r w:rsidR="00791979">
        <w:t>.</w:t>
      </w:r>
      <w:r w:rsidR="00791979">
        <w:rPr>
          <w:noProof/>
        </w:rPr>
        <w:t>2</w:t>
      </w:r>
      <w:r>
        <w:t xml:space="preserve">, </w:t>
      </w:r>
      <w:r w:rsidR="00F42DC3">
        <w:t>36</w:t>
      </w:r>
      <w:r>
        <w:t xml:space="preserve">% are duty free due to accessing a PTA, a further </w:t>
      </w:r>
      <w:r w:rsidR="00F12C44">
        <w:t>13</w:t>
      </w:r>
      <w:r>
        <w:t xml:space="preserve">% through other forms of concessional treatment, and a further </w:t>
      </w:r>
      <w:r w:rsidR="00C11713">
        <w:t>41</w:t>
      </w:r>
      <w:r>
        <w:t xml:space="preserve">% enter Australia duty free without the need of any concession or preference. </w:t>
      </w:r>
    </w:p>
    <w:p w14:paraId="4941B155" w14:textId="24EA0328" w:rsidR="001124E7" w:rsidRDefault="001124E7" w:rsidP="001124E7">
      <w:pPr>
        <w:pStyle w:val="Caption"/>
        <w:keepNext/>
      </w:pPr>
      <w:bookmarkStart w:id="36" w:name="_Ref201227882"/>
      <w:r>
        <w:t xml:space="preserve">Figure </w:t>
      </w:r>
      <w:r w:rsidR="005642CB">
        <w:fldChar w:fldCharType="begin"/>
      </w:r>
      <w:r w:rsidR="005642CB">
        <w:instrText xml:space="preserve"> STYLEREF 1 \s </w:instrText>
      </w:r>
      <w:r w:rsidR="005642CB">
        <w:fldChar w:fldCharType="separate"/>
      </w:r>
      <w:r w:rsidR="004A080B">
        <w:rPr>
          <w:noProof/>
        </w:rPr>
        <w:t>2</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2</w:t>
      </w:r>
      <w:r w:rsidR="005642CB">
        <w:fldChar w:fldCharType="end"/>
      </w:r>
      <w:bookmarkEnd w:id="36"/>
      <w:r w:rsidR="00AB0523">
        <w:t xml:space="preserve"> –</w:t>
      </w:r>
      <w:r>
        <w:t xml:space="preserve"> About 9</w:t>
      </w:r>
      <w:r w:rsidR="001F44D0">
        <w:t>0</w:t>
      </w:r>
      <w:r>
        <w:t>% of imports enter Australia duty free</w:t>
      </w:r>
    </w:p>
    <w:p w14:paraId="783CE4B0" w14:textId="74196D39" w:rsidR="00A972CD" w:rsidRPr="009C3302" w:rsidRDefault="00A972CD" w:rsidP="00A972CD">
      <w:pPr>
        <w:pStyle w:val="FigureTableSubheading"/>
      </w:pPr>
      <w:r>
        <w:t>Imports by type of tariff, Australia 2023</w:t>
      </w:r>
      <w:r w:rsidR="00535949">
        <w:t>-</w:t>
      </w:r>
      <w:r>
        <w:t>24</w:t>
      </w:r>
    </w:p>
    <w:p w14:paraId="3B1CFB4C" w14:textId="2CCBECBB" w:rsidR="00AB0523" w:rsidRDefault="009F21E4" w:rsidP="00AB0523">
      <w:pPr>
        <w:pStyle w:val="BodyText"/>
      </w:pPr>
      <w:r w:rsidRPr="009F21E4">
        <w:rPr>
          <w:noProof/>
        </w:rPr>
        <w:drawing>
          <wp:inline distT="0" distB="0" distL="0" distR="0" wp14:anchorId="2D52B322" wp14:editId="360CC5B3">
            <wp:extent cx="6120130" cy="2695575"/>
            <wp:effectExtent l="0" t="0" r="0" b="9525"/>
            <wp:docPr id="1715670795" name="Picture 31" descr="A stacked bar chart showing the percentage of imports entering Australia with and without duties. 90% of imports entered the country duty free. As shown in Figure 2.2, 36% are duty free due to accessing a PTA, a further 13% through other forms of concessional treatment, and finally a further 41% enter Australia duty free without the need of any concession or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70795" name="Picture 31" descr="A stacked bar chart showing the percentage of imports entering Australia with and without duties. 90% of imports entered the country duty free. As shown in Figure 2.2, 36% are duty free due to accessing a PTA, a further 13% through other forms of concessional treatment, and finally a further 41% enter Australia duty free without the need of any concession or preference."/>
                    <pic:cNvPicPr>
                      <a:picLocks noChangeAspect="1" noChangeArrowheads="1"/>
                    </pic:cNvPicPr>
                  </pic:nvPicPr>
                  <pic:blipFill rotWithShape="1">
                    <a:blip r:embed="rId52">
                      <a:extLst>
                        <a:ext uri="{28A0092B-C50C-407E-A947-70E740481C1C}">
                          <a14:useLocalDpi xmlns:a14="http://schemas.microsoft.com/office/drawing/2010/main" val="0"/>
                        </a:ext>
                      </a:extLst>
                    </a:blip>
                    <a:srcRect b="6436"/>
                    <a:stretch/>
                  </pic:blipFill>
                  <pic:spPr bwMode="auto">
                    <a:xfrm>
                      <a:off x="0" y="0"/>
                      <a:ext cx="612013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75EE1402" w14:textId="7CEA1462" w:rsidR="0038542D" w:rsidRPr="00A972CD" w:rsidRDefault="0038542D" w:rsidP="0038542D">
      <w:pPr>
        <w:pStyle w:val="Note"/>
      </w:pPr>
      <w:r w:rsidRPr="00A972CD">
        <w:rPr>
          <w:b/>
          <w:bCs/>
        </w:rPr>
        <w:t>a.</w:t>
      </w:r>
      <w:r w:rsidRPr="00A972CD">
        <w:t xml:space="preserve"> </w:t>
      </w:r>
      <w:r w:rsidR="00A26FD2">
        <w:t>Imports</w:t>
      </w:r>
      <w:r w:rsidRPr="0038542D">
        <w:t xml:space="preserve"> recorded to have claimed either a preference or concession but still paid a non-zero tariff are classified as paying a non-zero tariff. </w:t>
      </w:r>
      <w:r w:rsidR="00A26FD2" w:rsidRPr="00A26FD2">
        <w:rPr>
          <w:b/>
          <w:bCs/>
        </w:rPr>
        <w:t>b.</w:t>
      </w:r>
      <w:r w:rsidR="00A26FD2" w:rsidRPr="00A26FD2">
        <w:t xml:space="preserve"> Excludes</w:t>
      </w:r>
      <w:r w:rsidR="008E5695">
        <w:t xml:space="preserve"> imports of</w:t>
      </w:r>
      <w:r w:rsidR="00A26FD2" w:rsidRPr="00A26FD2">
        <w:t xml:space="preserve"> </w:t>
      </w:r>
      <w:r w:rsidR="008E5695">
        <w:t xml:space="preserve">goods with excise equivalent tariffs (like tobacco). </w:t>
      </w:r>
    </w:p>
    <w:p w14:paraId="49827475" w14:textId="4E49E0C0" w:rsidR="0038542D" w:rsidRPr="00C3452E" w:rsidRDefault="0038542D" w:rsidP="0038542D">
      <w:pPr>
        <w:pStyle w:val="Source"/>
      </w:pPr>
      <w:r w:rsidRPr="00C3452E">
        <w:t xml:space="preserve">Source: Commission estimates using ABS </w:t>
      </w:r>
      <w:r w:rsidRPr="0028392B">
        <w:rPr>
          <w:rFonts w:ascii="Arial" w:hAnsi="Arial" w:cs="Arial"/>
        </w:rPr>
        <w:t>(2025a)</w:t>
      </w:r>
      <w:r w:rsidRPr="00C3452E">
        <w:t>.</w:t>
      </w:r>
    </w:p>
    <w:p w14:paraId="42F69F0B" w14:textId="00A39093" w:rsidR="00423D73" w:rsidRDefault="00A972CD" w:rsidP="00423D73">
      <w:pPr>
        <w:pStyle w:val="BodyText"/>
      </w:pPr>
      <w:r w:rsidRPr="00550F57">
        <w:lastRenderedPageBreak/>
        <w:t xml:space="preserve">The </w:t>
      </w:r>
      <w:r>
        <w:t>prevalence</w:t>
      </w:r>
      <w:r w:rsidRPr="00550F57">
        <w:t xml:space="preserve"> of PTAs</w:t>
      </w:r>
      <w:r>
        <w:t xml:space="preserve"> and concessions</w:t>
      </w:r>
      <w:r w:rsidRPr="00550F57">
        <w:t xml:space="preserve"> means that </w:t>
      </w:r>
      <w:r>
        <w:t>many</w:t>
      </w:r>
      <w:r w:rsidRPr="00550F57">
        <w:t xml:space="preserve"> of Australia’s remaining tariffs are ‘nuisance tariffs’ – tariffs that raise little revenue (due to </w:t>
      </w:r>
      <w:r>
        <w:t>preferences</w:t>
      </w:r>
      <w:r w:rsidR="00EA6046">
        <w:t xml:space="preserve"> or concessions</w:t>
      </w:r>
      <w:r w:rsidRPr="00550F57">
        <w:t xml:space="preserve">) but impose compliance burdens for businesses (PC 2022, p. 6). Compliance costs are the costs </w:t>
      </w:r>
      <w:r w:rsidR="00E4335D">
        <w:t>incurred</w:t>
      </w:r>
      <w:r w:rsidRPr="00550F57">
        <w:t xml:space="preserve"> to avoid tariffs by accessing a preferential rate under a PTA</w:t>
      </w:r>
      <w:r>
        <w:t xml:space="preserve"> or a concession</w:t>
      </w:r>
      <w:r w:rsidRPr="00550F57">
        <w:t xml:space="preserve">. </w:t>
      </w:r>
      <w:r w:rsidR="00423D73">
        <w:t>Since TAR 2021</w:t>
      </w:r>
      <w:r w:rsidR="00200862">
        <w:noBreakHyphen/>
      </w:r>
      <w:r w:rsidR="00423D73">
        <w:t>22</w:t>
      </w:r>
      <w:r w:rsidR="00CF3447">
        <w:t>,</w:t>
      </w:r>
      <w:r w:rsidR="00423D73">
        <w:t xml:space="preserve"> compliance costs </w:t>
      </w:r>
      <w:r w:rsidR="00F1090A">
        <w:t xml:space="preserve">have been the </w:t>
      </w:r>
      <w:r w:rsidR="00423D73">
        <w:t>primary method by which the Commission monitors the effects of tariffs. These costs have two primary forms</w:t>
      </w:r>
      <w:r w:rsidR="00423D73" w:rsidRPr="006264F3">
        <w:t>:</w:t>
      </w:r>
    </w:p>
    <w:p w14:paraId="3CD060B3" w14:textId="0120A3F5" w:rsidR="0016041A" w:rsidRPr="00C3452E" w:rsidRDefault="0016041A" w:rsidP="00865D9D">
      <w:pPr>
        <w:pStyle w:val="ListBullet"/>
      </w:pPr>
      <w:r w:rsidRPr="00C3452E">
        <w:t xml:space="preserve">the costs of paperwork needed to </w:t>
      </w:r>
      <w:r w:rsidR="007859C1">
        <w:t>obtain</w:t>
      </w:r>
      <w:r w:rsidRPr="00C3452E">
        <w:t xml:space="preserve"> a preference (e.g. the labour and time costs of additional interactions with the tariff administration, the cost of acquiring an authorised certificate of origin) and</w:t>
      </w:r>
    </w:p>
    <w:p w14:paraId="211A999B" w14:textId="5D715083" w:rsidR="0016041A" w:rsidRPr="00A972CD" w:rsidRDefault="0016041A" w:rsidP="00865D9D">
      <w:pPr>
        <w:pStyle w:val="ListBullet"/>
      </w:pPr>
      <w:r w:rsidRPr="00C3452E">
        <w:t xml:space="preserve">the costs of adapting </w:t>
      </w:r>
      <w:r w:rsidRPr="00865D9D">
        <w:t>production</w:t>
      </w:r>
      <w:r w:rsidRPr="00C3452E">
        <w:t xml:space="preserve"> processes to abide by rules of </w:t>
      </w:r>
      <w:r w:rsidRPr="00AF3C9F">
        <w:t>origin</w:t>
      </w:r>
      <w:r w:rsidRPr="00AF3C9F" w:rsidDel="007859C1">
        <w:t xml:space="preserve"> </w:t>
      </w:r>
      <w:r w:rsidR="00CD66C7">
        <w:t>which are then passed on to importers through higher costs</w:t>
      </w:r>
      <w:r w:rsidRPr="00AF3C9F" w:rsidDel="007859C1">
        <w:t xml:space="preserve"> </w:t>
      </w:r>
      <w:r w:rsidR="00A268F9" w:rsidRPr="00A268F9">
        <w:rPr>
          <w:rFonts w:ascii="Arial" w:hAnsi="Arial" w:cs="Arial"/>
        </w:rPr>
        <w:t>(PC 2022, p. 33)</w:t>
      </w:r>
      <w:r w:rsidRPr="00A972CD">
        <w:t>.</w:t>
      </w:r>
    </w:p>
    <w:p w14:paraId="63F5E40C" w14:textId="57B8855D" w:rsidR="00937B93" w:rsidRPr="00C83B99" w:rsidRDefault="00DA0437" w:rsidP="00937B93">
      <w:pPr>
        <w:pStyle w:val="BodyText"/>
        <w:rPr>
          <w:spacing w:val="-2"/>
        </w:rPr>
      </w:pPr>
      <w:r w:rsidRPr="00C83B99">
        <w:rPr>
          <w:spacing w:val="-2"/>
        </w:rPr>
        <w:t>The PC estimates these costs to be $1.3</w:t>
      </w:r>
      <w:r w:rsidR="00200862" w:rsidRPr="00C83B99">
        <w:rPr>
          <w:spacing w:val="-2"/>
        </w:rPr>
        <w:noBreakHyphen/>
      </w:r>
      <w:r w:rsidRPr="00C83B99">
        <w:rPr>
          <w:spacing w:val="-2"/>
        </w:rPr>
        <w:t>4 billion in 2023</w:t>
      </w:r>
      <w:r w:rsidR="00200862" w:rsidRPr="00C83B99">
        <w:rPr>
          <w:spacing w:val="-2"/>
        </w:rPr>
        <w:noBreakHyphen/>
      </w:r>
      <w:r w:rsidRPr="00C83B99">
        <w:rPr>
          <w:spacing w:val="-2"/>
        </w:rPr>
        <w:t>24 (</w:t>
      </w:r>
      <w:r w:rsidR="0087497C" w:rsidRPr="00C83B99">
        <w:rPr>
          <w:spacing w:val="-2"/>
        </w:rPr>
        <w:t>t</w:t>
      </w:r>
      <w:r w:rsidR="00791979" w:rsidRPr="00C83B99">
        <w:rPr>
          <w:spacing w:val="-2"/>
        </w:rPr>
        <w:t xml:space="preserve">able </w:t>
      </w:r>
      <w:r w:rsidR="00791979" w:rsidRPr="00C83B99">
        <w:rPr>
          <w:noProof/>
          <w:spacing w:val="-2"/>
        </w:rPr>
        <w:t>2</w:t>
      </w:r>
      <w:r w:rsidR="00791979" w:rsidRPr="00C83B99">
        <w:rPr>
          <w:spacing w:val="-2"/>
        </w:rPr>
        <w:t>.</w:t>
      </w:r>
      <w:r w:rsidR="00791979" w:rsidRPr="00C83B99">
        <w:rPr>
          <w:noProof/>
          <w:spacing w:val="-2"/>
        </w:rPr>
        <w:t>1</w:t>
      </w:r>
      <w:r w:rsidRPr="00C83B99">
        <w:rPr>
          <w:spacing w:val="-2"/>
        </w:rPr>
        <w:t>). Most of this range exceeds the $2</w:t>
      </w:r>
      <w:r w:rsidR="009A049A" w:rsidRPr="00C83B99">
        <w:rPr>
          <w:spacing w:val="-2"/>
        </w:rPr>
        <w:t> </w:t>
      </w:r>
      <w:r w:rsidRPr="00C83B99">
        <w:rPr>
          <w:spacing w:val="-2"/>
        </w:rPr>
        <w:t xml:space="preserve">billion in tariff revenue collected in the same period. Despite higher imports under PTAs, the cost of the preferential trading system fell due to a </w:t>
      </w:r>
      <w:r w:rsidR="00D769C5" w:rsidRPr="00C83B99">
        <w:rPr>
          <w:spacing w:val="-2"/>
        </w:rPr>
        <w:t xml:space="preserve">slightly </w:t>
      </w:r>
      <w:r w:rsidRPr="00C83B99">
        <w:rPr>
          <w:spacing w:val="-2"/>
        </w:rPr>
        <w:t xml:space="preserve">lower </w:t>
      </w:r>
      <w:r w:rsidR="00D769C5" w:rsidRPr="00C83B99">
        <w:rPr>
          <w:spacing w:val="-2"/>
        </w:rPr>
        <w:t xml:space="preserve">modelled </w:t>
      </w:r>
      <w:r w:rsidRPr="00C83B99">
        <w:rPr>
          <w:spacing w:val="-2"/>
        </w:rPr>
        <w:t xml:space="preserve">compliance costs of accessing PTAs. To better understand compliance costs a literature review is provided in </w:t>
      </w:r>
      <w:r w:rsidR="00086A34" w:rsidRPr="00C83B99">
        <w:rPr>
          <w:spacing w:val="-2"/>
        </w:rPr>
        <w:t>a</w:t>
      </w:r>
      <w:r w:rsidRPr="00C83B99">
        <w:rPr>
          <w:spacing w:val="-2"/>
        </w:rPr>
        <w:t xml:space="preserve">ppendix </w:t>
      </w:r>
      <w:r w:rsidR="00E519C7" w:rsidRPr="00C83B99">
        <w:rPr>
          <w:spacing w:val="-2"/>
        </w:rPr>
        <w:t>C</w:t>
      </w:r>
      <w:r w:rsidRPr="00C83B99">
        <w:rPr>
          <w:spacing w:val="-2"/>
        </w:rPr>
        <w:t xml:space="preserve">, the methodology underpinning the estimates can also be found in </w:t>
      </w:r>
      <w:r w:rsidR="00086A34" w:rsidRPr="00C83B99">
        <w:rPr>
          <w:i/>
          <w:iCs/>
          <w:spacing w:val="-2"/>
        </w:rPr>
        <w:t>a</w:t>
      </w:r>
      <w:r w:rsidR="00937B93" w:rsidRPr="00C83B99">
        <w:rPr>
          <w:i/>
          <w:iCs/>
          <w:spacing w:val="-2"/>
        </w:rPr>
        <w:t>ppendix C of the Nuisance Cost of Tariffs</w:t>
      </w:r>
      <w:r w:rsidR="00937B93" w:rsidRPr="00C83B99">
        <w:rPr>
          <w:spacing w:val="-2"/>
        </w:rPr>
        <w:t xml:space="preserve"> report </w:t>
      </w:r>
      <w:r w:rsidR="00820F85" w:rsidRPr="00C83B99">
        <w:rPr>
          <w:rFonts w:cs="Arial"/>
          <w:spacing w:val="-2"/>
        </w:rPr>
        <w:t>(PC 2022)</w:t>
      </w:r>
      <w:r w:rsidR="00937B93" w:rsidRPr="00C83B99">
        <w:rPr>
          <w:spacing w:val="-2"/>
        </w:rPr>
        <w:t>.</w:t>
      </w:r>
    </w:p>
    <w:p w14:paraId="18115E98" w14:textId="0A68BA26" w:rsidR="00DA0437" w:rsidRPr="00A972CD" w:rsidRDefault="00DA0437" w:rsidP="00DA0437">
      <w:pPr>
        <w:pStyle w:val="FigureTableHeading"/>
        <w:rPr>
          <w:vertAlign w:val="superscript"/>
        </w:rPr>
      </w:pPr>
      <w:bookmarkStart w:id="37" w:name="_Ref201139007"/>
      <w:r w:rsidRPr="00C3452E">
        <w:t xml:space="preserve">Table </w:t>
      </w:r>
      <w:r w:rsidR="00665312">
        <w:fldChar w:fldCharType="begin"/>
      </w:r>
      <w:r w:rsidR="00665312">
        <w:instrText xml:space="preserve"> STYLEREF 1 \s </w:instrText>
      </w:r>
      <w:r w:rsidR="00665312">
        <w:fldChar w:fldCharType="separate"/>
      </w:r>
      <w:r w:rsidR="004A080B">
        <w:rPr>
          <w:noProof/>
        </w:rPr>
        <w:t>2</w:t>
      </w:r>
      <w:r w:rsidR="00665312">
        <w:fldChar w:fldCharType="end"/>
      </w:r>
      <w:r w:rsidR="00665312">
        <w:t>.</w:t>
      </w:r>
      <w:r w:rsidR="00665312">
        <w:fldChar w:fldCharType="begin"/>
      </w:r>
      <w:r w:rsidR="00665312">
        <w:instrText xml:space="preserve"> SEQ Table \* ARABIC \s 1 </w:instrText>
      </w:r>
      <w:r w:rsidR="00665312">
        <w:fldChar w:fldCharType="separate"/>
      </w:r>
      <w:r w:rsidR="004A080B">
        <w:rPr>
          <w:noProof/>
        </w:rPr>
        <w:t>1</w:t>
      </w:r>
      <w:r w:rsidR="00665312">
        <w:fldChar w:fldCharType="end"/>
      </w:r>
      <w:bookmarkEnd w:id="37"/>
      <w:r w:rsidRPr="00A972CD">
        <w:rPr>
          <w:noProof/>
        </w:rPr>
        <w:t xml:space="preserve"> – Estimated costs imposed by Australia’s preferential tariff system</w:t>
      </w:r>
      <w:r w:rsidRPr="00A972CD">
        <w:rPr>
          <w:vertAlign w:val="superscript"/>
        </w:rPr>
        <w:t>a,b</w:t>
      </w:r>
      <w:r w:rsidR="00212BA9">
        <w:rPr>
          <w:vertAlign w:val="superscript"/>
        </w:rPr>
        <w:t>,c</w:t>
      </w:r>
    </w:p>
    <w:p w14:paraId="6D66AE67" w14:textId="3FD31BDE" w:rsidR="00DA0437" w:rsidRPr="00A972CD" w:rsidRDefault="00DA0437" w:rsidP="00DA0437">
      <w:pPr>
        <w:pStyle w:val="FigureTableSubheading"/>
      </w:pPr>
      <w:r w:rsidRPr="00A972CD">
        <w:t>Estimated costs for 2021</w:t>
      </w:r>
      <w:r w:rsidR="007A61B4">
        <w:t>-</w:t>
      </w:r>
      <w:r w:rsidRPr="00A972CD">
        <w:t>22 to 2023</w:t>
      </w:r>
      <w:r w:rsidR="007A61B4">
        <w:t>-</w:t>
      </w:r>
      <w:r w:rsidRPr="00A972CD">
        <w:t>24, $ billions and % where marked</w:t>
      </w:r>
    </w:p>
    <w:tbl>
      <w:tblPr>
        <w:tblW w:w="5000" w:type="pct"/>
        <w:jc w:val="center"/>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36"/>
        <w:gridCol w:w="1228"/>
        <w:gridCol w:w="1230"/>
        <w:gridCol w:w="1230"/>
        <w:gridCol w:w="1228"/>
        <w:gridCol w:w="1230"/>
        <w:gridCol w:w="1230"/>
        <w:gridCol w:w="1226"/>
      </w:tblGrid>
      <w:tr w:rsidR="00DA0437" w:rsidRPr="00A972CD" w14:paraId="04F95384" w14:textId="77777777" w:rsidTr="003F3F04">
        <w:trPr>
          <w:tblHeader/>
          <w:jc w:val="center"/>
        </w:trPr>
        <w:tc>
          <w:tcPr>
            <w:tcW w:w="538" w:type="pct"/>
            <w:tcBorders>
              <w:bottom w:val="single" w:sz="4" w:space="0" w:color="B3B3B3"/>
            </w:tcBorders>
            <w:shd w:val="clear" w:color="000000" w:fill="auto"/>
            <w:vAlign w:val="bottom"/>
          </w:tcPr>
          <w:p w14:paraId="173DA6AC" w14:textId="77777777" w:rsidR="00DA0437" w:rsidRPr="00A972CD" w:rsidRDefault="00DA0437">
            <w:pPr>
              <w:spacing w:before="45" w:after="45"/>
              <w:ind w:left="57" w:right="108"/>
              <w:rPr>
                <w:rFonts w:ascii="Arial (Body)" w:hAnsi="Arial (Body)"/>
                <w:b/>
                <w:bCs/>
                <w:color w:val="265A9A"/>
                <w:sz w:val="18"/>
                <w:szCs w:val="18"/>
              </w:rPr>
            </w:pPr>
            <w:r w:rsidRPr="00A972CD">
              <w:rPr>
                <w:rFonts w:ascii="Arial (Body)" w:hAnsi="Arial (Body)"/>
                <w:b/>
                <w:color w:val="265A9A"/>
                <w:sz w:val="18"/>
                <w:szCs w:val="18"/>
              </w:rPr>
              <w:t>Year</w:t>
            </w:r>
          </w:p>
        </w:tc>
        <w:tc>
          <w:tcPr>
            <w:tcW w:w="637" w:type="pct"/>
            <w:tcBorders>
              <w:bottom w:val="single" w:sz="4" w:space="0" w:color="B3B3B3"/>
            </w:tcBorders>
            <w:shd w:val="clear" w:color="000000" w:fill="auto"/>
            <w:vAlign w:val="bottom"/>
          </w:tcPr>
          <w:p w14:paraId="332FD4B3"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Imports</w:t>
            </w:r>
          </w:p>
        </w:tc>
        <w:tc>
          <w:tcPr>
            <w:tcW w:w="638" w:type="pct"/>
            <w:tcBorders>
              <w:bottom w:val="single" w:sz="4" w:space="0" w:color="B3B3B3"/>
            </w:tcBorders>
            <w:shd w:val="clear" w:color="000000" w:fill="auto"/>
            <w:vAlign w:val="bottom"/>
          </w:tcPr>
          <w:p w14:paraId="4CFFA40E"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Imports under PTA</w:t>
            </w:r>
          </w:p>
        </w:tc>
        <w:tc>
          <w:tcPr>
            <w:tcW w:w="638" w:type="pct"/>
            <w:tcBorders>
              <w:bottom w:val="single" w:sz="4" w:space="0" w:color="B3B3B3"/>
            </w:tcBorders>
            <w:shd w:val="clear" w:color="000000" w:fill="auto"/>
            <w:vAlign w:val="bottom"/>
          </w:tcPr>
          <w:p w14:paraId="06457C70"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PTA access costs (modelled)</w:t>
            </w:r>
          </w:p>
        </w:tc>
        <w:tc>
          <w:tcPr>
            <w:tcW w:w="637" w:type="pct"/>
            <w:tcBorders>
              <w:bottom w:val="single" w:sz="4" w:space="0" w:color="B3B3B3"/>
            </w:tcBorders>
            <w:shd w:val="clear" w:color="000000" w:fill="auto"/>
            <w:vAlign w:val="bottom"/>
          </w:tcPr>
          <w:p w14:paraId="32C395E0"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 xml:space="preserve">Compliance costs </w:t>
            </w:r>
            <w:r w:rsidRPr="00A972CD" w:rsidDel="00E73B82">
              <w:rPr>
                <w:rFonts w:ascii="Arial (Body)" w:hAnsi="Arial (Body)"/>
                <w:color w:val="265A9A"/>
              </w:rPr>
              <w:t>(C)</w:t>
            </w:r>
          </w:p>
        </w:tc>
        <w:tc>
          <w:tcPr>
            <w:tcW w:w="638" w:type="pct"/>
            <w:tcBorders>
              <w:bottom w:val="single" w:sz="4" w:space="0" w:color="B3B3B3"/>
            </w:tcBorders>
            <w:shd w:val="clear" w:color="000000" w:fill="auto"/>
            <w:vAlign w:val="bottom"/>
          </w:tcPr>
          <w:p w14:paraId="14598D44"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Tariff reven</w:t>
            </w:r>
            <w:r w:rsidRPr="00A972CD" w:rsidDel="00E73B82">
              <w:rPr>
                <w:rFonts w:ascii="Arial (Body)" w:hAnsi="Arial (Body)"/>
                <w:color w:val="265A9A"/>
              </w:rPr>
              <w:t xml:space="preserve">ue </w:t>
            </w:r>
            <w:r w:rsidRPr="00A972CD">
              <w:rPr>
                <w:rFonts w:ascii="Arial (Body)" w:hAnsi="Arial (Body)"/>
                <w:color w:val="265A9A"/>
              </w:rPr>
              <w:t>(R)</w:t>
            </w:r>
            <w:r w:rsidRPr="00A972CD">
              <w:rPr>
                <w:rFonts w:ascii="Arial (Body)" w:hAnsi="Arial (Body)"/>
                <w:color w:val="265A9A"/>
                <w:vertAlign w:val="superscript"/>
              </w:rPr>
              <w:t>c</w:t>
            </w:r>
          </w:p>
        </w:tc>
        <w:tc>
          <w:tcPr>
            <w:tcW w:w="638" w:type="pct"/>
            <w:tcBorders>
              <w:bottom w:val="single" w:sz="4" w:space="0" w:color="B3B3B3"/>
            </w:tcBorders>
            <w:shd w:val="clear" w:color="000000" w:fill="auto"/>
            <w:vAlign w:val="bottom"/>
          </w:tcPr>
          <w:p w14:paraId="4A8D29D7"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Imports attracting tariffs (V)</w:t>
            </w:r>
          </w:p>
        </w:tc>
        <w:tc>
          <w:tcPr>
            <w:tcW w:w="638" w:type="pct"/>
            <w:tcBorders>
              <w:bottom w:val="single" w:sz="4" w:space="0" w:color="B3B3B3"/>
            </w:tcBorders>
            <w:shd w:val="clear" w:color="000000" w:fill="auto"/>
            <w:vAlign w:val="bottom"/>
          </w:tcPr>
          <w:p w14:paraId="248B0987" w14:textId="77777777" w:rsidR="00DA0437" w:rsidRPr="00A972CD" w:rsidRDefault="00DA0437" w:rsidP="0087497C">
            <w:pPr>
              <w:pStyle w:val="TableHeading"/>
              <w:spacing w:before="45" w:after="45"/>
              <w:ind w:right="108"/>
              <w:jc w:val="right"/>
              <w:rPr>
                <w:rFonts w:ascii="Arial (Body)" w:hAnsi="Arial (Body)"/>
                <w:color w:val="265A9A"/>
              </w:rPr>
            </w:pPr>
            <w:r w:rsidRPr="00A972CD">
              <w:rPr>
                <w:rFonts w:ascii="Arial (Body)" w:hAnsi="Arial (Body)"/>
                <w:color w:val="265A9A"/>
              </w:rPr>
              <w:t>Costs as a share of tariffed imports (C+R)/V</w:t>
            </w:r>
          </w:p>
        </w:tc>
      </w:tr>
      <w:tr w:rsidR="00DA0437" w:rsidRPr="00A972CD" w14:paraId="597883C4" w14:textId="77777777" w:rsidTr="003F3F04">
        <w:trPr>
          <w:jc w:val="center"/>
        </w:trPr>
        <w:tc>
          <w:tcPr>
            <w:tcW w:w="538" w:type="pct"/>
            <w:tcBorders>
              <w:top w:val="single" w:sz="4" w:space="0" w:color="B3B3B3"/>
              <w:bottom w:val="nil"/>
            </w:tcBorders>
            <w:shd w:val="clear" w:color="000000" w:fill="F2F2F2"/>
          </w:tcPr>
          <w:p w14:paraId="6C05AFC4" w14:textId="1B13F160" w:rsidR="00DA0437" w:rsidRPr="00A972CD" w:rsidRDefault="00DA0437">
            <w:pPr>
              <w:pStyle w:val="TableHeading"/>
              <w:spacing w:before="45" w:after="45"/>
              <w:ind w:right="108"/>
              <w:rPr>
                <w:rFonts w:ascii="Arial (Body)" w:hAnsi="Arial (Body)"/>
                <w:color w:val="265A9A"/>
              </w:rPr>
            </w:pPr>
            <w:r w:rsidRPr="00A972CD">
              <w:rPr>
                <w:rFonts w:ascii="Arial (Body)" w:hAnsi="Arial (Body)"/>
                <w:color w:val="265A9A"/>
              </w:rPr>
              <w:t>2021</w:t>
            </w:r>
            <w:r w:rsidR="007A61B4">
              <w:rPr>
                <w:rFonts w:ascii="Arial (Body)" w:hAnsi="Arial (Body)"/>
                <w:color w:val="265A9A"/>
              </w:rPr>
              <w:t>-</w:t>
            </w:r>
            <w:r w:rsidRPr="00A972CD">
              <w:rPr>
                <w:rFonts w:ascii="Arial (Body)" w:hAnsi="Arial (Body)"/>
                <w:color w:val="265A9A"/>
              </w:rPr>
              <w:t>22</w:t>
            </w:r>
          </w:p>
        </w:tc>
        <w:tc>
          <w:tcPr>
            <w:tcW w:w="637" w:type="pct"/>
            <w:tcBorders>
              <w:top w:val="single" w:sz="4" w:space="0" w:color="B3B3B3"/>
              <w:bottom w:val="nil"/>
            </w:tcBorders>
            <w:shd w:val="clear" w:color="000000" w:fill="F2F2F2"/>
          </w:tcPr>
          <w:p w14:paraId="3134D09D"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$371.2</w:t>
            </w:r>
          </w:p>
        </w:tc>
        <w:tc>
          <w:tcPr>
            <w:tcW w:w="638" w:type="pct"/>
            <w:tcBorders>
              <w:top w:val="single" w:sz="4" w:space="0" w:color="B3B3B3"/>
              <w:bottom w:val="nil"/>
            </w:tcBorders>
            <w:shd w:val="clear" w:color="000000" w:fill="F2F2F2"/>
          </w:tcPr>
          <w:p w14:paraId="5233EBC7"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$108.7</w:t>
            </w:r>
          </w:p>
        </w:tc>
        <w:tc>
          <w:tcPr>
            <w:tcW w:w="638" w:type="pct"/>
            <w:tcBorders>
              <w:top w:val="single" w:sz="4" w:space="0" w:color="B3B3B3"/>
              <w:bottom w:val="nil"/>
            </w:tcBorders>
            <w:shd w:val="clear" w:color="000000" w:fill="F2F2F2"/>
          </w:tcPr>
          <w:p w14:paraId="2CE91BD8"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2.1%</w:t>
            </w:r>
          </w:p>
        </w:tc>
        <w:tc>
          <w:tcPr>
            <w:tcW w:w="637" w:type="pct"/>
            <w:tcBorders>
              <w:top w:val="single" w:sz="4" w:space="0" w:color="B3B3B3"/>
              <w:bottom w:val="nil"/>
            </w:tcBorders>
            <w:shd w:val="clear" w:color="000000" w:fill="F2F2F2"/>
          </w:tcPr>
          <w:p w14:paraId="05DDEC30" w14:textId="44F6755E"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$1.1</w:t>
            </w:r>
            <w:r w:rsidR="00200862">
              <w:rPr>
                <w:rFonts w:ascii="Arial (Body)" w:hAnsi="Arial (Body)"/>
                <w:color w:val="000000"/>
              </w:rPr>
              <w:noBreakHyphen/>
            </w:r>
            <w:r w:rsidRPr="00A972CD">
              <w:rPr>
                <w:rFonts w:ascii="Arial (Body)" w:hAnsi="Arial (Body)"/>
                <w:color w:val="000000"/>
              </w:rPr>
              <w:t>3.4</w:t>
            </w:r>
          </w:p>
        </w:tc>
        <w:tc>
          <w:tcPr>
            <w:tcW w:w="638" w:type="pct"/>
            <w:tcBorders>
              <w:top w:val="single" w:sz="4" w:space="0" w:color="B3B3B3"/>
              <w:bottom w:val="nil"/>
            </w:tcBorders>
            <w:shd w:val="clear" w:color="000000" w:fill="F2F2F2"/>
          </w:tcPr>
          <w:p w14:paraId="2DBAA230"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$1.8</w:t>
            </w:r>
          </w:p>
        </w:tc>
        <w:tc>
          <w:tcPr>
            <w:tcW w:w="638" w:type="pct"/>
            <w:tcBorders>
              <w:top w:val="single" w:sz="4" w:space="0" w:color="B3B3B3"/>
              <w:bottom w:val="nil"/>
            </w:tcBorders>
            <w:shd w:val="clear" w:color="000000" w:fill="F2F2F2"/>
          </w:tcPr>
          <w:p w14:paraId="6BECE07B"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$37.1</w:t>
            </w:r>
          </w:p>
        </w:tc>
        <w:tc>
          <w:tcPr>
            <w:tcW w:w="638" w:type="pct"/>
            <w:tcBorders>
              <w:top w:val="single" w:sz="4" w:space="0" w:color="B3B3B3"/>
              <w:bottom w:val="nil"/>
            </w:tcBorders>
            <w:shd w:val="clear" w:color="000000" w:fill="F2F2F2"/>
          </w:tcPr>
          <w:p w14:paraId="796CAEBD" w14:textId="34D29075"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8</w:t>
            </w:r>
            <w:r w:rsidR="00200862">
              <w:rPr>
                <w:rFonts w:ascii="Arial (Body)" w:hAnsi="Arial (Body)"/>
                <w:color w:val="000000"/>
              </w:rPr>
              <w:noBreakHyphen/>
            </w:r>
            <w:r w:rsidRPr="00A972CD">
              <w:rPr>
                <w:rFonts w:ascii="Arial (Body)" w:hAnsi="Arial (Body)"/>
                <w:color w:val="000000"/>
              </w:rPr>
              <w:t>14.1%</w:t>
            </w:r>
          </w:p>
        </w:tc>
      </w:tr>
      <w:tr w:rsidR="00DA0437" w:rsidRPr="00A972CD" w14:paraId="44539D66" w14:textId="77777777" w:rsidTr="003F3F04">
        <w:trPr>
          <w:jc w:val="center"/>
        </w:trPr>
        <w:tc>
          <w:tcPr>
            <w:tcW w:w="538" w:type="pct"/>
            <w:tcBorders>
              <w:top w:val="nil"/>
              <w:bottom w:val="nil"/>
            </w:tcBorders>
            <w:shd w:val="clear" w:color="000000" w:fill="auto"/>
          </w:tcPr>
          <w:p w14:paraId="7F63E0D3" w14:textId="089557FE" w:rsidR="00DA0437" w:rsidRPr="00A972CD" w:rsidRDefault="00DA0437">
            <w:pPr>
              <w:pStyle w:val="TableHeading"/>
              <w:spacing w:before="45" w:after="45"/>
              <w:ind w:right="108"/>
              <w:rPr>
                <w:rFonts w:ascii="Arial (Body)" w:hAnsi="Arial (Body)"/>
                <w:color w:val="265A9A"/>
              </w:rPr>
            </w:pPr>
            <w:r w:rsidRPr="00A972CD">
              <w:rPr>
                <w:rFonts w:ascii="Arial (Body)" w:hAnsi="Arial (Body)"/>
                <w:color w:val="265A9A"/>
              </w:rPr>
              <w:t>2022</w:t>
            </w:r>
            <w:r w:rsidR="007A61B4">
              <w:rPr>
                <w:rFonts w:ascii="Arial (Body)" w:hAnsi="Arial (Body)"/>
                <w:color w:val="265A9A"/>
              </w:rPr>
              <w:t>-</w:t>
            </w:r>
            <w:r w:rsidRPr="00A972CD">
              <w:rPr>
                <w:rFonts w:ascii="Arial (Body)" w:hAnsi="Arial (Body)"/>
                <w:color w:val="265A9A"/>
              </w:rPr>
              <w:t>23</w:t>
            </w:r>
          </w:p>
        </w:tc>
        <w:tc>
          <w:tcPr>
            <w:tcW w:w="637" w:type="pct"/>
            <w:tcBorders>
              <w:top w:val="nil"/>
              <w:bottom w:val="nil"/>
            </w:tcBorders>
            <w:shd w:val="clear" w:color="000000" w:fill="auto"/>
          </w:tcPr>
          <w:p w14:paraId="35B4EAB3"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$419.1</w:t>
            </w:r>
          </w:p>
        </w:tc>
        <w:tc>
          <w:tcPr>
            <w:tcW w:w="638" w:type="pct"/>
            <w:tcBorders>
              <w:top w:val="nil"/>
              <w:bottom w:val="nil"/>
            </w:tcBorders>
            <w:shd w:val="clear" w:color="000000" w:fill="auto"/>
          </w:tcPr>
          <w:p w14:paraId="789CAC2A"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$121.9</w:t>
            </w:r>
          </w:p>
        </w:tc>
        <w:tc>
          <w:tcPr>
            <w:tcW w:w="638" w:type="pct"/>
            <w:tcBorders>
              <w:top w:val="nil"/>
              <w:bottom w:val="nil"/>
            </w:tcBorders>
            <w:shd w:val="clear" w:color="000000" w:fill="auto"/>
          </w:tcPr>
          <w:p w14:paraId="2D85D0FA"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2.1%</w:t>
            </w:r>
          </w:p>
        </w:tc>
        <w:tc>
          <w:tcPr>
            <w:tcW w:w="637" w:type="pct"/>
            <w:tcBorders>
              <w:top w:val="nil"/>
              <w:bottom w:val="nil"/>
            </w:tcBorders>
            <w:shd w:val="clear" w:color="000000" w:fill="auto"/>
          </w:tcPr>
          <w:p w14:paraId="01AEDB45" w14:textId="22CFA225"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$1.3</w:t>
            </w:r>
            <w:r w:rsidR="00200862">
              <w:rPr>
                <w:rFonts w:ascii="Arial (Body)" w:hAnsi="Arial (Body)"/>
                <w:color w:val="000000"/>
              </w:rPr>
              <w:noBreakHyphen/>
            </w:r>
            <w:r w:rsidRPr="00A972CD">
              <w:rPr>
                <w:rFonts w:ascii="Arial (Body)" w:hAnsi="Arial (Body)"/>
                <w:color w:val="000000"/>
              </w:rPr>
              <w:t>3.8</w:t>
            </w:r>
          </w:p>
        </w:tc>
        <w:tc>
          <w:tcPr>
            <w:tcW w:w="638" w:type="pct"/>
            <w:tcBorders>
              <w:top w:val="nil"/>
              <w:bottom w:val="nil"/>
            </w:tcBorders>
            <w:shd w:val="clear" w:color="000000" w:fill="auto"/>
          </w:tcPr>
          <w:p w14:paraId="2C1E8E61"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$2.1</w:t>
            </w:r>
          </w:p>
        </w:tc>
        <w:tc>
          <w:tcPr>
            <w:tcW w:w="638" w:type="pct"/>
            <w:tcBorders>
              <w:top w:val="nil"/>
              <w:bottom w:val="nil"/>
            </w:tcBorders>
            <w:shd w:val="clear" w:color="000000" w:fill="auto"/>
          </w:tcPr>
          <w:p w14:paraId="2B48EE71"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$42.7</w:t>
            </w:r>
          </w:p>
        </w:tc>
        <w:tc>
          <w:tcPr>
            <w:tcW w:w="638" w:type="pct"/>
            <w:tcBorders>
              <w:top w:val="nil"/>
              <w:bottom w:val="nil"/>
            </w:tcBorders>
            <w:shd w:val="clear" w:color="000000" w:fill="auto"/>
          </w:tcPr>
          <w:p w14:paraId="27F02F4E" w14:textId="1344AD9E"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7.9</w:t>
            </w:r>
            <w:r w:rsidR="00200862">
              <w:rPr>
                <w:rFonts w:ascii="Arial (Body)" w:hAnsi="Arial (Body)"/>
                <w:color w:val="000000"/>
              </w:rPr>
              <w:noBreakHyphen/>
            </w:r>
            <w:r w:rsidRPr="00A972CD">
              <w:rPr>
                <w:rFonts w:ascii="Arial (Body)" w:hAnsi="Arial (Body)"/>
                <w:color w:val="000000"/>
              </w:rPr>
              <w:t>13.9%</w:t>
            </w:r>
          </w:p>
        </w:tc>
      </w:tr>
      <w:tr w:rsidR="00DA0437" w:rsidRPr="00A972CD" w14:paraId="4387313A" w14:textId="77777777" w:rsidTr="003F3F04">
        <w:trPr>
          <w:jc w:val="center"/>
        </w:trPr>
        <w:tc>
          <w:tcPr>
            <w:tcW w:w="538" w:type="pct"/>
            <w:tcBorders>
              <w:bottom w:val="single" w:sz="4" w:space="0" w:color="B3B3B3"/>
            </w:tcBorders>
            <w:shd w:val="clear" w:color="000000" w:fill="F2F2F2"/>
          </w:tcPr>
          <w:p w14:paraId="56CA38A1" w14:textId="55882B16" w:rsidR="00DA0437" w:rsidRPr="00A972CD" w:rsidRDefault="00DA0437">
            <w:pPr>
              <w:pStyle w:val="TableHeading"/>
              <w:spacing w:before="45" w:after="45"/>
              <w:ind w:right="108"/>
              <w:rPr>
                <w:rFonts w:ascii="Arial (Body)" w:hAnsi="Arial (Body)"/>
                <w:color w:val="265A9A"/>
              </w:rPr>
            </w:pPr>
            <w:r w:rsidRPr="00A972CD">
              <w:rPr>
                <w:rFonts w:ascii="Arial (Body)" w:hAnsi="Arial (Body)"/>
                <w:color w:val="265A9A"/>
              </w:rPr>
              <w:t>2023</w:t>
            </w:r>
            <w:r w:rsidR="007A61B4">
              <w:rPr>
                <w:rFonts w:ascii="Arial (Body)" w:hAnsi="Arial (Body)"/>
                <w:color w:val="265A9A"/>
              </w:rPr>
              <w:t>-</w:t>
            </w:r>
            <w:r w:rsidRPr="00A972CD">
              <w:rPr>
                <w:rFonts w:ascii="Arial (Body)" w:hAnsi="Arial (Body)"/>
                <w:color w:val="265A9A"/>
              </w:rPr>
              <w:t>24</w:t>
            </w:r>
          </w:p>
        </w:tc>
        <w:tc>
          <w:tcPr>
            <w:tcW w:w="637" w:type="pct"/>
            <w:tcBorders>
              <w:bottom w:val="single" w:sz="4" w:space="0" w:color="B3B3B3"/>
            </w:tcBorders>
            <w:shd w:val="clear" w:color="000000" w:fill="F2F2F2"/>
          </w:tcPr>
          <w:p w14:paraId="26EB6BE1"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$424.1</w:t>
            </w:r>
          </w:p>
        </w:tc>
        <w:tc>
          <w:tcPr>
            <w:tcW w:w="638" w:type="pct"/>
            <w:tcBorders>
              <w:bottom w:val="single" w:sz="4" w:space="0" w:color="B3B3B3"/>
            </w:tcBorders>
            <w:shd w:val="clear" w:color="000000" w:fill="F2F2F2"/>
          </w:tcPr>
          <w:p w14:paraId="30966617"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$134.1</w:t>
            </w:r>
          </w:p>
        </w:tc>
        <w:tc>
          <w:tcPr>
            <w:tcW w:w="638" w:type="pct"/>
            <w:tcBorders>
              <w:bottom w:val="single" w:sz="4" w:space="0" w:color="B3B3B3"/>
            </w:tcBorders>
            <w:shd w:val="clear" w:color="000000" w:fill="F2F2F2"/>
          </w:tcPr>
          <w:p w14:paraId="14D7418C"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2.0%</w:t>
            </w:r>
          </w:p>
        </w:tc>
        <w:tc>
          <w:tcPr>
            <w:tcW w:w="637" w:type="pct"/>
            <w:tcBorders>
              <w:bottom w:val="single" w:sz="4" w:space="0" w:color="B3B3B3"/>
            </w:tcBorders>
            <w:shd w:val="clear" w:color="000000" w:fill="F2F2F2"/>
          </w:tcPr>
          <w:p w14:paraId="20FA4C63" w14:textId="0629965B"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$1.3</w:t>
            </w:r>
            <w:r w:rsidR="00200862">
              <w:rPr>
                <w:rFonts w:ascii="Arial (Body)" w:hAnsi="Arial (Body)"/>
                <w:color w:val="000000"/>
              </w:rPr>
              <w:noBreakHyphen/>
            </w:r>
            <w:r w:rsidRPr="00A972CD">
              <w:rPr>
                <w:rFonts w:ascii="Arial (Body)" w:hAnsi="Arial (Body)"/>
                <w:color w:val="000000"/>
              </w:rPr>
              <w:t>4</w:t>
            </w:r>
          </w:p>
        </w:tc>
        <w:tc>
          <w:tcPr>
            <w:tcW w:w="638" w:type="pct"/>
            <w:tcBorders>
              <w:bottom w:val="single" w:sz="4" w:space="0" w:color="B3B3B3"/>
            </w:tcBorders>
            <w:shd w:val="clear" w:color="000000" w:fill="F2F2F2"/>
          </w:tcPr>
          <w:p w14:paraId="3D51321B"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$2.0</w:t>
            </w:r>
          </w:p>
        </w:tc>
        <w:tc>
          <w:tcPr>
            <w:tcW w:w="638" w:type="pct"/>
            <w:tcBorders>
              <w:bottom w:val="single" w:sz="4" w:space="0" w:color="B3B3B3"/>
            </w:tcBorders>
            <w:shd w:val="clear" w:color="000000" w:fill="F2F2F2"/>
          </w:tcPr>
          <w:p w14:paraId="6EFBFBDD" w14:textId="77777777"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$40.0</w:t>
            </w:r>
          </w:p>
        </w:tc>
        <w:tc>
          <w:tcPr>
            <w:tcW w:w="638" w:type="pct"/>
            <w:tcBorders>
              <w:bottom w:val="single" w:sz="4" w:space="0" w:color="B3B3B3"/>
            </w:tcBorders>
            <w:shd w:val="clear" w:color="000000" w:fill="F2F2F2"/>
          </w:tcPr>
          <w:p w14:paraId="53FA471E" w14:textId="0CBE07DD" w:rsidR="00DA0437" w:rsidRPr="00A972CD" w:rsidRDefault="00DA0437" w:rsidP="0087497C">
            <w:pPr>
              <w:pStyle w:val="TableBody"/>
              <w:spacing w:before="45" w:after="45"/>
              <w:ind w:right="108"/>
              <w:jc w:val="right"/>
              <w:rPr>
                <w:rFonts w:ascii="Arial (Body)" w:hAnsi="Arial (Body)"/>
                <w:color w:val="000000"/>
              </w:rPr>
            </w:pPr>
            <w:r w:rsidRPr="00A972CD">
              <w:rPr>
                <w:rFonts w:ascii="Arial (Body)" w:hAnsi="Arial (Body)"/>
                <w:color w:val="000000"/>
              </w:rPr>
              <w:t>8.3</w:t>
            </w:r>
            <w:r w:rsidR="00200862">
              <w:rPr>
                <w:rFonts w:ascii="Arial (Body)" w:hAnsi="Arial (Body)"/>
                <w:color w:val="000000"/>
              </w:rPr>
              <w:noBreakHyphen/>
            </w:r>
            <w:r w:rsidRPr="00A972CD">
              <w:rPr>
                <w:rFonts w:ascii="Arial (Body)" w:hAnsi="Arial (Body)"/>
                <w:color w:val="000000"/>
              </w:rPr>
              <w:t>15%</w:t>
            </w:r>
          </w:p>
        </w:tc>
      </w:tr>
    </w:tbl>
    <w:p w14:paraId="3478440E" w14:textId="7B841D3F" w:rsidR="00DA0437" w:rsidRPr="009713C9" w:rsidRDefault="00DA0437" w:rsidP="006D6A6A">
      <w:pPr>
        <w:pStyle w:val="Note"/>
      </w:pPr>
      <w:r w:rsidRPr="00A972CD">
        <w:rPr>
          <w:b/>
          <w:bCs/>
        </w:rPr>
        <w:t>a.</w:t>
      </w:r>
      <w:r w:rsidRPr="00A972CD">
        <w:t xml:space="preserve"> Compliance costs </w:t>
      </w:r>
      <w:r w:rsidR="00CA2E3A">
        <w:t>are</w:t>
      </w:r>
      <w:r w:rsidRPr="00A972CD">
        <w:t xml:space="preserve"> calculated by multiplying the value of imports that benefitted from a preferential agreement by the estimated compliance costs as a percentage of values of imports plus the cost of administering the tariff concessional system, estimated to be at least $5 million per annum </w:t>
      </w:r>
      <w:r w:rsidRPr="00C3452E">
        <w:rPr>
          <w:rFonts w:ascii="Arial" w:hAnsi="Arial" w:cs="Arial"/>
        </w:rPr>
        <w:t>(PC 2022, p. 33)</w:t>
      </w:r>
      <w:r w:rsidRPr="00A972CD">
        <w:t xml:space="preserve">. </w:t>
      </w:r>
      <w:r w:rsidR="00C83B99">
        <w:rPr>
          <w:b/>
          <w:bCs/>
        </w:rPr>
        <w:t>b.</w:t>
      </w:r>
      <w:r w:rsidRPr="00A972CD">
        <w:t xml:space="preserve"> To avoid false precision a 50% range is applied</w:t>
      </w:r>
      <w:r w:rsidRPr="00A972CD">
        <w:rPr>
          <w:rFonts w:ascii="Arial (Body)" w:hAnsi="Arial (Body)"/>
          <w:color w:val="000000" w:themeColor="text1"/>
        </w:rPr>
        <w:t xml:space="preserve">. </w:t>
      </w:r>
      <w:r w:rsidR="009713C9">
        <w:rPr>
          <w:b/>
          <w:bCs/>
        </w:rPr>
        <w:t>c</w:t>
      </w:r>
      <w:r w:rsidR="009713C9" w:rsidRPr="00A972CD">
        <w:rPr>
          <w:b/>
          <w:bCs/>
        </w:rPr>
        <w:t>.</w:t>
      </w:r>
      <w:r w:rsidR="009713C9">
        <w:rPr>
          <w:b/>
          <w:bCs/>
        </w:rPr>
        <w:t xml:space="preserve"> </w:t>
      </w:r>
      <w:r w:rsidR="00313F55">
        <w:t>Total imports</w:t>
      </w:r>
      <w:r w:rsidR="009713C9">
        <w:t xml:space="preserve"> </w:t>
      </w:r>
      <w:r w:rsidR="00D94C6F">
        <w:t xml:space="preserve">includes </w:t>
      </w:r>
      <w:r w:rsidR="002F2E4A">
        <w:t>excisable</w:t>
      </w:r>
      <w:r w:rsidR="00D94C6F">
        <w:t xml:space="preserve"> good</w:t>
      </w:r>
      <w:r w:rsidR="002F2E4A">
        <w:t xml:space="preserve">s and as a result cannot be directly compared to </w:t>
      </w:r>
      <w:r w:rsidR="003F3F04">
        <w:t>f</w:t>
      </w:r>
      <w:r w:rsidR="002F2E4A">
        <w:t>igure 2.2</w:t>
      </w:r>
      <w:r w:rsidR="00313F55">
        <w:t>.</w:t>
      </w:r>
    </w:p>
    <w:p w14:paraId="04D79997" w14:textId="282930D9" w:rsidR="00DA0437" w:rsidRPr="00C3452E" w:rsidRDefault="00DA0437" w:rsidP="006D6A6A">
      <w:pPr>
        <w:pStyle w:val="Source"/>
      </w:pPr>
      <w:r w:rsidRPr="00C3452E">
        <w:t xml:space="preserve">Source: </w:t>
      </w:r>
      <w:r w:rsidR="008C0C22">
        <w:t>PC</w:t>
      </w:r>
      <w:r w:rsidRPr="00C3452E">
        <w:t xml:space="preserve"> estimates using ABS </w:t>
      </w:r>
      <w:r w:rsidRPr="0028392B">
        <w:rPr>
          <w:rFonts w:ascii="Arial" w:hAnsi="Arial" w:cs="Arial"/>
        </w:rPr>
        <w:t>(2025a)</w:t>
      </w:r>
      <w:r w:rsidRPr="00C3452E">
        <w:t>.</w:t>
      </w:r>
    </w:p>
    <w:p w14:paraId="5333E287" w14:textId="2C9CD7E4" w:rsidR="0081377B" w:rsidRDefault="00A972CD" w:rsidP="00853179">
      <w:pPr>
        <w:pStyle w:val="Heading2"/>
      </w:pPr>
      <w:bookmarkStart w:id="38" w:name="_Toc202477852"/>
      <w:r w:rsidRPr="00853179">
        <w:t>Prospects</w:t>
      </w:r>
      <w:r>
        <w:t xml:space="preserve"> for further</w:t>
      </w:r>
      <w:r w:rsidR="005D166B">
        <w:t xml:space="preserve"> unilateral</w:t>
      </w:r>
      <w:r>
        <w:t xml:space="preserve"> </w:t>
      </w:r>
      <w:r w:rsidR="005D166B">
        <w:t>trade liberalisation</w:t>
      </w:r>
      <w:bookmarkEnd w:id="38"/>
    </w:p>
    <w:p w14:paraId="0B5AB969" w14:textId="543CE663" w:rsidR="00A972CD" w:rsidRDefault="0081377B" w:rsidP="0081377B">
      <w:pPr>
        <w:pStyle w:val="Heading3-noTOC"/>
      </w:pPr>
      <w:r>
        <w:t>T</w:t>
      </w:r>
      <w:r w:rsidR="00A972CD">
        <w:t>he next 500 tariffs (…</w:t>
      </w:r>
      <w:r w:rsidR="003F3F04">
        <w:t xml:space="preserve"> </w:t>
      </w:r>
      <w:r w:rsidR="00A972CD">
        <w:t>or more)</w:t>
      </w:r>
    </w:p>
    <w:p w14:paraId="336498EE" w14:textId="0E11DF0A" w:rsidR="005B3AD9" w:rsidRPr="00E037B4" w:rsidRDefault="005B3AD9" w:rsidP="005B3AD9">
      <w:pPr>
        <w:pStyle w:val="BodyText"/>
      </w:pPr>
      <w:r w:rsidRPr="007162DF">
        <w:t xml:space="preserve">Unilateral </w:t>
      </w:r>
      <w:r>
        <w:t>action</w:t>
      </w:r>
      <w:r w:rsidRPr="007162DF">
        <w:t xml:space="preserve"> continues to be the </w:t>
      </w:r>
      <w:r>
        <w:t xml:space="preserve">most straightforward </w:t>
      </w:r>
      <w:r w:rsidRPr="007162DF">
        <w:t xml:space="preserve">way </w:t>
      </w:r>
      <w:r>
        <w:t xml:space="preserve">in </w:t>
      </w:r>
      <w:r w:rsidRPr="007162DF">
        <w:t xml:space="preserve">which Australia can </w:t>
      </w:r>
      <w:r>
        <w:t>further liberalise trade</w:t>
      </w:r>
      <w:r w:rsidRPr="007162DF">
        <w:t>.</w:t>
      </w:r>
      <w:r>
        <w:t xml:space="preserve"> Further multilateral action through the World Trade Organisation is unlikely in the current trade policy environment (chapter 1). Further trade agreements might liberalise trade to a degree but may also increase the number of nuisance tariffs. </w:t>
      </w:r>
      <w:r w:rsidRPr="007162DF">
        <w:t xml:space="preserve">As shown in </w:t>
      </w:r>
      <w:r>
        <w:t>recent PC modelling,</w:t>
      </w:r>
      <w:r w:rsidRPr="007162DF">
        <w:t xml:space="preserve"> removing all tariffs in Australia </w:t>
      </w:r>
      <w:r>
        <w:t xml:space="preserve">could grow GDP by </w:t>
      </w:r>
      <w:r w:rsidRPr="007162DF">
        <w:t>$</w:t>
      </w:r>
      <w:r>
        <w:t>3 to $7</w:t>
      </w:r>
      <w:r w:rsidRPr="007162DF">
        <w:t xml:space="preserve"> billion</w:t>
      </w:r>
      <w:r>
        <w:t xml:space="preserve"> and reduce consumer prices by 0.13% to 0.25% </w:t>
      </w:r>
      <w:r w:rsidRPr="0028392B">
        <w:rPr>
          <w:rFonts w:ascii="Arial" w:hAnsi="Arial" w:cs="Arial"/>
        </w:rPr>
        <w:t>(PC 2024b, p. 18)</w:t>
      </w:r>
      <w:r w:rsidRPr="007162DF">
        <w:t>.</w:t>
      </w:r>
      <w:r>
        <w:t xml:space="preserve"> However,</w:t>
      </w:r>
      <w:r w:rsidDel="00EC35C1">
        <w:t xml:space="preserve"> </w:t>
      </w:r>
      <w:r>
        <w:t xml:space="preserve">fiscal and political constraints may prevent the removal of </w:t>
      </w:r>
      <w:r w:rsidR="001219CC">
        <w:t xml:space="preserve">all </w:t>
      </w:r>
      <w:r>
        <w:t xml:space="preserve">tariffs. History has shown that </w:t>
      </w:r>
      <w:r w:rsidR="007445D1">
        <w:t xml:space="preserve">trade liberalisation </w:t>
      </w:r>
      <w:r>
        <w:t xml:space="preserve">is often incremental. This section provides a simple framework for prioritising nuisance tariffs for potential removal as well as some other considerations that could help identify </w:t>
      </w:r>
      <w:r w:rsidR="00292D8F">
        <w:t>option</w:t>
      </w:r>
      <w:r>
        <w:t xml:space="preserve"> for</w:t>
      </w:r>
      <w:r w:rsidR="00623A8D">
        <w:t xml:space="preserve"> further</w:t>
      </w:r>
      <w:r>
        <w:t xml:space="preserve"> reform.</w:t>
      </w:r>
    </w:p>
    <w:p w14:paraId="1A1F09CA" w14:textId="4C814415" w:rsidR="00A972CD" w:rsidRDefault="00A972CD" w:rsidP="00A972CD">
      <w:pPr>
        <w:pStyle w:val="BodyText"/>
      </w:pPr>
      <w:r>
        <w:lastRenderedPageBreak/>
        <w:t xml:space="preserve">Australia’s low statutory tariff rate of 5% coupled with trade agreements covering most major trading partners means that tariffs have limited economic incidence in Australia. </w:t>
      </w:r>
      <w:r w:rsidR="00CC2765">
        <w:t>An initial prioritisation of</w:t>
      </w:r>
      <w:r>
        <w:t xml:space="preserve"> tariff</w:t>
      </w:r>
      <w:r w:rsidR="00CC2765">
        <w:t>s</w:t>
      </w:r>
      <w:r>
        <w:t xml:space="preserve"> </w:t>
      </w:r>
      <w:r w:rsidR="00E02695">
        <w:t xml:space="preserve">as targets </w:t>
      </w:r>
      <w:r w:rsidR="00CC2765">
        <w:t xml:space="preserve">for </w:t>
      </w:r>
      <w:r w:rsidR="00E02695">
        <w:t xml:space="preserve">a </w:t>
      </w:r>
      <w:r>
        <w:t xml:space="preserve">removal </w:t>
      </w:r>
      <w:r w:rsidR="00E02695">
        <w:t xml:space="preserve">assessment </w:t>
      </w:r>
      <w:r>
        <w:t xml:space="preserve">can instead </w:t>
      </w:r>
      <w:r w:rsidR="00CC2765">
        <w:t>focus</w:t>
      </w:r>
      <w:r>
        <w:t xml:space="preserve"> </w:t>
      </w:r>
      <w:r w:rsidR="00AD44DB">
        <w:t>on</w:t>
      </w:r>
      <w:r>
        <w:t xml:space="preserve"> examining:</w:t>
      </w:r>
    </w:p>
    <w:p w14:paraId="33C73D7C" w14:textId="1685F888" w:rsidR="00A972CD" w:rsidRDefault="00A972CD" w:rsidP="001124E7">
      <w:pPr>
        <w:pStyle w:val="ListBullet"/>
      </w:pPr>
      <w:r>
        <w:t>the</w:t>
      </w:r>
      <w:r w:rsidR="003B1F01">
        <w:t xml:space="preserve"> indicative</w:t>
      </w:r>
      <w:r>
        <w:t xml:space="preserve"> compliance cost to tariff revenue ratio</w:t>
      </w:r>
      <w:r w:rsidR="00726B42">
        <w:t xml:space="preserve"> </w:t>
      </w:r>
      <w:r>
        <w:t>and</w:t>
      </w:r>
    </w:p>
    <w:p w14:paraId="7D8E933D" w14:textId="77777777" w:rsidR="00A972CD" w:rsidRDefault="00A972CD" w:rsidP="001124E7">
      <w:pPr>
        <w:pStyle w:val="ListBullet"/>
      </w:pPr>
      <w:r>
        <w:t>the duties collected by the tariffs.</w:t>
      </w:r>
    </w:p>
    <w:p w14:paraId="61B37927" w14:textId="360D8BEB" w:rsidR="00A972CD" w:rsidRDefault="00A972CD" w:rsidP="00A972CD">
      <w:pPr>
        <w:pStyle w:val="BodyText"/>
      </w:pPr>
      <w:r>
        <w:t xml:space="preserve">This method recognises that while a high </w:t>
      </w:r>
      <w:r w:rsidR="003B1F01">
        <w:t xml:space="preserve">indicative </w:t>
      </w:r>
      <w:r>
        <w:t>compliance cost relative to revenue signals inefficiency, the absolute revenue amount still matters</w:t>
      </w:r>
      <w:r w:rsidR="00EA7F7F">
        <w:t xml:space="preserve">, especially for </w:t>
      </w:r>
      <w:r w:rsidR="00AA5FF0">
        <w:t>short</w:t>
      </w:r>
      <w:r w:rsidR="00A77E1F">
        <w:t>-</w:t>
      </w:r>
      <w:r w:rsidR="00AA5FF0">
        <w:t>term</w:t>
      </w:r>
      <w:r>
        <w:t xml:space="preserve"> budgetary considerations.</w:t>
      </w:r>
      <w:r w:rsidR="00A82BCC" w:rsidRPr="00A82BCC">
        <w:rPr>
          <w:rStyle w:val="FootnoteReference"/>
        </w:rPr>
        <w:t xml:space="preserve"> </w:t>
      </w:r>
      <w:r w:rsidR="00AB02F9">
        <w:t xml:space="preserve">While we cannot estimate a precise compliance cost for each tariff we can apply </w:t>
      </w:r>
      <w:r w:rsidR="002C47AB">
        <w:t>the</w:t>
      </w:r>
      <w:r w:rsidR="00AB02F9">
        <w:t xml:space="preserve"> </w:t>
      </w:r>
      <w:r w:rsidR="00AA7954">
        <w:t xml:space="preserve">lower bound </w:t>
      </w:r>
      <w:r w:rsidR="00AB02F9">
        <w:t xml:space="preserve">average </w:t>
      </w:r>
      <w:r w:rsidR="002C47AB">
        <w:t xml:space="preserve">from the PC model </w:t>
      </w:r>
      <w:r w:rsidR="00AB02F9">
        <w:t xml:space="preserve">to get a </w:t>
      </w:r>
      <w:r w:rsidR="00A82BCC">
        <w:t xml:space="preserve">rough barometer </w:t>
      </w:r>
      <w:r w:rsidR="002C47AB">
        <w:t xml:space="preserve">which helps identify </w:t>
      </w:r>
      <w:r w:rsidR="00A82BCC">
        <w:t>tariffs that incentivise high compliance behaviour</w:t>
      </w:r>
      <w:r w:rsidR="00AB02F9">
        <w:t>.</w:t>
      </w:r>
      <w:r w:rsidR="00A82BCC">
        <w:rPr>
          <w:rStyle w:val="FootnoteReference"/>
        </w:rPr>
        <w:footnoteReference w:id="18"/>
      </w:r>
      <w:r w:rsidR="00195BA5">
        <w:t xml:space="preserve"> It serves as a starting point </w:t>
      </w:r>
      <w:r w:rsidR="00E23A9E">
        <w:t>to develop a list of tariffs to investigate further.</w:t>
      </w:r>
      <w:r w:rsidR="004264DC" w:rsidRPr="004264DC">
        <w:rPr>
          <w:rStyle w:val="FootnoteReference"/>
        </w:rPr>
        <w:t xml:space="preserve"> </w:t>
      </w:r>
    </w:p>
    <w:p w14:paraId="114F3056" w14:textId="5176A7DD" w:rsidR="00082FC6" w:rsidRPr="00CD79D4" w:rsidRDefault="00791979" w:rsidP="00CD79D4">
      <w:pPr>
        <w:pStyle w:val="BodyText"/>
      </w:pPr>
      <w:r>
        <w:t>Table 2.2</w:t>
      </w:r>
      <w:r w:rsidR="005642CB" w:rsidRPr="00CD79D4">
        <w:t xml:space="preserve"> </w:t>
      </w:r>
      <w:r w:rsidR="001124E7" w:rsidRPr="00CD79D4">
        <w:t xml:space="preserve">prioritises nuisance tariffs for </w:t>
      </w:r>
      <w:r w:rsidR="00F202E1" w:rsidRPr="00CD79D4">
        <w:t xml:space="preserve">further investigation </w:t>
      </w:r>
      <w:r w:rsidR="001124E7" w:rsidRPr="00CD79D4">
        <w:t xml:space="preserve">into four groups based on their </w:t>
      </w:r>
      <w:r w:rsidR="003B1F01" w:rsidRPr="00CD79D4">
        <w:t xml:space="preserve">indicative </w:t>
      </w:r>
      <w:r w:rsidR="001124E7" w:rsidRPr="00CD79D4">
        <w:t>compliance cost</w:t>
      </w:r>
      <w:r w:rsidR="00200862" w:rsidRPr="00CD79D4">
        <w:noBreakHyphen/>
      </w:r>
      <w:r w:rsidR="001124E7" w:rsidRPr="00CD79D4">
        <w:t>to</w:t>
      </w:r>
      <w:r w:rsidR="00200862" w:rsidRPr="00CD79D4">
        <w:noBreakHyphen/>
      </w:r>
      <w:r w:rsidR="001124E7" w:rsidRPr="00CD79D4">
        <w:t xml:space="preserve">revenue ratio and total revenue collected. </w:t>
      </w:r>
      <w:r w:rsidR="004A3BAF" w:rsidRPr="00CD79D4">
        <w:t>Tariffs with a medium priority or higher have</w:t>
      </w:r>
      <w:r w:rsidR="00DD3C41" w:rsidRPr="00CD79D4">
        <w:t xml:space="preserve"> indicative</w:t>
      </w:r>
      <w:r w:rsidR="004A3BAF" w:rsidRPr="00CD79D4">
        <w:t xml:space="preserve"> compliance costs exceeding revenue even using the lower bound estimate of average compliance costs from </w:t>
      </w:r>
      <w:r w:rsidR="00B1399E" w:rsidRPr="00CD79D4">
        <w:t>the PC’s</w:t>
      </w:r>
      <w:r w:rsidR="004A3BAF" w:rsidRPr="00CD79D4">
        <w:t xml:space="preserve"> model as shown in the table. </w:t>
      </w:r>
      <w:r w:rsidR="00082FC6" w:rsidRPr="00CD79D4">
        <w:t>The table</w:t>
      </w:r>
      <w:r w:rsidR="004A3BAF" w:rsidRPr="00CD79D4">
        <w:t xml:space="preserve"> </w:t>
      </w:r>
      <w:r w:rsidR="001124E7" w:rsidRPr="00CD79D4">
        <w:t xml:space="preserve">also shows the share of products imported under PTA for each group, indicating how often agreements lower their duties. </w:t>
      </w:r>
    </w:p>
    <w:p w14:paraId="2650B647" w14:textId="085B081D" w:rsidR="00F84427" w:rsidRPr="00CD79D4" w:rsidRDefault="00FE694E" w:rsidP="00CD79D4">
      <w:pPr>
        <w:pStyle w:val="BodyText"/>
      </w:pPr>
      <w:r w:rsidRPr="00CD79D4">
        <w:t>Products subject to the</w:t>
      </w:r>
      <w:r w:rsidR="001124E7" w:rsidRPr="00CD79D4">
        <w:t xml:space="preserve"> </w:t>
      </w:r>
      <w:r w:rsidR="00E0226D" w:rsidRPr="00CD79D4">
        <w:t>315</w:t>
      </w:r>
      <w:r w:rsidR="001124E7" w:rsidRPr="00CD79D4">
        <w:t xml:space="preserve"> ‘urgent priority’ tariffs </w:t>
      </w:r>
      <w:r w:rsidRPr="00CD79D4">
        <w:t>are</w:t>
      </w:r>
      <w:r w:rsidR="001124E7" w:rsidRPr="00CD79D4">
        <w:t xml:space="preserve"> imported under PTA </w:t>
      </w:r>
      <w:r w:rsidR="00D539F8" w:rsidRPr="00CD79D4">
        <w:t>97% of the time</w:t>
      </w:r>
      <w:r w:rsidR="001124E7" w:rsidRPr="00CD79D4">
        <w:t xml:space="preserve">, while </w:t>
      </w:r>
      <w:r w:rsidR="00D60CD4" w:rsidRPr="00CD79D4">
        <w:t>products</w:t>
      </w:r>
      <w:r w:rsidR="00083BC2" w:rsidRPr="00CD79D4">
        <w:t xml:space="preserve"> in the </w:t>
      </w:r>
      <w:r w:rsidR="001124E7" w:rsidRPr="00CD79D4">
        <w:t xml:space="preserve">lowest priority group </w:t>
      </w:r>
      <w:r w:rsidR="00083BC2" w:rsidRPr="00CD79D4">
        <w:t xml:space="preserve">have </w:t>
      </w:r>
      <w:r w:rsidR="001124E7" w:rsidRPr="00CD79D4">
        <w:t>lower PTA use (</w:t>
      </w:r>
      <w:r w:rsidR="00D539F8" w:rsidRPr="00CD79D4">
        <w:t>62%</w:t>
      </w:r>
      <w:r w:rsidR="001124E7" w:rsidRPr="00CD79D4">
        <w:t>)</w:t>
      </w:r>
      <w:r w:rsidR="00D60CD4" w:rsidRPr="00CD79D4">
        <w:t>.</w:t>
      </w:r>
      <w:r w:rsidR="001124E7" w:rsidRPr="00CD79D4">
        <w:t xml:space="preserve"> </w:t>
      </w:r>
      <w:r w:rsidR="00EB0BCB" w:rsidRPr="00CD79D4">
        <w:t>This may be</w:t>
      </w:r>
      <w:r w:rsidR="001124E7" w:rsidRPr="00CD79D4">
        <w:t xml:space="preserve"> due to these products not being covered by existing PTAs or being imported from countries which do not have a PTA with Australia. </w:t>
      </w:r>
    </w:p>
    <w:p w14:paraId="383D1E77" w14:textId="610FE2D6" w:rsidR="00A972CD" w:rsidRDefault="001124E7" w:rsidP="00A972CD">
      <w:pPr>
        <w:pStyle w:val="Caption"/>
        <w:keepNext/>
      </w:pPr>
      <w:bookmarkStart w:id="39" w:name="_Ref201227910"/>
      <w:r>
        <w:t xml:space="preserve">Table </w:t>
      </w:r>
      <w:r w:rsidR="00665312">
        <w:fldChar w:fldCharType="begin"/>
      </w:r>
      <w:r w:rsidR="00665312">
        <w:instrText xml:space="preserve"> STYLEREF 1 \s </w:instrText>
      </w:r>
      <w:r w:rsidR="00665312">
        <w:fldChar w:fldCharType="separate"/>
      </w:r>
      <w:r w:rsidR="004A080B">
        <w:rPr>
          <w:noProof/>
        </w:rPr>
        <w:t>2</w:t>
      </w:r>
      <w:r w:rsidR="00665312">
        <w:fldChar w:fldCharType="end"/>
      </w:r>
      <w:r w:rsidR="00665312">
        <w:t>.</w:t>
      </w:r>
      <w:r w:rsidR="00665312">
        <w:fldChar w:fldCharType="begin"/>
      </w:r>
      <w:r w:rsidR="00665312">
        <w:instrText xml:space="preserve"> SEQ Table \* ARABIC \s 1 </w:instrText>
      </w:r>
      <w:r w:rsidR="00665312">
        <w:fldChar w:fldCharType="separate"/>
      </w:r>
      <w:r w:rsidR="004A080B">
        <w:rPr>
          <w:noProof/>
        </w:rPr>
        <w:t>2</w:t>
      </w:r>
      <w:r w:rsidR="00665312">
        <w:fldChar w:fldCharType="end"/>
      </w:r>
      <w:bookmarkEnd w:id="39"/>
      <w:r w:rsidR="0024712D">
        <w:t xml:space="preserve"> –</w:t>
      </w:r>
      <w:r w:rsidR="00A972CD">
        <w:t xml:space="preserve"> A simple framework for prioritising tariffs</w:t>
      </w:r>
      <w:r w:rsidR="00F202E1">
        <w:t xml:space="preserve"> for </w:t>
      </w:r>
      <w:r w:rsidR="00E02695">
        <w:t>a removal assessment</w:t>
      </w:r>
      <w:r w:rsidR="00A972CD">
        <w:rPr>
          <w:vertAlign w:val="superscript"/>
        </w:rPr>
        <w:t>,</w:t>
      </w:r>
      <w:r w:rsidR="00A972CD">
        <w:rPr>
          <w:b/>
          <w:bCs/>
          <w:vertAlign w:val="superscript"/>
        </w:rPr>
        <w:t>b</w:t>
      </w:r>
    </w:p>
    <w:p w14:paraId="1BC67B26" w14:textId="2C9C75A1" w:rsidR="00A972CD" w:rsidRPr="00091FCD" w:rsidRDefault="00A972CD" w:rsidP="00A972CD">
      <w:pPr>
        <w:pStyle w:val="FigureTableSubheading"/>
      </w:pPr>
      <w:r>
        <w:t>Classification of analysed 2023</w:t>
      </w:r>
      <w:r w:rsidR="00434F99">
        <w:t>-</w:t>
      </w:r>
      <w:r>
        <w:t xml:space="preserve">24 import data, summarised to </w:t>
      </w:r>
      <w:r w:rsidDel="00386DFC">
        <w:t>8</w:t>
      </w:r>
      <w:r w:rsidR="00386DFC">
        <w:t>-digit</w:t>
      </w:r>
      <w:r>
        <w:t xml:space="preserve"> Customs Tariff</w:t>
      </w:r>
    </w:p>
    <w:tbl>
      <w:tblPr>
        <w:tblStyle w:val="TableGrid"/>
        <w:tblW w:w="0" w:type="auto"/>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98"/>
        <w:gridCol w:w="2533"/>
        <w:gridCol w:w="1557"/>
        <w:gridCol w:w="628"/>
        <w:gridCol w:w="1061"/>
        <w:gridCol w:w="6"/>
        <w:gridCol w:w="1802"/>
        <w:gridCol w:w="653"/>
      </w:tblGrid>
      <w:tr w:rsidR="00386DFC" w:rsidRPr="00B131FE" w14:paraId="2BA48190" w14:textId="77777777" w:rsidTr="00616F0E">
        <w:trPr>
          <w:tblHeader/>
        </w:trPr>
        <w:tc>
          <w:tcPr>
            <w:tcW w:w="1398" w:type="dxa"/>
            <w:tcBorders>
              <w:bottom w:val="single" w:sz="4" w:space="0" w:color="B3B3B3"/>
            </w:tcBorders>
            <w:shd w:val="clear" w:color="000000" w:fill="auto"/>
            <w:vAlign w:val="bottom"/>
          </w:tcPr>
          <w:p w14:paraId="286F11F6" w14:textId="77777777" w:rsidR="00386DFC" w:rsidRPr="00B131FE" w:rsidRDefault="00386DFC" w:rsidP="00837C7A">
            <w:pPr>
              <w:pStyle w:val="BodyText"/>
              <w:spacing w:before="45" w:after="45"/>
              <w:ind w:left="57" w:right="108"/>
              <w:rPr>
                <w:rFonts w:ascii="Arial (Body)" w:hAnsi="Arial (Body)"/>
                <w:b/>
                <w:color w:val="265A9A"/>
                <w:sz w:val="18"/>
              </w:rPr>
            </w:pPr>
            <w:r w:rsidRPr="00B131FE">
              <w:rPr>
                <w:rFonts w:ascii="Arial (Body)" w:hAnsi="Arial (Body)"/>
                <w:b/>
                <w:color w:val="265A9A"/>
                <w:sz w:val="18"/>
              </w:rPr>
              <w:t>Prioritisation</w:t>
            </w:r>
          </w:p>
        </w:tc>
        <w:tc>
          <w:tcPr>
            <w:tcW w:w="2533" w:type="dxa"/>
            <w:tcBorders>
              <w:bottom w:val="single" w:sz="4" w:space="0" w:color="B3B3B3"/>
            </w:tcBorders>
            <w:shd w:val="clear" w:color="000000" w:fill="auto"/>
            <w:vAlign w:val="bottom"/>
          </w:tcPr>
          <w:p w14:paraId="4810C3D6" w14:textId="16EA86A8" w:rsidR="00386DFC" w:rsidRPr="00B131FE" w:rsidRDefault="00386DFC" w:rsidP="00837C7A">
            <w:pPr>
              <w:pStyle w:val="BodyText"/>
              <w:spacing w:before="45" w:after="45"/>
              <w:ind w:left="57" w:right="108"/>
              <w:rPr>
                <w:rFonts w:ascii="Arial (Body)" w:hAnsi="Arial (Body)"/>
                <w:b/>
                <w:color w:val="265A9A"/>
                <w:sz w:val="18"/>
              </w:rPr>
            </w:pPr>
            <w:r>
              <w:rPr>
                <w:rFonts w:ascii="Arial (Body)" w:hAnsi="Arial (Body)"/>
                <w:b/>
                <w:color w:val="265A9A"/>
                <w:sz w:val="18"/>
              </w:rPr>
              <w:t>Indicative c</w:t>
            </w:r>
            <w:r w:rsidRPr="00B131FE">
              <w:rPr>
                <w:rFonts w:ascii="Arial (Body)" w:hAnsi="Arial (Body)"/>
                <w:b/>
                <w:color w:val="265A9A"/>
                <w:sz w:val="18"/>
              </w:rPr>
              <w:t>ompliance cost to revenue ratio</w:t>
            </w:r>
          </w:p>
        </w:tc>
        <w:tc>
          <w:tcPr>
            <w:tcW w:w="1557" w:type="dxa"/>
            <w:tcBorders>
              <w:bottom w:val="single" w:sz="4" w:space="0" w:color="B3B3B3"/>
            </w:tcBorders>
            <w:shd w:val="clear" w:color="000000" w:fill="auto"/>
            <w:vAlign w:val="bottom"/>
          </w:tcPr>
          <w:p w14:paraId="4635CECB" w14:textId="77777777" w:rsidR="00386DFC" w:rsidRPr="00B131FE" w:rsidRDefault="00386DFC" w:rsidP="00837C7A">
            <w:pPr>
              <w:pStyle w:val="BodyText"/>
              <w:spacing w:before="45" w:after="45"/>
              <w:ind w:left="57" w:right="108"/>
              <w:rPr>
                <w:rFonts w:ascii="Arial (Body)" w:hAnsi="Arial (Body)"/>
                <w:b/>
                <w:color w:val="265A9A"/>
                <w:sz w:val="18"/>
              </w:rPr>
            </w:pPr>
            <w:r w:rsidRPr="00B131FE">
              <w:rPr>
                <w:rFonts w:ascii="Arial (Body)" w:hAnsi="Arial (Body)"/>
                <w:b/>
                <w:color w:val="265A9A"/>
                <w:sz w:val="18"/>
              </w:rPr>
              <w:t xml:space="preserve">Tariff revenue </w:t>
            </w:r>
          </w:p>
        </w:tc>
        <w:tc>
          <w:tcPr>
            <w:tcW w:w="628" w:type="dxa"/>
            <w:tcBorders>
              <w:bottom w:val="single" w:sz="4" w:space="0" w:color="B3B3B3"/>
            </w:tcBorders>
            <w:shd w:val="clear" w:color="000000" w:fill="auto"/>
            <w:vAlign w:val="bottom"/>
          </w:tcPr>
          <w:p w14:paraId="194B2AB9" w14:textId="1B41D871" w:rsidR="00386DFC" w:rsidRPr="00B131FE" w:rsidRDefault="00386DFC" w:rsidP="00013130">
            <w:pPr>
              <w:pStyle w:val="BodyText"/>
              <w:spacing w:before="45" w:after="45"/>
              <w:ind w:right="108"/>
              <w:jc w:val="right"/>
              <w:rPr>
                <w:rFonts w:ascii="Arial (Body)" w:hAnsi="Arial (Body)"/>
                <w:b/>
                <w:color w:val="265A9A"/>
                <w:sz w:val="18"/>
              </w:rPr>
            </w:pPr>
            <w:r>
              <w:rPr>
                <w:rFonts w:ascii="Arial (Body)" w:hAnsi="Arial (Body)"/>
                <w:b/>
                <w:color w:val="265A9A"/>
                <w:sz w:val="18"/>
              </w:rPr>
              <w:t>Count</w:t>
            </w:r>
          </w:p>
        </w:tc>
        <w:tc>
          <w:tcPr>
            <w:tcW w:w="1061" w:type="dxa"/>
            <w:tcBorders>
              <w:bottom w:val="single" w:sz="4" w:space="0" w:color="B3B3B3"/>
            </w:tcBorders>
            <w:shd w:val="clear" w:color="000000" w:fill="auto"/>
          </w:tcPr>
          <w:p w14:paraId="12078F5E" w14:textId="0B87A708" w:rsidR="00386DFC" w:rsidRDefault="00386DFC" w:rsidP="00013130">
            <w:pPr>
              <w:pStyle w:val="BodyText"/>
              <w:spacing w:before="45" w:after="45"/>
              <w:ind w:right="108"/>
              <w:jc w:val="right"/>
              <w:rPr>
                <w:rFonts w:ascii="Arial (Body)" w:hAnsi="Arial (Body)"/>
                <w:b/>
                <w:color w:val="265A9A"/>
                <w:sz w:val="18"/>
              </w:rPr>
            </w:pPr>
            <w:r>
              <w:rPr>
                <w:rFonts w:ascii="Arial (Body)" w:hAnsi="Arial (Body)"/>
                <w:b/>
                <w:color w:val="265A9A"/>
                <w:sz w:val="18"/>
              </w:rPr>
              <w:t>Revenue</w:t>
            </w:r>
          </w:p>
          <w:p w14:paraId="33E6A0A9" w14:textId="153A1DB6" w:rsidR="00386DFC" w:rsidRDefault="00386DFC" w:rsidP="00013130">
            <w:pPr>
              <w:pStyle w:val="BodyText"/>
              <w:spacing w:before="45" w:after="45"/>
              <w:ind w:right="108"/>
              <w:jc w:val="right"/>
              <w:rPr>
                <w:rFonts w:ascii="Arial (Body)" w:hAnsi="Arial (Body)"/>
                <w:b/>
                <w:color w:val="265A9A"/>
                <w:sz w:val="18"/>
              </w:rPr>
            </w:pPr>
            <w:r>
              <w:rPr>
                <w:rFonts w:ascii="Arial (Body)" w:hAnsi="Arial (Body)"/>
                <w:b/>
                <w:color w:val="265A9A"/>
                <w:sz w:val="18"/>
              </w:rPr>
              <w:t>($ million)</w:t>
            </w:r>
          </w:p>
        </w:tc>
        <w:tc>
          <w:tcPr>
            <w:tcW w:w="6" w:type="dxa"/>
            <w:tcBorders>
              <w:bottom w:val="single" w:sz="4" w:space="0" w:color="B3B3B3"/>
            </w:tcBorders>
            <w:shd w:val="clear" w:color="000000" w:fill="auto"/>
          </w:tcPr>
          <w:p w14:paraId="13B12D36" w14:textId="77777777" w:rsidR="00386DFC" w:rsidRDefault="00386DFC" w:rsidP="00013130">
            <w:pPr>
              <w:pStyle w:val="BodyText"/>
              <w:spacing w:before="45" w:after="45"/>
              <w:ind w:right="108"/>
              <w:jc w:val="right"/>
              <w:rPr>
                <w:rFonts w:ascii="Arial (Body)" w:hAnsi="Arial (Body)"/>
                <w:b/>
                <w:color w:val="265A9A"/>
                <w:sz w:val="18"/>
              </w:rPr>
            </w:pPr>
          </w:p>
        </w:tc>
        <w:tc>
          <w:tcPr>
            <w:tcW w:w="1802" w:type="dxa"/>
            <w:tcBorders>
              <w:bottom w:val="single" w:sz="4" w:space="0" w:color="B3B3B3"/>
            </w:tcBorders>
            <w:shd w:val="clear" w:color="000000" w:fill="auto"/>
          </w:tcPr>
          <w:p w14:paraId="210244FC" w14:textId="6026F30B" w:rsidR="00386DFC" w:rsidRDefault="00386DFC" w:rsidP="00013130">
            <w:pPr>
              <w:pStyle w:val="BodyText"/>
              <w:spacing w:before="45" w:after="45"/>
              <w:ind w:right="108"/>
              <w:jc w:val="right"/>
              <w:rPr>
                <w:rFonts w:ascii="Arial (Body)" w:hAnsi="Arial (Body)"/>
                <w:b/>
                <w:color w:val="265A9A"/>
                <w:sz w:val="18"/>
              </w:rPr>
            </w:pPr>
            <w:r>
              <w:rPr>
                <w:rFonts w:ascii="Arial (Body)" w:hAnsi="Arial (Body)"/>
                <w:b/>
                <w:color w:val="265A9A"/>
                <w:sz w:val="18"/>
              </w:rPr>
              <w:t>Compliance cost ($</w:t>
            </w:r>
            <w:r w:rsidR="00B82630">
              <w:rPr>
                <w:rFonts w:ascii="Arial (Body)" w:hAnsi="Arial (Body)" w:hint="eastAsia"/>
                <w:b/>
                <w:color w:val="265A9A"/>
                <w:sz w:val="18"/>
              </w:rPr>
              <w:t> </w:t>
            </w:r>
            <w:r>
              <w:rPr>
                <w:rFonts w:ascii="Arial (Body)" w:hAnsi="Arial (Body)"/>
                <w:b/>
                <w:color w:val="265A9A"/>
                <w:sz w:val="18"/>
              </w:rPr>
              <w:t>million)</w:t>
            </w:r>
          </w:p>
        </w:tc>
        <w:tc>
          <w:tcPr>
            <w:tcW w:w="653" w:type="dxa"/>
            <w:tcBorders>
              <w:bottom w:val="single" w:sz="4" w:space="0" w:color="B3B3B3"/>
            </w:tcBorders>
            <w:shd w:val="clear" w:color="000000" w:fill="auto"/>
          </w:tcPr>
          <w:p w14:paraId="73B2C10A" w14:textId="782A1675" w:rsidR="00386DFC" w:rsidRPr="00B131FE" w:rsidRDefault="00386DFC" w:rsidP="00013130">
            <w:pPr>
              <w:pStyle w:val="BodyText"/>
              <w:spacing w:before="45" w:after="45"/>
              <w:ind w:right="108"/>
              <w:jc w:val="right"/>
              <w:rPr>
                <w:rFonts w:ascii="Arial (Body)" w:hAnsi="Arial (Body)"/>
                <w:b/>
                <w:color w:val="265A9A"/>
                <w:sz w:val="18"/>
              </w:rPr>
            </w:pPr>
            <w:r>
              <w:rPr>
                <w:rFonts w:ascii="Arial (Body)" w:hAnsi="Arial (Body)"/>
                <w:b/>
                <w:color w:val="265A9A"/>
                <w:sz w:val="18"/>
              </w:rPr>
              <w:t>PTA use</w:t>
            </w:r>
          </w:p>
        </w:tc>
      </w:tr>
      <w:tr w:rsidR="00386DFC" w:rsidRPr="00B131FE" w14:paraId="786743D3" w14:textId="77777777" w:rsidTr="00616F0E">
        <w:tc>
          <w:tcPr>
            <w:tcW w:w="1398" w:type="dxa"/>
            <w:tcBorders>
              <w:top w:val="single" w:sz="4" w:space="0" w:color="B3B3B3"/>
              <w:bottom w:val="nil"/>
            </w:tcBorders>
            <w:shd w:val="clear" w:color="000000" w:fill="F2F2F2"/>
          </w:tcPr>
          <w:p w14:paraId="610B3E90" w14:textId="77777777" w:rsidR="00386DFC" w:rsidRPr="00B131FE" w:rsidRDefault="00386DFC" w:rsidP="00837C7A">
            <w:pPr>
              <w:pStyle w:val="BodyText"/>
              <w:spacing w:before="45" w:after="45"/>
              <w:ind w:left="57" w:right="108"/>
              <w:rPr>
                <w:rFonts w:ascii="Arial (Body)" w:hAnsi="Arial (Body)"/>
                <w:b/>
                <w:color w:val="265A9A"/>
                <w:sz w:val="18"/>
              </w:rPr>
            </w:pPr>
            <w:r>
              <w:rPr>
                <w:rFonts w:ascii="Arial (Body)" w:hAnsi="Arial (Body)"/>
                <w:b/>
                <w:color w:val="265A9A"/>
                <w:sz w:val="18"/>
              </w:rPr>
              <w:t>Urgent priority</w:t>
            </w:r>
          </w:p>
        </w:tc>
        <w:tc>
          <w:tcPr>
            <w:tcW w:w="2533" w:type="dxa"/>
            <w:tcBorders>
              <w:top w:val="single" w:sz="4" w:space="0" w:color="B3B3B3"/>
              <w:bottom w:val="nil"/>
            </w:tcBorders>
            <w:shd w:val="clear" w:color="000000" w:fill="F2F2F2"/>
          </w:tcPr>
          <w:p w14:paraId="076BFE92" w14:textId="77777777" w:rsidR="00386DFC" w:rsidRPr="00B131FE" w:rsidRDefault="00386DFC" w:rsidP="00837C7A">
            <w:pPr>
              <w:pStyle w:val="BodyText"/>
              <w:spacing w:before="45" w:after="45"/>
              <w:ind w:left="57" w:right="108"/>
              <w:rPr>
                <w:rFonts w:ascii="Arial (Body)" w:hAnsi="Arial (Body)"/>
                <w:color w:val="000000"/>
                <w:sz w:val="18"/>
              </w:rPr>
            </w:pPr>
            <w:r>
              <w:rPr>
                <w:rFonts w:ascii="Arial (Body)" w:hAnsi="Arial (Body)"/>
                <w:color w:val="000000"/>
                <w:sz w:val="18"/>
              </w:rPr>
              <w:t>Very high &gt; 5 ratio</w:t>
            </w:r>
          </w:p>
        </w:tc>
        <w:tc>
          <w:tcPr>
            <w:tcW w:w="1557" w:type="dxa"/>
            <w:tcBorders>
              <w:top w:val="single" w:sz="4" w:space="0" w:color="B3B3B3"/>
              <w:bottom w:val="nil"/>
            </w:tcBorders>
            <w:shd w:val="clear" w:color="000000" w:fill="F2F2F2"/>
          </w:tcPr>
          <w:p w14:paraId="5511DBDD" w14:textId="77777777" w:rsidR="00386DFC" w:rsidRPr="00B131FE" w:rsidRDefault="00386DFC" w:rsidP="00837C7A">
            <w:pPr>
              <w:pStyle w:val="BodyText"/>
              <w:spacing w:before="45" w:after="45"/>
              <w:ind w:left="57" w:right="108"/>
              <w:rPr>
                <w:rFonts w:ascii="Arial (Body)" w:hAnsi="Arial (Body)"/>
                <w:color w:val="000000"/>
                <w:sz w:val="18"/>
              </w:rPr>
            </w:pPr>
            <w:r w:rsidRPr="00B131FE">
              <w:rPr>
                <w:rFonts w:ascii="Arial (Body)" w:hAnsi="Arial (Body)"/>
                <w:color w:val="000000"/>
                <w:sz w:val="18"/>
              </w:rPr>
              <w:t>Any revenue</w:t>
            </w:r>
          </w:p>
        </w:tc>
        <w:tc>
          <w:tcPr>
            <w:tcW w:w="628" w:type="dxa"/>
            <w:tcBorders>
              <w:top w:val="single" w:sz="4" w:space="0" w:color="B3B3B3"/>
              <w:bottom w:val="nil"/>
            </w:tcBorders>
            <w:shd w:val="clear" w:color="000000" w:fill="F2F2F2"/>
          </w:tcPr>
          <w:p w14:paraId="292C894C" w14:textId="18DE36DF" w:rsidR="00386DFC" w:rsidRPr="00B131FE"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315</w:t>
            </w:r>
          </w:p>
        </w:tc>
        <w:tc>
          <w:tcPr>
            <w:tcW w:w="1061" w:type="dxa"/>
            <w:tcBorders>
              <w:top w:val="single" w:sz="4" w:space="0" w:color="B3B3B3"/>
              <w:bottom w:val="nil"/>
            </w:tcBorders>
            <w:shd w:val="clear" w:color="000000" w:fill="F2F2F2"/>
          </w:tcPr>
          <w:p w14:paraId="40D1B394" w14:textId="17631C7C"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$13.0</w:t>
            </w:r>
          </w:p>
        </w:tc>
        <w:tc>
          <w:tcPr>
            <w:tcW w:w="6" w:type="dxa"/>
            <w:tcBorders>
              <w:top w:val="single" w:sz="4" w:space="0" w:color="B3B3B3"/>
              <w:bottom w:val="nil"/>
            </w:tcBorders>
            <w:shd w:val="clear" w:color="000000" w:fill="F2F2F2"/>
          </w:tcPr>
          <w:p w14:paraId="6DBBA581" w14:textId="77777777" w:rsidR="00386DFC" w:rsidRDefault="00386DFC" w:rsidP="00013130">
            <w:pPr>
              <w:pStyle w:val="BodyText"/>
              <w:spacing w:before="45" w:after="45"/>
              <w:ind w:right="108"/>
              <w:jc w:val="right"/>
              <w:rPr>
                <w:rFonts w:ascii="Arial (Body)" w:hAnsi="Arial (Body)"/>
                <w:color w:val="000000"/>
                <w:sz w:val="18"/>
              </w:rPr>
            </w:pPr>
          </w:p>
        </w:tc>
        <w:tc>
          <w:tcPr>
            <w:tcW w:w="1802" w:type="dxa"/>
            <w:tcBorders>
              <w:top w:val="single" w:sz="4" w:space="0" w:color="B3B3B3"/>
              <w:bottom w:val="nil"/>
            </w:tcBorders>
            <w:shd w:val="clear" w:color="000000" w:fill="F2F2F2"/>
          </w:tcPr>
          <w:p w14:paraId="24F0B428" w14:textId="68966C0A"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~$145.8</w:t>
            </w:r>
          </w:p>
        </w:tc>
        <w:tc>
          <w:tcPr>
            <w:tcW w:w="653" w:type="dxa"/>
            <w:tcBorders>
              <w:top w:val="single" w:sz="4" w:space="0" w:color="B3B3B3"/>
              <w:bottom w:val="nil"/>
            </w:tcBorders>
            <w:shd w:val="clear" w:color="000000" w:fill="F2F2F2"/>
          </w:tcPr>
          <w:p w14:paraId="2C9C048C" w14:textId="1A2A539D"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97%</w:t>
            </w:r>
          </w:p>
        </w:tc>
      </w:tr>
      <w:tr w:rsidR="00386DFC" w:rsidRPr="00B131FE" w14:paraId="08559F35" w14:textId="77777777" w:rsidTr="00616F0E">
        <w:tc>
          <w:tcPr>
            <w:tcW w:w="1398" w:type="dxa"/>
            <w:tcBorders>
              <w:top w:val="nil"/>
              <w:bottom w:val="nil"/>
            </w:tcBorders>
            <w:shd w:val="clear" w:color="000000" w:fill="auto"/>
          </w:tcPr>
          <w:p w14:paraId="2CA1F51B" w14:textId="77777777" w:rsidR="00386DFC" w:rsidRPr="00B131FE" w:rsidRDefault="00386DFC" w:rsidP="00837C7A">
            <w:pPr>
              <w:pStyle w:val="BodyText"/>
              <w:spacing w:before="45" w:after="45"/>
              <w:ind w:left="57" w:right="108"/>
              <w:rPr>
                <w:rFonts w:ascii="Arial (Body)" w:hAnsi="Arial (Body)"/>
                <w:b/>
                <w:color w:val="265A9A"/>
                <w:sz w:val="18"/>
              </w:rPr>
            </w:pPr>
            <w:r>
              <w:rPr>
                <w:rFonts w:ascii="Arial (Body)" w:hAnsi="Arial (Body)"/>
                <w:b/>
                <w:color w:val="265A9A"/>
                <w:sz w:val="18"/>
              </w:rPr>
              <w:t>High priority</w:t>
            </w:r>
          </w:p>
        </w:tc>
        <w:tc>
          <w:tcPr>
            <w:tcW w:w="2533" w:type="dxa"/>
            <w:tcBorders>
              <w:top w:val="nil"/>
              <w:bottom w:val="nil"/>
            </w:tcBorders>
            <w:shd w:val="clear" w:color="000000" w:fill="auto"/>
          </w:tcPr>
          <w:p w14:paraId="5C44E599" w14:textId="1FC87AF1" w:rsidR="00386DFC" w:rsidRPr="00B131FE" w:rsidRDefault="00386DFC" w:rsidP="00837C7A">
            <w:pPr>
              <w:pStyle w:val="BodyText"/>
              <w:spacing w:before="45" w:after="45"/>
              <w:ind w:left="57" w:right="108"/>
              <w:rPr>
                <w:rFonts w:ascii="Arial (Body)" w:hAnsi="Arial (Body)"/>
                <w:color w:val="000000"/>
                <w:sz w:val="18"/>
              </w:rPr>
            </w:pPr>
            <w:r w:rsidRPr="00B131FE">
              <w:rPr>
                <w:rFonts w:ascii="Arial (Body)" w:hAnsi="Arial (Body)"/>
                <w:color w:val="000000"/>
                <w:sz w:val="18"/>
              </w:rPr>
              <w:t>High</w:t>
            </w:r>
            <w:r>
              <w:rPr>
                <w:rFonts w:ascii="Arial (Body)" w:hAnsi="Arial (Body)"/>
                <w:color w:val="000000"/>
                <w:sz w:val="18"/>
              </w:rPr>
              <w:t xml:space="preserve"> </w:t>
            </w:r>
            <m:oMath>
              <m:r>
                <w:rPr>
                  <w:rFonts w:ascii="Cambria Math" w:hAnsi="Cambria Math"/>
                  <w:color w:val="000000"/>
                  <w:sz w:val="18"/>
                </w:rPr>
                <m:t>(1</m:t>
              </m:r>
              <m:r>
                <m:rPr>
                  <m:sty m:val="p"/>
                </m:rPr>
                <w:rPr>
                  <w:rFonts w:ascii="Cambria Math" w:hAnsi="Cambria Math"/>
                  <w:color w:val="000000"/>
                  <w:sz w:val="18"/>
                </w:rPr>
                <m:t>&lt;</m:t>
              </m:r>
              <m:r>
                <w:rPr>
                  <w:rFonts w:ascii="Cambria Math" w:hAnsi="Cambria Math"/>
                  <w:color w:val="000000"/>
                  <w:sz w:val="18"/>
                </w:rPr>
                <m:t>ratio</m:t>
              </m:r>
              <m:r>
                <m:rPr>
                  <m:sty m:val="p"/>
                </m:rPr>
                <w:rPr>
                  <w:rFonts w:ascii="Cambria Math" w:hAnsi="Cambria Math"/>
                  <w:color w:val="000000"/>
                  <w:sz w:val="18"/>
                </w:rPr>
                <m:t xml:space="preserve"> ≤ 5</m:t>
              </m:r>
            </m:oMath>
            <w:r w:rsidRPr="00B131FE">
              <w:rPr>
                <w:rFonts w:ascii="Arial (Body)" w:hAnsi="Arial (Body)"/>
                <w:color w:val="000000"/>
                <w:sz w:val="18"/>
              </w:rPr>
              <w:t>)</w:t>
            </w:r>
          </w:p>
        </w:tc>
        <w:tc>
          <w:tcPr>
            <w:tcW w:w="1557" w:type="dxa"/>
            <w:tcBorders>
              <w:top w:val="nil"/>
              <w:bottom w:val="nil"/>
            </w:tcBorders>
            <w:shd w:val="clear" w:color="000000" w:fill="auto"/>
          </w:tcPr>
          <w:p w14:paraId="5A2901C9" w14:textId="77777777" w:rsidR="00386DFC" w:rsidRPr="00B131FE" w:rsidRDefault="00386DFC" w:rsidP="00837C7A">
            <w:pPr>
              <w:pStyle w:val="BodyText"/>
              <w:spacing w:before="45" w:after="45"/>
              <w:ind w:left="57" w:right="108"/>
              <w:rPr>
                <w:rFonts w:ascii="Arial (Body)" w:hAnsi="Arial (Body)"/>
                <w:color w:val="000000"/>
                <w:sz w:val="18"/>
              </w:rPr>
            </w:pPr>
            <w:r w:rsidRPr="00B131FE">
              <w:rPr>
                <w:rFonts w:ascii="Arial (Body)" w:hAnsi="Arial (Body)"/>
                <w:color w:val="000000"/>
                <w:sz w:val="18"/>
              </w:rPr>
              <w:t xml:space="preserve">Low (bottom </w:t>
            </w:r>
            <w:r>
              <w:rPr>
                <w:rFonts w:ascii="Arial (Body)" w:hAnsi="Arial (Body)"/>
                <w:color w:val="000000"/>
                <w:sz w:val="18"/>
              </w:rPr>
              <w:t>50</w:t>
            </w:r>
            <w:r w:rsidRPr="00B131FE">
              <w:rPr>
                <w:rFonts w:ascii="Arial (Body)" w:hAnsi="Arial (Body)"/>
                <w:color w:val="000000"/>
                <w:sz w:val="18"/>
              </w:rPr>
              <w:t xml:space="preserve"> percentiles)</w:t>
            </w:r>
          </w:p>
        </w:tc>
        <w:tc>
          <w:tcPr>
            <w:tcW w:w="628" w:type="dxa"/>
            <w:tcBorders>
              <w:top w:val="nil"/>
              <w:bottom w:val="nil"/>
            </w:tcBorders>
            <w:shd w:val="clear" w:color="000000" w:fill="auto"/>
          </w:tcPr>
          <w:p w14:paraId="723668BD" w14:textId="6E477252" w:rsidR="00386DFC" w:rsidRPr="00B131FE"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285</w:t>
            </w:r>
          </w:p>
        </w:tc>
        <w:tc>
          <w:tcPr>
            <w:tcW w:w="1061" w:type="dxa"/>
            <w:tcBorders>
              <w:top w:val="nil"/>
              <w:bottom w:val="nil"/>
            </w:tcBorders>
            <w:shd w:val="clear" w:color="000000" w:fill="auto"/>
          </w:tcPr>
          <w:p w14:paraId="4A7F2A8C" w14:textId="007F8386"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$4.0</w:t>
            </w:r>
          </w:p>
        </w:tc>
        <w:tc>
          <w:tcPr>
            <w:tcW w:w="6" w:type="dxa"/>
            <w:tcBorders>
              <w:top w:val="nil"/>
              <w:bottom w:val="nil"/>
            </w:tcBorders>
            <w:shd w:val="clear" w:color="000000" w:fill="auto"/>
          </w:tcPr>
          <w:p w14:paraId="7DB10E72" w14:textId="77777777" w:rsidR="00386DFC" w:rsidRDefault="00386DFC" w:rsidP="00013130">
            <w:pPr>
              <w:pStyle w:val="BodyText"/>
              <w:spacing w:before="45" w:after="45"/>
              <w:ind w:right="108"/>
              <w:jc w:val="right"/>
              <w:rPr>
                <w:rFonts w:ascii="Arial (Body)" w:hAnsi="Arial (Body)"/>
                <w:color w:val="000000"/>
                <w:sz w:val="18"/>
              </w:rPr>
            </w:pPr>
          </w:p>
        </w:tc>
        <w:tc>
          <w:tcPr>
            <w:tcW w:w="1802" w:type="dxa"/>
            <w:tcBorders>
              <w:top w:val="nil"/>
              <w:bottom w:val="nil"/>
            </w:tcBorders>
            <w:shd w:val="clear" w:color="000000" w:fill="auto"/>
          </w:tcPr>
          <w:p w14:paraId="27DFA649" w14:textId="2823BA5B"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~$8.8</w:t>
            </w:r>
          </w:p>
        </w:tc>
        <w:tc>
          <w:tcPr>
            <w:tcW w:w="653" w:type="dxa"/>
            <w:tcBorders>
              <w:top w:val="nil"/>
              <w:bottom w:val="nil"/>
            </w:tcBorders>
            <w:shd w:val="clear" w:color="000000" w:fill="auto"/>
          </w:tcPr>
          <w:p w14:paraId="2C5D0A01" w14:textId="2FF55E37"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92%</w:t>
            </w:r>
          </w:p>
        </w:tc>
      </w:tr>
      <w:tr w:rsidR="00386DFC" w:rsidRPr="00B131FE" w14:paraId="09C01926" w14:textId="77777777" w:rsidTr="00E51E9E">
        <w:tc>
          <w:tcPr>
            <w:tcW w:w="1398" w:type="dxa"/>
            <w:tcBorders>
              <w:bottom w:val="nil"/>
            </w:tcBorders>
            <w:shd w:val="clear" w:color="000000" w:fill="F2F2F2"/>
          </w:tcPr>
          <w:p w14:paraId="57C97BBC" w14:textId="77777777" w:rsidR="00386DFC" w:rsidRPr="00B131FE" w:rsidRDefault="00386DFC" w:rsidP="00837C7A">
            <w:pPr>
              <w:pStyle w:val="BodyText"/>
              <w:spacing w:before="45" w:after="45"/>
              <w:ind w:left="57" w:right="108"/>
              <w:rPr>
                <w:rFonts w:ascii="Arial (Body)" w:hAnsi="Arial (Body)"/>
                <w:b/>
                <w:color w:val="265A9A"/>
                <w:sz w:val="18"/>
              </w:rPr>
            </w:pPr>
            <w:r>
              <w:rPr>
                <w:rFonts w:ascii="Arial (Body)" w:hAnsi="Arial (Body)"/>
                <w:b/>
                <w:color w:val="265A9A"/>
                <w:sz w:val="18"/>
              </w:rPr>
              <w:t>Medium priority</w:t>
            </w:r>
          </w:p>
        </w:tc>
        <w:tc>
          <w:tcPr>
            <w:tcW w:w="2533" w:type="dxa"/>
            <w:tcBorders>
              <w:bottom w:val="nil"/>
            </w:tcBorders>
            <w:shd w:val="clear" w:color="000000" w:fill="F2F2F2"/>
          </w:tcPr>
          <w:p w14:paraId="679CC013" w14:textId="44C7465B" w:rsidR="00386DFC" w:rsidRPr="00B131FE" w:rsidRDefault="00386DFC" w:rsidP="00837C7A">
            <w:pPr>
              <w:pStyle w:val="BodyText"/>
              <w:spacing w:before="45" w:after="45"/>
              <w:ind w:left="57" w:right="108"/>
              <w:rPr>
                <w:rFonts w:ascii="Arial (Body)" w:hAnsi="Arial (Body)"/>
                <w:color w:val="000000"/>
                <w:sz w:val="18"/>
              </w:rPr>
            </w:pPr>
            <w:r w:rsidRPr="00B131FE">
              <w:rPr>
                <w:rFonts w:ascii="Arial (Body)" w:hAnsi="Arial (Body)"/>
                <w:color w:val="000000"/>
                <w:sz w:val="18"/>
              </w:rPr>
              <w:t>High</w:t>
            </w:r>
            <w:r>
              <w:rPr>
                <w:rFonts w:ascii="Arial (Body)" w:hAnsi="Arial (Body)"/>
                <w:color w:val="000000"/>
                <w:sz w:val="18"/>
              </w:rPr>
              <w:t xml:space="preserve"> </w:t>
            </w:r>
            <m:oMath>
              <m:r>
                <w:rPr>
                  <w:rFonts w:ascii="Cambria Math" w:hAnsi="Cambria Math"/>
                  <w:color w:val="000000"/>
                  <w:sz w:val="18"/>
                </w:rPr>
                <m:t>(1</m:t>
              </m:r>
              <m:r>
                <m:rPr>
                  <m:sty m:val="p"/>
                </m:rPr>
                <w:rPr>
                  <w:rFonts w:ascii="Cambria Math" w:hAnsi="Cambria Math"/>
                  <w:color w:val="000000"/>
                  <w:sz w:val="18"/>
                </w:rPr>
                <m:t>&lt;</m:t>
              </m:r>
              <m:r>
                <w:rPr>
                  <w:rFonts w:ascii="Cambria Math" w:hAnsi="Cambria Math"/>
                  <w:color w:val="000000"/>
                  <w:sz w:val="18"/>
                </w:rPr>
                <m:t>ratio</m:t>
              </m:r>
              <m:r>
                <m:rPr>
                  <m:sty m:val="p"/>
                </m:rPr>
                <w:rPr>
                  <w:rFonts w:ascii="Cambria Math" w:hAnsi="Cambria Math"/>
                  <w:color w:val="000000"/>
                  <w:sz w:val="18"/>
                </w:rPr>
                <m:t xml:space="preserve"> ≤ 5</m:t>
              </m:r>
            </m:oMath>
            <w:r w:rsidRPr="00B131FE">
              <w:rPr>
                <w:rFonts w:ascii="Arial (Body)" w:hAnsi="Arial (Body)"/>
                <w:color w:val="000000"/>
                <w:sz w:val="18"/>
              </w:rPr>
              <w:t>)</w:t>
            </w:r>
          </w:p>
        </w:tc>
        <w:tc>
          <w:tcPr>
            <w:tcW w:w="1557" w:type="dxa"/>
            <w:tcBorders>
              <w:bottom w:val="nil"/>
            </w:tcBorders>
            <w:shd w:val="clear" w:color="000000" w:fill="F2F2F2"/>
          </w:tcPr>
          <w:p w14:paraId="03817E82" w14:textId="77777777" w:rsidR="00386DFC" w:rsidRPr="00B131FE" w:rsidRDefault="00386DFC" w:rsidP="00837C7A">
            <w:pPr>
              <w:pStyle w:val="BodyText"/>
              <w:spacing w:before="45" w:after="45"/>
              <w:ind w:left="57" w:right="108"/>
              <w:rPr>
                <w:rFonts w:ascii="Arial (Body)" w:hAnsi="Arial (Body)"/>
                <w:color w:val="000000"/>
                <w:sz w:val="18"/>
              </w:rPr>
            </w:pPr>
            <w:r>
              <w:rPr>
                <w:rFonts w:ascii="Arial (Body)" w:hAnsi="Arial (Body)"/>
                <w:color w:val="000000"/>
                <w:sz w:val="18"/>
              </w:rPr>
              <w:t>High (top 50 percentiles)</w:t>
            </w:r>
          </w:p>
        </w:tc>
        <w:tc>
          <w:tcPr>
            <w:tcW w:w="628" w:type="dxa"/>
            <w:tcBorders>
              <w:bottom w:val="nil"/>
            </w:tcBorders>
            <w:shd w:val="clear" w:color="000000" w:fill="F2F2F2"/>
          </w:tcPr>
          <w:p w14:paraId="19DF0065" w14:textId="07A7011F" w:rsidR="00386DFC" w:rsidRPr="00B131FE"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396</w:t>
            </w:r>
          </w:p>
        </w:tc>
        <w:tc>
          <w:tcPr>
            <w:tcW w:w="1061" w:type="dxa"/>
            <w:tcBorders>
              <w:bottom w:val="nil"/>
            </w:tcBorders>
            <w:shd w:val="clear" w:color="000000" w:fill="F2F2F2"/>
          </w:tcPr>
          <w:p w14:paraId="452775B4" w14:textId="26A886EB"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$290.9</w:t>
            </w:r>
          </w:p>
        </w:tc>
        <w:tc>
          <w:tcPr>
            <w:tcW w:w="6" w:type="dxa"/>
            <w:tcBorders>
              <w:bottom w:val="nil"/>
            </w:tcBorders>
            <w:shd w:val="clear" w:color="000000" w:fill="F2F2F2"/>
          </w:tcPr>
          <w:p w14:paraId="32DAF642" w14:textId="77777777" w:rsidR="00386DFC" w:rsidRDefault="00386DFC" w:rsidP="00013130">
            <w:pPr>
              <w:pStyle w:val="BodyText"/>
              <w:spacing w:before="45" w:after="45"/>
              <w:ind w:right="108"/>
              <w:jc w:val="right"/>
              <w:rPr>
                <w:rFonts w:ascii="Arial (Body)" w:hAnsi="Arial (Body)"/>
                <w:color w:val="000000"/>
                <w:sz w:val="18"/>
              </w:rPr>
            </w:pPr>
          </w:p>
        </w:tc>
        <w:tc>
          <w:tcPr>
            <w:tcW w:w="1802" w:type="dxa"/>
            <w:tcBorders>
              <w:bottom w:val="nil"/>
            </w:tcBorders>
            <w:shd w:val="clear" w:color="000000" w:fill="F2F2F2"/>
          </w:tcPr>
          <w:p w14:paraId="66CDEE80" w14:textId="1A0E54E1"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~$597.7</w:t>
            </w:r>
          </w:p>
        </w:tc>
        <w:tc>
          <w:tcPr>
            <w:tcW w:w="653" w:type="dxa"/>
            <w:tcBorders>
              <w:bottom w:val="nil"/>
            </w:tcBorders>
            <w:shd w:val="clear" w:color="000000" w:fill="F2F2F2"/>
          </w:tcPr>
          <w:p w14:paraId="1B1EDAE4" w14:textId="37D8AD78"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91%</w:t>
            </w:r>
          </w:p>
        </w:tc>
      </w:tr>
      <w:tr w:rsidR="00386DFC" w:rsidRPr="00B131FE" w14:paraId="08EA9218" w14:textId="77777777" w:rsidTr="00E51E9E">
        <w:tc>
          <w:tcPr>
            <w:tcW w:w="1398" w:type="dxa"/>
            <w:tcBorders>
              <w:top w:val="nil"/>
              <w:bottom w:val="single" w:sz="4" w:space="0" w:color="BFBFBF" w:themeColor="background1" w:themeShade="BF"/>
            </w:tcBorders>
            <w:shd w:val="clear" w:color="000000" w:fill="auto"/>
          </w:tcPr>
          <w:p w14:paraId="299182C0" w14:textId="77777777" w:rsidR="00386DFC" w:rsidRPr="00B131FE" w:rsidRDefault="00386DFC" w:rsidP="00837C7A">
            <w:pPr>
              <w:pStyle w:val="BodyText"/>
              <w:spacing w:before="45" w:after="45"/>
              <w:ind w:left="57" w:right="108"/>
              <w:rPr>
                <w:rFonts w:ascii="Arial (Body)" w:hAnsi="Arial (Body)"/>
                <w:b/>
                <w:color w:val="265A9A"/>
                <w:sz w:val="18"/>
              </w:rPr>
            </w:pPr>
            <w:r>
              <w:rPr>
                <w:rFonts w:ascii="Arial (Body)" w:hAnsi="Arial (Body)"/>
                <w:b/>
                <w:color w:val="265A9A"/>
                <w:sz w:val="18"/>
              </w:rPr>
              <w:t>Lower priority</w:t>
            </w:r>
          </w:p>
        </w:tc>
        <w:tc>
          <w:tcPr>
            <w:tcW w:w="2533" w:type="dxa"/>
            <w:tcBorders>
              <w:top w:val="nil"/>
              <w:bottom w:val="single" w:sz="4" w:space="0" w:color="BFBFBF" w:themeColor="background1" w:themeShade="BF"/>
            </w:tcBorders>
            <w:shd w:val="clear" w:color="000000" w:fill="auto"/>
          </w:tcPr>
          <w:p w14:paraId="4E51BF37" w14:textId="77777777" w:rsidR="00386DFC" w:rsidRPr="00B131FE" w:rsidRDefault="00386DFC" w:rsidP="00837C7A">
            <w:pPr>
              <w:pStyle w:val="BodyText"/>
              <w:spacing w:before="45" w:after="45"/>
              <w:ind w:left="57" w:right="108"/>
              <w:rPr>
                <w:rFonts w:ascii="Arial (Body)" w:hAnsi="Arial (Body)"/>
                <w:color w:val="000000"/>
                <w:sz w:val="18"/>
              </w:rPr>
            </w:pPr>
            <w:r w:rsidRPr="00B131FE">
              <w:rPr>
                <w:rFonts w:ascii="Arial (Body)" w:hAnsi="Arial (Body)"/>
                <w:color w:val="000000"/>
                <w:sz w:val="18"/>
              </w:rPr>
              <w:t>Low to Moderate (</w:t>
            </w:r>
            <m:oMath>
              <m:r>
                <m:rPr>
                  <m:sty m:val="p"/>
                </m:rPr>
                <w:rPr>
                  <w:rFonts w:ascii="Cambria Math" w:hAnsi="Cambria Math"/>
                  <w:color w:val="000000"/>
                  <w:sz w:val="18"/>
                </w:rPr>
                <m:t>≤1 ratio)</m:t>
              </m:r>
            </m:oMath>
          </w:p>
        </w:tc>
        <w:tc>
          <w:tcPr>
            <w:tcW w:w="1557" w:type="dxa"/>
            <w:tcBorders>
              <w:top w:val="nil"/>
              <w:bottom w:val="single" w:sz="4" w:space="0" w:color="BFBFBF" w:themeColor="background1" w:themeShade="BF"/>
            </w:tcBorders>
            <w:shd w:val="clear" w:color="000000" w:fill="auto"/>
          </w:tcPr>
          <w:p w14:paraId="3121750D" w14:textId="77777777" w:rsidR="00386DFC" w:rsidRPr="00B131FE" w:rsidRDefault="00386DFC" w:rsidP="00837C7A">
            <w:pPr>
              <w:pStyle w:val="BodyText"/>
              <w:spacing w:before="45" w:after="45"/>
              <w:ind w:left="57" w:right="108"/>
              <w:rPr>
                <w:rFonts w:ascii="Arial (Body)" w:hAnsi="Arial (Body)"/>
                <w:color w:val="000000"/>
                <w:sz w:val="18"/>
              </w:rPr>
            </w:pPr>
            <w:r w:rsidRPr="00B131FE">
              <w:rPr>
                <w:rFonts w:ascii="Arial (Body)" w:hAnsi="Arial (Body)"/>
                <w:color w:val="000000"/>
                <w:sz w:val="18"/>
              </w:rPr>
              <w:t>Any revenue</w:t>
            </w:r>
          </w:p>
        </w:tc>
        <w:tc>
          <w:tcPr>
            <w:tcW w:w="628" w:type="dxa"/>
            <w:tcBorders>
              <w:top w:val="nil"/>
              <w:bottom w:val="single" w:sz="4" w:space="0" w:color="BFBFBF" w:themeColor="background1" w:themeShade="BF"/>
            </w:tcBorders>
            <w:shd w:val="clear" w:color="000000" w:fill="auto"/>
          </w:tcPr>
          <w:p w14:paraId="6B9445EB" w14:textId="37C6784F" w:rsidR="00386DFC" w:rsidRPr="00B131FE"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1644</w:t>
            </w:r>
          </w:p>
        </w:tc>
        <w:tc>
          <w:tcPr>
            <w:tcW w:w="1061" w:type="dxa"/>
            <w:tcBorders>
              <w:top w:val="nil"/>
              <w:bottom w:val="single" w:sz="4" w:space="0" w:color="BFBFBF" w:themeColor="background1" w:themeShade="BF"/>
            </w:tcBorders>
            <w:shd w:val="clear" w:color="000000" w:fill="auto"/>
          </w:tcPr>
          <w:p w14:paraId="29724DDC" w14:textId="68773986"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w:t>
            </w:r>
            <w:r w:rsidR="00697EE5" w:rsidRPr="00697EE5">
              <w:rPr>
                <w:rFonts w:ascii="Arial (Body)" w:hAnsi="Arial (Body)"/>
                <w:color w:val="000000"/>
                <w:sz w:val="18"/>
              </w:rPr>
              <w:t>1,511.0</w:t>
            </w:r>
          </w:p>
        </w:tc>
        <w:tc>
          <w:tcPr>
            <w:tcW w:w="6" w:type="dxa"/>
            <w:tcBorders>
              <w:top w:val="nil"/>
              <w:bottom w:val="single" w:sz="4" w:space="0" w:color="BFBFBF" w:themeColor="background1" w:themeShade="BF"/>
            </w:tcBorders>
            <w:shd w:val="clear" w:color="000000" w:fill="auto"/>
          </w:tcPr>
          <w:p w14:paraId="54BFD06F" w14:textId="77777777" w:rsidR="00386DFC" w:rsidRDefault="00386DFC" w:rsidP="00013130">
            <w:pPr>
              <w:pStyle w:val="BodyText"/>
              <w:spacing w:before="45" w:after="45"/>
              <w:ind w:right="108"/>
              <w:jc w:val="right"/>
              <w:rPr>
                <w:rFonts w:ascii="Arial (Body)" w:hAnsi="Arial (Body)"/>
                <w:color w:val="000000"/>
                <w:sz w:val="18"/>
              </w:rPr>
            </w:pPr>
          </w:p>
        </w:tc>
        <w:tc>
          <w:tcPr>
            <w:tcW w:w="1802" w:type="dxa"/>
            <w:tcBorders>
              <w:top w:val="nil"/>
              <w:bottom w:val="single" w:sz="4" w:space="0" w:color="BFBFBF" w:themeColor="background1" w:themeShade="BF"/>
            </w:tcBorders>
            <w:shd w:val="clear" w:color="000000" w:fill="auto"/>
          </w:tcPr>
          <w:p w14:paraId="59F89991" w14:textId="53B152BC"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~$502.4</w:t>
            </w:r>
          </w:p>
        </w:tc>
        <w:tc>
          <w:tcPr>
            <w:tcW w:w="653" w:type="dxa"/>
            <w:tcBorders>
              <w:top w:val="nil"/>
              <w:bottom w:val="single" w:sz="4" w:space="0" w:color="BFBFBF" w:themeColor="background1" w:themeShade="BF"/>
            </w:tcBorders>
            <w:shd w:val="clear" w:color="000000" w:fill="auto"/>
          </w:tcPr>
          <w:p w14:paraId="324B2C2D" w14:textId="676E4808" w:rsidR="00386DFC" w:rsidRDefault="00386DFC" w:rsidP="00013130">
            <w:pPr>
              <w:pStyle w:val="BodyText"/>
              <w:spacing w:before="45" w:after="45"/>
              <w:ind w:right="108"/>
              <w:jc w:val="right"/>
              <w:rPr>
                <w:rFonts w:ascii="Arial (Body)" w:hAnsi="Arial (Body)"/>
                <w:color w:val="000000"/>
                <w:sz w:val="18"/>
              </w:rPr>
            </w:pPr>
            <w:r>
              <w:rPr>
                <w:rFonts w:ascii="Arial (Body)" w:hAnsi="Arial (Body)"/>
                <w:color w:val="000000"/>
                <w:sz w:val="18"/>
              </w:rPr>
              <w:t>62%</w:t>
            </w:r>
          </w:p>
        </w:tc>
      </w:tr>
    </w:tbl>
    <w:p w14:paraId="3888BB01" w14:textId="3D79B5F0" w:rsidR="00662F42" w:rsidRPr="00E82B80" w:rsidRDefault="00A972CD" w:rsidP="00662F42">
      <w:pPr>
        <w:pStyle w:val="Note"/>
        <w:keepNext/>
        <w:keepLines/>
      </w:pPr>
      <w:r w:rsidRPr="00622B65">
        <w:rPr>
          <w:b/>
          <w:bCs/>
        </w:rPr>
        <w:t>a.</w:t>
      </w:r>
      <w:r w:rsidRPr="00622B65">
        <w:t xml:space="preserve"> </w:t>
      </w:r>
      <w:r w:rsidR="001166F9">
        <w:t>Imports with non</w:t>
      </w:r>
      <w:r w:rsidR="00200862">
        <w:noBreakHyphen/>
      </w:r>
      <w:r w:rsidR="001166F9">
        <w:t>MFN duties are excluded such as anti</w:t>
      </w:r>
      <w:r w:rsidR="00200862">
        <w:noBreakHyphen/>
      </w:r>
      <w:r w:rsidR="001166F9">
        <w:t>dumping duties, additional duties levied on Russia and excise duties imposed at customs.</w:t>
      </w:r>
      <w:r w:rsidR="00662F42">
        <w:t xml:space="preserve"> Confidential imports and imports by Government are also excluded.</w:t>
      </w:r>
      <w:r w:rsidR="00662F42">
        <w:rPr>
          <w:b/>
          <w:bCs/>
        </w:rPr>
        <w:t xml:space="preserve"> </w:t>
      </w:r>
      <w:r>
        <w:t>It also excludes the almost 500 tariffs removed from 2024</w:t>
      </w:r>
      <w:r w:rsidR="00434F99">
        <w:t>-</w:t>
      </w:r>
      <w:r>
        <w:t>25.</w:t>
      </w:r>
      <w:r w:rsidR="00662F42" w:rsidRPr="00662F42">
        <w:t xml:space="preserve"> </w:t>
      </w:r>
      <w:r w:rsidR="00726B42">
        <w:rPr>
          <w:b/>
          <w:bCs/>
        </w:rPr>
        <w:t>b.</w:t>
      </w:r>
      <w:r w:rsidR="005736D3" w:rsidRPr="005736D3">
        <w:t xml:space="preserve"> </w:t>
      </w:r>
      <w:r w:rsidR="008F0013">
        <w:t>Note this list only looks at imports of products with tariffs that have been imported under PTA at least once in 2023</w:t>
      </w:r>
      <w:r w:rsidR="00434F99">
        <w:t>-</w:t>
      </w:r>
      <w:r w:rsidR="008F0013">
        <w:t xml:space="preserve">24. </w:t>
      </w:r>
      <w:r w:rsidR="00C76CAC">
        <w:rPr>
          <w:b/>
          <w:bCs/>
        </w:rPr>
        <w:t xml:space="preserve">c. </w:t>
      </w:r>
      <w:r w:rsidR="00BD3C0D">
        <w:t>For compliance costs</w:t>
      </w:r>
      <w:r w:rsidR="002513DA">
        <w:t>,</w:t>
      </w:r>
      <w:r w:rsidR="00BD3C0D">
        <w:t xml:space="preserve"> the lower bound estimate of system wide average compliance costs is used (~1% of customs value under PTA). </w:t>
      </w:r>
      <w:r w:rsidR="000A1ABA">
        <w:rPr>
          <w:b/>
          <w:bCs/>
        </w:rPr>
        <w:t xml:space="preserve">d. </w:t>
      </w:r>
      <w:r w:rsidR="000A1ABA" w:rsidRPr="000A1ABA">
        <w:t>PTA use calculation excludes concessional imports</w:t>
      </w:r>
      <w:r w:rsidR="000A1ABA">
        <w:t>.</w:t>
      </w:r>
    </w:p>
    <w:p w14:paraId="7586C19F" w14:textId="0B0E2E65" w:rsidR="00A972CD" w:rsidRDefault="00A972CD" w:rsidP="00A972CD">
      <w:pPr>
        <w:pStyle w:val="Source"/>
      </w:pPr>
      <w:r w:rsidRPr="00622B65">
        <w:t xml:space="preserve">Source: </w:t>
      </w:r>
      <w:r>
        <w:t xml:space="preserve">Productivity </w:t>
      </w:r>
      <w:r w:rsidRPr="00622B65">
        <w:t>Commission estimates</w:t>
      </w:r>
      <w:r>
        <w:t xml:space="preserve"> </w:t>
      </w:r>
      <w:r w:rsidRPr="00F75A32">
        <w:t xml:space="preserve">using ABS </w:t>
      </w:r>
      <w:r w:rsidRPr="00304B81">
        <w:rPr>
          <w:rFonts w:ascii="Arial" w:hAnsi="Arial" w:cs="Arial"/>
        </w:rPr>
        <w:t>(2025a)</w:t>
      </w:r>
      <w:r>
        <w:t>.</w:t>
      </w:r>
    </w:p>
    <w:p w14:paraId="12E86783" w14:textId="208EE14F" w:rsidR="0065682E" w:rsidRPr="00CD79D4" w:rsidRDefault="00791979" w:rsidP="00CD79D4">
      <w:pPr>
        <w:pStyle w:val="BodyText"/>
      </w:pPr>
      <w:r>
        <w:t>Figure 2.3</w:t>
      </w:r>
      <w:r w:rsidR="005642CB" w:rsidRPr="00CD79D4">
        <w:t xml:space="preserve"> </w:t>
      </w:r>
      <w:r w:rsidR="00F84427" w:rsidRPr="00CD79D4">
        <w:t>shows the four clusters. Per</w:t>
      </w:r>
      <w:r w:rsidR="00200862" w:rsidRPr="00CD79D4">
        <w:noBreakHyphen/>
      </w:r>
      <w:r w:rsidR="00F84427" w:rsidRPr="00CD79D4">
        <w:t xml:space="preserve">tariff indicative compliance costs are based on average system wide compliance costs as a percentage of the value imported under PTAs. </w:t>
      </w:r>
      <w:r w:rsidR="00874D50" w:rsidRPr="00CD79D4">
        <w:t>This</w:t>
      </w:r>
      <w:r w:rsidR="00F84427" w:rsidRPr="00CD79D4">
        <w:t xml:space="preserve"> method</w:t>
      </w:r>
      <w:r w:rsidR="00F84427" w:rsidRPr="00CD79D4" w:rsidDel="00874D50">
        <w:t xml:space="preserve"> </w:t>
      </w:r>
      <w:r w:rsidR="00F84427" w:rsidRPr="00CD79D4">
        <w:t xml:space="preserve">does not account for </w:t>
      </w:r>
      <w:r w:rsidR="0065682E" w:rsidRPr="00CD79D4">
        <w:t>product</w:t>
      </w:r>
      <w:r w:rsidR="00200862" w:rsidRPr="00CD79D4">
        <w:noBreakHyphen/>
      </w:r>
      <w:r w:rsidR="0065682E" w:rsidRPr="00CD79D4">
        <w:t>specific or agreement specific complexity nor the characteristics of the importing firm that could result in costs being higher or lower. A tariff</w:t>
      </w:r>
      <w:r w:rsidR="00200862" w:rsidRPr="00CD79D4">
        <w:noBreakHyphen/>
      </w:r>
      <w:r w:rsidR="0065682E" w:rsidRPr="00CD79D4">
        <w:t>by</w:t>
      </w:r>
      <w:r w:rsidR="00200862" w:rsidRPr="00CD79D4">
        <w:noBreakHyphen/>
      </w:r>
      <w:r w:rsidR="0065682E" w:rsidRPr="00CD79D4">
        <w:t xml:space="preserve">tariff compliance cost estimate would require transaction level </w:t>
      </w:r>
      <w:r w:rsidR="0065682E" w:rsidRPr="00CD79D4">
        <w:lastRenderedPageBreak/>
        <w:t xml:space="preserve">data </w:t>
      </w:r>
      <w:r w:rsidR="00394AA1" w:rsidRPr="00CD79D4">
        <w:t>that the</w:t>
      </w:r>
      <w:r w:rsidR="0065682E" w:rsidRPr="00CD79D4">
        <w:t xml:space="preserve"> PC has not obtained.</w:t>
      </w:r>
      <w:r w:rsidR="00BC0D9A" w:rsidRPr="00CD79D4">
        <w:t xml:space="preserve"> As such it is </w:t>
      </w:r>
      <w:r w:rsidR="00643613" w:rsidRPr="00CD79D4">
        <w:t>an indicative measure only, not a precise estimate.</w:t>
      </w:r>
      <w:r w:rsidR="0065682E" w:rsidRPr="00CD79D4">
        <w:t xml:space="preserve"> However, the lower bound compliance cost estimate is conservative compared to the literature (</w:t>
      </w:r>
      <w:r w:rsidR="00FB354A">
        <w:t>A</w:t>
      </w:r>
      <w:r w:rsidR="0065682E" w:rsidRPr="00CD79D4">
        <w:t xml:space="preserve">ppendix </w:t>
      </w:r>
      <w:r w:rsidR="00E519C7">
        <w:t>C</w:t>
      </w:r>
      <w:r w:rsidR="0065682E" w:rsidRPr="00CD79D4">
        <w:t>).</w:t>
      </w:r>
    </w:p>
    <w:p w14:paraId="32FA7E55" w14:textId="21DEFB0B" w:rsidR="00A972CD" w:rsidRDefault="001124E7" w:rsidP="00A972CD">
      <w:pPr>
        <w:pStyle w:val="Caption"/>
        <w:keepNext/>
        <w:rPr>
          <w:vertAlign w:val="superscript"/>
        </w:rPr>
      </w:pPr>
      <w:bookmarkStart w:id="40" w:name="_Ref201227930"/>
      <w:r>
        <w:t xml:space="preserve">Figure </w:t>
      </w:r>
      <w:r w:rsidR="005642CB">
        <w:fldChar w:fldCharType="begin"/>
      </w:r>
      <w:r w:rsidR="005642CB">
        <w:instrText xml:space="preserve"> STYLEREF 1 \s </w:instrText>
      </w:r>
      <w:r w:rsidR="005642CB">
        <w:fldChar w:fldCharType="separate"/>
      </w:r>
      <w:r w:rsidR="004A080B">
        <w:rPr>
          <w:noProof/>
        </w:rPr>
        <w:t>2</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3</w:t>
      </w:r>
      <w:r w:rsidR="005642CB">
        <w:fldChar w:fldCharType="end"/>
      </w:r>
      <w:bookmarkEnd w:id="40"/>
      <w:r w:rsidR="0024712D">
        <w:t xml:space="preserve"> –</w:t>
      </w:r>
      <w:r w:rsidR="00A972CD">
        <w:t xml:space="preserve"> Nuisance tariffs have been categorised into four groupings</w:t>
      </w:r>
      <w:r w:rsidR="00A972CD">
        <w:rPr>
          <w:vertAlign w:val="superscript"/>
        </w:rPr>
        <w:t>a</w:t>
      </w:r>
      <w:r w:rsidR="001F4146">
        <w:rPr>
          <w:vertAlign w:val="superscript"/>
        </w:rPr>
        <w:t>,b,c</w:t>
      </w:r>
    </w:p>
    <w:p w14:paraId="4ECD4557" w14:textId="6C7251D7" w:rsidR="00A972CD" w:rsidRPr="00091FCD" w:rsidRDefault="002E1C4E" w:rsidP="00A972CD">
      <w:pPr>
        <w:pStyle w:val="FigureTableSubheading"/>
      </w:pPr>
      <w:r>
        <w:t>Indicative c</w:t>
      </w:r>
      <w:r w:rsidR="00A972CD">
        <w:t>ompliance cost</w:t>
      </w:r>
      <w:r w:rsidR="00EA658C">
        <w:t xml:space="preserve"> </w:t>
      </w:r>
      <w:r w:rsidR="00E70929">
        <w:t>to revenue</w:t>
      </w:r>
      <w:r w:rsidR="00A972CD">
        <w:t xml:space="preserve"> ratio </w:t>
      </w:r>
      <w:r w:rsidR="008765B1">
        <w:t>(illustrative only)</w:t>
      </w:r>
      <w:r w:rsidR="00A972CD">
        <w:t xml:space="preserve"> </w:t>
      </w:r>
      <w:r w:rsidR="00E70929">
        <w:t xml:space="preserve">compared to </w:t>
      </w:r>
      <w:r w:rsidR="00A972CD">
        <w:t xml:space="preserve">tariff revenue percentile by </w:t>
      </w:r>
      <w:r w:rsidR="00EA658C">
        <w:t xml:space="preserve">identified </w:t>
      </w:r>
      <w:r w:rsidR="00A972CD">
        <w:t>priority</w:t>
      </w:r>
      <w:r w:rsidR="00EA658C">
        <w:t xml:space="preserve"> level</w:t>
      </w:r>
    </w:p>
    <w:p w14:paraId="5801C304" w14:textId="6719A35C" w:rsidR="00A41B9E" w:rsidRPr="00E82B80" w:rsidRDefault="00D443D4" w:rsidP="00A41B9E">
      <w:pPr>
        <w:pStyle w:val="Note"/>
        <w:keepNext/>
        <w:keepLines/>
      </w:pPr>
      <w:r w:rsidRPr="00D443D4">
        <w:rPr>
          <w:noProof/>
        </w:rPr>
        <w:drawing>
          <wp:inline distT="0" distB="0" distL="0" distR="0" wp14:anchorId="14EEBD5A" wp14:editId="0C1DB797">
            <wp:extent cx="6120130" cy="2866390"/>
            <wp:effectExtent l="0" t="0" r="0" b="0"/>
            <wp:docPr id="225179946" name="Picture 42" descr="A scatter plot that categorises nuisance tariffs based on their cost versus the revenue they generate (as a ratio on the x axis) then on the y axis it shows the revenue generated. The chart is divided into four priority levels for removal. Most tariffs are clustered in the low-revenue section on the left, with many falling into the &quot;Urgent Priority&quot; quadrant, indicating their compliance costs are high compared to the low revenue they col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79946" name="Picture 42" descr="A scatter plot that categorises nuisance tariffs based on their cost versus the revenue they generate (as a ratio on the x axis) then on the y axis it shows the revenue generated. The chart is divided into four priority levels for removal. Most tariffs are clustered in the low-revenue section on the left, with many falling into the &quot;Urgent Priority&quot; quadrant, indicating their compliance costs are high compared to the low revenue they coll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2866390"/>
                    </a:xfrm>
                    <a:prstGeom prst="rect">
                      <a:avLst/>
                    </a:prstGeom>
                    <a:noFill/>
                    <a:ln>
                      <a:noFill/>
                    </a:ln>
                  </pic:spPr>
                </pic:pic>
              </a:graphicData>
            </a:graphic>
          </wp:inline>
        </w:drawing>
      </w:r>
      <w:r w:rsidR="00A972CD" w:rsidRPr="00E11CBD">
        <w:rPr>
          <w:noProof/>
        </w:rPr>
        <w:t xml:space="preserve"> </w:t>
      </w:r>
      <w:r w:rsidR="00A972CD" w:rsidRPr="00035C63">
        <w:t xml:space="preserve"> </w:t>
      </w:r>
      <w:r w:rsidR="00A972CD" w:rsidRPr="00622B65">
        <w:rPr>
          <w:b/>
          <w:bCs/>
        </w:rPr>
        <w:t>a.</w:t>
      </w:r>
      <w:r w:rsidR="00A972CD" w:rsidRPr="00622B65">
        <w:t xml:space="preserve"> </w:t>
      </w:r>
      <w:r w:rsidR="007B0E1C">
        <w:t xml:space="preserve">Imports </w:t>
      </w:r>
      <w:r w:rsidR="00DB60CC">
        <w:t xml:space="preserve">with </w:t>
      </w:r>
      <w:r w:rsidR="007B0E1C">
        <w:t>non</w:t>
      </w:r>
      <w:r w:rsidR="00200862">
        <w:noBreakHyphen/>
      </w:r>
      <w:r w:rsidR="007B0E1C">
        <w:t xml:space="preserve">MFN duties </w:t>
      </w:r>
      <w:r w:rsidR="00623BC7">
        <w:t>are excluded</w:t>
      </w:r>
      <w:r w:rsidR="002259C0">
        <w:t xml:space="preserve"> </w:t>
      </w:r>
      <w:r w:rsidR="001C0138">
        <w:t>such as anti</w:t>
      </w:r>
      <w:r w:rsidR="00200862">
        <w:noBreakHyphen/>
      </w:r>
      <w:r w:rsidR="001C0138">
        <w:t>dumping duties, additional duties levied on Russia and ex</w:t>
      </w:r>
      <w:r w:rsidR="00BA0847">
        <w:t>cise duties imposed at customs</w:t>
      </w:r>
      <w:r w:rsidR="00AD42C2">
        <w:t>.</w:t>
      </w:r>
      <w:r w:rsidR="00CD48BB">
        <w:t xml:space="preserve"> Confidential imports</w:t>
      </w:r>
      <w:r w:rsidR="00BA0847">
        <w:t xml:space="preserve"> and </w:t>
      </w:r>
      <w:r w:rsidR="00D54594">
        <w:t>imports by Government</w:t>
      </w:r>
      <w:r w:rsidR="00CD48BB">
        <w:t xml:space="preserve"> </w:t>
      </w:r>
      <w:r w:rsidR="00D54594">
        <w:t>are also excluded.</w:t>
      </w:r>
      <w:r w:rsidR="00A972CD">
        <w:rPr>
          <w:b/>
          <w:bCs/>
        </w:rPr>
        <w:t xml:space="preserve"> b. </w:t>
      </w:r>
      <w:r w:rsidR="00FC6148">
        <w:t>98</w:t>
      </w:r>
      <w:r w:rsidR="00A972CD">
        <w:t xml:space="preserve"> outlier products are not visible in the chart.</w:t>
      </w:r>
      <w:r w:rsidR="006A640A">
        <w:t xml:space="preserve"> </w:t>
      </w:r>
      <w:r w:rsidR="00D77A11">
        <w:rPr>
          <w:b/>
          <w:bCs/>
        </w:rPr>
        <w:t xml:space="preserve">c. </w:t>
      </w:r>
      <w:r w:rsidR="00A41B9E">
        <w:t>For compliance costs</w:t>
      </w:r>
      <w:r w:rsidR="006E44BD">
        <w:t>,</w:t>
      </w:r>
      <w:r w:rsidR="00A41B9E">
        <w:t xml:space="preserve"> the lower bound estimate </w:t>
      </w:r>
      <w:r w:rsidR="00D33024">
        <w:t xml:space="preserve">of system wide average compliance costs </w:t>
      </w:r>
      <w:r w:rsidR="00A41B9E">
        <w:t>is used (~1% of customs value under PTA).</w:t>
      </w:r>
      <w:r w:rsidR="00A41B9E">
        <w:rPr>
          <w:b/>
          <w:bCs/>
        </w:rPr>
        <w:t xml:space="preserve"> </w:t>
      </w:r>
      <w:r w:rsidR="00A41B9E">
        <w:t>It is a high</w:t>
      </w:r>
      <w:r w:rsidR="00200862">
        <w:noBreakHyphen/>
      </w:r>
      <w:r w:rsidR="00A41B9E">
        <w:t>level indicator, not a precise estimate.</w:t>
      </w:r>
    </w:p>
    <w:p w14:paraId="31FD2375" w14:textId="4198C8E7" w:rsidR="00A972CD" w:rsidRDefault="00A972CD" w:rsidP="00A972CD">
      <w:pPr>
        <w:pStyle w:val="Source"/>
      </w:pPr>
      <w:r w:rsidRPr="00622B65">
        <w:t xml:space="preserve">Source: </w:t>
      </w:r>
      <w:r w:rsidR="00AE63E1">
        <w:t>PC</w:t>
      </w:r>
      <w:r w:rsidRPr="00622B65">
        <w:t xml:space="preserve"> estimates</w:t>
      </w:r>
      <w:r>
        <w:t xml:space="preserve"> </w:t>
      </w:r>
      <w:r w:rsidRPr="00F75A32">
        <w:t xml:space="preserve">using ABS </w:t>
      </w:r>
      <w:r w:rsidRPr="00304B81">
        <w:rPr>
          <w:rFonts w:ascii="Arial" w:hAnsi="Arial" w:cs="Arial"/>
        </w:rPr>
        <w:t>(2025a)</w:t>
      </w:r>
      <w:r>
        <w:t>.</w:t>
      </w:r>
    </w:p>
    <w:p w14:paraId="57460BEE" w14:textId="77777777" w:rsidR="00A972CD" w:rsidRDefault="00A972CD" w:rsidP="00A972CD">
      <w:pPr>
        <w:pStyle w:val="Heading4"/>
      </w:pPr>
      <w:r>
        <w:t>Understanding each grouping</w:t>
      </w:r>
    </w:p>
    <w:p w14:paraId="18553260" w14:textId="7CDA42A6" w:rsidR="00F56551" w:rsidRPr="00CD79D4" w:rsidRDefault="00F56551" w:rsidP="00CD79D4">
      <w:pPr>
        <w:pStyle w:val="BodyText"/>
      </w:pPr>
      <w:r w:rsidRPr="00CD79D4">
        <w:t>Figure 2.4 shows the number of 2023</w:t>
      </w:r>
      <w:r w:rsidR="006C62F3">
        <w:t>-</w:t>
      </w:r>
      <w:r w:rsidRPr="00CD79D4">
        <w:t>24 tariffs (</w:t>
      </w:r>
      <w:r w:rsidR="000B65CD">
        <w:t xml:space="preserve">ranked </w:t>
      </w:r>
      <w:r w:rsidRPr="00CD79D4">
        <w:t>medium or higher priority) for imported product categories (HS 2</w:t>
      </w:r>
      <w:r w:rsidR="00200862" w:rsidRPr="00CD79D4">
        <w:noBreakHyphen/>
      </w:r>
      <w:r w:rsidRPr="00CD79D4">
        <w:t>digit). A few imported product categories made up a substantial number of nuisance tariffs</w:t>
      </w:r>
      <w:r w:rsidR="000F79CE">
        <w:t>,</w:t>
      </w:r>
      <w:r w:rsidRPr="00CD79D4">
        <w:t xml:space="preserve"> particularly boilers and appliances, plastics and tariffs on iron and steel products.</w:t>
      </w:r>
    </w:p>
    <w:p w14:paraId="177A51E3" w14:textId="77258735" w:rsidR="00F56551" w:rsidRDefault="00F56551" w:rsidP="00F56551">
      <w:pPr>
        <w:pStyle w:val="Caption"/>
        <w:keepNext/>
      </w:pPr>
      <w:r>
        <w:lastRenderedPageBreak/>
        <w:t xml:space="preserve">Figure </w:t>
      </w:r>
      <w:r w:rsidR="005642CB">
        <w:fldChar w:fldCharType="begin"/>
      </w:r>
      <w:r w:rsidR="005642CB">
        <w:instrText xml:space="preserve"> STYLEREF 1 \s </w:instrText>
      </w:r>
      <w:r w:rsidR="005642CB">
        <w:fldChar w:fldCharType="separate"/>
      </w:r>
      <w:r w:rsidR="004A080B">
        <w:rPr>
          <w:noProof/>
        </w:rPr>
        <w:t>2</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4</w:t>
      </w:r>
      <w:r w:rsidR="005642CB">
        <w:fldChar w:fldCharType="end"/>
      </w:r>
      <w:r w:rsidR="0024712D">
        <w:t xml:space="preserve"> –</w:t>
      </w:r>
      <w:r w:rsidRPr="00612ADA">
        <w:t xml:space="preserve"> </w:t>
      </w:r>
      <w:r>
        <w:t>Tariffs on iron and steel, boilers and mechanical</w:t>
      </w:r>
      <w:r w:rsidR="00F04B3D">
        <w:t>,</w:t>
      </w:r>
      <w:r>
        <w:t xml:space="preserve"> and plastics make up a large share of identified nuisance tariffs</w:t>
      </w:r>
    </w:p>
    <w:p w14:paraId="4AA4301B" w14:textId="3785718F" w:rsidR="00F56551" w:rsidRDefault="00F56551" w:rsidP="00F56551">
      <w:pPr>
        <w:pStyle w:val="FigureTableSubheading"/>
      </w:pPr>
      <w:r>
        <w:t>Number of tariffs in each prioritisation group 2023</w:t>
      </w:r>
      <w:r w:rsidR="006C62F3">
        <w:t>-</w:t>
      </w:r>
      <w:r>
        <w:t>24 import data, 2</w:t>
      </w:r>
      <w:r w:rsidR="00173F41">
        <w:t>-</w:t>
      </w:r>
      <w:r>
        <w:t xml:space="preserve">digit HS code </w:t>
      </w:r>
    </w:p>
    <w:p w14:paraId="17D64FF5" w14:textId="6ABE4447" w:rsidR="00F56551" w:rsidRPr="00813856" w:rsidRDefault="00F56551" w:rsidP="00F56551">
      <w:pPr>
        <w:pStyle w:val="Note"/>
        <w:keepNext/>
        <w:keepLines/>
      </w:pPr>
      <w:r w:rsidRPr="00557A33">
        <w:rPr>
          <w:noProof/>
        </w:rPr>
        <w:drawing>
          <wp:inline distT="0" distB="0" distL="0" distR="0" wp14:anchorId="324BEA85" wp14:editId="2FFE3F02">
            <wp:extent cx="6120130" cy="5396865"/>
            <wp:effectExtent l="0" t="0" r="0" b="0"/>
            <wp:docPr id="744110081" name="Graphic 1" descr="A heat map displaying the number of medium, high and urgent priority nuisance tariffs by product category. Iron and steel tariffs are the most common type of nuisance tariff, followed by boilers and mechanical appliances, iron and steel articles and pla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10081" name="Graphic 1" descr="A heat map displaying the number of medium, high and urgent priority nuisance tariffs by product category. Iron and steel tariffs are the most common type of nuisance tariff, followed by boilers and mechanical appliances, iron and steel articles and plastics. "/>
                    <pic:cNvPicPr/>
                  </pic:nvPicPr>
                  <pic:blipFill>
                    <a:blip r:embed="rId54">
                      <a:extLst>
                        <a:ext uri="{96DAC541-7B7A-43D3-8B79-37D633B846F1}">
                          <asvg:svgBlip xmlns:asvg="http://schemas.microsoft.com/office/drawing/2016/SVG/main" r:embed="rId55"/>
                        </a:ext>
                      </a:extLst>
                    </a:blip>
                    <a:stretch>
                      <a:fillRect/>
                    </a:stretch>
                  </pic:blipFill>
                  <pic:spPr>
                    <a:xfrm>
                      <a:off x="0" y="0"/>
                      <a:ext cx="6120130" cy="5396865"/>
                    </a:xfrm>
                    <a:prstGeom prst="rect">
                      <a:avLst/>
                    </a:prstGeom>
                  </pic:spPr>
                </pic:pic>
              </a:graphicData>
            </a:graphic>
          </wp:inline>
        </w:drawing>
      </w:r>
      <w:r w:rsidRPr="00BA7842">
        <w:t xml:space="preserve"> </w:t>
      </w:r>
      <w:r w:rsidRPr="00622B65">
        <w:rPr>
          <w:b/>
          <w:bCs/>
        </w:rPr>
        <w:t>a.</w:t>
      </w:r>
      <w:r w:rsidRPr="00622B65">
        <w:t xml:space="preserve"> </w:t>
      </w:r>
      <w:r>
        <w:t>Imports with non</w:t>
      </w:r>
      <w:r w:rsidR="00200862">
        <w:noBreakHyphen/>
      </w:r>
      <w:r>
        <w:t>MFN duties are excluded such as anti</w:t>
      </w:r>
      <w:r w:rsidR="00200862">
        <w:noBreakHyphen/>
      </w:r>
      <w:r>
        <w:t>dumping duties, additional duties levied on Russia and excise duties imposed at customs. Confidential imports and imports by Government are also excluded.</w:t>
      </w:r>
      <w:r>
        <w:rPr>
          <w:b/>
          <w:bCs/>
        </w:rPr>
        <w:t xml:space="preserve"> b</w:t>
      </w:r>
      <w:r w:rsidRPr="00622B65">
        <w:rPr>
          <w:b/>
          <w:bCs/>
        </w:rPr>
        <w:t>.</w:t>
      </w:r>
      <w:r>
        <w:rPr>
          <w:b/>
          <w:bCs/>
        </w:rPr>
        <w:t xml:space="preserve"> </w:t>
      </w:r>
      <w:r>
        <w:t>HS 2</w:t>
      </w:r>
      <w:r w:rsidR="00200862">
        <w:noBreakHyphen/>
      </w:r>
      <w:r>
        <w:t xml:space="preserve">digit groupings with less than 15 total nuisance tariffs are grouped into ‘Other’. </w:t>
      </w:r>
      <w:r>
        <w:rPr>
          <w:b/>
          <w:bCs/>
        </w:rPr>
        <w:t xml:space="preserve">c. </w:t>
      </w:r>
      <w:r>
        <w:t>Names of HS 2</w:t>
      </w:r>
      <w:r w:rsidR="00200862">
        <w:noBreakHyphen/>
      </w:r>
      <w:r>
        <w:t>digit groupings have been simplified.</w:t>
      </w:r>
    </w:p>
    <w:p w14:paraId="13C61CCF" w14:textId="4F4C8808" w:rsidR="00F56551" w:rsidRDefault="00F56551" w:rsidP="00F56551">
      <w:pPr>
        <w:pStyle w:val="Note"/>
        <w:keepNext/>
        <w:keepLines/>
      </w:pPr>
      <w:r w:rsidRPr="00622B65">
        <w:t xml:space="preserve">Source: </w:t>
      </w:r>
      <w:r w:rsidR="009E2675">
        <w:t>PC</w:t>
      </w:r>
      <w:r w:rsidRPr="00622B65">
        <w:t xml:space="preserve"> estimates</w:t>
      </w:r>
      <w:r>
        <w:t xml:space="preserve"> </w:t>
      </w:r>
      <w:r w:rsidRPr="00F75A32">
        <w:t xml:space="preserve">using ABS </w:t>
      </w:r>
      <w:r w:rsidRPr="00304B81">
        <w:rPr>
          <w:rFonts w:ascii="Arial" w:hAnsi="Arial" w:cs="Arial"/>
        </w:rPr>
        <w:t>(2025a)</w:t>
      </w:r>
      <w:r>
        <w:t>.</w:t>
      </w:r>
    </w:p>
    <w:p w14:paraId="234514BD" w14:textId="77777777" w:rsidR="0053002A" w:rsidRDefault="0053002A" w:rsidP="007556C4">
      <w:pPr>
        <w:pStyle w:val="Heading5"/>
        <w:spacing w:before="360"/>
      </w:pPr>
      <w:r>
        <w:t>Urgent priority</w:t>
      </w:r>
    </w:p>
    <w:p w14:paraId="2C395C58" w14:textId="24411EBB" w:rsidR="0053002A" w:rsidRPr="007556C4" w:rsidRDefault="0053002A" w:rsidP="0053002A">
      <w:pPr>
        <w:pStyle w:val="BodyText"/>
        <w:rPr>
          <w:spacing w:val="-2"/>
        </w:rPr>
      </w:pPr>
      <w:r w:rsidRPr="007556C4">
        <w:rPr>
          <w:spacing w:val="-2"/>
        </w:rPr>
        <w:t xml:space="preserve">Tariffs in this category imposed at least five times more in </w:t>
      </w:r>
      <w:r w:rsidR="00191854" w:rsidRPr="007556C4">
        <w:rPr>
          <w:spacing w:val="-2"/>
        </w:rPr>
        <w:t xml:space="preserve">indicative </w:t>
      </w:r>
      <w:r w:rsidRPr="007556C4">
        <w:rPr>
          <w:spacing w:val="-2"/>
        </w:rPr>
        <w:t>compliance costs than they provided the Australian Government in tariff revenue in 2023</w:t>
      </w:r>
      <w:r w:rsidR="00200862" w:rsidRPr="007556C4">
        <w:rPr>
          <w:spacing w:val="-2"/>
        </w:rPr>
        <w:noBreakHyphen/>
      </w:r>
      <w:r w:rsidRPr="007556C4">
        <w:rPr>
          <w:spacing w:val="-2"/>
        </w:rPr>
        <w:t>24. This category consisted of 315 nuisance tariffs which were imported under trade agreements 97% of the time and brought in only $13 million in revenue. HS 2</w:t>
      </w:r>
      <w:r w:rsidR="00200862" w:rsidRPr="007556C4">
        <w:rPr>
          <w:spacing w:val="-2"/>
        </w:rPr>
        <w:noBreakHyphen/>
      </w:r>
      <w:r w:rsidRPr="007556C4">
        <w:rPr>
          <w:spacing w:val="-2"/>
        </w:rPr>
        <w:t>digit codes within this grouping included 65 tariffs on iron and steel or articles of iron or steel (HS 73 and 72) alongside 18</w:t>
      </w:r>
      <w:r w:rsidR="007556C4">
        <w:rPr>
          <w:spacing w:val="-2"/>
        </w:rPr>
        <w:t> </w:t>
      </w:r>
      <w:r w:rsidRPr="007556C4">
        <w:rPr>
          <w:spacing w:val="-2"/>
        </w:rPr>
        <w:t>tariffs on boilers and mechanical appliances (HS 84). This included tariffs on imports such as:</w:t>
      </w:r>
    </w:p>
    <w:p w14:paraId="2F9872F6" w14:textId="77777777" w:rsidR="0053002A" w:rsidRDefault="0053002A" w:rsidP="0053002A">
      <w:pPr>
        <w:pStyle w:val="ListBullet"/>
      </w:pPr>
      <w:r>
        <w:lastRenderedPageBreak/>
        <w:t xml:space="preserve">tubes, pipes and hollow profiles of cast iron (e.g. </w:t>
      </w:r>
      <w:r w:rsidRPr="004731D4">
        <w:t>7303000043</w:t>
      </w:r>
      <w:r>
        <w:t>)</w:t>
      </w:r>
      <w:r w:rsidRPr="00D23D7D">
        <w:rPr>
          <w:rStyle w:val="FootnoteReference"/>
        </w:rPr>
        <w:footnoteReference w:id="19"/>
      </w:r>
    </w:p>
    <w:p w14:paraId="067F1CCA" w14:textId="3B23DAAE" w:rsidR="0053002A" w:rsidRDefault="0053002A" w:rsidP="0053002A">
      <w:pPr>
        <w:pStyle w:val="ListBullet"/>
      </w:pPr>
      <w:r>
        <w:t>p</w:t>
      </w:r>
      <w:r w:rsidRPr="0025434B">
        <w:t>roducts of iron or non</w:t>
      </w:r>
      <w:r w:rsidR="00200862">
        <w:noBreakHyphen/>
      </w:r>
      <w:r w:rsidRPr="0025434B">
        <w:t>alloy steel, in coils, not further worked than hot</w:t>
      </w:r>
      <w:r w:rsidR="00200862">
        <w:noBreakHyphen/>
      </w:r>
      <w:r w:rsidRPr="0025434B">
        <w:t xml:space="preserve">rolled, </w:t>
      </w:r>
      <w:r>
        <w:t xml:space="preserve">of differing widths (e.g. </w:t>
      </w:r>
      <w:r w:rsidRPr="0025434B">
        <w:t>7208360035</w:t>
      </w:r>
      <w:r>
        <w:t xml:space="preserve"> or </w:t>
      </w:r>
      <w:r w:rsidRPr="0025434B">
        <w:t>7208390038</w:t>
      </w:r>
      <w:r>
        <w:t>)</w:t>
      </w:r>
    </w:p>
    <w:p w14:paraId="5580278E" w14:textId="77777777" w:rsidR="0053002A" w:rsidRDefault="0053002A" w:rsidP="0053002A">
      <w:pPr>
        <w:pStyle w:val="ListBullet"/>
      </w:pPr>
      <w:r>
        <w:t xml:space="preserve">air conditioning machines (e.g. </w:t>
      </w:r>
      <w:r w:rsidRPr="00270092">
        <w:t>8415100037</w:t>
      </w:r>
      <w:r>
        <w:t xml:space="preserve"> and </w:t>
      </w:r>
      <w:r w:rsidRPr="00270092">
        <w:t>8415810020</w:t>
      </w:r>
      <w:r>
        <w:t>).</w:t>
      </w:r>
    </w:p>
    <w:p w14:paraId="307A58F0" w14:textId="3169A956" w:rsidR="0053002A" w:rsidRDefault="0053002A" w:rsidP="0053002A">
      <w:pPr>
        <w:pStyle w:val="BodyText"/>
      </w:pPr>
      <w:r>
        <w:t>This category also includes 25 vehicle</w:t>
      </w:r>
      <w:r w:rsidR="00DC1AC9">
        <w:rPr>
          <w:rStyle w:val="FootnoteReference"/>
        </w:rPr>
        <w:footnoteReference w:id="20"/>
      </w:r>
      <w:r>
        <w:t xml:space="preserve"> tariffs, such as:</w:t>
      </w:r>
    </w:p>
    <w:p w14:paraId="60B2CDAC" w14:textId="77777777" w:rsidR="0053002A" w:rsidRDefault="0053002A" w:rsidP="0053002A">
      <w:pPr>
        <w:pStyle w:val="ListBullet"/>
      </w:pPr>
      <w:r>
        <w:t>m</w:t>
      </w:r>
      <w:r w:rsidRPr="00E737C0">
        <w:t xml:space="preserve">otor vehicles for the transport of goods </w:t>
      </w:r>
      <w:r>
        <w:t xml:space="preserve">of particular weights and engine sizes (e.g. </w:t>
      </w:r>
      <w:r w:rsidRPr="003E59EB">
        <w:t>8704211010</w:t>
      </w:r>
      <w:r>
        <w:t xml:space="preserve">, </w:t>
      </w:r>
      <w:r w:rsidRPr="003E59EB">
        <w:t>8704311069)</w:t>
      </w:r>
      <w:r>
        <w:t xml:space="preserve"> and</w:t>
      </w:r>
    </w:p>
    <w:p w14:paraId="46891B32" w14:textId="5DC6CDFF" w:rsidR="0053002A" w:rsidRDefault="0053002A" w:rsidP="0053002A">
      <w:pPr>
        <w:pStyle w:val="ListBullet"/>
      </w:pPr>
      <w:r>
        <w:t>n</w:t>
      </w:r>
      <w:r w:rsidRPr="00E737C0">
        <w:t xml:space="preserve">ew passenger vehicles </w:t>
      </w:r>
      <w:r>
        <w:t xml:space="preserve">of </w:t>
      </w:r>
      <w:r w:rsidR="0050370E">
        <w:t>certain</w:t>
      </w:r>
      <w:r>
        <w:t xml:space="preserve"> specifications </w:t>
      </w:r>
      <w:r w:rsidRPr="00E737C0">
        <w:t>(</w:t>
      </w:r>
      <w:r>
        <w:t xml:space="preserve">e.g. </w:t>
      </w:r>
      <w:r w:rsidRPr="003E59EB">
        <w:t>8703401913</w:t>
      </w:r>
      <w:r>
        <w:t xml:space="preserve">, </w:t>
      </w:r>
      <w:r w:rsidRPr="002352F5">
        <w:t>8703321936</w:t>
      </w:r>
      <w:r>
        <w:t>).</w:t>
      </w:r>
    </w:p>
    <w:p w14:paraId="14E53398" w14:textId="285905CE" w:rsidR="0053002A" w:rsidRDefault="0053002A" w:rsidP="0053002A">
      <w:pPr>
        <w:pStyle w:val="BodyText"/>
      </w:pPr>
      <w:r>
        <w:t>Some of the tariffs within the urgent priority category provided the Australian Government with zero revenue in 2023</w:t>
      </w:r>
      <w:r w:rsidR="00200862">
        <w:noBreakHyphen/>
      </w:r>
      <w:r>
        <w:t xml:space="preserve">24. This included items such as tariffs on </w:t>
      </w:r>
      <w:r w:rsidRPr="009155F5">
        <w:t>Diesel</w:t>
      </w:r>
      <w:r w:rsidR="00200862">
        <w:noBreakHyphen/>
      </w:r>
      <w:r w:rsidRPr="009155F5">
        <w:t>electric locomotives</w:t>
      </w:r>
      <w:r>
        <w:t xml:space="preserve"> (</w:t>
      </w:r>
      <w:r w:rsidRPr="00DB43EA">
        <w:t>8602100003</w:t>
      </w:r>
      <w:r>
        <w:t>), which were only ever imported via PTA or concessional treatment (as occurs when a government entity purchases the item) but also products as diverse as f</w:t>
      </w:r>
      <w:r w:rsidRPr="009259B5">
        <w:t>resh or chilled mushrooms of the genus Agaricus</w:t>
      </w:r>
      <w:r>
        <w:t xml:space="preserve"> (</w:t>
      </w:r>
      <w:r w:rsidRPr="009259B5">
        <w:t>07095100</w:t>
      </w:r>
      <w:r>
        <w:t xml:space="preserve">) and the chemical compound </w:t>
      </w:r>
      <w:r w:rsidRPr="009259B5">
        <w:t>HCFC</w:t>
      </w:r>
      <w:r w:rsidR="00200862">
        <w:noBreakHyphen/>
      </w:r>
      <w:r w:rsidRPr="009259B5">
        <w:t>22</w:t>
      </w:r>
      <w:r>
        <w:t xml:space="preserve"> (</w:t>
      </w:r>
      <w:r w:rsidRPr="00217C2A">
        <w:t>2903710050</w:t>
      </w:r>
      <w:r>
        <w:t xml:space="preserve">). Removing such tariffs will </w:t>
      </w:r>
      <w:r w:rsidR="0023733B">
        <w:t>have no impact on</w:t>
      </w:r>
      <w:r>
        <w:t xml:space="preserve"> Australian Government revenue</w:t>
      </w:r>
      <w:r w:rsidRPr="00D23D7D">
        <w:rPr>
          <w:rStyle w:val="FootnoteReference"/>
        </w:rPr>
        <w:footnoteReference w:id="21"/>
      </w:r>
      <w:r w:rsidR="007556C4" w:rsidRPr="00612F3C">
        <w:rPr>
          <w:vertAlign w:val="superscript"/>
        </w:rPr>
        <w:t>,</w:t>
      </w:r>
      <w:r w:rsidRPr="00D23D7D">
        <w:rPr>
          <w:rStyle w:val="FootnoteReference"/>
        </w:rPr>
        <w:footnoteReference w:id="22"/>
      </w:r>
      <w:r>
        <w:t xml:space="preserve"> but save businesses compliance costs to access these preferences. </w:t>
      </w:r>
    </w:p>
    <w:p w14:paraId="37F90D4F" w14:textId="77777777" w:rsidR="0053002A" w:rsidRPr="001D3603" w:rsidRDefault="0053002A" w:rsidP="0053002A">
      <w:pPr>
        <w:pStyle w:val="Heading5"/>
      </w:pPr>
      <w:r w:rsidRPr="001D3603">
        <w:t>High priority</w:t>
      </w:r>
    </w:p>
    <w:p w14:paraId="6880674A" w14:textId="7C0EA611" w:rsidR="0053002A" w:rsidRDefault="0053002A" w:rsidP="0053002A">
      <w:pPr>
        <w:pStyle w:val="BodyText"/>
      </w:pPr>
      <w:r>
        <w:t>Tariffs in this category’s</w:t>
      </w:r>
      <w:r w:rsidDel="00E243C6">
        <w:t xml:space="preserve"> </w:t>
      </w:r>
      <w:r w:rsidR="00191854">
        <w:t>indicative</w:t>
      </w:r>
      <w:r w:rsidDel="00E243C6">
        <w:t xml:space="preserve"> </w:t>
      </w:r>
      <w:r>
        <w:t xml:space="preserve">compliance costs exceeded tariff revenue and brought in under </w:t>
      </w:r>
      <w:r w:rsidR="00F0170F">
        <w:t>~</w:t>
      </w:r>
      <w:r>
        <w:t xml:space="preserve">$50,000 in revenue each. This category consisted of 285 nuisance tariffs </w:t>
      </w:r>
      <w:r w:rsidR="00EF46C9">
        <w:t>that</w:t>
      </w:r>
      <w:r>
        <w:t xml:space="preserve"> were imported under trade agreements 92% of the time, bringing in only $4 million in tariff revenue. Like the urgent priority tariffs, there were many tariffs on boilers and mechanical appliances (18 tariffs; HS 84) and tariffs on iron and steel (30 tariffs; HS 72). Both </w:t>
      </w:r>
      <w:r w:rsidR="00B03D82">
        <w:t>k</w:t>
      </w:r>
      <w:r>
        <w:t>nitted and non</w:t>
      </w:r>
      <w:r w:rsidR="00200862">
        <w:noBreakHyphen/>
      </w:r>
      <w:r>
        <w:t>knitted apparel (HS 61 and 62) also made up a significant proportion of these nuisance tariffs (31 tariffs). This included tariffs on imports such as:</w:t>
      </w:r>
    </w:p>
    <w:p w14:paraId="210768B0" w14:textId="48C3CFE3" w:rsidR="0053002A" w:rsidRDefault="0053002A" w:rsidP="0053002A">
      <w:pPr>
        <w:pStyle w:val="ListBullet"/>
      </w:pPr>
      <w:r>
        <w:t xml:space="preserve">many different clothing or textile items like handkerchiefs (e.g. </w:t>
      </w:r>
      <w:r w:rsidRPr="00004353">
        <w:t>6213200057</w:t>
      </w:r>
      <w:r>
        <w:t xml:space="preserve">, </w:t>
      </w:r>
      <w:r w:rsidRPr="00B34C7F">
        <w:t>6104230052</w:t>
      </w:r>
      <w:r>
        <w:t xml:space="preserve">, </w:t>
      </w:r>
      <w:r w:rsidRPr="00074129">
        <w:t>6207190030</w:t>
      </w:r>
      <w:r>
        <w:t xml:space="preserve">) </w:t>
      </w:r>
    </w:p>
    <w:p w14:paraId="3447E382" w14:textId="2DBC37D1" w:rsidR="0053002A" w:rsidRDefault="0053002A" w:rsidP="0053002A">
      <w:pPr>
        <w:pStyle w:val="ListBullet"/>
      </w:pPr>
      <w:r>
        <w:t xml:space="preserve">processed iron and steel products like steel wool or flat rolled iron (e.g. </w:t>
      </w:r>
      <w:r w:rsidRPr="005E3965">
        <w:t>7323100014</w:t>
      </w:r>
      <w:r>
        <w:t xml:space="preserve">, </w:t>
      </w:r>
      <w:r w:rsidRPr="00C2515B">
        <w:t>7210500005</w:t>
      </w:r>
      <w:r>
        <w:t>)</w:t>
      </w:r>
    </w:p>
    <w:p w14:paraId="44EFB536" w14:textId="77777777" w:rsidR="0053002A" w:rsidRDefault="0053002A" w:rsidP="0053002A">
      <w:pPr>
        <w:pStyle w:val="ListBullet"/>
      </w:pPr>
      <w:r>
        <w:t xml:space="preserve">machines like fridges, cranes and vending machines (e.g. </w:t>
      </w:r>
      <w:r w:rsidRPr="002C56B0">
        <w:t>8418290021</w:t>
      </w:r>
      <w:r>
        <w:t>,</w:t>
      </w:r>
      <w:r w:rsidRPr="009B7B0D">
        <w:t>8426300013</w:t>
      </w:r>
      <w:r>
        <w:t>,</w:t>
      </w:r>
      <w:r w:rsidRPr="007726C9">
        <w:t>8476290030</w:t>
      </w:r>
      <w:r>
        <w:t>).</w:t>
      </w:r>
    </w:p>
    <w:p w14:paraId="3B07C14B" w14:textId="77777777" w:rsidR="0053002A" w:rsidRPr="001D3603" w:rsidRDefault="0053002A" w:rsidP="0053002A">
      <w:pPr>
        <w:pStyle w:val="Heading5"/>
      </w:pPr>
      <w:r w:rsidRPr="001D3603">
        <w:t>Medium priority</w:t>
      </w:r>
    </w:p>
    <w:p w14:paraId="338F2A92" w14:textId="17490DAC" w:rsidR="0053002A" w:rsidRDefault="0053002A" w:rsidP="0053002A">
      <w:pPr>
        <w:pStyle w:val="BodyText"/>
      </w:pPr>
      <w:r>
        <w:t xml:space="preserve">The </w:t>
      </w:r>
      <w:r w:rsidR="00191854">
        <w:t>indicative</w:t>
      </w:r>
      <w:r>
        <w:t xml:space="preserve"> compliance costs of tariffs in this category exceeded tariff revenue, but they still provided the Australian Government with relatively high tariff revenue in 2023</w:t>
      </w:r>
      <w:r w:rsidR="00200862">
        <w:noBreakHyphen/>
      </w:r>
      <w:r>
        <w:t xml:space="preserve">24. This broad grouping includes 396 nuisance tariffs which were imported under trade agreements in aggregate 91% of the time and brought in $291 million in tariff revenue. Furniture and lighting (HS 94) items made up a substantial component of this grouping, relative to other groupings, as did plastics (HS 39), clothing items (HS 61, 62 and 63), and other electrical (HS 85) or mechanical machinery (HS 84). Examples include tariffs on imports such as: </w:t>
      </w:r>
    </w:p>
    <w:p w14:paraId="1660F217" w14:textId="23F2B42A" w:rsidR="0053002A" w:rsidRPr="00B767FC" w:rsidRDefault="0053002A" w:rsidP="0053002A">
      <w:pPr>
        <w:pStyle w:val="ListBullet"/>
      </w:pPr>
      <w:r>
        <w:t xml:space="preserve">electronic lighting like lamps and chandeliers </w:t>
      </w:r>
      <w:r w:rsidRPr="00B767FC">
        <w:t>(</w:t>
      </w:r>
      <w:r w:rsidR="006A640A" w:rsidRPr="00B767FC">
        <w:t>e.g.</w:t>
      </w:r>
      <w:r w:rsidRPr="00B767FC">
        <w:t xml:space="preserve"> </w:t>
      </w:r>
      <w:r w:rsidRPr="00D51C94">
        <w:t>8513100004</w:t>
      </w:r>
      <w:r>
        <w:t xml:space="preserve">, </w:t>
      </w:r>
      <w:r w:rsidRPr="00B767FC">
        <w:t xml:space="preserve">9405110001) </w:t>
      </w:r>
    </w:p>
    <w:p w14:paraId="20342809" w14:textId="0F177403" w:rsidR="0053002A" w:rsidRPr="00B767FC" w:rsidRDefault="0053002A" w:rsidP="0053002A">
      <w:pPr>
        <w:pStyle w:val="ListBullet"/>
      </w:pPr>
      <w:r>
        <w:t>footwear</w:t>
      </w:r>
      <w:r w:rsidRPr="00B767FC">
        <w:t xml:space="preserve"> (</w:t>
      </w:r>
      <w:r w:rsidR="006A640A" w:rsidRPr="00B767FC">
        <w:t>e.g.</w:t>
      </w:r>
      <w:r w:rsidRPr="00B767FC">
        <w:t xml:space="preserve"> 6404119001</w:t>
      </w:r>
      <w:r>
        <w:t xml:space="preserve">, </w:t>
      </w:r>
      <w:r w:rsidRPr="00C1232F">
        <w:t>6401929068</w:t>
      </w:r>
      <w:r>
        <w:t xml:space="preserve">, </w:t>
      </w:r>
      <w:r w:rsidRPr="00C1232F">
        <w:t>6404119001</w:t>
      </w:r>
      <w:r w:rsidRPr="00B767FC">
        <w:t xml:space="preserve">) </w:t>
      </w:r>
    </w:p>
    <w:p w14:paraId="0BF0A648" w14:textId="6DCF0A9B" w:rsidR="0053002A" w:rsidRPr="00B767FC" w:rsidRDefault="0053002A" w:rsidP="0053002A">
      <w:pPr>
        <w:pStyle w:val="ListBullet"/>
      </w:pPr>
      <w:r>
        <w:lastRenderedPageBreak/>
        <w:t xml:space="preserve">machinery including heat pumps and </w:t>
      </w:r>
      <w:r w:rsidRPr="00B767FC">
        <w:t>fork</w:t>
      </w:r>
      <w:r w:rsidR="00200862">
        <w:noBreakHyphen/>
      </w:r>
      <w:r w:rsidRPr="00B767FC">
        <w:t>lift trucks (</w:t>
      </w:r>
      <w:r w:rsidR="006A640A" w:rsidRPr="00B767FC">
        <w:t>e.g.</w:t>
      </w:r>
      <w:r w:rsidRPr="00B767FC">
        <w:t xml:space="preserve"> </w:t>
      </w:r>
      <w:r w:rsidRPr="002E1060">
        <w:t>8418610032</w:t>
      </w:r>
      <w:r>
        <w:t>,</w:t>
      </w:r>
      <w:r w:rsidRPr="001C0A0D">
        <w:t xml:space="preserve"> </w:t>
      </w:r>
      <w:r w:rsidRPr="00B767FC">
        <w:t>84272000)</w:t>
      </w:r>
      <w:r w:rsidR="0041161E">
        <w:t xml:space="preserve"> </w:t>
      </w:r>
    </w:p>
    <w:p w14:paraId="2A27D6CC" w14:textId="30E37D1B" w:rsidR="0053002A" w:rsidRDefault="0053002A" w:rsidP="0053002A">
      <w:pPr>
        <w:pStyle w:val="ListBullet"/>
      </w:pPr>
      <w:r>
        <w:t xml:space="preserve">furniture for home and office use </w:t>
      </w:r>
      <w:r w:rsidR="0044080C" w:rsidRPr="00B767FC">
        <w:t>(</w:t>
      </w:r>
      <w:r w:rsidR="0044080C">
        <w:t>9401690007</w:t>
      </w:r>
      <w:r>
        <w:t xml:space="preserve">, </w:t>
      </w:r>
      <w:r w:rsidRPr="002D6EBC">
        <w:t>9403100040</w:t>
      </w:r>
      <w:r w:rsidRPr="00B767FC">
        <w:t xml:space="preserve">). </w:t>
      </w:r>
    </w:p>
    <w:p w14:paraId="66AEA270" w14:textId="77777777" w:rsidR="00A972CD" w:rsidRPr="00444730" w:rsidRDefault="00A972CD" w:rsidP="00A972CD">
      <w:pPr>
        <w:pStyle w:val="Heading3"/>
      </w:pPr>
      <w:r>
        <w:t>Further considerations that could be overlaid over the nuisance cost prioritisation framework</w:t>
      </w:r>
    </w:p>
    <w:p w14:paraId="549A854B" w14:textId="490EED81" w:rsidR="00A972CD" w:rsidRDefault="00263073" w:rsidP="00A972CD">
      <w:pPr>
        <w:pStyle w:val="BodyText"/>
      </w:pPr>
      <w:r>
        <w:t>There are many other considerations that could be</w:t>
      </w:r>
      <w:r w:rsidR="00511879">
        <w:t xml:space="preserve"> embedded into </w:t>
      </w:r>
      <w:r>
        <w:t xml:space="preserve">the </w:t>
      </w:r>
      <w:r w:rsidR="0059134B">
        <w:t>nuisance cost prioritisation framework</w:t>
      </w:r>
      <w:r w:rsidR="00200862">
        <w:noBreakHyphen/>
      </w:r>
      <w:r w:rsidR="009448C6">
        <w:t xml:space="preserve"> which is intended as a starting point only</w:t>
      </w:r>
      <w:r>
        <w:t xml:space="preserve">. Some of these </w:t>
      </w:r>
      <w:r w:rsidR="00A767BE">
        <w:t>considerations</w:t>
      </w:r>
      <w:r w:rsidR="00A972CD">
        <w:t xml:space="preserve"> are explored below.</w:t>
      </w:r>
    </w:p>
    <w:p w14:paraId="46F8750C" w14:textId="126D7614" w:rsidR="00A972CD" w:rsidRDefault="00173F41" w:rsidP="00A972CD">
      <w:pPr>
        <w:pStyle w:val="Heading4"/>
      </w:pPr>
      <w:r>
        <w:t>Further consideration</w:t>
      </w:r>
      <w:r w:rsidR="00A972CD">
        <w:t xml:space="preserve">: Abolish tariffs on intermediate goods </w:t>
      </w:r>
    </w:p>
    <w:p w14:paraId="44AF2F4A" w14:textId="48B32D03" w:rsidR="00A972CD" w:rsidRDefault="00A972CD" w:rsidP="00A972CD">
      <w:pPr>
        <w:pStyle w:val="BodyText"/>
      </w:pPr>
      <w:r>
        <w:t xml:space="preserve">Empirical research demonstrates that tariffs on intermediate goods are particularly damaging to economic performance, suggesting their removal could be prioritised. </w:t>
      </w:r>
      <w:r w:rsidR="001124E7">
        <w:t>Studies</w:t>
      </w:r>
      <w:r w:rsidR="001124E7" w:rsidDel="00C817E8">
        <w:t xml:space="preserve"> </w:t>
      </w:r>
      <w:r w:rsidR="001124E7">
        <w:t>such as those conducted by Bas and Strauss</w:t>
      </w:r>
      <w:r w:rsidR="00200862">
        <w:noBreakHyphen/>
      </w:r>
      <w:r w:rsidR="001124E7">
        <w:t xml:space="preserve">Kahn </w:t>
      </w:r>
      <w:r w:rsidR="001124E7" w:rsidRPr="00302652">
        <w:rPr>
          <w:rFonts w:ascii="Arial" w:hAnsi="Arial" w:cs="Arial"/>
        </w:rPr>
        <w:t>(2015)</w:t>
      </w:r>
      <w:r w:rsidR="001124E7">
        <w:t xml:space="preserve"> using Chinese transaction data found that cutting input tariffs resulted in firms upgrading the quality of their inputs to upgrade the quality of exported products, leading to higher export prices. Though cutting output tariffs can also boost productivity, Amiti and </w:t>
      </w:r>
      <w:r w:rsidR="006A640A">
        <w:t>Koning’s</w:t>
      </w:r>
      <w:r w:rsidR="001124E7">
        <w:t xml:space="preserve"> </w:t>
      </w:r>
      <w:r w:rsidR="001124E7" w:rsidRPr="000F1A83">
        <w:rPr>
          <w:rFonts w:ascii="Arial" w:hAnsi="Arial" w:cs="Arial"/>
        </w:rPr>
        <w:t>(2007, p. 1613)</w:t>
      </w:r>
      <w:r w:rsidR="001124E7">
        <w:t xml:space="preserve"> analysing Indonesian firms</w:t>
      </w:r>
      <w:r w:rsidR="00A04BB4">
        <w:t>,</w:t>
      </w:r>
      <w:r w:rsidR="001124E7">
        <w:t xml:space="preserve"> found that reducing tariffs on imported inputs </w:t>
      </w:r>
      <w:r w:rsidR="00835D59">
        <w:t>produced productivity gains for domestic firms roughly double those from cutting tariffs on final goods</w:t>
      </w:r>
      <w:r w:rsidR="001124E7">
        <w:t>.</w:t>
      </w:r>
      <w:r>
        <w:t xml:space="preserve"> While worth considering, the low applied rate of tariffs in Australia mean that the effects of prioritising intermediate goods could still be small.</w:t>
      </w:r>
    </w:p>
    <w:p w14:paraId="0FB6133C" w14:textId="1B1688B4" w:rsidR="00A972CD" w:rsidRDefault="00A972CD" w:rsidP="00A972CD">
      <w:pPr>
        <w:pStyle w:val="BodyText"/>
      </w:pPr>
      <w:r>
        <w:t>Import data can be mapped by broad economic category to distinguish between tariffs on intermediate and final use products. By broad economic category about 5</w:t>
      </w:r>
      <w:r w:rsidR="000355C8">
        <w:t>7</w:t>
      </w:r>
      <w:r>
        <w:t>.</w:t>
      </w:r>
      <w:r w:rsidR="000355C8">
        <w:t>8</w:t>
      </w:r>
      <w:r>
        <w:t>% of analysed customs tariffs were on intermediate goods and 13.</w:t>
      </w:r>
      <w:r w:rsidR="00301F17">
        <w:t>5</w:t>
      </w:r>
      <w:r>
        <w:t xml:space="preserve">% on capital goods as defined by broad economic category end use. Intermediate goods made up </w:t>
      </w:r>
      <w:r w:rsidR="00CD077E">
        <w:t>59</w:t>
      </w:r>
      <w:r w:rsidR="0010656D">
        <w:t>.</w:t>
      </w:r>
      <w:r w:rsidR="00CD077E">
        <w:t>2</w:t>
      </w:r>
      <w:r>
        <w:t>% of tariffs categorised as ‘lower priority’ under the nuisance tariff framework</w:t>
      </w:r>
      <w:r w:rsidR="00CD077E">
        <w:t>. These lower priority tariffs could be reprioritised based on this consideration</w:t>
      </w:r>
      <w:r>
        <w:t xml:space="preserve">. </w:t>
      </w:r>
    </w:p>
    <w:p w14:paraId="570CA71B" w14:textId="6398CE69" w:rsidR="00A972CD" w:rsidRDefault="00173F41" w:rsidP="00A972CD">
      <w:pPr>
        <w:pStyle w:val="Heading4"/>
      </w:pPr>
      <w:r>
        <w:t>Further consideration</w:t>
      </w:r>
      <w:r w:rsidR="00A972CD">
        <w:t xml:space="preserve">: Abolish tariffs that offer close to zero industry protection </w:t>
      </w:r>
    </w:p>
    <w:p w14:paraId="1B73AD7F" w14:textId="77777777" w:rsidR="00A972CD" w:rsidRDefault="00A972CD" w:rsidP="00A972CD">
      <w:pPr>
        <w:pStyle w:val="BodyText"/>
      </w:pPr>
      <w:r>
        <w:t xml:space="preserve">Australia has tariffs on many products for which there is little or seemingly no industry domestically to protect. These tariffs generate revenue and compliance costs at the cost of lost consumer welfare. Policymakers may wish to prioritise these tariffs over other tariffs while following the simple nuisance cost prioritisation framework outlined above. </w:t>
      </w:r>
    </w:p>
    <w:p w14:paraId="3FD3B030" w14:textId="074A8633" w:rsidR="001124E7" w:rsidRDefault="001124E7" w:rsidP="001124E7">
      <w:pPr>
        <w:pStyle w:val="BodyText"/>
      </w:pPr>
      <w:r>
        <w:t xml:space="preserve">Australia’s </w:t>
      </w:r>
      <w:r w:rsidR="00AB74AF">
        <w:t>Tariff</w:t>
      </w:r>
      <w:r>
        <w:t xml:space="preserve"> Concession Order (TCO) system waives import duties for goods that have no equivalent domestically produced substitute. However, </w:t>
      </w:r>
      <w:r w:rsidR="00B71F51">
        <w:t>o</w:t>
      </w:r>
      <w:r>
        <w:t>btaining a TCO</w:t>
      </w:r>
      <w:r w:rsidDel="003E3A17">
        <w:t xml:space="preserve"> </w:t>
      </w:r>
      <w:r w:rsidR="003E3A17">
        <w:t xml:space="preserve">incurs </w:t>
      </w:r>
      <w:r>
        <w:t xml:space="preserve">administrative costs, and a concession can be challenged </w:t>
      </w:r>
      <w:r w:rsidR="005B03CB">
        <w:t xml:space="preserve">and </w:t>
      </w:r>
      <w:r>
        <w:t xml:space="preserve">revoked later </w:t>
      </w:r>
      <w:r w:rsidRPr="00132F0A">
        <w:rPr>
          <w:rFonts w:ascii="Arial" w:hAnsi="Arial" w:cs="Arial"/>
        </w:rPr>
        <w:t>(PC 2022, pp. 38–39)</w:t>
      </w:r>
      <w:r>
        <w:t>. Furthermore, certain product categories</w:t>
      </w:r>
      <w:r w:rsidR="003710D0">
        <w:t>,</w:t>
      </w:r>
      <w:r>
        <w:t xml:space="preserve"> notably, types of clothing, motor vehicles and foodstuffs are explicitly excluded from the TCO scheme meaning they incur tariffs even when there is no local industry to protect </w:t>
      </w:r>
      <w:r w:rsidRPr="00144495">
        <w:rPr>
          <w:rFonts w:ascii="Arial" w:hAnsi="Arial" w:cs="Arial"/>
        </w:rPr>
        <w:t>(Australian Government 2025a; Curlett, Cannon &amp; Galbell 2025)</w:t>
      </w:r>
      <w:r>
        <w:t>. Such tariffs protect little or nothing and impose costs on businesses, making them potential candidates to be prioritised.</w:t>
      </w:r>
    </w:p>
    <w:p w14:paraId="371AED1E" w14:textId="4613569E" w:rsidR="00A972CD" w:rsidRDefault="00A972CD" w:rsidP="00A972CD">
      <w:pPr>
        <w:pStyle w:val="BodyText"/>
      </w:pPr>
      <w:r>
        <w:t xml:space="preserve">However, even industries making products that are exported by Australia can benefit from </w:t>
      </w:r>
      <w:r w:rsidR="001124E7">
        <w:t>abolishing tariffs.</w:t>
      </w:r>
      <w:r>
        <w:t xml:space="preserve"> A significant portion of trade, especially between developed countries with similar resources and technology, involves intra</w:t>
      </w:r>
      <w:r w:rsidR="00200862">
        <w:noBreakHyphen/>
      </w:r>
      <w:r>
        <w:t xml:space="preserve">industry trade – simultaneous import and export of goods within the same industry category. Firms can achieve economies of scale by focusing on particular niches within a product category. This specialisation leads countries to export specific niche goods they produce efficiently while importing other goods demanded by their consumers. </w:t>
      </w:r>
      <w:r w:rsidR="001124E7">
        <w:t>This is why, for example, the North American Free Trade Agreement</w:t>
      </w:r>
      <w:r>
        <w:t xml:space="preserve"> historically </w:t>
      </w:r>
      <w:r w:rsidR="001124E7">
        <w:t xml:space="preserve">increased </w:t>
      </w:r>
      <w:r w:rsidR="00C57A28">
        <w:t>North American</w:t>
      </w:r>
      <w:r w:rsidR="001124E7">
        <w:t xml:space="preserve"> automotive trade, and led to more specialisation of manufacturing </w:t>
      </w:r>
      <w:r>
        <w:t xml:space="preserve">between </w:t>
      </w:r>
      <w:r w:rsidR="001124E7">
        <w:t>countries as opposed to everything relocating to one location</w:t>
      </w:r>
      <w:r>
        <w:t xml:space="preserve"> </w:t>
      </w:r>
      <w:r w:rsidRPr="00025EF2">
        <w:rPr>
          <w:rFonts w:ascii="Arial" w:hAnsi="Arial" w:cs="Arial"/>
        </w:rPr>
        <w:t>(Schott 2016)</w:t>
      </w:r>
      <w:r>
        <w:t xml:space="preserve">. </w:t>
      </w:r>
    </w:p>
    <w:p w14:paraId="1F075CE9" w14:textId="545AB944" w:rsidR="00A972CD" w:rsidRDefault="00173F41" w:rsidP="00A972CD">
      <w:pPr>
        <w:pStyle w:val="Heading4"/>
      </w:pPr>
      <w:r>
        <w:lastRenderedPageBreak/>
        <w:t>Further consideration</w:t>
      </w:r>
      <w:r w:rsidR="00A972CD" w:rsidDel="00A9063B">
        <w:t xml:space="preserve">: Abolish tariffs that </w:t>
      </w:r>
      <w:r w:rsidR="00A972CD">
        <w:t xml:space="preserve">have social or environmental harms </w:t>
      </w:r>
    </w:p>
    <w:p w14:paraId="78841548" w14:textId="305E91FB" w:rsidR="00A972CD" w:rsidRDefault="00A972CD" w:rsidP="00A972CD">
      <w:pPr>
        <w:pStyle w:val="BodyText"/>
      </w:pPr>
      <w:r>
        <w:t xml:space="preserve">Consideration should be given to abolishing tariffs that inflict social or environmental harms. For example, tariffs on environmentally beneficial products can impede progress on the net zero transition and provide other environmental benefits. </w:t>
      </w:r>
      <w:r w:rsidR="00791979">
        <w:t xml:space="preserve">Figure </w:t>
      </w:r>
      <w:r w:rsidR="00791979">
        <w:rPr>
          <w:noProof/>
        </w:rPr>
        <w:t>2</w:t>
      </w:r>
      <w:r w:rsidR="00791979">
        <w:t>.</w:t>
      </w:r>
      <w:r w:rsidR="00791979">
        <w:rPr>
          <w:noProof/>
        </w:rPr>
        <w:t>5</w:t>
      </w:r>
      <w:r w:rsidR="005642CB">
        <w:t xml:space="preserve"> </w:t>
      </w:r>
      <w:r>
        <w:t>shows the</w:t>
      </w:r>
      <w:r w:rsidDel="007E6B7C">
        <w:t xml:space="preserve"> </w:t>
      </w:r>
      <w:r w:rsidR="007E6B7C">
        <w:t xml:space="preserve">215 </w:t>
      </w:r>
      <w:r>
        <w:t>tariffs analysed with identified environmental benefits. Most of these tariffs on environmental products are in the ‘lower priority’ category from the nuisance tariff prioritisation framework but could be prioritised more highly based on the benefits they provide. For instance, tariffs exist on ultra</w:t>
      </w:r>
      <w:r w:rsidR="00200862">
        <w:noBreakHyphen/>
      </w:r>
      <w:r>
        <w:t>violet lamps, but they have environmental benefits due to their use in</w:t>
      </w:r>
      <w:r w:rsidRPr="006718B7">
        <w:t xml:space="preserve"> </w:t>
      </w:r>
      <w:r>
        <w:t xml:space="preserve">water and waste management. </w:t>
      </w:r>
      <w:r w:rsidR="00FA12F0">
        <w:t>Many</w:t>
      </w:r>
      <w:r w:rsidR="00A04104">
        <w:t xml:space="preserve"> tariffs are on products that can have </w:t>
      </w:r>
      <w:r>
        <w:t xml:space="preserve">energy efficiency benefits or </w:t>
      </w:r>
      <w:r w:rsidR="00A04104">
        <w:t xml:space="preserve">provide </w:t>
      </w:r>
      <w:r>
        <w:t xml:space="preserve">cleaner transportation such as heat pumps, and bicycles. </w:t>
      </w:r>
      <w:r w:rsidR="007056CD">
        <w:t xml:space="preserve">Other examples include </w:t>
      </w:r>
      <w:r w:rsidR="00F1495A">
        <w:t xml:space="preserve">many tariffs </w:t>
      </w:r>
      <w:r w:rsidR="001B1661">
        <w:t xml:space="preserve">on </w:t>
      </w:r>
      <w:r w:rsidR="00F1495A">
        <w:t>sustainable materials like wood products</w:t>
      </w:r>
      <w:r w:rsidR="00B00B6D">
        <w:t>.</w:t>
      </w:r>
      <w:r w:rsidR="006A640A">
        <w:t xml:space="preserve"> </w:t>
      </w:r>
    </w:p>
    <w:p w14:paraId="7E3165A9" w14:textId="45CB5E4C" w:rsidR="00A972CD" w:rsidRPr="00CB6F89" w:rsidRDefault="001124E7" w:rsidP="00A972CD">
      <w:pPr>
        <w:pStyle w:val="Caption"/>
        <w:keepNext/>
        <w:rPr>
          <w:vertAlign w:val="superscript"/>
        </w:rPr>
      </w:pPr>
      <w:bookmarkStart w:id="41" w:name="_Ref201227948"/>
      <w:r>
        <w:t xml:space="preserve">Figure </w:t>
      </w:r>
      <w:r w:rsidR="005642CB">
        <w:fldChar w:fldCharType="begin"/>
      </w:r>
      <w:r w:rsidR="005642CB">
        <w:instrText xml:space="preserve"> STYLEREF 1 \s </w:instrText>
      </w:r>
      <w:r w:rsidR="005642CB">
        <w:fldChar w:fldCharType="separate"/>
      </w:r>
      <w:r w:rsidR="004A080B">
        <w:rPr>
          <w:noProof/>
        </w:rPr>
        <w:t>2</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5</w:t>
      </w:r>
      <w:r w:rsidR="005642CB">
        <w:fldChar w:fldCharType="end"/>
      </w:r>
      <w:bookmarkEnd w:id="41"/>
      <w:r w:rsidR="0057059C">
        <w:t xml:space="preserve"> –</w:t>
      </w:r>
      <w:r w:rsidR="00A972CD">
        <w:t xml:space="preserve"> Many of the analysed tariffs target products with environmental benefits</w:t>
      </w:r>
      <w:r w:rsidR="00CB6F89">
        <w:rPr>
          <w:vertAlign w:val="superscript"/>
        </w:rPr>
        <w:t>a</w:t>
      </w:r>
    </w:p>
    <w:p w14:paraId="481603FF" w14:textId="14BA3FAE" w:rsidR="00A972CD" w:rsidRPr="00091FCD" w:rsidRDefault="00A972CD" w:rsidP="00A972CD">
      <w:pPr>
        <w:pStyle w:val="FigureTableSubheading"/>
      </w:pPr>
      <w:r>
        <w:t>Classification of analysed 2023</w:t>
      </w:r>
      <w:r w:rsidR="00D60C54">
        <w:t>-</w:t>
      </w:r>
      <w:r>
        <w:t>24 import data, based on Customs Tariffs with identified benefits at the HS 6</w:t>
      </w:r>
      <w:r w:rsidR="00D60C54">
        <w:t>-</w:t>
      </w:r>
      <w:r>
        <w:t>digit level</w:t>
      </w:r>
    </w:p>
    <w:p w14:paraId="1CA62EBC" w14:textId="3A349D12" w:rsidR="001517D7" w:rsidRDefault="00E04807" w:rsidP="0009774C">
      <w:pPr>
        <w:pStyle w:val="BodyText"/>
      </w:pPr>
      <w:r w:rsidRPr="00E04807">
        <w:rPr>
          <w:noProof/>
        </w:rPr>
        <w:drawing>
          <wp:inline distT="0" distB="0" distL="0" distR="0" wp14:anchorId="5AFBA888" wp14:editId="35FE796A">
            <wp:extent cx="6120130" cy="2759323"/>
            <wp:effectExtent l="0" t="0" r="0" b="0"/>
            <wp:docPr id="942313235" name="Picture 35" descr="This shows the number of tariffs on products with identifiable environmental benefits. The most common type is products with water and waste management benefits, followed by energy efficiency, improved air quality and sustainable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13235" name="Picture 35" descr="This shows the number of tariffs on products with identifiable environmental benefits. The most common type is products with water and waste management benefits, followed by energy efficiency, improved air quality and sustainable materials. "/>
                    <pic:cNvPicPr>
                      <a:picLocks noChangeAspect="1" noChangeArrowheads="1"/>
                    </pic:cNvPicPr>
                  </pic:nvPicPr>
                  <pic:blipFill rotWithShape="1">
                    <a:blip r:embed="rId56">
                      <a:extLst>
                        <a:ext uri="{28A0092B-C50C-407E-A947-70E740481C1C}">
                          <a14:useLocalDpi xmlns:a14="http://schemas.microsoft.com/office/drawing/2010/main" val="0"/>
                        </a:ext>
                      </a:extLst>
                    </a:blip>
                    <a:srcRect t="3885"/>
                    <a:stretch/>
                  </pic:blipFill>
                  <pic:spPr bwMode="auto">
                    <a:xfrm>
                      <a:off x="0" y="0"/>
                      <a:ext cx="6120130" cy="2759323"/>
                    </a:xfrm>
                    <a:prstGeom prst="rect">
                      <a:avLst/>
                    </a:prstGeom>
                    <a:noFill/>
                    <a:ln>
                      <a:noFill/>
                    </a:ln>
                    <a:extLst>
                      <a:ext uri="{53640926-AAD7-44D8-BBD7-CCE9431645EC}">
                        <a14:shadowObscured xmlns:a14="http://schemas.microsoft.com/office/drawing/2010/main"/>
                      </a:ext>
                    </a:extLst>
                  </pic:spPr>
                </pic:pic>
              </a:graphicData>
            </a:graphic>
          </wp:inline>
        </w:drawing>
      </w:r>
    </w:p>
    <w:p w14:paraId="0FA4345E" w14:textId="1B40B681" w:rsidR="00A972CD" w:rsidRPr="00E82B80" w:rsidRDefault="00A972CD" w:rsidP="00A972CD">
      <w:pPr>
        <w:pStyle w:val="Note"/>
        <w:keepNext/>
        <w:keepLines/>
      </w:pPr>
      <w:r w:rsidRPr="00622B65">
        <w:rPr>
          <w:b/>
          <w:bCs/>
        </w:rPr>
        <w:t>a.</w:t>
      </w:r>
      <w:r w:rsidRPr="00622B65">
        <w:t xml:space="preserve"> </w:t>
      </w:r>
      <w:r>
        <w:t>Products often had many benefits defined by the New Zealand Ministry of Foreign Affairs and Trade. For simplicity of reporting</w:t>
      </w:r>
      <w:r w:rsidR="00BA362C">
        <w:t>,</w:t>
      </w:r>
      <w:r>
        <w:t xml:space="preserve"> only </w:t>
      </w:r>
      <w:r w:rsidR="00642BD6">
        <w:t xml:space="preserve">an </w:t>
      </w:r>
      <w:r>
        <w:t xml:space="preserve">overarching identified benefit was assigned to each tariff. </w:t>
      </w:r>
    </w:p>
    <w:p w14:paraId="2C773ED4" w14:textId="7D03F57D" w:rsidR="00A972CD" w:rsidRPr="001124E7" w:rsidRDefault="00A972CD" w:rsidP="001124E7">
      <w:pPr>
        <w:pStyle w:val="Source"/>
        <w:rPr>
          <w:rStyle w:val="BodyTextChar"/>
          <w:sz w:val="18"/>
        </w:rPr>
      </w:pPr>
      <w:r w:rsidRPr="00622B65">
        <w:t xml:space="preserve">Source: </w:t>
      </w:r>
      <w:r w:rsidR="00F74390">
        <w:t>PC</w:t>
      </w:r>
      <w:r w:rsidRPr="00622B65">
        <w:t xml:space="preserve"> estimates</w:t>
      </w:r>
      <w:r>
        <w:t xml:space="preserve"> </w:t>
      </w:r>
      <w:r w:rsidRPr="00F75A32">
        <w:t xml:space="preserve">using ABS </w:t>
      </w:r>
      <w:r w:rsidRPr="003929E5">
        <w:rPr>
          <w:rFonts w:ascii="Arial" w:hAnsi="Arial" w:cs="Arial"/>
        </w:rPr>
        <w:t>(2025a)</w:t>
      </w:r>
      <w:r>
        <w:t>. Identified benefits are based on</w:t>
      </w:r>
      <w:r w:rsidDel="00642BD6">
        <w:t xml:space="preserve"> </w:t>
      </w:r>
      <w:r>
        <w:t xml:space="preserve">New Zealand Ministry of Foreign Affairs and Trade </w:t>
      </w:r>
      <w:r w:rsidRPr="003F54C9">
        <w:rPr>
          <w:rFonts w:ascii="Arial" w:hAnsi="Arial" w:cs="Arial"/>
        </w:rPr>
        <w:t>(2024)</w:t>
      </w:r>
      <w:r>
        <w:t xml:space="preserve"> at the HS 6</w:t>
      </w:r>
      <w:r w:rsidR="00066C9D">
        <w:t>-</w:t>
      </w:r>
      <w:r>
        <w:t>digit level, mapped to analysed Customs Tariff data.</w:t>
      </w:r>
    </w:p>
    <w:p w14:paraId="63F55DBE" w14:textId="302863AB" w:rsidR="0084226A" w:rsidRDefault="00173F41" w:rsidP="0084226A">
      <w:pPr>
        <w:pStyle w:val="Heading4"/>
      </w:pPr>
      <w:r>
        <w:t>Further consideration</w:t>
      </w:r>
      <w:r w:rsidR="0084226A" w:rsidDel="00A9063B">
        <w:t xml:space="preserve">: Abolish tariffs that </w:t>
      </w:r>
      <w:r w:rsidR="00D76AAB">
        <w:t>have high revenue forgone relative to revenue collected</w:t>
      </w:r>
      <w:r w:rsidR="00041947">
        <w:t xml:space="preserve"> </w:t>
      </w:r>
    </w:p>
    <w:p w14:paraId="67DB106D" w14:textId="3B776F9B" w:rsidR="00D76AAB" w:rsidRDefault="004B06EE" w:rsidP="00D76AAB">
      <w:pPr>
        <w:pStyle w:val="BodyText"/>
      </w:pPr>
      <w:r>
        <w:t>Avoidance of tariffs through concessions and PTA</w:t>
      </w:r>
      <w:r w:rsidR="00117388">
        <w:t xml:space="preserve">s both lead to system complexity. While the compliance cost to revenue ratio focuses on the </w:t>
      </w:r>
      <w:r w:rsidR="00004111">
        <w:t>inferred costs imposed by PTAs there is a more general argument that can be made about the</w:t>
      </w:r>
      <w:r w:rsidR="008D3CE8">
        <w:t xml:space="preserve"> administrative</w:t>
      </w:r>
      <w:r w:rsidR="00004111">
        <w:t xml:space="preserve"> inefficiency of tariff revenue collection. In aggregate</w:t>
      </w:r>
      <w:r w:rsidR="00793353">
        <w:t xml:space="preserve"> in 2023</w:t>
      </w:r>
      <w:r w:rsidR="00200862">
        <w:noBreakHyphen/>
      </w:r>
      <w:r w:rsidR="00793353">
        <w:t>24</w:t>
      </w:r>
      <w:r w:rsidR="00004111">
        <w:t xml:space="preserve">, for every $1 collected in tariff revenue $4.3 was avoided through PTAs or concessions. </w:t>
      </w:r>
      <w:r w:rsidR="00EF3728">
        <w:t xml:space="preserve">This means total revenue forgone was </w:t>
      </w:r>
      <w:r w:rsidR="005B3E3A">
        <w:t>~</w:t>
      </w:r>
      <w:r w:rsidR="00EF3728">
        <w:t xml:space="preserve">$8.6 billion compared to </w:t>
      </w:r>
      <w:r w:rsidR="005B3E3A">
        <w:t>~</w:t>
      </w:r>
      <w:r w:rsidR="00EF3728">
        <w:t xml:space="preserve">$2 billion in revenue collected by tariffs. </w:t>
      </w:r>
    </w:p>
    <w:p w14:paraId="3D351CE4" w14:textId="1012BFDA" w:rsidR="0079560A" w:rsidRDefault="004B0B83" w:rsidP="00A972CD">
      <w:pPr>
        <w:pStyle w:val="BodyText"/>
      </w:pPr>
      <w:r>
        <w:t>Some tariffs had exceptionally high rates of revenue forgone to revenue collected. Prioritising these tariffs for removal could simplify the system at little cost to</w:t>
      </w:r>
      <w:r w:rsidR="003A571A">
        <w:t xml:space="preserve"> the Australian G</w:t>
      </w:r>
      <w:r>
        <w:t>overnment</w:t>
      </w:r>
      <w:r w:rsidR="00F7538B">
        <w:t xml:space="preserve">. </w:t>
      </w:r>
      <w:r w:rsidR="00791979">
        <w:t xml:space="preserve">Figure </w:t>
      </w:r>
      <w:r w:rsidR="00791979">
        <w:rPr>
          <w:noProof/>
        </w:rPr>
        <w:t>2</w:t>
      </w:r>
      <w:r w:rsidR="00791979">
        <w:t>.</w:t>
      </w:r>
      <w:r w:rsidR="00791979">
        <w:rPr>
          <w:noProof/>
        </w:rPr>
        <w:t>6</w:t>
      </w:r>
      <w:r w:rsidR="00302B13">
        <w:t xml:space="preserve"> </w:t>
      </w:r>
      <w:r w:rsidR="00F975F1">
        <w:t xml:space="preserve">shows the distribution of revenue forgone to revenue collected. In total, </w:t>
      </w:r>
      <w:r w:rsidR="00963050">
        <w:t xml:space="preserve">739 tariffs have a system inefficiency ratio </w:t>
      </w:r>
      <w:r w:rsidR="00025166">
        <w:t>above 20</w:t>
      </w:r>
      <w:r w:rsidR="00963050">
        <w:t xml:space="preserve">, meaning for every dollar collected </w:t>
      </w:r>
      <w:r w:rsidR="00D0585B">
        <w:t xml:space="preserve">at least </w:t>
      </w:r>
      <w:r w:rsidR="00963050">
        <w:t>$20 dollars in tariff revenue are forgone.</w:t>
      </w:r>
      <w:r w:rsidR="006F62FA">
        <w:t xml:space="preserve"> Removing </w:t>
      </w:r>
      <w:r w:rsidR="006F62FA">
        <w:lastRenderedPageBreak/>
        <w:t xml:space="preserve">such tariffs could simplify </w:t>
      </w:r>
      <w:r w:rsidR="00D57398">
        <w:t xml:space="preserve">Australia’s tariff </w:t>
      </w:r>
      <w:r w:rsidR="006F62FA">
        <w:t>system and reduce administrative burdens on business and on the Australian Government.</w:t>
      </w:r>
    </w:p>
    <w:p w14:paraId="36683450" w14:textId="0FB58C51" w:rsidR="0079560A" w:rsidRPr="00EE06FD" w:rsidRDefault="0079560A" w:rsidP="0079560A">
      <w:pPr>
        <w:pStyle w:val="Caption"/>
        <w:keepNext/>
        <w:rPr>
          <w:vertAlign w:val="superscript"/>
        </w:rPr>
      </w:pPr>
      <w:bookmarkStart w:id="42" w:name="_Ref201131373"/>
      <w:r>
        <w:t xml:space="preserve">Figure </w:t>
      </w:r>
      <w:r w:rsidR="005642CB">
        <w:fldChar w:fldCharType="begin"/>
      </w:r>
      <w:r w:rsidR="005642CB">
        <w:instrText xml:space="preserve"> STYLEREF 1 \s </w:instrText>
      </w:r>
      <w:r w:rsidR="005642CB">
        <w:fldChar w:fldCharType="separate"/>
      </w:r>
      <w:r w:rsidR="004A080B">
        <w:rPr>
          <w:noProof/>
        </w:rPr>
        <w:t>2</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6</w:t>
      </w:r>
      <w:r w:rsidR="005642CB">
        <w:fldChar w:fldCharType="end"/>
      </w:r>
      <w:bookmarkEnd w:id="42"/>
      <w:r w:rsidR="006C5102">
        <w:t xml:space="preserve"> –</w:t>
      </w:r>
      <w:r>
        <w:t xml:space="preserve"> </w:t>
      </w:r>
      <w:r w:rsidR="00AE5485">
        <w:t>Revenue forgone exceeds revenue collected for most tariffs</w:t>
      </w:r>
      <w:r w:rsidR="00EE06FD">
        <w:rPr>
          <w:vertAlign w:val="superscript"/>
        </w:rPr>
        <w:t>a,b</w:t>
      </w:r>
    </w:p>
    <w:p w14:paraId="56ABB4D5" w14:textId="6311E918" w:rsidR="0079560A" w:rsidRPr="00091FCD" w:rsidRDefault="0079560A" w:rsidP="0079560A">
      <w:pPr>
        <w:pStyle w:val="FigureTableSubheading"/>
      </w:pPr>
      <w:r>
        <w:t>Classification of analysed 2023</w:t>
      </w:r>
      <w:r w:rsidR="00200862">
        <w:noBreakHyphen/>
      </w:r>
      <w:r>
        <w:t xml:space="preserve">24 import data, based on Customs Tariffs </w:t>
      </w:r>
    </w:p>
    <w:p w14:paraId="79A1B2A1" w14:textId="275CC367" w:rsidR="007F7C4C" w:rsidRPr="002123B8" w:rsidRDefault="008D6D07" w:rsidP="007F7C4C">
      <w:pPr>
        <w:pStyle w:val="Note"/>
        <w:keepNext/>
        <w:keepLines/>
        <w:rPr>
          <w:spacing w:val="-2"/>
        </w:rPr>
      </w:pPr>
      <w:r w:rsidRPr="008D6D07">
        <w:rPr>
          <w:noProof/>
        </w:rPr>
        <w:drawing>
          <wp:inline distT="0" distB="0" distL="0" distR="0" wp14:anchorId="0D15B9ED" wp14:editId="746CB656">
            <wp:extent cx="6120130" cy="2886710"/>
            <wp:effectExtent l="0" t="0" r="0" b="8890"/>
            <wp:docPr id="1761024903" name="Picture 4" descr="This chart shows a histogram of revenue foregone to revenue collected. A high ratio means that revenue forgone (through accessing trade agreement preferences or concessions) greatly exceed the amount of duties collected. Many tariffs have a very high ratio of 20+ as shown in th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24903" name="Picture 4" descr="This chart shows a histogram of revenue foregone to revenue collected. A high ratio means that revenue forgone (through accessing trade agreement preferences or concessions) greatly exceed the amount of duties collected. Many tariffs have a very high ratio of 20+ as shown in the char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2886710"/>
                    </a:xfrm>
                    <a:prstGeom prst="rect">
                      <a:avLst/>
                    </a:prstGeom>
                    <a:noFill/>
                    <a:ln>
                      <a:noFill/>
                    </a:ln>
                  </pic:spPr>
                </pic:pic>
              </a:graphicData>
            </a:graphic>
          </wp:inline>
        </w:drawing>
      </w:r>
      <w:r w:rsidR="007F7C4C" w:rsidRPr="002123B8">
        <w:rPr>
          <w:b/>
          <w:bCs/>
          <w:spacing w:val="-2"/>
        </w:rPr>
        <w:t xml:space="preserve"> a.</w:t>
      </w:r>
      <w:r w:rsidR="007F7C4C" w:rsidRPr="002123B8">
        <w:rPr>
          <w:spacing w:val="-2"/>
        </w:rPr>
        <w:t xml:space="preserve"> </w:t>
      </w:r>
      <w:r w:rsidR="00BE2BC4" w:rsidRPr="002123B8">
        <w:rPr>
          <w:spacing w:val="-2"/>
        </w:rPr>
        <w:t>Revenue foregone calculated as the revenue that would have been collected based on the applicable statutory rate, had the PTA or concession not been used.</w:t>
      </w:r>
      <w:r w:rsidR="009B153A" w:rsidRPr="002123B8">
        <w:rPr>
          <w:b/>
          <w:bCs/>
          <w:spacing w:val="-2"/>
        </w:rPr>
        <w:t xml:space="preserve"> b.</w:t>
      </w:r>
      <w:r w:rsidR="00025166" w:rsidRPr="002123B8">
        <w:rPr>
          <w:b/>
          <w:bCs/>
          <w:spacing w:val="-2"/>
        </w:rPr>
        <w:t xml:space="preserve"> </w:t>
      </w:r>
      <w:r w:rsidR="00025166" w:rsidRPr="002123B8">
        <w:rPr>
          <w:spacing w:val="-2"/>
        </w:rPr>
        <w:t>Each bar in the chart represents a group of tariffs whose inefficiency ratios fall within a 2</w:t>
      </w:r>
      <w:r w:rsidR="00200862" w:rsidRPr="002123B8">
        <w:rPr>
          <w:spacing w:val="-2"/>
        </w:rPr>
        <w:noBreakHyphen/>
      </w:r>
      <w:r w:rsidR="00025166" w:rsidRPr="002123B8">
        <w:rPr>
          <w:spacing w:val="-2"/>
        </w:rPr>
        <w:t>point range, for example, the '0–</w:t>
      </w:r>
      <w:r w:rsidR="00CA5DCA" w:rsidRPr="002123B8">
        <w:rPr>
          <w:spacing w:val="-2"/>
        </w:rPr>
        <w:t>2</w:t>
      </w:r>
      <w:r w:rsidR="00025166" w:rsidRPr="002123B8">
        <w:rPr>
          <w:spacing w:val="-2"/>
        </w:rPr>
        <w:t xml:space="preserve">' bin includes all tariffs with a ratio greater than or equal to </w:t>
      </w:r>
      <w:r w:rsidR="00173F41" w:rsidRPr="002123B8">
        <w:rPr>
          <w:spacing w:val="-2"/>
        </w:rPr>
        <w:t>zero</w:t>
      </w:r>
      <w:r w:rsidR="00025166" w:rsidRPr="002123B8">
        <w:rPr>
          <w:spacing w:val="-2"/>
        </w:rPr>
        <w:t xml:space="preserve"> but </w:t>
      </w:r>
      <w:r w:rsidR="001D5A97" w:rsidRPr="002123B8">
        <w:rPr>
          <w:spacing w:val="-2"/>
        </w:rPr>
        <w:t>below</w:t>
      </w:r>
      <w:r w:rsidR="00025166" w:rsidRPr="002123B8">
        <w:rPr>
          <w:spacing w:val="-2"/>
        </w:rPr>
        <w:t xml:space="preserve"> </w:t>
      </w:r>
      <w:r w:rsidR="00173F41" w:rsidRPr="002123B8">
        <w:rPr>
          <w:spacing w:val="-2"/>
        </w:rPr>
        <w:t>two</w:t>
      </w:r>
      <w:r w:rsidR="00025166" w:rsidRPr="002123B8">
        <w:rPr>
          <w:spacing w:val="-2"/>
        </w:rPr>
        <w:t>.</w:t>
      </w:r>
    </w:p>
    <w:p w14:paraId="55124392" w14:textId="6E13418B" w:rsidR="0084226A" w:rsidRDefault="007F7C4C" w:rsidP="00BE2BC4">
      <w:pPr>
        <w:pStyle w:val="Source"/>
        <w:sectPr w:rsidR="0084226A" w:rsidSect="00A972CD">
          <w:headerReference w:type="even" r:id="rId58"/>
          <w:headerReference w:type="default" r:id="rId59"/>
          <w:footerReference w:type="even" r:id="rId60"/>
          <w:footerReference w:type="default" r:id="rId61"/>
          <w:headerReference w:type="first" r:id="rId62"/>
          <w:type w:val="oddPage"/>
          <w:pgSz w:w="11906" w:h="16838" w:code="9"/>
          <w:pgMar w:top="1134" w:right="1134" w:bottom="1134" w:left="1134" w:header="794" w:footer="510" w:gutter="0"/>
          <w:cols w:space="708"/>
          <w:docGrid w:linePitch="360"/>
        </w:sectPr>
      </w:pPr>
      <w:r w:rsidRPr="00622B65">
        <w:t xml:space="preserve">Source: </w:t>
      </w:r>
      <w:r w:rsidR="00EE06FD">
        <w:t>PC</w:t>
      </w:r>
      <w:r w:rsidRPr="00622B65">
        <w:t xml:space="preserve"> estimates</w:t>
      </w:r>
      <w:r>
        <w:t xml:space="preserve"> </w:t>
      </w:r>
      <w:r w:rsidRPr="00F75A32">
        <w:t xml:space="preserve">using ABS </w:t>
      </w:r>
      <w:r w:rsidRPr="003929E5">
        <w:rPr>
          <w:rFonts w:ascii="Arial" w:hAnsi="Arial" w:cs="Arial"/>
        </w:rPr>
        <w:t>(2025a)</w:t>
      </w:r>
      <w:r>
        <w:t xml:space="preserve">. </w:t>
      </w:r>
    </w:p>
    <w:p w14:paraId="1D05EEFD" w14:textId="58C6FB55" w:rsidR="00A972CD" w:rsidRDefault="00720361" w:rsidP="009253F5">
      <w:pPr>
        <w:pStyle w:val="Heading1"/>
      </w:pPr>
      <w:r>
        <w:lastRenderedPageBreak/>
        <w:tab/>
      </w:r>
      <w:bookmarkStart w:id="43" w:name="_Toc202477853"/>
      <w:r w:rsidR="00A972CD">
        <w:t>Australian industry assistance developments</w:t>
      </w:r>
      <w:bookmarkEnd w:id="43"/>
    </w:p>
    <w:tbl>
      <w:tblPr>
        <w:tblStyle w:val="Texttable-Paleblue"/>
        <w:tblW w:w="5000" w:type="pct"/>
        <w:shd w:val="clear" w:color="auto" w:fill="E7F6FD"/>
        <w:tblLook w:val="04A0" w:firstRow="1" w:lastRow="0" w:firstColumn="1" w:lastColumn="0" w:noHBand="0" w:noVBand="1"/>
      </w:tblPr>
      <w:tblGrid>
        <w:gridCol w:w="577"/>
        <w:gridCol w:w="9061"/>
      </w:tblGrid>
      <w:tr w:rsidR="00503B34" w:rsidRPr="002F759A" w14:paraId="3C6CABAA" w14:textId="77777777" w:rsidTr="00616F0E">
        <w:tc>
          <w:tcPr>
            <w:tcW w:w="9638" w:type="dxa"/>
            <w:gridSpan w:val="2"/>
            <w:shd w:val="clear" w:color="auto" w:fill="E7F6FD"/>
            <w:tcMar>
              <w:left w:w="170" w:type="dxa"/>
            </w:tcMar>
          </w:tcPr>
          <w:p w14:paraId="07AE151D" w14:textId="77777777" w:rsidR="00503B34" w:rsidRPr="002F759A" w:rsidRDefault="00503B34" w:rsidP="001C79A3">
            <w:pPr>
              <w:pStyle w:val="Keypoints-heading"/>
            </w:pPr>
            <w:r w:rsidRPr="002F759A">
              <w:t>Key points</w:t>
            </w:r>
            <w:r>
              <w:t xml:space="preserve"> </w:t>
            </w:r>
          </w:p>
        </w:tc>
      </w:tr>
      <w:tr w:rsidR="00503B34" w14:paraId="7E1EBAA0" w14:textId="77777777" w:rsidTr="00616F0E">
        <w:tc>
          <w:tcPr>
            <w:tcW w:w="577" w:type="dxa"/>
            <w:shd w:val="clear" w:color="auto" w:fill="E7F6FD"/>
            <w:tcMar>
              <w:top w:w="0" w:type="dxa"/>
              <w:bottom w:w="0" w:type="dxa"/>
              <w:right w:w="113" w:type="dxa"/>
            </w:tcMar>
          </w:tcPr>
          <w:p w14:paraId="30026017" w14:textId="77777777" w:rsidR="00503B34" w:rsidRDefault="00503B34" w:rsidP="001C79A3">
            <w:pPr>
              <w:pStyle w:val="KeyPointsicon"/>
            </w:pPr>
            <w:r w:rsidRPr="00A51374">
              <w:rPr>
                <w:noProof/>
              </w:rPr>
              <w:drawing>
                <wp:inline distT="0" distB="0" distL="0" distR="0" wp14:anchorId="41DACBEB" wp14:editId="01CDC6EC">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62D2932" w14:textId="77777777" w:rsidR="00503B34" w:rsidRPr="00461EAE" w:rsidRDefault="00503B34" w:rsidP="001C79A3">
            <w:pPr>
              <w:pStyle w:val="KeyPoints-Bold"/>
              <w:rPr>
                <w:sz w:val="20"/>
                <w:szCs w:val="22"/>
              </w:rPr>
            </w:pPr>
            <w:r w:rsidRPr="00461EAE">
              <w:rPr>
                <w:sz w:val="20"/>
                <w:szCs w:val="22"/>
              </w:rPr>
              <w:t xml:space="preserve">The Australian Government’s Future Made in Australia (FMIA) agenda has </w:t>
            </w:r>
            <w:r>
              <w:rPr>
                <w:sz w:val="20"/>
                <w:szCs w:val="22"/>
              </w:rPr>
              <w:t>cemented</w:t>
            </w:r>
            <w:r w:rsidRPr="00461EAE">
              <w:rPr>
                <w:sz w:val="20"/>
                <w:szCs w:val="22"/>
              </w:rPr>
              <w:t xml:space="preserve"> industry policy</w:t>
            </w:r>
            <w:r>
              <w:rPr>
                <w:sz w:val="20"/>
                <w:szCs w:val="22"/>
              </w:rPr>
              <w:t>’s</w:t>
            </w:r>
            <w:r w:rsidRPr="00461EAE">
              <w:rPr>
                <w:sz w:val="20"/>
                <w:szCs w:val="22"/>
              </w:rPr>
              <w:t xml:space="preserve"> growing role in Australia’s economy.</w:t>
            </w:r>
          </w:p>
          <w:p w14:paraId="6D925102" w14:textId="77777777" w:rsidR="00503B34" w:rsidRDefault="00503B34" w:rsidP="00F33EF0">
            <w:pPr>
              <w:pStyle w:val="ListBullet"/>
            </w:pPr>
            <w:r w:rsidRPr="00997F1A">
              <w:t xml:space="preserve">In </w:t>
            </w:r>
            <w:r>
              <w:t xml:space="preserve">December </w:t>
            </w:r>
            <w:r w:rsidRPr="00997F1A">
              <w:t xml:space="preserve">2024, the </w:t>
            </w:r>
            <w:r w:rsidRPr="00882DCD">
              <w:rPr>
                <w:i/>
              </w:rPr>
              <w:t>Future Made in Australia Act 2024</w:t>
            </w:r>
            <w:r w:rsidRPr="00997F1A">
              <w:t xml:space="preserve"> </w:t>
            </w:r>
            <w:r>
              <w:t>(Cth)</w:t>
            </w:r>
            <w:r w:rsidRPr="00997F1A">
              <w:t xml:space="preserve"> </w:t>
            </w:r>
            <w:r>
              <w:t>commenced, and legislation providing production tax credits for processing critical minerals and green hydrogen passed.</w:t>
            </w:r>
          </w:p>
          <w:p w14:paraId="213A9E82" w14:textId="6E6877B3" w:rsidR="00503B34" w:rsidRDefault="00503B34" w:rsidP="00F33EF0">
            <w:pPr>
              <w:pStyle w:val="ListBullet"/>
            </w:pPr>
            <w:r>
              <w:t xml:space="preserve">The legislation enshrines a National Interest Framework (NIF) sector assessment process, </w:t>
            </w:r>
            <w:r w:rsidR="00FC2902">
              <w:t>how this</w:t>
            </w:r>
            <w:r>
              <w:t xml:space="preserve"> framework will be </w:t>
            </w:r>
            <w:r w:rsidR="00FC2902">
              <w:t>applied will be seen</w:t>
            </w:r>
            <w:r>
              <w:t xml:space="preserve"> throughout 2025</w:t>
            </w:r>
            <w:r w:rsidR="00FC2902">
              <w:t xml:space="preserve"> and in future years</w:t>
            </w:r>
            <w:r>
              <w:t xml:space="preserve">. </w:t>
            </w:r>
          </w:p>
          <w:p w14:paraId="60DFA08A" w14:textId="4865491C" w:rsidR="00503B34" w:rsidRDefault="00503B34" w:rsidP="00F33EF0">
            <w:pPr>
              <w:pStyle w:val="ListBullet"/>
            </w:pPr>
            <w:r>
              <w:t xml:space="preserve">FMIA </w:t>
            </w:r>
            <w:r w:rsidR="00C6797A">
              <w:t>budgetary assistance</w:t>
            </w:r>
            <w:r>
              <w:t xml:space="preserve"> is </w:t>
            </w:r>
            <w:r w:rsidR="00046597">
              <w:t>largely</w:t>
            </w:r>
            <w:r>
              <w:t xml:space="preserve"> via the legislated production tax incentives for critical minerals </w:t>
            </w:r>
            <w:r w:rsidR="00B97E64">
              <w:t xml:space="preserve">processing </w:t>
            </w:r>
            <w:r>
              <w:t xml:space="preserve">and </w:t>
            </w:r>
            <w:r w:rsidR="00B97E64">
              <w:t>green</w:t>
            </w:r>
            <w:r>
              <w:t xml:space="preserve"> hydrogen production. These will not take effect until 2027</w:t>
            </w:r>
            <w:r w:rsidR="002C00BE">
              <w:t>-</w:t>
            </w:r>
            <w:r>
              <w:t>28.</w:t>
            </w:r>
          </w:p>
        </w:tc>
      </w:tr>
      <w:tr w:rsidR="00503B34" w14:paraId="64630031" w14:textId="77777777" w:rsidTr="00616F0E">
        <w:tc>
          <w:tcPr>
            <w:tcW w:w="577" w:type="dxa"/>
            <w:shd w:val="clear" w:color="auto" w:fill="E7F6FD"/>
            <w:tcMar>
              <w:top w:w="0" w:type="dxa"/>
              <w:bottom w:w="0" w:type="dxa"/>
              <w:right w:w="113" w:type="dxa"/>
            </w:tcMar>
          </w:tcPr>
          <w:p w14:paraId="7BEA8CEC" w14:textId="77777777" w:rsidR="00503B34" w:rsidRPr="00A51374" w:rsidRDefault="00503B34" w:rsidP="001C79A3">
            <w:pPr>
              <w:pStyle w:val="KeyPointsicon"/>
            </w:pPr>
            <w:r w:rsidRPr="00F31E73">
              <w:rPr>
                <w:noProof/>
              </w:rPr>
              <w:drawing>
                <wp:inline distT="0" distB="0" distL="0" distR="0" wp14:anchorId="4E550953" wp14:editId="2F539AD5">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2D433A" w14:textId="337FD418" w:rsidR="00503B34" w:rsidRPr="00461EAE" w:rsidRDefault="00503B34" w:rsidP="001C79A3">
            <w:pPr>
              <w:pStyle w:val="KeyPoints-Bold"/>
              <w:rPr>
                <w:sz w:val="20"/>
                <w:szCs w:val="22"/>
              </w:rPr>
            </w:pPr>
            <w:r w:rsidRPr="00461EAE">
              <w:rPr>
                <w:sz w:val="20"/>
                <w:szCs w:val="22"/>
              </w:rPr>
              <w:t xml:space="preserve">Alternatives </w:t>
            </w:r>
            <w:r w:rsidR="002F049E">
              <w:rPr>
                <w:sz w:val="20"/>
                <w:szCs w:val="22"/>
              </w:rPr>
              <w:t>or complements</w:t>
            </w:r>
            <w:r w:rsidRPr="00461EAE">
              <w:rPr>
                <w:sz w:val="20"/>
                <w:szCs w:val="22"/>
              </w:rPr>
              <w:t xml:space="preserve"> to domestic production </w:t>
            </w:r>
            <w:r>
              <w:rPr>
                <w:sz w:val="20"/>
                <w:szCs w:val="22"/>
              </w:rPr>
              <w:t>can minimise the costs of FMIA interventions for economic security.</w:t>
            </w:r>
          </w:p>
          <w:p w14:paraId="1378EDE7" w14:textId="020CC0E7" w:rsidR="00503B34" w:rsidRDefault="00503B34" w:rsidP="00F33EF0">
            <w:pPr>
              <w:pStyle w:val="ListBullet"/>
            </w:pPr>
            <w:r>
              <w:t>The development of</w:t>
            </w:r>
            <w:r w:rsidDel="0073581C">
              <w:t xml:space="preserve"> </w:t>
            </w:r>
            <w:r w:rsidR="00F36CCA">
              <w:t>stockpile</w:t>
            </w:r>
            <w:r w:rsidR="0043207B">
              <w:t>s</w:t>
            </w:r>
            <w:r w:rsidR="00F36CCA">
              <w:t xml:space="preserve"> </w:t>
            </w:r>
            <w:r>
              <w:t>and club good style international partnerships can be used to reduce the cost of the FMIA economic resilience and security stream.</w:t>
            </w:r>
          </w:p>
          <w:p w14:paraId="214B64B4" w14:textId="77777777" w:rsidR="00503B34" w:rsidRPr="00610627" w:rsidRDefault="00503B34" w:rsidP="00F33EF0">
            <w:pPr>
              <w:pStyle w:val="ListBullet"/>
            </w:pPr>
            <w:r>
              <w:t>The Australian Government has embarked on these approaches in the critical minerals sector. These policy options could be explicitly considered as part of the legislated sector assessments.</w:t>
            </w:r>
          </w:p>
        </w:tc>
      </w:tr>
    </w:tbl>
    <w:p w14:paraId="66F40B8B" w14:textId="17AA72EA" w:rsidR="00A972CD" w:rsidRDefault="00A972CD" w:rsidP="00A972CD">
      <w:pPr>
        <w:pStyle w:val="NoSpacing"/>
      </w:pPr>
    </w:p>
    <w:p w14:paraId="3B6BC444" w14:textId="2958427E" w:rsidR="00A972CD" w:rsidRDefault="00693760" w:rsidP="00A972CD">
      <w:pPr>
        <w:pStyle w:val="NoSpacing"/>
        <w:spacing w:before="120" w:after="120"/>
      </w:pPr>
      <w:r>
        <w:t xml:space="preserve">As discussed in </w:t>
      </w:r>
      <w:r w:rsidR="0068352E">
        <w:t>c</w:t>
      </w:r>
      <w:r>
        <w:t>hapter 2, o</w:t>
      </w:r>
      <w:r w:rsidR="00A972CD">
        <w:t>ver the 51</w:t>
      </w:r>
      <w:r w:rsidR="00A972CD">
        <w:noBreakHyphen/>
        <w:t>year life of the Trade and Assistance Review (TAR), Australia has largely dismantled the system of quotas and tariffs that previously protected domestic industry from international competition. As these traditional forms of ‘at</w:t>
      </w:r>
      <w:r w:rsidR="00A972CD">
        <w:noBreakHyphen/>
        <w:t>the</w:t>
      </w:r>
      <w:r w:rsidR="00A972CD">
        <w:noBreakHyphen/>
        <w:t>border’ trade protections have receded, the relative importance of ‘behind</w:t>
      </w:r>
      <w:r w:rsidR="00A972CD">
        <w:noBreakHyphen/>
        <w:t>the</w:t>
      </w:r>
      <w:r w:rsidR="00A972CD">
        <w:noBreakHyphen/>
        <w:t>border’ industry assistance such as budgetary assistance and concessional finance has grown.</w:t>
      </w:r>
    </w:p>
    <w:p w14:paraId="30552657" w14:textId="2D9FC34D" w:rsidR="00A972CD" w:rsidRDefault="00A972CD" w:rsidP="00A972CD">
      <w:r>
        <w:t xml:space="preserve">‘Behind the border’ assistance is set to grow further under the </w:t>
      </w:r>
      <w:r w:rsidRPr="000F11B6">
        <w:t>Future Made in Australia</w:t>
      </w:r>
      <w:r>
        <w:t xml:space="preserve"> initiative, first discussed in TAR 2022</w:t>
      </w:r>
      <w:r w:rsidR="00200862">
        <w:noBreakHyphen/>
      </w:r>
      <w:r>
        <w:t>23. Since then, FMIA’s future role in Australia’s economy has become clearer. This year’s TAR explores these developments, looks at how announced spending compares with overseas initiatives to date</w:t>
      </w:r>
      <w:r w:rsidR="00C30C84">
        <w:t>,</w:t>
      </w:r>
      <w:r>
        <w:t xml:space="preserve"> and </w:t>
      </w:r>
      <w:r w:rsidR="00C30C84">
        <w:t>discusses</w:t>
      </w:r>
      <w:r>
        <w:t xml:space="preserve"> the opportunities for the role of alternatives or complements to onshoring industry to minimise the costs of these interventions.</w:t>
      </w:r>
    </w:p>
    <w:p w14:paraId="47FBDAD2" w14:textId="79F97983" w:rsidR="00A972CD" w:rsidRDefault="00A972CD" w:rsidP="00853179">
      <w:pPr>
        <w:pStyle w:val="Heading2"/>
      </w:pPr>
      <w:bookmarkStart w:id="44" w:name="_Toc202477854"/>
      <w:r w:rsidRPr="00853179">
        <w:lastRenderedPageBreak/>
        <w:t>Future</w:t>
      </w:r>
      <w:r>
        <w:t xml:space="preserve"> Made in Australia</w:t>
      </w:r>
      <w:r w:rsidR="003643F3">
        <w:t>’s rationale</w:t>
      </w:r>
      <w:r w:rsidR="00D51B15">
        <w:t xml:space="preserve"> and risks</w:t>
      </w:r>
      <w:bookmarkEnd w:id="44"/>
    </w:p>
    <w:p w14:paraId="24068F12" w14:textId="77777777" w:rsidR="00A972CD" w:rsidRPr="003C4E9C" w:rsidRDefault="00A972CD" w:rsidP="00A972CD">
      <w:pPr>
        <w:pStyle w:val="Heading3"/>
      </w:pPr>
      <w:r>
        <w:t xml:space="preserve">Industry policy is set to play a growing role in Australia’s economy </w:t>
      </w:r>
    </w:p>
    <w:p w14:paraId="2AAB64C8" w14:textId="64D83844" w:rsidR="00A972CD" w:rsidRDefault="00BB3EA4" w:rsidP="00A972CD">
      <w:pPr>
        <w:pStyle w:val="BodyText"/>
      </w:pPr>
      <w:r>
        <w:t>Industry assistance provided by the Australian Government</w:t>
      </w:r>
      <w:r w:rsidR="00A972CD">
        <w:t xml:space="preserve"> is expected to </w:t>
      </w:r>
      <w:r>
        <w:t>increase</w:t>
      </w:r>
      <w:r w:rsidR="00A972CD">
        <w:t xml:space="preserve"> in future years as industry policy is used in response to a broader range of policy challenges, </w:t>
      </w:r>
      <w:r w:rsidR="00963B5E">
        <w:t>such as</w:t>
      </w:r>
      <w:r w:rsidR="00A972CD">
        <w:t xml:space="preserve"> changing geostrategic circumstances and the net zero transition. Our two most recent TARs have explored this emerging form of industry policy</w:t>
      </w:r>
      <w:r w:rsidR="00420427">
        <w:t xml:space="preserve"> – most recently in the form of the ‘Future Made in Australia’</w:t>
      </w:r>
      <w:r w:rsidR="00EA4321">
        <w:t xml:space="preserve"> (FMIA)</w:t>
      </w:r>
      <w:r w:rsidR="00420427">
        <w:t xml:space="preserve"> agenda.</w:t>
      </w:r>
    </w:p>
    <w:p w14:paraId="0C460BD3" w14:textId="48BA97E8" w:rsidR="00503B34" w:rsidRDefault="00B3061C" w:rsidP="001C79A3">
      <w:pPr>
        <w:pStyle w:val="BodyText"/>
      </w:pPr>
      <w:r>
        <w:t>In the past year</w:t>
      </w:r>
      <w:r w:rsidR="00503B34" w:rsidRPr="00997F1A">
        <w:t>, the FMIA</w:t>
      </w:r>
      <w:r w:rsidR="00503B34">
        <w:t xml:space="preserve"> agenda</w:t>
      </w:r>
      <w:r w:rsidR="00503B34" w:rsidRPr="00997F1A">
        <w:t xml:space="preserve"> </w:t>
      </w:r>
      <w:r w:rsidR="00503B34">
        <w:t>has</w:t>
      </w:r>
      <w:r w:rsidR="00503B34" w:rsidRPr="00997F1A">
        <w:t xml:space="preserve"> been refined. In </w:t>
      </w:r>
      <w:r w:rsidR="00503B34">
        <w:t xml:space="preserve">December </w:t>
      </w:r>
      <w:r w:rsidR="00503B34" w:rsidRPr="00997F1A">
        <w:t xml:space="preserve">2024, the </w:t>
      </w:r>
      <w:r w:rsidR="00503B34" w:rsidRPr="00C233DF">
        <w:rPr>
          <w:i/>
        </w:rPr>
        <w:t xml:space="preserve">Future Made in Australia </w:t>
      </w:r>
      <w:r w:rsidR="00503B34">
        <w:rPr>
          <w:i/>
          <w:iCs/>
        </w:rPr>
        <w:t>Act</w:t>
      </w:r>
      <w:r w:rsidR="00503B34" w:rsidRPr="00C233DF">
        <w:rPr>
          <w:i/>
          <w:iCs/>
        </w:rPr>
        <w:t xml:space="preserve"> </w:t>
      </w:r>
      <w:r w:rsidR="00503B34" w:rsidRPr="00C233DF">
        <w:rPr>
          <w:i/>
        </w:rPr>
        <w:t>2024</w:t>
      </w:r>
      <w:r w:rsidR="00503B34" w:rsidRPr="00997F1A">
        <w:t xml:space="preserve"> </w:t>
      </w:r>
      <w:r w:rsidR="00503B34">
        <w:t>(Cth)</w:t>
      </w:r>
      <w:r w:rsidR="00503B34" w:rsidRPr="00997F1A">
        <w:t xml:space="preserve"> </w:t>
      </w:r>
      <w:r w:rsidR="00503B34">
        <w:t>commenced</w:t>
      </w:r>
      <w:r w:rsidR="00503B34" w:rsidRPr="00997F1A">
        <w:t xml:space="preserve">, </w:t>
      </w:r>
      <w:r w:rsidR="00503B34">
        <w:t>cementing</w:t>
      </w:r>
      <w:r w:rsidR="00503B34" w:rsidRPr="00997F1A">
        <w:t xml:space="preserve"> FMIA's scope</w:t>
      </w:r>
      <w:r w:rsidR="00503B34">
        <w:t>,</w:t>
      </w:r>
      <w:r w:rsidR="00503B34" w:rsidRPr="00997F1A">
        <w:t xml:space="preserve"> </w:t>
      </w:r>
      <w:r w:rsidR="00503B34">
        <w:t>including</w:t>
      </w:r>
      <w:r w:rsidR="00503B34" w:rsidRPr="00997F1A">
        <w:t xml:space="preserve"> Treasury's role in </w:t>
      </w:r>
      <w:r w:rsidR="00503B34">
        <w:t xml:space="preserve">assessing whether supported sectors align with the National Interest Framework (NIF) </w:t>
      </w:r>
      <w:r w:rsidR="00503B34" w:rsidRPr="00931019">
        <w:rPr>
          <w:rFonts w:ascii="Arial" w:hAnsi="Arial" w:cs="Arial"/>
        </w:rPr>
        <w:t>(Parliament of Australia 2024)</w:t>
      </w:r>
      <w:r w:rsidR="00503B34" w:rsidRPr="00997F1A">
        <w:t>.</w:t>
      </w:r>
      <w:r w:rsidR="00503B34">
        <w:t xml:space="preserve"> In February 2025, the</w:t>
      </w:r>
      <w:r w:rsidR="005A241A">
        <w:t xml:space="preserve"> green</w:t>
      </w:r>
      <w:r w:rsidR="00503B34">
        <w:t xml:space="preserve"> hydrogen and critical minerals production tax incentives passed through the Parliament </w:t>
      </w:r>
      <w:r w:rsidR="00503B34" w:rsidRPr="00931019">
        <w:rPr>
          <w:rFonts w:ascii="Arial" w:hAnsi="Arial" w:cs="Arial"/>
        </w:rPr>
        <w:t>(Parliament of Australia 2025)</w:t>
      </w:r>
      <w:r w:rsidR="00503B34">
        <w:t>. On 20 January 2025 the Australian Government also announced a green aluminium production tax credit, however legislation</w:t>
      </w:r>
      <w:r w:rsidR="00503B34" w:rsidDel="00A56D6B">
        <w:t xml:space="preserve"> </w:t>
      </w:r>
      <w:r w:rsidR="00503B34">
        <w:t xml:space="preserve">to enable this tax credit has not yet been introduced into parliament </w:t>
      </w:r>
      <w:r w:rsidR="00503B34" w:rsidRPr="0096645C">
        <w:rPr>
          <w:rFonts w:ascii="Arial" w:hAnsi="Arial" w:cs="Arial"/>
        </w:rPr>
        <w:t>(Husic 2025)</w:t>
      </w:r>
      <w:r w:rsidR="00503B34">
        <w:t xml:space="preserve">. </w:t>
      </w:r>
      <w:r w:rsidR="00791979">
        <w:t xml:space="preserve">Box </w:t>
      </w:r>
      <w:r w:rsidR="00791979">
        <w:rPr>
          <w:noProof/>
        </w:rPr>
        <w:t>3</w:t>
      </w:r>
      <w:r w:rsidR="00791979">
        <w:t>.</w:t>
      </w:r>
      <w:r w:rsidR="00791979">
        <w:rPr>
          <w:noProof/>
        </w:rPr>
        <w:t>1</w:t>
      </w:r>
      <w:r w:rsidR="001D5DA3">
        <w:t xml:space="preserve"> </w:t>
      </w:r>
      <w:r w:rsidR="00503B34">
        <w:t>provides an overview of FMIA.</w:t>
      </w:r>
    </w:p>
    <w:p w14:paraId="764055D8" w14:textId="0044A954" w:rsidR="00503B34" w:rsidRPr="00F82BD9" w:rsidRDefault="00503B34" w:rsidP="002123B8">
      <w:pPr>
        <w:pStyle w:val="NoSpacing"/>
      </w:pPr>
    </w:p>
    <w:tbl>
      <w:tblPr>
        <w:tblStyle w:val="Boxtable"/>
        <w:tblW w:w="5000" w:type="pct"/>
        <w:tblLook w:val="04A0" w:firstRow="1" w:lastRow="0" w:firstColumn="1" w:lastColumn="0" w:noHBand="0" w:noVBand="1"/>
      </w:tblPr>
      <w:tblGrid>
        <w:gridCol w:w="9638"/>
      </w:tblGrid>
      <w:tr w:rsidR="00503B34" w14:paraId="7A2CABF8" w14:textId="77777777" w:rsidTr="00616F0E">
        <w:trPr>
          <w:tblHeader/>
        </w:trPr>
        <w:tc>
          <w:tcPr>
            <w:tcW w:w="9638" w:type="dxa"/>
            <w:shd w:val="clear" w:color="auto" w:fill="EBEBEB"/>
            <w:tcMar>
              <w:top w:w="170" w:type="dxa"/>
              <w:left w:w="170" w:type="dxa"/>
              <w:bottom w:w="113" w:type="dxa"/>
              <w:right w:w="170" w:type="dxa"/>
            </w:tcMar>
            <w:hideMark/>
          </w:tcPr>
          <w:p w14:paraId="1D2A4884" w14:textId="60EE5DE3" w:rsidR="00503B34" w:rsidRDefault="001D5DA3" w:rsidP="00A4718A">
            <w:pPr>
              <w:pStyle w:val="BoxHeading1"/>
            </w:pPr>
            <w:bookmarkStart w:id="45" w:name="_Ref201227485"/>
            <w:r>
              <w:t xml:space="preserve">Box </w:t>
            </w:r>
            <w:r w:rsidR="00791979">
              <w:fldChar w:fldCharType="begin"/>
            </w:r>
            <w:r w:rsidR="00791979">
              <w:instrText xml:space="preserve"> STYLEREF 1 \s </w:instrText>
            </w:r>
            <w:r w:rsidR="00791979">
              <w:fldChar w:fldCharType="separate"/>
            </w:r>
            <w:r w:rsidR="004A080B">
              <w:rPr>
                <w:noProof/>
              </w:rPr>
              <w:t>3</w:t>
            </w:r>
            <w:r w:rsidR="00791979">
              <w:rPr>
                <w:noProof/>
              </w:rPr>
              <w:fldChar w:fldCharType="end"/>
            </w:r>
            <w:r>
              <w:t>.</w:t>
            </w:r>
            <w:r w:rsidR="00791979">
              <w:fldChar w:fldCharType="begin"/>
            </w:r>
            <w:r w:rsidR="00791979">
              <w:instrText xml:space="preserve"> SEQ Box \* ARABIC \s 1 </w:instrText>
            </w:r>
            <w:r w:rsidR="00791979">
              <w:fldChar w:fldCharType="separate"/>
            </w:r>
            <w:r w:rsidR="004A080B">
              <w:rPr>
                <w:noProof/>
              </w:rPr>
              <w:t>1</w:t>
            </w:r>
            <w:r w:rsidR="00791979">
              <w:rPr>
                <w:noProof/>
              </w:rPr>
              <w:fldChar w:fldCharType="end"/>
            </w:r>
            <w:bookmarkEnd w:id="45"/>
            <w:r w:rsidR="0008032B">
              <w:rPr>
                <w:noProof/>
              </w:rPr>
              <w:t xml:space="preserve"> </w:t>
            </w:r>
            <w:r w:rsidR="00503B34">
              <w:t xml:space="preserve">– Understanding ‘Future Made in Australia’ </w:t>
            </w:r>
          </w:p>
        </w:tc>
      </w:tr>
      <w:tr w:rsidR="00503B34" w14:paraId="6DEB0D39" w14:textId="77777777" w:rsidTr="00616F0E">
        <w:tc>
          <w:tcPr>
            <w:tcW w:w="9638" w:type="dxa"/>
            <w:shd w:val="clear" w:color="auto" w:fill="EBEBEB"/>
            <w:tcMar>
              <w:top w:w="28" w:type="dxa"/>
              <w:left w:w="170" w:type="dxa"/>
              <w:bottom w:w="170" w:type="dxa"/>
              <w:right w:w="170" w:type="dxa"/>
            </w:tcMar>
            <w:hideMark/>
          </w:tcPr>
          <w:p w14:paraId="1ECE35E4" w14:textId="7B4F1D12" w:rsidR="00503B34" w:rsidRPr="002123B8" w:rsidRDefault="00503B34" w:rsidP="001C79A3">
            <w:pPr>
              <w:pStyle w:val="BodyText"/>
              <w:rPr>
                <w:spacing w:val="-2"/>
              </w:rPr>
            </w:pPr>
            <w:r w:rsidRPr="002123B8">
              <w:rPr>
                <w:spacing w:val="-2"/>
              </w:rPr>
              <w:t xml:space="preserve">Future Made in Australia </w:t>
            </w:r>
            <w:r w:rsidR="007C6DA8" w:rsidRPr="002123B8">
              <w:rPr>
                <w:spacing w:val="-2"/>
              </w:rPr>
              <w:t xml:space="preserve">(FMIA) </w:t>
            </w:r>
            <w:r w:rsidRPr="002123B8">
              <w:rPr>
                <w:spacing w:val="-2"/>
              </w:rPr>
              <w:t xml:space="preserve">is a broad </w:t>
            </w:r>
            <w:r w:rsidR="00447AD9" w:rsidRPr="002123B8">
              <w:rPr>
                <w:spacing w:val="-2"/>
              </w:rPr>
              <w:t>industry</w:t>
            </w:r>
            <w:r w:rsidRPr="002123B8">
              <w:rPr>
                <w:spacing w:val="-2"/>
              </w:rPr>
              <w:t xml:space="preserve"> policy agenda first announced by the Australian Government in the 2024</w:t>
            </w:r>
            <w:r w:rsidR="00200862" w:rsidRPr="002123B8">
              <w:rPr>
                <w:spacing w:val="-2"/>
              </w:rPr>
              <w:noBreakHyphen/>
            </w:r>
            <w:r w:rsidRPr="002123B8">
              <w:rPr>
                <w:spacing w:val="-2"/>
              </w:rPr>
              <w:t xml:space="preserve">25 budget. It aims to build a ‘more diversified and resilient economy powered by clean energy and </w:t>
            </w:r>
            <w:r w:rsidR="00D733B3" w:rsidRPr="002123B8">
              <w:rPr>
                <w:spacing w:val="-2"/>
              </w:rPr>
              <w:t>creat[e]</w:t>
            </w:r>
            <w:r w:rsidRPr="002123B8">
              <w:rPr>
                <w:spacing w:val="-2"/>
              </w:rPr>
              <w:t xml:space="preserve"> more secure, well paid jobs’ (</w:t>
            </w:r>
            <w:r w:rsidRPr="002123B8">
              <w:rPr>
                <w:i/>
                <w:iCs/>
                <w:spacing w:val="-2"/>
              </w:rPr>
              <w:t>Future Made in Australia Act 2024</w:t>
            </w:r>
            <w:r w:rsidRPr="002123B8">
              <w:rPr>
                <w:spacing w:val="-2"/>
              </w:rPr>
              <w:t> (Cth) Preamble).</w:t>
            </w:r>
          </w:p>
          <w:p w14:paraId="67F63BC6" w14:textId="2D1BEBAA" w:rsidR="00503B34" w:rsidRDefault="00503B34" w:rsidP="001C79A3">
            <w:pPr>
              <w:pStyle w:val="BodyText"/>
            </w:pPr>
            <w:r>
              <w:t xml:space="preserve">Investments made under FMIA are guided by the National Interest Framework (NIF) which was legislated in the </w:t>
            </w:r>
            <w:r>
              <w:rPr>
                <w:i/>
                <w:iCs/>
              </w:rPr>
              <w:t xml:space="preserve">Future Made in Australia Act 2024 </w:t>
            </w:r>
            <w:r w:rsidRPr="00D208AC">
              <w:t>(Cth)</w:t>
            </w:r>
            <w:r>
              <w:rPr>
                <w:i/>
                <w:iCs/>
              </w:rPr>
              <w:t xml:space="preserve">. </w:t>
            </w:r>
            <w:r>
              <w:t xml:space="preserve">The NIF is designed to impose “rigour on Government’s decision making on significant public investments, particularly those used to incentivise private investments at scale” </w:t>
            </w:r>
            <w:r w:rsidR="0028392B" w:rsidRPr="0028392B">
              <w:rPr>
                <w:rFonts w:ascii="Arial" w:hAnsi="Arial" w:cs="Arial"/>
              </w:rPr>
              <w:t>(Australian Government 2024a, p. 6)</w:t>
            </w:r>
            <w:r>
              <w:t xml:space="preserve">. </w:t>
            </w:r>
          </w:p>
          <w:p w14:paraId="6C6013DD" w14:textId="7975183F" w:rsidR="00503B34" w:rsidRDefault="00503B34" w:rsidP="001C79A3">
            <w:pPr>
              <w:pStyle w:val="BodyText"/>
            </w:pPr>
            <w:r w:rsidRPr="0002326F">
              <w:rPr>
                <w:i/>
                <w:iCs/>
              </w:rPr>
              <w:t xml:space="preserve">Future Made in Australia </w:t>
            </w:r>
            <w:r>
              <w:rPr>
                <w:i/>
                <w:iCs/>
              </w:rPr>
              <w:t>Act</w:t>
            </w:r>
            <w:r w:rsidRPr="0002326F">
              <w:rPr>
                <w:i/>
                <w:iCs/>
              </w:rPr>
              <w:t xml:space="preserve"> 2024 </w:t>
            </w:r>
            <w:r w:rsidRPr="004B4884">
              <w:t>(Cth)</w:t>
            </w:r>
            <w:r w:rsidRPr="0002326F">
              <w:rPr>
                <w:i/>
                <w:iCs/>
              </w:rPr>
              <w:t xml:space="preserve"> </w:t>
            </w:r>
            <w:r w:rsidRPr="00C460C3">
              <w:t>subsections 7(3)</w:t>
            </w:r>
            <w:r w:rsidR="00D23A48">
              <w:t xml:space="preserve"> </w:t>
            </w:r>
            <w:r w:rsidRPr="00C460C3">
              <w:t>– (4)</w:t>
            </w:r>
            <w:r w:rsidRPr="0002326F">
              <w:t xml:space="preserve"> </w:t>
            </w:r>
            <w:r>
              <w:t>outline two streams for FMIA investment:</w:t>
            </w:r>
          </w:p>
          <w:p w14:paraId="3CE6E592" w14:textId="77777777" w:rsidR="00503B34" w:rsidRPr="003A5B37" w:rsidRDefault="00503B34" w:rsidP="00F33EF0">
            <w:pPr>
              <w:pStyle w:val="ListBullet"/>
            </w:pPr>
            <w:r w:rsidRPr="003A5B37">
              <w:rPr>
                <w:b/>
                <w:bCs/>
              </w:rPr>
              <w:t>Net Zero Transformation Stream</w:t>
            </w:r>
            <w:r w:rsidRPr="003A5B37">
              <w:t xml:space="preserve"> – relates to where a sector could have a sustained comparative advantage in a net zero global economy; and public investment is likely to be needed for the sector to make a significant contribution to emissions reduction at an efficient cost.</w:t>
            </w:r>
          </w:p>
          <w:p w14:paraId="0101D541" w14:textId="77777777" w:rsidR="00503B34" w:rsidRPr="002123B8" w:rsidRDefault="00503B34" w:rsidP="00F33EF0">
            <w:pPr>
              <w:pStyle w:val="ListBullet"/>
              <w:rPr>
                <w:spacing w:val="-2"/>
              </w:rPr>
            </w:pPr>
            <w:r w:rsidRPr="002123B8">
              <w:rPr>
                <w:b/>
                <w:bCs/>
                <w:spacing w:val="-2"/>
              </w:rPr>
              <w:t>Economic Security and Resilience Stream</w:t>
            </w:r>
            <w:r w:rsidRPr="002123B8">
              <w:rPr>
                <w:spacing w:val="-2"/>
              </w:rPr>
              <w:t xml:space="preserve"> – relates to where some level of domestic capability in the sector is a necessary or an efficient way to deliver economic resilience and security; and the private sector will not deliver the necessary investment in the sector in the absence of government support.</w:t>
            </w:r>
          </w:p>
          <w:p w14:paraId="3E5ECF78" w14:textId="05E9E6DC" w:rsidR="00503B34" w:rsidRPr="002123B8" w:rsidRDefault="00503B34" w:rsidP="001C79A3">
            <w:pPr>
              <w:pStyle w:val="BodyText"/>
              <w:rPr>
                <w:spacing w:val="-2"/>
              </w:rPr>
            </w:pPr>
            <w:r w:rsidRPr="002123B8">
              <w:rPr>
                <w:spacing w:val="-2"/>
              </w:rPr>
              <w:t xml:space="preserve">Under the legislation, the Minister can ask for a ‘sector assessment’ to determine whether </w:t>
            </w:r>
            <w:r w:rsidR="00275B9D" w:rsidRPr="002123B8">
              <w:rPr>
                <w:spacing w:val="-2"/>
              </w:rPr>
              <w:t xml:space="preserve">support for </w:t>
            </w:r>
            <w:r w:rsidRPr="002123B8">
              <w:rPr>
                <w:spacing w:val="-2"/>
              </w:rPr>
              <w:t>a given sector aligns with the NIF. To date</w:t>
            </w:r>
            <w:r w:rsidR="00D84920" w:rsidRPr="002123B8">
              <w:rPr>
                <w:spacing w:val="-2"/>
              </w:rPr>
              <w:t xml:space="preserve"> no </w:t>
            </w:r>
            <w:r w:rsidRPr="002123B8">
              <w:rPr>
                <w:spacing w:val="-2"/>
              </w:rPr>
              <w:t xml:space="preserve">sector assessments have been </w:t>
            </w:r>
            <w:r w:rsidR="00D84920" w:rsidRPr="002123B8">
              <w:rPr>
                <w:spacing w:val="-2"/>
              </w:rPr>
              <w:t>undertaken, however preliminary analysis to identify potential sectors was carried out as part of the NIF supporting paper</w:t>
            </w:r>
            <w:r w:rsidRPr="002123B8">
              <w:rPr>
                <w:spacing w:val="-2"/>
              </w:rPr>
              <w:t xml:space="preserve">. </w:t>
            </w:r>
            <w:r w:rsidR="00275B9D" w:rsidRPr="002123B8">
              <w:rPr>
                <w:spacing w:val="-2"/>
              </w:rPr>
              <w:t>This paper</w:t>
            </w:r>
            <w:r w:rsidRPr="002123B8">
              <w:rPr>
                <w:spacing w:val="-2"/>
              </w:rPr>
              <w:t xml:space="preserve"> </w:t>
            </w:r>
            <w:r w:rsidR="00275B9D" w:rsidRPr="002123B8">
              <w:rPr>
                <w:spacing w:val="-2"/>
              </w:rPr>
              <w:t xml:space="preserve">claimed </w:t>
            </w:r>
            <w:r w:rsidRPr="002123B8">
              <w:rPr>
                <w:spacing w:val="-2"/>
              </w:rPr>
              <w:t xml:space="preserve">Australia has an enduring comparative advantage in hydrogen, green metals, and low carbon liquid fuels </w:t>
            </w:r>
            <w:r w:rsidR="0028392B" w:rsidRPr="002123B8">
              <w:rPr>
                <w:rFonts w:cs="Arial"/>
                <w:spacing w:val="-2"/>
              </w:rPr>
              <w:t>(Australian Government 2024a, pp. 15–20)</w:t>
            </w:r>
            <w:r w:rsidRPr="002123B8">
              <w:rPr>
                <w:spacing w:val="-2"/>
              </w:rPr>
              <w:t>.</w:t>
            </w:r>
            <w:r w:rsidRPr="002123B8" w:rsidDel="00362D07">
              <w:rPr>
                <w:spacing w:val="-2"/>
              </w:rPr>
              <w:t xml:space="preserve"> </w:t>
            </w:r>
            <w:r w:rsidRPr="002123B8">
              <w:rPr>
                <w:spacing w:val="-2"/>
              </w:rPr>
              <w:t xml:space="preserve">It also </w:t>
            </w:r>
            <w:r w:rsidR="00275B9D" w:rsidRPr="002123B8">
              <w:rPr>
                <w:spacing w:val="-2"/>
              </w:rPr>
              <w:t>stated</w:t>
            </w:r>
            <w:r w:rsidRPr="002123B8">
              <w:rPr>
                <w:spacing w:val="-2"/>
              </w:rPr>
              <w:t xml:space="preserve"> that critical minerals processing </w:t>
            </w:r>
            <w:r w:rsidR="00275B9D" w:rsidRPr="002123B8">
              <w:rPr>
                <w:spacing w:val="-2"/>
              </w:rPr>
              <w:t>aligns</w:t>
            </w:r>
            <w:r w:rsidRPr="002123B8">
              <w:rPr>
                <w:spacing w:val="-2"/>
              </w:rPr>
              <w:t xml:space="preserve"> with the economic security and resilience stream </w:t>
            </w:r>
            <w:r w:rsidR="0028392B" w:rsidRPr="002123B8">
              <w:rPr>
                <w:rFonts w:cs="Arial"/>
                <w:spacing w:val="-2"/>
              </w:rPr>
              <w:t>(Australian Government 2024a, p. 24)</w:t>
            </w:r>
            <w:r w:rsidRPr="002123B8">
              <w:rPr>
                <w:spacing w:val="-2"/>
              </w:rPr>
              <w:t>.</w:t>
            </w:r>
          </w:p>
          <w:p w14:paraId="5649F28E" w14:textId="13AF143E" w:rsidR="00503B34" w:rsidRDefault="00503B34" w:rsidP="001C79A3">
            <w:pPr>
              <w:pStyle w:val="Source"/>
            </w:pPr>
            <w:r>
              <w:t xml:space="preserve">Source: </w:t>
            </w:r>
            <w:r w:rsidRPr="001A293D">
              <w:rPr>
                <w:rFonts w:ascii="Arial" w:hAnsi="Arial" w:cs="Arial"/>
              </w:rPr>
              <w:t>Australian</w:t>
            </w:r>
            <w:r>
              <w:rPr>
                <w:rFonts w:ascii="Arial" w:hAnsi="Arial" w:cs="Arial"/>
              </w:rPr>
              <w:t xml:space="preserve"> </w:t>
            </w:r>
            <w:r w:rsidRPr="001A293D">
              <w:rPr>
                <w:rFonts w:ascii="Arial" w:hAnsi="Arial" w:cs="Arial"/>
              </w:rPr>
              <w:t>Government </w:t>
            </w:r>
            <w:r w:rsidR="0028392B" w:rsidRPr="0028392B">
              <w:rPr>
                <w:rFonts w:ascii="Arial" w:hAnsi="Arial" w:cs="Arial"/>
              </w:rPr>
              <w:t>(2024a)</w:t>
            </w:r>
            <w:r>
              <w:rPr>
                <w:rFonts w:ascii="Arial" w:hAnsi="Arial" w:cs="Arial"/>
              </w:rPr>
              <w:t xml:space="preserve"> and Parliament of Australia </w:t>
            </w:r>
            <w:r w:rsidRPr="00931019">
              <w:rPr>
                <w:rFonts w:ascii="Arial" w:hAnsi="Arial" w:cs="Arial"/>
              </w:rPr>
              <w:t>(2024)</w:t>
            </w:r>
            <w:r>
              <w:rPr>
                <w:rFonts w:ascii="Arial" w:hAnsi="Arial" w:cs="Arial"/>
              </w:rPr>
              <w:t>.</w:t>
            </w:r>
          </w:p>
        </w:tc>
      </w:tr>
      <w:tr w:rsidR="00503B34" w14:paraId="28BCEBFC" w14:textId="77777777" w:rsidTr="00616F0E">
        <w:trPr>
          <w:trHeight w:val="77"/>
        </w:trPr>
        <w:tc>
          <w:tcPr>
            <w:tcW w:w="9638" w:type="dxa"/>
            <w:shd w:val="clear" w:color="auto" w:fill="auto"/>
            <w:tcMar>
              <w:top w:w="0" w:type="dxa"/>
              <w:left w:w="170" w:type="dxa"/>
              <w:bottom w:w="0" w:type="dxa"/>
              <w:right w:w="170" w:type="dxa"/>
            </w:tcMar>
          </w:tcPr>
          <w:p w14:paraId="6D67232A" w14:textId="16601339" w:rsidR="00503B34" w:rsidRPr="00B84404" w:rsidRDefault="00503B34" w:rsidP="002123B8">
            <w:pPr>
              <w:pStyle w:val="NoSpacing"/>
            </w:pPr>
          </w:p>
        </w:tc>
      </w:tr>
    </w:tbl>
    <w:p w14:paraId="72B5E169" w14:textId="7E790A9D" w:rsidR="00A972CD" w:rsidRDefault="00D51B15" w:rsidP="00A972CD">
      <w:pPr>
        <w:pStyle w:val="BodyText"/>
      </w:pPr>
      <w:r>
        <w:lastRenderedPageBreak/>
        <w:t>Industry</w:t>
      </w:r>
      <w:r w:rsidR="00A972CD">
        <w:t xml:space="preserve"> policy initiatives come with risks that require careful policy design and implementation. Poorly designed industry policy can be costly for governments, act as a form of trade protection and distort the allocation of Australia’s resources towards activities that Australia is not best placed to undertake.</w:t>
      </w:r>
      <w:r w:rsidR="00A972CD" w:rsidRPr="00C14D97">
        <w:t xml:space="preserve"> </w:t>
      </w:r>
    </w:p>
    <w:p w14:paraId="46956232" w14:textId="65EC4194" w:rsidR="00A972CD" w:rsidRDefault="00A972CD" w:rsidP="00A972CD">
      <w:pPr>
        <w:pStyle w:val="BodyText"/>
      </w:pPr>
      <w:r>
        <w:t>At the same time, well</w:t>
      </w:r>
      <w:r w:rsidR="00200862">
        <w:noBreakHyphen/>
      </w:r>
      <w:r>
        <w:t xml:space="preserve">designed </w:t>
      </w:r>
      <w:r w:rsidR="00447AD9">
        <w:t>industry</w:t>
      </w:r>
      <w:r>
        <w:t xml:space="preserve"> policy can offer benefits. It presents an opportunity to address persistent market failures, such as unpriced carbon externalities and innovation spillovers, thereby accelerating the transition to a net zero economy in the absence of economy</w:t>
      </w:r>
      <w:r w:rsidR="00B42AE9">
        <w:t>-</w:t>
      </w:r>
      <w:r>
        <w:t>wide pricing mechanisms. Crucially, the process for determining who gets assistance must be transparent and rigorous. It needs to guard against arbitrary bias towards one activity or industry over another. If implemented carefully, such policies can steer investments towards activities with long</w:t>
      </w:r>
      <w:r w:rsidR="00200862">
        <w:noBreakHyphen/>
      </w:r>
      <w:r>
        <w:t>term social and economic advantages that might otherwise be overlooked.</w:t>
      </w:r>
    </w:p>
    <w:p w14:paraId="6BE4E51D" w14:textId="2F85D6B8" w:rsidR="00A972CD" w:rsidRDefault="00A972CD" w:rsidP="00A972CD">
      <w:pPr>
        <w:pStyle w:val="BodyText"/>
      </w:pPr>
      <w:r>
        <w:t xml:space="preserve">Ultimately the success of FMIA will depend on the </w:t>
      </w:r>
      <w:r w:rsidR="00854561">
        <w:t>application</w:t>
      </w:r>
      <w:r>
        <w:t xml:space="preserve"> of frameworks like the NIF, which can help guide spending to its best use; and shed light on the costs of such policies compared to the realised benefits. </w:t>
      </w:r>
      <w:r w:rsidR="00503B34">
        <w:t>This underscores</w:t>
      </w:r>
      <w:r>
        <w:t xml:space="preserve"> the critical need for transparency and ongoing evaluation and review of these and other industry policies, as well as the need for exit strategies to be incorporated into policy frameworks.</w:t>
      </w:r>
    </w:p>
    <w:p w14:paraId="47367847" w14:textId="618C6B12" w:rsidR="00503B34" w:rsidRDefault="00503B34" w:rsidP="001C79A3">
      <w:pPr>
        <w:pStyle w:val="Heading3"/>
      </w:pPr>
      <w:r>
        <w:t xml:space="preserve">Domestic industry subsidies are </w:t>
      </w:r>
      <w:r w:rsidR="00256261">
        <w:t xml:space="preserve">often </w:t>
      </w:r>
      <w:r>
        <w:t>unlikely to be the lowest cost way of reducing supply chain disruptions</w:t>
      </w:r>
    </w:p>
    <w:p w14:paraId="0FB1279E" w14:textId="77777777" w:rsidR="00503B34" w:rsidRPr="003C4BB6" w:rsidRDefault="00503B34" w:rsidP="001C79A3">
      <w:pPr>
        <w:pStyle w:val="Heading4"/>
      </w:pPr>
      <w:r>
        <w:t>Domestic industry is not a guarantee of secure supply</w:t>
      </w:r>
    </w:p>
    <w:p w14:paraId="1A499A7D" w14:textId="77777777" w:rsidR="00503B34" w:rsidRPr="00965EBF" w:rsidRDefault="00503B34" w:rsidP="001C79A3">
      <w:pPr>
        <w:pStyle w:val="BodyText"/>
      </w:pPr>
      <w:r w:rsidRPr="00965EBF">
        <w:t>Achieving FMIA’s goal of minimising supply chain disruptions at efficient cost will require careful strategy. While there are cases for intervention through assistance, relying on domestic industry for supply chain security has several limitations:</w:t>
      </w:r>
    </w:p>
    <w:p w14:paraId="14B868D5" w14:textId="12AF3C42" w:rsidR="00503B34" w:rsidRDefault="00503B34" w:rsidP="00F33EF0">
      <w:pPr>
        <w:pStyle w:val="ListBullet"/>
      </w:pPr>
      <w:r>
        <w:t>Investment in domestic industry to manage supply chain risks may simply shift a vulnerability rather than reduce it. Many complex goods have globally integrated supply chains with components sourced from all over the world. For instance, shortages of the diesel exhaust fluid AdBlue prompted government investment in Australia’s domestic manufacturing facility</w:t>
      </w:r>
      <w:r w:rsidR="00B14235">
        <w:t>. Y</w:t>
      </w:r>
      <w:r>
        <w:t xml:space="preserve">et the plant ultimately closed due to urea </w:t>
      </w:r>
      <w:r w:rsidR="00DB3B5B">
        <w:t>import and</w:t>
      </w:r>
      <w:r>
        <w:t xml:space="preserve"> gas feedstock shortages </w:t>
      </w:r>
      <w:r w:rsidRPr="004E5CEB">
        <w:rPr>
          <w:rFonts w:ascii="Arial" w:hAnsi="Arial" w:cs="Arial"/>
        </w:rPr>
        <w:t>(Pandergast and Jose 2022)</w:t>
      </w:r>
      <w:r>
        <w:t>.</w:t>
      </w:r>
    </w:p>
    <w:p w14:paraId="019A686F" w14:textId="610D7A02" w:rsidR="00A972CD" w:rsidRDefault="00A972CD" w:rsidP="00503B34">
      <w:pPr>
        <w:pStyle w:val="ListBullet"/>
      </w:pPr>
      <w:r>
        <w:t xml:space="preserve">Domestic production capability can still be subject to its own disruptions, including by natural disasters or input disruptions. For example, wet conditions in 2022 slowed the delivery of coal, resulting in energy shortages </w:t>
      </w:r>
      <w:r w:rsidRPr="00ED12B7">
        <w:rPr>
          <w:rFonts w:ascii="Arial" w:hAnsi="Arial" w:cs="Arial"/>
        </w:rPr>
        <w:t>(Skinner 2022)</w:t>
      </w:r>
      <w:r>
        <w:t xml:space="preserve">. </w:t>
      </w:r>
    </w:p>
    <w:p w14:paraId="1BA50E84" w14:textId="18CB60D6" w:rsidR="00A972CD" w:rsidRDefault="00A972CD" w:rsidP="00503B34">
      <w:pPr>
        <w:pStyle w:val="ListBullet"/>
      </w:pPr>
      <w:r>
        <w:t xml:space="preserve">Domestic production capability does not guarantee local supply </w:t>
      </w:r>
      <w:r w:rsidR="00DF5ACB">
        <w:t>if producers can export goods at higher prices on the global market during supply shocks</w:t>
      </w:r>
      <w:r>
        <w:t xml:space="preserve">. </w:t>
      </w:r>
      <w:r w:rsidR="00C821F5">
        <w:t xml:space="preserve">For example, </w:t>
      </w:r>
      <w:r w:rsidR="00503B34">
        <w:t xml:space="preserve">Australia’s </w:t>
      </w:r>
      <w:r w:rsidR="00C821F5">
        <w:t>domestic production of natural gas</w:t>
      </w:r>
      <w:r w:rsidR="00503B34">
        <w:t xml:space="preserve"> on the east coast did not shield domestic consumers from global price spikes following Russia’s invasion of Ukraine </w:t>
      </w:r>
      <w:r w:rsidR="00503B34" w:rsidRPr="004F7B27">
        <w:rPr>
          <w:rFonts w:ascii="Arial" w:hAnsi="Arial" w:cs="Arial"/>
        </w:rPr>
        <w:t>(ACCC 2022; Salazar 2023)</w:t>
      </w:r>
      <w:r>
        <w:t xml:space="preserve">. </w:t>
      </w:r>
    </w:p>
    <w:p w14:paraId="262AAD88" w14:textId="7F2970A7" w:rsidR="00503B34" w:rsidRDefault="00503B34" w:rsidP="00F33EF0">
      <w:pPr>
        <w:pStyle w:val="ListBullet"/>
      </w:pPr>
      <w:r>
        <w:t>Finally,</w:t>
      </w:r>
      <w:r w:rsidDel="00734BB2">
        <w:t xml:space="preserve"> </w:t>
      </w:r>
      <w:r>
        <w:t>domestic supply may itself be insufficient to avoid shortages.</w:t>
      </w:r>
      <w:r w:rsidR="006A640A">
        <w:t xml:space="preserve"> </w:t>
      </w:r>
      <w:r>
        <w:t>For example, Australia makes 75% of its intravenous fluid but has recently experienced shortages due to unexpected increases in demand and manufacturing issues, among other factors</w:t>
      </w:r>
      <w:r w:rsidDel="00456252">
        <w:t xml:space="preserve"> </w:t>
      </w:r>
      <w:r w:rsidRPr="00A30C57">
        <w:rPr>
          <w:rFonts w:ascii="Arial" w:hAnsi="Arial" w:cs="Arial"/>
        </w:rPr>
        <w:t>(Robinson and Panagopoulos 2024; TGA 2025)</w:t>
      </w:r>
      <w:r>
        <w:t>.</w:t>
      </w:r>
    </w:p>
    <w:p w14:paraId="4E4FF5A3" w14:textId="5BD8F13E" w:rsidR="00A972CD" w:rsidRDefault="00A972CD" w:rsidP="00A972CD">
      <w:pPr>
        <w:pStyle w:val="BodyText"/>
      </w:pPr>
      <w:r>
        <w:t xml:space="preserve">These factors, plus the high costs of supporting an otherwise uncompetitive domestic industry, mean that </w:t>
      </w:r>
      <w:r w:rsidR="000A5DBE">
        <w:t xml:space="preserve">using </w:t>
      </w:r>
      <w:r>
        <w:t>domestic production subsidies as a resilience measure require</w:t>
      </w:r>
      <w:r w:rsidR="000A5DBE">
        <w:t>s</w:t>
      </w:r>
      <w:r>
        <w:t xml:space="preserve"> careful evaluation. </w:t>
      </w:r>
      <w:r>
        <w:rPr>
          <w:rStyle w:val="BodyTextChar"/>
        </w:rPr>
        <w:t xml:space="preserve">Creating or maintaining some limited manufacturing capability might be a more efficient option while using other complementary policy tools. The Australian Government has taken steps in this direction. </w:t>
      </w:r>
      <w:r w:rsidR="00020F37">
        <w:rPr>
          <w:rStyle w:val="BodyTextChar"/>
        </w:rPr>
        <w:t>As it is applied</w:t>
      </w:r>
      <w:r>
        <w:t xml:space="preserve">, economic frameworks like the NIF’s sector assessments could serve as a vehicle to help policymakers identify where club goods approaches or stockpiling could be suitable alternatives or complements to domestic production subsidies. </w:t>
      </w:r>
    </w:p>
    <w:p w14:paraId="6C8F4B63" w14:textId="77777777" w:rsidR="00A972CD" w:rsidRDefault="00A972CD" w:rsidP="00A972CD">
      <w:pPr>
        <w:pStyle w:val="Heading4"/>
      </w:pPr>
      <w:r>
        <w:lastRenderedPageBreak/>
        <w:t>Club goods style international partnerships can spread risks and lower the costs of mitigating supply chain disruptions</w:t>
      </w:r>
    </w:p>
    <w:p w14:paraId="504BFCF7" w14:textId="6BD0BBEF" w:rsidR="00A972CD" w:rsidRDefault="00A972CD" w:rsidP="00A972CD">
      <w:pPr>
        <w:rPr>
          <w:rFonts w:ascii="Arial" w:eastAsia="Arial" w:hAnsi="Arial" w:cs="Arial"/>
        </w:rPr>
      </w:pPr>
      <w:r>
        <w:rPr>
          <w:rFonts w:ascii="Arial" w:eastAsia="Arial" w:hAnsi="Arial" w:cs="Arial"/>
        </w:rPr>
        <w:t>Club goods are ‘excludable’, meaning people can be prevented from using them, and ‘non</w:t>
      </w:r>
      <w:r w:rsidR="00200862">
        <w:rPr>
          <w:rFonts w:ascii="Arial" w:eastAsia="Arial" w:hAnsi="Arial" w:cs="Arial"/>
        </w:rPr>
        <w:noBreakHyphen/>
      </w:r>
      <w:r>
        <w:rPr>
          <w:rFonts w:ascii="Arial" w:eastAsia="Arial" w:hAnsi="Arial" w:cs="Arial"/>
        </w:rPr>
        <w:t>rival’, meaning one person’s use does not diminish availability to others</w:t>
      </w:r>
      <w:r w:rsidR="00452ED7">
        <w:rPr>
          <w:rFonts w:ascii="Arial" w:eastAsia="Arial" w:hAnsi="Arial" w:cs="Arial"/>
        </w:rPr>
        <w:t xml:space="preserve"> </w:t>
      </w:r>
      <w:r w:rsidR="00DF079A">
        <w:rPr>
          <w:rFonts w:ascii="Arial" w:eastAsia="Arial" w:hAnsi="Arial" w:cs="Arial"/>
        </w:rPr>
        <w:t>(up to a certain point)</w:t>
      </w:r>
      <w:r>
        <w:rPr>
          <w:rFonts w:ascii="Arial" w:eastAsia="Arial" w:hAnsi="Arial" w:cs="Arial"/>
        </w:rPr>
        <w:t xml:space="preserve">. </w:t>
      </w:r>
      <w:r w:rsidR="00503B34">
        <w:rPr>
          <w:rFonts w:ascii="Arial" w:eastAsia="Arial" w:hAnsi="Arial" w:cs="Arial"/>
        </w:rPr>
        <w:t>Clubs, whether of individuals or countries, form to share costs for such goods</w:t>
      </w:r>
      <w:r w:rsidR="00503B34" w:rsidDel="00CF17BB">
        <w:rPr>
          <w:rFonts w:ascii="Arial" w:eastAsia="Arial" w:hAnsi="Arial" w:cs="Arial"/>
        </w:rPr>
        <w:t xml:space="preserve"> </w:t>
      </w:r>
      <w:r w:rsidR="00503B34" w:rsidRPr="00124943">
        <w:rPr>
          <w:rFonts w:ascii="Arial" w:hAnsi="Arial" w:cs="Arial"/>
        </w:rPr>
        <w:t>(Buchanan 1965; Kinne and Kang 2023)</w:t>
      </w:r>
      <w:r w:rsidRPr="008C0221">
        <w:rPr>
          <w:rFonts w:ascii="Arial" w:eastAsia="Arial" w:hAnsi="Arial" w:cs="Arial"/>
        </w:rPr>
        <w:t xml:space="preserve">. </w:t>
      </w:r>
    </w:p>
    <w:p w14:paraId="0E346E12" w14:textId="54432D91" w:rsidR="00503B34" w:rsidRPr="00E066FF" w:rsidRDefault="00503B34" w:rsidP="001C79A3">
      <w:pPr>
        <w:pStyle w:val="BodyText"/>
      </w:pPr>
      <w:r w:rsidRPr="00E066FF">
        <w:t>The Mineral Security Partnership established in 2022 is a US</w:t>
      </w:r>
      <w:r w:rsidR="00200862">
        <w:noBreakHyphen/>
      </w:r>
      <w:r w:rsidRPr="00E066FF">
        <w:t xml:space="preserve">led initiative that exemplifies the concept of a club good approach to collectively </w:t>
      </w:r>
      <w:r>
        <w:t>manage</w:t>
      </w:r>
      <w:r w:rsidRPr="00E066FF">
        <w:t xml:space="preserve"> a common challenge. </w:t>
      </w:r>
      <w:r>
        <w:t>C</w:t>
      </w:r>
      <w:r w:rsidRPr="00E066FF">
        <w:t>urrent partners include Australia, Canada, India, Japan, the Republic of Korea,</w:t>
      </w:r>
      <w:r>
        <w:t xml:space="preserve"> the United Kingdom</w:t>
      </w:r>
      <w:r w:rsidRPr="00E066FF">
        <w:t xml:space="preserve"> and </w:t>
      </w:r>
      <w:r>
        <w:t>several European countries</w:t>
      </w:r>
      <w:r w:rsidRPr="00E066FF">
        <w:t xml:space="preserve"> </w:t>
      </w:r>
      <w:r w:rsidRPr="00994667">
        <w:rPr>
          <w:rFonts w:ascii="Arial" w:hAnsi="Arial" w:cs="Arial"/>
        </w:rPr>
        <w:t>(United States Department of State 2024)</w:t>
      </w:r>
      <w:r w:rsidRPr="00E066FF">
        <w:t xml:space="preserve">. </w:t>
      </w:r>
      <w:r>
        <w:t>Such partnerships allow each country to complement</w:t>
      </w:r>
      <w:r w:rsidRPr="00E066FF" w:rsidDel="007A3158">
        <w:t xml:space="preserve"> </w:t>
      </w:r>
      <w:r w:rsidRPr="00E066FF">
        <w:t xml:space="preserve">each other’s strengths and </w:t>
      </w:r>
      <w:r>
        <w:t>pool</w:t>
      </w:r>
      <w:r w:rsidRPr="00E066FF">
        <w:t xml:space="preserve"> resources </w:t>
      </w:r>
      <w:r>
        <w:t xml:space="preserve">to </w:t>
      </w:r>
      <w:r w:rsidRPr="00E066FF" w:rsidDel="007A3158">
        <w:t xml:space="preserve">establish </w:t>
      </w:r>
      <w:r w:rsidRPr="00E066FF">
        <w:t>a</w:t>
      </w:r>
      <w:r w:rsidRPr="00E066FF" w:rsidDel="005D13EA">
        <w:t xml:space="preserve"> </w:t>
      </w:r>
      <w:r w:rsidRPr="00E066FF">
        <w:t xml:space="preserve">critical minerals supply chain </w:t>
      </w:r>
      <w:r>
        <w:t>for countries aligned with the objectives and rules of the club</w:t>
      </w:r>
      <w:r w:rsidRPr="00E066FF">
        <w:t xml:space="preserve">. </w:t>
      </w:r>
    </w:p>
    <w:p w14:paraId="0C6F4FF4" w14:textId="77777777" w:rsidR="00503B34" w:rsidRDefault="00503B34" w:rsidP="001C79A3">
      <w:pPr>
        <w:pStyle w:val="Heading4"/>
      </w:pPr>
      <w:r>
        <w:t>Stockpiling is an effective tool to manage supply chain vulnerabilities for some goods</w:t>
      </w:r>
    </w:p>
    <w:p w14:paraId="255B0BF3" w14:textId="0FADFCFF" w:rsidR="00503B34" w:rsidRDefault="00503B34" w:rsidP="001C79A3">
      <w:pPr>
        <w:pStyle w:val="BodyText"/>
      </w:pPr>
      <w:r w:rsidRPr="00FC5C66">
        <w:t xml:space="preserve">Government stockpiling is </w:t>
      </w:r>
      <w:r>
        <w:t>another</w:t>
      </w:r>
      <w:r w:rsidRPr="00FC5C66">
        <w:t xml:space="preserve"> option to manage supply chain vulnerabilities. It involves accumulating a reserve of goods to ensure availability during supply chain interruptions or sudden surges in demand. A stockpile manager’s primary goal </w:t>
      </w:r>
      <w:r>
        <w:t>can be viewed as minimising</w:t>
      </w:r>
      <w:r w:rsidRPr="00FC5C66">
        <w:t xml:space="preserve"> the costs of a disruption and the cost of managing the stockpile, including maintenance costs and refreshment of supplies</w:t>
      </w:r>
      <w:r>
        <w:t xml:space="preserve"> </w:t>
      </w:r>
      <w:r w:rsidRPr="00731218">
        <w:rPr>
          <w:rFonts w:ascii="Arial" w:hAnsi="Arial" w:cs="Arial"/>
        </w:rPr>
        <w:t>(Oliveira et al. 2023)</w:t>
      </w:r>
      <w:r w:rsidRPr="00FC5C66">
        <w:t xml:space="preserve">. Depending on the good, stockpile managers may achieve this goal by giving stock directly to a specific user (such as emergency support staff) or by selling it to alleviate </w:t>
      </w:r>
      <w:r>
        <w:t xml:space="preserve">local </w:t>
      </w:r>
      <w:r w:rsidRPr="00FC5C66">
        <w:t>supply shortages and reduce</w:t>
      </w:r>
      <w:r>
        <w:t xml:space="preserve"> local</w:t>
      </w:r>
      <w:r w:rsidRPr="00FC5C66">
        <w:t xml:space="preserve"> prices </w:t>
      </w:r>
      <w:r w:rsidRPr="00B90476">
        <w:rPr>
          <w:rFonts w:ascii="Arial" w:hAnsi="Arial" w:cs="Arial"/>
        </w:rPr>
        <w:t>(NEMA 2024; Newell and Prest 2017)</w:t>
      </w:r>
      <w:r w:rsidRPr="00FC5C66">
        <w:t>.</w:t>
      </w:r>
    </w:p>
    <w:p w14:paraId="30E6279E" w14:textId="3E771FDC" w:rsidR="00503B34" w:rsidRDefault="00503B34" w:rsidP="001C79A3">
      <w:pPr>
        <w:pStyle w:val="BodyText"/>
      </w:pPr>
      <w:r>
        <w:t xml:space="preserve">The Critical Minerals Strategic Reserve announced in April 2025 is one example of stockpiling being used to complement industry </w:t>
      </w:r>
      <w:r w:rsidDel="005D13EA">
        <w:t>policy</w:t>
      </w:r>
      <w:r>
        <w:t xml:space="preserve"> and could ultimately reduce the costs of avoiding a disruption. Details of the reserve will be developed throughout 2025, but it will involve a selective stockpile and off</w:t>
      </w:r>
      <w:r w:rsidR="00200862">
        <w:noBreakHyphen/>
      </w:r>
      <w:r>
        <w:t>take agreements between the Australian Government and suppliers of minerals</w:t>
      </w:r>
      <w:r w:rsidR="00A21B72">
        <w:t xml:space="preserve"> </w:t>
      </w:r>
      <w:r w:rsidRPr="00AB4CF9">
        <w:rPr>
          <w:rFonts w:ascii="Arial" w:hAnsi="Arial" w:cs="Arial"/>
        </w:rPr>
        <w:t>(Albanese 2025a)</w:t>
      </w:r>
      <w:r>
        <w:t>.</w:t>
      </w:r>
    </w:p>
    <w:p w14:paraId="088AB709" w14:textId="7EE24D12" w:rsidR="00503B34" w:rsidRDefault="00503B34" w:rsidP="001C79A3">
      <w:pPr>
        <w:pStyle w:val="BodyText"/>
      </w:pPr>
      <w:r>
        <w:t xml:space="preserve">It should be noted that tariffs have been excluded </w:t>
      </w:r>
      <w:r w:rsidR="00FD330E">
        <w:t>as</w:t>
      </w:r>
      <w:r>
        <w:t xml:space="preserve"> a proposed option as they are less flexible and less likely to be World Trade Organisation compatible than other methods like subsidies (</w:t>
      </w:r>
      <w:r w:rsidR="0028069C">
        <w:t>b</w:t>
      </w:r>
      <w:r w:rsidR="00791979">
        <w:t xml:space="preserve">ox </w:t>
      </w:r>
      <w:r w:rsidR="00791979">
        <w:rPr>
          <w:noProof/>
        </w:rPr>
        <w:t>3</w:t>
      </w:r>
      <w:r w:rsidR="00791979">
        <w:t>.</w:t>
      </w:r>
      <w:r w:rsidR="00791979">
        <w:rPr>
          <w:noProof/>
        </w:rPr>
        <w:t>2</w:t>
      </w:r>
      <w:r>
        <w:t>).</w:t>
      </w:r>
    </w:p>
    <w:p w14:paraId="4C9C978E" w14:textId="67C4BCFC" w:rsidR="00A972CD" w:rsidRPr="00F82BD9" w:rsidRDefault="00A972CD" w:rsidP="00A972CD">
      <w:pPr>
        <w:pStyle w:val="NoSpacing"/>
      </w:pPr>
    </w:p>
    <w:tbl>
      <w:tblPr>
        <w:tblStyle w:val="Boxtable"/>
        <w:tblW w:w="5000" w:type="pct"/>
        <w:tblLook w:val="04A0" w:firstRow="1" w:lastRow="0" w:firstColumn="1" w:lastColumn="0" w:noHBand="0" w:noVBand="1"/>
      </w:tblPr>
      <w:tblGrid>
        <w:gridCol w:w="9638"/>
      </w:tblGrid>
      <w:tr w:rsidR="00503B34" w14:paraId="737D6BC4" w14:textId="77777777" w:rsidTr="00616F0E">
        <w:trPr>
          <w:tblHeader/>
        </w:trPr>
        <w:tc>
          <w:tcPr>
            <w:tcW w:w="9638" w:type="dxa"/>
            <w:shd w:val="clear" w:color="auto" w:fill="EBEBEB"/>
            <w:tcMar>
              <w:top w:w="170" w:type="dxa"/>
              <w:left w:w="170" w:type="dxa"/>
              <w:bottom w:w="113" w:type="dxa"/>
              <w:right w:w="170" w:type="dxa"/>
            </w:tcMar>
            <w:hideMark/>
          </w:tcPr>
          <w:p w14:paraId="2E6F00C6" w14:textId="4C3DBEE5" w:rsidR="00503B34" w:rsidRDefault="00503B34" w:rsidP="001C79A3">
            <w:pPr>
              <w:pStyle w:val="BoxHeading1"/>
            </w:pPr>
            <w:bookmarkStart w:id="46" w:name="_Ref201227500"/>
            <w:r>
              <w:t xml:space="preserve">Box </w:t>
            </w:r>
            <w:r w:rsidR="00791979">
              <w:fldChar w:fldCharType="begin"/>
            </w:r>
            <w:r w:rsidR="00791979">
              <w:instrText xml:space="preserve"> STYLEREF 1 \s </w:instrText>
            </w:r>
            <w:r w:rsidR="00791979">
              <w:fldChar w:fldCharType="separate"/>
            </w:r>
            <w:r w:rsidR="004A080B">
              <w:rPr>
                <w:noProof/>
              </w:rPr>
              <w:t>3</w:t>
            </w:r>
            <w:r w:rsidR="00791979">
              <w:rPr>
                <w:noProof/>
              </w:rPr>
              <w:fldChar w:fldCharType="end"/>
            </w:r>
            <w:r w:rsidR="001D5DA3">
              <w:t>.</w:t>
            </w:r>
            <w:r w:rsidR="00791979">
              <w:fldChar w:fldCharType="begin"/>
            </w:r>
            <w:r w:rsidR="00791979">
              <w:instrText xml:space="preserve"> SEQ Box \* ARABIC \s 1 </w:instrText>
            </w:r>
            <w:r w:rsidR="00791979">
              <w:fldChar w:fldCharType="separate"/>
            </w:r>
            <w:r w:rsidR="004A080B">
              <w:rPr>
                <w:noProof/>
              </w:rPr>
              <w:t>2</w:t>
            </w:r>
            <w:r w:rsidR="00791979">
              <w:rPr>
                <w:noProof/>
              </w:rPr>
              <w:fldChar w:fldCharType="end"/>
            </w:r>
            <w:bookmarkEnd w:id="46"/>
            <w:r>
              <w:t xml:space="preserve"> – Targeted subsidies are preferable to tariffs</w:t>
            </w:r>
          </w:p>
        </w:tc>
      </w:tr>
      <w:tr w:rsidR="00503B34" w:rsidRPr="00AC3BFA" w14:paraId="3E80D373" w14:textId="77777777" w:rsidTr="00616F0E">
        <w:tc>
          <w:tcPr>
            <w:tcW w:w="9638" w:type="dxa"/>
            <w:shd w:val="clear" w:color="auto" w:fill="EBEBEB"/>
            <w:tcMar>
              <w:top w:w="28" w:type="dxa"/>
              <w:left w:w="170" w:type="dxa"/>
              <w:bottom w:w="170" w:type="dxa"/>
              <w:right w:w="170" w:type="dxa"/>
            </w:tcMar>
            <w:hideMark/>
          </w:tcPr>
          <w:p w14:paraId="2D9C351E" w14:textId="77777777" w:rsidR="00503B34" w:rsidRDefault="00503B34" w:rsidP="001C79A3">
            <w:pPr>
              <w:pStyle w:val="BodyText"/>
            </w:pPr>
            <w:r>
              <w:t>Tariffs have key limiting factors impacting their suitability for achieving specific security objectives.</w:t>
            </w:r>
          </w:p>
          <w:p w14:paraId="5CAE7D90" w14:textId="77777777" w:rsidR="00503B34" w:rsidRPr="001C1B39" w:rsidRDefault="00503B34" w:rsidP="001C79A3">
            <w:pPr>
              <w:pStyle w:val="BoxHeading2"/>
              <w:rPr>
                <w:i/>
                <w:iCs/>
              </w:rPr>
            </w:pPr>
            <w:r>
              <w:rPr>
                <w:i/>
                <w:iCs/>
              </w:rPr>
              <w:t>Under certain conditions targeted subsidies</w:t>
            </w:r>
            <w:r w:rsidDel="009B7ED6">
              <w:rPr>
                <w:i/>
                <w:iCs/>
              </w:rPr>
              <w:t xml:space="preserve"> </w:t>
            </w:r>
            <w:r>
              <w:rPr>
                <w:i/>
                <w:iCs/>
              </w:rPr>
              <w:t>can be less</w:t>
            </w:r>
            <w:r w:rsidDel="009B7ED6">
              <w:rPr>
                <w:i/>
                <w:iCs/>
              </w:rPr>
              <w:t xml:space="preserve"> </w:t>
            </w:r>
            <w:r>
              <w:rPr>
                <w:i/>
                <w:iCs/>
              </w:rPr>
              <w:t>distortionary than an equivalent tariff</w:t>
            </w:r>
          </w:p>
          <w:p w14:paraId="2D13E9F6" w14:textId="3BD14568" w:rsidR="00503B34" w:rsidRDefault="00503B34" w:rsidP="001C79A3">
            <w:pPr>
              <w:pStyle w:val="BodyText"/>
            </w:pPr>
            <w:r>
              <w:t xml:space="preserve">Tariffs and domestic production subsidies both distort markets and create deadweight loss (DWL) by encouraging domestic production that costs more than importing, however </w:t>
            </w:r>
            <w:r w:rsidR="002645E6">
              <w:t>–</w:t>
            </w:r>
            <w:r w:rsidR="004A6E56">
              <w:t xml:space="preserve"> </w:t>
            </w:r>
            <w:r w:rsidR="008E70E6">
              <w:t xml:space="preserve">as a tool to address specific </w:t>
            </w:r>
            <w:r w:rsidR="005B10AB">
              <w:t xml:space="preserve">domestic </w:t>
            </w:r>
            <w:r w:rsidR="008E70E6">
              <w:t xml:space="preserve">market failures </w:t>
            </w:r>
            <w:r w:rsidR="002645E6">
              <w:t>–</w:t>
            </w:r>
            <w:r w:rsidR="008E70E6">
              <w:t xml:space="preserve"> </w:t>
            </w:r>
            <w:r>
              <w:t xml:space="preserve">they are not </w:t>
            </w:r>
            <w:r w:rsidR="001E1AF7">
              <w:t xml:space="preserve">always </w:t>
            </w:r>
            <w:r>
              <w:t>equivalent in their overall DWL impact. DWL represents the value of transactions that do not happen, meaning nobody benefits from them, due to market distortions like taxes. A tariff raises the domestic price for consumers creating DWL from two sources:</w:t>
            </w:r>
          </w:p>
          <w:p w14:paraId="70034460" w14:textId="77777777" w:rsidR="00503B34" w:rsidRDefault="00503B34" w:rsidP="00F33EF0">
            <w:pPr>
              <w:pStyle w:val="ListBullet"/>
            </w:pPr>
            <w:r>
              <w:t xml:space="preserve">Inefficient production (as those goods could be imported more cheaply) and </w:t>
            </w:r>
          </w:p>
          <w:p w14:paraId="4863180D" w14:textId="77777777" w:rsidR="00503B34" w:rsidRDefault="00503B34" w:rsidP="00F33EF0">
            <w:pPr>
              <w:pStyle w:val="ListBullet"/>
            </w:pPr>
            <w:r>
              <w:t xml:space="preserve">reduced consumption (as consumers buy less due to the higher price). </w:t>
            </w:r>
          </w:p>
          <w:p w14:paraId="1C9E8A42" w14:textId="1FE18C6C" w:rsidR="00503B34" w:rsidRDefault="00503B34" w:rsidP="001C79A3">
            <w:pPr>
              <w:pStyle w:val="BodyText"/>
            </w:pPr>
            <w:r>
              <w:t>In contrast</w:t>
            </w:r>
            <w:r w:rsidR="00B5273E">
              <w:t>,</w:t>
            </w:r>
            <w:r>
              <w:t xml:space="preserve"> a production subsidy (in a small open economy) primarily creates DWL from inefficient production</w:t>
            </w:r>
            <w:r w:rsidDel="006B581B">
              <w:t>;</w:t>
            </w:r>
            <w:r>
              <w:t xml:space="preserve"> it does not directly raise consumer prices which are determined by the world price, thus </w:t>
            </w:r>
            <w:r>
              <w:lastRenderedPageBreak/>
              <w:t xml:space="preserve">avoiding the additional welfare loss associated with distorted consumption decisions </w:t>
            </w:r>
            <w:r w:rsidRPr="00AD12BE">
              <w:rPr>
                <w:rFonts w:ascii="Arial" w:hAnsi="Arial" w:cs="Arial"/>
              </w:rPr>
              <w:t>(Jordan 2024, pp. 159–162; Krugman et al. 2022, p. 228)</w:t>
            </w:r>
            <w:r>
              <w:t xml:space="preserve">. This can be especially true for small countries that are unable to raise their terms of trade through tariffs, reducing any potential welfare gains from tariffs </w:t>
            </w:r>
            <w:r w:rsidRPr="00B4343E">
              <w:rPr>
                <w:rFonts w:ascii="Arial" w:hAnsi="Arial" w:cs="Arial"/>
              </w:rPr>
              <w:t>(Krugman et al. 2022, pp. 201–202)</w:t>
            </w:r>
            <w:r>
              <w:t xml:space="preserve">. </w:t>
            </w:r>
          </w:p>
          <w:p w14:paraId="092AD029" w14:textId="2C8DA085" w:rsidR="00503B34" w:rsidRPr="0028069C" w:rsidRDefault="00503B34" w:rsidP="001C79A3">
            <w:pPr>
              <w:pStyle w:val="BodyText"/>
              <w:rPr>
                <w:spacing w:val="-2"/>
              </w:rPr>
            </w:pPr>
            <w:r w:rsidRPr="0028069C">
              <w:rPr>
                <w:spacing w:val="-2"/>
              </w:rPr>
              <w:t xml:space="preserve">Production subsidies may result in additional DWL arising from the government needing to raise additional taxes or cut spending to pay for the subsidies. These introduce their own distortions which could result in a subsidy causing a greater DWL than an equivalent tariff </w:t>
            </w:r>
            <w:r w:rsidRPr="0028069C">
              <w:rPr>
                <w:rFonts w:cs="Arial"/>
                <w:spacing w:val="-2"/>
              </w:rPr>
              <w:t>(Jordan 2024, pp. 159–162)</w:t>
            </w:r>
            <w:r w:rsidRPr="0028069C">
              <w:rPr>
                <w:spacing w:val="-2"/>
              </w:rPr>
              <w:t xml:space="preserve">. </w:t>
            </w:r>
            <w:r w:rsidR="00870897" w:rsidRPr="0028069C">
              <w:rPr>
                <w:spacing w:val="-2"/>
              </w:rPr>
              <w:t xml:space="preserve">Caution is always necessary for any distortionary economic policy; but in </w:t>
            </w:r>
            <w:r w:rsidR="00BC118E" w:rsidRPr="0028069C">
              <w:rPr>
                <w:spacing w:val="-2"/>
              </w:rPr>
              <w:t>principle</w:t>
            </w:r>
            <w:r w:rsidR="00870897" w:rsidRPr="0028069C">
              <w:rPr>
                <w:spacing w:val="-2"/>
              </w:rPr>
              <w:t xml:space="preserve"> under certain conditions</w:t>
            </w:r>
            <w:r w:rsidR="000C2BB0" w:rsidRPr="0028069C">
              <w:rPr>
                <w:spacing w:val="-2"/>
              </w:rPr>
              <w:t>,</w:t>
            </w:r>
            <w:r w:rsidR="00870897" w:rsidRPr="0028069C">
              <w:rPr>
                <w:spacing w:val="-2"/>
              </w:rPr>
              <w:t xml:space="preserve"> subsidies can be less distorting given they do not </w:t>
            </w:r>
            <w:r w:rsidR="00347322" w:rsidRPr="0028069C">
              <w:rPr>
                <w:spacing w:val="-2"/>
              </w:rPr>
              <w:t xml:space="preserve">directly raise </w:t>
            </w:r>
            <w:r w:rsidR="00BC118E" w:rsidRPr="0028069C">
              <w:rPr>
                <w:spacing w:val="-2"/>
              </w:rPr>
              <w:t>prices in a small open economy.</w:t>
            </w:r>
          </w:p>
          <w:p w14:paraId="4A8061A0" w14:textId="77777777" w:rsidR="00503B34" w:rsidRDefault="00503B34" w:rsidP="001C79A3">
            <w:pPr>
              <w:pStyle w:val="BoxHeading3"/>
            </w:pPr>
            <w:r>
              <w:t>Tariffs themselves create supply chain disruptions</w:t>
            </w:r>
          </w:p>
          <w:p w14:paraId="3A2E21D3" w14:textId="564A881A" w:rsidR="00503B34" w:rsidRPr="00436139" w:rsidRDefault="00503B34" w:rsidP="001C79A3">
            <w:pPr>
              <w:pStyle w:val="BodyText"/>
            </w:pPr>
            <w:r>
              <w:t>Tariffs have</w:t>
            </w:r>
            <w:r w:rsidRPr="00436139">
              <w:t xml:space="preserve"> the potential to create negative spillovers </w:t>
            </w:r>
            <w:r>
              <w:t xml:space="preserve">that </w:t>
            </w:r>
            <w:r w:rsidRPr="00436139">
              <w:t xml:space="preserve">complicates their use </w:t>
            </w:r>
            <w:r>
              <w:t>to achieve targeted goals</w:t>
            </w:r>
            <w:r w:rsidRPr="00436139">
              <w:t xml:space="preserve">. </w:t>
            </w:r>
            <w:r>
              <w:t xml:space="preserve">Tariffs on upstream products can hurt downstream users of those products that use imports. For instance, Amiti et al. </w:t>
            </w:r>
            <w:r w:rsidRPr="00FA32CD">
              <w:rPr>
                <w:rFonts w:ascii="Arial" w:hAnsi="Arial" w:cs="Arial"/>
              </w:rPr>
              <w:t>(2019, p. 37)</w:t>
            </w:r>
            <w:r w:rsidR="00004E55">
              <w:t>,</w:t>
            </w:r>
            <w:r w:rsidRPr="00436139">
              <w:t xml:space="preserve"> </w:t>
            </w:r>
            <w:r w:rsidR="003272AD">
              <w:t>found</w:t>
            </w:r>
            <w:r w:rsidRPr="00436139">
              <w:t xml:space="preserve"> </w:t>
            </w:r>
            <w:r w:rsidR="00004E55">
              <w:t xml:space="preserve">in their analysis of the 2018 US tariffs </w:t>
            </w:r>
            <w:r>
              <w:t>that the primary channel through which these tariffs increased US producer prices was by raising costs for domestic manufacturers reliant on global supply chains of upstream products</w:t>
            </w:r>
            <w:r w:rsidRPr="00436139">
              <w:t xml:space="preserve">. </w:t>
            </w:r>
          </w:p>
          <w:p w14:paraId="16D4684F" w14:textId="77777777" w:rsidR="00503B34" w:rsidRDefault="00503B34" w:rsidP="001C79A3">
            <w:pPr>
              <w:pStyle w:val="BoxHeading3"/>
            </w:pPr>
            <w:r>
              <w:t>High tariffs may be incompatible with World Trade Organisation (WTO) rules and norms</w:t>
            </w:r>
          </w:p>
          <w:p w14:paraId="6DB24B34" w14:textId="2FA40444" w:rsidR="00503B34" w:rsidRPr="00436139" w:rsidRDefault="00503B34" w:rsidP="001C79A3">
            <w:pPr>
              <w:pStyle w:val="BodyText"/>
            </w:pPr>
            <w:r w:rsidRPr="00436139">
              <w:t>International trade rules also present different challenges: while tariffs exceeding agreed WTO bound rates typically face clear non</w:t>
            </w:r>
            <w:r w:rsidR="00200862">
              <w:noBreakHyphen/>
            </w:r>
            <w:r w:rsidRPr="00436139">
              <w:t>compliance issues, the WTO compliance of domestic subsidies often depends more on their specific design and demonstrable effects on trade partners, with certain types being prohibited but others potentially permissible if not causing adverse effects</w:t>
            </w:r>
            <w:r>
              <w:t xml:space="preserve"> </w:t>
            </w:r>
            <w:r w:rsidRPr="00D07D77">
              <w:rPr>
                <w:rFonts w:ascii="Arial" w:hAnsi="Arial" w:cs="Arial"/>
              </w:rPr>
              <w:t>(WTO nd)</w:t>
            </w:r>
            <w:r w:rsidRPr="00436139">
              <w:t xml:space="preserve">. </w:t>
            </w:r>
          </w:p>
          <w:p w14:paraId="6BFC060B" w14:textId="022C444E" w:rsidR="00503B34" w:rsidRPr="00AC3BFA" w:rsidRDefault="00503B34" w:rsidP="001C79A3">
            <w:pPr>
              <w:pStyle w:val="Source"/>
              <w:rPr>
                <w:lang w:val="fr-CA"/>
              </w:rPr>
            </w:pPr>
            <w:r w:rsidRPr="00AC3BFA">
              <w:rPr>
                <w:lang w:val="fr-CA"/>
              </w:rPr>
              <w:t xml:space="preserve">Source: </w:t>
            </w:r>
            <w:r w:rsidR="00CD18AD" w:rsidRPr="00AC3BFA">
              <w:rPr>
                <w:lang w:val="fr-CA"/>
              </w:rPr>
              <w:t xml:space="preserve">Amiti et al </w:t>
            </w:r>
            <w:r w:rsidR="00CD18AD" w:rsidRPr="00AC3BFA">
              <w:rPr>
                <w:rFonts w:ascii="Arial" w:hAnsi="Arial" w:cs="Arial"/>
                <w:sz w:val="20"/>
                <w:lang w:val="fr-CA"/>
              </w:rPr>
              <w:t>(2019, p. 37)</w:t>
            </w:r>
            <w:r w:rsidR="00CD18AD" w:rsidRPr="00AC3BFA">
              <w:rPr>
                <w:lang w:val="fr-CA"/>
              </w:rPr>
              <w:t>; Jordan (2024);</w:t>
            </w:r>
            <w:r w:rsidR="002F2F05" w:rsidRPr="00AC3BFA">
              <w:rPr>
                <w:lang w:val="fr-CA"/>
              </w:rPr>
              <w:t xml:space="preserve"> </w:t>
            </w:r>
            <w:r w:rsidRPr="00AC3BFA">
              <w:rPr>
                <w:lang w:val="fr-CA"/>
              </w:rPr>
              <w:t xml:space="preserve">Krugman et al </w:t>
            </w:r>
            <w:r w:rsidRPr="00AC3BFA">
              <w:rPr>
                <w:rFonts w:ascii="Arial" w:hAnsi="Arial" w:cs="Arial"/>
                <w:lang w:val="fr-CA"/>
              </w:rPr>
              <w:t>(2022)</w:t>
            </w:r>
            <w:r w:rsidRPr="00AC3BFA">
              <w:rPr>
                <w:lang w:val="fr-CA"/>
              </w:rPr>
              <w:t xml:space="preserve">; </w:t>
            </w:r>
            <w:r w:rsidR="00CD18AD" w:rsidRPr="00AC3BFA">
              <w:rPr>
                <w:lang w:val="fr-CA"/>
              </w:rPr>
              <w:t xml:space="preserve">and </w:t>
            </w:r>
            <w:r w:rsidR="00CF1097" w:rsidRPr="00AC3BFA">
              <w:rPr>
                <w:lang w:val="fr-CA"/>
              </w:rPr>
              <w:t>WTO (n</w:t>
            </w:r>
            <w:r w:rsidR="002F2F05" w:rsidRPr="00AC3BFA">
              <w:rPr>
                <w:lang w:val="fr-CA"/>
              </w:rPr>
              <w:t>d)</w:t>
            </w:r>
            <w:r w:rsidRPr="00AC3BFA">
              <w:rPr>
                <w:lang w:val="fr-CA"/>
              </w:rPr>
              <w:t>.</w:t>
            </w:r>
          </w:p>
        </w:tc>
      </w:tr>
      <w:tr w:rsidR="00503B34" w:rsidRPr="00AC3BFA" w14:paraId="07F48CE2" w14:textId="77777777" w:rsidTr="00616F0E">
        <w:trPr>
          <w:trHeight w:val="60"/>
          <w:hidden/>
        </w:trPr>
        <w:tc>
          <w:tcPr>
            <w:tcW w:w="9638" w:type="dxa"/>
            <w:shd w:val="clear" w:color="auto" w:fill="auto"/>
            <w:tcMar>
              <w:top w:w="0" w:type="dxa"/>
              <w:left w:w="170" w:type="dxa"/>
              <w:bottom w:w="0" w:type="dxa"/>
              <w:right w:w="170" w:type="dxa"/>
            </w:tcMar>
          </w:tcPr>
          <w:p w14:paraId="6F3CBB91" w14:textId="0192F12F" w:rsidR="00503B34" w:rsidRPr="00AC3BFA" w:rsidRDefault="00503B34" w:rsidP="001C79A3">
            <w:pPr>
              <w:pStyle w:val="BodyText"/>
              <w:spacing w:before="0" w:after="0" w:line="80" w:lineRule="atLeast"/>
              <w:rPr>
                <w:smallCaps/>
                <w:vanish/>
                <w:lang w:val="fr-CA"/>
              </w:rPr>
            </w:pPr>
          </w:p>
        </w:tc>
      </w:tr>
    </w:tbl>
    <w:p w14:paraId="4BCD8075" w14:textId="77777777" w:rsidR="00503B34" w:rsidRPr="00E32163" w:rsidRDefault="00503B34" w:rsidP="001C79A3">
      <w:pPr>
        <w:pStyle w:val="Heading3-noTOC"/>
      </w:pPr>
      <w:r w:rsidRPr="00E32163">
        <w:t xml:space="preserve">But targeted support may also be </w:t>
      </w:r>
      <w:r>
        <w:t>helpful</w:t>
      </w:r>
      <w:r w:rsidRPr="00E32163">
        <w:t xml:space="preserve"> to address market failures impeding the net zero transition</w:t>
      </w:r>
    </w:p>
    <w:p w14:paraId="25C5F7D9" w14:textId="763FCA0C" w:rsidR="00A972CD" w:rsidRDefault="009D24C8" w:rsidP="00A972CD">
      <w:pPr>
        <w:pStyle w:val="BodyText"/>
      </w:pPr>
      <w:r>
        <w:t xml:space="preserve">Economic frameworks like the NIF </w:t>
      </w:r>
      <w:r w:rsidR="0049694D">
        <w:t xml:space="preserve">can help </w:t>
      </w:r>
      <w:r>
        <w:t>balance spending restraint with a process for identifying where intervention may be justified. While not without risk, targeted support warrants careful consideration as a potential tool to address specific market failures, particularly those that may hinder Australia’s ability to meet its emissions reduction commitments</w:t>
      </w:r>
      <w:r w:rsidR="00076EDC">
        <w:t>. Examples of these market failures include</w:t>
      </w:r>
      <w:r w:rsidR="00A972CD">
        <w:t>:</w:t>
      </w:r>
    </w:p>
    <w:p w14:paraId="36C21686" w14:textId="034D5115" w:rsidR="00A972CD" w:rsidRDefault="00A972CD" w:rsidP="006E7CFA">
      <w:pPr>
        <w:pStyle w:val="ListBullet"/>
      </w:pPr>
      <w:r>
        <w:rPr>
          <w:b/>
          <w:bCs/>
        </w:rPr>
        <w:t xml:space="preserve">Indirectly pricing </w:t>
      </w:r>
      <w:r w:rsidRPr="00B84404">
        <w:rPr>
          <w:b/>
        </w:rPr>
        <w:t>negative externalities</w:t>
      </w:r>
      <w:r>
        <w:t>: Carbon emissions create environmental and economic costs not factored into business decisions without intervention. Carbon pricing, directly or indirectly via regulation or subsidies for cleaner technology can help address this market failure.</w:t>
      </w:r>
      <w:r w:rsidRPr="00B80BB9">
        <w:t xml:space="preserve"> </w:t>
      </w:r>
      <w:r w:rsidRPr="005C13E6">
        <w:t>For</w:t>
      </w:r>
      <w:r>
        <w:t xml:space="preserve"> s</w:t>
      </w:r>
      <w:r w:rsidRPr="005C13E6">
        <w:t xml:space="preserve">ectors </w:t>
      </w:r>
      <w:r>
        <w:t xml:space="preserve">of the economy </w:t>
      </w:r>
      <w:r w:rsidRPr="005C13E6">
        <w:t>where un</w:t>
      </w:r>
      <w:r>
        <w:t>der</w:t>
      </w:r>
      <w:r w:rsidRPr="005C13E6">
        <w:t>priced carbon externalities are the dominant constraint</w:t>
      </w:r>
      <w:r>
        <w:t xml:space="preserve"> to emissions </w:t>
      </w:r>
      <w:r w:rsidRPr="006E7CFA">
        <w:t>reductions</w:t>
      </w:r>
      <w:r w:rsidRPr="005C13E6">
        <w:t xml:space="preserve">, </w:t>
      </w:r>
      <w:r>
        <w:t>efficient abatement might</w:t>
      </w:r>
      <w:r w:rsidRPr="005C13E6">
        <w:t xml:space="preserve"> </w:t>
      </w:r>
      <w:r>
        <w:t xml:space="preserve">be </w:t>
      </w:r>
      <w:r w:rsidRPr="005C13E6">
        <w:t xml:space="preserve">defined as that estimated to be below or equal to the </w:t>
      </w:r>
      <w:r>
        <w:t xml:space="preserve">estimated </w:t>
      </w:r>
      <w:r w:rsidRPr="005C13E6">
        <w:t xml:space="preserve">social cost of carbon. </w:t>
      </w:r>
      <w:r>
        <w:t xml:space="preserve">A methodology for doing so is provided in volume </w:t>
      </w:r>
      <w:r w:rsidR="00A44B42">
        <w:t>six</w:t>
      </w:r>
      <w:r>
        <w:t xml:space="preserve"> of the 2023 Productivity Inquiry </w:t>
      </w:r>
      <w:r w:rsidRPr="00B55E9D">
        <w:rPr>
          <w:rFonts w:ascii="Arial" w:hAnsi="Arial" w:cs="Arial"/>
        </w:rPr>
        <w:t>(PC 2023a)</w:t>
      </w:r>
      <w:r>
        <w:t>.</w:t>
      </w:r>
    </w:p>
    <w:p w14:paraId="4EE6F296" w14:textId="3B13662D" w:rsidR="00A972CD" w:rsidRDefault="00A972CD" w:rsidP="006E7CFA">
      <w:pPr>
        <w:pStyle w:val="ListBullet"/>
      </w:pPr>
      <w:r w:rsidRPr="00A73001">
        <w:rPr>
          <w:b/>
          <w:bCs/>
        </w:rPr>
        <w:t>Funding i</w:t>
      </w:r>
      <w:r w:rsidRPr="00B84404">
        <w:rPr>
          <w:b/>
        </w:rPr>
        <w:t>nnovation and knowledge</w:t>
      </w:r>
      <w:r w:rsidRPr="00A73001">
        <w:rPr>
          <w:b/>
          <w:bCs/>
        </w:rPr>
        <w:t xml:space="preserve"> in emerging green tech:</w:t>
      </w:r>
      <w:r>
        <w:rPr>
          <w:b/>
          <w:bCs/>
        </w:rPr>
        <w:t xml:space="preserve"> </w:t>
      </w:r>
      <w:r w:rsidR="007440A9">
        <w:t>Innovation</w:t>
      </w:r>
      <w:r>
        <w:t xml:space="preserve"> and </w:t>
      </w:r>
      <w:r w:rsidR="007440A9">
        <w:t>knowledge</w:t>
      </w:r>
      <w:r>
        <w:t xml:space="preserve"> can have </w:t>
      </w:r>
      <w:r w:rsidRPr="006E7CFA">
        <w:t>the</w:t>
      </w:r>
      <w:r>
        <w:t xml:space="preserve"> characteristics of public goods – non</w:t>
      </w:r>
      <w:r w:rsidR="00122C7D">
        <w:t>-</w:t>
      </w:r>
      <w:r>
        <w:t>rivalry and non</w:t>
      </w:r>
      <w:r w:rsidR="00200862">
        <w:noBreakHyphen/>
      </w:r>
      <w:r>
        <w:t xml:space="preserve">excludability. This means firms can be incentivised to free ride on other’s investment into innovation. This can lead to underinvestment in research and development, as firms cannot fully capture the benefits resulting in innovation levels below what is socially </w:t>
      </w:r>
      <w:r>
        <w:lastRenderedPageBreak/>
        <w:t>optimal</w:t>
      </w:r>
      <w:r w:rsidR="002F2F05">
        <w:t xml:space="preserve"> </w:t>
      </w:r>
      <w:r w:rsidR="00503B34" w:rsidRPr="00A71F0B">
        <w:rPr>
          <w:rFonts w:ascii="Arial" w:hAnsi="Arial" w:cs="Arial"/>
        </w:rPr>
        <w:t>(Stern and Stiglitz 2021, pp. 22–23)</w:t>
      </w:r>
      <w:r w:rsidR="00503B34">
        <w:t>.</w:t>
      </w:r>
      <w:r>
        <w:t xml:space="preserve"> Government support through </w:t>
      </w:r>
      <w:r w:rsidR="00E91C44">
        <w:t>subsidies</w:t>
      </w:r>
      <w:r>
        <w:t xml:space="preserve"> or other means like intellectual property protection can help correct this market failure.</w:t>
      </w:r>
    </w:p>
    <w:p w14:paraId="0CF55184" w14:textId="2916DC09" w:rsidR="00503B34" w:rsidRDefault="00503B34" w:rsidP="00CB33E7">
      <w:pPr>
        <w:pStyle w:val="ListBullet"/>
        <w:numPr>
          <w:ilvl w:val="0"/>
          <w:numId w:val="15"/>
        </w:numPr>
      </w:pPr>
      <w:r w:rsidRPr="00416576">
        <w:rPr>
          <w:b/>
          <w:bCs/>
        </w:rPr>
        <w:t>Resolving c</w:t>
      </w:r>
      <w:r w:rsidRPr="00416576">
        <w:rPr>
          <w:b/>
        </w:rPr>
        <w:t>oordination failures</w:t>
      </w:r>
      <w:r>
        <w:t xml:space="preserve">: </w:t>
      </w:r>
      <w:r w:rsidRPr="00851354">
        <w:t xml:space="preserve">Coordination failures </w:t>
      </w:r>
      <w:r w:rsidRPr="00416576">
        <w:t>occur</w:t>
      </w:r>
      <w:r w:rsidRPr="00851354">
        <w:t xml:space="preserve"> </w:t>
      </w:r>
      <w:r w:rsidRPr="00416576">
        <w:t>when</w:t>
      </w:r>
      <w:r w:rsidRPr="00851354">
        <w:t xml:space="preserve"> agents cannot coordinate decision</w:t>
      </w:r>
      <w:r>
        <w:noBreakHyphen/>
      </w:r>
      <w:r w:rsidRPr="00851354">
        <w:t xml:space="preserve">making to achieve the socially optimal allocation of resources. For example, consumers might avoid purchasing electric vehicles without adequate charging infrastructure while producers might avoid investing in charging infrastructure without a sufficient consumer base. In some cases, policy interventions can help address these </w:t>
      </w:r>
      <w:r>
        <w:t xml:space="preserve">failures </w:t>
      </w:r>
      <w:r w:rsidRPr="00416576">
        <w:rPr>
          <w:rFonts w:ascii="Arial" w:hAnsi="Arial" w:cs="Arial"/>
        </w:rPr>
        <w:t>(Stern and Stiglitz 2021, pp. 23–24)</w:t>
      </w:r>
      <w:r>
        <w:t>.</w:t>
      </w:r>
    </w:p>
    <w:p w14:paraId="3A44F372" w14:textId="7097AFC2" w:rsidR="00503B34" w:rsidRPr="00B84404" w:rsidRDefault="00503B34" w:rsidP="00416576">
      <w:pPr>
        <w:pStyle w:val="ListBullet"/>
        <w:rPr>
          <w:b/>
        </w:rPr>
      </w:pPr>
      <w:r>
        <w:rPr>
          <w:b/>
          <w:bCs/>
        </w:rPr>
        <w:t>Reducing i</w:t>
      </w:r>
      <w:r w:rsidRPr="00B84404">
        <w:rPr>
          <w:b/>
        </w:rPr>
        <w:t>nformation asymmetries</w:t>
      </w:r>
      <w:r>
        <w:rPr>
          <w:b/>
          <w:bCs/>
        </w:rPr>
        <w:t xml:space="preserve">: </w:t>
      </w:r>
      <w:r>
        <w:t>Information gaps can prevent firms, consumers and investors from making optimal low</w:t>
      </w:r>
      <w:r w:rsidR="00200862">
        <w:noBreakHyphen/>
      </w:r>
      <w:r>
        <w:t xml:space="preserve">carbon decisions. Firms might not know what </w:t>
      </w:r>
      <w:r w:rsidRPr="00851354">
        <w:t>low or zero emissions technologies best suit their needs</w:t>
      </w:r>
      <w:r>
        <w:t xml:space="preserve">; </w:t>
      </w:r>
      <w:r w:rsidRPr="00851354">
        <w:t xml:space="preserve">consumers </w:t>
      </w:r>
      <w:r>
        <w:t xml:space="preserve">might not know </w:t>
      </w:r>
      <w:r w:rsidRPr="00851354">
        <w:t>which goods and services are emissions</w:t>
      </w:r>
      <w:r>
        <w:noBreakHyphen/>
      </w:r>
      <w:r w:rsidRPr="00851354">
        <w:t xml:space="preserve">intensive; and investors </w:t>
      </w:r>
      <w:r>
        <w:t xml:space="preserve">might not </w:t>
      </w:r>
      <w:r w:rsidRPr="00416576">
        <w:t>know</w:t>
      </w:r>
      <w:r>
        <w:t xml:space="preserve"> which </w:t>
      </w:r>
      <w:r w:rsidRPr="00851354">
        <w:t>climate friendly businesses</w:t>
      </w:r>
      <w:r>
        <w:t xml:space="preserve"> are best to support </w:t>
      </w:r>
      <w:r w:rsidRPr="004206B4">
        <w:rPr>
          <w:rFonts w:ascii="Arial" w:hAnsi="Arial" w:cs="Arial"/>
        </w:rPr>
        <w:t>(Stern and Stiglitz 2021, pp. 28–29)</w:t>
      </w:r>
      <w:r>
        <w:t>.</w:t>
      </w:r>
      <w:r w:rsidRPr="00851354">
        <w:t xml:space="preserve"> Governments can help to address information asymmetries through support for information dissemination mechanisms with industry, product labelling measures for consumers, and reporting provisions for financial markets.</w:t>
      </w:r>
    </w:p>
    <w:p w14:paraId="023C22A0" w14:textId="32021749" w:rsidR="00A972CD" w:rsidRDefault="00503B34" w:rsidP="00A972CD">
      <w:pPr>
        <w:pStyle w:val="BodyText"/>
      </w:pPr>
      <w:r w:rsidRPr="00BC2117">
        <w:t xml:space="preserve">These market failures provide a </w:t>
      </w:r>
      <w:r>
        <w:t xml:space="preserve">theoretical </w:t>
      </w:r>
      <w:r w:rsidRPr="00BC2117">
        <w:t>basis for some kind of</w:t>
      </w:r>
      <w:r>
        <w:t xml:space="preserve"> government</w:t>
      </w:r>
      <w:r w:rsidRPr="00BC2117">
        <w:t xml:space="preserve"> intervention. In many cases, economy</w:t>
      </w:r>
      <w:r w:rsidR="00200862">
        <w:noBreakHyphen/>
      </w:r>
      <w:r w:rsidRPr="00BC2117">
        <w:t>wide market</w:t>
      </w:r>
      <w:r w:rsidR="00200862">
        <w:noBreakHyphen/>
      </w:r>
      <w:r w:rsidRPr="00BC2117">
        <w:t xml:space="preserve">based methods like a carbon price are preferable. </w:t>
      </w:r>
      <w:r>
        <w:t>Market based</w:t>
      </w:r>
      <w:r w:rsidRPr="00BC2117">
        <w:t xml:space="preserve"> approaches to emissions reductions create incentives for a broad range of businesses </w:t>
      </w:r>
      <w:r w:rsidR="00B34F00">
        <w:t>to</w:t>
      </w:r>
      <w:r w:rsidRPr="00BC2117">
        <w:t xml:space="preserve"> </w:t>
      </w:r>
      <w:r w:rsidRPr="00B84404">
        <w:t>support the ordering of emissions abatement and innovation activity in a way that gives scope for higher cost abatement to become less costly and drives productivity improvements over time</w:t>
      </w:r>
      <w:r w:rsidRPr="00BC2117">
        <w:t xml:space="preserve">. </w:t>
      </w:r>
      <w:r>
        <w:t>B</w:t>
      </w:r>
      <w:r w:rsidRPr="00BC2117">
        <w:t xml:space="preserve">usinesses </w:t>
      </w:r>
      <w:r>
        <w:t>may</w:t>
      </w:r>
      <w:r w:rsidR="00A972CD" w:rsidRPr="00BC2117">
        <w:t xml:space="preserve"> have better information about their production processes and potential abatement options than policy makers. </w:t>
      </w:r>
      <w:r w:rsidR="00A972CD">
        <w:t>In certain circumstances, these</w:t>
      </w:r>
      <w:r w:rsidR="00A972CD" w:rsidRPr="00BC2117">
        <w:t xml:space="preserve"> approaches can be expected to achieve emissions reduction goals at </w:t>
      </w:r>
      <w:r w:rsidR="00A972CD">
        <w:t xml:space="preserve">a </w:t>
      </w:r>
      <w:r w:rsidR="00A972CD" w:rsidRPr="00BC2117">
        <w:t>lower cost than government</w:t>
      </w:r>
      <w:r w:rsidR="00474131">
        <w:t>-</w:t>
      </w:r>
      <w:r w:rsidR="00A972CD" w:rsidRPr="00BC2117">
        <w:t>targeted approaches to abatement such as technology</w:t>
      </w:r>
      <w:r w:rsidR="00701215">
        <w:t>-</w:t>
      </w:r>
      <w:r w:rsidR="00A972CD" w:rsidRPr="00BC2117">
        <w:t>specific subsidies</w:t>
      </w:r>
      <w:r w:rsidR="007D06D1">
        <w:t>.</w:t>
      </w:r>
      <w:r w:rsidR="00A972CD" w:rsidRPr="00BC2117">
        <w:t xml:space="preserve"> </w:t>
      </w:r>
    </w:p>
    <w:p w14:paraId="58090F2B" w14:textId="340164A2" w:rsidR="00A972CD" w:rsidRDefault="00A972CD" w:rsidP="00A972CD">
      <w:pPr>
        <w:pStyle w:val="BodyText"/>
      </w:pPr>
      <w:r>
        <w:t xml:space="preserve">Volume </w:t>
      </w:r>
      <w:r w:rsidR="00A056D9">
        <w:t>six</w:t>
      </w:r>
      <w:r>
        <w:t xml:space="preserve"> of the 2023 Productivity Inquiry </w:t>
      </w:r>
      <w:r w:rsidRPr="00B55E9D">
        <w:rPr>
          <w:rFonts w:ascii="Arial" w:hAnsi="Arial" w:cs="Arial"/>
        </w:rPr>
        <w:t>(PC 2023a)</w:t>
      </w:r>
      <w:r>
        <w:t xml:space="preserve"> provides a more thorough exploration of some of these issues. </w:t>
      </w:r>
      <w:r w:rsidR="00503B34">
        <w:t xml:space="preserve">It provides a methodology to estimate the indirect carbon price paid by different policies. </w:t>
      </w:r>
      <w:r w:rsidR="000B7F09">
        <w:t xml:space="preserve">Some measures were </w:t>
      </w:r>
      <w:r w:rsidR="00CE34E2">
        <w:t>found to have an indirect carbon price many times higher than what would be expected to emerge from an economy</w:t>
      </w:r>
      <w:r w:rsidR="00200862">
        <w:noBreakHyphen/>
      </w:r>
      <w:r w:rsidR="00CE34E2">
        <w:t xml:space="preserve">wide carbon pricing scheme </w:t>
      </w:r>
      <w:r w:rsidR="00A268F9" w:rsidRPr="00A268F9">
        <w:rPr>
          <w:rFonts w:ascii="Arial" w:hAnsi="Arial" w:cs="Arial"/>
        </w:rPr>
        <w:t>(PC 2023a, p. 14)</w:t>
      </w:r>
      <w:r w:rsidR="000B7F09" w:rsidRPr="009A0A4A">
        <w:t>.</w:t>
      </w:r>
      <w:r w:rsidR="00B01E61">
        <w:t xml:space="preserve"> </w:t>
      </w:r>
      <w:r w:rsidR="00503B34">
        <w:t xml:space="preserve">This may prove helpful in future TARs to examine whether net zero industry policy is under correcting or overcorrecting for a given market failure. </w:t>
      </w:r>
      <w:r>
        <w:t xml:space="preserve">In addition, the PC’s inquiry on </w:t>
      </w:r>
      <w:r w:rsidRPr="0041440A">
        <w:rPr>
          <w:i/>
          <w:iCs/>
        </w:rPr>
        <w:t>Investing in cheaper, cleaner energy and the net zero transformation</w:t>
      </w:r>
      <w:r>
        <w:rPr>
          <w:i/>
          <w:iCs/>
        </w:rPr>
        <w:t xml:space="preserve"> </w:t>
      </w:r>
      <w:r w:rsidRPr="00B84404">
        <w:t>to be released later this year</w:t>
      </w:r>
      <w:r>
        <w:rPr>
          <w:i/>
          <w:iCs/>
        </w:rPr>
        <w:t xml:space="preserve"> </w:t>
      </w:r>
      <w:r>
        <w:t>will provide a more in</w:t>
      </w:r>
      <w:r w:rsidR="00200862">
        <w:noBreakHyphen/>
      </w:r>
      <w:r>
        <w:t>depth analysis.</w:t>
      </w:r>
    </w:p>
    <w:p w14:paraId="6E97C38E" w14:textId="0833759E" w:rsidR="00A972CD" w:rsidRPr="003E7D98" w:rsidRDefault="00A972CD" w:rsidP="00A972CD">
      <w:pPr>
        <w:pStyle w:val="BodyText"/>
      </w:pPr>
      <w:r>
        <w:t>However, for a variety of reasons economy</w:t>
      </w:r>
      <w:r w:rsidR="00200862">
        <w:noBreakHyphen/>
      </w:r>
      <w:r>
        <w:t xml:space="preserve">wide pricing mechanisms may be infeasible or in some cases unsuitable for policymakers to implement to address a given market failure. In that case, industry policy like FMIA </w:t>
      </w:r>
      <w:r w:rsidR="00673580">
        <w:t>–</w:t>
      </w:r>
      <w:r>
        <w:t xml:space="preserve"> </w:t>
      </w:r>
      <w:r w:rsidR="00673580">
        <w:t>i</w:t>
      </w:r>
      <w:r>
        <w:t xml:space="preserve">f guided with disciplining frameworks – can, in principle, help correct these shortcomings and guide industry towards decarbonisation. </w:t>
      </w:r>
    </w:p>
    <w:p w14:paraId="4F3614BF" w14:textId="024BA5B2" w:rsidR="00503B34" w:rsidRDefault="003643F3" w:rsidP="00AA467C">
      <w:pPr>
        <w:pStyle w:val="Heading2"/>
      </w:pPr>
      <w:bookmarkStart w:id="47" w:name="_Toc202477855"/>
      <w:r>
        <w:t>Decomposing FMIA’s spending</w:t>
      </w:r>
      <w:r w:rsidR="00045FAF">
        <w:t xml:space="preserve"> profile</w:t>
      </w:r>
      <w:bookmarkEnd w:id="47"/>
    </w:p>
    <w:p w14:paraId="68C6CE75" w14:textId="77777777" w:rsidR="00503B34" w:rsidRDefault="00503B34" w:rsidP="00750C19">
      <w:pPr>
        <w:pStyle w:val="Heading3"/>
      </w:pPr>
      <w:r>
        <w:t>To date, Australia’s modern industry policy has not grown to the size of its international peers</w:t>
      </w:r>
    </w:p>
    <w:p w14:paraId="2DEB4E00" w14:textId="2D113188" w:rsidR="00503B34" w:rsidRDefault="00503B34" w:rsidP="001C79A3">
      <w:pPr>
        <w:pStyle w:val="BodyText"/>
      </w:pPr>
      <w:r w:rsidRPr="0030705B">
        <w:t>FMIA has be</w:t>
      </w:r>
      <w:r>
        <w:t>en</w:t>
      </w:r>
      <w:r w:rsidRPr="0030705B" w:rsidDel="007208E9">
        <w:t xml:space="preserve"> </w:t>
      </w:r>
      <w:r>
        <w:t>described</w:t>
      </w:r>
      <w:r w:rsidRPr="0030705B">
        <w:t xml:space="preserve"> as Australia's response to </w:t>
      </w:r>
      <w:r>
        <w:t xml:space="preserve">major </w:t>
      </w:r>
      <w:r w:rsidR="00447AD9">
        <w:t>industry</w:t>
      </w:r>
      <w:r>
        <w:t xml:space="preserve"> policy initiatives by the United States (US) and European Union (EU) among other economies</w:t>
      </w:r>
      <w:r w:rsidRPr="0030705B">
        <w:t>.</w:t>
      </w:r>
      <w:r>
        <w:t xml:space="preserve"> In introducing FMIA, Prime Minister, the Hon Anthony Albanese MP outlined these similarities, stating that this modern approach to industry policy is “not old</w:t>
      </w:r>
      <w:r w:rsidR="00200862">
        <w:noBreakHyphen/>
      </w:r>
      <w:r>
        <w:t xml:space="preserve">fashioned protectionism or isolationism </w:t>
      </w:r>
      <w:r w:rsidR="001E27D1">
        <w:t>–</w:t>
      </w:r>
      <w:r>
        <w:t xml:space="preserve"> </w:t>
      </w:r>
      <w:r w:rsidR="001E27D1">
        <w:t>i</w:t>
      </w:r>
      <w:r>
        <w:t xml:space="preserve">t is the new competition” </w:t>
      </w:r>
      <w:r w:rsidRPr="0079747D">
        <w:rPr>
          <w:rFonts w:ascii="Arial" w:hAnsi="Arial" w:cs="Arial"/>
        </w:rPr>
        <w:t>(Albanese 2024)</w:t>
      </w:r>
      <w:r>
        <w:t>.</w:t>
      </w:r>
    </w:p>
    <w:p w14:paraId="371C1444" w14:textId="2062B45A" w:rsidR="00A972CD" w:rsidRDefault="00A972CD" w:rsidP="00A972CD">
      <w:pPr>
        <w:pStyle w:val="BodyText"/>
      </w:pPr>
      <w:r>
        <w:lastRenderedPageBreak/>
        <w:t xml:space="preserve">In examining this shifting global environment, previous </w:t>
      </w:r>
      <w:r w:rsidR="00503B34">
        <w:t xml:space="preserve">TARs </w:t>
      </w:r>
      <w:r w:rsidR="00E730CB">
        <w:t>have</w:t>
      </w:r>
      <w:r>
        <w:t xml:space="preserve"> raised concerns around the prospect of competing industrial policies, noting that:</w:t>
      </w:r>
    </w:p>
    <w:p w14:paraId="4B424C5E" w14:textId="2DDFCAA6" w:rsidR="00A972CD" w:rsidRPr="00AA467C" w:rsidRDefault="00A972CD" w:rsidP="00CB33E7">
      <w:pPr>
        <w:pStyle w:val="ListBullet"/>
        <w:numPr>
          <w:ilvl w:val="0"/>
          <w:numId w:val="15"/>
        </w:numPr>
      </w:pPr>
      <w:r w:rsidRPr="00AA467C">
        <w:t>attempting to directly compete with the large</w:t>
      </w:r>
      <w:r w:rsidR="00200862" w:rsidRPr="00AA467C">
        <w:noBreakHyphen/>
      </w:r>
      <w:r w:rsidRPr="00AA467C">
        <w:t>scale industry policies of major economies like the US and EU is likely to be a net negative for a small open economy like Australia</w:t>
      </w:r>
    </w:p>
    <w:p w14:paraId="49789FEB" w14:textId="37327AA5" w:rsidR="00A972CD" w:rsidRPr="00AA467C" w:rsidRDefault="00A972CD" w:rsidP="00AA467C">
      <w:pPr>
        <w:pStyle w:val="ListBullet"/>
      </w:pPr>
      <w:r w:rsidRPr="00AA467C">
        <w:t xml:space="preserve">the costs of trying to distort Australian production away from its comparative advantages by trying to match these policies are clear, whereas the benefits of such a strategy are less obvious </w:t>
      </w:r>
    </w:p>
    <w:p w14:paraId="339BD82F" w14:textId="190D9C69" w:rsidR="00A972CD" w:rsidRPr="00AA467C" w:rsidRDefault="00A972CD" w:rsidP="00AA467C">
      <w:pPr>
        <w:pStyle w:val="ListBullet"/>
      </w:pPr>
      <w:r w:rsidRPr="00AA467C">
        <w:t>it is uncertain whether Australian industry policy could create domestic industries capable of capturing meaningful market share from competing industries in major economies, which are likely to outspend and out</w:t>
      </w:r>
      <w:r w:rsidR="00200862" w:rsidRPr="00AA467C">
        <w:noBreakHyphen/>
      </w:r>
      <w:r w:rsidRPr="00AA467C">
        <w:t xml:space="preserve">subsidise Australia </w:t>
      </w:r>
    </w:p>
    <w:p w14:paraId="7CC1466E" w14:textId="3C650B5E" w:rsidR="00503B34" w:rsidRPr="00AA467C" w:rsidRDefault="00503B34" w:rsidP="00AA467C">
      <w:pPr>
        <w:pStyle w:val="ListBullet"/>
      </w:pPr>
      <w:r w:rsidRPr="00AA467C">
        <w:t>supply chain vulnerability concerns in Australia may be addressed by the investments already being made by other nations to diversify their own supply chains (PC 2023b, pp. 52–58).</w:t>
      </w:r>
    </w:p>
    <w:p w14:paraId="1DB7F57B" w14:textId="7ABD5118" w:rsidR="00503B34" w:rsidRDefault="00503B34" w:rsidP="00085355">
      <w:pPr>
        <w:pStyle w:val="BodyText"/>
      </w:pPr>
      <w:r>
        <w:t xml:space="preserve">The overarching concern </w:t>
      </w:r>
      <w:r w:rsidR="0042238D">
        <w:t>involves</w:t>
      </w:r>
      <w:r>
        <w:t xml:space="preserve"> Australia investing significant </w:t>
      </w:r>
      <w:r w:rsidR="0042238D">
        <w:t>taxpayer funds</w:t>
      </w:r>
      <w:r>
        <w:t xml:space="preserve"> into an increasingly crowded marketplace </w:t>
      </w:r>
      <w:r w:rsidR="00427844">
        <w:t xml:space="preserve">only to see </w:t>
      </w:r>
      <w:r>
        <w:t>diminishing returns. These concerns highlight the need for restraint</w:t>
      </w:r>
      <w:r w:rsidR="009001B9">
        <w:t xml:space="preserve"> </w:t>
      </w:r>
      <w:r w:rsidR="002F2707">
        <w:t xml:space="preserve">with </w:t>
      </w:r>
      <w:r w:rsidR="00F77A94">
        <w:t xml:space="preserve">clear </w:t>
      </w:r>
      <w:r w:rsidR="001E2DAC">
        <w:t xml:space="preserve">guardrails on </w:t>
      </w:r>
      <w:r w:rsidR="00F77A94">
        <w:t>Australia’s industry policy spending</w:t>
      </w:r>
      <w:r w:rsidR="005D6557">
        <w:t>.</w:t>
      </w:r>
      <w:r>
        <w:t xml:space="preserve"> </w:t>
      </w:r>
      <w:r w:rsidR="005D6557">
        <w:t>T</w:t>
      </w:r>
      <w:r w:rsidR="009922DF">
        <w:t xml:space="preserve">o date however </w:t>
      </w:r>
      <w:r>
        <w:t xml:space="preserve">FMIA has been relatively smaller than its counterparts in the EU, US and Canada. </w:t>
      </w:r>
      <w:r w:rsidR="00FD2678">
        <w:t>A</w:t>
      </w:r>
      <w:r>
        <w:t>nnounced spending on FMIA is equivalent to only ~1</w:t>
      </w:r>
      <w:r w:rsidR="00194A9D">
        <w:t>–</w:t>
      </w:r>
      <w:r>
        <w:t>1.3% of a year of GDP compared to ~4</w:t>
      </w:r>
      <w:r w:rsidR="00194A9D">
        <w:t>–</w:t>
      </w:r>
      <w:r>
        <w:t>5% for its international peers</w:t>
      </w:r>
      <w:r w:rsidR="005111C1">
        <w:t xml:space="preserve"> (</w:t>
      </w:r>
      <w:r w:rsidR="006E0D07">
        <w:t>t</w:t>
      </w:r>
      <w:r w:rsidR="00791979">
        <w:t xml:space="preserve">able </w:t>
      </w:r>
      <w:r w:rsidR="00791979">
        <w:rPr>
          <w:noProof/>
        </w:rPr>
        <w:t>3</w:t>
      </w:r>
      <w:r w:rsidR="00791979">
        <w:t>.</w:t>
      </w:r>
      <w:r w:rsidR="00791979">
        <w:rPr>
          <w:noProof/>
        </w:rPr>
        <w:t>1</w:t>
      </w:r>
      <w:r w:rsidR="005111C1">
        <w:t>)</w:t>
      </w:r>
      <w:r>
        <w:t xml:space="preserve">. For further benchmarking, </w:t>
      </w:r>
      <w:r w:rsidR="00A11AE1">
        <w:t xml:space="preserve">the </w:t>
      </w:r>
      <w:r>
        <w:t xml:space="preserve">OECD </w:t>
      </w:r>
      <w:r w:rsidRPr="00760F85">
        <w:rPr>
          <w:rFonts w:ascii="Arial" w:hAnsi="Arial" w:cs="Arial"/>
        </w:rPr>
        <w:t>(2023)</w:t>
      </w:r>
      <w:r>
        <w:t xml:space="preserve"> </w:t>
      </w:r>
      <w:r w:rsidRPr="00621737">
        <w:t xml:space="preserve">found that green </w:t>
      </w:r>
      <w:r w:rsidR="00ED72BD">
        <w:t>industry</w:t>
      </w:r>
      <w:r w:rsidRPr="00621737">
        <w:t xml:space="preserve"> policies introduced </w:t>
      </w:r>
      <w:r>
        <w:t>as part of COVID</w:t>
      </w:r>
      <w:r w:rsidR="00200862">
        <w:noBreakHyphen/>
      </w:r>
      <w:r>
        <w:t>19 recovery packages</w:t>
      </w:r>
      <w:r w:rsidRPr="00621737">
        <w:t xml:space="preserve"> in Italy, Denmark, and Romania amounted to 5.2–6.1% of </w:t>
      </w:r>
      <w:r w:rsidR="00ED72BD">
        <w:t>a year of</w:t>
      </w:r>
      <w:r w:rsidRPr="00621737">
        <w:t xml:space="preserve"> GDP</w:t>
      </w:r>
      <w:r>
        <w:t xml:space="preserve">. </w:t>
      </w:r>
      <w:r w:rsidR="00452A0B">
        <w:t xml:space="preserve">Taken together, this </w:t>
      </w:r>
      <w:r w:rsidR="00A9753C">
        <w:t xml:space="preserve">data </w:t>
      </w:r>
      <w:r w:rsidR="00452A0B">
        <w:t xml:space="preserve">indicates that </w:t>
      </w:r>
      <w:r w:rsidR="009138F6">
        <w:t xml:space="preserve">(at least so far) </w:t>
      </w:r>
      <w:r w:rsidR="00452A0B">
        <w:t xml:space="preserve">Australia is exercising relative caution in its approach to </w:t>
      </w:r>
      <w:r w:rsidR="009138F6">
        <w:t xml:space="preserve">this </w:t>
      </w:r>
      <w:r w:rsidR="00A9753C">
        <w:t xml:space="preserve">emerging </w:t>
      </w:r>
      <w:r w:rsidR="009138F6">
        <w:t xml:space="preserve">form of </w:t>
      </w:r>
      <w:r w:rsidR="00A9753C">
        <w:t>industry policy compared to many of its international peers</w:t>
      </w:r>
      <w:r>
        <w:t>.</w:t>
      </w:r>
      <w:r w:rsidR="00A11AE1">
        <w:rPr>
          <w:rStyle w:val="FootnoteReference"/>
        </w:rPr>
        <w:footnoteReference w:id="23"/>
      </w:r>
      <w:r>
        <w:t xml:space="preserve"> </w:t>
      </w:r>
    </w:p>
    <w:p w14:paraId="35512B8D" w14:textId="522E9353" w:rsidR="00A972CD" w:rsidRDefault="00503B34" w:rsidP="00085355">
      <w:pPr>
        <w:pStyle w:val="FigureTableHeading"/>
      </w:pPr>
      <w:bookmarkStart w:id="48" w:name="_Ref201301639"/>
      <w:r>
        <w:t xml:space="preserve">Table </w:t>
      </w:r>
      <w:r w:rsidR="00665312">
        <w:fldChar w:fldCharType="begin"/>
      </w:r>
      <w:r w:rsidR="00665312">
        <w:instrText xml:space="preserve"> STYLEREF 1 \s </w:instrText>
      </w:r>
      <w:r w:rsidR="00665312">
        <w:fldChar w:fldCharType="separate"/>
      </w:r>
      <w:r w:rsidR="004A080B">
        <w:rPr>
          <w:noProof/>
        </w:rPr>
        <w:t>3</w:t>
      </w:r>
      <w:r w:rsidR="00665312">
        <w:fldChar w:fldCharType="end"/>
      </w:r>
      <w:r w:rsidR="00665312">
        <w:t>.</w:t>
      </w:r>
      <w:r w:rsidR="00665312">
        <w:fldChar w:fldCharType="begin"/>
      </w:r>
      <w:r w:rsidR="00665312">
        <w:instrText xml:space="preserve"> SEQ Table \* ARABIC \s 1 </w:instrText>
      </w:r>
      <w:r w:rsidR="00665312">
        <w:fldChar w:fldCharType="separate"/>
      </w:r>
      <w:r w:rsidR="004A080B">
        <w:rPr>
          <w:noProof/>
        </w:rPr>
        <w:t>1</w:t>
      </w:r>
      <w:r w:rsidR="00665312">
        <w:fldChar w:fldCharType="end"/>
      </w:r>
      <w:bookmarkEnd w:id="48"/>
      <w:r w:rsidR="00A972CD" w:rsidRPr="00CA295D">
        <w:t xml:space="preserve"> </w:t>
      </w:r>
      <w:r w:rsidR="00085355">
        <w:t xml:space="preserve">– </w:t>
      </w:r>
      <w:r w:rsidR="00A972CD">
        <w:t>Announced funding for FMIA is currently smaller as a share of GDP in a given year than US, EU and Canadian equivalents</w:t>
      </w:r>
      <w:r w:rsidR="00A972CD" w:rsidRPr="00066CF5">
        <w:rPr>
          <w:vertAlign w:val="superscript"/>
        </w:rPr>
        <w:t>a</w:t>
      </w:r>
      <w:r w:rsidR="00702FA1">
        <w:rPr>
          <w:vertAlign w:val="superscript"/>
        </w:rPr>
        <w:t>,b,c</w:t>
      </w:r>
      <w:r w:rsidR="00D62D8E">
        <w:rPr>
          <w:vertAlign w:val="superscript"/>
        </w:rPr>
        <w:t>,d</w:t>
      </w:r>
    </w:p>
    <w:p w14:paraId="06009F16" w14:textId="77777777" w:rsidR="00A972CD" w:rsidRDefault="00A972CD" w:rsidP="00A972CD">
      <w:pPr>
        <w:pStyle w:val="FigureTableSubheading"/>
      </w:pPr>
      <w:r>
        <w:t>FMIA compared to other modern industry policy initiatives</w:t>
      </w:r>
    </w:p>
    <w:tbl>
      <w:tblPr>
        <w:tblStyle w:val="TableGrid"/>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3479"/>
        <w:gridCol w:w="2142"/>
        <w:gridCol w:w="3024"/>
      </w:tblGrid>
      <w:tr w:rsidR="00503B34" w:rsidRPr="004A4DDA" w14:paraId="16B1D88D" w14:textId="77777777" w:rsidTr="004A4DDA">
        <w:trPr>
          <w:tblHeader/>
        </w:trPr>
        <w:tc>
          <w:tcPr>
            <w:tcW w:w="515" w:type="pct"/>
            <w:tcBorders>
              <w:bottom w:val="single" w:sz="4" w:space="0" w:color="B3B3B3"/>
            </w:tcBorders>
            <w:shd w:val="clear" w:color="000000" w:fill="auto"/>
            <w:vAlign w:val="bottom"/>
          </w:tcPr>
          <w:p w14:paraId="60E3C0D1" w14:textId="77777777" w:rsidR="00503B34" w:rsidRPr="0014455C" w:rsidRDefault="00503B34" w:rsidP="001C79A3">
            <w:pPr>
              <w:pStyle w:val="BodyText"/>
              <w:spacing w:before="45" w:after="45"/>
              <w:ind w:left="57" w:right="108"/>
              <w:rPr>
                <w:rFonts w:ascii="Arial (Body)" w:hAnsi="Arial (Body)"/>
                <w:b/>
                <w:color w:val="265A9A"/>
                <w:sz w:val="18"/>
              </w:rPr>
            </w:pPr>
            <w:r>
              <w:rPr>
                <w:rFonts w:ascii="Arial (Body)" w:hAnsi="Arial (Body)"/>
                <w:b/>
                <w:color w:val="265A9A"/>
                <w:sz w:val="18"/>
              </w:rPr>
              <w:t>Economy</w:t>
            </w:r>
          </w:p>
        </w:tc>
        <w:tc>
          <w:tcPr>
            <w:tcW w:w="1805" w:type="pct"/>
            <w:tcBorders>
              <w:bottom w:val="single" w:sz="4" w:space="0" w:color="B3B3B3"/>
            </w:tcBorders>
            <w:shd w:val="clear" w:color="000000" w:fill="auto"/>
            <w:vAlign w:val="bottom"/>
          </w:tcPr>
          <w:p w14:paraId="1C690A1D" w14:textId="36EC9D69" w:rsidR="00503B34" w:rsidRPr="0014455C" w:rsidRDefault="00447AD9" w:rsidP="001C79A3">
            <w:pPr>
              <w:pStyle w:val="BodyText"/>
              <w:spacing w:before="45" w:after="45"/>
              <w:ind w:left="57" w:right="108"/>
              <w:rPr>
                <w:rFonts w:ascii="Arial (Body)" w:hAnsi="Arial (Body)"/>
                <w:b/>
                <w:color w:val="265A9A"/>
                <w:sz w:val="18"/>
              </w:rPr>
            </w:pPr>
            <w:r>
              <w:rPr>
                <w:rFonts w:ascii="Arial (Body)" w:hAnsi="Arial (Body)"/>
                <w:b/>
                <w:color w:val="265A9A"/>
                <w:sz w:val="18"/>
              </w:rPr>
              <w:t>Industry</w:t>
            </w:r>
            <w:r w:rsidR="00503B34" w:rsidRPr="0014455C">
              <w:rPr>
                <w:rFonts w:ascii="Arial (Body)" w:hAnsi="Arial (Body)"/>
                <w:b/>
                <w:color w:val="265A9A"/>
                <w:sz w:val="18"/>
              </w:rPr>
              <w:t xml:space="preserve"> policy</w:t>
            </w:r>
            <w:r w:rsidR="00503B34">
              <w:rPr>
                <w:rFonts w:ascii="Arial (Body)" w:hAnsi="Arial (Body)"/>
                <w:b/>
                <w:color w:val="265A9A"/>
                <w:sz w:val="18"/>
              </w:rPr>
              <w:t xml:space="preserve"> initiative</w:t>
            </w:r>
          </w:p>
        </w:tc>
        <w:tc>
          <w:tcPr>
            <w:tcW w:w="1111" w:type="pct"/>
            <w:tcBorders>
              <w:bottom w:val="single" w:sz="4" w:space="0" w:color="B3B3B3"/>
            </w:tcBorders>
            <w:shd w:val="clear" w:color="000000" w:fill="auto"/>
            <w:vAlign w:val="bottom"/>
          </w:tcPr>
          <w:p w14:paraId="04B5BB80" w14:textId="77777777" w:rsidR="00503B34" w:rsidRPr="0014455C" w:rsidRDefault="00503B34" w:rsidP="00FE58E9">
            <w:pPr>
              <w:pStyle w:val="BodyText"/>
              <w:spacing w:before="45" w:after="45"/>
              <w:ind w:left="57" w:right="108"/>
              <w:jc w:val="right"/>
              <w:rPr>
                <w:rFonts w:ascii="Arial (Body)" w:hAnsi="Arial (Body)"/>
                <w:b/>
                <w:color w:val="265A9A"/>
                <w:sz w:val="18"/>
              </w:rPr>
            </w:pPr>
            <w:r>
              <w:rPr>
                <w:rFonts w:ascii="Arial (Body)" w:hAnsi="Arial (Body)"/>
                <w:b/>
                <w:color w:val="265A9A"/>
                <w:sz w:val="18"/>
              </w:rPr>
              <w:t>Announced</w:t>
            </w:r>
            <w:r w:rsidRPr="0014455C">
              <w:rPr>
                <w:rFonts w:ascii="Arial (Body)" w:hAnsi="Arial (Body)"/>
                <w:b/>
                <w:color w:val="265A9A"/>
                <w:sz w:val="18"/>
              </w:rPr>
              <w:t xml:space="preserve"> </w:t>
            </w:r>
            <w:r>
              <w:rPr>
                <w:rFonts w:ascii="Arial (Body)" w:hAnsi="Arial (Body)"/>
                <w:b/>
                <w:color w:val="265A9A"/>
                <w:sz w:val="18"/>
              </w:rPr>
              <w:t>size (approximate)</w:t>
            </w:r>
          </w:p>
        </w:tc>
        <w:tc>
          <w:tcPr>
            <w:tcW w:w="1569" w:type="pct"/>
            <w:tcBorders>
              <w:bottom w:val="single" w:sz="4" w:space="0" w:color="B3B3B3"/>
            </w:tcBorders>
            <w:shd w:val="clear" w:color="000000" w:fill="auto"/>
            <w:vAlign w:val="bottom"/>
          </w:tcPr>
          <w:p w14:paraId="4AE6E37C" w14:textId="77777777" w:rsidR="00503B34" w:rsidRPr="0014455C" w:rsidRDefault="00503B34" w:rsidP="00FE58E9">
            <w:pPr>
              <w:pStyle w:val="BodyText"/>
              <w:spacing w:before="45" w:after="45"/>
              <w:ind w:left="57" w:right="108"/>
              <w:jc w:val="right"/>
              <w:rPr>
                <w:rFonts w:ascii="Arial (Body)" w:hAnsi="Arial (Body)"/>
                <w:b/>
                <w:color w:val="265A9A"/>
                <w:sz w:val="18"/>
              </w:rPr>
            </w:pPr>
            <w:r w:rsidRPr="0014455C">
              <w:rPr>
                <w:rFonts w:ascii="Arial (Body)" w:hAnsi="Arial (Body)"/>
                <w:b/>
                <w:color w:val="265A9A"/>
                <w:sz w:val="18"/>
              </w:rPr>
              <w:t xml:space="preserve">Total announced spending relative to </w:t>
            </w:r>
            <w:r>
              <w:rPr>
                <w:rFonts w:ascii="Arial (Body)" w:hAnsi="Arial (Body)"/>
                <w:b/>
                <w:color w:val="265A9A"/>
                <w:sz w:val="18"/>
              </w:rPr>
              <w:t xml:space="preserve">a year of </w:t>
            </w:r>
            <w:r w:rsidRPr="0014455C">
              <w:rPr>
                <w:rFonts w:ascii="Arial (Body)" w:hAnsi="Arial (Body)"/>
                <w:b/>
                <w:color w:val="265A9A"/>
                <w:sz w:val="18"/>
              </w:rPr>
              <w:t>GDP</w:t>
            </w:r>
          </w:p>
        </w:tc>
      </w:tr>
      <w:tr w:rsidR="00503B34" w:rsidRPr="004A4DDA" w14:paraId="110FF6D0" w14:textId="77777777" w:rsidTr="004A4DDA">
        <w:tc>
          <w:tcPr>
            <w:tcW w:w="515" w:type="pct"/>
            <w:tcBorders>
              <w:top w:val="single" w:sz="4" w:space="0" w:color="B3B3B3"/>
              <w:bottom w:val="nil"/>
            </w:tcBorders>
            <w:shd w:val="clear" w:color="000000" w:fill="F2F2F2"/>
          </w:tcPr>
          <w:p w14:paraId="3FCD5E28" w14:textId="77777777" w:rsidR="00503B34" w:rsidRPr="0014455C" w:rsidRDefault="00503B34" w:rsidP="001C79A3">
            <w:pPr>
              <w:pStyle w:val="BodyText"/>
              <w:spacing w:before="45" w:after="45"/>
              <w:ind w:left="57" w:right="108"/>
              <w:rPr>
                <w:rFonts w:ascii="Arial (Body)" w:hAnsi="Arial (Body)"/>
                <w:b/>
                <w:color w:val="265A9A"/>
                <w:sz w:val="18"/>
              </w:rPr>
            </w:pPr>
            <w:r w:rsidRPr="0014455C">
              <w:rPr>
                <w:rFonts w:ascii="Arial (Body)" w:hAnsi="Arial (Body)"/>
                <w:b/>
                <w:color w:val="265A9A"/>
                <w:sz w:val="18"/>
              </w:rPr>
              <w:t>Australia</w:t>
            </w:r>
          </w:p>
        </w:tc>
        <w:tc>
          <w:tcPr>
            <w:tcW w:w="1805" w:type="pct"/>
            <w:tcBorders>
              <w:top w:val="single" w:sz="4" w:space="0" w:color="B3B3B3"/>
              <w:bottom w:val="nil"/>
            </w:tcBorders>
            <w:shd w:val="clear" w:color="000000" w:fill="F2F2F2"/>
          </w:tcPr>
          <w:p w14:paraId="44A20291" w14:textId="77777777" w:rsidR="00503B34" w:rsidRPr="0014455C" w:rsidRDefault="00503B34" w:rsidP="001C79A3">
            <w:pPr>
              <w:pStyle w:val="BodyText"/>
              <w:spacing w:before="45" w:after="45"/>
              <w:ind w:left="57" w:right="108"/>
              <w:rPr>
                <w:rFonts w:ascii="Arial (Body)" w:hAnsi="Arial (Body)"/>
                <w:color w:val="000000"/>
                <w:sz w:val="18"/>
              </w:rPr>
            </w:pPr>
            <w:r w:rsidRPr="0014455C">
              <w:rPr>
                <w:rFonts w:ascii="Arial (Body)" w:hAnsi="Arial (Body)"/>
                <w:color w:val="000000"/>
                <w:sz w:val="18"/>
              </w:rPr>
              <w:t>Future Made in Australia</w:t>
            </w:r>
          </w:p>
        </w:tc>
        <w:tc>
          <w:tcPr>
            <w:tcW w:w="1111" w:type="pct"/>
            <w:tcBorders>
              <w:top w:val="single" w:sz="4" w:space="0" w:color="B3B3B3"/>
              <w:bottom w:val="nil"/>
            </w:tcBorders>
            <w:shd w:val="clear" w:color="000000" w:fill="F2F2F2"/>
          </w:tcPr>
          <w:p w14:paraId="16494CF2" w14:textId="7CADC48B"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~$2</w:t>
            </w:r>
            <w:r>
              <w:rPr>
                <w:rFonts w:ascii="Arial (Body)" w:hAnsi="Arial (Body)"/>
                <w:color w:val="000000"/>
                <w:sz w:val="18"/>
              </w:rPr>
              <w:t>6</w:t>
            </w:r>
            <w:r w:rsidR="00200862">
              <w:rPr>
                <w:rFonts w:ascii="Arial (Body)" w:hAnsi="Arial (Body)"/>
                <w:color w:val="000000"/>
                <w:sz w:val="18"/>
              </w:rPr>
              <w:noBreakHyphen/>
            </w:r>
            <w:r>
              <w:rPr>
                <w:rFonts w:ascii="Arial (Body)" w:hAnsi="Arial (Body)"/>
                <w:color w:val="000000"/>
                <w:sz w:val="18"/>
              </w:rPr>
              <w:t>33</w:t>
            </w:r>
            <w:r w:rsidRPr="0014455C">
              <w:rPr>
                <w:rFonts w:ascii="Arial (Body)" w:hAnsi="Arial (Body)"/>
                <w:color w:val="000000"/>
                <w:sz w:val="18"/>
              </w:rPr>
              <w:t xml:space="preserve"> billion AUD</w:t>
            </w:r>
          </w:p>
        </w:tc>
        <w:tc>
          <w:tcPr>
            <w:tcW w:w="1569" w:type="pct"/>
            <w:tcBorders>
              <w:top w:val="single" w:sz="4" w:space="0" w:color="B3B3B3"/>
              <w:bottom w:val="nil"/>
            </w:tcBorders>
            <w:shd w:val="clear" w:color="000000" w:fill="F2F2F2"/>
          </w:tcPr>
          <w:p w14:paraId="15199258" w14:textId="110930F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~1</w:t>
            </w:r>
            <w:r w:rsidR="00200862">
              <w:rPr>
                <w:rFonts w:ascii="Arial (Body)" w:hAnsi="Arial (Body)"/>
                <w:color w:val="000000"/>
                <w:sz w:val="18"/>
              </w:rPr>
              <w:noBreakHyphen/>
            </w:r>
            <w:r>
              <w:rPr>
                <w:rFonts w:ascii="Arial (Body)" w:hAnsi="Arial (Body)"/>
                <w:color w:val="000000"/>
                <w:sz w:val="18"/>
              </w:rPr>
              <w:t>1.3%</w:t>
            </w:r>
          </w:p>
        </w:tc>
      </w:tr>
      <w:tr w:rsidR="00503B34" w:rsidRPr="004A4DDA" w14:paraId="0AE52ADA" w14:textId="77777777" w:rsidTr="004A4DDA">
        <w:tc>
          <w:tcPr>
            <w:tcW w:w="515" w:type="pct"/>
            <w:vMerge w:val="restart"/>
            <w:tcBorders>
              <w:top w:val="nil"/>
              <w:bottom w:val="nil"/>
            </w:tcBorders>
            <w:shd w:val="clear" w:color="000000" w:fill="auto"/>
          </w:tcPr>
          <w:p w14:paraId="2C7C4FEC" w14:textId="77777777" w:rsidR="00503B34" w:rsidRPr="0014455C" w:rsidRDefault="00503B34" w:rsidP="001C79A3">
            <w:pPr>
              <w:pStyle w:val="BodyText"/>
              <w:spacing w:before="45" w:after="45"/>
              <w:ind w:left="57" w:right="108"/>
              <w:rPr>
                <w:rFonts w:ascii="Arial (Body)" w:hAnsi="Arial (Body)"/>
                <w:b/>
                <w:color w:val="265A9A"/>
                <w:sz w:val="18"/>
              </w:rPr>
            </w:pPr>
            <w:r>
              <w:rPr>
                <w:rFonts w:ascii="Arial (Body)" w:hAnsi="Arial (Body)"/>
                <w:b/>
                <w:color w:val="265A9A"/>
                <w:sz w:val="18"/>
              </w:rPr>
              <w:t>US</w:t>
            </w:r>
          </w:p>
        </w:tc>
        <w:tc>
          <w:tcPr>
            <w:tcW w:w="1805" w:type="pct"/>
            <w:tcBorders>
              <w:top w:val="nil"/>
              <w:bottom w:val="nil"/>
            </w:tcBorders>
            <w:shd w:val="clear" w:color="000000" w:fill="auto"/>
          </w:tcPr>
          <w:p w14:paraId="3812D9B7" w14:textId="77777777" w:rsidR="00503B34" w:rsidRPr="0014455C" w:rsidRDefault="00503B34" w:rsidP="001C79A3">
            <w:pPr>
              <w:pStyle w:val="BodyText"/>
              <w:spacing w:before="45" w:after="45"/>
              <w:ind w:left="57" w:right="108"/>
              <w:rPr>
                <w:rFonts w:ascii="Arial (Body)" w:hAnsi="Arial (Body)"/>
                <w:color w:val="000000"/>
                <w:sz w:val="18"/>
              </w:rPr>
            </w:pPr>
            <w:r w:rsidRPr="0014455C">
              <w:rPr>
                <w:rFonts w:ascii="Arial (Body)" w:hAnsi="Arial (Body)"/>
                <w:color w:val="000000"/>
                <w:sz w:val="18"/>
              </w:rPr>
              <w:t>Inflation Reduction Act</w:t>
            </w:r>
          </w:p>
        </w:tc>
        <w:tc>
          <w:tcPr>
            <w:tcW w:w="1111" w:type="pct"/>
            <w:tcBorders>
              <w:top w:val="nil"/>
              <w:bottom w:val="nil"/>
            </w:tcBorders>
            <w:shd w:val="clear" w:color="000000" w:fill="auto"/>
          </w:tcPr>
          <w:p w14:paraId="4637182C" w14:textId="7777777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w:t>
            </w:r>
            <w:r>
              <w:rPr>
                <w:rFonts w:ascii="Arial (Body)" w:hAnsi="Arial (Body)"/>
                <w:color w:val="000000"/>
                <w:sz w:val="18"/>
              </w:rPr>
              <w:t>9</w:t>
            </w:r>
            <w:r w:rsidRPr="0014455C">
              <w:rPr>
                <w:rFonts w:ascii="Arial (Body)" w:hAnsi="Arial (Body)"/>
                <w:color w:val="000000"/>
                <w:sz w:val="18"/>
              </w:rPr>
              <w:t>00 billion USD</w:t>
            </w:r>
          </w:p>
        </w:tc>
        <w:tc>
          <w:tcPr>
            <w:tcW w:w="1569" w:type="pct"/>
            <w:tcBorders>
              <w:top w:val="nil"/>
              <w:bottom w:val="nil"/>
            </w:tcBorders>
            <w:shd w:val="clear" w:color="000000" w:fill="auto"/>
          </w:tcPr>
          <w:p w14:paraId="4AA72FE4" w14:textId="7777777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~3.4%</w:t>
            </w:r>
          </w:p>
        </w:tc>
      </w:tr>
      <w:tr w:rsidR="00503B34" w:rsidRPr="004A4DDA" w14:paraId="18515A5D" w14:textId="77777777" w:rsidTr="004A4DDA">
        <w:tc>
          <w:tcPr>
            <w:tcW w:w="515" w:type="pct"/>
            <w:vMerge/>
            <w:tcBorders>
              <w:bottom w:val="nil"/>
            </w:tcBorders>
            <w:shd w:val="clear" w:color="000000" w:fill="F2F2F2"/>
          </w:tcPr>
          <w:p w14:paraId="14A9ABB0" w14:textId="77777777" w:rsidR="00503B34" w:rsidRPr="0014455C" w:rsidRDefault="00503B34" w:rsidP="001C79A3">
            <w:pPr>
              <w:pStyle w:val="BodyText"/>
              <w:spacing w:before="45" w:after="45"/>
              <w:ind w:left="57" w:right="108"/>
              <w:rPr>
                <w:rFonts w:ascii="Arial (Body)" w:hAnsi="Arial (Body)"/>
                <w:color w:val="000000"/>
                <w:sz w:val="18"/>
              </w:rPr>
            </w:pPr>
          </w:p>
        </w:tc>
        <w:tc>
          <w:tcPr>
            <w:tcW w:w="1805" w:type="pct"/>
            <w:tcBorders>
              <w:bottom w:val="nil"/>
            </w:tcBorders>
            <w:shd w:val="clear" w:color="000000" w:fill="F2F2F2"/>
          </w:tcPr>
          <w:p w14:paraId="4C2C4525" w14:textId="0A505999" w:rsidR="00503B34" w:rsidRPr="0014455C" w:rsidRDefault="00503B34" w:rsidP="001C79A3">
            <w:pPr>
              <w:pStyle w:val="BodyText"/>
              <w:spacing w:before="45" w:after="45"/>
              <w:ind w:left="57" w:right="108"/>
              <w:rPr>
                <w:rFonts w:ascii="Arial (Body)" w:hAnsi="Arial (Body)"/>
                <w:color w:val="000000"/>
                <w:sz w:val="18"/>
              </w:rPr>
            </w:pPr>
            <w:r w:rsidRPr="0014455C">
              <w:rPr>
                <w:rFonts w:ascii="Arial (Body)" w:hAnsi="Arial (Body)"/>
                <w:color w:val="000000"/>
                <w:sz w:val="18"/>
              </w:rPr>
              <w:t xml:space="preserve">CHIPS and Science </w:t>
            </w:r>
            <w:r w:rsidR="0024510B">
              <w:rPr>
                <w:rFonts w:ascii="Arial (Body)" w:hAnsi="Arial (Body)"/>
                <w:color w:val="000000"/>
                <w:sz w:val="18"/>
              </w:rPr>
              <w:t>A</w:t>
            </w:r>
            <w:r w:rsidRPr="004A4DDA">
              <w:rPr>
                <w:rFonts w:ascii="Arial (Body)" w:hAnsi="Arial (Body)"/>
                <w:color w:val="000000"/>
                <w:sz w:val="18"/>
              </w:rPr>
              <w:t>ct</w:t>
            </w:r>
          </w:p>
        </w:tc>
        <w:tc>
          <w:tcPr>
            <w:tcW w:w="1111" w:type="pct"/>
            <w:tcBorders>
              <w:bottom w:val="nil"/>
            </w:tcBorders>
            <w:shd w:val="clear" w:color="000000" w:fill="F2F2F2"/>
          </w:tcPr>
          <w:p w14:paraId="59657DD9" w14:textId="7777777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w:t>
            </w:r>
            <w:r>
              <w:rPr>
                <w:rFonts w:ascii="Arial (Body)" w:hAnsi="Arial (Body)"/>
                <w:color w:val="000000"/>
                <w:sz w:val="18"/>
              </w:rPr>
              <w:t>280</w:t>
            </w:r>
            <w:r w:rsidRPr="0014455C">
              <w:rPr>
                <w:rFonts w:ascii="Arial (Body)" w:hAnsi="Arial (Body)"/>
                <w:color w:val="000000"/>
                <w:sz w:val="18"/>
              </w:rPr>
              <w:t xml:space="preserve"> billion USD</w:t>
            </w:r>
          </w:p>
        </w:tc>
        <w:tc>
          <w:tcPr>
            <w:tcW w:w="1569" w:type="pct"/>
            <w:tcBorders>
              <w:bottom w:val="nil"/>
            </w:tcBorders>
            <w:shd w:val="clear" w:color="000000" w:fill="F2F2F2"/>
          </w:tcPr>
          <w:p w14:paraId="2599CCC5" w14:textId="7777777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~1.1%</w:t>
            </w:r>
          </w:p>
        </w:tc>
      </w:tr>
      <w:tr w:rsidR="00503B34" w:rsidRPr="004A4DDA" w14:paraId="47F2528C" w14:textId="77777777" w:rsidTr="004A4DDA">
        <w:tc>
          <w:tcPr>
            <w:tcW w:w="515" w:type="pct"/>
            <w:tcBorders>
              <w:top w:val="nil"/>
              <w:bottom w:val="nil"/>
            </w:tcBorders>
            <w:shd w:val="clear" w:color="000000" w:fill="auto"/>
          </w:tcPr>
          <w:p w14:paraId="04046F7D" w14:textId="77777777" w:rsidR="00503B34" w:rsidRPr="0014455C" w:rsidRDefault="00503B34" w:rsidP="001C79A3">
            <w:pPr>
              <w:pStyle w:val="BodyText"/>
              <w:spacing w:before="45" w:after="45"/>
              <w:ind w:left="57" w:right="108"/>
              <w:rPr>
                <w:rFonts w:ascii="Arial (Body)" w:hAnsi="Arial (Body)"/>
                <w:b/>
                <w:color w:val="265A9A"/>
                <w:sz w:val="18"/>
              </w:rPr>
            </w:pPr>
            <w:r>
              <w:rPr>
                <w:rFonts w:ascii="Arial (Body)" w:hAnsi="Arial (Body)"/>
                <w:b/>
                <w:color w:val="265A9A"/>
                <w:sz w:val="18"/>
              </w:rPr>
              <w:t>EU</w:t>
            </w:r>
          </w:p>
        </w:tc>
        <w:tc>
          <w:tcPr>
            <w:tcW w:w="1805" w:type="pct"/>
            <w:tcBorders>
              <w:top w:val="nil"/>
              <w:bottom w:val="nil"/>
            </w:tcBorders>
            <w:shd w:val="clear" w:color="000000" w:fill="auto"/>
          </w:tcPr>
          <w:p w14:paraId="3935CFC0" w14:textId="77777777" w:rsidR="00503B34" w:rsidRPr="0014455C" w:rsidRDefault="00503B34" w:rsidP="001C79A3">
            <w:pPr>
              <w:pStyle w:val="BodyText"/>
              <w:spacing w:before="45" w:after="45"/>
              <w:ind w:left="57" w:right="108"/>
              <w:rPr>
                <w:rFonts w:ascii="Arial (Body)" w:hAnsi="Arial (Body)"/>
                <w:color w:val="000000"/>
                <w:sz w:val="18"/>
              </w:rPr>
            </w:pPr>
            <w:r>
              <w:rPr>
                <w:rFonts w:ascii="Arial (Body)" w:hAnsi="Arial (Body)"/>
                <w:color w:val="000000"/>
                <w:sz w:val="18"/>
              </w:rPr>
              <w:t>European Green Deal</w:t>
            </w:r>
          </w:p>
        </w:tc>
        <w:tc>
          <w:tcPr>
            <w:tcW w:w="1111" w:type="pct"/>
            <w:tcBorders>
              <w:top w:val="nil"/>
              <w:bottom w:val="nil"/>
            </w:tcBorders>
            <w:shd w:val="clear" w:color="000000" w:fill="auto"/>
          </w:tcPr>
          <w:p w14:paraId="606FBB36" w14:textId="77777777" w:rsidR="00503B34" w:rsidRPr="00FD38FB" w:rsidRDefault="00503B34" w:rsidP="00FE58E9">
            <w:pPr>
              <w:pStyle w:val="BodyText"/>
              <w:spacing w:before="45" w:after="45"/>
              <w:ind w:left="57" w:right="108"/>
              <w:jc w:val="right"/>
              <w:rPr>
                <w:rFonts w:ascii="Arial (Body)" w:hAnsi="Arial (Body)"/>
                <w:color w:val="000000"/>
                <w:sz w:val="18"/>
              </w:rPr>
            </w:pPr>
            <w:r>
              <w:rPr>
                <w:rFonts w:ascii="Arial (Body)" w:hAnsi="Arial (Body)"/>
                <w:color w:val="000000"/>
                <w:sz w:val="18"/>
              </w:rPr>
              <w:t>~</w:t>
            </w:r>
            <w:r w:rsidRPr="00FD38FB">
              <w:rPr>
                <w:rFonts w:ascii="Arial (Body)" w:hAnsi="Arial (Body)"/>
                <w:color w:val="000000"/>
                <w:sz w:val="18"/>
              </w:rPr>
              <w:t>€</w:t>
            </w:r>
            <w:r>
              <w:rPr>
                <w:rFonts w:ascii="Arial (Body)" w:hAnsi="Arial (Body)"/>
                <w:color w:val="000000"/>
                <w:sz w:val="18"/>
              </w:rPr>
              <w:t xml:space="preserve">770 billion </w:t>
            </w:r>
            <w:r w:rsidRPr="00FD38FB">
              <w:rPr>
                <w:rFonts w:ascii="Arial (Body)" w:hAnsi="Arial (Body)"/>
                <w:color w:val="000000"/>
                <w:sz w:val="18"/>
              </w:rPr>
              <w:t>Euros</w:t>
            </w:r>
          </w:p>
        </w:tc>
        <w:tc>
          <w:tcPr>
            <w:tcW w:w="1569" w:type="pct"/>
            <w:tcBorders>
              <w:top w:val="nil"/>
              <w:bottom w:val="nil"/>
            </w:tcBorders>
            <w:shd w:val="clear" w:color="000000" w:fill="auto"/>
          </w:tcPr>
          <w:p w14:paraId="396DE4E1" w14:textId="77777777" w:rsidR="00503B34" w:rsidRPr="0014455C" w:rsidRDefault="00503B34" w:rsidP="00FE58E9">
            <w:pPr>
              <w:pStyle w:val="BodyText"/>
              <w:spacing w:before="45" w:after="45"/>
              <w:ind w:left="57" w:right="108"/>
              <w:jc w:val="right"/>
              <w:rPr>
                <w:rFonts w:ascii="Arial (Body)" w:hAnsi="Arial (Body)"/>
                <w:color w:val="000000"/>
                <w:sz w:val="18"/>
              </w:rPr>
            </w:pPr>
            <w:r>
              <w:rPr>
                <w:rFonts w:ascii="Arial (Body)" w:hAnsi="Arial (Body)"/>
                <w:color w:val="000000"/>
                <w:sz w:val="18"/>
              </w:rPr>
              <w:t>~5.2%</w:t>
            </w:r>
          </w:p>
        </w:tc>
      </w:tr>
      <w:tr w:rsidR="00503B34" w:rsidRPr="004A4DDA" w14:paraId="447E4CC9" w14:textId="77777777" w:rsidTr="004A4DDA">
        <w:trPr>
          <w:trHeight w:val="388"/>
        </w:trPr>
        <w:tc>
          <w:tcPr>
            <w:tcW w:w="515" w:type="pct"/>
            <w:tcBorders>
              <w:bottom w:val="single" w:sz="4" w:space="0" w:color="B3B3B3"/>
            </w:tcBorders>
            <w:shd w:val="clear" w:color="000000" w:fill="F2F2F2"/>
          </w:tcPr>
          <w:p w14:paraId="3655914A" w14:textId="77777777" w:rsidR="00503B34" w:rsidRPr="0014455C" w:rsidRDefault="00503B34" w:rsidP="001C79A3">
            <w:pPr>
              <w:pStyle w:val="BodyText"/>
              <w:spacing w:before="45" w:after="45"/>
              <w:ind w:left="57" w:right="108"/>
              <w:rPr>
                <w:rFonts w:ascii="Arial (Body)" w:hAnsi="Arial (Body)"/>
                <w:b/>
                <w:color w:val="265A9A"/>
                <w:sz w:val="18"/>
              </w:rPr>
            </w:pPr>
            <w:r w:rsidRPr="0014455C">
              <w:rPr>
                <w:rFonts w:ascii="Arial (Body)" w:hAnsi="Arial (Body)"/>
                <w:b/>
                <w:color w:val="265A9A"/>
                <w:sz w:val="18"/>
              </w:rPr>
              <w:t>Canada</w:t>
            </w:r>
          </w:p>
        </w:tc>
        <w:tc>
          <w:tcPr>
            <w:tcW w:w="1805" w:type="pct"/>
            <w:tcBorders>
              <w:bottom w:val="single" w:sz="4" w:space="0" w:color="B3B3B3"/>
            </w:tcBorders>
            <w:shd w:val="clear" w:color="000000" w:fill="F2F2F2"/>
          </w:tcPr>
          <w:p w14:paraId="0BB381DA" w14:textId="6A9473AB" w:rsidR="00503B34" w:rsidRPr="0014455C" w:rsidRDefault="00503B34" w:rsidP="001C79A3">
            <w:pPr>
              <w:pStyle w:val="BodyText"/>
              <w:spacing w:before="45" w:after="45"/>
              <w:ind w:left="57" w:right="108"/>
              <w:rPr>
                <w:rFonts w:ascii="Arial (Body)" w:hAnsi="Arial (Body)"/>
                <w:color w:val="000000"/>
                <w:sz w:val="18"/>
              </w:rPr>
            </w:pPr>
            <w:r w:rsidRPr="0014455C">
              <w:rPr>
                <w:rFonts w:ascii="Arial (Body)" w:hAnsi="Arial (Body)"/>
                <w:color w:val="000000"/>
                <w:sz w:val="18"/>
              </w:rPr>
              <w:t>Made</w:t>
            </w:r>
            <w:r w:rsidR="004A24E6">
              <w:rPr>
                <w:rFonts w:ascii="Arial (Body)" w:hAnsi="Arial (Body)"/>
                <w:color w:val="000000"/>
                <w:sz w:val="18"/>
              </w:rPr>
              <w:t>-</w:t>
            </w:r>
            <w:r w:rsidRPr="0014455C">
              <w:rPr>
                <w:rFonts w:ascii="Arial (Body)" w:hAnsi="Arial (Body)"/>
                <w:color w:val="000000"/>
                <w:sz w:val="18"/>
              </w:rPr>
              <w:t>in</w:t>
            </w:r>
            <w:r w:rsidR="004A24E6">
              <w:rPr>
                <w:rFonts w:ascii="Arial (Body)" w:hAnsi="Arial (Body)"/>
                <w:color w:val="000000"/>
                <w:sz w:val="18"/>
              </w:rPr>
              <w:t>-</w:t>
            </w:r>
            <w:r w:rsidRPr="0014455C">
              <w:rPr>
                <w:rFonts w:ascii="Arial (Body)" w:hAnsi="Arial (Body)"/>
                <w:color w:val="000000"/>
                <w:sz w:val="18"/>
              </w:rPr>
              <w:t>Canada plan</w:t>
            </w:r>
          </w:p>
        </w:tc>
        <w:tc>
          <w:tcPr>
            <w:tcW w:w="1111" w:type="pct"/>
            <w:tcBorders>
              <w:bottom w:val="single" w:sz="4" w:space="0" w:color="B3B3B3"/>
            </w:tcBorders>
            <w:shd w:val="clear" w:color="000000" w:fill="F2F2F2"/>
          </w:tcPr>
          <w:p w14:paraId="008943FE" w14:textId="7777777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w:t>
            </w:r>
            <w:r>
              <w:rPr>
                <w:rFonts w:ascii="Arial (Body)" w:hAnsi="Arial (Body)"/>
                <w:color w:val="000000"/>
                <w:sz w:val="18"/>
              </w:rPr>
              <w:t>129</w:t>
            </w:r>
            <w:r w:rsidRPr="0014455C">
              <w:rPr>
                <w:rFonts w:ascii="Arial (Body)" w:hAnsi="Arial (Body)"/>
                <w:color w:val="000000"/>
                <w:sz w:val="18"/>
              </w:rPr>
              <w:t xml:space="preserve"> billion </w:t>
            </w:r>
            <w:r>
              <w:rPr>
                <w:rFonts w:ascii="Arial (Body)" w:hAnsi="Arial (Body)"/>
                <w:color w:val="000000"/>
                <w:sz w:val="18"/>
              </w:rPr>
              <w:t>CAD</w:t>
            </w:r>
          </w:p>
        </w:tc>
        <w:tc>
          <w:tcPr>
            <w:tcW w:w="1569" w:type="pct"/>
            <w:tcBorders>
              <w:bottom w:val="single" w:sz="4" w:space="0" w:color="B3B3B3"/>
            </w:tcBorders>
            <w:shd w:val="clear" w:color="000000" w:fill="F2F2F2"/>
          </w:tcPr>
          <w:p w14:paraId="2D0218CD" w14:textId="77777777" w:rsidR="00503B34" w:rsidRPr="0014455C" w:rsidRDefault="00503B34" w:rsidP="00FE58E9">
            <w:pPr>
              <w:pStyle w:val="BodyText"/>
              <w:spacing w:before="45" w:after="45"/>
              <w:ind w:left="57" w:right="108"/>
              <w:jc w:val="right"/>
              <w:rPr>
                <w:rFonts w:ascii="Arial (Body)" w:hAnsi="Arial (Body)"/>
                <w:color w:val="000000"/>
                <w:sz w:val="18"/>
              </w:rPr>
            </w:pPr>
            <w:r w:rsidRPr="0014455C">
              <w:rPr>
                <w:rFonts w:ascii="Arial (Body)" w:hAnsi="Arial (Body)"/>
                <w:color w:val="000000"/>
                <w:sz w:val="18"/>
              </w:rPr>
              <w:t>~4</w:t>
            </w:r>
            <w:r>
              <w:rPr>
                <w:rFonts w:ascii="Arial (Body)" w:hAnsi="Arial (Body)"/>
                <w:color w:val="000000"/>
                <w:sz w:val="18"/>
              </w:rPr>
              <w:t>.6</w:t>
            </w:r>
            <w:r w:rsidRPr="0014455C">
              <w:rPr>
                <w:rFonts w:ascii="Arial (Body)" w:hAnsi="Arial (Body)"/>
                <w:color w:val="000000"/>
                <w:sz w:val="18"/>
              </w:rPr>
              <w:t>%</w:t>
            </w:r>
          </w:p>
        </w:tc>
      </w:tr>
    </w:tbl>
    <w:p w14:paraId="3C5497F8" w14:textId="01306195" w:rsidR="00503B34" w:rsidRPr="002671C9" w:rsidRDefault="00503B34" w:rsidP="00FE58E9">
      <w:pPr>
        <w:pStyle w:val="Note"/>
        <w:rPr>
          <w:i/>
          <w:iCs/>
          <w:spacing w:val="-4"/>
        </w:rPr>
      </w:pPr>
      <w:r w:rsidRPr="002671C9">
        <w:rPr>
          <w:b/>
          <w:bCs/>
          <w:spacing w:val="-4"/>
        </w:rPr>
        <w:t>a.</w:t>
      </w:r>
      <w:r w:rsidRPr="002671C9">
        <w:rPr>
          <w:spacing w:val="-4"/>
        </w:rPr>
        <w:t xml:space="preserve"> FMIA lower bound reflects budget measures announced in the 2024</w:t>
      </w:r>
      <w:r w:rsidR="00200862" w:rsidRPr="002671C9">
        <w:rPr>
          <w:spacing w:val="-4"/>
        </w:rPr>
        <w:noBreakHyphen/>
      </w:r>
      <w:r w:rsidRPr="002671C9">
        <w:rPr>
          <w:spacing w:val="-4"/>
        </w:rPr>
        <w:t>25 budget papers ($22.7 billion) alongside announced new spending in the 2025</w:t>
      </w:r>
      <w:r w:rsidR="00200862" w:rsidRPr="002671C9">
        <w:rPr>
          <w:spacing w:val="-4"/>
        </w:rPr>
        <w:noBreakHyphen/>
      </w:r>
      <w:r w:rsidRPr="002671C9">
        <w:rPr>
          <w:spacing w:val="-4"/>
        </w:rPr>
        <w:t xml:space="preserve">26 budget for green metals ($3.2 billion) </w:t>
      </w:r>
      <w:r w:rsidR="0028392B" w:rsidRPr="002671C9">
        <w:rPr>
          <w:rFonts w:cs="Arial"/>
          <w:spacing w:val="-4"/>
        </w:rPr>
        <w:t>(Husic 2025; The Commonwealth of Australia 2024a, p. 14, 2025a, p. 63)</w:t>
      </w:r>
      <w:r w:rsidRPr="002671C9">
        <w:rPr>
          <w:spacing w:val="-4"/>
        </w:rPr>
        <w:t>. Upper bound includes announced new off</w:t>
      </w:r>
      <w:r w:rsidR="00200862" w:rsidRPr="002671C9">
        <w:rPr>
          <w:spacing w:val="-4"/>
        </w:rPr>
        <w:noBreakHyphen/>
      </w:r>
      <w:r w:rsidRPr="002671C9">
        <w:rPr>
          <w:spacing w:val="-4"/>
        </w:rPr>
        <w:t>budget spending linked to FMIA.</w:t>
      </w:r>
      <w:r w:rsidR="004F477D" w:rsidRPr="002671C9">
        <w:rPr>
          <w:spacing w:val="-4"/>
        </w:rPr>
        <w:t xml:space="preserve"> </w:t>
      </w:r>
      <w:r w:rsidR="004F477D" w:rsidRPr="002671C9">
        <w:rPr>
          <w:b/>
          <w:bCs/>
          <w:spacing w:val="-4"/>
        </w:rPr>
        <w:t xml:space="preserve">b. </w:t>
      </w:r>
      <w:r w:rsidR="004F477D" w:rsidRPr="002671C9">
        <w:rPr>
          <w:spacing w:val="-4"/>
        </w:rPr>
        <w:t xml:space="preserve">Most spending announcements </w:t>
      </w:r>
      <w:r w:rsidR="00756168" w:rsidRPr="002671C9">
        <w:rPr>
          <w:spacing w:val="-4"/>
        </w:rPr>
        <w:t>size estimates are over</w:t>
      </w:r>
      <w:r w:rsidR="00144498" w:rsidRPr="002671C9">
        <w:rPr>
          <w:spacing w:val="-4"/>
        </w:rPr>
        <w:t xml:space="preserve"> a </w:t>
      </w:r>
      <w:r w:rsidR="004F477D" w:rsidRPr="002671C9">
        <w:rPr>
          <w:spacing w:val="-4"/>
        </w:rPr>
        <w:t>~</w:t>
      </w:r>
      <w:r w:rsidR="00144498" w:rsidRPr="002671C9">
        <w:rPr>
          <w:spacing w:val="-4"/>
        </w:rPr>
        <w:t>10-year</w:t>
      </w:r>
      <w:r w:rsidR="00756168" w:rsidRPr="002671C9">
        <w:rPr>
          <w:spacing w:val="-4"/>
        </w:rPr>
        <w:t xml:space="preserve"> period</w:t>
      </w:r>
      <w:r w:rsidR="007C0AB8" w:rsidRPr="002671C9">
        <w:rPr>
          <w:spacing w:val="-4"/>
        </w:rPr>
        <w:t xml:space="preserve"> (</w:t>
      </w:r>
      <w:r w:rsidR="008838F4" w:rsidRPr="002671C9">
        <w:rPr>
          <w:spacing w:val="-4"/>
        </w:rPr>
        <w:t>where 10</w:t>
      </w:r>
      <w:r w:rsidR="00C745C3" w:rsidRPr="002671C9">
        <w:rPr>
          <w:spacing w:val="-4"/>
        </w:rPr>
        <w:t>-</w:t>
      </w:r>
      <w:r w:rsidR="008838F4" w:rsidRPr="002671C9">
        <w:rPr>
          <w:spacing w:val="-4"/>
        </w:rPr>
        <w:t>year estimate is available)</w:t>
      </w:r>
      <w:r w:rsidR="0083554B" w:rsidRPr="002671C9">
        <w:rPr>
          <w:spacing w:val="-4"/>
        </w:rPr>
        <w:t>.</w:t>
      </w:r>
      <w:r w:rsidR="004A24E6" w:rsidRPr="002671C9">
        <w:rPr>
          <w:spacing w:val="-4"/>
        </w:rPr>
        <w:t xml:space="preserve"> </w:t>
      </w:r>
      <w:r w:rsidR="004A24E6" w:rsidRPr="002671C9">
        <w:rPr>
          <w:b/>
          <w:bCs/>
          <w:spacing w:val="-4"/>
        </w:rPr>
        <w:t xml:space="preserve">c. </w:t>
      </w:r>
      <w:r w:rsidR="004A24E6" w:rsidRPr="002671C9">
        <w:rPr>
          <w:spacing w:val="-4"/>
        </w:rPr>
        <w:t xml:space="preserve">Made-in-Canada plan refers to </w:t>
      </w:r>
      <w:r w:rsidR="00A25F9F" w:rsidRPr="002671C9">
        <w:rPr>
          <w:spacing w:val="-4"/>
        </w:rPr>
        <w:t>the</w:t>
      </w:r>
      <w:r w:rsidR="004E1364" w:rsidRPr="002671C9">
        <w:rPr>
          <w:spacing w:val="-4"/>
        </w:rPr>
        <w:t xml:space="preserve"> industry policy measures announced under this heading in Canada’s 2023 budget; and subsequent expansions in the 2024 budget.</w:t>
      </w:r>
      <w:r w:rsidR="00D62D8E" w:rsidRPr="002671C9">
        <w:rPr>
          <w:spacing w:val="-4"/>
        </w:rPr>
        <w:t xml:space="preserve"> </w:t>
      </w:r>
      <w:r w:rsidR="00D62D8E" w:rsidRPr="002671C9">
        <w:rPr>
          <w:b/>
          <w:bCs/>
          <w:spacing w:val="-4"/>
        </w:rPr>
        <w:t>d.</w:t>
      </w:r>
      <w:r w:rsidR="002671C9">
        <w:rPr>
          <w:spacing w:val="-4"/>
        </w:rPr>
        <w:t> </w:t>
      </w:r>
      <w:r w:rsidR="00D62D8E" w:rsidRPr="002671C9">
        <w:rPr>
          <w:spacing w:val="-4"/>
        </w:rPr>
        <w:t>US announced spending does not reflect repeals in 2025, see sources for more information.</w:t>
      </w:r>
    </w:p>
    <w:p w14:paraId="1456D844" w14:textId="2B865E7C" w:rsidR="00A972CD" w:rsidRPr="000907B8" w:rsidRDefault="00A972CD" w:rsidP="00FE58E9">
      <w:pPr>
        <w:pStyle w:val="Source"/>
      </w:pPr>
      <w:r w:rsidRPr="000907B8">
        <w:t xml:space="preserve">Source: US IRA estimates are an average of </w:t>
      </w:r>
      <w:r w:rsidR="000B0FFE" w:rsidRPr="000907B8">
        <w:t>multiple sources</w:t>
      </w:r>
      <w:r w:rsidRPr="000907B8">
        <w:t xml:space="preserve"> </w:t>
      </w:r>
      <w:r w:rsidR="00A268F9" w:rsidRPr="00A268F9">
        <w:t>(Bistline et al. 2023; Cato Institute 2025; CFRB 2024; Goldman Sachs 2023; Tax Foundation 2024; US Treasury 2025)</w:t>
      </w:r>
      <w:r w:rsidRPr="000907B8">
        <w:t xml:space="preserve">. CHIPS and Science act estimates as per (Cooper 2022; Library of Congress 2023; McKinsey 2022). EU spending estimates based on D’Alfonso (2021) and European Commission (nd). Made in Canada plan estimates </w:t>
      </w:r>
      <w:r w:rsidR="0011223B">
        <w:t>estimated from budget documents</w:t>
      </w:r>
      <w:r w:rsidRPr="000907B8">
        <w:t xml:space="preserve"> </w:t>
      </w:r>
      <w:r w:rsidR="00A268F9" w:rsidRPr="00A268F9">
        <w:t>(DoFC 2023, 2024; Giswold 2023)</w:t>
      </w:r>
      <w:r w:rsidRPr="000907B8">
        <w:t xml:space="preserve">. </w:t>
      </w:r>
      <w:r w:rsidR="00FB10AE" w:rsidRPr="000907B8">
        <w:t xml:space="preserve">Local currency </w:t>
      </w:r>
      <w:r w:rsidRPr="000907B8">
        <w:t xml:space="preserve">GDP </w:t>
      </w:r>
      <w:r w:rsidRPr="00FE58E9">
        <w:t>estimates</w:t>
      </w:r>
      <w:r w:rsidRPr="000907B8">
        <w:t xml:space="preserve"> </w:t>
      </w:r>
      <w:r w:rsidR="00FB10AE" w:rsidRPr="000907B8">
        <w:t xml:space="preserve">are from </w:t>
      </w:r>
      <w:r w:rsidRPr="000907B8">
        <w:t xml:space="preserve">World </w:t>
      </w:r>
      <w:r w:rsidRPr="006E1EE7">
        <w:t xml:space="preserve">Bank </w:t>
      </w:r>
      <w:r w:rsidR="00410539" w:rsidRPr="00410539">
        <w:t>(2025)</w:t>
      </w:r>
      <w:r w:rsidRPr="000907B8">
        <w:t xml:space="preserve"> and ABS (2025b).</w:t>
      </w:r>
    </w:p>
    <w:p w14:paraId="62B37401" w14:textId="6FA63DBF" w:rsidR="00503B34" w:rsidRDefault="00A972CD" w:rsidP="001C79A3">
      <w:pPr>
        <w:pStyle w:val="BodyText"/>
      </w:pPr>
      <w:r>
        <w:lastRenderedPageBreak/>
        <w:t>FMIA’s</w:t>
      </w:r>
      <w:r w:rsidRPr="00876CD9">
        <w:t xml:space="preserve"> relatively small size may be due to the restraint imposed by the NI</w:t>
      </w:r>
      <w:r>
        <w:t>F</w:t>
      </w:r>
      <w:r w:rsidRPr="00876CD9">
        <w:t xml:space="preserve">. For instance, </w:t>
      </w:r>
      <w:r>
        <w:t>the NIF</w:t>
      </w:r>
      <w:r w:rsidRPr="00876CD9">
        <w:t xml:space="preserve"> Supporting Paper argued that </w:t>
      </w:r>
      <w:r w:rsidR="00503B34" w:rsidRPr="00876CD9">
        <w:t xml:space="preserve">supply chain resilience concerns </w:t>
      </w:r>
      <w:r w:rsidR="00503B34">
        <w:t>for</w:t>
      </w:r>
      <w:r w:rsidRPr="00876CD9">
        <w:t xml:space="preserve"> solar panel and battery manufacturing might be best managed through the development and maintenance of close trading relationships with the growing number of countries that are currently building their own domestic battery and solar manufacturing capacity </w:t>
      </w:r>
      <w:r w:rsidR="0028392B" w:rsidRPr="0028392B">
        <w:rPr>
          <w:rFonts w:ascii="Arial" w:hAnsi="Arial" w:cs="Arial"/>
        </w:rPr>
        <w:t>(Australian Government 2024a, pp. 28–29)</w:t>
      </w:r>
      <w:r w:rsidR="00503B34" w:rsidRPr="00876CD9">
        <w:t>.</w:t>
      </w:r>
      <w:r>
        <w:t xml:space="preserve"> This may have contributed to Australia committing relatively little investment in downstream battery manufacturing compared to Canada, the EU and USA.</w:t>
      </w:r>
      <w:r w:rsidRPr="00876CD9">
        <w:t xml:space="preserve"> Instead, funding </w:t>
      </w:r>
      <w:r>
        <w:t>has focused on critical minerals processing which supports these sectors upstream</w:t>
      </w:r>
      <w:r w:rsidRPr="00876CD9">
        <w:t>.</w:t>
      </w:r>
      <w:r w:rsidR="00503B34" w:rsidRPr="00876CD9">
        <w:t xml:space="preserve"> </w:t>
      </w:r>
    </w:p>
    <w:p w14:paraId="19763943" w14:textId="0ADFDFBF" w:rsidR="00503B34" w:rsidRPr="00997F1A" w:rsidRDefault="00503B34" w:rsidP="00750C19">
      <w:pPr>
        <w:pStyle w:val="Heading3"/>
      </w:pPr>
      <w:r>
        <w:t xml:space="preserve">Most announced </w:t>
      </w:r>
      <w:r w:rsidR="004239CB">
        <w:t>FMIA support is for</w:t>
      </w:r>
      <w:r>
        <w:t xml:space="preserve"> the critical minerals</w:t>
      </w:r>
      <w:r w:rsidR="004239CB">
        <w:t xml:space="preserve">, </w:t>
      </w:r>
      <w:r>
        <w:t xml:space="preserve">hydrogen </w:t>
      </w:r>
      <w:r w:rsidR="004239CB">
        <w:t xml:space="preserve">and green metals </w:t>
      </w:r>
      <w:r>
        <w:t>sectors</w:t>
      </w:r>
    </w:p>
    <w:p w14:paraId="677F6C38" w14:textId="601BA034" w:rsidR="00503B34" w:rsidRDefault="00503B34" w:rsidP="001C79A3">
      <w:pPr>
        <w:pStyle w:val="BodyText"/>
      </w:pPr>
      <w:r>
        <w:t>Most FMIA spending</w:t>
      </w:r>
      <w:r w:rsidDel="00306B4E">
        <w:t xml:space="preserve"> </w:t>
      </w:r>
      <w:r>
        <w:t xml:space="preserve">will come through the planned production tax incentives directed at the critical minerals, green hydrogen and eventually </w:t>
      </w:r>
      <w:r w:rsidR="00975D7C">
        <w:t>(pending legislation)</w:t>
      </w:r>
      <w:r>
        <w:t xml:space="preserve"> green </w:t>
      </w:r>
      <w:r w:rsidR="004239CB">
        <w:t>aluminium</w:t>
      </w:r>
      <w:r>
        <w:t>. Of the at least ~$26 billion in announced on</w:t>
      </w:r>
      <w:r w:rsidR="00200862">
        <w:noBreakHyphen/>
      </w:r>
      <w:r>
        <w:t xml:space="preserve">budget FMIA spending, about 60% comes through these production tax incentives. Given the production tax incentives are both </w:t>
      </w:r>
      <w:r w:rsidDel="00363F16">
        <w:t>demand</w:t>
      </w:r>
      <w:r w:rsidR="00200862">
        <w:noBreakHyphen/>
      </w:r>
      <w:r>
        <w:t xml:space="preserve">driven and uncapped, actual spending could be significantly higher or lower than this estimate. </w:t>
      </w:r>
    </w:p>
    <w:p w14:paraId="1E6798FB" w14:textId="77777777" w:rsidR="00503B34" w:rsidRPr="00FE58E9" w:rsidRDefault="00503B34" w:rsidP="001C79A3">
      <w:pPr>
        <w:pStyle w:val="BodyText"/>
        <w:rPr>
          <w:spacing w:val="-4"/>
        </w:rPr>
      </w:pPr>
      <w:r w:rsidRPr="00FE58E9">
        <w:rPr>
          <w:spacing w:val="-4"/>
        </w:rPr>
        <w:t>Through these tax credits, FMIA spending is backloaded towards the end of the forward estimates. Only approximately $4 billion will be spent before the first production tax incentives commence in 2027</w:t>
      </w:r>
      <w:r w:rsidR="00200862" w:rsidRPr="00FE58E9">
        <w:rPr>
          <w:spacing w:val="-4"/>
        </w:rPr>
        <w:noBreakHyphen/>
      </w:r>
      <w:r w:rsidRPr="00FE58E9">
        <w:rPr>
          <w:spacing w:val="-4"/>
        </w:rPr>
        <w:t xml:space="preserve">28. </w:t>
      </w:r>
      <w:r w:rsidR="00791979" w:rsidRPr="00FE58E9">
        <w:rPr>
          <w:spacing w:val="-4"/>
        </w:rPr>
        <w:t>Figure</w:t>
      </w:r>
      <w:r w:rsidR="00FE58E9" w:rsidRPr="00FE58E9">
        <w:rPr>
          <w:spacing w:val="-4"/>
        </w:rPr>
        <w:t> </w:t>
      </w:r>
      <w:r w:rsidR="00791979" w:rsidRPr="00FE58E9">
        <w:rPr>
          <w:noProof/>
          <w:spacing w:val="-4"/>
        </w:rPr>
        <w:t>3</w:t>
      </w:r>
      <w:r w:rsidR="00791979" w:rsidRPr="00FE58E9">
        <w:rPr>
          <w:spacing w:val="-4"/>
        </w:rPr>
        <w:t>.</w:t>
      </w:r>
      <w:r w:rsidR="00791979" w:rsidRPr="00FE58E9">
        <w:rPr>
          <w:noProof/>
          <w:spacing w:val="-4"/>
        </w:rPr>
        <w:t>1</w:t>
      </w:r>
      <w:r w:rsidRPr="00FE58E9">
        <w:rPr>
          <w:spacing w:val="-4"/>
        </w:rPr>
        <w:t xml:space="preserve"> shows the first few years of FMIA spending broken down by sector. Once the production incentives begin operation, FMIA related spending will rise significantly in the green hydrogen and critical minerals sectors. </w:t>
      </w:r>
      <w:r w:rsidR="00000C32" w:rsidRPr="00FE58E9">
        <w:rPr>
          <w:spacing w:val="-4"/>
        </w:rPr>
        <w:t xml:space="preserve">If legislated the </w:t>
      </w:r>
      <w:r w:rsidRPr="00FE58E9">
        <w:rPr>
          <w:spacing w:val="-4"/>
        </w:rPr>
        <w:t xml:space="preserve">green </w:t>
      </w:r>
      <w:r w:rsidR="00000C32" w:rsidRPr="00FE58E9">
        <w:rPr>
          <w:spacing w:val="-4"/>
        </w:rPr>
        <w:t>aluminium tax credits</w:t>
      </w:r>
      <w:r w:rsidRPr="00FE58E9">
        <w:rPr>
          <w:spacing w:val="-4"/>
        </w:rPr>
        <w:t xml:space="preserve"> will begin operation in 2028</w:t>
      </w:r>
      <w:r w:rsidR="00200862" w:rsidRPr="00FE58E9">
        <w:rPr>
          <w:spacing w:val="-4"/>
        </w:rPr>
        <w:noBreakHyphen/>
      </w:r>
      <w:r w:rsidRPr="00FE58E9">
        <w:rPr>
          <w:spacing w:val="-4"/>
        </w:rPr>
        <w:t xml:space="preserve">29 and will </w:t>
      </w:r>
      <w:r w:rsidR="00000C32" w:rsidRPr="00FE58E9">
        <w:rPr>
          <w:spacing w:val="-4"/>
        </w:rPr>
        <w:t xml:space="preserve">spending will </w:t>
      </w:r>
      <w:r w:rsidRPr="00FE58E9">
        <w:rPr>
          <w:spacing w:val="-4"/>
        </w:rPr>
        <w:t xml:space="preserve">likely </w:t>
      </w:r>
      <w:r w:rsidRPr="00FE58E9" w:rsidDel="00AC44A3">
        <w:rPr>
          <w:spacing w:val="-4"/>
        </w:rPr>
        <w:t>increase</w:t>
      </w:r>
      <w:r w:rsidRPr="00FE58E9">
        <w:rPr>
          <w:spacing w:val="-4"/>
        </w:rPr>
        <w:t xml:space="preserve"> further in 2029</w:t>
      </w:r>
      <w:r w:rsidR="00200862" w:rsidRPr="00FE58E9">
        <w:rPr>
          <w:spacing w:val="-4"/>
        </w:rPr>
        <w:noBreakHyphen/>
      </w:r>
      <w:r w:rsidRPr="00FE58E9">
        <w:rPr>
          <w:spacing w:val="-4"/>
        </w:rPr>
        <w:t>30 as the tax incentives mature. Prior to 2027</w:t>
      </w:r>
      <w:r w:rsidR="00200862" w:rsidRPr="00FE58E9">
        <w:rPr>
          <w:spacing w:val="-4"/>
        </w:rPr>
        <w:noBreakHyphen/>
      </w:r>
      <w:r w:rsidRPr="00FE58E9">
        <w:rPr>
          <w:spacing w:val="-4"/>
        </w:rPr>
        <w:t xml:space="preserve">28, most FMIA budgetary assistance will consist of funding </w:t>
      </w:r>
      <w:r w:rsidR="001001DE" w:rsidRPr="00FE58E9">
        <w:rPr>
          <w:spacing w:val="-4"/>
        </w:rPr>
        <w:t>for</w:t>
      </w:r>
      <w:r w:rsidRPr="00FE58E9">
        <w:rPr>
          <w:spacing w:val="-4"/>
        </w:rPr>
        <w:t xml:space="preserve"> the Australian Renewable Energy Agency’s grant programs for clean energy technologies (batteries, low carbon liquid fuels, and solar panels) and hydrogen, alongside spending on supporting measures. </w:t>
      </w:r>
    </w:p>
    <w:p w14:paraId="39652FD7" w14:textId="475C3314" w:rsidR="00503B34" w:rsidRPr="006E0D07" w:rsidRDefault="00503B34" w:rsidP="006E0D07">
      <w:pPr>
        <w:pStyle w:val="FigureTableHeading"/>
        <w:rPr>
          <w:spacing w:val="-4"/>
        </w:rPr>
      </w:pPr>
      <w:bookmarkStart w:id="49" w:name="_Ref197673856"/>
      <w:r w:rsidRPr="006E0D07">
        <w:rPr>
          <w:spacing w:val="-4"/>
        </w:rPr>
        <w:t xml:space="preserve">Figure </w:t>
      </w:r>
      <w:r w:rsidR="005642CB" w:rsidRPr="006E0D07">
        <w:rPr>
          <w:spacing w:val="-4"/>
        </w:rPr>
        <w:fldChar w:fldCharType="begin"/>
      </w:r>
      <w:r w:rsidR="005642CB" w:rsidRPr="006E0D07">
        <w:rPr>
          <w:spacing w:val="-4"/>
        </w:rPr>
        <w:instrText xml:space="preserve"> STYLEREF 1 \s </w:instrText>
      </w:r>
      <w:r w:rsidR="005642CB" w:rsidRPr="006E0D07">
        <w:rPr>
          <w:spacing w:val="-4"/>
        </w:rPr>
        <w:fldChar w:fldCharType="separate"/>
      </w:r>
      <w:r w:rsidR="004A080B">
        <w:rPr>
          <w:noProof/>
          <w:spacing w:val="-4"/>
        </w:rPr>
        <w:t>3</w:t>
      </w:r>
      <w:r w:rsidR="005642CB" w:rsidRPr="006E0D07">
        <w:rPr>
          <w:spacing w:val="-4"/>
        </w:rPr>
        <w:fldChar w:fldCharType="end"/>
      </w:r>
      <w:r w:rsidR="005642CB" w:rsidRPr="006E0D07">
        <w:rPr>
          <w:spacing w:val="-4"/>
        </w:rPr>
        <w:t>.</w:t>
      </w:r>
      <w:r w:rsidR="005642CB" w:rsidRPr="006E0D07">
        <w:rPr>
          <w:spacing w:val="-4"/>
        </w:rPr>
        <w:fldChar w:fldCharType="begin"/>
      </w:r>
      <w:r w:rsidR="005642CB" w:rsidRPr="006E0D07">
        <w:rPr>
          <w:spacing w:val="-4"/>
        </w:rPr>
        <w:instrText xml:space="preserve"> SEQ Figure \* ARABIC \s 1 </w:instrText>
      </w:r>
      <w:r w:rsidR="005642CB" w:rsidRPr="006E0D07">
        <w:rPr>
          <w:spacing w:val="-4"/>
        </w:rPr>
        <w:fldChar w:fldCharType="separate"/>
      </w:r>
      <w:r w:rsidR="004A080B">
        <w:rPr>
          <w:noProof/>
          <w:spacing w:val="-4"/>
        </w:rPr>
        <w:t>1</w:t>
      </w:r>
      <w:r w:rsidR="005642CB" w:rsidRPr="006E0D07">
        <w:rPr>
          <w:spacing w:val="-4"/>
        </w:rPr>
        <w:fldChar w:fldCharType="end"/>
      </w:r>
      <w:bookmarkEnd w:id="49"/>
      <w:r w:rsidR="00FE58E9" w:rsidRPr="006E0D07">
        <w:rPr>
          <w:spacing w:val="-4"/>
        </w:rPr>
        <w:t xml:space="preserve"> –</w:t>
      </w:r>
      <w:r w:rsidRPr="006E0D07">
        <w:rPr>
          <w:spacing w:val="-4"/>
        </w:rPr>
        <w:t xml:space="preserve"> Spending will ramp up from 2027</w:t>
      </w:r>
      <w:r w:rsidR="00200862" w:rsidRPr="006E0D07">
        <w:rPr>
          <w:spacing w:val="-4"/>
        </w:rPr>
        <w:noBreakHyphen/>
      </w:r>
      <w:r w:rsidRPr="006E0D07">
        <w:rPr>
          <w:spacing w:val="-4"/>
        </w:rPr>
        <w:t>28 when tax incentives for processing critical minerals and producing green hydrogen begin and will continue for the next decade</w:t>
      </w:r>
      <w:r w:rsidRPr="006E0D07">
        <w:rPr>
          <w:spacing w:val="-4"/>
          <w:vertAlign w:val="superscript"/>
        </w:rPr>
        <w:t>a,b</w:t>
      </w:r>
    </w:p>
    <w:p w14:paraId="37317272" w14:textId="77777777" w:rsidR="00FE58E9" w:rsidRDefault="00503B34" w:rsidP="001C79A3">
      <w:pPr>
        <w:pStyle w:val="FigureTableSubheading"/>
      </w:pPr>
      <w:r>
        <w:t xml:space="preserve">FMIA budgetary measures in the first </w:t>
      </w:r>
      <w:r w:rsidR="002A3AF8">
        <w:t>few</w:t>
      </w:r>
      <w:r>
        <w:t xml:space="preserve"> years (2023</w:t>
      </w:r>
      <w:r w:rsidR="00200862">
        <w:noBreakHyphen/>
      </w:r>
      <w:r>
        <w:t>24 to 2028</w:t>
      </w:r>
      <w:r w:rsidR="00200862">
        <w:noBreakHyphen/>
      </w:r>
      <w:r>
        <w:t>29), by sector supported</w:t>
      </w:r>
      <w:r w:rsidR="001F1DCA">
        <w:t>,</w:t>
      </w:r>
      <w:r>
        <w:t xml:space="preserve"> $ millions</w:t>
      </w:r>
    </w:p>
    <w:p w14:paraId="79E919DA" w14:textId="275D0910" w:rsidR="00503B34" w:rsidRPr="00FE58E9" w:rsidRDefault="002C592D" w:rsidP="00FE58E9">
      <w:pPr>
        <w:pStyle w:val="BodyText"/>
        <w:spacing w:after="0"/>
        <w:rPr>
          <w:rStyle w:val="BodyTextChar"/>
        </w:rPr>
      </w:pPr>
      <w:r w:rsidRPr="00FE58E9">
        <w:rPr>
          <w:rStyle w:val="BodyTextChar"/>
          <w:noProof/>
        </w:rPr>
        <w:drawing>
          <wp:inline distT="0" distB="0" distL="0" distR="0" wp14:anchorId="2A5CA171" wp14:editId="5BD01462">
            <wp:extent cx="6120130" cy="2743200"/>
            <wp:effectExtent l="0" t="0" r="0" b="0"/>
            <wp:docPr id="174095046" name="Picture 34" descr="The chart displays budgeted spending between 2023-24 and 2028-29 on FMIA related measures. Spending ramps up considerably from 2027-28 when tax credits enter the fray for hydrogen and critical minerals. Before that considerably less spending on each sector occurs. &#10;A large portion of spending is also on supporting measures that are generally not direct industry assistance. Other sectors supported through FMIA measures include green metals, solar panels, batteries, clean energy technologies and low carbon fue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5046" name="Picture 34" descr="The chart displays budgeted spending between 2023-24 and 2028-29 on FMIA related measures. Spending ramps up considerably from 2027-28 when tax credits enter the fray for hydrogen and critical minerals. Before that considerably less spending on each sector occurs. &#10;A large portion of spending is also on supporting measures that are generally not direct industry assistance. Other sectors supported through FMIA measures include green metals, solar panels, batteries, clean energy technologies and low carbon fuels. &#10;"/>
                    <pic:cNvPicPr>
                      <a:picLocks noChangeAspect="1" noChangeArrowheads="1"/>
                    </pic:cNvPicPr>
                  </pic:nvPicPr>
                  <pic:blipFill rotWithShape="1">
                    <a:blip r:embed="rId63">
                      <a:extLst>
                        <a:ext uri="{28A0092B-C50C-407E-A947-70E740481C1C}">
                          <a14:useLocalDpi xmlns:a14="http://schemas.microsoft.com/office/drawing/2010/main" val="0"/>
                        </a:ext>
                      </a:extLst>
                    </a:blip>
                    <a:srcRect b="4446"/>
                    <a:stretch/>
                  </pic:blipFill>
                  <pic:spPr bwMode="auto">
                    <a:xfrm>
                      <a:off x="0" y="0"/>
                      <a:ext cx="612013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7E91BCB9" w14:textId="419BCFC9" w:rsidR="00503B34" w:rsidRPr="00084E5D" w:rsidRDefault="00503B34" w:rsidP="008F72E0">
      <w:pPr>
        <w:pStyle w:val="Note"/>
        <w:rPr>
          <w:i/>
          <w:iCs/>
        </w:rPr>
      </w:pPr>
      <w:r>
        <w:rPr>
          <w:b/>
          <w:bCs/>
        </w:rPr>
        <w:t>a</w:t>
      </w:r>
      <w:r w:rsidR="008F72E0">
        <w:rPr>
          <w:b/>
          <w:bCs/>
        </w:rPr>
        <w:t>.</w:t>
      </w:r>
      <w:r>
        <w:t xml:space="preserve"> Supporting </w:t>
      </w:r>
      <w:r w:rsidR="004A67CC">
        <w:t>measure</w:t>
      </w:r>
      <w:r>
        <w:t xml:space="preserve"> include spending </w:t>
      </w:r>
      <w:r w:rsidR="00BA56D9">
        <w:t>to improve</w:t>
      </w:r>
      <w:r>
        <w:t xml:space="preserve"> workforce skills and training</w:t>
      </w:r>
      <w:r w:rsidR="004F7233">
        <w:t>,</w:t>
      </w:r>
      <w:r>
        <w:t xml:space="preserve"> encourage diversity and streamline regulation impeding FMIA goals. </w:t>
      </w:r>
      <w:r w:rsidR="00493774">
        <w:t>It also includes funding for free-fee TAFE which</w:t>
      </w:r>
      <w:r w:rsidR="00493774" w:rsidRPr="004557F0">
        <w:t xml:space="preserve"> </w:t>
      </w:r>
      <w:r w:rsidR="004557F0" w:rsidRPr="004557F0">
        <w:t>has been</w:t>
      </w:r>
      <w:r w:rsidR="00493774" w:rsidRPr="004557F0">
        <w:t xml:space="preserve"> listed as </w:t>
      </w:r>
      <w:r w:rsidR="004557F0">
        <w:t xml:space="preserve">supporting </w:t>
      </w:r>
      <w:r w:rsidR="00493774" w:rsidRPr="004557F0">
        <w:t>FMIA</w:t>
      </w:r>
      <w:r w:rsidR="008F72E0">
        <w:t xml:space="preserve"> </w:t>
      </w:r>
      <w:r w:rsidR="004557F0" w:rsidRPr="004557F0">
        <w:lastRenderedPageBreak/>
        <w:fldChar w:fldCharType="begin"/>
      </w:r>
      <w:r w:rsidR="004557F0" w:rsidRPr="004557F0">
        <w:instrText xml:space="preserve"> ADDIN ZOTERO_ITEM CSL_CITATION {"citationID":"aqv6no2op7","properties":{"formattedCitation":"\\uldash{(Australian Government\\uc0\\u160{}2025)}","plainCitation":"(Australian Government 2025)","noteIndex":0},"citationItems":[{"id":3589,"uris":["http://zotero.org/groups/5749450/items/5S9VBELM"],"itemData":{"id":3589,"type":"webpage","title":"Future Made in Australia","URL":"https://web.archive.org/web/20250327103814/https://futuremadeinaustralia.gov.au/#views-container","author":[{"literal":"Australian Government"}],"accessed":{"date-parts":[["2025",3,27]]},"issued":{"date-parts":[["2025",3,27]]}}}],"schema":"https://github.com/citation-style-language/schema/raw/master/csl-citation.json"} </w:instrText>
      </w:r>
      <w:r w:rsidR="004557F0" w:rsidRPr="004557F0">
        <w:fldChar w:fldCharType="separate"/>
      </w:r>
      <w:r w:rsidR="004557F0" w:rsidRPr="004557F0">
        <w:rPr>
          <w:rFonts w:ascii="Arial" w:hAnsi="Arial" w:cs="Arial"/>
        </w:rPr>
        <w:t>(Australian Government 2025)</w:t>
      </w:r>
      <w:r w:rsidR="004557F0" w:rsidRPr="004557F0">
        <w:fldChar w:fldCharType="end"/>
      </w:r>
      <w:r w:rsidR="004557F0" w:rsidRPr="004557F0">
        <w:t>.</w:t>
      </w:r>
      <w:r w:rsidRPr="004557F0">
        <w:rPr>
          <w:i/>
          <w:iCs/>
        </w:rPr>
        <w:t xml:space="preserve"> </w:t>
      </w:r>
      <w:r>
        <w:rPr>
          <w:b/>
          <w:bCs/>
        </w:rPr>
        <w:t xml:space="preserve">b. </w:t>
      </w:r>
      <w:r>
        <w:t xml:space="preserve">Spending profile of Australian Renewable Energy </w:t>
      </w:r>
      <w:r w:rsidR="00213DAB">
        <w:t>Agency</w:t>
      </w:r>
      <w:r>
        <w:t xml:space="preserve"> is estimated based on the proportion of funding announced by sector. It is an approximation for illustrative purposes only. </w:t>
      </w:r>
    </w:p>
    <w:p w14:paraId="38020137" w14:textId="786B33EE" w:rsidR="00503B34" w:rsidRDefault="00503B34" w:rsidP="001C79A3">
      <w:pPr>
        <w:pStyle w:val="Source"/>
        <w:spacing w:after="120"/>
      </w:pPr>
      <w:r w:rsidRPr="005566D1">
        <w:t xml:space="preserve">Source: </w:t>
      </w:r>
      <w:r>
        <w:t xml:space="preserve">PC estimates based on measures listed on </w:t>
      </w:r>
      <w:r w:rsidRPr="00824EB4">
        <w:rPr>
          <w:szCs w:val="18"/>
        </w:rPr>
        <w:t xml:space="preserve">FMIA website or explicitly identified as FMIA elsewhere </w:t>
      </w:r>
      <w:r w:rsidRPr="005C00D1">
        <w:rPr>
          <w:rFonts w:ascii="Arial" w:hAnsi="Arial" w:cs="Arial"/>
        </w:rPr>
        <w:t>(Australian Government 2025b; The Commonwealth of Australia 2024b)</w:t>
      </w:r>
      <w:r w:rsidRPr="00824EB4">
        <w:rPr>
          <w:szCs w:val="18"/>
        </w:rPr>
        <w:t>.</w:t>
      </w:r>
      <w:r>
        <w:t xml:space="preserve"> Funding estimates taken from 2025</w:t>
      </w:r>
      <w:r w:rsidR="00200862">
        <w:noBreakHyphen/>
      </w:r>
      <w:r>
        <w:t>26 portfolio budget statements where available, else, they are taken from the 2024</w:t>
      </w:r>
      <w:r w:rsidR="00200862">
        <w:noBreakHyphen/>
      </w:r>
      <w:r>
        <w:t xml:space="preserve">25 budget announcements. </w:t>
      </w:r>
    </w:p>
    <w:p w14:paraId="59052EAA" w14:textId="77777777" w:rsidR="00CD79D4" w:rsidRDefault="00CD79D4" w:rsidP="00CD79D4">
      <w:pPr>
        <w:pStyle w:val="BodyText"/>
      </w:pPr>
      <w:r>
        <w:t xml:space="preserve">Monitoring these policies over time can help reveal the extent to which they are correctly pricing the social cost of carbon and helping Australia’s transition to a net zero economy. The TAR will monitor these measures while shedding light on the profile of future spending and how they are helping Australia’s net zero transition where relevant. </w:t>
      </w:r>
    </w:p>
    <w:p w14:paraId="3FF56622" w14:textId="7BA302F6" w:rsidR="00503B34" w:rsidRPr="00A03DF1" w:rsidRDefault="00503B34" w:rsidP="001C79A3">
      <w:pPr>
        <w:pStyle w:val="BodyText"/>
      </w:pPr>
      <w:r w:rsidRPr="00A03DF1">
        <w:t xml:space="preserve">Not all FMIA </w:t>
      </w:r>
      <w:r>
        <w:t>budget measures</w:t>
      </w:r>
      <w:r w:rsidRPr="00A03DF1">
        <w:t xml:space="preserve"> </w:t>
      </w:r>
      <w:r>
        <w:t xml:space="preserve">fall </w:t>
      </w:r>
      <w:r w:rsidRPr="00A03DF1">
        <w:t xml:space="preserve">into the TAR’s remit of selective industry assistance. For instance, FMIA includes many supporting measures and schemes such as: </w:t>
      </w:r>
    </w:p>
    <w:p w14:paraId="445C074F" w14:textId="77777777" w:rsidR="00503B34" w:rsidRPr="00A03DF1" w:rsidRDefault="00503B34" w:rsidP="00F33EF0">
      <w:pPr>
        <w:pStyle w:val="ListBullet"/>
      </w:pPr>
      <w:r w:rsidRPr="00A03DF1">
        <w:t xml:space="preserve">the guarantee of origin scheme, legislated under </w:t>
      </w:r>
      <w:r w:rsidRPr="00A03DF1">
        <w:rPr>
          <w:i/>
          <w:iCs/>
        </w:rPr>
        <w:t xml:space="preserve">Future Made in Australia (Guarantee of Origin Charges) Act 2024 </w:t>
      </w:r>
      <w:r w:rsidRPr="00A31FBF">
        <w:t>(Cth)</w:t>
      </w:r>
      <w:r w:rsidRPr="00A03DF1">
        <w:t xml:space="preserve"> which creates an emissions accounting framework to support FMIA’s net zero stream</w:t>
      </w:r>
    </w:p>
    <w:p w14:paraId="19913D30" w14:textId="516D7DB3" w:rsidR="00503B34" w:rsidRPr="00A03DF1" w:rsidRDefault="00503B34" w:rsidP="00F33EF0">
      <w:pPr>
        <w:pStyle w:val="ListBullet"/>
      </w:pPr>
      <w:r w:rsidRPr="00A03DF1">
        <w:t>funding to encourage diversity in scientific fields related to FMIA goals</w:t>
      </w:r>
    </w:p>
    <w:p w14:paraId="73E52BF5" w14:textId="0312657A" w:rsidR="00503B34" w:rsidRPr="00A03DF1" w:rsidRDefault="00503B34" w:rsidP="00F33EF0">
      <w:pPr>
        <w:pStyle w:val="ListBullet"/>
      </w:pPr>
      <w:r w:rsidRPr="00A03DF1">
        <w:t>funding on workforce skills and training.</w:t>
      </w:r>
    </w:p>
    <w:p w14:paraId="39D447D2" w14:textId="461FA503" w:rsidR="00503B34" w:rsidRDefault="00503B34" w:rsidP="001C79A3">
      <w:pPr>
        <w:pStyle w:val="BodyText"/>
      </w:pPr>
      <w:r w:rsidRPr="00A03DF1">
        <w:t xml:space="preserve">All these measures are outside the TAR’s scope and will not be </w:t>
      </w:r>
      <w:r>
        <w:t xml:space="preserve">regularly </w:t>
      </w:r>
      <w:r w:rsidRPr="00A03DF1">
        <w:t>monitored through the estimates in chapter </w:t>
      </w:r>
      <w:r w:rsidR="00A0408E">
        <w:t>4</w:t>
      </w:r>
      <w:r w:rsidRPr="00A03DF1">
        <w:t>. See the TAR methodological annex for further information.</w:t>
      </w:r>
    </w:p>
    <w:p w14:paraId="1FD419D5" w14:textId="5075C9F4" w:rsidR="00503B34" w:rsidRDefault="00503B34" w:rsidP="00750C19">
      <w:pPr>
        <w:pStyle w:val="Heading3"/>
      </w:pPr>
      <w:r>
        <w:t>A lot of spending is set to be administered through off</w:t>
      </w:r>
      <w:r w:rsidR="00200862">
        <w:noBreakHyphen/>
      </w:r>
      <w:r>
        <w:t>budget concessional finance</w:t>
      </w:r>
    </w:p>
    <w:p w14:paraId="26EFD25A" w14:textId="2BB691C0" w:rsidR="00503B34" w:rsidRDefault="00503B34" w:rsidP="001C79A3">
      <w:pPr>
        <w:pStyle w:val="BodyText"/>
      </w:pPr>
      <w:r>
        <w:t>Off</w:t>
      </w:r>
      <w:r w:rsidR="00200862">
        <w:noBreakHyphen/>
      </w:r>
      <w:r>
        <w:t>budget spending through concessional finance is integral to the delivery of FMIA. Assistance provided by c</w:t>
      </w:r>
      <w:r w:rsidRPr="00441849">
        <w:t xml:space="preserve">oncessional finance </w:t>
      </w:r>
      <w:r>
        <w:t xml:space="preserve">can be </w:t>
      </w:r>
      <w:r w:rsidRPr="00441849">
        <w:t>less transparent than budgetary assistance. While budgetary assistance involves central reporting of itemised cash flows, concessional finance involves delegated decision making by entities with separate, less granular, corporate reporting.</w:t>
      </w:r>
      <w:r>
        <w:t xml:space="preserve"> </w:t>
      </w:r>
      <w:r w:rsidRPr="00441849">
        <w:t xml:space="preserve">As these loans </w:t>
      </w:r>
      <w:r>
        <w:t xml:space="preserve">are </w:t>
      </w:r>
      <w:r w:rsidR="006223BF">
        <w:t>disbursed</w:t>
      </w:r>
      <w:r w:rsidRPr="00441849">
        <w:t>, they will gradually enter the TAR estimates</w:t>
      </w:r>
      <w:r>
        <w:t>, which rely on aggregate figures</w:t>
      </w:r>
      <w:r w:rsidRPr="00441849">
        <w:t xml:space="preserve"> (</w:t>
      </w:r>
      <w:r>
        <w:t xml:space="preserve">chapter </w:t>
      </w:r>
      <w:r w:rsidR="00A0408E">
        <w:t>4</w:t>
      </w:r>
      <w:r w:rsidRPr="00441849">
        <w:t>.</w:t>
      </w:r>
      <w:r w:rsidR="00594578">
        <w:t>2</w:t>
      </w:r>
      <w:r w:rsidRPr="00441849">
        <w:t>).</w:t>
      </w:r>
      <w:r>
        <w:t xml:space="preserve"> </w:t>
      </w:r>
    </w:p>
    <w:p w14:paraId="59659598" w14:textId="36222756" w:rsidR="00503B34" w:rsidRDefault="00EE421E" w:rsidP="001C79A3">
      <w:pPr>
        <w:pStyle w:val="BodyText"/>
      </w:pPr>
      <w:r>
        <w:t xml:space="preserve">Table </w:t>
      </w:r>
      <w:r w:rsidR="00716120">
        <w:t>3</w:t>
      </w:r>
      <w:r>
        <w:t xml:space="preserve">.2 </w:t>
      </w:r>
      <w:r w:rsidR="00503B34">
        <w:t xml:space="preserve">highlights some of the key announcements. The largest fund by size is the critical minerals facility under the National Interest Account which has made investments in critical minerals refining. </w:t>
      </w:r>
    </w:p>
    <w:p w14:paraId="2928CC53" w14:textId="2C6AD65E" w:rsidR="00503B34" w:rsidRDefault="00503B34" w:rsidP="006E0D07">
      <w:pPr>
        <w:pStyle w:val="FigureTableHeading"/>
      </w:pPr>
      <w:r>
        <w:t xml:space="preserve">Table </w:t>
      </w:r>
      <w:r w:rsidR="00665312">
        <w:fldChar w:fldCharType="begin"/>
      </w:r>
      <w:r w:rsidR="00665312">
        <w:instrText xml:space="preserve"> STYLEREF 1 \s </w:instrText>
      </w:r>
      <w:r w:rsidR="00665312">
        <w:fldChar w:fldCharType="separate"/>
      </w:r>
      <w:r w:rsidR="004A080B">
        <w:rPr>
          <w:noProof/>
        </w:rPr>
        <w:t>3</w:t>
      </w:r>
      <w:r w:rsidR="00665312">
        <w:fldChar w:fldCharType="end"/>
      </w:r>
      <w:r w:rsidR="00665312">
        <w:t>.</w:t>
      </w:r>
      <w:r w:rsidR="00665312">
        <w:fldChar w:fldCharType="begin"/>
      </w:r>
      <w:r w:rsidR="00665312">
        <w:instrText xml:space="preserve"> SEQ Table \* ARABIC \s 1 </w:instrText>
      </w:r>
      <w:r w:rsidR="00665312">
        <w:fldChar w:fldCharType="separate"/>
      </w:r>
      <w:r w:rsidR="004A080B">
        <w:rPr>
          <w:noProof/>
        </w:rPr>
        <w:t>2</w:t>
      </w:r>
      <w:r w:rsidR="00665312">
        <w:fldChar w:fldCharType="end"/>
      </w:r>
      <w:r w:rsidR="006E0D07">
        <w:t xml:space="preserve"> –</w:t>
      </w:r>
      <w:r>
        <w:t xml:space="preserve"> Off</w:t>
      </w:r>
      <w:r w:rsidR="00200862">
        <w:noBreakHyphen/>
      </w:r>
      <w:r>
        <w:t>budget funding will play a significant role in implementing FMIA</w:t>
      </w:r>
      <w:r w:rsidRPr="00066CF5">
        <w:rPr>
          <w:vertAlign w:val="superscript"/>
        </w:rPr>
        <w:t>a</w:t>
      </w:r>
      <w:r>
        <w:t xml:space="preserve"> </w:t>
      </w:r>
    </w:p>
    <w:p w14:paraId="1D335968" w14:textId="447BC223" w:rsidR="00503B34" w:rsidRPr="001A0F35" w:rsidRDefault="00503B34" w:rsidP="001C79A3">
      <w:pPr>
        <w:pStyle w:val="FigureTableSubheading"/>
      </w:pPr>
      <w:r>
        <w:t xml:space="preserve">Concessional finance funds announced </w:t>
      </w:r>
      <w:r w:rsidR="00DE562E">
        <w:t>linked to</w:t>
      </w:r>
      <w:r>
        <w:t xml:space="preserve"> FMIA</w:t>
      </w:r>
    </w:p>
    <w:tbl>
      <w:tblPr>
        <w:tblStyle w:val="TableGrid"/>
        <w:tblW w:w="5000" w:type="pct"/>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86"/>
        <w:gridCol w:w="2446"/>
        <w:gridCol w:w="2178"/>
        <w:gridCol w:w="3628"/>
      </w:tblGrid>
      <w:tr w:rsidR="00503B34" w:rsidRPr="003D71C0" w14:paraId="726000DE" w14:textId="77777777" w:rsidTr="00FE58E9">
        <w:trPr>
          <w:tblHeader/>
        </w:trPr>
        <w:tc>
          <w:tcPr>
            <w:tcW w:w="719" w:type="pct"/>
            <w:tcBorders>
              <w:bottom w:val="single" w:sz="4" w:space="0" w:color="B3B3B3"/>
            </w:tcBorders>
            <w:shd w:val="clear" w:color="000000" w:fill="auto"/>
            <w:vAlign w:val="bottom"/>
          </w:tcPr>
          <w:p w14:paraId="55F9A8AC" w14:textId="77777777" w:rsidR="00503B34" w:rsidRPr="003D71C0" w:rsidRDefault="00503B34" w:rsidP="001C79A3">
            <w:pPr>
              <w:pStyle w:val="TableHeading"/>
            </w:pPr>
            <w:r w:rsidRPr="003D71C0">
              <w:t>Program / Initiative</w:t>
            </w:r>
          </w:p>
        </w:tc>
        <w:tc>
          <w:tcPr>
            <w:tcW w:w="1269" w:type="pct"/>
            <w:tcBorders>
              <w:bottom w:val="single" w:sz="4" w:space="0" w:color="B3B3B3"/>
            </w:tcBorders>
            <w:shd w:val="clear" w:color="000000" w:fill="auto"/>
            <w:vAlign w:val="bottom"/>
          </w:tcPr>
          <w:p w14:paraId="65C8A9AC" w14:textId="77777777" w:rsidR="00503B34" w:rsidRPr="003D71C0" w:rsidRDefault="00503B34" w:rsidP="001C79A3">
            <w:pPr>
              <w:pStyle w:val="TableHeading"/>
            </w:pPr>
            <w:r w:rsidRPr="003D71C0">
              <w:t>Entity</w:t>
            </w:r>
          </w:p>
        </w:tc>
        <w:tc>
          <w:tcPr>
            <w:tcW w:w="1130" w:type="pct"/>
            <w:tcBorders>
              <w:bottom w:val="single" w:sz="4" w:space="0" w:color="B3B3B3"/>
            </w:tcBorders>
            <w:shd w:val="clear" w:color="000000" w:fill="auto"/>
            <w:vAlign w:val="bottom"/>
          </w:tcPr>
          <w:p w14:paraId="5E22077F" w14:textId="77777777" w:rsidR="00503B34" w:rsidRPr="003D71C0" w:rsidRDefault="00503B34" w:rsidP="001C79A3">
            <w:pPr>
              <w:pStyle w:val="TableHeading"/>
            </w:pPr>
            <w:r w:rsidRPr="003D71C0">
              <w:t>Amount</w:t>
            </w:r>
          </w:p>
        </w:tc>
        <w:tc>
          <w:tcPr>
            <w:tcW w:w="1882" w:type="pct"/>
            <w:tcBorders>
              <w:bottom w:val="single" w:sz="4" w:space="0" w:color="B3B3B3"/>
            </w:tcBorders>
            <w:shd w:val="clear" w:color="000000" w:fill="auto"/>
            <w:vAlign w:val="bottom"/>
          </w:tcPr>
          <w:p w14:paraId="5A866F13" w14:textId="77777777" w:rsidR="00503B34" w:rsidRPr="003D71C0" w:rsidRDefault="00503B34" w:rsidP="001C79A3">
            <w:pPr>
              <w:pStyle w:val="TableHeading"/>
            </w:pPr>
            <w:r w:rsidRPr="003D71C0">
              <w:t>Details</w:t>
            </w:r>
            <w:r>
              <w:t xml:space="preserve"> and examples</w:t>
            </w:r>
          </w:p>
        </w:tc>
      </w:tr>
      <w:tr w:rsidR="00503B34" w:rsidRPr="003D71C0" w14:paraId="0AF22131" w14:textId="77777777" w:rsidTr="00FE58E9">
        <w:tc>
          <w:tcPr>
            <w:tcW w:w="719" w:type="pct"/>
            <w:tcBorders>
              <w:top w:val="single" w:sz="4" w:space="0" w:color="B3B3B3"/>
              <w:bottom w:val="nil"/>
            </w:tcBorders>
            <w:shd w:val="clear" w:color="000000" w:fill="F2F2F2"/>
          </w:tcPr>
          <w:p w14:paraId="680E4419" w14:textId="77777777" w:rsidR="00503B34" w:rsidRPr="003D71C0" w:rsidRDefault="00503B34" w:rsidP="001C79A3">
            <w:pPr>
              <w:pStyle w:val="TableHeading"/>
            </w:pPr>
            <w:r w:rsidRPr="003D71C0">
              <w:t xml:space="preserve">Economic </w:t>
            </w:r>
            <w:r>
              <w:t>r</w:t>
            </w:r>
            <w:r w:rsidRPr="003D71C0">
              <w:t xml:space="preserve">esilience </w:t>
            </w:r>
            <w:r>
              <w:t>p</w:t>
            </w:r>
            <w:r w:rsidRPr="003D71C0">
              <w:t xml:space="preserve">rogram </w:t>
            </w:r>
          </w:p>
        </w:tc>
        <w:tc>
          <w:tcPr>
            <w:tcW w:w="1269" w:type="pct"/>
            <w:tcBorders>
              <w:top w:val="single" w:sz="4" w:space="0" w:color="B3B3B3"/>
              <w:bottom w:val="nil"/>
            </w:tcBorders>
            <w:shd w:val="clear" w:color="000000" w:fill="F2F2F2"/>
          </w:tcPr>
          <w:p w14:paraId="0657723D" w14:textId="77777777" w:rsidR="00503B34" w:rsidRPr="003D71C0" w:rsidRDefault="00503B34" w:rsidP="001C79A3">
            <w:pPr>
              <w:pStyle w:val="TableBody"/>
            </w:pPr>
            <w:r w:rsidRPr="003D71C0">
              <w:t>National Reconstruction Fund</w:t>
            </w:r>
          </w:p>
        </w:tc>
        <w:tc>
          <w:tcPr>
            <w:tcW w:w="1130" w:type="pct"/>
            <w:tcBorders>
              <w:top w:val="single" w:sz="4" w:space="0" w:color="B3B3B3"/>
              <w:bottom w:val="nil"/>
            </w:tcBorders>
            <w:shd w:val="clear" w:color="000000" w:fill="F2F2F2"/>
          </w:tcPr>
          <w:p w14:paraId="63C64B00" w14:textId="77777777" w:rsidR="00503B34" w:rsidRPr="003D71C0" w:rsidRDefault="00503B34" w:rsidP="001C79A3">
            <w:pPr>
              <w:pStyle w:val="TableBody"/>
            </w:pPr>
            <w:r w:rsidRPr="003D71C0">
              <w:t>$1 billion</w:t>
            </w:r>
            <w:r>
              <w:t xml:space="preserve"> </w:t>
            </w:r>
          </w:p>
        </w:tc>
        <w:tc>
          <w:tcPr>
            <w:tcW w:w="1882" w:type="pct"/>
            <w:tcBorders>
              <w:top w:val="single" w:sz="4" w:space="0" w:color="B3B3B3"/>
              <w:bottom w:val="nil"/>
            </w:tcBorders>
            <w:shd w:val="clear" w:color="000000" w:fill="F2F2F2"/>
          </w:tcPr>
          <w:p w14:paraId="49382BB9" w14:textId="0889D5ED" w:rsidR="00503B34" w:rsidRPr="003D71C0" w:rsidRDefault="00503B34" w:rsidP="001C79A3">
            <w:pPr>
              <w:pStyle w:val="TableBody"/>
            </w:pPr>
            <w:r w:rsidRPr="003D71C0">
              <w:t>Loans are yet to be made but includes zero</w:t>
            </w:r>
            <w:r w:rsidR="00200862">
              <w:noBreakHyphen/>
            </w:r>
            <w:r w:rsidRPr="003D71C0">
              <w:t>interest loans for firms to access new markets</w:t>
            </w:r>
            <w:r>
              <w:t>.</w:t>
            </w:r>
          </w:p>
        </w:tc>
      </w:tr>
      <w:tr w:rsidR="00503B34" w:rsidRPr="003D71C0" w14:paraId="4A9C4C2A" w14:textId="77777777" w:rsidTr="00FE58E9">
        <w:tc>
          <w:tcPr>
            <w:tcW w:w="719" w:type="pct"/>
            <w:tcBorders>
              <w:top w:val="nil"/>
              <w:bottom w:val="nil"/>
            </w:tcBorders>
            <w:shd w:val="clear" w:color="000000" w:fill="auto"/>
          </w:tcPr>
          <w:p w14:paraId="05F00522" w14:textId="77777777" w:rsidR="00503B34" w:rsidRPr="003D71C0" w:rsidRDefault="00503B34" w:rsidP="001C79A3">
            <w:pPr>
              <w:pStyle w:val="TableHeading"/>
            </w:pPr>
            <w:r w:rsidRPr="003D71C0">
              <w:t>Funding expansion</w:t>
            </w:r>
          </w:p>
        </w:tc>
        <w:tc>
          <w:tcPr>
            <w:tcW w:w="1269" w:type="pct"/>
            <w:tcBorders>
              <w:top w:val="nil"/>
              <w:bottom w:val="nil"/>
            </w:tcBorders>
            <w:shd w:val="clear" w:color="000000" w:fill="auto"/>
          </w:tcPr>
          <w:p w14:paraId="6401A2E5" w14:textId="77777777" w:rsidR="00503B34" w:rsidRPr="003D71C0" w:rsidRDefault="00503B34" w:rsidP="001C79A3">
            <w:pPr>
              <w:pStyle w:val="TableBody"/>
            </w:pPr>
            <w:r w:rsidRPr="003D71C0">
              <w:t>Clean Energy Finance Corporation</w:t>
            </w:r>
          </w:p>
        </w:tc>
        <w:tc>
          <w:tcPr>
            <w:tcW w:w="1130" w:type="pct"/>
            <w:tcBorders>
              <w:top w:val="nil"/>
              <w:bottom w:val="nil"/>
            </w:tcBorders>
            <w:shd w:val="clear" w:color="000000" w:fill="auto"/>
          </w:tcPr>
          <w:p w14:paraId="2DD31837" w14:textId="77777777" w:rsidR="00503B34" w:rsidRPr="003D71C0" w:rsidRDefault="00503B34" w:rsidP="001C79A3">
            <w:pPr>
              <w:pStyle w:val="TableBody"/>
            </w:pPr>
            <w:r w:rsidRPr="003D71C0">
              <w:t>$2 billion</w:t>
            </w:r>
          </w:p>
        </w:tc>
        <w:tc>
          <w:tcPr>
            <w:tcW w:w="1882" w:type="pct"/>
            <w:tcBorders>
              <w:top w:val="nil"/>
              <w:bottom w:val="nil"/>
            </w:tcBorders>
            <w:shd w:val="clear" w:color="000000" w:fill="auto"/>
          </w:tcPr>
          <w:p w14:paraId="1654B479" w14:textId="77777777" w:rsidR="00503B34" w:rsidRPr="00D36D74" w:rsidRDefault="00503B34" w:rsidP="001C79A3">
            <w:pPr>
              <w:pStyle w:val="TableBody"/>
            </w:pPr>
            <w:r>
              <w:t>Invests in projects contributing to greenhouse gas reduction. Example: Neoen Culcairn Solar Farm ($100 million CEFC commitment).</w:t>
            </w:r>
          </w:p>
        </w:tc>
      </w:tr>
      <w:tr w:rsidR="00503B34" w:rsidRPr="003D71C0" w14:paraId="167FBB1F" w14:textId="77777777" w:rsidTr="00FE58E9">
        <w:tc>
          <w:tcPr>
            <w:tcW w:w="719" w:type="pct"/>
            <w:tcBorders>
              <w:bottom w:val="nil"/>
            </w:tcBorders>
            <w:shd w:val="clear" w:color="000000" w:fill="F2F2F2"/>
          </w:tcPr>
          <w:p w14:paraId="6922C8AA" w14:textId="77777777" w:rsidR="00503B34" w:rsidRPr="003D71C0" w:rsidRDefault="00503B34" w:rsidP="001C79A3">
            <w:pPr>
              <w:pStyle w:val="TableHeading"/>
            </w:pPr>
            <w:r w:rsidRPr="003D71C0">
              <w:t xml:space="preserve">National interest account </w:t>
            </w:r>
          </w:p>
        </w:tc>
        <w:tc>
          <w:tcPr>
            <w:tcW w:w="1269" w:type="pct"/>
            <w:tcBorders>
              <w:bottom w:val="nil"/>
            </w:tcBorders>
            <w:shd w:val="clear" w:color="000000" w:fill="F2F2F2"/>
          </w:tcPr>
          <w:p w14:paraId="767900B0" w14:textId="77777777" w:rsidR="00503B34" w:rsidRPr="003D71C0" w:rsidDel="00D77B50" w:rsidRDefault="00503B34" w:rsidP="001C79A3">
            <w:pPr>
              <w:pStyle w:val="TableBody"/>
            </w:pPr>
            <w:r>
              <w:t>Export Finance Australia</w:t>
            </w:r>
            <w:r w:rsidRPr="003D71C0">
              <w:t xml:space="preserve"> </w:t>
            </w:r>
          </w:p>
        </w:tc>
        <w:tc>
          <w:tcPr>
            <w:tcW w:w="1130" w:type="pct"/>
            <w:tcBorders>
              <w:bottom w:val="nil"/>
            </w:tcBorders>
            <w:shd w:val="clear" w:color="000000" w:fill="F2F2F2"/>
          </w:tcPr>
          <w:p w14:paraId="1B1C6576" w14:textId="62A4EE31" w:rsidR="00503B34" w:rsidRPr="003D71C0" w:rsidRDefault="00503B34" w:rsidP="001C79A3">
            <w:pPr>
              <w:pStyle w:val="TableBody"/>
            </w:pPr>
            <w:r>
              <w:t>Uncapped with case</w:t>
            </w:r>
            <w:r w:rsidR="00200862">
              <w:noBreakHyphen/>
            </w:r>
            <w:r>
              <w:t>by</w:t>
            </w:r>
            <w:r w:rsidR="00200862">
              <w:noBreakHyphen/>
            </w:r>
            <w:r>
              <w:t>case assessments by Government</w:t>
            </w:r>
          </w:p>
        </w:tc>
        <w:tc>
          <w:tcPr>
            <w:tcW w:w="1882" w:type="pct"/>
            <w:tcBorders>
              <w:bottom w:val="nil"/>
            </w:tcBorders>
            <w:shd w:val="clear" w:color="000000" w:fill="F2F2F2"/>
          </w:tcPr>
          <w:p w14:paraId="2B6D2DB8" w14:textId="4A899DD1" w:rsidR="00503B34" w:rsidRPr="003D71C0" w:rsidRDefault="00503B34" w:rsidP="001C79A3">
            <w:pPr>
              <w:pStyle w:val="TableBody"/>
            </w:pPr>
            <w:r w:rsidRPr="003D71C0">
              <w:t>Invests in any ‘strategic domestic industries</w:t>
            </w:r>
            <w:r w:rsidR="00A84C68">
              <w:t>’</w:t>
            </w:r>
            <w:r>
              <w:t>. Example</w:t>
            </w:r>
            <w:r w:rsidR="00A84C68">
              <w:t>:</w:t>
            </w:r>
            <w:r w:rsidRPr="003D71C0">
              <w:t xml:space="preserve"> PsiQuantum investment</w:t>
            </w:r>
            <w:r>
              <w:t xml:space="preserve"> </w:t>
            </w:r>
            <w:r w:rsidR="00FF5B4B">
              <w:t>(</w:t>
            </w:r>
            <w:r w:rsidRPr="003D71C0">
              <w:t>$466.4</w:t>
            </w:r>
            <w:r w:rsidR="00FE58E9">
              <w:t> </w:t>
            </w:r>
            <w:r w:rsidRPr="003D71C0">
              <w:t>million</w:t>
            </w:r>
            <w:r w:rsidR="00FF5B4B">
              <w:t>)</w:t>
            </w:r>
            <w:r>
              <w:t xml:space="preserve"> announced under FMIA.</w:t>
            </w:r>
          </w:p>
        </w:tc>
      </w:tr>
      <w:tr w:rsidR="00503B34" w:rsidRPr="003D71C0" w14:paraId="7271ADBF" w14:textId="77777777" w:rsidTr="00FE58E9">
        <w:tc>
          <w:tcPr>
            <w:tcW w:w="719" w:type="pct"/>
            <w:tcBorders>
              <w:top w:val="nil"/>
            </w:tcBorders>
            <w:shd w:val="clear" w:color="000000" w:fill="auto"/>
          </w:tcPr>
          <w:p w14:paraId="3D3A4E7B" w14:textId="77777777" w:rsidR="00503B34" w:rsidRPr="003D71C0" w:rsidRDefault="00503B34" w:rsidP="001C79A3">
            <w:pPr>
              <w:pStyle w:val="TableHeading"/>
            </w:pPr>
            <w:r w:rsidRPr="003D71C0">
              <w:lastRenderedPageBreak/>
              <w:t>Critical minerals facility</w:t>
            </w:r>
            <w:r>
              <w:t xml:space="preserve"> </w:t>
            </w:r>
          </w:p>
        </w:tc>
        <w:tc>
          <w:tcPr>
            <w:tcW w:w="1269" w:type="pct"/>
            <w:tcBorders>
              <w:top w:val="nil"/>
            </w:tcBorders>
            <w:shd w:val="clear" w:color="000000" w:fill="auto"/>
          </w:tcPr>
          <w:p w14:paraId="00E1A3B2" w14:textId="77777777" w:rsidR="00503B34" w:rsidRPr="003D71C0" w:rsidRDefault="00503B34" w:rsidP="001C79A3">
            <w:pPr>
              <w:pStyle w:val="TableBody"/>
            </w:pPr>
            <w:r>
              <w:t>Export Finance Australia</w:t>
            </w:r>
            <w:r w:rsidRPr="003D71C0">
              <w:t xml:space="preserve"> with some loans </w:t>
            </w:r>
            <w:r>
              <w:t>partnering</w:t>
            </w:r>
            <w:r w:rsidRPr="003D71C0">
              <w:t xml:space="preserve"> with Northern Australia Infrastructure Facility</w:t>
            </w:r>
          </w:p>
        </w:tc>
        <w:tc>
          <w:tcPr>
            <w:tcW w:w="1130" w:type="pct"/>
            <w:tcBorders>
              <w:top w:val="nil"/>
            </w:tcBorders>
            <w:shd w:val="clear" w:color="000000" w:fill="auto"/>
          </w:tcPr>
          <w:p w14:paraId="6B51A36D" w14:textId="77777777" w:rsidR="00503B34" w:rsidRPr="003D71C0" w:rsidRDefault="00503B34" w:rsidP="001C79A3">
            <w:pPr>
              <w:pStyle w:val="TableBody"/>
            </w:pPr>
            <w:r w:rsidRPr="003D71C0">
              <w:t>$4 billion allocated</w:t>
            </w:r>
          </w:p>
        </w:tc>
        <w:tc>
          <w:tcPr>
            <w:tcW w:w="1882" w:type="pct"/>
            <w:tcBorders>
              <w:top w:val="nil"/>
            </w:tcBorders>
            <w:shd w:val="clear" w:color="000000" w:fill="auto"/>
          </w:tcPr>
          <w:p w14:paraId="35F77C8B" w14:textId="52E3B6D5" w:rsidR="00503B34" w:rsidRPr="003D71C0" w:rsidRDefault="00503B34" w:rsidP="001C79A3">
            <w:pPr>
              <w:pStyle w:val="TableBody"/>
            </w:pPr>
            <w:r w:rsidRPr="003D71C0">
              <w:t>Examples</w:t>
            </w:r>
            <w:r w:rsidR="00FF5B4B">
              <w:t>:</w:t>
            </w:r>
            <w:r w:rsidRPr="003D71C0">
              <w:t xml:space="preserve"> high</w:t>
            </w:r>
            <w:r w:rsidR="00200862">
              <w:noBreakHyphen/>
            </w:r>
            <w:r w:rsidRPr="003D71C0">
              <w:t>purity alumina facility ($400</w:t>
            </w:r>
            <w:r w:rsidR="00FE58E9">
              <w:t> </w:t>
            </w:r>
            <w:r w:rsidRPr="003D71C0">
              <w:t>million) and the Eneabba Rare Earths Refinery project ($475 million)</w:t>
            </w:r>
            <w:r>
              <w:t>.</w:t>
            </w:r>
          </w:p>
        </w:tc>
      </w:tr>
    </w:tbl>
    <w:p w14:paraId="0E235CA5" w14:textId="3951E23C" w:rsidR="00503B34" w:rsidRPr="00084E5D" w:rsidRDefault="00503B34" w:rsidP="001C79A3">
      <w:pPr>
        <w:pStyle w:val="Source"/>
        <w:spacing w:after="0"/>
        <w:rPr>
          <w:i/>
          <w:iCs/>
        </w:rPr>
      </w:pPr>
      <w:r>
        <w:rPr>
          <w:b/>
          <w:bCs/>
        </w:rPr>
        <w:t>a</w:t>
      </w:r>
      <w:r w:rsidR="00F4513D">
        <w:rPr>
          <w:b/>
          <w:bCs/>
        </w:rPr>
        <w:t>.</w:t>
      </w:r>
      <w:r>
        <w:t xml:space="preserve"> Critical minerals facility loans are administered through Export Finance Australia’s National Interest Account. </w:t>
      </w:r>
    </w:p>
    <w:p w14:paraId="7DA5DAEA" w14:textId="27182114" w:rsidR="00503B34" w:rsidRPr="006C5624" w:rsidRDefault="00503B34" w:rsidP="001C79A3">
      <w:pPr>
        <w:pStyle w:val="Source"/>
        <w:spacing w:after="120"/>
        <w:rPr>
          <w:lang w:val="it-IT"/>
        </w:rPr>
      </w:pPr>
      <w:r w:rsidRPr="006C5624">
        <w:rPr>
          <w:lang w:val="it-IT"/>
        </w:rPr>
        <w:t>Source:</w:t>
      </w:r>
      <w:r w:rsidR="00F20FC2" w:rsidRPr="006C5624">
        <w:rPr>
          <w:lang w:val="it-IT"/>
        </w:rPr>
        <w:t xml:space="preserve"> </w:t>
      </w:r>
      <w:r w:rsidRPr="006C5624">
        <w:rPr>
          <w:lang w:val="it-IT"/>
        </w:rPr>
        <w:t xml:space="preserve">AlphaHPA </w:t>
      </w:r>
      <w:r w:rsidRPr="006C5624">
        <w:rPr>
          <w:rFonts w:ascii="Arial" w:hAnsi="Arial" w:cs="Arial"/>
          <w:lang w:val="it-IT"/>
        </w:rPr>
        <w:t>(2024)</w:t>
      </w:r>
      <w:r w:rsidRPr="006C5624">
        <w:rPr>
          <w:lang w:val="it-IT"/>
        </w:rPr>
        <w:t xml:space="preserve">, EFA </w:t>
      </w:r>
      <w:r w:rsidR="0028392B" w:rsidRPr="006C5624">
        <w:rPr>
          <w:rFonts w:ascii="Arial" w:hAnsi="Arial" w:cs="Arial"/>
          <w:lang w:val="it-IT"/>
        </w:rPr>
        <w:t>(2024b)</w:t>
      </w:r>
      <w:r w:rsidRPr="006C5624">
        <w:rPr>
          <w:lang w:val="it-IT"/>
        </w:rPr>
        <w:t xml:space="preserve">, Treasury </w:t>
      </w:r>
      <w:r w:rsidR="0028392B" w:rsidRPr="006C5624">
        <w:rPr>
          <w:rFonts w:ascii="Arial" w:hAnsi="Arial" w:cs="Arial"/>
          <w:lang w:val="it-IT"/>
        </w:rPr>
        <w:t>(2024e)</w:t>
      </w:r>
      <w:r w:rsidRPr="006C5624">
        <w:rPr>
          <w:lang w:val="it-IT"/>
        </w:rPr>
        <w:t xml:space="preserve">, Albanese et al. </w:t>
      </w:r>
      <w:r w:rsidRPr="006C5624">
        <w:rPr>
          <w:rFonts w:ascii="Arial" w:hAnsi="Arial" w:cs="Arial"/>
          <w:lang w:val="it-IT"/>
        </w:rPr>
        <w:t>(2024b, 2024a)</w:t>
      </w:r>
      <w:r w:rsidRPr="006C5624">
        <w:rPr>
          <w:lang w:val="it-IT"/>
        </w:rPr>
        <w:t xml:space="preserve">, Albanese </w:t>
      </w:r>
      <w:r w:rsidRPr="006C5624">
        <w:rPr>
          <w:rFonts w:ascii="Arial" w:hAnsi="Arial" w:cs="Arial"/>
          <w:lang w:val="it-IT"/>
        </w:rPr>
        <w:t>(2025b)</w:t>
      </w:r>
      <w:r w:rsidRPr="006C5624">
        <w:rPr>
          <w:lang w:val="it-IT"/>
        </w:rPr>
        <w:t xml:space="preserve">, Bowen </w:t>
      </w:r>
      <w:r w:rsidRPr="006C5624">
        <w:rPr>
          <w:rFonts w:ascii="Arial" w:hAnsi="Arial" w:cs="Arial"/>
          <w:lang w:val="it-IT"/>
        </w:rPr>
        <w:t>(2025)</w:t>
      </w:r>
      <w:r w:rsidRPr="006C5624">
        <w:rPr>
          <w:lang w:val="it-IT"/>
        </w:rPr>
        <w:t xml:space="preserve">, CEFC </w:t>
      </w:r>
      <w:r w:rsidR="0028392B" w:rsidRPr="006C5624">
        <w:rPr>
          <w:rFonts w:ascii="Arial" w:hAnsi="Arial" w:cs="Arial"/>
          <w:lang w:val="it-IT"/>
        </w:rPr>
        <w:t>(2024b)</w:t>
      </w:r>
      <w:r w:rsidR="00FE58E9">
        <w:rPr>
          <w:rFonts w:ascii="Arial" w:hAnsi="Arial" w:cs="Arial"/>
          <w:lang w:val="it-IT"/>
        </w:rPr>
        <w:t>.</w:t>
      </w:r>
    </w:p>
    <w:p w14:paraId="5ECC2CF4" w14:textId="77777777" w:rsidR="00503B34" w:rsidRPr="006465FF" w:rsidRDefault="00503B34" w:rsidP="00750C19">
      <w:pPr>
        <w:pStyle w:val="Heading3"/>
      </w:pPr>
      <w:r>
        <w:t>However, there is ambiguity surrounding the full scope of FMIA</w:t>
      </w:r>
    </w:p>
    <w:p w14:paraId="59E586D9" w14:textId="0EAA01F2" w:rsidR="00503B34" w:rsidRDefault="00503B34" w:rsidP="001C79A3">
      <w:pPr>
        <w:pStyle w:val="BodyText"/>
      </w:pPr>
      <w:r>
        <w:t>The full suite of measures constituting FMIA is unclear. Decision makers have discretion under the legislation regarding which measures fall under FMIA’s umbrella. Sector assessments are also not mandatory, meaning assistance does not need to neatly align with the NIF’s objectives.</w:t>
      </w:r>
      <w:r w:rsidR="00877164">
        <w:rPr>
          <w:rStyle w:val="FootnoteReference"/>
        </w:rPr>
        <w:footnoteReference w:id="24"/>
      </w:r>
      <w:r>
        <w:t xml:space="preserve"> As a result, many policies within the current TAR budgetary assistance estimates align with FMIA’s objectives but are not formally listed as a component of FMIA. In 2023</w:t>
      </w:r>
      <w:r w:rsidR="00200862">
        <w:noBreakHyphen/>
      </w:r>
      <w:r>
        <w:t>24, budgetary assistance from these FMIA</w:t>
      </w:r>
      <w:r w:rsidR="000607E3">
        <w:t>-</w:t>
      </w:r>
      <w:r>
        <w:t>aligned measures totalled ~$527 million. These fall into two categories:</w:t>
      </w:r>
    </w:p>
    <w:p w14:paraId="5573167C" w14:textId="77777777" w:rsidR="00503B34" w:rsidRPr="003A5B37" w:rsidRDefault="00503B34" w:rsidP="00F33EF0">
      <w:pPr>
        <w:pStyle w:val="ListBullet"/>
      </w:pPr>
      <w:r w:rsidRPr="003A5B37">
        <w:t xml:space="preserve">Measures </w:t>
      </w:r>
      <w:r>
        <w:t>supporting</w:t>
      </w:r>
      <w:r w:rsidRPr="003A5B37">
        <w:t xml:space="preserve"> sectors aligned with a NIF stream that are not explicitly listed </w:t>
      </w:r>
      <w:r>
        <w:t>as part of</w:t>
      </w:r>
      <w:r w:rsidRPr="003A5B37">
        <w:t xml:space="preserve"> FMIA in </w:t>
      </w:r>
      <w:r>
        <w:t>official publications.</w:t>
      </w:r>
      <w:r>
        <w:rPr>
          <w:rStyle w:val="FootnoteReference"/>
        </w:rPr>
        <w:footnoteReference w:id="25"/>
      </w:r>
      <w:r w:rsidRPr="003A5B37">
        <w:t xml:space="preserve"> Examples include the Regional Hydrogen Hubs</w:t>
      </w:r>
      <w:r>
        <w:t xml:space="preserve"> program</w:t>
      </w:r>
      <w:r w:rsidRPr="003A5B37">
        <w:t xml:space="preserve">. </w:t>
      </w:r>
    </w:p>
    <w:p w14:paraId="3B328337" w14:textId="291ADE97" w:rsidR="00503B34" w:rsidRPr="003A5B37" w:rsidRDefault="00503B34" w:rsidP="00F33EF0">
      <w:pPr>
        <w:pStyle w:val="ListBullet"/>
      </w:pPr>
      <w:r w:rsidRPr="003A5B37">
        <w:t>Measures announced with references to ‘Future Made in Australia’</w:t>
      </w:r>
      <w:r>
        <w:t xml:space="preserve">, which have </w:t>
      </w:r>
      <w:r w:rsidRPr="003A5B37">
        <w:t xml:space="preserve">not been listed as part of FMIA in official documents </w:t>
      </w:r>
      <w:r>
        <w:t>(</w:t>
      </w:r>
      <w:r w:rsidRPr="003A5B37">
        <w:t>or websites</w:t>
      </w:r>
      <w:r>
        <w:t>)</w:t>
      </w:r>
      <w:r w:rsidRPr="003A5B37">
        <w:t xml:space="preserve"> </w:t>
      </w:r>
      <w:r>
        <w:t>and</w:t>
      </w:r>
      <w:r w:rsidRPr="003A5B37">
        <w:t xml:space="preserve"> have not been assessed under the NIF</w:t>
      </w:r>
      <w:r>
        <w:t xml:space="preserve"> (not mandatory under the legislation)</w:t>
      </w:r>
      <w:r w:rsidRPr="003A5B37">
        <w:t>.</w:t>
      </w:r>
      <w:r>
        <w:t xml:space="preserve"> An example is the Powering the Regions Fund, which includes funding to lower emissions for a cement manufacturer and an iron ore mine. This is not listed as part of FMIA elsewhere but was announced saying ‘t</w:t>
      </w:r>
      <w:r w:rsidRPr="002C4C35">
        <w:t>he Albanese Government is ensuring a future made in Australia</w:t>
      </w:r>
      <w:r>
        <w:t xml:space="preserve">’ implying a connection to the broader agenda </w:t>
      </w:r>
      <w:r w:rsidRPr="00C342A4">
        <w:rPr>
          <w:rFonts w:ascii="Arial" w:hAnsi="Arial" w:cs="Arial"/>
        </w:rPr>
        <w:t>(Bowen 2024)</w:t>
      </w:r>
      <w:r>
        <w:t>.</w:t>
      </w:r>
    </w:p>
    <w:p w14:paraId="1BE0AB9A" w14:textId="6F56BACE" w:rsidR="00503B34" w:rsidRDefault="00503B34" w:rsidP="001C79A3">
      <w:pPr>
        <w:pStyle w:val="BodyText"/>
      </w:pPr>
      <w:r>
        <w:t xml:space="preserve">The </w:t>
      </w:r>
      <w:r>
        <w:rPr>
          <w:i/>
          <w:iCs/>
        </w:rPr>
        <w:t xml:space="preserve">Future Made in Australia Act 2024 </w:t>
      </w:r>
      <w:r w:rsidRPr="007030A5">
        <w:t>(Cth)</w:t>
      </w:r>
      <w:r>
        <w:rPr>
          <w:i/>
          <w:iCs/>
        </w:rPr>
        <w:t xml:space="preserve"> </w:t>
      </w:r>
      <w:r>
        <w:t>section</w:t>
      </w:r>
      <w:r w:rsidRPr="008D59C1">
        <w:t xml:space="preserve"> 11A</w:t>
      </w:r>
      <w:r>
        <w:rPr>
          <w:i/>
          <w:iCs/>
        </w:rPr>
        <w:t xml:space="preserve"> </w:t>
      </w:r>
      <w:r>
        <w:t xml:space="preserve">outlines that FMIA support for both </w:t>
      </w:r>
      <w:r w:rsidR="00603ADE">
        <w:t>Australian Government</w:t>
      </w:r>
      <w:r>
        <w:t xml:space="preserve"> entities and </w:t>
      </w:r>
      <w:r w:rsidR="00603ADE">
        <w:t>Australian Government</w:t>
      </w:r>
      <w:r>
        <w:t xml:space="preserve"> Departments need to be compiled into an annual report. Once published, these annual reports may clarify FMIA’s scope. For the TAR, it may be more appropriate to analyse assistance by its alignment to FMIA goals rather than its official relationship </w:t>
      </w:r>
      <w:r w:rsidR="00696D84">
        <w:t>with</w:t>
      </w:r>
      <w:r>
        <w:t xml:space="preserve"> FMIA, which could be highly discretionary.</w:t>
      </w:r>
    </w:p>
    <w:p w14:paraId="17A535C8" w14:textId="77777777" w:rsidR="001E3079" w:rsidRDefault="001E3079" w:rsidP="00A972CD">
      <w:pPr>
        <w:pStyle w:val="BodyText"/>
      </w:pPr>
    </w:p>
    <w:p w14:paraId="68A9B23C" w14:textId="77777777" w:rsidR="00D7305F" w:rsidRDefault="00D7305F" w:rsidP="00A972CD">
      <w:pPr>
        <w:pStyle w:val="BodyText"/>
        <w:sectPr w:rsidR="00D7305F" w:rsidSect="00A972CD">
          <w:headerReference w:type="even" r:id="rId64"/>
          <w:headerReference w:type="default" r:id="rId65"/>
          <w:footerReference w:type="even" r:id="rId66"/>
          <w:footerReference w:type="default" r:id="rId67"/>
          <w:headerReference w:type="first" r:id="rId68"/>
          <w:type w:val="oddPage"/>
          <w:pgSz w:w="11906" w:h="16838" w:code="9"/>
          <w:pgMar w:top="1134" w:right="1134" w:bottom="1134" w:left="1134" w:header="794" w:footer="510" w:gutter="0"/>
          <w:cols w:space="708"/>
          <w:docGrid w:linePitch="360"/>
        </w:sectPr>
      </w:pPr>
    </w:p>
    <w:p w14:paraId="21059A56" w14:textId="07F1218D" w:rsidR="00D7305F" w:rsidRDefault="00D75B70" w:rsidP="009253F5">
      <w:pPr>
        <w:pStyle w:val="Heading1"/>
      </w:pPr>
      <w:r>
        <w:lastRenderedPageBreak/>
        <w:tab/>
      </w:r>
      <w:bookmarkStart w:id="50" w:name="_Toc202477856"/>
      <w:r w:rsidR="00D7305F">
        <w:t>Australian industry assistance estimates</w:t>
      </w:r>
      <w:r w:rsidR="00BC0588">
        <w:t xml:space="preserve"> for 2023</w:t>
      </w:r>
      <w:r w:rsidR="00266469">
        <w:t>-</w:t>
      </w:r>
      <w:r w:rsidR="00BC0588">
        <w:t>24</w:t>
      </w:r>
      <w:bookmarkEnd w:id="50"/>
    </w:p>
    <w:tbl>
      <w:tblPr>
        <w:tblStyle w:val="Texttable-Paleblue"/>
        <w:tblW w:w="5000" w:type="pct"/>
        <w:shd w:val="clear" w:color="auto" w:fill="E7F6FD"/>
        <w:tblLook w:val="04A0" w:firstRow="1" w:lastRow="0" w:firstColumn="1" w:lastColumn="0" w:noHBand="0" w:noVBand="1"/>
      </w:tblPr>
      <w:tblGrid>
        <w:gridCol w:w="577"/>
        <w:gridCol w:w="9061"/>
      </w:tblGrid>
      <w:tr w:rsidR="00D7305F" w:rsidRPr="002F759A" w14:paraId="3B19AF9B" w14:textId="77777777" w:rsidTr="00616F0E">
        <w:tc>
          <w:tcPr>
            <w:tcW w:w="9638" w:type="dxa"/>
            <w:gridSpan w:val="2"/>
            <w:shd w:val="clear" w:color="auto" w:fill="E7F6FD"/>
            <w:tcMar>
              <w:left w:w="170" w:type="dxa"/>
            </w:tcMar>
          </w:tcPr>
          <w:p w14:paraId="6EFEAC02" w14:textId="77777777" w:rsidR="00D7305F" w:rsidRPr="002F759A" w:rsidRDefault="00D7305F">
            <w:pPr>
              <w:pStyle w:val="Keypoints-heading"/>
            </w:pPr>
            <w:r w:rsidRPr="002F759A">
              <w:t>Key points</w:t>
            </w:r>
          </w:p>
        </w:tc>
      </w:tr>
      <w:tr w:rsidR="00D7305F" w14:paraId="732A427B" w14:textId="77777777" w:rsidTr="00616F0E">
        <w:tc>
          <w:tcPr>
            <w:tcW w:w="577" w:type="dxa"/>
            <w:shd w:val="clear" w:color="auto" w:fill="E7F6FD"/>
            <w:tcMar>
              <w:top w:w="0" w:type="dxa"/>
              <w:bottom w:w="0" w:type="dxa"/>
              <w:right w:w="113" w:type="dxa"/>
            </w:tcMar>
          </w:tcPr>
          <w:p w14:paraId="63728FEB" w14:textId="77777777" w:rsidR="00D7305F" w:rsidRDefault="00D7305F">
            <w:pPr>
              <w:pStyle w:val="KeyPointsicon"/>
            </w:pPr>
            <w:r w:rsidRPr="00A51374">
              <w:rPr>
                <w:noProof/>
              </w:rPr>
              <w:drawing>
                <wp:inline distT="0" distB="0" distL="0" distR="0" wp14:anchorId="1FACFE9A" wp14:editId="4AB01883">
                  <wp:extent cx="180000" cy="180000"/>
                  <wp:effectExtent l="0" t="0" r="0" b="0"/>
                  <wp:docPr id="406909054" name="Graphic 40690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D081691" w14:textId="2A4A789B" w:rsidR="00D7305F" w:rsidRPr="00610627" w:rsidRDefault="00D7305F">
            <w:pPr>
              <w:pStyle w:val="KeyPoints-Bold"/>
            </w:pPr>
            <w:r>
              <w:t xml:space="preserve">Budgetary assistance </w:t>
            </w:r>
            <w:r w:rsidR="00D702BF">
              <w:t>for industry and trade</w:t>
            </w:r>
            <w:r>
              <w:t xml:space="preserve"> increased by 3.9% to $16.1 billion in 2023</w:t>
            </w:r>
            <w:r w:rsidR="00266469">
              <w:t>-</w:t>
            </w:r>
            <w:r>
              <w:t>24 but stayed flat as a percentage of gross domestic product</w:t>
            </w:r>
          </w:p>
          <w:p w14:paraId="7A569D9A" w14:textId="4FF8A55C" w:rsidR="00D7305F" w:rsidRDefault="00D7305F" w:rsidP="00CB33E7">
            <w:pPr>
              <w:pStyle w:val="KeyPoints-Bullet"/>
              <w:numPr>
                <w:ilvl w:val="0"/>
                <w:numId w:val="5"/>
              </w:numPr>
            </w:pPr>
            <w:r>
              <w:t>Tax concessions contributed 52.3% and budgetary outlays contributed 47.7%.</w:t>
            </w:r>
          </w:p>
          <w:p w14:paraId="67E9107C" w14:textId="5078F758" w:rsidR="00D7305F" w:rsidRDefault="00D7305F" w:rsidP="00CB33E7">
            <w:pPr>
              <w:pStyle w:val="KeyPoints-Bullet"/>
              <w:numPr>
                <w:ilvl w:val="0"/>
                <w:numId w:val="5"/>
              </w:numPr>
            </w:pPr>
            <w:r>
              <w:t xml:space="preserve">New measures contributed an additional $1 billion in </w:t>
            </w:r>
            <w:r w:rsidR="00E674A1">
              <w:t>budgetary</w:t>
            </w:r>
            <w:r>
              <w:t xml:space="preserve"> assistance, existing measures fell by $351</w:t>
            </w:r>
            <w:r w:rsidR="00E674A1">
              <w:t> </w:t>
            </w:r>
            <w:r>
              <w:t>million while about $91 million in funding was discontinued</w:t>
            </w:r>
            <w:r w:rsidR="00806B45">
              <w:t>,</w:t>
            </w:r>
            <w:r>
              <w:t xml:space="preserve"> largely due to </w:t>
            </w:r>
            <w:r w:rsidR="000A06C3">
              <w:t xml:space="preserve">the cessation of </w:t>
            </w:r>
            <w:r>
              <w:t>COVID</w:t>
            </w:r>
            <w:r w:rsidR="00200862">
              <w:noBreakHyphen/>
            </w:r>
            <w:r>
              <w:t>19 measures.</w:t>
            </w:r>
          </w:p>
        </w:tc>
      </w:tr>
      <w:tr w:rsidR="00D7305F" w14:paraId="7CBBCCCF" w14:textId="77777777" w:rsidTr="00616F0E">
        <w:tc>
          <w:tcPr>
            <w:tcW w:w="577" w:type="dxa"/>
            <w:shd w:val="clear" w:color="auto" w:fill="E7F6FD"/>
            <w:tcMar>
              <w:top w:w="0" w:type="dxa"/>
              <w:bottom w:w="0" w:type="dxa"/>
              <w:right w:w="113" w:type="dxa"/>
            </w:tcMar>
          </w:tcPr>
          <w:p w14:paraId="374555EE" w14:textId="77777777" w:rsidR="00D7305F" w:rsidRPr="00A51374" w:rsidRDefault="00D7305F">
            <w:pPr>
              <w:pStyle w:val="KeyPointsicon"/>
            </w:pPr>
            <w:r w:rsidRPr="00F31E73">
              <w:rPr>
                <w:noProof/>
              </w:rPr>
              <w:drawing>
                <wp:inline distT="0" distB="0" distL="0" distR="0" wp14:anchorId="60A926C4" wp14:editId="54410A7D">
                  <wp:extent cx="180000" cy="180000"/>
                  <wp:effectExtent l="0" t="0" r="0" b="0"/>
                  <wp:docPr id="1763791227" name="Graphic 1763791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FE5F01" w14:textId="77777777" w:rsidR="00D7305F" w:rsidRDefault="00D7305F">
            <w:pPr>
              <w:pStyle w:val="KeyPoints-Bold"/>
            </w:pPr>
            <w:r>
              <w:t>Farmers, filmmakers and manufacturers benefitted the most from Australian Government budgetary assistance relative to their share of the economy</w:t>
            </w:r>
          </w:p>
          <w:p w14:paraId="2E8F9782" w14:textId="27F2210A" w:rsidR="00D7305F" w:rsidRDefault="00D7305F" w:rsidP="00CB33E7">
            <w:pPr>
              <w:pStyle w:val="KeyPoints-Bullet"/>
              <w:numPr>
                <w:ilvl w:val="0"/>
                <w:numId w:val="5"/>
              </w:numPr>
            </w:pPr>
            <w:r>
              <w:t>Filmmakers (</w:t>
            </w:r>
            <w:r w:rsidR="000A06C3">
              <w:t>part of</w:t>
            </w:r>
            <w:r>
              <w:t xml:space="preserve"> the information, media and telecommunications industry) benefitted from an expanded tax credit, drawing in approximately three times more </w:t>
            </w:r>
            <w:r w:rsidR="003F2AB6">
              <w:t xml:space="preserve">budgetary </w:t>
            </w:r>
            <w:r>
              <w:t xml:space="preserve">assistance than </w:t>
            </w:r>
            <w:r w:rsidR="003F2AB6">
              <w:t xml:space="preserve">other sectors relative to </w:t>
            </w:r>
            <w:r>
              <w:t>their share of the economy.</w:t>
            </w:r>
          </w:p>
          <w:p w14:paraId="55B430AA" w14:textId="1FF8E009" w:rsidR="00D7305F" w:rsidRPr="00610627" w:rsidRDefault="00D7305F" w:rsidP="00CB33E7">
            <w:pPr>
              <w:pStyle w:val="KeyPoints-Bullet"/>
              <w:numPr>
                <w:ilvl w:val="0"/>
                <w:numId w:val="5"/>
              </w:numPr>
            </w:pPr>
            <w:r>
              <w:t>The agriculture, forestry and fisheries and manufacturing sectors received approximately five times and approximately two times more budgetary assistance relative to their share</w:t>
            </w:r>
            <w:r w:rsidR="000A06C3">
              <w:t>s</w:t>
            </w:r>
            <w:r>
              <w:t xml:space="preserve"> of the Australian economy</w:t>
            </w:r>
            <w:r w:rsidR="001E5ADD">
              <w:t>,</w:t>
            </w:r>
            <w:r>
              <w:t xml:space="preserve"> respectively.</w:t>
            </w:r>
          </w:p>
        </w:tc>
      </w:tr>
      <w:tr w:rsidR="00D7305F" w14:paraId="5240DB6B" w14:textId="77777777" w:rsidTr="00616F0E">
        <w:tc>
          <w:tcPr>
            <w:tcW w:w="577" w:type="dxa"/>
            <w:shd w:val="clear" w:color="auto" w:fill="E7F6FD"/>
            <w:tcMar>
              <w:top w:w="0" w:type="dxa"/>
              <w:bottom w:w="0" w:type="dxa"/>
              <w:right w:w="113" w:type="dxa"/>
            </w:tcMar>
          </w:tcPr>
          <w:p w14:paraId="4BAD2659" w14:textId="77777777" w:rsidR="00D7305F" w:rsidRPr="00A51374" w:rsidRDefault="00D7305F">
            <w:pPr>
              <w:pStyle w:val="KeyPointsicon"/>
            </w:pPr>
            <w:r w:rsidRPr="00F31E73">
              <w:rPr>
                <w:noProof/>
              </w:rPr>
              <w:drawing>
                <wp:inline distT="0" distB="0" distL="0" distR="0" wp14:anchorId="5E3C3CB8" wp14:editId="47F23A7B">
                  <wp:extent cx="180000" cy="180000"/>
                  <wp:effectExtent l="0" t="0" r="0" b="0"/>
                  <wp:docPr id="569403941" name="Graphic 569403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CA4F5A1" w14:textId="4F47FF48" w:rsidR="00D7305F" w:rsidRDefault="00D7305F">
            <w:pPr>
              <w:pStyle w:val="KeyPoints-Bold"/>
            </w:pPr>
            <w:r>
              <w:t xml:space="preserve">The </w:t>
            </w:r>
            <w:r w:rsidR="00490644">
              <w:t>Productivity</w:t>
            </w:r>
            <w:r>
              <w:t xml:space="preserve"> Commission estimates the Australian Government provided $127.2 million in assistance to industry through concessional finance in 2023</w:t>
            </w:r>
            <w:r w:rsidR="00266469">
              <w:t>-</w:t>
            </w:r>
            <w:r>
              <w:t>24 (excluding Export Finance Australia)</w:t>
            </w:r>
          </w:p>
          <w:p w14:paraId="6F6FFE66" w14:textId="77777777" w:rsidR="00D7305F" w:rsidRDefault="00D7305F" w:rsidP="00CB33E7">
            <w:pPr>
              <w:pStyle w:val="KeyPoints-Bullet"/>
              <w:numPr>
                <w:ilvl w:val="0"/>
                <w:numId w:val="5"/>
              </w:numPr>
            </w:pPr>
            <w:r>
              <w:t xml:space="preserve">Concessional finance fell slightly as a form of budgetary assistance. </w:t>
            </w:r>
          </w:p>
          <w:p w14:paraId="367F71E3" w14:textId="77777777" w:rsidR="00D7305F" w:rsidRPr="00610627" w:rsidRDefault="00D7305F" w:rsidP="00CB33E7">
            <w:pPr>
              <w:pStyle w:val="KeyPoints-Bullet"/>
              <w:numPr>
                <w:ilvl w:val="0"/>
                <w:numId w:val="5"/>
              </w:numPr>
            </w:pPr>
            <w:r>
              <w:t>Concessional finance is likely to be a growing form of assistance in the medium term due to increased utilisation of this form of assistance by government, including through the National Reconstruction Fund.</w:t>
            </w:r>
          </w:p>
        </w:tc>
      </w:tr>
    </w:tbl>
    <w:p w14:paraId="1D2E7C6D" w14:textId="2904D427" w:rsidR="00D7305F" w:rsidRDefault="00D7305F" w:rsidP="00D7305F">
      <w:pPr>
        <w:pStyle w:val="NoSpacing"/>
      </w:pPr>
    </w:p>
    <w:p w14:paraId="075E5924" w14:textId="1BFD064B" w:rsidR="00D7305F" w:rsidRPr="007C6B92" w:rsidRDefault="00D7305F" w:rsidP="007C6B92">
      <w:pPr>
        <w:pStyle w:val="BodyText"/>
      </w:pPr>
      <w:r w:rsidRPr="007C6B92">
        <w:t xml:space="preserve">The Australian Government assists industries and businesses through a broad range of programs, regulations and policies. Under section 10 of the </w:t>
      </w:r>
      <w:r w:rsidRPr="00B917AA">
        <w:rPr>
          <w:i/>
        </w:rPr>
        <w:t>Productivity Commission Act 1998</w:t>
      </w:r>
      <w:r w:rsidRPr="007C6B92">
        <w:t xml:space="preserve"> (Cth), the </w:t>
      </w:r>
      <w:r w:rsidR="009E0A81">
        <w:t>PC</w:t>
      </w:r>
      <w:r w:rsidRPr="007C6B92">
        <w:t xml:space="preserve"> has an obligation to report annually on the effect of assistance on industry and on the economy as a whole and fulfills this obligation through the Trade and Assistance Review (TAR). The Act defines government assistance to industry as:</w:t>
      </w:r>
    </w:p>
    <w:p w14:paraId="498E7126" w14:textId="77777777" w:rsidR="00D7305F" w:rsidRPr="007C6B92" w:rsidRDefault="00D7305F" w:rsidP="007C6B92">
      <w:pPr>
        <w:pStyle w:val="Quote"/>
      </w:pPr>
      <w:r w:rsidRPr="007C6B92">
        <w:t xml:space="preserve">… any act that, directly or indirectly: assists a person to carry on a business or activity; or confers a pecuniary benefit on, or results in a pecuniary benefit accruing to, a person in respect of carrying on a business or activity. </w:t>
      </w:r>
    </w:p>
    <w:p w14:paraId="7897AC0C" w14:textId="18FEE6AC" w:rsidR="00D7305F" w:rsidRPr="007C6B92" w:rsidRDefault="00D7305F" w:rsidP="007C6B92">
      <w:pPr>
        <w:pStyle w:val="BodyText"/>
      </w:pPr>
      <w:r w:rsidRPr="007C6B92">
        <w:lastRenderedPageBreak/>
        <w:t>The effects of measures that might confer assistance to industry on the wellbeing of the community and the economy overall depends on their type and design. Many measures are intended to stimulate activities that markets under</w:t>
      </w:r>
      <w:r w:rsidR="00200862">
        <w:noBreakHyphen/>
      </w:r>
      <w:r w:rsidRPr="007C6B92">
        <w:t>provide (such as research and development)</w:t>
      </w:r>
      <w:r w:rsidRPr="007C6B92" w:rsidDel="006C246D">
        <w:t xml:space="preserve"> </w:t>
      </w:r>
      <w:r w:rsidRPr="007C6B92">
        <w:t xml:space="preserve">or support environmental, social, or national security objectives. Others, like tariffs, provide targeted assistance but generally impose negative net impacts on the wider community. Whatever their net impacts, it is useful to transparently monitor the magnitude and nature of measures that benefit industries </w:t>
      </w:r>
      <w:r w:rsidR="00201D0E">
        <w:t>–</w:t>
      </w:r>
      <w:r w:rsidRPr="007C6B92">
        <w:t xml:space="preserve"> a task that the </w:t>
      </w:r>
      <w:r w:rsidR="009628C3">
        <w:t>TAR</w:t>
      </w:r>
      <w:r w:rsidRPr="007C6B92">
        <w:t xml:space="preserve"> fulfils annually. As a document</w:t>
      </w:r>
      <w:r w:rsidR="00A84322">
        <w:t xml:space="preserve"> intended to provide transparency</w:t>
      </w:r>
      <w:r w:rsidRPr="007C6B92">
        <w:t>, the TAR reports on the form and magnitude of industry assistance. It does not assess the cost</w:t>
      </w:r>
      <w:r w:rsidR="00200862">
        <w:noBreakHyphen/>
      </w:r>
      <w:r w:rsidRPr="007C6B92">
        <w:t>effectiveness of individual policies. However, publishing the industry assistance value of policies contributes to the transparency required to undertake such an assessment.</w:t>
      </w:r>
    </w:p>
    <w:p w14:paraId="6DB0421E" w14:textId="77777777" w:rsidR="00D7305F" w:rsidRPr="007C6B92" w:rsidRDefault="00D7305F" w:rsidP="007C6B92">
      <w:pPr>
        <w:pStyle w:val="BodyText"/>
      </w:pPr>
      <w:r w:rsidRPr="007C6B92">
        <w:t>Accordingly, successive TARs update and publish estimates of the assistance provided by:</w:t>
      </w:r>
    </w:p>
    <w:p w14:paraId="1DE5592F" w14:textId="75977D83" w:rsidR="00D7305F" w:rsidRPr="007C6B92" w:rsidRDefault="00D7305F" w:rsidP="007C6B92">
      <w:pPr>
        <w:pStyle w:val="ListBullet"/>
      </w:pPr>
      <w:r w:rsidRPr="007C6B92">
        <w:t>import tariffs</w:t>
      </w:r>
      <w:r w:rsidR="00E11D68">
        <w:t xml:space="preserve"> (now covered through the compliance costs of tariffs in chapter 2)</w:t>
      </w:r>
    </w:p>
    <w:p w14:paraId="029B234A" w14:textId="77777777" w:rsidR="00D7305F" w:rsidRPr="007C6B92" w:rsidRDefault="00D7305F" w:rsidP="007C6B92">
      <w:pPr>
        <w:pStyle w:val="ListBullet"/>
      </w:pPr>
      <w:r w:rsidRPr="007C6B92">
        <w:t>budgetary outlays (predominantly subsidies, grants and concessional loans)</w:t>
      </w:r>
    </w:p>
    <w:p w14:paraId="14A57EBD" w14:textId="77777777" w:rsidR="00D7305F" w:rsidRPr="007C6B92" w:rsidRDefault="00D7305F" w:rsidP="007C6B92">
      <w:pPr>
        <w:pStyle w:val="ListBullet"/>
      </w:pPr>
      <w:r w:rsidRPr="007C6B92">
        <w:t xml:space="preserve">tax concessions. </w:t>
      </w:r>
    </w:p>
    <w:p w14:paraId="784BA6EF" w14:textId="1CD9FC55" w:rsidR="00D7305F" w:rsidRPr="00FD0AAF" w:rsidRDefault="00D7305F" w:rsidP="007C6B92">
      <w:pPr>
        <w:pStyle w:val="BodyText"/>
        <w:rPr>
          <w:spacing w:val="-2"/>
        </w:rPr>
      </w:pPr>
      <w:r w:rsidRPr="00FD0AAF">
        <w:rPr>
          <w:spacing w:val="-2"/>
        </w:rPr>
        <w:t xml:space="preserve">As trends in industry assistance have evolved over the years, the TAR has adapted to continue to provide transparency on new ways the government provides assistance. </w:t>
      </w:r>
      <w:r w:rsidR="0078114E" w:rsidRPr="00FD0AAF">
        <w:rPr>
          <w:spacing w:val="-2"/>
        </w:rPr>
        <w:t>The</w:t>
      </w:r>
      <w:r w:rsidRPr="00FD0AAF">
        <w:rPr>
          <w:spacing w:val="-2"/>
        </w:rPr>
        <w:t xml:space="preserve"> TAR 2021</w:t>
      </w:r>
      <w:r w:rsidR="00266469" w:rsidRPr="00FD0AAF">
        <w:rPr>
          <w:spacing w:val="-2"/>
        </w:rPr>
        <w:t>-</w:t>
      </w:r>
      <w:r w:rsidRPr="00FD0AAF">
        <w:rPr>
          <w:spacing w:val="-2"/>
        </w:rPr>
        <w:t xml:space="preserve">22 began the process of reviewing the range of alternative forms of industry assistance that exist in Australia by exploring concessional finance. </w:t>
      </w:r>
      <w:r w:rsidR="00B4496E" w:rsidRPr="00FD0AAF">
        <w:rPr>
          <w:spacing w:val="-2"/>
        </w:rPr>
        <w:t xml:space="preserve">The </w:t>
      </w:r>
      <w:r w:rsidRPr="00FD0AAF">
        <w:rPr>
          <w:spacing w:val="-2"/>
        </w:rPr>
        <w:t>TAR 2022</w:t>
      </w:r>
      <w:r w:rsidR="00266469" w:rsidRPr="00FD0AAF">
        <w:rPr>
          <w:spacing w:val="-2"/>
        </w:rPr>
        <w:t>-</w:t>
      </w:r>
      <w:r w:rsidRPr="00FD0AAF">
        <w:rPr>
          <w:spacing w:val="-2"/>
        </w:rPr>
        <w:t>23 continued that process by exploring local content rules, domestic price controls and the conditions under which any future Australian carbon border adjustment mechanism might act as a form of trade protection. This TAR builds on the work in previous TARs on concessional finance.</w:t>
      </w:r>
    </w:p>
    <w:p w14:paraId="62727953" w14:textId="0D43750F" w:rsidR="00D7305F" w:rsidRDefault="00D7305F" w:rsidP="007C6B92">
      <w:pPr>
        <w:pStyle w:val="BodyText"/>
      </w:pPr>
      <w:r>
        <w:t>This chapter presents an overview of the 2023</w:t>
      </w:r>
      <w:r w:rsidR="00266469">
        <w:t>-</w:t>
      </w:r>
      <w:r>
        <w:t>24 assistance estimates. The chapter provides:</w:t>
      </w:r>
    </w:p>
    <w:p w14:paraId="5CA54FB3" w14:textId="1515017B" w:rsidR="00D7305F" w:rsidRPr="007C6B92" w:rsidRDefault="00D7305F" w:rsidP="007C6B92">
      <w:pPr>
        <w:pStyle w:val="ListBullet"/>
      </w:pPr>
      <w:r w:rsidRPr="007C6B92">
        <w:t>estimates of assistance to industry from budgetary outlays and tax concessions, including an overview of total industry assistance, and assistance broken down by the benefiting sectors</w:t>
      </w:r>
      <w:r w:rsidRPr="007C6B92" w:rsidDel="003F5E6E">
        <w:t xml:space="preserve"> and </w:t>
      </w:r>
      <w:r w:rsidRPr="007C6B92">
        <w:t xml:space="preserve">by the types of assistance provided by the Australian Government (section </w:t>
      </w:r>
      <w:r w:rsidR="00967616">
        <w:t>4.1</w:t>
      </w:r>
      <w:r w:rsidRPr="007C6B92">
        <w:t xml:space="preserve">) </w:t>
      </w:r>
    </w:p>
    <w:p w14:paraId="4CEF6B1B" w14:textId="386E7380" w:rsidR="00D7305F" w:rsidRPr="007C6B92" w:rsidRDefault="00D7305F" w:rsidP="007C6B92">
      <w:pPr>
        <w:pStyle w:val="ListBullet"/>
      </w:pPr>
      <w:r w:rsidRPr="007C6B92">
        <w:t xml:space="preserve">estimates of industry assistance provided through concessional finance (section </w:t>
      </w:r>
      <w:r w:rsidR="00967616">
        <w:t>4.2</w:t>
      </w:r>
      <w:r w:rsidRPr="007C6B92">
        <w:t>).</w:t>
      </w:r>
    </w:p>
    <w:p w14:paraId="7171C3C6" w14:textId="12996BB1" w:rsidR="00D7305F" w:rsidRPr="007C6B92" w:rsidRDefault="00D7305F" w:rsidP="007C6B92">
      <w:pPr>
        <w:pStyle w:val="BodyText"/>
      </w:pPr>
      <w:r w:rsidRPr="007C6B92">
        <w:t>This chapter should be read in conjunction with the</w:t>
      </w:r>
      <w:r w:rsidR="00E04EA0">
        <w:t xml:space="preserve"> TAR</w:t>
      </w:r>
      <w:r w:rsidRPr="007C6B92">
        <w:t xml:space="preserve"> Methodological </w:t>
      </w:r>
      <w:r w:rsidR="00E04EA0">
        <w:t>A</w:t>
      </w:r>
      <w:r w:rsidRPr="007C6B92">
        <w:t xml:space="preserve">nnex and appendix </w:t>
      </w:r>
      <w:r w:rsidR="00E519C7">
        <w:t>B</w:t>
      </w:r>
      <w:r w:rsidRPr="007C6B92">
        <w:t xml:space="preserve">. The </w:t>
      </w:r>
      <w:r w:rsidR="00E04EA0">
        <w:t xml:space="preserve">TAR </w:t>
      </w:r>
      <w:r w:rsidRPr="007C6B92">
        <w:t xml:space="preserve">Methodological </w:t>
      </w:r>
      <w:r w:rsidR="00E04EA0">
        <w:t>A</w:t>
      </w:r>
      <w:r w:rsidRPr="007C6B92">
        <w:t xml:space="preserve">nnex includes further detail on how the assistance estimates are produced and what types of assistance are typically within scope. Appendix </w:t>
      </w:r>
      <w:r w:rsidR="00E519C7">
        <w:t>B</w:t>
      </w:r>
      <w:r w:rsidRPr="007C6B92">
        <w:t xml:space="preserve"> contains detailed tables of estimates covering budgetary assistance, by program and by industry, and concessional finance estimates. </w:t>
      </w:r>
    </w:p>
    <w:p w14:paraId="3470895A" w14:textId="4B241F81" w:rsidR="00D7305F" w:rsidRDefault="00D7305F" w:rsidP="006D5E8F">
      <w:pPr>
        <w:pStyle w:val="Heading2"/>
      </w:pPr>
      <w:bookmarkStart w:id="51" w:name="_Ref159341491"/>
      <w:bookmarkStart w:id="52" w:name="_Toc202477857"/>
      <w:r>
        <w:t xml:space="preserve">A look </w:t>
      </w:r>
      <w:r w:rsidRPr="006D5E8F">
        <w:t>at</w:t>
      </w:r>
      <w:r>
        <w:t xml:space="preserve"> budgetary assistance</w:t>
      </w:r>
      <w:bookmarkEnd w:id="51"/>
      <w:r>
        <w:t xml:space="preserve"> </w:t>
      </w:r>
      <w:r w:rsidR="00BC0588">
        <w:t>in 2023</w:t>
      </w:r>
      <w:r w:rsidR="00266469">
        <w:t>-</w:t>
      </w:r>
      <w:r w:rsidR="00BC0588">
        <w:t>24</w:t>
      </w:r>
      <w:bookmarkEnd w:id="52"/>
    </w:p>
    <w:p w14:paraId="5C521670" w14:textId="6B89DE74" w:rsidR="00D7305F" w:rsidRPr="007C6B92" w:rsidRDefault="00D7305F" w:rsidP="007C6B92">
      <w:pPr>
        <w:pStyle w:val="BodyText"/>
      </w:pPr>
      <w:r w:rsidRPr="007C6B92">
        <w:t xml:space="preserve">Budgetary assistance is included in the </w:t>
      </w:r>
      <w:r w:rsidR="00936433">
        <w:t>PC’s</w:t>
      </w:r>
      <w:r w:rsidRPr="007C6B92">
        <w:t xml:space="preserve"> estimates when an Australian Government budget measure confers a selective advantage to some businesses but not to others. This differential treatment can be based on various factors, including business size, industry or location. For instance, a grant program for regional manufacturers would exemplify a budgetary assistance measure included in the TAR.</w:t>
      </w:r>
    </w:p>
    <w:p w14:paraId="5433B13C" w14:textId="1FB9F6E9" w:rsidR="00D7305F" w:rsidRPr="007C6B92" w:rsidRDefault="00D7305F" w:rsidP="007C6B92">
      <w:pPr>
        <w:pStyle w:val="BodyText"/>
      </w:pPr>
      <w:r w:rsidRPr="007C6B92">
        <w:t>Programs or measures are included in the estimates to provide transparency on the composition of budgetary assistance, not to judge their individual merit. In doing so</w:t>
      </w:r>
      <w:r w:rsidR="008B2F1D">
        <w:t>,</w:t>
      </w:r>
      <w:r w:rsidRPr="007C6B92">
        <w:t xml:space="preserve"> the TAR reveals both how assistance is provided and who benefits. </w:t>
      </w:r>
    </w:p>
    <w:p w14:paraId="5E232FE0" w14:textId="64DD18CE" w:rsidR="00D7305F" w:rsidRPr="007C6B92" w:rsidRDefault="00D7305F" w:rsidP="007C6B92">
      <w:pPr>
        <w:pStyle w:val="BodyText"/>
      </w:pPr>
      <w:r w:rsidRPr="007C6B92">
        <w:t xml:space="preserve">The TAR budgetary assistance estimates, like all estimates, have limitations. Some forms of assistance cannot be adequately quantified. For example, the Capacity Investment Scheme acts as budgetary assistance, but is not included in the TAR estimates as the spending on this scheme has not been published (DCCEEW 2025, pp. 34–35). </w:t>
      </w:r>
    </w:p>
    <w:p w14:paraId="06F07F7E" w14:textId="1405BC90" w:rsidR="00D7305F" w:rsidRPr="007C6B92" w:rsidRDefault="00D7305F" w:rsidP="007C6B92">
      <w:pPr>
        <w:pStyle w:val="BodyText"/>
      </w:pPr>
      <w:r w:rsidRPr="007C6B92">
        <w:lastRenderedPageBreak/>
        <w:t xml:space="preserve">As detailed in </w:t>
      </w:r>
      <w:r w:rsidR="00AD1052">
        <w:t>box</w:t>
      </w:r>
      <w:r w:rsidR="00094FE8">
        <w:t xml:space="preserve"> </w:t>
      </w:r>
      <w:r w:rsidR="00094FE8">
        <w:rPr>
          <w:noProof/>
        </w:rPr>
        <w:t>4</w:t>
      </w:r>
      <w:r w:rsidR="00094FE8">
        <w:t>.</w:t>
      </w:r>
      <w:r w:rsidR="00094FE8">
        <w:rPr>
          <w:noProof/>
        </w:rPr>
        <w:t>1</w:t>
      </w:r>
      <w:r w:rsidR="00995B6D">
        <w:t>,</w:t>
      </w:r>
      <w:r w:rsidRPr="007C6B92">
        <w:t xml:space="preserve"> the </w:t>
      </w:r>
      <w:r w:rsidR="00F82023">
        <w:t>PC</w:t>
      </w:r>
      <w:r w:rsidRPr="007C6B92">
        <w:t xml:space="preserve"> divides budgetary assistance by different types of spending, to examine changes in the composition and nature of assistance. These include two forms of budgetary assistance (budgetary outlays and tax concessions), the ‘type’ of spending, and estimates of the benefitting industries from each program or measure. Each breakdown gives insight into the policy objectives associated with budgetary assistance and how they evolve over time.</w:t>
      </w:r>
    </w:p>
    <w:p w14:paraId="5357B374" w14:textId="30E3FEF3" w:rsidR="00D7305F" w:rsidRPr="00F82BD9" w:rsidRDefault="00D7305F" w:rsidP="00FD0AAF">
      <w:pPr>
        <w:pStyle w:val="NoSpacing"/>
      </w:pPr>
    </w:p>
    <w:tbl>
      <w:tblPr>
        <w:tblStyle w:val="Boxtable"/>
        <w:tblW w:w="5000" w:type="pct"/>
        <w:tblLook w:val="04A0" w:firstRow="1" w:lastRow="0" w:firstColumn="1" w:lastColumn="0" w:noHBand="0" w:noVBand="1"/>
      </w:tblPr>
      <w:tblGrid>
        <w:gridCol w:w="9638"/>
      </w:tblGrid>
      <w:tr w:rsidR="00D7305F" w14:paraId="2EE0FE1F" w14:textId="77777777" w:rsidTr="00616F0E">
        <w:trPr>
          <w:tblHeader/>
        </w:trPr>
        <w:tc>
          <w:tcPr>
            <w:tcW w:w="9638" w:type="dxa"/>
            <w:shd w:val="clear" w:color="auto" w:fill="EBEBEB"/>
            <w:tcMar>
              <w:top w:w="170" w:type="dxa"/>
              <w:left w:w="170" w:type="dxa"/>
              <w:bottom w:w="113" w:type="dxa"/>
              <w:right w:w="170" w:type="dxa"/>
            </w:tcMar>
            <w:hideMark/>
          </w:tcPr>
          <w:p w14:paraId="668C4932" w14:textId="54CE22C2" w:rsidR="00D7305F" w:rsidRDefault="00D7305F" w:rsidP="00094FE8">
            <w:pPr>
              <w:pStyle w:val="Caption"/>
            </w:pPr>
            <w:bookmarkStart w:id="53" w:name="_Ref201744831"/>
            <w:r>
              <w:t xml:space="preserve">Box </w:t>
            </w:r>
            <w:r w:rsidR="00791979">
              <w:fldChar w:fldCharType="begin"/>
            </w:r>
            <w:r w:rsidR="00791979">
              <w:instrText xml:space="preserve"> STYLEREF 1 \s </w:instrText>
            </w:r>
            <w:r w:rsidR="00791979">
              <w:fldChar w:fldCharType="separate"/>
            </w:r>
            <w:r w:rsidR="004A080B">
              <w:rPr>
                <w:noProof/>
              </w:rPr>
              <w:t>4</w:t>
            </w:r>
            <w:r w:rsidR="00791979">
              <w:rPr>
                <w:noProof/>
              </w:rPr>
              <w:fldChar w:fldCharType="end"/>
            </w:r>
            <w:r w:rsidR="001D5DA3">
              <w:t>.</w:t>
            </w:r>
            <w:r w:rsidR="00791979">
              <w:fldChar w:fldCharType="begin"/>
            </w:r>
            <w:r w:rsidR="00791979">
              <w:instrText xml:space="preserve"> SEQ Box \* ARABIC \s 1 </w:instrText>
            </w:r>
            <w:r w:rsidR="00791979">
              <w:fldChar w:fldCharType="separate"/>
            </w:r>
            <w:r w:rsidR="004A080B">
              <w:rPr>
                <w:noProof/>
              </w:rPr>
              <w:t>1</w:t>
            </w:r>
            <w:r w:rsidR="00791979">
              <w:rPr>
                <w:noProof/>
              </w:rPr>
              <w:fldChar w:fldCharType="end"/>
            </w:r>
            <w:bookmarkEnd w:id="53"/>
            <w:r>
              <w:t xml:space="preserve"> – How the </w:t>
            </w:r>
            <w:r w:rsidR="00F82023">
              <w:t>PC</w:t>
            </w:r>
            <w:r>
              <w:t xml:space="preserve"> categorises budgetary assistance</w:t>
            </w:r>
          </w:p>
        </w:tc>
      </w:tr>
      <w:tr w:rsidR="00D7305F" w14:paraId="1952622E" w14:textId="77777777" w:rsidTr="00616F0E">
        <w:tc>
          <w:tcPr>
            <w:tcW w:w="9638" w:type="dxa"/>
            <w:shd w:val="clear" w:color="auto" w:fill="EBEBEB"/>
            <w:tcMar>
              <w:top w:w="28" w:type="dxa"/>
              <w:left w:w="170" w:type="dxa"/>
              <w:bottom w:w="170" w:type="dxa"/>
              <w:right w:w="170" w:type="dxa"/>
            </w:tcMar>
            <w:hideMark/>
          </w:tcPr>
          <w:p w14:paraId="0881C7E0" w14:textId="77777777" w:rsidR="00D7305F" w:rsidRPr="00AD15D4" w:rsidRDefault="00D7305F">
            <w:pPr>
              <w:pStyle w:val="BodyText"/>
              <w:rPr>
                <w:b/>
              </w:rPr>
            </w:pPr>
            <w:r>
              <w:rPr>
                <w:b/>
                <w:bCs/>
              </w:rPr>
              <w:t xml:space="preserve">Two forms of budgetary assistance </w:t>
            </w:r>
          </w:p>
          <w:p w14:paraId="75DDA354" w14:textId="5E1CEAC6" w:rsidR="00D7305F" w:rsidRPr="00C944FE" w:rsidRDefault="00D7305F" w:rsidP="00C944FE">
            <w:pPr>
              <w:pStyle w:val="ListBullet"/>
            </w:pPr>
            <w:r w:rsidRPr="00C944FE">
              <w:t>Budgetary outlays –</w:t>
            </w:r>
            <w:r w:rsidR="00266469" w:rsidRPr="00C944FE">
              <w:t xml:space="preserve"> </w:t>
            </w:r>
            <w:r w:rsidRPr="00C944FE">
              <w:t>funding provided by the Australian Government that selectively assists businesses. This is typically through grants, subsidies, or funding for organisations to perform commercially beneficial services. Outlays may provide financial assistance directly to businesses or deliver assistance indirectly through organisations such as the Commonwealth Scientific and Industrial Research Organisation.</w:t>
            </w:r>
          </w:p>
          <w:p w14:paraId="52CFCE3E" w14:textId="77777777" w:rsidR="00D7305F" w:rsidRPr="00C944FE" w:rsidRDefault="00D7305F" w:rsidP="00C944FE">
            <w:pPr>
              <w:pStyle w:val="ListBullet"/>
            </w:pPr>
            <w:r w:rsidRPr="00C944FE">
              <w:t xml:space="preserve">Tax concessions – differential tax treatment that benefits some businesses but not others. </w:t>
            </w:r>
          </w:p>
          <w:p w14:paraId="0927FCC4" w14:textId="77777777" w:rsidR="00D7305F" w:rsidRPr="00B778BF" w:rsidRDefault="00D7305F">
            <w:pPr>
              <w:pStyle w:val="BodyText"/>
              <w:rPr>
                <w:b/>
                <w:bCs/>
              </w:rPr>
            </w:pPr>
            <w:r w:rsidRPr="00B778BF">
              <w:rPr>
                <w:b/>
                <w:bCs/>
              </w:rPr>
              <w:t>Type</w:t>
            </w:r>
            <w:r>
              <w:rPr>
                <w:b/>
                <w:bCs/>
              </w:rPr>
              <w:t>s</w:t>
            </w:r>
            <w:r w:rsidRPr="00B778BF">
              <w:rPr>
                <w:b/>
                <w:bCs/>
              </w:rPr>
              <w:t xml:space="preserve"> of </w:t>
            </w:r>
            <w:r>
              <w:rPr>
                <w:b/>
                <w:bCs/>
              </w:rPr>
              <w:t>budgetary assistance measures</w:t>
            </w:r>
          </w:p>
          <w:p w14:paraId="5E188F51" w14:textId="5CD4D01F" w:rsidR="00D7305F" w:rsidRPr="00C944FE" w:rsidRDefault="00D7305F" w:rsidP="00C944FE">
            <w:pPr>
              <w:pStyle w:val="ListBullet"/>
            </w:pPr>
            <w:r w:rsidRPr="00C944FE">
              <w:t>Industry specific – measures which encourage production in particular industries</w:t>
            </w:r>
            <w:r w:rsidR="00C944FE" w:rsidRPr="00C944FE">
              <w:t>.</w:t>
            </w:r>
          </w:p>
          <w:p w14:paraId="6F3F0564" w14:textId="5E7C48FC" w:rsidR="00D7305F" w:rsidRPr="00C944FE" w:rsidRDefault="00D7305F" w:rsidP="00C944FE">
            <w:pPr>
              <w:pStyle w:val="ListBullet"/>
            </w:pPr>
            <w:r w:rsidRPr="00C944FE">
              <w:t>Sector specific – measures which encourage production across a specific sector</w:t>
            </w:r>
            <w:r w:rsidR="00C944FE" w:rsidRPr="00C944FE">
              <w:t>.</w:t>
            </w:r>
          </w:p>
          <w:p w14:paraId="5FBECDE7" w14:textId="01F6CFBA" w:rsidR="00D7305F" w:rsidRPr="00C944FE" w:rsidRDefault="00D7305F" w:rsidP="00C944FE">
            <w:pPr>
              <w:pStyle w:val="ListBullet"/>
            </w:pPr>
            <w:r w:rsidRPr="00C944FE">
              <w:t>Small business – a measure which restricts eligibility to small businesses (variously defined)</w:t>
            </w:r>
            <w:r w:rsidR="00C944FE" w:rsidRPr="00C944FE">
              <w:t>.</w:t>
            </w:r>
          </w:p>
          <w:p w14:paraId="35EE0B6F" w14:textId="59D84174" w:rsidR="00D7305F" w:rsidRPr="00C944FE" w:rsidRDefault="00D7305F" w:rsidP="00C944FE">
            <w:pPr>
              <w:pStyle w:val="ListBullet"/>
            </w:pPr>
            <w:r w:rsidRPr="00C944FE">
              <w:t>R&amp;D – a measure which supports business research</w:t>
            </w:r>
            <w:r w:rsidR="00B0728E" w:rsidRPr="00C944FE">
              <w:t xml:space="preserve"> and development</w:t>
            </w:r>
            <w:r w:rsidR="00C944FE" w:rsidRPr="00C944FE">
              <w:t>.</w:t>
            </w:r>
          </w:p>
          <w:p w14:paraId="0839661D" w14:textId="0B7DEDF4" w:rsidR="00D7305F" w:rsidRPr="00C944FE" w:rsidRDefault="00D7305F" w:rsidP="00C944FE">
            <w:pPr>
              <w:pStyle w:val="ListBullet"/>
            </w:pPr>
            <w:r w:rsidRPr="00C944FE">
              <w:t>Export – a measure which supports or facilitates exports</w:t>
            </w:r>
            <w:r w:rsidR="00C944FE" w:rsidRPr="00C944FE">
              <w:t>.</w:t>
            </w:r>
          </w:p>
          <w:p w14:paraId="1D0F1046" w14:textId="7654EA17" w:rsidR="00D7305F" w:rsidRPr="00C944FE" w:rsidRDefault="00D7305F" w:rsidP="00C944FE">
            <w:pPr>
              <w:pStyle w:val="ListBullet"/>
            </w:pPr>
            <w:r w:rsidRPr="00C944FE">
              <w:t>Regional/structural adjustment – a measure which encourages production in particular locations</w:t>
            </w:r>
            <w:r w:rsidR="00C944FE" w:rsidRPr="00C944FE">
              <w:t>.</w:t>
            </w:r>
          </w:p>
          <w:p w14:paraId="65F00792" w14:textId="40C2B300" w:rsidR="00D7305F" w:rsidRDefault="00D7305F" w:rsidP="00C944FE">
            <w:pPr>
              <w:pStyle w:val="ListBullet"/>
            </w:pPr>
            <w:r w:rsidRPr="00C944FE">
              <w:t>Other – schemes that do</w:t>
            </w:r>
            <w:r w:rsidRPr="007C6B92">
              <w:t xml:space="preserve"> not fall within any of the above categories</w:t>
            </w:r>
            <w:r w:rsidR="00C944FE">
              <w:t>.</w:t>
            </w:r>
          </w:p>
          <w:p w14:paraId="445F6A71" w14:textId="77777777" w:rsidR="00D7305F" w:rsidRDefault="00D7305F">
            <w:pPr>
              <w:pStyle w:val="BodyText"/>
              <w:rPr>
                <w:b/>
                <w:bCs/>
              </w:rPr>
            </w:pPr>
            <w:r>
              <w:rPr>
                <w:b/>
                <w:bCs/>
              </w:rPr>
              <w:t>Initial benefiting industry</w:t>
            </w:r>
          </w:p>
          <w:p w14:paraId="1B835B4D" w14:textId="7A96BC92" w:rsidR="00D7305F" w:rsidRPr="007C6B92" w:rsidRDefault="00D7305F" w:rsidP="007C6B92">
            <w:pPr>
              <w:pStyle w:val="BodyText"/>
            </w:pPr>
            <w:r w:rsidRPr="007C6B92">
              <w:t>Assistance from each measure is allocated to an Australian and New Zealand Standard Industrial Classification (ANZSIC) 2</w:t>
            </w:r>
            <w:r w:rsidR="00200862">
              <w:noBreakHyphen/>
            </w:r>
            <w:r w:rsidRPr="007C6B92">
              <w:t xml:space="preserve">digit industry code for agriculture, forestry and fishing and manufacturing and then at the ANZSIC division level for services and mining. Spending from one program or measure can be allocated across multiple industries. Where possible, the </w:t>
            </w:r>
            <w:r w:rsidR="00F82023">
              <w:t>PC</w:t>
            </w:r>
            <w:r w:rsidRPr="007C6B92">
              <w:t xml:space="preserve"> allocates budgetary assistance to the industry or sector that benefits from it. This is undertaken on an ‘initial benefiting industry’ basis – that is, assistance is allocated to the industry that ‘hosts’ the business or businesses that initially benefits from a program or measure. The accompanying TAR Methodological </w:t>
            </w:r>
            <w:r w:rsidR="000309B9">
              <w:t>A</w:t>
            </w:r>
            <w:r w:rsidRPr="007C6B92">
              <w:t>nnex provides more detailed information.</w:t>
            </w:r>
          </w:p>
        </w:tc>
      </w:tr>
      <w:tr w:rsidR="00D7305F" w14:paraId="2E746E76" w14:textId="77777777" w:rsidTr="00616F0E">
        <w:trPr>
          <w:hidden/>
        </w:trPr>
        <w:tc>
          <w:tcPr>
            <w:tcW w:w="9638" w:type="dxa"/>
            <w:shd w:val="clear" w:color="auto" w:fill="auto"/>
            <w:tcMar>
              <w:top w:w="0" w:type="dxa"/>
              <w:left w:w="170" w:type="dxa"/>
              <w:bottom w:w="0" w:type="dxa"/>
              <w:right w:w="170" w:type="dxa"/>
            </w:tcMar>
          </w:tcPr>
          <w:p w14:paraId="088D43F3" w14:textId="7D3B3F2F" w:rsidR="00D7305F" w:rsidRPr="00465191" w:rsidRDefault="00D7305F">
            <w:pPr>
              <w:pStyle w:val="BodyText"/>
              <w:spacing w:before="0" w:after="0" w:line="80" w:lineRule="atLeast"/>
              <w:rPr>
                <w:smallCaps/>
                <w:vanish/>
              </w:rPr>
            </w:pPr>
          </w:p>
        </w:tc>
      </w:tr>
    </w:tbl>
    <w:p w14:paraId="43BE6CA6" w14:textId="5C5B6C84" w:rsidR="00D7305F" w:rsidRDefault="00D7305F" w:rsidP="00D7305F">
      <w:pPr>
        <w:pStyle w:val="Heading3"/>
      </w:pPr>
      <w:r>
        <w:t>Budgetary assistance stabilised in 2023</w:t>
      </w:r>
      <w:r w:rsidR="00266469">
        <w:t>-</w:t>
      </w:r>
      <w:r>
        <w:t>24</w:t>
      </w:r>
    </w:p>
    <w:p w14:paraId="7B5AF697" w14:textId="042CF71B" w:rsidR="00D7305F" w:rsidRDefault="00D7305F" w:rsidP="00D7305F">
      <w:pPr>
        <w:pStyle w:val="BodyText"/>
      </w:pPr>
      <w:r w:rsidRPr="007C6B92">
        <w:t>In 2023</w:t>
      </w:r>
      <w:r w:rsidR="00266469">
        <w:t>-</w:t>
      </w:r>
      <w:r w:rsidRPr="007C6B92">
        <w:t>24, the Australian Government provided approximately $16.1 billion in budgetary assistance. Tax concessions made up</w:t>
      </w:r>
      <w:r w:rsidRPr="007C6B92" w:rsidDel="00CE0B59">
        <w:t xml:space="preserve"> </w:t>
      </w:r>
      <w:r w:rsidRPr="007C6B92">
        <w:t>just over half of budgetary assistance (52.3%), while budgetary outlays from government measures make up the remaining 47.7%. While budgetary assistance grew year</w:t>
      </w:r>
      <w:r w:rsidR="0031620F">
        <w:t>-</w:t>
      </w:r>
      <w:r w:rsidRPr="007C6B92">
        <w:t>on</w:t>
      </w:r>
      <w:r w:rsidR="0031620F">
        <w:t>-</w:t>
      </w:r>
      <w:r w:rsidRPr="007C6B92">
        <w:t>year by $0.6 billion (3.9%) (</w:t>
      </w:r>
      <w:r w:rsidR="00866386">
        <w:t>f</w:t>
      </w:r>
      <w:r w:rsidR="00791979" w:rsidRPr="00622B65">
        <w:t>igure</w:t>
      </w:r>
      <w:r w:rsidR="00791979" w:rsidRPr="00A85971">
        <w:t> </w:t>
      </w:r>
      <w:r w:rsidR="00791979">
        <w:t>4.1</w:t>
      </w:r>
      <w:r w:rsidRPr="007C6B92">
        <w:t>)</w:t>
      </w:r>
      <w:r w:rsidR="00347E3E">
        <w:t>,</w:t>
      </w:r>
      <w:r w:rsidRPr="007C6B92">
        <w:t xml:space="preserve"> it remained flat as a percentage of gross domestic product (GDP), holding steady at 0.61%. This figure is below its recent high of 0.67% of GDP during the COVID</w:t>
      </w:r>
      <w:r w:rsidR="00200862">
        <w:noBreakHyphen/>
      </w:r>
      <w:r w:rsidRPr="007C6B92">
        <w:t xml:space="preserve">19 pandemic </w:t>
      </w:r>
      <w:r w:rsidR="00511DE0">
        <w:t>and</w:t>
      </w:r>
      <w:r w:rsidR="00511DE0" w:rsidRPr="007C6B92">
        <w:t xml:space="preserve"> </w:t>
      </w:r>
      <w:r w:rsidRPr="007C6B92">
        <w:t xml:space="preserve">is </w:t>
      </w:r>
      <w:r w:rsidR="00520CA5">
        <w:t xml:space="preserve">in line </w:t>
      </w:r>
      <w:r w:rsidR="00F87ECB">
        <w:t>with</w:t>
      </w:r>
      <w:r w:rsidRPr="007C6B92">
        <w:t xml:space="preserve"> </w:t>
      </w:r>
      <w:r w:rsidR="00F87ECB">
        <w:t xml:space="preserve">Australia’s </w:t>
      </w:r>
      <w:r w:rsidRPr="007C6B92">
        <w:t xml:space="preserve">median level </w:t>
      </w:r>
      <w:r w:rsidR="003170EF">
        <w:t>over the last 28 years (</w:t>
      </w:r>
      <w:r w:rsidRPr="007C6B92">
        <w:t>0.61%</w:t>
      </w:r>
      <w:r w:rsidR="00AE0F19">
        <w:t>)</w:t>
      </w:r>
      <w:r w:rsidRPr="00595C6E">
        <w:t>.</w:t>
      </w:r>
      <w:r w:rsidRPr="00D23D7D">
        <w:rPr>
          <w:rStyle w:val="FootnoteReference"/>
        </w:rPr>
        <w:footnoteReference w:id="26"/>
      </w:r>
      <w:r>
        <w:t xml:space="preserve"> </w:t>
      </w:r>
    </w:p>
    <w:p w14:paraId="6BB2FA56" w14:textId="6DB7AC35" w:rsidR="00D7305F" w:rsidRDefault="00D7305F" w:rsidP="00D7305F">
      <w:pPr>
        <w:pStyle w:val="BodyText"/>
      </w:pPr>
      <w:r>
        <w:lastRenderedPageBreak/>
        <w:t>It is important to note that budgetary assistance related to the Australian Government’s Future Made in Australia (FMIA) policy agenda will largely not commence until future years</w:t>
      </w:r>
      <w:r w:rsidR="004458C7">
        <w:t xml:space="preserve"> (as explored in chapter 3)</w:t>
      </w:r>
      <w:r>
        <w:t>, meaning estimates for 2023</w:t>
      </w:r>
      <w:r w:rsidR="001E0640">
        <w:t>-</w:t>
      </w:r>
      <w:r>
        <w:t xml:space="preserve">24 </w:t>
      </w:r>
      <w:r w:rsidR="007C6B92">
        <w:t xml:space="preserve">largely </w:t>
      </w:r>
      <w:r>
        <w:t>do not reflect these commitments.</w:t>
      </w:r>
    </w:p>
    <w:p w14:paraId="4C3A9C45" w14:textId="3889917B" w:rsidR="00D7305F" w:rsidRPr="005C43C2" w:rsidRDefault="00D7305F" w:rsidP="00D7305F">
      <w:pPr>
        <w:pStyle w:val="FigureTableHeading"/>
      </w:pPr>
      <w:bookmarkStart w:id="54" w:name="_Ref157414412"/>
      <w:r w:rsidRPr="00622B65">
        <w:t>Figure</w:t>
      </w:r>
      <w:r w:rsidRPr="00A85971">
        <w:t>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1</w:t>
      </w:r>
      <w:r w:rsidR="005642CB">
        <w:fldChar w:fldCharType="end"/>
      </w:r>
      <w:bookmarkEnd w:id="54"/>
      <w:r w:rsidRPr="00622B65">
        <w:t xml:space="preserve"> – </w:t>
      </w:r>
      <w:r>
        <w:t xml:space="preserve">Budgetary assistance is currently at its </w:t>
      </w:r>
      <w:r w:rsidR="00310A08">
        <w:t>28-year</w:t>
      </w:r>
      <w:r>
        <w:t xml:space="preserve"> median share of GDP </w:t>
      </w:r>
    </w:p>
    <w:p w14:paraId="0FE9FF24" w14:textId="77777777" w:rsidR="00627E01" w:rsidRDefault="00D7305F" w:rsidP="00D7305F">
      <w:pPr>
        <w:pStyle w:val="FigureTableSubheading"/>
        <w:rPr>
          <w:iCs w:val="0"/>
        </w:rPr>
      </w:pPr>
      <w:r>
        <w:t>O</w:t>
      </w:r>
      <w:r w:rsidRPr="00335B19">
        <w:t>utlays and tax concessions, current dollars and % of GDP, 1996</w:t>
      </w:r>
      <w:r w:rsidR="001E0640">
        <w:t>-</w:t>
      </w:r>
      <w:r w:rsidRPr="00335B19">
        <w:t xml:space="preserve">97 to </w:t>
      </w:r>
      <w:r>
        <w:t>2023</w:t>
      </w:r>
      <w:r w:rsidR="001E0640">
        <w:t>-</w:t>
      </w:r>
      <w:r>
        <w:t>24</w:t>
      </w:r>
      <w:r w:rsidR="006A640A">
        <w:rPr>
          <w:iCs w:val="0"/>
        </w:rPr>
        <w:t xml:space="preserve"> </w:t>
      </w:r>
    </w:p>
    <w:p w14:paraId="7F89D39C" w14:textId="34DCA671" w:rsidR="00D7305F" w:rsidRPr="00DA564D" w:rsidRDefault="00717648" w:rsidP="00627E01">
      <w:pPr>
        <w:pStyle w:val="BodyText"/>
        <w:rPr>
          <w:rStyle w:val="BodyTextChar"/>
        </w:rPr>
      </w:pPr>
      <w:r w:rsidRPr="00717648">
        <w:rPr>
          <w:noProof/>
        </w:rPr>
        <w:drawing>
          <wp:inline distT="0" distB="0" distL="0" distR="0" wp14:anchorId="0D7EB542" wp14:editId="20294FC2">
            <wp:extent cx="6120130" cy="3332480"/>
            <wp:effectExtent l="0" t="0" r="0" b="0"/>
            <wp:docPr id="1131856999" name="Picture 26" descr="Figure 4.1 - This figure shows that budgetary assistance stayed flat in 2023-24, both in dollars (from $15.5 billion to $16.1 billion) and as a share of GDP (0.6% in both years). The figure also shows that budgetary assistance provided by tax concessions made up 52% of assistance, with the remaining 48% coming from budgetary outlays in 2023-24. It also shows that budgetary assistance as a share of GDP has stayed in a range of 0.5-0.8 per cent since 1996-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56999" name="Picture 26" descr="Figure 4.1 - This figure shows that budgetary assistance stayed flat in 2023-24, both in dollars (from $15.5 billion to $16.1 billion) and as a share of GDP (0.6% in both years). The figure also shows that budgetary assistance provided by tax concessions made up 52% of assistance, with the remaining 48% coming from budgetary outlays in 2023-24. It also shows that budgetary assistance as a share of GDP has stayed in a range of 0.5-0.8 per cent since 1996-97.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3332480"/>
                    </a:xfrm>
                    <a:prstGeom prst="rect">
                      <a:avLst/>
                    </a:prstGeom>
                    <a:noFill/>
                    <a:ln>
                      <a:noFill/>
                    </a:ln>
                  </pic:spPr>
                </pic:pic>
              </a:graphicData>
            </a:graphic>
          </wp:inline>
        </w:drawing>
      </w:r>
    </w:p>
    <w:p w14:paraId="658811FD" w14:textId="1796FC06" w:rsidR="00D7305F" w:rsidRPr="00622B65" w:rsidRDefault="00D7305F" w:rsidP="00D7305F">
      <w:pPr>
        <w:pStyle w:val="Source"/>
      </w:pPr>
      <w:r w:rsidRPr="00622B65">
        <w:t xml:space="preserve">Source: </w:t>
      </w:r>
      <w:r>
        <w:t>P</w:t>
      </w:r>
      <w:r w:rsidR="00451318">
        <w:t>C</w:t>
      </w:r>
      <w:r w:rsidRPr="00622B65">
        <w:t xml:space="preserve"> estimates.</w:t>
      </w:r>
    </w:p>
    <w:p w14:paraId="2CA4CE37" w14:textId="13F230E8" w:rsidR="00F86E44" w:rsidRPr="00627E01" w:rsidRDefault="00D7305F" w:rsidP="00D7305F">
      <w:pPr>
        <w:pStyle w:val="BodyText"/>
        <w:rPr>
          <w:spacing w:val="-4"/>
        </w:rPr>
      </w:pPr>
      <w:r w:rsidRPr="00627E01">
        <w:rPr>
          <w:spacing w:val="-4"/>
        </w:rPr>
        <w:t>Budgetary assistance grew nominally in 2023</w:t>
      </w:r>
      <w:r w:rsidR="001E0640" w:rsidRPr="00627E01">
        <w:rPr>
          <w:spacing w:val="-4"/>
        </w:rPr>
        <w:t>-</w:t>
      </w:r>
      <w:r w:rsidRPr="00627E01">
        <w:rPr>
          <w:spacing w:val="-4"/>
        </w:rPr>
        <w:t>24 as spending from new measures exceeded declines in spending from established measures</w:t>
      </w:r>
      <w:r w:rsidR="006053C0" w:rsidRPr="00627E01">
        <w:rPr>
          <w:spacing w:val="-4"/>
        </w:rPr>
        <w:t xml:space="preserve"> </w:t>
      </w:r>
      <w:r w:rsidR="007C1C34" w:rsidRPr="00627E01">
        <w:rPr>
          <w:spacing w:val="-4"/>
        </w:rPr>
        <w:t>(figure </w:t>
      </w:r>
      <w:r w:rsidR="007C1C34" w:rsidRPr="00627E01">
        <w:rPr>
          <w:noProof/>
          <w:spacing w:val="-4"/>
        </w:rPr>
        <w:t>4</w:t>
      </w:r>
      <w:r w:rsidR="007C1C34" w:rsidRPr="00627E01">
        <w:rPr>
          <w:spacing w:val="-4"/>
        </w:rPr>
        <w:t>.</w:t>
      </w:r>
      <w:r w:rsidR="007C1C34" w:rsidRPr="00627E01">
        <w:rPr>
          <w:noProof/>
          <w:spacing w:val="-4"/>
        </w:rPr>
        <w:t>2</w:t>
      </w:r>
      <w:r w:rsidR="007C1C34" w:rsidRPr="00627E01">
        <w:rPr>
          <w:spacing w:val="-4"/>
        </w:rPr>
        <w:t>)</w:t>
      </w:r>
      <w:r w:rsidRPr="00627E01">
        <w:rPr>
          <w:spacing w:val="-4"/>
        </w:rPr>
        <w:t>. The decline in budgetary assistance resulted from 16</w:t>
      </w:r>
      <w:r w:rsidR="00627E01" w:rsidRPr="00627E01">
        <w:rPr>
          <w:spacing w:val="-4"/>
        </w:rPr>
        <w:t> </w:t>
      </w:r>
      <w:r w:rsidRPr="00627E01">
        <w:rPr>
          <w:spacing w:val="-4"/>
        </w:rPr>
        <w:t>measures being discontinued ($91 million) and a fall in year</w:t>
      </w:r>
      <w:r w:rsidR="00200862" w:rsidRPr="00627E01">
        <w:rPr>
          <w:spacing w:val="-4"/>
        </w:rPr>
        <w:noBreakHyphen/>
      </w:r>
      <w:r w:rsidRPr="00627E01">
        <w:rPr>
          <w:spacing w:val="-4"/>
        </w:rPr>
        <w:t>on</w:t>
      </w:r>
      <w:r w:rsidR="00200862" w:rsidRPr="00627E01">
        <w:rPr>
          <w:spacing w:val="-4"/>
        </w:rPr>
        <w:noBreakHyphen/>
      </w:r>
      <w:r w:rsidRPr="00627E01">
        <w:rPr>
          <w:spacing w:val="-4"/>
        </w:rPr>
        <w:t>year expenditure from the remaining 102</w:t>
      </w:r>
      <w:r w:rsidR="00627E01" w:rsidRPr="00627E01">
        <w:rPr>
          <w:spacing w:val="-4"/>
        </w:rPr>
        <w:t> </w:t>
      </w:r>
      <w:r w:rsidRPr="00627E01">
        <w:rPr>
          <w:spacing w:val="-4"/>
        </w:rPr>
        <w:t>existing measures ($350.6 million). This decline was offset by the introduction of 20 new measures accounting for $1 billion in new budgetary assistance spending</w:t>
      </w:r>
      <w:r w:rsidR="008B2745" w:rsidRPr="00627E01">
        <w:rPr>
          <w:spacing w:val="-4"/>
        </w:rPr>
        <w:t xml:space="preserve">. </w:t>
      </w:r>
      <w:r w:rsidR="00802B1C" w:rsidRPr="00627E01" w:rsidDel="0098237E">
        <w:rPr>
          <w:spacing w:val="-4"/>
        </w:rPr>
        <w:t>The decline in expenditure on existing measures was pronounced in 2023</w:t>
      </w:r>
      <w:r w:rsidR="001E0640" w:rsidRPr="00627E01">
        <w:rPr>
          <w:spacing w:val="-4"/>
        </w:rPr>
        <w:t>-</w:t>
      </w:r>
      <w:r w:rsidR="00802B1C" w:rsidRPr="00627E01" w:rsidDel="0098237E">
        <w:rPr>
          <w:spacing w:val="-4"/>
        </w:rPr>
        <w:t xml:space="preserve">24, primarily </w:t>
      </w:r>
      <w:r w:rsidR="00A6282A" w:rsidRPr="00627E01">
        <w:rPr>
          <w:spacing w:val="-4"/>
        </w:rPr>
        <w:t>explained</w:t>
      </w:r>
      <w:r w:rsidR="00A6282A" w:rsidRPr="00627E01" w:rsidDel="0098237E">
        <w:rPr>
          <w:spacing w:val="-4"/>
        </w:rPr>
        <w:t xml:space="preserve"> </w:t>
      </w:r>
      <w:r w:rsidR="00802B1C" w:rsidRPr="00627E01" w:rsidDel="0098237E">
        <w:rPr>
          <w:spacing w:val="-4"/>
        </w:rPr>
        <w:t>by a few demand</w:t>
      </w:r>
      <w:r w:rsidR="00200862" w:rsidRPr="00627E01">
        <w:rPr>
          <w:spacing w:val="-4"/>
        </w:rPr>
        <w:noBreakHyphen/>
      </w:r>
      <w:r w:rsidR="00802B1C" w:rsidRPr="00627E01" w:rsidDel="0098237E">
        <w:rPr>
          <w:spacing w:val="-4"/>
        </w:rPr>
        <w:t>driven measures rather than cuts in funding</w:t>
      </w:r>
      <w:r w:rsidR="00F86E44" w:rsidRPr="00627E01">
        <w:rPr>
          <w:spacing w:val="-4"/>
        </w:rPr>
        <w:t>:</w:t>
      </w:r>
    </w:p>
    <w:p w14:paraId="14BC491C" w14:textId="44FAF072" w:rsidR="00F86E44" w:rsidRDefault="00802B1C" w:rsidP="00F86E44">
      <w:pPr>
        <w:pStyle w:val="ListBullet"/>
      </w:pPr>
      <w:r w:rsidRPr="001A14D5" w:rsidDel="0098237E">
        <w:t xml:space="preserve">The </w:t>
      </w:r>
      <w:r w:rsidDel="0098237E">
        <w:t>largest</w:t>
      </w:r>
      <w:r w:rsidRPr="001A14D5" w:rsidDel="0098237E">
        <w:t xml:space="preserve"> reduction came from HomeBuilder, </w:t>
      </w:r>
      <w:r w:rsidDel="0098237E">
        <w:t>the last ‘enduring’ COVID</w:t>
      </w:r>
      <w:r w:rsidR="00200862">
        <w:noBreakHyphen/>
      </w:r>
      <w:r w:rsidDel="0098237E">
        <w:t xml:space="preserve">19 budgetary assistance measure, </w:t>
      </w:r>
      <w:r>
        <w:t>with remaining spending set to end in 2025</w:t>
      </w:r>
      <w:r w:rsidR="001E0640">
        <w:t>-</w:t>
      </w:r>
      <w:r>
        <w:t>26</w:t>
      </w:r>
      <w:r w:rsidDel="0098237E">
        <w:t>. Actual spending in 2023</w:t>
      </w:r>
      <w:r w:rsidR="001E0640">
        <w:t>-</w:t>
      </w:r>
      <w:r w:rsidDel="0098237E">
        <w:t>24</w:t>
      </w:r>
      <w:r w:rsidRPr="001A14D5" w:rsidDel="0098237E">
        <w:t xml:space="preserve"> on HomeBuilder was $</w:t>
      </w:r>
      <w:r w:rsidDel="0098237E">
        <w:t>121</w:t>
      </w:r>
      <w:r w:rsidRPr="001A14D5" w:rsidDel="0098237E">
        <w:t xml:space="preserve"> million lower than budgeted, </w:t>
      </w:r>
      <w:r w:rsidDel="0098237E">
        <w:t xml:space="preserve">possibly </w:t>
      </w:r>
      <w:r w:rsidRPr="001A14D5" w:rsidDel="0098237E">
        <w:t xml:space="preserve">reflecting </w:t>
      </w:r>
      <w:r w:rsidRPr="00F86E44" w:rsidDel="0098237E">
        <w:t xml:space="preserve">smaller claims from the applications than anticipated </w:t>
      </w:r>
      <w:r w:rsidR="00A268F9" w:rsidRPr="00A268F9">
        <w:rPr>
          <w:rFonts w:ascii="Arial" w:hAnsi="Arial" w:cs="Arial"/>
        </w:rPr>
        <w:t>(The Commonwealth of Australia 2024c, p. 62, 2025b, p. 61)</w:t>
      </w:r>
      <w:r w:rsidRPr="00F86E44" w:rsidDel="0098237E">
        <w:t xml:space="preserve">. </w:t>
      </w:r>
    </w:p>
    <w:p w14:paraId="5BF9AADE" w14:textId="75E1CD9E" w:rsidR="00F86E44" w:rsidRDefault="00802B1C" w:rsidP="00F86E44">
      <w:pPr>
        <w:pStyle w:val="ListBullet"/>
      </w:pPr>
      <w:r w:rsidRPr="00F86E44" w:rsidDel="0098237E">
        <w:t>The</w:t>
      </w:r>
      <w:r w:rsidRPr="00F93463" w:rsidDel="0098237E">
        <w:t xml:space="preserve"> Farm Management Deposits Scheme als</w:t>
      </w:r>
      <w:r w:rsidRPr="001A14D5" w:rsidDel="0098237E">
        <w:t>o experienced a large year</w:t>
      </w:r>
      <w:r w:rsidR="00200862">
        <w:noBreakHyphen/>
      </w:r>
      <w:r w:rsidRPr="001A14D5" w:rsidDel="0098237E">
        <w:t>on</w:t>
      </w:r>
      <w:r w:rsidR="00200862">
        <w:noBreakHyphen/>
      </w:r>
      <w:r w:rsidRPr="001A14D5" w:rsidDel="0098237E">
        <w:t>year drop in expenditure</w:t>
      </w:r>
      <w:r w:rsidDel="0098237E">
        <w:t xml:space="preserve"> ($60 million)</w:t>
      </w:r>
      <w:r w:rsidRPr="001A14D5" w:rsidDel="0098237E">
        <w:t xml:space="preserve">, as this </w:t>
      </w:r>
      <w:r w:rsidDel="0098237E">
        <w:t>measure</w:t>
      </w:r>
      <w:r w:rsidRPr="001A14D5" w:rsidDel="0098237E">
        <w:t xml:space="preserve"> supports farmers </w:t>
      </w:r>
      <w:r w:rsidDel="0098237E">
        <w:t>with variable growing conditions</w:t>
      </w:r>
      <w:r w:rsidRPr="001A14D5" w:rsidDel="0098237E">
        <w:t xml:space="preserve">. </w:t>
      </w:r>
    </w:p>
    <w:p w14:paraId="25BF8077" w14:textId="37A54FF8" w:rsidR="00F86E44" w:rsidRDefault="00802B1C" w:rsidP="00F86E44">
      <w:pPr>
        <w:pStyle w:val="ListBullet"/>
      </w:pPr>
      <w:r w:rsidRPr="001A14D5" w:rsidDel="0098237E">
        <w:t xml:space="preserve">Additionally, some tax concessions, such as the small business capital gains tax exemption, </w:t>
      </w:r>
      <w:r w:rsidDel="0098237E">
        <w:t>had</w:t>
      </w:r>
      <w:r w:rsidRPr="001A14D5" w:rsidDel="0098237E">
        <w:t xml:space="preserve"> notable </w:t>
      </w:r>
      <w:r w:rsidDel="0098237E">
        <w:t>falls</w:t>
      </w:r>
      <w:r w:rsidRPr="001A14D5" w:rsidDel="0098237E">
        <w:t xml:space="preserve"> in spending. </w:t>
      </w:r>
    </w:p>
    <w:p w14:paraId="62BAB2BA" w14:textId="4849C9E7" w:rsidR="00D7305F" w:rsidRDefault="00802B1C" w:rsidP="00D7305F">
      <w:pPr>
        <w:pStyle w:val="BodyText"/>
      </w:pPr>
      <w:r w:rsidRPr="001A14D5" w:rsidDel="0098237E">
        <w:t xml:space="preserve">These drops </w:t>
      </w:r>
      <w:r w:rsidR="0076538A">
        <w:t>do not appear to be from</w:t>
      </w:r>
      <w:r w:rsidRPr="001A14D5" w:rsidDel="0098237E">
        <w:t xml:space="preserve"> changes </w:t>
      </w:r>
      <w:r w:rsidDel="0098237E">
        <w:t>in the measure</w:t>
      </w:r>
      <w:r w:rsidRPr="001A14D5" w:rsidDel="0098237E">
        <w:t>s themselves,</w:t>
      </w:r>
      <w:r w:rsidDel="0098237E">
        <w:t xml:space="preserve"> but from slightly lower demand</w:t>
      </w:r>
      <w:r w:rsidR="00B9622C">
        <w:t>.</w:t>
      </w:r>
    </w:p>
    <w:p w14:paraId="2F678222" w14:textId="61BC6FE7" w:rsidR="00D7305F" w:rsidRDefault="00D7305F" w:rsidP="00D7305F">
      <w:pPr>
        <w:pStyle w:val="BodyText"/>
      </w:pPr>
      <w:r>
        <w:t>Close to half (48%) of discontinued spending came from expiring COVID</w:t>
      </w:r>
      <w:r w:rsidR="00F80CC4">
        <w:t>–</w:t>
      </w:r>
      <w:r>
        <w:t>19 support measures such as the Waiver of the Environmental Management Charge and the Regional Small Business Support Program. The remaining discontinued measures were primarily grant measures which have been completed (</w:t>
      </w:r>
      <w:r w:rsidR="00627E01">
        <w:t>a</w:t>
      </w:r>
      <w:r>
        <w:t xml:space="preserve">ppendix </w:t>
      </w:r>
      <w:r w:rsidR="00086A34">
        <w:t>B</w:t>
      </w:r>
      <w:r>
        <w:t xml:space="preserve"> contains a full list). </w:t>
      </w:r>
    </w:p>
    <w:p w14:paraId="3782B67D" w14:textId="6BFCF250" w:rsidR="00D7305F" w:rsidRDefault="00D7305F" w:rsidP="00D7305F">
      <w:pPr>
        <w:pStyle w:val="Caption"/>
        <w:keepNext/>
      </w:pPr>
      <w:bookmarkStart w:id="55" w:name="_Ref190166195"/>
      <w:r>
        <w:lastRenderedPageBreak/>
        <w:t>Figure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2</w:t>
      </w:r>
      <w:r w:rsidR="005642CB">
        <w:fldChar w:fldCharType="end"/>
      </w:r>
      <w:bookmarkEnd w:id="55"/>
      <w:r>
        <w:t xml:space="preserve"> – New measures offset a reduction in expenditure on existing measures and discontinuing measures </w:t>
      </w:r>
    </w:p>
    <w:p w14:paraId="2C9FA7C9" w14:textId="145E5015" w:rsidR="00D7305F" w:rsidRPr="00E142F8" w:rsidRDefault="00D7305F" w:rsidP="00D7305F">
      <w:pPr>
        <w:pStyle w:val="FigureTableSubheading"/>
        <w:keepLines/>
      </w:pPr>
      <w:r>
        <w:t>Budgetary assistance</w:t>
      </w:r>
      <w:r w:rsidRPr="00622B65">
        <w:t xml:space="preserve">, current dollars, </w:t>
      </w:r>
      <w:r>
        <w:t>2022</w:t>
      </w:r>
      <w:r w:rsidR="001E0640">
        <w:t>-</w:t>
      </w:r>
      <w:r>
        <w:t xml:space="preserve">23 </w:t>
      </w:r>
      <w:r w:rsidRPr="00622B65">
        <w:t xml:space="preserve">to </w:t>
      </w:r>
      <w:r>
        <w:t>2023</w:t>
      </w:r>
      <w:r w:rsidR="001E0640">
        <w:t>-</w:t>
      </w:r>
      <w:r>
        <w:t>24</w:t>
      </w:r>
    </w:p>
    <w:p w14:paraId="03F4A3B6" w14:textId="151DED14" w:rsidR="00D7305F" w:rsidRPr="00CB061D" w:rsidRDefault="00717648" w:rsidP="00627E01">
      <w:pPr>
        <w:pStyle w:val="BodyText"/>
      </w:pPr>
      <w:r w:rsidRPr="00717648">
        <w:rPr>
          <w:noProof/>
        </w:rPr>
        <w:drawing>
          <wp:inline distT="0" distB="0" distL="0" distR="0" wp14:anchorId="3730277A" wp14:editId="23970EBA">
            <wp:extent cx="6120130" cy="3419475"/>
            <wp:effectExtent l="0" t="0" r="0" b="0"/>
            <wp:docPr id="264291624" name="Picture 27" descr="Figure 4.2 - This figure shows the breakdown in changes to budgetary assistance between 2022-23 ($15.5 billion of budgetary assistance) and 2023-24 ($16.1 billion). New programs increased by $1 billion, existing programs shrunk by $0.4 billion overall, and discontinued programs shrunk by $0.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91624" name="Picture 27" descr="Figure 4.2 - This figure shows the breakdown in changes to budgetary assistance between 2022-23 ($15.5 billion of budgetary assistance) and 2023-24 ($16.1 billion). New programs increased by $1 billion, existing programs shrunk by $0.4 billion overall, and discontinued programs shrunk by $0.1 billion.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419475"/>
                    </a:xfrm>
                    <a:prstGeom prst="rect">
                      <a:avLst/>
                    </a:prstGeom>
                    <a:noFill/>
                    <a:ln>
                      <a:noFill/>
                    </a:ln>
                  </pic:spPr>
                </pic:pic>
              </a:graphicData>
            </a:graphic>
          </wp:inline>
        </w:drawing>
      </w:r>
    </w:p>
    <w:p w14:paraId="5B3940DA" w14:textId="29A1A2BD" w:rsidR="00D7305F" w:rsidRDefault="00D7305F" w:rsidP="00D7305F">
      <w:pPr>
        <w:pStyle w:val="Source"/>
      </w:pPr>
      <w:r w:rsidRPr="00622B65">
        <w:t xml:space="preserve">Source: </w:t>
      </w:r>
      <w:r w:rsidR="00451318">
        <w:t>PC</w:t>
      </w:r>
      <w:r w:rsidRPr="00622B65">
        <w:t xml:space="preserve"> estimates.</w:t>
      </w:r>
    </w:p>
    <w:p w14:paraId="3E79CCD4" w14:textId="631E9041" w:rsidR="00D7305F" w:rsidRPr="00627E01" w:rsidRDefault="009030E7" w:rsidP="00D7305F">
      <w:pPr>
        <w:pStyle w:val="BodyText"/>
        <w:rPr>
          <w:spacing w:val="-2"/>
        </w:rPr>
      </w:pPr>
      <w:r w:rsidRPr="00627E01">
        <w:rPr>
          <w:spacing w:val="-2"/>
        </w:rPr>
        <w:t>Figure </w:t>
      </w:r>
      <w:r w:rsidRPr="00627E01">
        <w:rPr>
          <w:noProof/>
          <w:spacing w:val="-2"/>
        </w:rPr>
        <w:t>4</w:t>
      </w:r>
      <w:r w:rsidRPr="00627E01">
        <w:rPr>
          <w:spacing w:val="-2"/>
        </w:rPr>
        <w:t>.</w:t>
      </w:r>
      <w:r w:rsidRPr="00627E01">
        <w:rPr>
          <w:noProof/>
          <w:spacing w:val="-2"/>
        </w:rPr>
        <w:t>3</w:t>
      </w:r>
      <w:r w:rsidRPr="00627E01">
        <w:rPr>
          <w:spacing w:val="-2"/>
        </w:rPr>
        <w:t xml:space="preserve"> </w:t>
      </w:r>
      <w:r w:rsidR="00D7305F" w:rsidRPr="00627E01">
        <w:rPr>
          <w:spacing w:val="-2"/>
        </w:rPr>
        <w:t>shows spending broken down by ‘type’ of budgetary assistance. In both 2022</w:t>
      </w:r>
      <w:r w:rsidR="001E0640" w:rsidRPr="00627E01">
        <w:rPr>
          <w:spacing w:val="-2"/>
        </w:rPr>
        <w:t>-</w:t>
      </w:r>
      <w:r w:rsidR="00D7305F" w:rsidRPr="00627E01">
        <w:rPr>
          <w:spacing w:val="-2"/>
        </w:rPr>
        <w:t>23 and 2023</w:t>
      </w:r>
      <w:r w:rsidR="001E0640" w:rsidRPr="00627E01">
        <w:rPr>
          <w:spacing w:val="-2"/>
        </w:rPr>
        <w:t>-</w:t>
      </w:r>
      <w:r w:rsidR="00D7305F" w:rsidRPr="00627E01">
        <w:rPr>
          <w:spacing w:val="-2"/>
        </w:rPr>
        <w:t xml:space="preserve">24 the largest types of budgetary assistance </w:t>
      </w:r>
      <w:r w:rsidR="00F22B8D" w:rsidRPr="00627E01">
        <w:rPr>
          <w:spacing w:val="-2"/>
        </w:rPr>
        <w:t xml:space="preserve">were </w:t>
      </w:r>
      <w:r w:rsidR="00D7305F" w:rsidRPr="00627E01">
        <w:rPr>
          <w:spacing w:val="-2"/>
        </w:rPr>
        <w:t xml:space="preserve">small business measures and </w:t>
      </w:r>
      <w:r w:rsidR="00E42212" w:rsidRPr="00627E01">
        <w:rPr>
          <w:spacing w:val="-2"/>
        </w:rPr>
        <w:t>research and development (</w:t>
      </w:r>
      <w:r w:rsidR="00D7305F" w:rsidRPr="00627E01">
        <w:rPr>
          <w:spacing w:val="-2"/>
        </w:rPr>
        <w:t>R&amp;D</w:t>
      </w:r>
      <w:r w:rsidR="00E42212" w:rsidRPr="00627E01">
        <w:rPr>
          <w:spacing w:val="-2"/>
        </w:rPr>
        <w:t>)</w:t>
      </w:r>
      <w:r w:rsidR="00D7305F" w:rsidRPr="00627E01">
        <w:rPr>
          <w:spacing w:val="-2"/>
        </w:rPr>
        <w:t xml:space="preserve"> measures. Spending for small business measures grew the most due to two new tax deductions for small businesses. However, while labelled as small business tax incentives, they </w:t>
      </w:r>
      <w:r w:rsidR="00205485" w:rsidRPr="00627E01">
        <w:rPr>
          <w:spacing w:val="-2"/>
        </w:rPr>
        <w:t>apply</w:t>
      </w:r>
      <w:r w:rsidR="00D7305F" w:rsidRPr="00627E01">
        <w:rPr>
          <w:spacing w:val="-2"/>
        </w:rPr>
        <w:t xml:space="preserve"> to a large set of businesses, reflecting disparities in the use of the term </w:t>
      </w:r>
      <w:r w:rsidR="00A83B67" w:rsidRPr="00627E01">
        <w:rPr>
          <w:spacing w:val="-2"/>
        </w:rPr>
        <w:t>‘</w:t>
      </w:r>
      <w:r w:rsidR="00D7305F" w:rsidRPr="00627E01">
        <w:rPr>
          <w:spacing w:val="-2"/>
        </w:rPr>
        <w:t>small business</w:t>
      </w:r>
      <w:r w:rsidR="00A83B67" w:rsidRPr="00627E01">
        <w:rPr>
          <w:spacing w:val="-2"/>
        </w:rPr>
        <w:t>’</w:t>
      </w:r>
      <w:r w:rsidR="00D7305F" w:rsidRPr="00627E01">
        <w:rPr>
          <w:spacing w:val="-2"/>
        </w:rPr>
        <w:t xml:space="preserve"> across government (</w:t>
      </w:r>
      <w:r w:rsidR="00D16CA3">
        <w:rPr>
          <w:spacing w:val="-2"/>
        </w:rPr>
        <w:t>box</w:t>
      </w:r>
      <w:r w:rsidR="00791979" w:rsidRPr="00627E01">
        <w:rPr>
          <w:spacing w:val="-2"/>
        </w:rPr>
        <w:t xml:space="preserve"> </w:t>
      </w:r>
      <w:r w:rsidR="00791979" w:rsidRPr="00627E01">
        <w:rPr>
          <w:noProof/>
          <w:spacing w:val="-2"/>
        </w:rPr>
        <w:t>4</w:t>
      </w:r>
      <w:r w:rsidR="00791979" w:rsidRPr="00627E01">
        <w:rPr>
          <w:spacing w:val="-2"/>
        </w:rPr>
        <w:t>.</w:t>
      </w:r>
      <w:r w:rsidR="00D16CA3">
        <w:rPr>
          <w:noProof/>
          <w:spacing w:val="-2"/>
        </w:rPr>
        <w:t>2</w:t>
      </w:r>
      <w:r w:rsidR="00D7305F" w:rsidRPr="00627E01">
        <w:rPr>
          <w:spacing w:val="-2"/>
        </w:rPr>
        <w:t>). ‘Regional adjustment measures’ also grew over 2023</w:t>
      </w:r>
      <w:r w:rsidR="001E0640" w:rsidRPr="00627E01">
        <w:rPr>
          <w:spacing w:val="-2"/>
        </w:rPr>
        <w:t>-</w:t>
      </w:r>
      <w:r w:rsidR="00D7305F" w:rsidRPr="00627E01">
        <w:rPr>
          <w:spacing w:val="-2"/>
        </w:rPr>
        <w:t xml:space="preserve">24. This was due to a range of regional measures aiming to support the development of emerging green industries including hydrogen. ‘Industry specific measures’ experienced the largest drop in spending, largely due to the winding down of </w:t>
      </w:r>
      <w:r w:rsidR="001274FD" w:rsidRPr="00627E01">
        <w:rPr>
          <w:spacing w:val="-2"/>
        </w:rPr>
        <w:t xml:space="preserve">HomeBuilder </w:t>
      </w:r>
      <w:r w:rsidR="00D7305F" w:rsidRPr="00627E01">
        <w:rPr>
          <w:spacing w:val="-2"/>
        </w:rPr>
        <w:t xml:space="preserve">and reductions in tax concessions for offshore banking units. </w:t>
      </w:r>
      <w:r w:rsidR="0021092A" w:rsidRPr="00627E01">
        <w:rPr>
          <w:spacing w:val="-2"/>
        </w:rPr>
        <w:t>‘</w:t>
      </w:r>
      <w:r w:rsidR="00D7305F" w:rsidRPr="00627E01">
        <w:rPr>
          <w:spacing w:val="-2"/>
        </w:rPr>
        <w:t>General export measures</w:t>
      </w:r>
      <w:r w:rsidR="0021092A" w:rsidRPr="00627E01">
        <w:rPr>
          <w:spacing w:val="-2"/>
        </w:rPr>
        <w:t>’</w:t>
      </w:r>
      <w:r w:rsidR="00D7305F" w:rsidRPr="00627E01">
        <w:rPr>
          <w:spacing w:val="-2"/>
        </w:rPr>
        <w:t xml:space="preserve"> grew modestly, purely from increases in spending on existing measures. Many of these types of measures experienced modest growth in expenditure. </w:t>
      </w:r>
    </w:p>
    <w:p w14:paraId="61B3AE7D" w14:textId="4A3627ED" w:rsidR="00D7305F" w:rsidRPr="00BD222C" w:rsidRDefault="00D7305F" w:rsidP="00D7305F">
      <w:pPr>
        <w:pStyle w:val="FigureTableHeading"/>
        <w:keepLines/>
        <w:rPr>
          <w:b/>
          <w:vertAlign w:val="superscript"/>
        </w:rPr>
      </w:pPr>
      <w:bookmarkStart w:id="56" w:name="_Ref201320835"/>
      <w:r w:rsidRPr="00622B65">
        <w:lastRenderedPageBreak/>
        <w:t>Figure</w:t>
      </w:r>
      <w:r>
        <w:t>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3</w:t>
      </w:r>
      <w:r w:rsidR="005642CB">
        <w:fldChar w:fldCharType="end"/>
      </w:r>
      <w:bookmarkEnd w:id="56"/>
      <w:r w:rsidRPr="00622B65">
        <w:rPr>
          <w:noProof/>
        </w:rPr>
        <w:t xml:space="preserve"> </w:t>
      </w:r>
      <w:r w:rsidRPr="00622B65">
        <w:t xml:space="preserve">– Assistance for R&amp;D </w:t>
      </w:r>
      <w:r>
        <w:t>was</w:t>
      </w:r>
      <w:r w:rsidRPr="00622B65">
        <w:t xml:space="preserve"> the largest type of </w:t>
      </w:r>
      <w:r w:rsidRPr="003A211A">
        <w:t>budgetary</w:t>
      </w:r>
      <w:r w:rsidRPr="00622B65">
        <w:t xml:space="preserve"> assistance</w:t>
      </w:r>
      <w:r>
        <w:t>; while small business measures grew the most</w:t>
      </w:r>
      <w:r>
        <w:rPr>
          <w:vertAlign w:val="superscript"/>
        </w:rPr>
        <w:t>a,</w:t>
      </w:r>
      <w:r>
        <w:rPr>
          <w:b/>
          <w:bCs/>
          <w:vertAlign w:val="superscript"/>
        </w:rPr>
        <w:t>b</w:t>
      </w:r>
    </w:p>
    <w:p w14:paraId="4539EA92" w14:textId="5F41F356" w:rsidR="00D7305F" w:rsidRDefault="00D7305F" w:rsidP="00D7305F">
      <w:pPr>
        <w:pStyle w:val="FigureTableSubheading"/>
        <w:keepLines/>
        <w:rPr>
          <w:noProof/>
        </w:rPr>
      </w:pPr>
      <w:r>
        <w:t>B</w:t>
      </w:r>
      <w:r w:rsidRPr="00622B65">
        <w:t xml:space="preserve">udgetary assistance in current dollars </w:t>
      </w:r>
      <w:r w:rsidR="00B35B3C">
        <w:t xml:space="preserve">and </w:t>
      </w:r>
      <w:r w:rsidR="00D66DD6">
        <w:t xml:space="preserve">percentage </w:t>
      </w:r>
      <w:r w:rsidR="00B35B3C">
        <w:t xml:space="preserve">growth rates </w:t>
      </w:r>
      <w:r w:rsidRPr="00622B65">
        <w:t>by type of measure</w:t>
      </w:r>
      <w:r>
        <w:t>, 2022</w:t>
      </w:r>
      <w:r w:rsidR="001E0640">
        <w:t>-</w:t>
      </w:r>
      <w:r>
        <w:t>23 and 2023</w:t>
      </w:r>
      <w:r w:rsidR="001E0640">
        <w:t>-</w:t>
      </w:r>
      <w:r>
        <w:t>24</w:t>
      </w:r>
      <w:r w:rsidRPr="6E16859A">
        <w:rPr>
          <w:rFonts w:asciiTheme="minorHAnsi" w:hAnsiTheme="minorHAnsi"/>
          <w:color w:val="auto"/>
        </w:rPr>
        <w:t xml:space="preserve"> </w:t>
      </w:r>
    </w:p>
    <w:p w14:paraId="59E8B1DD" w14:textId="14A6C856" w:rsidR="00D7305F" w:rsidRDefault="004F4625" w:rsidP="00D7305F">
      <w:pPr>
        <w:pStyle w:val="FigureTableSubheading"/>
        <w:keepLines/>
        <w:rPr>
          <w:rFonts w:asciiTheme="minorHAnsi" w:hAnsiTheme="minorHAnsi"/>
          <w:color w:val="auto"/>
        </w:rPr>
      </w:pPr>
      <w:r w:rsidRPr="004F4625">
        <w:rPr>
          <w:noProof/>
        </w:rPr>
        <w:drawing>
          <wp:inline distT="0" distB="0" distL="0" distR="0" wp14:anchorId="5A5A3CFC" wp14:editId="1AA454AF">
            <wp:extent cx="6120130" cy="3672205"/>
            <wp:effectExtent l="0" t="0" r="0" b="0"/>
            <wp:docPr id="2043003922" name="Picture 28" descr="Figure 4.3 - This figure is a clustered bar chart comparing the change in industry assistance from financial year 2022-23 to 2023-24 with billions of dollars on the x-axis. The series on the y-axis are: R&amp;D measures ($6 billion in 2023-24 up from $5.7 billion in 2022-23); small business measures ($5.5 billion in 2023-24 up from $4.8 billion in 2022-23); industry specific measures ($1.4 billion in 2023-24 down from $1.6 billion in 2022-23); other measures ($0.8 billion in 2023-24 down from $0.9 billion in 2022-23); general export measures ($1 billion in 2023-24 up from $0.9 billion in 2022-23); sector specific measures ($1.07 billion in 2023-24 down from $1.11 billion in 2022-23); and regional and structural adjustment measures ($0.4 billion in 2023-24 up from $0.3 billion in 2022-23). The remaining industries experienced comparatively small changes in budgetary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03922" name="Picture 28" descr="Figure 4.3 - This figure is a clustered bar chart comparing the change in industry assistance from financial year 2022-23 to 2023-24 with billions of dollars on the x-axis. The series on the y-axis are: R&amp;D measures ($6 billion in 2023-24 up from $5.7 billion in 2022-23); small business measures ($5.5 billion in 2023-24 up from $4.8 billion in 2022-23); industry specific measures ($1.4 billion in 2023-24 down from $1.6 billion in 2022-23); other measures ($0.8 billion in 2023-24 down from $0.9 billion in 2022-23); general export measures ($1 billion in 2023-24 up from $0.9 billion in 2022-23); sector specific measures ($1.07 billion in 2023-24 down from $1.11 billion in 2022-23); and regional and structural adjustment measures ($0.4 billion in 2023-24 up from $0.3 billion in 2022-23). The remaining industries experienced comparatively small changes in budgetary assistance.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3672205"/>
                    </a:xfrm>
                    <a:prstGeom prst="rect">
                      <a:avLst/>
                    </a:prstGeom>
                    <a:noFill/>
                    <a:ln>
                      <a:noFill/>
                    </a:ln>
                  </pic:spPr>
                </pic:pic>
              </a:graphicData>
            </a:graphic>
          </wp:inline>
        </w:drawing>
      </w:r>
    </w:p>
    <w:p w14:paraId="4EFC486C" w14:textId="0BB04649" w:rsidR="00D7305F" w:rsidRPr="000B3A3B" w:rsidRDefault="00D7305F" w:rsidP="00D7305F">
      <w:pPr>
        <w:pStyle w:val="Note"/>
        <w:keepNext/>
        <w:keepLines/>
      </w:pPr>
      <w:r w:rsidRPr="00622B65">
        <w:rPr>
          <w:b/>
          <w:bCs/>
        </w:rPr>
        <w:t>a.</w:t>
      </w:r>
      <w:r w:rsidRPr="00622B65">
        <w:t xml:space="preserve"> </w:t>
      </w:r>
      <w:r>
        <w:t xml:space="preserve">See </w:t>
      </w:r>
      <w:r w:rsidR="003438AD">
        <w:t>a</w:t>
      </w:r>
      <w:r>
        <w:t xml:space="preserve">ppendix </w:t>
      </w:r>
      <w:r w:rsidR="00086A34">
        <w:t>B</w:t>
      </w:r>
      <w:r w:rsidR="003438AD">
        <w:t>,</w:t>
      </w:r>
      <w:r>
        <w:t xml:space="preserve"> table A.6 for definitions of types of measures. </w:t>
      </w:r>
      <w:r>
        <w:rPr>
          <w:b/>
          <w:bCs/>
        </w:rPr>
        <w:t>b</w:t>
      </w:r>
      <w:r w:rsidRPr="00622B65">
        <w:rPr>
          <w:b/>
          <w:bCs/>
        </w:rPr>
        <w:t>.</w:t>
      </w:r>
      <w:r>
        <w:rPr>
          <w:b/>
          <w:bCs/>
        </w:rPr>
        <w:t xml:space="preserve"> </w:t>
      </w:r>
      <w:r>
        <w:t>D</w:t>
      </w:r>
      <w:r w:rsidRPr="004A61F1">
        <w:t>ata labels are the percent change, year</w:t>
      </w:r>
      <w:r w:rsidR="00E451A5">
        <w:t>-</w:t>
      </w:r>
      <w:r w:rsidRPr="004A61F1">
        <w:t>on</w:t>
      </w:r>
      <w:r w:rsidR="00E451A5">
        <w:t>-</w:t>
      </w:r>
      <w:r w:rsidRPr="004A61F1">
        <w:t>year.</w:t>
      </w:r>
    </w:p>
    <w:p w14:paraId="3F73289B" w14:textId="00E0EA91" w:rsidR="00D7305F" w:rsidRDefault="00D7305F" w:rsidP="00D7305F">
      <w:pPr>
        <w:pStyle w:val="Source"/>
      </w:pPr>
      <w:r w:rsidRPr="00622B65">
        <w:t xml:space="preserve">Source: </w:t>
      </w:r>
      <w:r>
        <w:t>P</w:t>
      </w:r>
      <w:r w:rsidR="00451318">
        <w:t>C</w:t>
      </w:r>
      <w:r w:rsidRPr="00622B65">
        <w:t xml:space="preserve"> estimates.</w:t>
      </w:r>
    </w:p>
    <w:p w14:paraId="01995E27" w14:textId="7BFAC33B" w:rsidR="00D7305F" w:rsidRPr="00F82BD9" w:rsidRDefault="00D7305F" w:rsidP="00D7305F">
      <w:pPr>
        <w:pStyle w:val="NoSpacing"/>
      </w:pPr>
    </w:p>
    <w:tbl>
      <w:tblPr>
        <w:tblStyle w:val="Boxtable"/>
        <w:tblW w:w="5000" w:type="pct"/>
        <w:tblLook w:val="04A0" w:firstRow="1" w:lastRow="0" w:firstColumn="1" w:lastColumn="0" w:noHBand="0" w:noVBand="1"/>
      </w:tblPr>
      <w:tblGrid>
        <w:gridCol w:w="9638"/>
      </w:tblGrid>
      <w:tr w:rsidR="00D7305F" w14:paraId="4CFEF384" w14:textId="77777777" w:rsidTr="00616F0E">
        <w:trPr>
          <w:tblHeader/>
        </w:trPr>
        <w:tc>
          <w:tcPr>
            <w:tcW w:w="9638" w:type="dxa"/>
            <w:shd w:val="clear" w:color="auto" w:fill="EBEBEB"/>
            <w:tcMar>
              <w:top w:w="170" w:type="dxa"/>
              <w:left w:w="170" w:type="dxa"/>
              <w:bottom w:w="113" w:type="dxa"/>
              <w:right w:w="170" w:type="dxa"/>
            </w:tcMar>
            <w:hideMark/>
          </w:tcPr>
          <w:p w14:paraId="73BDA20E" w14:textId="341E85FE" w:rsidR="00D7305F" w:rsidRDefault="00D7305F">
            <w:pPr>
              <w:pStyle w:val="BoxHeading1"/>
            </w:pPr>
            <w:bookmarkStart w:id="57" w:name="_Ref201304487"/>
            <w:r>
              <w:t xml:space="preserve">Box </w:t>
            </w:r>
            <w:r w:rsidR="00791979">
              <w:fldChar w:fldCharType="begin"/>
            </w:r>
            <w:r w:rsidR="00791979">
              <w:instrText xml:space="preserve"> STYLEREF 1 \s </w:instrText>
            </w:r>
            <w:r w:rsidR="00791979">
              <w:fldChar w:fldCharType="separate"/>
            </w:r>
            <w:r w:rsidR="004A080B">
              <w:rPr>
                <w:noProof/>
              </w:rPr>
              <w:t>4</w:t>
            </w:r>
            <w:r w:rsidR="00791979">
              <w:rPr>
                <w:noProof/>
              </w:rPr>
              <w:fldChar w:fldCharType="end"/>
            </w:r>
            <w:r w:rsidR="001D5DA3">
              <w:t>.</w:t>
            </w:r>
            <w:r w:rsidR="00791979">
              <w:fldChar w:fldCharType="begin"/>
            </w:r>
            <w:r w:rsidR="00791979">
              <w:instrText xml:space="preserve"> SEQ Box \* ARABIC \s 1 </w:instrText>
            </w:r>
            <w:r w:rsidR="00791979">
              <w:fldChar w:fldCharType="separate"/>
            </w:r>
            <w:r w:rsidR="004A080B">
              <w:rPr>
                <w:noProof/>
              </w:rPr>
              <w:t>2</w:t>
            </w:r>
            <w:r w:rsidR="00791979">
              <w:rPr>
                <w:noProof/>
              </w:rPr>
              <w:fldChar w:fldCharType="end"/>
            </w:r>
            <w:bookmarkEnd w:id="57"/>
            <w:r>
              <w:t xml:space="preserve"> – The meaning of ‘small business’ is variable</w:t>
            </w:r>
          </w:p>
        </w:tc>
      </w:tr>
      <w:tr w:rsidR="00D7305F" w14:paraId="4381ACBB" w14:textId="77777777" w:rsidTr="00616F0E">
        <w:tc>
          <w:tcPr>
            <w:tcW w:w="9638" w:type="dxa"/>
            <w:shd w:val="clear" w:color="auto" w:fill="EBEBEB"/>
            <w:tcMar>
              <w:top w:w="28" w:type="dxa"/>
              <w:left w:w="170" w:type="dxa"/>
              <w:bottom w:w="170" w:type="dxa"/>
              <w:right w:w="170" w:type="dxa"/>
            </w:tcMar>
            <w:hideMark/>
          </w:tcPr>
          <w:p w14:paraId="6BD0DAB4" w14:textId="39400271" w:rsidR="00D7305F" w:rsidRDefault="00D7305F">
            <w:pPr>
              <w:pStyle w:val="BodyText"/>
            </w:pPr>
            <w:r>
              <w:t xml:space="preserve">The concept of ‘small businesses’ or ‘small to medium sized businesses’ underpins many aspects of Australian economic policy, influencing eligibility for grants, tax concessions and regulatory frameworks. However, there is no standardised definition, leading to multiple criteria based on the purpose and administering body. </w:t>
            </w:r>
          </w:p>
          <w:p w14:paraId="46631DBB" w14:textId="77777777" w:rsidR="00D7305F" w:rsidRDefault="00D7305F" w:rsidP="00D16CA3">
            <w:pPr>
              <w:pStyle w:val="ListBullet"/>
              <w:spacing w:after="0"/>
            </w:pPr>
            <w:r>
              <w:t xml:space="preserve">The Australian Taxation Office defines a small business as any entity with an aggregated turnover under $10 million, except for: </w:t>
            </w:r>
          </w:p>
          <w:p w14:paraId="63786FF7" w14:textId="77777777" w:rsidR="00D7305F" w:rsidRDefault="00D7305F" w:rsidP="00D16CA3">
            <w:pPr>
              <w:pStyle w:val="ListBullet2"/>
              <w:spacing w:before="0"/>
            </w:pPr>
            <w:r>
              <w:t xml:space="preserve">the small business income tax offset, available to businesses with an aggregated turnover of less than $5 million </w:t>
            </w:r>
          </w:p>
          <w:p w14:paraId="1E6C3930" w14:textId="6185C3D5" w:rsidR="00D7305F" w:rsidRDefault="00D7305F" w:rsidP="00D16CA3">
            <w:pPr>
              <w:pStyle w:val="ListBullet2"/>
            </w:pPr>
            <w:r>
              <w:t xml:space="preserve">the capital gains tax concessions where </w:t>
            </w:r>
            <w:r w:rsidR="004663CD">
              <w:t xml:space="preserve">the </w:t>
            </w:r>
            <w:r>
              <w:t xml:space="preserve">aggregated turnover threshold </w:t>
            </w:r>
            <w:r w:rsidR="004663CD">
              <w:t xml:space="preserve">is </w:t>
            </w:r>
            <w:r>
              <w:t>$2 million</w:t>
            </w:r>
          </w:p>
          <w:p w14:paraId="38DAB3D7" w14:textId="77777777" w:rsidR="00D7305F" w:rsidRDefault="00D7305F" w:rsidP="00D16CA3">
            <w:pPr>
              <w:pStyle w:val="ListBullet2"/>
            </w:pPr>
            <w:r>
              <w:t xml:space="preserve">lastly, incentives like the ‘small business technology investment boost’, ‘small business energy inventive’ and ‘small business skills and training boost’ are available to businesses with a turnover of under $50 million. </w:t>
            </w:r>
          </w:p>
          <w:p w14:paraId="39320AEF" w14:textId="1EA0048E" w:rsidR="00D7305F" w:rsidRDefault="00D7305F" w:rsidP="00D16CA3">
            <w:pPr>
              <w:pStyle w:val="ListBullet"/>
              <w:spacing w:after="0"/>
            </w:pPr>
            <w:r>
              <w:lastRenderedPageBreak/>
              <w:t>Grant programs often focus on small to medium sized businesses, but these also contain inconsistent definitions</w:t>
            </w:r>
            <w:r w:rsidR="00165F14">
              <w:t>.</w:t>
            </w:r>
            <w:r>
              <w:t xml:space="preserve"> </w:t>
            </w:r>
            <w:r w:rsidR="00165F14">
              <w:t>S</w:t>
            </w:r>
            <w:r>
              <w:t>ome examples include:</w:t>
            </w:r>
          </w:p>
          <w:p w14:paraId="4FDA45C5" w14:textId="77777777" w:rsidR="00D7305F" w:rsidRDefault="00D7305F" w:rsidP="00D16CA3">
            <w:pPr>
              <w:pStyle w:val="ListBullet2"/>
              <w:spacing w:before="0"/>
            </w:pPr>
            <w:r>
              <w:t>the Export Market Development Grants apply to small and medium sized businesses with turnover between $100,000 to $20 million</w:t>
            </w:r>
          </w:p>
          <w:p w14:paraId="03B37355" w14:textId="77777777" w:rsidR="00D7305F" w:rsidRDefault="00D7305F" w:rsidP="00D16CA3">
            <w:pPr>
              <w:pStyle w:val="ListBullet2"/>
            </w:pPr>
            <w:r>
              <w:t xml:space="preserve">the Industry Growth Fund targets small to medium enterprises defined as those with turnover of less than $20 million for each of the previous three financial years. </w:t>
            </w:r>
          </w:p>
          <w:p w14:paraId="165C326A" w14:textId="479FE425" w:rsidR="00D7305F" w:rsidRPr="00D16CA3" w:rsidRDefault="00D7305F" w:rsidP="00587022">
            <w:pPr>
              <w:pStyle w:val="ListBullet"/>
              <w:rPr>
                <w:spacing w:val="-4"/>
              </w:rPr>
            </w:pPr>
            <w:r w:rsidRPr="00D16CA3">
              <w:rPr>
                <w:spacing w:val="-4"/>
              </w:rPr>
              <w:t>The Australian Bureau of Statistics (ABS) defines a small business as one with fewer than 20</w:t>
            </w:r>
            <w:r w:rsidR="00D16CA3" w:rsidRPr="00D16CA3">
              <w:rPr>
                <w:spacing w:val="-4"/>
              </w:rPr>
              <w:t> </w:t>
            </w:r>
            <w:r w:rsidRPr="00D16CA3">
              <w:rPr>
                <w:spacing w:val="-4"/>
              </w:rPr>
              <w:t>employees, this is mainly used for demographic analysis.</w:t>
            </w:r>
          </w:p>
          <w:p w14:paraId="6A06B844" w14:textId="77777777" w:rsidR="00D7305F" w:rsidRDefault="00D7305F" w:rsidP="00587022">
            <w:pPr>
              <w:pStyle w:val="ListBullet"/>
            </w:pPr>
            <w:r>
              <w:t>The Fair Work Commission (FWC) defines a small business as those with under 15 employees, this is used in employment law.</w:t>
            </w:r>
          </w:p>
          <w:p w14:paraId="1ED7E58B" w14:textId="77777777" w:rsidR="00D7305F" w:rsidRDefault="00D7305F" w:rsidP="00D16CA3">
            <w:pPr>
              <w:pStyle w:val="ListBullet"/>
              <w:spacing w:after="0"/>
            </w:pPr>
            <w:r>
              <w:t>The Australian Securities Investment Commission (ASIC) defines a small proprietary company for regulatory purposes as those meeting at least two of the following criteria:</w:t>
            </w:r>
          </w:p>
          <w:p w14:paraId="5B8DBAFE" w14:textId="77777777" w:rsidR="00D7305F" w:rsidRPr="00D16CA3" w:rsidRDefault="00D7305F" w:rsidP="00D16CA3">
            <w:pPr>
              <w:pStyle w:val="ListBullet2"/>
              <w:spacing w:before="0"/>
            </w:pPr>
            <w:r w:rsidRPr="00D16CA3">
              <w:t xml:space="preserve">consolidated revenue less than $50 million </w:t>
            </w:r>
          </w:p>
          <w:p w14:paraId="674B96A3" w14:textId="4C31858A" w:rsidR="00D7305F" w:rsidRPr="00D16CA3" w:rsidRDefault="00D7305F" w:rsidP="00D16CA3">
            <w:pPr>
              <w:pStyle w:val="ListBullet2"/>
            </w:pPr>
            <w:r w:rsidRPr="00D16CA3">
              <w:t xml:space="preserve">gross assets less than $25 million at the end of the financial year </w:t>
            </w:r>
          </w:p>
          <w:p w14:paraId="59DEC86D" w14:textId="77777777" w:rsidR="00D7305F" w:rsidRPr="00D16CA3" w:rsidRDefault="00D7305F" w:rsidP="00D16CA3">
            <w:pPr>
              <w:pStyle w:val="ListBullet2"/>
            </w:pPr>
            <w:r w:rsidRPr="00D16CA3">
              <w:t>fewer than 100 employees.</w:t>
            </w:r>
          </w:p>
          <w:p w14:paraId="52BBD5F0" w14:textId="0F872F22" w:rsidR="00D7305F" w:rsidRDefault="00D7305F" w:rsidP="00D16CA3">
            <w:pPr>
              <w:pStyle w:val="ListBullet"/>
              <w:numPr>
                <w:ilvl w:val="0"/>
                <w:numId w:val="0"/>
              </w:numPr>
            </w:pPr>
            <w:r>
              <w:t xml:space="preserve">Such </w:t>
            </w:r>
            <w:r w:rsidRPr="00734361">
              <w:t>variability may</w:t>
            </w:r>
            <w:r>
              <w:t xml:space="preserve"> </w:t>
            </w:r>
            <w:r w:rsidRPr="00734361">
              <w:t>result in situations where businesses qualify as a small business for certain purposes, such as regulations or</w:t>
            </w:r>
            <w:r>
              <w:t xml:space="preserve"> some</w:t>
            </w:r>
            <w:r w:rsidRPr="00734361">
              <w:t xml:space="preserve"> tax incentives, but not for others.</w:t>
            </w:r>
            <w:r>
              <w:t xml:space="preserve"> This could mitigate disincentives businesses face in growing past a certain point, like higher marginal tax rates.</w:t>
            </w:r>
            <w:r w:rsidRPr="00734361">
              <w:t xml:space="preserve"> </w:t>
            </w:r>
            <w:r>
              <w:t>However, to enhance transparency</w:t>
            </w:r>
            <w:r w:rsidR="00CA3425">
              <w:t>,</w:t>
            </w:r>
            <w:r>
              <w:t xml:space="preserve"> f</w:t>
            </w:r>
            <w:r w:rsidRPr="00734361">
              <w:t xml:space="preserve">uture TARs </w:t>
            </w:r>
            <w:r>
              <w:t>may</w:t>
            </w:r>
            <w:r w:rsidRPr="00734361">
              <w:t xml:space="preserve"> aim to clarify these varying definitions</w:t>
            </w:r>
            <w:r>
              <w:t>, where they apply to budgetary assistance measures.</w:t>
            </w:r>
          </w:p>
          <w:p w14:paraId="486E1DFF" w14:textId="10A62A96" w:rsidR="00D7305F" w:rsidRDefault="00D7305F">
            <w:pPr>
              <w:pStyle w:val="Source"/>
            </w:pPr>
            <w:r>
              <w:t xml:space="preserve">Source: ABS </w:t>
            </w:r>
            <w:r w:rsidRPr="003F6ECB">
              <w:rPr>
                <w:rFonts w:ascii="Arial" w:hAnsi="Arial" w:cs="Arial"/>
              </w:rPr>
              <w:t>(2008)</w:t>
            </w:r>
            <w:r>
              <w:t xml:space="preserve">; FWC </w:t>
            </w:r>
            <w:r w:rsidRPr="004802DD">
              <w:rPr>
                <w:rFonts w:ascii="Arial" w:hAnsi="Arial" w:cs="Arial"/>
              </w:rPr>
              <w:t>(2025)</w:t>
            </w:r>
            <w:r>
              <w:t xml:space="preserve">; ASIC </w:t>
            </w:r>
            <w:r w:rsidRPr="00200DCA">
              <w:rPr>
                <w:rFonts w:ascii="Arial" w:hAnsi="Arial" w:cs="Arial"/>
              </w:rPr>
              <w:t>(2014)</w:t>
            </w:r>
            <w:r>
              <w:t xml:space="preserve">, Australian Government </w:t>
            </w:r>
            <w:r w:rsidRPr="0028392B">
              <w:rPr>
                <w:rFonts w:ascii="Arial" w:hAnsi="Arial" w:cs="Arial"/>
              </w:rPr>
              <w:t>(2024b, p. 9)</w:t>
            </w:r>
            <w:r>
              <w:t xml:space="preserve">, Austrade </w:t>
            </w:r>
            <w:r w:rsidRPr="000822C2">
              <w:rPr>
                <w:rFonts w:ascii="Arial" w:hAnsi="Arial" w:cs="Arial"/>
              </w:rPr>
              <w:t>(2024)</w:t>
            </w:r>
            <w:r>
              <w:t xml:space="preserve"> and ATO </w:t>
            </w:r>
            <w:r w:rsidRPr="0028392B">
              <w:rPr>
                <w:rFonts w:ascii="Arial" w:hAnsi="Arial" w:cs="Arial"/>
              </w:rPr>
              <w:t>(ATO 2023, 2024b, 2024c, 2025b, 2025c)</w:t>
            </w:r>
          </w:p>
        </w:tc>
      </w:tr>
      <w:tr w:rsidR="00D7305F" w14:paraId="1D9B6D91" w14:textId="77777777" w:rsidTr="00616F0E">
        <w:trPr>
          <w:hidden/>
        </w:trPr>
        <w:tc>
          <w:tcPr>
            <w:tcW w:w="9638" w:type="dxa"/>
            <w:shd w:val="clear" w:color="auto" w:fill="auto"/>
            <w:tcMar>
              <w:top w:w="0" w:type="dxa"/>
              <w:left w:w="170" w:type="dxa"/>
              <w:bottom w:w="0" w:type="dxa"/>
              <w:right w:w="170" w:type="dxa"/>
            </w:tcMar>
          </w:tcPr>
          <w:p w14:paraId="60CC6DC1" w14:textId="5E20B7DA" w:rsidR="00D7305F" w:rsidRPr="00465191" w:rsidRDefault="00D7305F">
            <w:pPr>
              <w:pStyle w:val="BodyText"/>
              <w:spacing w:before="0" w:after="0" w:line="80" w:lineRule="atLeast"/>
              <w:rPr>
                <w:smallCaps/>
                <w:vanish/>
              </w:rPr>
            </w:pPr>
          </w:p>
        </w:tc>
      </w:tr>
    </w:tbl>
    <w:p w14:paraId="6EC70F17" w14:textId="64F3C7F8" w:rsidR="00D7305F" w:rsidRDefault="00791979" w:rsidP="00D7305F">
      <w:pPr>
        <w:pStyle w:val="BodyText"/>
      </w:pPr>
      <w:bookmarkStart w:id="58" w:name="_Ref190259759"/>
      <w:r>
        <w:t>Figure 4.4</w:t>
      </w:r>
      <w:r w:rsidR="00D7305F" w:rsidRPr="00D47768">
        <w:t xml:space="preserve"> shows the year</w:t>
      </w:r>
      <w:r w:rsidR="00200862">
        <w:noBreakHyphen/>
      </w:r>
      <w:r w:rsidR="00D7305F" w:rsidRPr="00D47768">
        <w:t>on</w:t>
      </w:r>
      <w:r w:rsidR="00200862">
        <w:noBreakHyphen/>
      </w:r>
      <w:r w:rsidR="00D7305F" w:rsidRPr="00D47768">
        <w:t xml:space="preserve">year change in spending allocated to industry </w:t>
      </w:r>
      <w:r w:rsidR="00D7305F">
        <w:t>for the 19 industry divisions with allocated assistance (</w:t>
      </w:r>
      <w:r>
        <w:rPr>
          <w:noProof/>
        </w:rPr>
        <w:t>4</w:t>
      </w:r>
      <w:r>
        <w:t>.</w:t>
      </w:r>
      <w:r>
        <w:rPr>
          <w:noProof/>
        </w:rPr>
        <w:t>1</w:t>
      </w:r>
      <w:r w:rsidR="00D7305F">
        <w:t>). Of these 19,</w:t>
      </w:r>
      <w:r w:rsidR="00D7305F" w:rsidRPr="00D47768" w:rsidDel="0015639E">
        <w:t xml:space="preserve"> </w:t>
      </w:r>
      <w:r w:rsidR="00D7305F">
        <w:t>seven</w:t>
      </w:r>
      <w:r w:rsidR="00D7305F" w:rsidRPr="00D47768">
        <w:t xml:space="preserve"> </w:t>
      </w:r>
      <w:r w:rsidR="00D7305F">
        <w:t>divisions</w:t>
      </w:r>
      <w:r w:rsidR="00D7305F" w:rsidRPr="00D47768">
        <w:t xml:space="preserve"> </w:t>
      </w:r>
      <w:r w:rsidR="00D7305F">
        <w:t>had increased</w:t>
      </w:r>
      <w:r w:rsidR="00D7305F" w:rsidRPr="00D47768">
        <w:t xml:space="preserve"> budgetary assistance in 2023</w:t>
      </w:r>
      <w:r w:rsidR="001E0640">
        <w:t>-</w:t>
      </w:r>
      <w:r w:rsidR="00D7305F" w:rsidRPr="00D47768">
        <w:t>24, totalling $</w:t>
      </w:r>
      <w:r w:rsidR="00D7305F">
        <w:t>386</w:t>
      </w:r>
      <w:r w:rsidR="00D7305F" w:rsidRPr="00D47768">
        <w:t xml:space="preserve"> million of extra funding across the</w:t>
      </w:r>
      <w:r w:rsidR="00D7305F">
        <w:t>se</w:t>
      </w:r>
      <w:r w:rsidR="00D7305F" w:rsidRPr="00D47768" w:rsidDel="0067561E">
        <w:t xml:space="preserve"> </w:t>
      </w:r>
      <w:r w:rsidR="00D7305F" w:rsidRPr="00D47768">
        <w:t xml:space="preserve">industries. </w:t>
      </w:r>
      <w:r w:rsidR="00C60AA9">
        <w:t>Ac</w:t>
      </w:r>
      <w:r w:rsidR="00E35182">
        <w:t>ross the</w:t>
      </w:r>
      <w:r w:rsidR="00D7305F" w:rsidRPr="00D47768">
        <w:t xml:space="preserve"> remaining </w:t>
      </w:r>
      <w:r w:rsidR="00D7305F">
        <w:t>12</w:t>
      </w:r>
      <w:r w:rsidR="00D7305F" w:rsidRPr="00D47768">
        <w:t xml:space="preserve"> </w:t>
      </w:r>
      <w:r w:rsidR="00D7305F">
        <w:t>divisions</w:t>
      </w:r>
      <w:r w:rsidR="00E35182">
        <w:t>,</w:t>
      </w:r>
      <w:r w:rsidR="00D7305F" w:rsidRPr="00D47768">
        <w:t xml:space="preserve"> assistance fell by a total of $</w:t>
      </w:r>
      <w:r w:rsidR="00D7305F">
        <w:t>555</w:t>
      </w:r>
      <w:r w:rsidR="00D7305F" w:rsidRPr="00D47768">
        <w:t xml:space="preserve"> million year</w:t>
      </w:r>
      <w:r w:rsidR="00200862">
        <w:noBreakHyphen/>
      </w:r>
      <w:r w:rsidR="00D7305F" w:rsidRPr="00D47768">
        <w:t>o</w:t>
      </w:r>
      <w:r w:rsidR="00D7305F" w:rsidRPr="00D47768" w:rsidDel="001E0C80">
        <w:t>n</w:t>
      </w:r>
      <w:r w:rsidR="00200862">
        <w:noBreakHyphen/>
      </w:r>
      <w:r w:rsidR="00D7305F" w:rsidRPr="00D47768">
        <w:t xml:space="preserve">year. </w:t>
      </w:r>
      <w:r w:rsidR="00D7305F">
        <w:t xml:space="preserve">This excludes funding that could not be allocated to a specific industry division. </w:t>
      </w:r>
    </w:p>
    <w:p w14:paraId="659AE721" w14:textId="11A27249" w:rsidR="00D7305F" w:rsidRPr="003438AD" w:rsidRDefault="00D7305F" w:rsidP="00D7305F">
      <w:pPr>
        <w:pStyle w:val="BodyText"/>
        <w:rPr>
          <w:spacing w:val="-2"/>
        </w:rPr>
      </w:pPr>
      <w:r w:rsidRPr="003438AD">
        <w:rPr>
          <w:spacing w:val="-2"/>
        </w:rPr>
        <w:t>In 2023</w:t>
      </w:r>
      <w:r w:rsidR="001E0640" w:rsidRPr="003438AD">
        <w:rPr>
          <w:spacing w:val="-2"/>
        </w:rPr>
        <w:t>-</w:t>
      </w:r>
      <w:r w:rsidRPr="003438AD">
        <w:rPr>
          <w:spacing w:val="-2"/>
        </w:rPr>
        <w:t>24, the average increase in budgetary assistance by industry division was $55 million. Manufacturing assistance grew</w:t>
      </w:r>
      <w:r w:rsidRPr="003438AD" w:rsidDel="000C41C2">
        <w:rPr>
          <w:spacing w:val="-2"/>
        </w:rPr>
        <w:t xml:space="preserve"> </w:t>
      </w:r>
      <w:r w:rsidRPr="003438AD">
        <w:rPr>
          <w:spacing w:val="-2"/>
        </w:rPr>
        <w:t xml:space="preserve">by $162 million due in large part to </w:t>
      </w:r>
      <w:r w:rsidRPr="003438AD" w:rsidDel="009B4B69">
        <w:rPr>
          <w:spacing w:val="-2"/>
        </w:rPr>
        <w:t xml:space="preserve">the </w:t>
      </w:r>
      <w:r w:rsidRPr="003438AD">
        <w:rPr>
          <w:spacing w:val="-2"/>
        </w:rPr>
        <w:t>Powering the Regions Fund ($110</w:t>
      </w:r>
      <w:r w:rsidR="003438AD" w:rsidRPr="003438AD">
        <w:rPr>
          <w:spacing w:val="-2"/>
        </w:rPr>
        <w:t> </w:t>
      </w:r>
      <w:r w:rsidRPr="003438AD">
        <w:rPr>
          <w:spacing w:val="-2"/>
        </w:rPr>
        <w:t>million). The information, media, and telecommunications industry saw the second largest increase ($132 million), driven by expanded film location and producer offsets</w:t>
      </w:r>
      <w:r w:rsidR="00A9301C" w:rsidRPr="003438AD">
        <w:rPr>
          <w:spacing w:val="-2"/>
        </w:rPr>
        <w:t>.</w:t>
      </w:r>
      <w:r w:rsidRPr="003438AD">
        <w:rPr>
          <w:rStyle w:val="FootnoteReference"/>
          <w:spacing w:val="-2"/>
        </w:rPr>
        <w:footnoteReference w:id="27"/>
      </w:r>
      <w:r w:rsidR="0079440D" w:rsidRPr="003438AD">
        <w:rPr>
          <w:spacing w:val="-2"/>
        </w:rPr>
        <w:t xml:space="preserve"> </w:t>
      </w:r>
      <w:r w:rsidRPr="003438AD">
        <w:rPr>
          <w:spacing w:val="-2"/>
        </w:rPr>
        <w:t xml:space="preserve">Professional, scientific, and technical services had a net increase of $57 million, including increased assistance from the refundable R&amp;D tax offsets ($69.7 million). </w:t>
      </w:r>
    </w:p>
    <w:p w14:paraId="02A1CDE9" w14:textId="5C61CBD0" w:rsidR="00D7305F" w:rsidRDefault="00D7305F" w:rsidP="00D7305F">
      <w:pPr>
        <w:pStyle w:val="BodyText"/>
      </w:pPr>
      <w:r>
        <w:t>Of the 12</w:t>
      </w:r>
      <w:r w:rsidRPr="009770F0">
        <w:t xml:space="preserve"> </w:t>
      </w:r>
      <w:r>
        <w:t xml:space="preserve">industries shown in </w:t>
      </w:r>
      <w:r w:rsidR="003438AD">
        <w:t>figure</w:t>
      </w:r>
      <w:r w:rsidR="00791979">
        <w:t> 4.4</w:t>
      </w:r>
      <w:r>
        <w:t xml:space="preserve"> that were allocated less budgetary assistance in 2023</w:t>
      </w:r>
      <w:r w:rsidR="001E0640">
        <w:t>-</w:t>
      </w:r>
      <w:r>
        <w:t xml:space="preserve">24, the bottom three accounted for </w:t>
      </w:r>
      <w:r w:rsidRPr="009770F0">
        <w:t>around 8</w:t>
      </w:r>
      <w:r>
        <w:t xml:space="preserve">8% of the total decrease. The </w:t>
      </w:r>
      <w:r w:rsidRPr="009770F0">
        <w:t xml:space="preserve">average </w:t>
      </w:r>
      <w:r>
        <w:t>decrease was $46 million</w:t>
      </w:r>
      <w:r w:rsidRPr="009770F0">
        <w:t xml:space="preserve">. </w:t>
      </w:r>
      <w:r>
        <w:t xml:space="preserve">As previously discussed, </w:t>
      </w:r>
      <w:r w:rsidR="00742D9B">
        <w:t>reduced assistance to</w:t>
      </w:r>
      <w:r w:rsidR="00AB6D0F">
        <w:t xml:space="preserve"> the </w:t>
      </w:r>
      <w:r>
        <w:t>construction and agriculture</w:t>
      </w:r>
      <w:r w:rsidR="00E201BF">
        <w:t xml:space="preserve"> sectors’ </w:t>
      </w:r>
      <w:r>
        <w:t xml:space="preserve">is attributable to </w:t>
      </w:r>
      <w:r w:rsidR="00C05B47">
        <w:t>reduced expenditure on</w:t>
      </w:r>
      <w:r>
        <w:t xml:space="preserve"> HomeBuilder and the Farm Management Deposit Scheme</w:t>
      </w:r>
      <w:r w:rsidR="00BB115D">
        <w:t>,</w:t>
      </w:r>
      <w:r>
        <w:t xml:space="preserve"> respectively. </w:t>
      </w:r>
    </w:p>
    <w:p w14:paraId="14650CDC" w14:textId="727AC1ED" w:rsidR="00D7305F" w:rsidRPr="003438AD" w:rsidRDefault="00852735" w:rsidP="00D7305F">
      <w:pPr>
        <w:pStyle w:val="BodyText"/>
        <w:rPr>
          <w:spacing w:val="-2"/>
        </w:rPr>
      </w:pPr>
      <w:r w:rsidRPr="003438AD">
        <w:rPr>
          <w:spacing w:val="-2"/>
        </w:rPr>
        <w:lastRenderedPageBreak/>
        <w:t>The $178 million decline in assistance to f</w:t>
      </w:r>
      <w:r w:rsidR="00D7305F" w:rsidRPr="003438AD">
        <w:rPr>
          <w:spacing w:val="-2"/>
        </w:rPr>
        <w:t xml:space="preserve">inancial and insurance services largely stemmed from the Australian Government’s decision in 2021 to abolish the Offshore Banking Unit tax concession (which fell by $125 million). This was in response to Australia’s commitments to align with </w:t>
      </w:r>
      <w:r w:rsidR="00585026" w:rsidRPr="003438AD">
        <w:rPr>
          <w:spacing w:val="-2"/>
        </w:rPr>
        <w:t>the Organisation for Economic Co-operation and Development’s</w:t>
      </w:r>
      <w:r w:rsidR="00D7305F" w:rsidRPr="003438AD">
        <w:rPr>
          <w:spacing w:val="-2"/>
        </w:rPr>
        <w:t xml:space="preserve"> standards on harmful tax practices </w:t>
      </w:r>
      <w:r w:rsidR="002509C3" w:rsidRPr="003438AD">
        <w:rPr>
          <w:spacing w:val="-2"/>
        </w:rPr>
        <w:t xml:space="preserve">by </w:t>
      </w:r>
      <w:r w:rsidR="00D7305F" w:rsidRPr="003438AD">
        <w:rPr>
          <w:spacing w:val="-2"/>
        </w:rPr>
        <w:t xml:space="preserve">eliminating preferential regimes that could encourage profit shifting and base erosion </w:t>
      </w:r>
      <w:r w:rsidR="00D7305F" w:rsidRPr="003438AD">
        <w:rPr>
          <w:rFonts w:cs="Arial"/>
          <w:spacing w:val="-2"/>
        </w:rPr>
        <w:t>(Treasury 2023c, pp. 3–4)</w:t>
      </w:r>
      <w:r w:rsidR="00D7305F" w:rsidRPr="003438AD">
        <w:rPr>
          <w:spacing w:val="-2"/>
        </w:rPr>
        <w:t>. The 10% concessional tax rate ended in 2022</w:t>
      </w:r>
      <w:r w:rsidR="001E0640" w:rsidRPr="003438AD">
        <w:rPr>
          <w:spacing w:val="-2"/>
        </w:rPr>
        <w:t>-</w:t>
      </w:r>
      <w:r w:rsidR="00D7305F" w:rsidRPr="003438AD">
        <w:rPr>
          <w:spacing w:val="-2"/>
        </w:rPr>
        <w:t xml:space="preserve">23, and the interest withholding tax exemption ended on </w:t>
      </w:r>
      <w:r w:rsidR="00E07BDA" w:rsidRPr="003438AD">
        <w:rPr>
          <w:spacing w:val="-2"/>
        </w:rPr>
        <w:t>1</w:t>
      </w:r>
      <w:r w:rsidR="00D7305F" w:rsidRPr="003438AD">
        <w:rPr>
          <w:spacing w:val="-2"/>
        </w:rPr>
        <w:t xml:space="preserve"> January 2024 </w:t>
      </w:r>
      <w:r w:rsidR="00D7305F" w:rsidRPr="003438AD">
        <w:rPr>
          <w:rFonts w:cs="Arial"/>
          <w:spacing w:val="-2"/>
        </w:rPr>
        <w:t>(Treasury 2024a, p. 82)</w:t>
      </w:r>
      <w:r w:rsidR="00D7305F" w:rsidRPr="003438AD">
        <w:rPr>
          <w:spacing w:val="-2"/>
        </w:rPr>
        <w:t xml:space="preserve">. </w:t>
      </w:r>
    </w:p>
    <w:p w14:paraId="03AB03A8" w14:textId="1B63F9C9" w:rsidR="00D7305F" w:rsidRPr="003438AD" w:rsidRDefault="00D7305F" w:rsidP="00D7305F">
      <w:pPr>
        <w:pStyle w:val="Caption"/>
        <w:keepNext/>
        <w:rPr>
          <w:spacing w:val="-4"/>
        </w:rPr>
      </w:pPr>
      <w:bookmarkStart w:id="59" w:name="_Ref190681570"/>
      <w:bookmarkStart w:id="60" w:name="_Ref190703423"/>
      <w:bookmarkEnd w:id="58"/>
      <w:r w:rsidRPr="003438AD">
        <w:rPr>
          <w:spacing w:val="-4"/>
        </w:rPr>
        <w:t>Figure </w:t>
      </w:r>
      <w:r w:rsidR="005642CB" w:rsidRPr="003438AD">
        <w:rPr>
          <w:spacing w:val="-4"/>
        </w:rPr>
        <w:fldChar w:fldCharType="begin"/>
      </w:r>
      <w:r w:rsidR="005642CB" w:rsidRPr="003438AD">
        <w:rPr>
          <w:spacing w:val="-4"/>
        </w:rPr>
        <w:instrText xml:space="preserve"> STYLEREF 1 \s </w:instrText>
      </w:r>
      <w:r w:rsidR="005642CB" w:rsidRPr="003438AD">
        <w:rPr>
          <w:spacing w:val="-4"/>
        </w:rPr>
        <w:fldChar w:fldCharType="separate"/>
      </w:r>
      <w:r w:rsidR="004A080B">
        <w:rPr>
          <w:noProof/>
          <w:spacing w:val="-4"/>
        </w:rPr>
        <w:t>4</w:t>
      </w:r>
      <w:r w:rsidR="005642CB" w:rsidRPr="003438AD">
        <w:rPr>
          <w:spacing w:val="-4"/>
        </w:rPr>
        <w:fldChar w:fldCharType="end"/>
      </w:r>
      <w:r w:rsidR="005642CB" w:rsidRPr="003438AD">
        <w:rPr>
          <w:spacing w:val="-4"/>
        </w:rPr>
        <w:t>.</w:t>
      </w:r>
      <w:r w:rsidR="005642CB" w:rsidRPr="003438AD">
        <w:rPr>
          <w:spacing w:val="-4"/>
        </w:rPr>
        <w:fldChar w:fldCharType="begin"/>
      </w:r>
      <w:r w:rsidR="005642CB" w:rsidRPr="003438AD">
        <w:rPr>
          <w:spacing w:val="-4"/>
        </w:rPr>
        <w:instrText xml:space="preserve"> SEQ Figure \* ARABIC \s 1 </w:instrText>
      </w:r>
      <w:r w:rsidR="005642CB" w:rsidRPr="003438AD">
        <w:rPr>
          <w:spacing w:val="-4"/>
        </w:rPr>
        <w:fldChar w:fldCharType="separate"/>
      </w:r>
      <w:r w:rsidR="004A080B">
        <w:rPr>
          <w:noProof/>
          <w:spacing w:val="-4"/>
        </w:rPr>
        <w:t>4</w:t>
      </w:r>
      <w:r w:rsidR="005642CB" w:rsidRPr="003438AD">
        <w:rPr>
          <w:spacing w:val="-4"/>
        </w:rPr>
        <w:fldChar w:fldCharType="end"/>
      </w:r>
      <w:bookmarkEnd w:id="59"/>
      <w:r w:rsidR="006A640A" w:rsidRPr="003438AD">
        <w:rPr>
          <w:spacing w:val="-4"/>
        </w:rPr>
        <w:t xml:space="preserve"> </w:t>
      </w:r>
      <w:r w:rsidRPr="003438AD">
        <w:rPr>
          <w:spacing w:val="-4"/>
        </w:rPr>
        <w:t xml:space="preserve">– Despite </w:t>
      </w:r>
      <w:r w:rsidR="006812C0" w:rsidRPr="003438AD">
        <w:rPr>
          <w:spacing w:val="-4"/>
        </w:rPr>
        <w:t>overall year-on-year growth</w:t>
      </w:r>
      <w:r w:rsidRPr="003438AD">
        <w:rPr>
          <w:spacing w:val="-4"/>
        </w:rPr>
        <w:t>, several industries’ assistance fell sharply</w:t>
      </w:r>
      <w:bookmarkEnd w:id="60"/>
    </w:p>
    <w:p w14:paraId="52B80332" w14:textId="6BA2B86A" w:rsidR="00D7305F" w:rsidRPr="00E142F8" w:rsidRDefault="00D7305F" w:rsidP="00D7305F">
      <w:pPr>
        <w:pStyle w:val="FigureTableSubheading"/>
        <w:keepLines/>
      </w:pPr>
      <w:r>
        <w:t>Change in industry allocation by industry division 2022</w:t>
      </w:r>
      <w:r w:rsidR="001E0640">
        <w:t>-</w:t>
      </w:r>
      <w:r>
        <w:t>23 to 2023</w:t>
      </w:r>
      <w:r w:rsidR="001E0640">
        <w:t>-</w:t>
      </w:r>
      <w:r>
        <w:t>24</w:t>
      </w:r>
    </w:p>
    <w:p w14:paraId="785F73B8" w14:textId="4EE4462C" w:rsidR="00D7305F" w:rsidRPr="00E142F8" w:rsidRDefault="00923134" w:rsidP="003438AD">
      <w:pPr>
        <w:pStyle w:val="BodyText"/>
        <w:spacing w:after="0"/>
      </w:pPr>
      <w:r w:rsidRPr="00923134">
        <w:rPr>
          <w:noProof/>
        </w:rPr>
        <w:drawing>
          <wp:inline distT="0" distB="0" distL="0" distR="0" wp14:anchorId="570D6CF6" wp14:editId="0254DB02">
            <wp:extent cx="5819140" cy="4148253"/>
            <wp:effectExtent l="0" t="0" r="0" b="5080"/>
            <wp:docPr id="312876743" name="Picture 29" descr="Figure 4.4 - This figure is a bar chart with millions of dollars on the x-axis (positive and negative numbers included). The series on the y-axis are industries, ordered from industries which experienced the largest negative change in assistance from financial years 2022-23 to 2023-24 (construction: -$223 million; financial and insurance services: -$178 million; and agriculture, forestry and fishing: -$86 million) to the industries that experienced the largest positive change (manufacturing: $162 million; information, media and telecommunications: $132 million; and professional, scientific and technical services: $57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76743" name="Picture 29" descr="Figure 4.4 - This figure is a bar chart with millions of dollars on the x-axis (positive and negative numbers included). The series on the y-axis are industries, ordered from industries which experienced the largest negative change in assistance from financial years 2022-23 to 2023-24 (construction: -$223 million; financial and insurance services: -$178 million; and agriculture, forestry and fishing: -$86 million) to the industries that experienced the largest positive change (manufacturing: $162 million; information, media and telecommunications: $132 million; and professional, scientific and technical services: $57 million).  "/>
                    <pic:cNvPicPr>
                      <a:picLocks noChangeAspect="1" noChangeArrowheads="1"/>
                    </pic:cNvPicPr>
                  </pic:nvPicPr>
                  <pic:blipFill rotWithShape="1">
                    <a:blip r:embed="rId72">
                      <a:extLst>
                        <a:ext uri="{28A0092B-C50C-407E-A947-70E740481C1C}">
                          <a14:useLocalDpi xmlns:a14="http://schemas.microsoft.com/office/drawing/2010/main" val="0"/>
                        </a:ext>
                      </a:extLst>
                    </a:blip>
                    <a:srcRect b="3419"/>
                    <a:stretch/>
                  </pic:blipFill>
                  <pic:spPr bwMode="auto">
                    <a:xfrm>
                      <a:off x="0" y="0"/>
                      <a:ext cx="5819140" cy="4148253"/>
                    </a:xfrm>
                    <a:prstGeom prst="rect">
                      <a:avLst/>
                    </a:prstGeom>
                    <a:noFill/>
                    <a:ln>
                      <a:noFill/>
                    </a:ln>
                    <a:extLst>
                      <a:ext uri="{53640926-AAD7-44D8-BBD7-CCE9431645EC}">
                        <a14:shadowObscured xmlns:a14="http://schemas.microsoft.com/office/drawing/2010/main"/>
                      </a:ext>
                    </a:extLst>
                  </pic:spPr>
                </pic:pic>
              </a:graphicData>
            </a:graphic>
          </wp:inline>
        </w:drawing>
      </w:r>
    </w:p>
    <w:p w14:paraId="00E762E4" w14:textId="53FA92F3" w:rsidR="00D7305F" w:rsidRDefault="00D7305F" w:rsidP="00D7305F">
      <w:pPr>
        <w:pStyle w:val="Source"/>
      </w:pPr>
      <w:r w:rsidRPr="00622B65">
        <w:t xml:space="preserve">Source: </w:t>
      </w:r>
      <w:r>
        <w:t>P</w:t>
      </w:r>
      <w:r w:rsidR="00451318">
        <w:t>C</w:t>
      </w:r>
      <w:r w:rsidRPr="00622B65">
        <w:t xml:space="preserve"> estimates.</w:t>
      </w:r>
    </w:p>
    <w:p w14:paraId="47C980D8" w14:textId="77777777" w:rsidR="00D7305F" w:rsidRDefault="00D7305F" w:rsidP="00D7305F">
      <w:pPr>
        <w:pStyle w:val="Heading3"/>
      </w:pPr>
      <w:r>
        <w:t>Budgetary assistance favours some industries over others</w:t>
      </w:r>
    </w:p>
    <w:p w14:paraId="1860CB45" w14:textId="093C5EF1" w:rsidR="00D7305F" w:rsidRDefault="00D7305F" w:rsidP="00D7305F">
      <w:pPr>
        <w:pStyle w:val="BodyText"/>
        <w:rPr>
          <w:i/>
        </w:rPr>
      </w:pPr>
      <w:r>
        <w:t>Of the $16.1 billion in budgetary assistance in 2023</w:t>
      </w:r>
      <w:r w:rsidR="001E0640">
        <w:t>-</w:t>
      </w:r>
      <w:r>
        <w:t xml:space="preserve">24, the </w:t>
      </w:r>
      <w:r w:rsidR="00F82023">
        <w:t>PC</w:t>
      </w:r>
      <w:r>
        <w:t xml:space="preserve"> allocated $12 billion to specific sectors (</w:t>
      </w:r>
      <w:r w:rsidR="00D75099">
        <w:t>figure </w:t>
      </w:r>
      <w:r w:rsidR="00791979">
        <w:rPr>
          <w:noProof/>
        </w:rPr>
        <w:t>4</w:t>
      </w:r>
      <w:r w:rsidR="00791979">
        <w:t>.</w:t>
      </w:r>
      <w:r w:rsidR="00791979">
        <w:rPr>
          <w:noProof/>
        </w:rPr>
        <w:t>1</w:t>
      </w:r>
      <w:r w:rsidR="00205485">
        <w:t xml:space="preserve"> </w:t>
      </w:r>
      <w:r>
        <w:t>explains the industry allocation). Most assistance went to services ($7.3 billion or 46% of budgetary assistance). The services sector encompasses a wide variety of activities includin</w:t>
      </w:r>
      <w:r w:rsidRPr="00703C32">
        <w:t>g construction, retail trade, the arts, and professional services.</w:t>
      </w:r>
      <w:r w:rsidRPr="00703C32">
        <w:rPr>
          <w:i/>
        </w:rPr>
        <w:t xml:space="preserve"> </w:t>
      </w:r>
    </w:p>
    <w:p w14:paraId="5462CB1D" w14:textId="7C16FE83" w:rsidR="00D7305F" w:rsidRDefault="00791979" w:rsidP="00D7305F">
      <w:pPr>
        <w:pStyle w:val="BodyText"/>
      </w:pPr>
      <w:r>
        <w:t>Figure </w:t>
      </w:r>
      <w:r>
        <w:rPr>
          <w:noProof/>
        </w:rPr>
        <w:t>4</w:t>
      </w:r>
      <w:r>
        <w:t>.</w:t>
      </w:r>
      <w:r>
        <w:rPr>
          <w:noProof/>
        </w:rPr>
        <w:t>5</w:t>
      </w:r>
      <w:r w:rsidR="00D7305F" w:rsidRPr="000A786B">
        <w:t xml:space="preserve"> shows the breakdown of budgetary assistance by sector and their corresponding ANZSIC division</w:t>
      </w:r>
      <w:r w:rsidR="00D7305F">
        <w:t xml:space="preserve"> or 2</w:t>
      </w:r>
      <w:r w:rsidR="00200862">
        <w:noBreakHyphen/>
      </w:r>
      <w:r w:rsidR="00D7305F">
        <w:t>digit industry where available</w:t>
      </w:r>
      <w:r w:rsidR="00D7305F" w:rsidRPr="000A786B">
        <w:t>. As a share of</w:t>
      </w:r>
      <w:r w:rsidR="00D7305F">
        <w:t xml:space="preserve"> allocatable</w:t>
      </w:r>
      <w:r w:rsidR="00D7305F" w:rsidRPr="000A786B">
        <w:t xml:space="preserve"> 202</w:t>
      </w:r>
      <w:r w:rsidR="00D7305F">
        <w:t>3</w:t>
      </w:r>
      <w:r w:rsidR="001E0640">
        <w:t>-</w:t>
      </w:r>
      <w:r w:rsidR="00D7305F" w:rsidRPr="000A786B">
        <w:t>2</w:t>
      </w:r>
      <w:r w:rsidR="00D7305F">
        <w:t>4</w:t>
      </w:r>
      <w:r w:rsidR="00D7305F" w:rsidRPr="000A786B">
        <w:t xml:space="preserve"> budgetary assistance, the top recipients were </w:t>
      </w:r>
      <w:r w:rsidR="00D7305F">
        <w:t>professional, scientific</w:t>
      </w:r>
      <w:r w:rsidR="00D7305F" w:rsidRPr="000A786B">
        <w:t xml:space="preserve"> </w:t>
      </w:r>
      <w:r w:rsidR="00D7305F">
        <w:t xml:space="preserve">and technical </w:t>
      </w:r>
      <w:r w:rsidR="00D7305F" w:rsidRPr="000A786B">
        <w:t>services ($</w:t>
      </w:r>
      <w:r w:rsidR="00D7305F">
        <w:t>2.3</w:t>
      </w:r>
      <w:r w:rsidR="00D7305F" w:rsidRPr="000A786B">
        <w:t xml:space="preserve"> billion), </w:t>
      </w:r>
      <w:r w:rsidR="00D7305F">
        <w:t xml:space="preserve">financial and insurance </w:t>
      </w:r>
      <w:r w:rsidR="00D7305F" w:rsidRPr="000A786B">
        <w:t>services ($</w:t>
      </w:r>
      <w:r w:rsidR="00D7305F">
        <w:t>1.3</w:t>
      </w:r>
      <w:r w:rsidR="00D7305F" w:rsidRPr="000A786B">
        <w:t xml:space="preserve"> billion), and </w:t>
      </w:r>
      <w:r w:rsidR="00D45EBC">
        <w:t>the</w:t>
      </w:r>
      <w:r w:rsidR="00D7305F" w:rsidRPr="000A786B">
        <w:t xml:space="preserve"> </w:t>
      </w:r>
      <w:r w:rsidR="00D7305F">
        <w:t>information, media</w:t>
      </w:r>
      <w:r w:rsidR="00D7305F" w:rsidRPr="000A786B">
        <w:t xml:space="preserve"> and </w:t>
      </w:r>
      <w:r w:rsidR="00D7305F">
        <w:t>telecommunications</w:t>
      </w:r>
      <w:r w:rsidR="00D7305F" w:rsidRPr="000A786B">
        <w:t xml:space="preserve"> </w:t>
      </w:r>
      <w:r w:rsidR="00D45EBC">
        <w:t>sector</w:t>
      </w:r>
      <w:r w:rsidR="00D7305F" w:rsidRPr="000A786B">
        <w:t xml:space="preserve"> ($</w:t>
      </w:r>
      <w:r w:rsidR="00D7305F">
        <w:t>1.1</w:t>
      </w:r>
      <w:r w:rsidR="00D7305F" w:rsidRPr="000A786B">
        <w:t xml:space="preserve"> billion). </w:t>
      </w:r>
      <w:r w:rsidR="00D7305F">
        <w:t xml:space="preserve">The largest share of assistance in the goods sector was received by the sheep, beef, cattle and grain farming industry ($1 billion). </w:t>
      </w:r>
    </w:p>
    <w:p w14:paraId="6D170873" w14:textId="03AA7728" w:rsidR="00D7305F" w:rsidRPr="004A61F1" w:rsidRDefault="00D7305F" w:rsidP="00D7305F">
      <w:pPr>
        <w:pStyle w:val="Caption"/>
        <w:keepNext/>
        <w:rPr>
          <w:rStyle w:val="FootnoteReference"/>
        </w:rPr>
      </w:pPr>
      <w:bookmarkStart w:id="61" w:name="_Ref193708876"/>
      <w:r>
        <w:lastRenderedPageBreak/>
        <w:t>Figure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5</w:t>
      </w:r>
      <w:r w:rsidR="005642CB">
        <w:fldChar w:fldCharType="end"/>
      </w:r>
      <w:bookmarkEnd w:id="61"/>
      <w:r w:rsidR="00B60156">
        <w:t xml:space="preserve"> –</w:t>
      </w:r>
      <w:r>
        <w:t xml:space="preserve"> Services received the most budgetary assistance</w:t>
      </w:r>
      <w:r>
        <w:rPr>
          <w:rStyle w:val="FootnoteReference"/>
        </w:rPr>
        <w:t>a,b</w:t>
      </w:r>
    </w:p>
    <w:p w14:paraId="27AC19B7" w14:textId="7E6A03D1" w:rsidR="00D7305F" w:rsidRDefault="00D7305F" w:rsidP="00D7305F">
      <w:pPr>
        <w:pStyle w:val="FigureTableSubheading"/>
        <w:keepLines/>
      </w:pPr>
      <w:r>
        <w:t>Sectoral share of budgetary assistance, broken down by industry, 2023</w:t>
      </w:r>
      <w:r w:rsidR="001E0640">
        <w:t>-</w:t>
      </w:r>
      <w:r>
        <w:t>24</w:t>
      </w:r>
    </w:p>
    <w:p w14:paraId="106357BA" w14:textId="4A3FDF4D" w:rsidR="00D7305F" w:rsidRDefault="001F1728" w:rsidP="00D75099">
      <w:pPr>
        <w:pStyle w:val="BodyText"/>
        <w:spacing w:before="0"/>
      </w:pPr>
      <w:r w:rsidRPr="001F1728">
        <w:rPr>
          <w:noProof/>
        </w:rPr>
        <w:drawing>
          <wp:inline distT="0" distB="0" distL="0" distR="0" wp14:anchorId="41D5DC82" wp14:editId="6C62E9C0">
            <wp:extent cx="6120130" cy="5804535"/>
            <wp:effectExtent l="0" t="0" r="0" b="0"/>
            <wp:docPr id="1648373696" name="Picture 1" descr="Figure 4.5 - This figure is a tree-map, showing the budgetary assistance received by three sectors in financial year 2023-24 and breaking them down into contributions by sub-industries. Services is the largest category, made up of professional, scientific and technical services (21.4% of budgetary assistance in 2023-24); financial and insurance services (11.9%); information media and telecommunications (10.2%); and rental, hiring and real estate services (4.2%). The remaining services (healthcare and social assistance, retail trade, wholesale trade, construction, utilities, textiles and clothing, accommodation and food services, and education) each accounted for less than 3% of budgetary assistance in 2023-24. Other services not presented individually in the chart collectively accounted for 4%.  &#10;Budgetary assistance to the agriculture, forestry and fisheries sector was made up of sheep, beef cattle and grain farming (9.2% of budgetary assistance in 2023-24), fruit and tree nut growing (1.1%) forestry and logging (1.1%) and other crop growing (1%). Assistance to other agriculture, forestry and fishing sub-sectors not shown on this chart collectively accounted for 3.8% of budgetary assistance in 2023-24. &#10;Budgetary assistance to the manufacturing sector was made up of machinery and equipment (3.1% of budgetary assistance in 2023-24), basic chemical and chemical products (2.7%), primary metal and metal products (1.6%), petrol and coal products (1.2%) and food products (1.2%). Assistance to other manufacturing sub-sectors not shown on this chart collectively accounted for 3.7% of budgetary assistance in 2023-24. &#10;The mining sector received 5.2% of total budgetary assistance in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73696" name="Picture 1" descr="Figure 4.5 - This figure is a tree-map, showing the budgetary assistance received by three sectors in financial year 2023-24 and breaking them down into contributions by sub-industries. Services is the largest category, made up of professional, scientific and technical services (21.4% of budgetary assistance in 2023-24); financial and insurance services (11.9%); information media and telecommunications (10.2%); and rental, hiring and real estate services (4.2%). The remaining services (healthcare and social assistance, retail trade, wholesale trade, construction, utilities, textiles and clothing, accommodation and food services, and education) each accounted for less than 3% of budgetary assistance in 2023-24. Other services not presented individually in the chart collectively accounted for 4%.  &#10;Budgetary assistance to the agriculture, forestry and fisheries sector was made up of sheep, beef cattle and grain farming (9.2% of budgetary assistance in 2023-24), fruit and tree nut growing (1.1%) forestry and logging (1.1%) and other crop growing (1%). Assistance to other agriculture, forestry and fishing sub-sectors not shown on this chart collectively accounted for 3.8% of budgetary assistance in 2023-24. &#10;Budgetary assistance to the manufacturing sector was made up of machinery and equipment (3.1% of budgetary assistance in 2023-24), basic chemical and chemical products (2.7%), primary metal and metal products (1.6%), petrol and coal products (1.2%) and food products (1.2%). Assistance to other manufacturing sub-sectors not shown on this chart collectively accounted for 3.7% of budgetary assistance in 2023-24. &#10;The mining sector received 5.2% of total budgetary assistance in 2023-24.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0130" cy="5804535"/>
                    </a:xfrm>
                    <a:prstGeom prst="rect">
                      <a:avLst/>
                    </a:prstGeom>
                    <a:noFill/>
                    <a:ln>
                      <a:noFill/>
                    </a:ln>
                  </pic:spPr>
                </pic:pic>
              </a:graphicData>
            </a:graphic>
          </wp:inline>
        </w:drawing>
      </w:r>
    </w:p>
    <w:p w14:paraId="4E2930AB" w14:textId="777F580A" w:rsidR="00D7305F" w:rsidRDefault="00D7305F" w:rsidP="00D7305F">
      <w:pPr>
        <w:pStyle w:val="Note"/>
      </w:pPr>
      <w:r>
        <w:rPr>
          <w:b/>
          <w:bCs/>
        </w:rPr>
        <w:t>a</w:t>
      </w:r>
      <w:r w:rsidRPr="004A61F1">
        <w:t xml:space="preserve">. </w:t>
      </w:r>
      <w:r>
        <w:t xml:space="preserve">Figure excludes </w:t>
      </w:r>
      <w:r w:rsidDel="00A5055B">
        <w:t>$</w:t>
      </w:r>
      <w:r>
        <w:t>4.13 billion that cannot be allocated to any sector and $1.01 billion that can be allocated to a sector but not to a specific PC industry (e.g. unallocated services).</w:t>
      </w:r>
      <w:r w:rsidRPr="009C07D6">
        <w:rPr>
          <w:b/>
          <w:bCs/>
        </w:rPr>
        <w:t xml:space="preserve"> </w:t>
      </w:r>
      <w:r>
        <w:rPr>
          <w:b/>
          <w:bCs/>
        </w:rPr>
        <w:t>b</w:t>
      </w:r>
      <w:r w:rsidRPr="004A61F1">
        <w:t>.</w:t>
      </w:r>
      <w:r>
        <w:t xml:space="preserve"> For readability some industries are grouped into ‘Other’. See appendix </w:t>
      </w:r>
      <w:r w:rsidR="00086A34">
        <w:t>B</w:t>
      </w:r>
      <w:r>
        <w:t xml:space="preserve"> for full industry estimates.</w:t>
      </w:r>
    </w:p>
    <w:p w14:paraId="1D3CEF82" w14:textId="711A3E80" w:rsidR="00D7305F" w:rsidRDefault="00D7305F" w:rsidP="00D7305F">
      <w:pPr>
        <w:pStyle w:val="Note"/>
      </w:pPr>
      <w:r w:rsidRPr="00622B65">
        <w:t xml:space="preserve">Source: </w:t>
      </w:r>
      <w:r>
        <w:t>P</w:t>
      </w:r>
      <w:r w:rsidR="00451318">
        <w:t>C</w:t>
      </w:r>
      <w:r w:rsidRPr="00622B65">
        <w:t xml:space="preserve"> estimates</w:t>
      </w:r>
      <w:r>
        <w:t xml:space="preserve"> of initial benefitting industries using ANZSIC divisions for services and mining and 2</w:t>
      </w:r>
      <w:r w:rsidR="00200862">
        <w:noBreakHyphen/>
      </w:r>
      <w:r>
        <w:t>digit ANZSIC for other sectors (PC industry)</w:t>
      </w:r>
      <w:r w:rsidRPr="00622B65">
        <w:t>.</w:t>
      </w:r>
    </w:p>
    <w:p w14:paraId="45BD0A78" w14:textId="73AF7F4B" w:rsidR="00D7305F" w:rsidRDefault="00A76526" w:rsidP="00D7305F">
      <w:pPr>
        <w:pStyle w:val="BodyText"/>
      </w:pPr>
      <w:r>
        <w:t xml:space="preserve">Figure 4.6 </w:t>
      </w:r>
      <w:r w:rsidR="00D7305F">
        <w:t xml:space="preserve">shows the types of measures used to support different sectors of the economy. R&amp;D measures exist in every sector and are the main type of budgetary assistance. Almost all mining assistance (87.4%) and most manufacturing support (71.1%) is delivered through R&amp;D. </w:t>
      </w:r>
      <w:r w:rsidR="002D64A1">
        <w:t>Conversely</w:t>
      </w:r>
      <w:r w:rsidR="00D7305F">
        <w:t xml:space="preserve">, assistance for services and the agriculture, forestry and fishing sector are more varied with just 47.8% of services support and 42.7% of agriculture, forestry and fishing support coming from R&amp;D measures. </w:t>
      </w:r>
    </w:p>
    <w:p w14:paraId="004778F0" w14:textId="0E30409B" w:rsidR="00D7305F" w:rsidRDefault="00D7305F" w:rsidP="00D7305F">
      <w:pPr>
        <w:pStyle w:val="BodyText"/>
      </w:pPr>
      <w:r>
        <w:t xml:space="preserve">Small business measures are major forms of support for the services sector and for primary producers. The manufacturing sector receives the smallest share of assistance from small business measures (2.8%). The </w:t>
      </w:r>
      <w:r>
        <w:lastRenderedPageBreak/>
        <w:t>bulk of allocatable small business assistance comes from tax concessions for businesses below $2 million. These tax concessions offer small business</w:t>
      </w:r>
      <w:r w:rsidR="008C26CA">
        <w:t>es</w:t>
      </w:r>
      <w:r>
        <w:t xml:space="preserve"> capital gains incentives. Based on ABS </w:t>
      </w:r>
      <w:r w:rsidR="007219B3">
        <w:t>data</w:t>
      </w:r>
      <w:r>
        <w:t xml:space="preserve"> </w:t>
      </w:r>
      <w:r w:rsidRPr="0028392B">
        <w:rPr>
          <w:rFonts w:ascii="Arial" w:hAnsi="Arial" w:cs="Arial"/>
        </w:rPr>
        <w:t>(2024b)</w:t>
      </w:r>
      <w:r w:rsidR="00F50838">
        <w:t>,</w:t>
      </w:r>
      <w:r>
        <w:t xml:space="preserve"> </w:t>
      </w:r>
      <w:r w:rsidR="00EA777F">
        <w:t>m</w:t>
      </w:r>
      <w:r>
        <w:t>anufacturers make up 3.1% of businesses with a turnover below $2 million eligible for these concessions. Yet manufacturers only receive 2.1% of the value from these tax concessions. In comparison</w:t>
      </w:r>
      <w:r w:rsidR="00BD601F">
        <w:t>,</w:t>
      </w:r>
      <w:r>
        <w:t xml:space="preserve"> miners make up 0.3% of Australian businesses with a turnover below $2 million yet receive 0.9% of all assistance from these tax concessions. So, despite the low share of support from small business measures, miners are still benefitting substantially from these measures given the sectors’ small share of small businesses. </w:t>
      </w:r>
    </w:p>
    <w:p w14:paraId="50F72C69" w14:textId="7A9F83DA" w:rsidR="00D7305F" w:rsidRDefault="00D7305F" w:rsidP="00D7305F">
      <w:pPr>
        <w:pStyle w:val="BodyText"/>
      </w:pPr>
      <w:r>
        <w:t>As for other measure types, industry and sector specific measures mostly benefitted the agriculture, forestry and fishing and manufacturing sectors</w:t>
      </w:r>
      <w:r w:rsidR="00F152A9">
        <w:t>,</w:t>
      </w:r>
      <w:r>
        <w:t xml:space="preserve"> making up 31.6% and 20.3% of these sectors’ assistance</w:t>
      </w:r>
      <w:r w:rsidR="00044CFD">
        <w:t>,</w:t>
      </w:r>
      <w:r>
        <w:t xml:space="preserve"> respectively. Meanwhile, regional adjustment measures made up a small proportion of all sectors’ assistance </w:t>
      </w:r>
      <w:r w:rsidR="0088462D">
        <w:t>–</w:t>
      </w:r>
      <w:r>
        <w:t xml:space="preserve"> they are not a substantial form of assistance. For instance, primary producers receive 0.9% of their assistance from regional adjustment measures, despite almost all activity being regional. </w:t>
      </w:r>
    </w:p>
    <w:p w14:paraId="356F8BD8" w14:textId="21996B93" w:rsidR="00D7305F" w:rsidRPr="004A61F1" w:rsidRDefault="00D7305F" w:rsidP="00D7305F">
      <w:pPr>
        <w:pStyle w:val="Caption"/>
        <w:keepNext/>
        <w:rPr>
          <w:rStyle w:val="FootnoteReference"/>
        </w:rPr>
      </w:pPr>
      <w:bookmarkStart w:id="62" w:name="_Ref201320980"/>
      <w:r>
        <w:t>Figure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6</w:t>
      </w:r>
      <w:r w:rsidR="005642CB">
        <w:fldChar w:fldCharType="end"/>
      </w:r>
      <w:bookmarkEnd w:id="62"/>
      <w:r w:rsidR="00B60156">
        <w:t xml:space="preserve"> –</w:t>
      </w:r>
      <w:r>
        <w:t xml:space="preserve"> R&amp;D measures are the largest form of assistance across all sectors</w:t>
      </w:r>
      <w:r w:rsidRPr="00622B65">
        <w:rPr>
          <w:vertAlign w:val="superscript"/>
        </w:rPr>
        <w:t>a</w:t>
      </w:r>
    </w:p>
    <w:p w14:paraId="13549B36" w14:textId="286B3D2B" w:rsidR="00D7305F" w:rsidRDefault="00D7305F" w:rsidP="00D7305F">
      <w:pPr>
        <w:pStyle w:val="FigureTableSubheading"/>
        <w:keepLines/>
      </w:pPr>
      <w:r>
        <w:t>Sectoral share of budgetary assistance by type of assistance received, 2023</w:t>
      </w:r>
      <w:r w:rsidR="001E0640">
        <w:t>-</w:t>
      </w:r>
      <w:r>
        <w:t>24</w:t>
      </w:r>
    </w:p>
    <w:p w14:paraId="2FD333DF" w14:textId="680D949E" w:rsidR="00D7305F" w:rsidRDefault="009F1393" w:rsidP="00A27431">
      <w:pPr>
        <w:pStyle w:val="BodyText"/>
      </w:pPr>
      <w:r w:rsidRPr="009F1393">
        <w:rPr>
          <w:noProof/>
        </w:rPr>
        <w:drawing>
          <wp:inline distT="0" distB="0" distL="0" distR="0" wp14:anchorId="65565212" wp14:editId="30D62D81">
            <wp:extent cx="6120130" cy="2575932"/>
            <wp:effectExtent l="0" t="0" r="0" b="0"/>
            <wp:docPr id="637129799" name="Picture 30" descr="Figure 4.6 - This figure is a two-by-two table with sectors in the column category and type of budgetary assistance in the rows category. It shows the sectoral share of budgetary assistance for each pairing of industry and assistance type.  &#10;R&amp;D measures accounted for 42.7% of all budgetary assistance received by the agriculture, forestry and fishing sector in 2023-24, 71.7% by the manufacturing sector, 87.4% by the mining sector, and 47.8% by the services sector. &#10;Industry and sector specific measures accounted for 31.6% of assistance received by the agriculture, forestry and fisheries sector, 20.3% by the manufacturing sector, 8.6% by the mining sector and 18.9% by the services sector. &#10;Small business measures accounted for 24.7% of assistance received by the agriculture, forestry and fisheries sector, 2.8% by the manufacturing sector, 3.3% by the mining sector and 21% by the services sector. &#10;In most cases, the rest of the measures (regional/structural adjustment measures, general export measures and other measures) accounted for less than 1% of assistance for each sector. The exceptions are general export measures accounting for 4.3% of assistance received by the manufacturing sector and 2% of assistance received by the services sector. Other measures also contributed 10.1% of assistance received by the services se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29799" name="Picture 30" descr="Figure 4.6 - This figure is a two-by-two table with sectors in the column category and type of budgetary assistance in the rows category. It shows the sectoral share of budgetary assistance for each pairing of industry and assistance type.  &#10;R&amp;D measures accounted for 42.7% of all budgetary assistance received by the agriculture, forestry and fishing sector in 2023-24, 71.7% by the manufacturing sector, 87.4% by the mining sector, and 47.8% by the services sector. &#10;Industry and sector specific measures accounted for 31.6% of assistance received by the agriculture, forestry and fisheries sector, 20.3% by the manufacturing sector, 8.6% by the mining sector and 18.9% by the services sector. &#10;Small business measures accounted for 24.7% of assistance received by the agriculture, forestry and fisheries sector, 2.8% by the manufacturing sector, 3.3% by the mining sector and 21% by the services sector. &#10;In most cases, the rest of the measures (regional/structural adjustment measures, general export measures and other measures) accounted for less than 1% of assistance for each sector. The exceptions are general export measures accounting for 4.3% of assistance received by the manufacturing sector and 2% of assistance received by the services sector. Other measures also contributed 10.1% of assistance received by the services sector.  &#10;"/>
                    <pic:cNvPicPr>
                      <a:picLocks noChangeAspect="1" noChangeArrowheads="1"/>
                    </pic:cNvPicPr>
                  </pic:nvPicPr>
                  <pic:blipFill rotWithShape="1">
                    <a:blip r:embed="rId74">
                      <a:extLst>
                        <a:ext uri="{28A0092B-C50C-407E-A947-70E740481C1C}">
                          <a14:useLocalDpi xmlns:a14="http://schemas.microsoft.com/office/drawing/2010/main" val="0"/>
                        </a:ext>
                      </a:extLst>
                    </a:blip>
                    <a:srcRect b="4998"/>
                    <a:stretch/>
                  </pic:blipFill>
                  <pic:spPr bwMode="auto">
                    <a:xfrm>
                      <a:off x="0" y="0"/>
                      <a:ext cx="6120130" cy="2575932"/>
                    </a:xfrm>
                    <a:prstGeom prst="rect">
                      <a:avLst/>
                    </a:prstGeom>
                    <a:noFill/>
                    <a:ln>
                      <a:noFill/>
                    </a:ln>
                    <a:extLst>
                      <a:ext uri="{53640926-AAD7-44D8-BBD7-CCE9431645EC}">
                        <a14:shadowObscured xmlns:a14="http://schemas.microsoft.com/office/drawing/2010/main"/>
                      </a:ext>
                    </a:extLst>
                  </pic:spPr>
                </pic:pic>
              </a:graphicData>
            </a:graphic>
          </wp:inline>
        </w:drawing>
      </w:r>
      <w:r w:rsidR="00D7305F" w:rsidRPr="00672464">
        <w:t xml:space="preserve"> </w:t>
      </w:r>
    </w:p>
    <w:p w14:paraId="5479AFE7" w14:textId="1AD16A8E" w:rsidR="00D7305F" w:rsidRPr="000B3A3B" w:rsidRDefault="00D7305F" w:rsidP="00D7305F">
      <w:pPr>
        <w:pStyle w:val="Note"/>
        <w:keepNext/>
        <w:keepLines/>
      </w:pPr>
      <w:r w:rsidRPr="00622B65">
        <w:rPr>
          <w:b/>
          <w:bCs/>
        </w:rPr>
        <w:t>a.</w:t>
      </w:r>
      <w:r w:rsidRPr="00622B65">
        <w:t xml:space="preserve"> </w:t>
      </w:r>
      <w:r>
        <w:t xml:space="preserve">See appendix </w:t>
      </w:r>
      <w:r w:rsidR="00086A34">
        <w:t>B</w:t>
      </w:r>
      <w:r>
        <w:t>: table A.6 for definitions of types of measures.</w:t>
      </w:r>
    </w:p>
    <w:p w14:paraId="5B5E0C1B" w14:textId="32803B9A" w:rsidR="00D7305F" w:rsidRDefault="00D7305F" w:rsidP="00D7305F">
      <w:pPr>
        <w:pStyle w:val="Source"/>
      </w:pPr>
      <w:r w:rsidRPr="00622B65">
        <w:t xml:space="preserve">Source: </w:t>
      </w:r>
      <w:r>
        <w:t>P</w:t>
      </w:r>
      <w:r w:rsidR="00451318">
        <w:t>C</w:t>
      </w:r>
      <w:r w:rsidRPr="00622B65">
        <w:t xml:space="preserve"> estimates.</w:t>
      </w:r>
    </w:p>
    <w:p w14:paraId="420343D2" w14:textId="77777777" w:rsidR="00D7305F" w:rsidRDefault="00D7305F" w:rsidP="00D7305F">
      <w:pPr>
        <w:pStyle w:val="Heading3-noTOC"/>
      </w:pPr>
      <w:r>
        <w:t>Some industries are favoured by assistance relative to their size</w:t>
      </w:r>
    </w:p>
    <w:p w14:paraId="124DAB3B" w14:textId="4FC86E6F" w:rsidR="00D7305F" w:rsidRDefault="00D7305F" w:rsidP="00D7305F">
      <w:pPr>
        <w:pStyle w:val="BodyText"/>
      </w:pPr>
      <w:r>
        <w:t xml:space="preserve">Relative to their share of the economy, the agriculture, forestry and fishing sector and manufacturing </w:t>
      </w:r>
      <w:r w:rsidR="00945D0E">
        <w:t xml:space="preserve">sector </w:t>
      </w:r>
      <w:r>
        <w:t>continued to receive a disproportionately large amount of assistance (</w:t>
      </w:r>
      <w:r w:rsidR="00A27431">
        <w:t>figure</w:t>
      </w:r>
      <w:r w:rsidR="00791979">
        <w:t> 4.7</w:t>
      </w:r>
      <w:r w:rsidRPr="000D30FB">
        <w:t>).</w:t>
      </w:r>
      <w:r>
        <w:t xml:space="preserve"> Services (broken into market and non</w:t>
      </w:r>
      <w:r w:rsidR="00200862">
        <w:noBreakHyphen/>
      </w:r>
      <w:r>
        <w:t>market services)</w:t>
      </w:r>
      <w:r w:rsidRPr="00D23D7D">
        <w:rPr>
          <w:rStyle w:val="FootnoteReference"/>
        </w:rPr>
        <w:footnoteReference w:id="28"/>
      </w:r>
      <w:r>
        <w:t xml:space="preserve"> and mining all received a lower share of assistance than their share of the economy, despite services receiving the greatest share of budgetary assistance in absolute terms. </w:t>
      </w:r>
      <w:r w:rsidR="008E0EA2">
        <w:t>Conversely</w:t>
      </w:r>
      <w:r>
        <w:t>, the agriculture, forestry and fishing and manufacturing sectors received more budgetary assistance than their share of the economy at a ratio of 5.3 and 2.1</w:t>
      </w:r>
      <w:r w:rsidR="009D00D3">
        <w:t>,</w:t>
      </w:r>
      <w:r>
        <w:t xml:space="preserve"> respectively.</w:t>
      </w:r>
    </w:p>
    <w:p w14:paraId="48AEA50A" w14:textId="514A401A" w:rsidR="00D7305F" w:rsidRDefault="00D7305F" w:rsidP="00D7305F">
      <w:pPr>
        <w:pStyle w:val="BodyText"/>
      </w:pPr>
      <w:r>
        <w:lastRenderedPageBreak/>
        <w:t>Non</w:t>
      </w:r>
      <w:r w:rsidR="00200862">
        <w:noBreakHyphen/>
      </w:r>
      <w:r>
        <w:t xml:space="preserve">market services (education, health and public administration) received the least assistance relative to </w:t>
      </w:r>
      <w:r w:rsidR="007379FA">
        <w:t xml:space="preserve">their </w:t>
      </w:r>
      <w:r>
        <w:t xml:space="preserve">share of the economy, but this is to be expected, as most </w:t>
      </w:r>
      <w:r w:rsidR="001133B5">
        <w:t>Australian </w:t>
      </w:r>
      <w:r>
        <w:t>Government funding for non</w:t>
      </w:r>
      <w:r w:rsidR="00200862">
        <w:noBreakHyphen/>
      </w:r>
      <w:r>
        <w:t>market industries is explicitly out of scope for the TAR.</w:t>
      </w:r>
      <w:r w:rsidRPr="00D23D7D">
        <w:rPr>
          <w:rStyle w:val="FootnoteReference"/>
        </w:rPr>
        <w:footnoteReference w:id="29"/>
      </w:r>
      <w:r>
        <w:t xml:space="preserve"> In the past five years, the median ratio of budgetary assistance to its share of the economy for the non</w:t>
      </w:r>
      <w:r w:rsidR="00200862">
        <w:noBreakHyphen/>
      </w:r>
      <w:r>
        <w:t>market sector has only been 0.1, compared to 0.9 for market sector services.</w:t>
      </w:r>
    </w:p>
    <w:p w14:paraId="6EFE49B8" w14:textId="682B1B48" w:rsidR="00D7305F" w:rsidRPr="00622B65" w:rsidRDefault="00D7305F" w:rsidP="00D7305F">
      <w:pPr>
        <w:pStyle w:val="FigureTableHeading"/>
      </w:pPr>
      <w:bookmarkStart w:id="63" w:name="_Ref190443956"/>
      <w:r>
        <w:t>Figure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7</w:t>
      </w:r>
      <w:r w:rsidR="005642CB">
        <w:fldChar w:fldCharType="end"/>
      </w:r>
      <w:bookmarkEnd w:id="63"/>
      <w:r w:rsidR="00C440D6">
        <w:t xml:space="preserve"> </w:t>
      </w:r>
      <w:r w:rsidRPr="00622B65">
        <w:t xml:space="preserve">– </w:t>
      </w:r>
      <w:r>
        <w:t>Agriculture</w:t>
      </w:r>
      <w:r w:rsidRPr="00622B65">
        <w:t xml:space="preserve"> and manufacturing attract</w:t>
      </w:r>
      <w:r>
        <w:t>ed</w:t>
      </w:r>
      <w:r w:rsidRPr="00622B65">
        <w:t xml:space="preserve"> large shares of budgetary assistance relative to their size</w:t>
      </w:r>
      <w:r w:rsidRPr="00622B65">
        <w:rPr>
          <w:vertAlign w:val="superscript"/>
        </w:rPr>
        <w:t>a</w:t>
      </w:r>
    </w:p>
    <w:p w14:paraId="2C5F16EC" w14:textId="2D600F7A" w:rsidR="00D7305F" w:rsidRPr="00622B65" w:rsidRDefault="00D7305F" w:rsidP="00D7305F">
      <w:pPr>
        <w:pStyle w:val="FigureTableSubheading"/>
        <w:keepLines/>
        <w:rPr>
          <w:rFonts w:asciiTheme="minorHAnsi" w:hAnsiTheme="minorHAnsi"/>
          <w:color w:val="auto"/>
        </w:rPr>
      </w:pPr>
      <w:bookmarkStart w:id="64" w:name="_Hlk188960683"/>
      <w:r w:rsidRPr="00622B65" w:rsidDel="00532141">
        <w:t xml:space="preserve">Ratio of sectoral shares of allocated assistance to sectoral share of industry gross value added, </w:t>
      </w:r>
      <w:r>
        <w:t>2023</w:t>
      </w:r>
      <w:r w:rsidR="001E0640">
        <w:t>-</w:t>
      </w:r>
      <w:r>
        <w:t>24</w:t>
      </w:r>
      <w:bookmarkEnd w:id="64"/>
      <w:r w:rsidR="009F1393" w:rsidRPr="009F1393">
        <w:rPr>
          <w:noProof/>
        </w:rPr>
        <w:drawing>
          <wp:inline distT="0" distB="0" distL="0" distR="0" wp14:anchorId="7D901ECB" wp14:editId="319441AC">
            <wp:extent cx="6120130" cy="3590290"/>
            <wp:effectExtent l="0" t="0" r="0" b="0"/>
            <wp:docPr id="563990703" name="Picture 31" descr="Figure 4.7 - This figure shows the ratio of assistance to each sectors contribution to GDP, with sectors on the x-axis and ratio of assistance on the y-axis. Agriculture and manufacturing both received more assistance than their share of the economy, while services and mining did n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990703" name="Picture 31" descr="Figure 4.7 - This figure shows the ratio of assistance to each sectors contribution to GDP, with sectors on the x-axis and ratio of assistance on the y-axis. Agriculture and manufacturing both received more assistance than their share of the economy, while services and mining did not.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3590290"/>
                    </a:xfrm>
                    <a:prstGeom prst="rect">
                      <a:avLst/>
                    </a:prstGeom>
                    <a:noFill/>
                    <a:ln>
                      <a:noFill/>
                    </a:ln>
                  </pic:spPr>
                </pic:pic>
              </a:graphicData>
            </a:graphic>
          </wp:inline>
        </w:drawing>
      </w:r>
      <w:r w:rsidRPr="54B6EE64">
        <w:rPr>
          <w:rFonts w:asciiTheme="minorHAnsi" w:hAnsiTheme="minorHAnsi"/>
          <w:color w:val="auto"/>
        </w:rPr>
        <w:t xml:space="preserve"> </w:t>
      </w:r>
    </w:p>
    <w:p w14:paraId="56FF37F8" w14:textId="77777777" w:rsidR="00D7305F" w:rsidRPr="002436F4" w:rsidRDefault="00D7305F" w:rsidP="00D7305F">
      <w:pPr>
        <w:pStyle w:val="Note"/>
        <w:keepLines/>
      </w:pPr>
      <w:r w:rsidRPr="00622B65">
        <w:t xml:space="preserve">GVA = gross value added, which is the sectoral share of GDP. </w:t>
      </w:r>
      <w:r w:rsidRPr="00622B65">
        <w:rPr>
          <w:b/>
          <w:bCs/>
        </w:rPr>
        <w:t>a.</w:t>
      </w:r>
      <w:r w:rsidRPr="00622B65">
        <w:t xml:space="preserve"> The ratio of share of assistance to share of GVA is the share of each sector’s budgetary assistance divided by the sector’s share of GVA. A ratio </w:t>
      </w:r>
      <w:r>
        <w:t>above one</w:t>
      </w:r>
      <w:r w:rsidRPr="00622B65">
        <w:t xml:space="preserve"> indicates that the sector received a share of assistance greater than its share of GVA. </w:t>
      </w:r>
    </w:p>
    <w:p w14:paraId="181315F0" w14:textId="68BFF65E" w:rsidR="00D7305F" w:rsidRDefault="00D7305F" w:rsidP="00D7305F">
      <w:pPr>
        <w:pStyle w:val="Source"/>
      </w:pPr>
      <w:r w:rsidRPr="00622B65">
        <w:t xml:space="preserve">Source: </w:t>
      </w:r>
      <w:r>
        <w:t>P</w:t>
      </w:r>
      <w:r w:rsidR="00451318">
        <w:t>C</w:t>
      </w:r>
      <w:r w:rsidRPr="00622B65">
        <w:t xml:space="preserve"> estimates.</w:t>
      </w:r>
    </w:p>
    <w:p w14:paraId="623DB8B1" w14:textId="507E7E07" w:rsidR="00D7305F" w:rsidRPr="00A972CD" w:rsidRDefault="00791979" w:rsidP="00D7305F">
      <w:pPr>
        <w:pStyle w:val="BodyText"/>
      </w:pPr>
      <w:r w:rsidRPr="00C3452E">
        <w:t>Figure </w:t>
      </w:r>
      <w:r>
        <w:t>4.8</w:t>
      </w:r>
      <w:r w:rsidR="00D7305F" w:rsidRPr="00A972CD">
        <w:t xml:space="preserve"> breaks down the ratio of assistance to its share of the economy for each of the industries making up the services sector. Most services receive proportionately less assistance, with a few key exceptions. Information, </w:t>
      </w:r>
      <w:r w:rsidR="005A2C5A">
        <w:t>m</w:t>
      </w:r>
      <w:r w:rsidR="00D7305F" w:rsidRPr="00A972CD">
        <w:t>edia and telecommunications has the highest ratio due to various film industry tax concessions</w:t>
      </w:r>
      <w:r w:rsidR="00F46A6E">
        <w:t>,</w:t>
      </w:r>
      <w:r w:rsidR="00D7305F" w:rsidRPr="00A972CD">
        <w:t xml:space="preserve"> including the expansion </w:t>
      </w:r>
      <w:r w:rsidR="007B2CB4">
        <w:t>of</w:t>
      </w:r>
      <w:r w:rsidR="007B2CB4" w:rsidRPr="00A972CD">
        <w:t xml:space="preserve"> </w:t>
      </w:r>
      <w:r w:rsidR="00D7305F" w:rsidRPr="00A972CD">
        <w:t xml:space="preserve">these incentives </w:t>
      </w:r>
      <w:r w:rsidR="005232B7">
        <w:t>discussed previously</w:t>
      </w:r>
      <w:r w:rsidR="005232B7" w:rsidRPr="00A972CD">
        <w:t xml:space="preserve"> </w:t>
      </w:r>
      <w:r w:rsidR="00D7305F" w:rsidRPr="00A972CD">
        <w:t xml:space="preserve">in </w:t>
      </w:r>
      <w:r w:rsidR="007B2CB4">
        <w:t>f</w:t>
      </w:r>
      <w:r w:rsidR="00802B1C">
        <w:t>igure 4.4</w:t>
      </w:r>
      <w:r w:rsidR="005232B7">
        <w:t xml:space="preserve">. </w:t>
      </w:r>
      <w:r w:rsidR="00D7305F" w:rsidRPr="00A972CD">
        <w:t xml:space="preserve">These concessions provide financial support and incentives to the Australian film and television industry, contributing to production budgets and attracting offshore productions to Australia. </w:t>
      </w:r>
    </w:p>
    <w:p w14:paraId="74E34CBE" w14:textId="6B8DCFF2" w:rsidR="00D7305F" w:rsidRPr="00A972CD" w:rsidRDefault="00D7305F" w:rsidP="00D7305F">
      <w:pPr>
        <w:pStyle w:val="BodyText"/>
      </w:pPr>
      <w:r w:rsidRPr="00A972CD">
        <w:t xml:space="preserve">Further, professional services (ratio of 1.9), financial services (ratio of 1.1) and rental services (ratio of 1.1) received proportionately more assistance due to the variety of small business and R&amp;D tax concessions that support these industries. This includes the new digital games production tax credit, which falls under </w:t>
      </w:r>
      <w:r w:rsidRPr="00A972CD">
        <w:lastRenderedPageBreak/>
        <w:t xml:space="preserve">professional services within the industry classification system. Other measures supporting these industries can be found in </w:t>
      </w:r>
      <w:r w:rsidR="00086A34">
        <w:t>a</w:t>
      </w:r>
      <w:r w:rsidRPr="00A972CD">
        <w:t xml:space="preserve">ppendix </w:t>
      </w:r>
      <w:r w:rsidR="00086A34">
        <w:t>B</w:t>
      </w:r>
      <w:r w:rsidRPr="00A972CD">
        <w:t>.</w:t>
      </w:r>
    </w:p>
    <w:p w14:paraId="4F040B2F" w14:textId="1F29FE41" w:rsidR="00D7305F" w:rsidRPr="00C3452E" w:rsidRDefault="00D7305F" w:rsidP="00D7305F">
      <w:pPr>
        <w:pStyle w:val="FigureTableHeading"/>
        <w:spacing w:before="0"/>
      </w:pPr>
      <w:bookmarkStart w:id="65" w:name="_Ref193710260"/>
      <w:r w:rsidRPr="00C3452E">
        <w:t>Figure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8</w:t>
      </w:r>
      <w:r w:rsidR="005642CB">
        <w:fldChar w:fldCharType="end"/>
      </w:r>
      <w:bookmarkEnd w:id="65"/>
      <w:r w:rsidR="001E0640">
        <w:t xml:space="preserve"> </w:t>
      </w:r>
      <w:r w:rsidRPr="00C3452E">
        <w:t>– Some market services receive more assistance than their share of the economy</w:t>
      </w:r>
      <w:r w:rsidRPr="00C3452E">
        <w:rPr>
          <w:vertAlign w:val="superscript"/>
        </w:rPr>
        <w:t>a</w:t>
      </w:r>
    </w:p>
    <w:p w14:paraId="4E725E5C" w14:textId="6A78F7C1" w:rsidR="000E0FDA" w:rsidRPr="000E0FDA" w:rsidRDefault="00D7305F" w:rsidP="00D7305F">
      <w:pPr>
        <w:pStyle w:val="FigureTableHeading"/>
        <w:spacing w:before="0"/>
        <w:rPr>
          <w:iCs w:val="0"/>
          <w:color w:val="58585B"/>
          <w:spacing w:val="-4"/>
        </w:rPr>
      </w:pPr>
      <w:r w:rsidRPr="000E0FDA" w:rsidDel="00532141">
        <w:rPr>
          <w:color w:val="58585B"/>
          <w:spacing w:val="-4"/>
        </w:rPr>
        <w:t xml:space="preserve">Ratio of </w:t>
      </w:r>
      <w:r w:rsidRPr="000E0FDA">
        <w:rPr>
          <w:color w:val="58585B"/>
          <w:spacing w:val="-4"/>
        </w:rPr>
        <w:t xml:space="preserve">service industry </w:t>
      </w:r>
      <w:r w:rsidRPr="000E0FDA" w:rsidDel="00532141">
        <w:rPr>
          <w:color w:val="58585B"/>
          <w:spacing w:val="-4"/>
        </w:rPr>
        <w:t xml:space="preserve">shares of </w:t>
      </w:r>
      <w:r w:rsidRPr="000E0FDA">
        <w:rPr>
          <w:color w:val="58585B"/>
          <w:spacing w:val="-4"/>
        </w:rPr>
        <w:t xml:space="preserve">budgetary </w:t>
      </w:r>
      <w:r w:rsidRPr="000E0FDA" w:rsidDel="00532141">
        <w:rPr>
          <w:color w:val="58585B"/>
          <w:spacing w:val="-4"/>
        </w:rPr>
        <w:t xml:space="preserve">assistance to </w:t>
      </w:r>
      <w:r w:rsidRPr="000E0FDA">
        <w:rPr>
          <w:color w:val="58585B"/>
          <w:spacing w:val="-4"/>
        </w:rPr>
        <w:t xml:space="preserve">industry </w:t>
      </w:r>
      <w:r w:rsidRPr="000E0FDA" w:rsidDel="00532141">
        <w:rPr>
          <w:color w:val="58585B"/>
          <w:spacing w:val="-4"/>
        </w:rPr>
        <w:t xml:space="preserve">share of </w:t>
      </w:r>
      <w:r w:rsidRPr="000E0FDA">
        <w:rPr>
          <w:color w:val="58585B"/>
          <w:spacing w:val="-4"/>
        </w:rPr>
        <w:t>GVA</w:t>
      </w:r>
      <w:r w:rsidRPr="000E0FDA" w:rsidDel="00532141">
        <w:rPr>
          <w:color w:val="58585B"/>
          <w:spacing w:val="-4"/>
        </w:rPr>
        <w:t xml:space="preserve">, </w:t>
      </w:r>
      <w:r w:rsidRPr="000E0FDA">
        <w:rPr>
          <w:color w:val="58585B"/>
          <w:spacing w:val="-4"/>
        </w:rPr>
        <w:t>2023</w:t>
      </w:r>
      <w:r w:rsidR="001E0640" w:rsidRPr="000E0FDA">
        <w:rPr>
          <w:spacing w:val="-4"/>
        </w:rPr>
        <w:t>-</w:t>
      </w:r>
      <w:r w:rsidRPr="000E0FDA">
        <w:rPr>
          <w:color w:val="58585B"/>
          <w:spacing w:val="-4"/>
        </w:rPr>
        <w:t>24</w:t>
      </w:r>
    </w:p>
    <w:p w14:paraId="692DF525" w14:textId="3B44836A" w:rsidR="00D7305F" w:rsidRPr="00A972CD" w:rsidRDefault="000E689E" w:rsidP="000E0FDA">
      <w:pPr>
        <w:pStyle w:val="BodyText"/>
        <w:rPr>
          <w:color w:val="58585B"/>
        </w:rPr>
      </w:pPr>
      <w:r w:rsidRPr="000E689E">
        <w:rPr>
          <w:noProof/>
        </w:rPr>
        <w:drawing>
          <wp:inline distT="0" distB="0" distL="0" distR="0" wp14:anchorId="748C9B38" wp14:editId="08EAAA29">
            <wp:extent cx="6120130" cy="2676293"/>
            <wp:effectExtent l="0" t="0" r="0" b="0"/>
            <wp:docPr id="968819781" name="Picture 32" descr="Figure 4.8 - This figure shows the ratio of assistance to each sub-sectors contribution to GDP, with sectors on the y-axis and ratio of assistance on the x-axis. Information media and telecommunications, and professional, scientific and technical services both received much more assistance than their share of the economy. Financial and insurance services, and rental, hiring and real estate services both received slightly more assistance than their share of the econo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19781" name="Picture 32" descr="Figure 4.8 - This figure shows the ratio of assistance to each sub-sectors contribution to GDP, with sectors on the y-axis and ratio of assistance on the x-axis. Information media and telecommunications, and professional, scientific and technical services both received much more assistance than their share of the economy. Financial and insurance services, and rental, hiring and real estate services both received slightly more assistance than their share of the economy.  "/>
                    <pic:cNvPicPr>
                      <a:picLocks noChangeAspect="1" noChangeArrowheads="1"/>
                    </pic:cNvPicPr>
                  </pic:nvPicPr>
                  <pic:blipFill rotWithShape="1">
                    <a:blip r:embed="rId76">
                      <a:extLst>
                        <a:ext uri="{28A0092B-C50C-407E-A947-70E740481C1C}">
                          <a14:useLocalDpi xmlns:a14="http://schemas.microsoft.com/office/drawing/2010/main" val="0"/>
                        </a:ext>
                      </a:extLst>
                    </a:blip>
                    <a:srcRect b="6049"/>
                    <a:stretch/>
                  </pic:blipFill>
                  <pic:spPr bwMode="auto">
                    <a:xfrm>
                      <a:off x="0" y="0"/>
                      <a:ext cx="6120130" cy="2676293"/>
                    </a:xfrm>
                    <a:prstGeom prst="rect">
                      <a:avLst/>
                    </a:prstGeom>
                    <a:noFill/>
                    <a:ln>
                      <a:noFill/>
                    </a:ln>
                    <a:extLst>
                      <a:ext uri="{53640926-AAD7-44D8-BBD7-CCE9431645EC}">
                        <a14:shadowObscured xmlns:a14="http://schemas.microsoft.com/office/drawing/2010/main"/>
                      </a:ext>
                    </a:extLst>
                  </pic:spPr>
                </pic:pic>
              </a:graphicData>
            </a:graphic>
          </wp:inline>
        </w:drawing>
      </w:r>
    </w:p>
    <w:p w14:paraId="23227BF0" w14:textId="77777777" w:rsidR="00D7305F" w:rsidRPr="00A972CD" w:rsidRDefault="00D7305F" w:rsidP="00D7305F">
      <w:pPr>
        <w:pStyle w:val="Note"/>
        <w:keepLines/>
      </w:pPr>
      <w:r w:rsidRPr="00A972CD">
        <w:t xml:space="preserve">GVA = gross value added, which is the sectoral share of GDP. </w:t>
      </w:r>
      <w:r w:rsidRPr="00A972CD">
        <w:rPr>
          <w:b/>
          <w:bCs/>
        </w:rPr>
        <w:t>a.</w:t>
      </w:r>
      <w:r w:rsidRPr="00A972CD">
        <w:t xml:space="preserve"> The ratio of share of assistance to share of GVA is the share of each industries budgetary assistance divided by the sector’s share of GVA. A ratio above one indicates that the sector received a share of assistance greater than its share of GVA.</w:t>
      </w:r>
    </w:p>
    <w:p w14:paraId="7CF96473" w14:textId="0241BAA9" w:rsidR="00D7305F" w:rsidRPr="00A972CD" w:rsidRDefault="00D7305F" w:rsidP="00D7305F">
      <w:pPr>
        <w:pStyle w:val="Source"/>
      </w:pPr>
      <w:r w:rsidRPr="00A972CD">
        <w:t>Source: P</w:t>
      </w:r>
      <w:r w:rsidR="00451318">
        <w:t>C</w:t>
      </w:r>
      <w:r w:rsidRPr="00A972CD">
        <w:t xml:space="preserve"> estimates.</w:t>
      </w:r>
    </w:p>
    <w:p w14:paraId="068F8DD0" w14:textId="0E39A986" w:rsidR="00D7305F" w:rsidRPr="00A972CD" w:rsidRDefault="00E11D68" w:rsidP="00AD3F2C">
      <w:pPr>
        <w:pStyle w:val="Heading2"/>
      </w:pPr>
      <w:bookmarkStart w:id="66" w:name="_Toc202477858"/>
      <w:r>
        <w:t xml:space="preserve">A </w:t>
      </w:r>
      <w:r w:rsidRPr="00AD3F2C">
        <w:t>look</w:t>
      </w:r>
      <w:r>
        <w:t xml:space="preserve"> at concessional finance</w:t>
      </w:r>
      <w:r w:rsidR="002C4CA6">
        <w:t xml:space="preserve"> in 2023-24</w:t>
      </w:r>
      <w:bookmarkEnd w:id="66"/>
    </w:p>
    <w:p w14:paraId="4C4005C1" w14:textId="1AD582DB" w:rsidR="00D7305F" w:rsidRPr="00A972CD" w:rsidRDefault="00D7305F" w:rsidP="00D7305F">
      <w:pPr>
        <w:pStyle w:val="BodyText"/>
      </w:pPr>
      <w:r w:rsidRPr="00A972CD">
        <w:t>Concessional finance refers to loans or equity investments provided on more favourable terms than would otherwise be available. When the government provides concessional finance, the amount of ‘concessionality’ is the difference between the interest that the borrower actually pays and the interest they would have paid if they obtained the loan at the prevailing market interest rate.</w:t>
      </w:r>
    </w:p>
    <w:p w14:paraId="4F29A8DC" w14:textId="6F367F9E" w:rsidR="00D7305F" w:rsidRPr="00A972CD" w:rsidRDefault="00D7305F" w:rsidP="00D7305F">
      <w:pPr>
        <w:pStyle w:val="BodyText"/>
      </w:pPr>
      <w:r w:rsidRPr="00A972CD">
        <w:t>C</w:t>
      </w:r>
      <w:r w:rsidRPr="00A972CD">
        <w:rPr>
          <w:rFonts w:ascii="Arial" w:hAnsi="Arial"/>
        </w:rPr>
        <w:t>oncessional finance can act as a form of industry assistance when it is selectively available to one domestic firm or sector, but not others.</w:t>
      </w:r>
      <w:r w:rsidRPr="00A972CD">
        <w:t xml:space="preserve"> A key exception is where subsidies provided through concessional finance programs efficiently price in positive externalities that are generated, or negative externalities that are avoided. For example, subsidising finance for low emissions technologies might not constitute industry assistance where the level of the subsidy is designed to account for the social </w:t>
      </w:r>
      <w:r w:rsidR="008E32B4">
        <w:t>benefit</w:t>
      </w:r>
      <w:r w:rsidR="008E32B4" w:rsidRPr="00A972CD">
        <w:t xml:space="preserve"> </w:t>
      </w:r>
      <w:r w:rsidRPr="00A972CD">
        <w:t>of greenhouse gas emissions</w:t>
      </w:r>
      <w:r w:rsidR="008E32B4">
        <w:t xml:space="preserve"> avoided</w:t>
      </w:r>
      <w:r w:rsidRPr="00A972CD">
        <w:t>.</w:t>
      </w:r>
    </w:p>
    <w:p w14:paraId="0C3FE168" w14:textId="594ECDBA" w:rsidR="00D7305F" w:rsidRPr="00A972CD" w:rsidRDefault="007D73AE" w:rsidP="00D7305F">
      <w:pPr>
        <w:pStyle w:val="BodyText"/>
      </w:pPr>
      <w:r>
        <w:t xml:space="preserve">The </w:t>
      </w:r>
      <w:r w:rsidR="00D7305F" w:rsidRPr="00A972CD">
        <w:t>TAR 2020</w:t>
      </w:r>
      <w:r w:rsidR="00684564">
        <w:t>-</w:t>
      </w:r>
      <w:r w:rsidR="00D7305F" w:rsidRPr="00A972CD">
        <w:t>21 identified five entities that are responsible for</w:t>
      </w:r>
      <w:r w:rsidR="004670BD">
        <w:t xml:space="preserve"> the allocation of the majority of</w:t>
      </w:r>
      <w:r w:rsidR="00D7305F" w:rsidRPr="00A972CD">
        <w:t xml:space="preserve"> finance supported by the Australian Government that is considered industry assistance. These entities are listed in</w:t>
      </w:r>
      <w:r w:rsidR="00473E68">
        <w:t xml:space="preserve"> </w:t>
      </w:r>
      <w:r w:rsidR="00A3603A">
        <w:t>t</w:t>
      </w:r>
      <w:r w:rsidR="00473E68">
        <w:t xml:space="preserve">able </w:t>
      </w:r>
      <w:r w:rsidR="00A3603A">
        <w:t>4.1</w:t>
      </w:r>
      <w:r w:rsidR="00D7305F" w:rsidRPr="00A972CD">
        <w:t>. The National Reconstruction Fund (NRF)</w:t>
      </w:r>
      <w:r w:rsidR="00F344E5">
        <w:t>,</w:t>
      </w:r>
      <w:r w:rsidR="00D7305F" w:rsidRPr="00A972CD">
        <w:t xml:space="preserve"> established in 2023 </w:t>
      </w:r>
      <w:r w:rsidR="00D7305F" w:rsidRPr="00C3452E">
        <w:rPr>
          <w:rFonts w:ascii="Arial" w:hAnsi="Arial" w:cs="Arial"/>
        </w:rPr>
        <w:t>(NRFC 2024a, p. 6)</w:t>
      </w:r>
      <w:r w:rsidR="00D7305F" w:rsidRPr="00C3452E">
        <w:t xml:space="preserve"> provided its first loan in 2024</w:t>
      </w:r>
      <w:r w:rsidR="00684564">
        <w:t>-</w:t>
      </w:r>
      <w:r w:rsidR="00D7305F" w:rsidRPr="00C3452E">
        <w:t xml:space="preserve">25 and will be incorporated into next year’s TAR </w:t>
      </w:r>
      <w:r w:rsidR="00D7305F" w:rsidRPr="00C3452E">
        <w:rPr>
          <w:rFonts w:ascii="Arial" w:hAnsi="Arial" w:cs="Arial"/>
        </w:rPr>
        <w:t>(NRFC 2024b)</w:t>
      </w:r>
      <w:r w:rsidR="00D7305F" w:rsidRPr="00A972CD">
        <w:t xml:space="preserve">. </w:t>
      </w:r>
    </w:p>
    <w:p w14:paraId="42183C29" w14:textId="77777777" w:rsidR="00FC2CFE" w:rsidRPr="00A972CD" w:rsidRDefault="00FC2CFE" w:rsidP="00D7305F">
      <w:pPr>
        <w:pStyle w:val="BodyText"/>
      </w:pPr>
    </w:p>
    <w:p w14:paraId="09B71253" w14:textId="0475434B" w:rsidR="00D7305F" w:rsidRPr="00A972CD" w:rsidRDefault="00914186" w:rsidP="00914186">
      <w:pPr>
        <w:pStyle w:val="Caption"/>
        <w:keepNext/>
        <w:rPr>
          <w:vertAlign w:val="superscript"/>
        </w:rPr>
      </w:pPr>
      <w:bookmarkStart w:id="67" w:name="_Ref201573136"/>
      <w:r>
        <w:lastRenderedPageBreak/>
        <w:t xml:space="preserve">Table </w:t>
      </w:r>
      <w:r w:rsidR="00665312">
        <w:fldChar w:fldCharType="begin"/>
      </w:r>
      <w:r w:rsidR="00665312">
        <w:instrText xml:space="preserve"> STYLEREF 1 \s </w:instrText>
      </w:r>
      <w:r w:rsidR="00665312">
        <w:fldChar w:fldCharType="separate"/>
      </w:r>
      <w:r w:rsidR="004A080B">
        <w:rPr>
          <w:noProof/>
        </w:rPr>
        <w:t>4</w:t>
      </w:r>
      <w:r w:rsidR="00665312">
        <w:fldChar w:fldCharType="end"/>
      </w:r>
      <w:r w:rsidR="00665312">
        <w:t>.</w:t>
      </w:r>
      <w:r w:rsidR="00665312">
        <w:fldChar w:fldCharType="begin"/>
      </w:r>
      <w:r w:rsidR="00665312">
        <w:instrText xml:space="preserve"> SEQ Table \* ARABIC \s 1 </w:instrText>
      </w:r>
      <w:r w:rsidR="00665312">
        <w:fldChar w:fldCharType="separate"/>
      </w:r>
      <w:r w:rsidR="004A080B">
        <w:rPr>
          <w:noProof/>
        </w:rPr>
        <w:t>1</w:t>
      </w:r>
      <w:r w:rsidR="00665312">
        <w:fldChar w:fldCharType="end"/>
      </w:r>
      <w:bookmarkEnd w:id="67"/>
      <w:r w:rsidR="00D7305F" w:rsidRPr="00A972CD">
        <w:rPr>
          <w:noProof/>
        </w:rPr>
        <w:t xml:space="preserve"> – Entities providing </w:t>
      </w:r>
      <w:r w:rsidR="00D7305F" w:rsidRPr="00A972CD">
        <w:t xml:space="preserve">concessional </w:t>
      </w:r>
      <w:r w:rsidR="00285937">
        <w:t>f</w:t>
      </w:r>
      <w:r w:rsidR="00D7305F" w:rsidRPr="00A972CD">
        <w:t>inance in Australia</w:t>
      </w:r>
    </w:p>
    <w:p w14:paraId="4F46AED4" w14:textId="5A7447D1" w:rsidR="00D7305F" w:rsidRPr="00A972CD" w:rsidRDefault="00D7305F" w:rsidP="00D7305F">
      <w:pPr>
        <w:pStyle w:val="FigureTableSubheading"/>
      </w:pPr>
      <w:r w:rsidRPr="00A972CD">
        <w:t xml:space="preserve">Major providers of </w:t>
      </w:r>
      <w:r w:rsidR="003F61A8">
        <w:t>concessional</w:t>
      </w:r>
      <w:r w:rsidR="003F61A8" w:rsidRPr="00A972CD">
        <w:t xml:space="preserve"> </w:t>
      </w:r>
      <w:r w:rsidR="00605E18">
        <w:t>finance</w:t>
      </w:r>
      <w:r w:rsidRPr="00A972CD">
        <w:t xml:space="preserve"> to industry by statute of the Australian Government</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13"/>
        <w:gridCol w:w="3813"/>
        <w:gridCol w:w="2012"/>
      </w:tblGrid>
      <w:tr w:rsidR="00D7305F" w:rsidRPr="00A972CD" w14:paraId="4F914C0B" w14:textId="77777777" w:rsidTr="00A3603A">
        <w:trPr>
          <w:tblHeader/>
        </w:trPr>
        <w:tc>
          <w:tcPr>
            <w:tcW w:w="1978" w:type="pct"/>
            <w:tcBorders>
              <w:bottom w:val="single" w:sz="4" w:space="0" w:color="B3B3B3"/>
            </w:tcBorders>
            <w:vAlign w:val="bottom"/>
          </w:tcPr>
          <w:p w14:paraId="65ADC917" w14:textId="77777777" w:rsidR="00D7305F" w:rsidRPr="00A972CD" w:rsidRDefault="00D7305F">
            <w:pPr>
              <w:pStyle w:val="FigureTableSubheading"/>
              <w:spacing w:before="45" w:after="45"/>
              <w:ind w:left="57" w:right="108"/>
              <w:rPr>
                <w:rFonts w:ascii="Arial (Body)" w:hAnsi="Arial (Body)"/>
                <w:b/>
                <w:color w:val="265A9A"/>
                <w:sz w:val="18"/>
              </w:rPr>
            </w:pPr>
            <w:r w:rsidRPr="00A972CD">
              <w:rPr>
                <w:rFonts w:ascii="Arial (Body)" w:hAnsi="Arial (Body)"/>
                <w:b/>
                <w:color w:val="265A9A"/>
                <w:sz w:val="18"/>
              </w:rPr>
              <w:t>Entity</w:t>
            </w:r>
          </w:p>
        </w:tc>
        <w:tc>
          <w:tcPr>
            <w:tcW w:w="1978" w:type="pct"/>
            <w:tcBorders>
              <w:bottom w:val="single" w:sz="4" w:space="0" w:color="B3B3B3"/>
            </w:tcBorders>
            <w:vAlign w:val="bottom"/>
          </w:tcPr>
          <w:p w14:paraId="57085B89" w14:textId="77777777" w:rsidR="00D7305F" w:rsidRPr="00A972CD" w:rsidRDefault="00D7305F">
            <w:pPr>
              <w:pStyle w:val="FigureTableSubheading"/>
              <w:spacing w:before="45" w:after="45"/>
              <w:ind w:left="57" w:right="108"/>
              <w:rPr>
                <w:rFonts w:ascii="Arial (Body)" w:hAnsi="Arial (Body)"/>
                <w:b/>
                <w:color w:val="265A9A"/>
                <w:sz w:val="18"/>
              </w:rPr>
            </w:pPr>
            <w:r w:rsidRPr="00A972CD">
              <w:rPr>
                <w:rFonts w:ascii="Arial (Body)" w:hAnsi="Arial (Body)"/>
                <w:b/>
                <w:color w:val="265A9A"/>
                <w:sz w:val="18"/>
              </w:rPr>
              <w:t>Targeted sector/s</w:t>
            </w:r>
          </w:p>
        </w:tc>
        <w:tc>
          <w:tcPr>
            <w:tcW w:w="1044" w:type="pct"/>
            <w:tcBorders>
              <w:bottom w:val="single" w:sz="4" w:space="0" w:color="B3B3B3"/>
            </w:tcBorders>
            <w:vAlign w:val="bottom"/>
          </w:tcPr>
          <w:p w14:paraId="76AC6AFC" w14:textId="77777777" w:rsidR="00D7305F" w:rsidRPr="00A972CD" w:rsidRDefault="00D7305F" w:rsidP="00A3603A">
            <w:pPr>
              <w:pStyle w:val="FigureTableSubheading"/>
              <w:spacing w:before="45" w:after="45"/>
              <w:ind w:left="57" w:right="108"/>
              <w:jc w:val="right"/>
              <w:rPr>
                <w:rFonts w:ascii="Arial (Body)" w:hAnsi="Arial (Body)"/>
                <w:b/>
                <w:color w:val="265A9A"/>
                <w:sz w:val="18"/>
              </w:rPr>
            </w:pPr>
            <w:r w:rsidRPr="00A972CD">
              <w:rPr>
                <w:rFonts w:ascii="Arial (Body)" w:hAnsi="Arial (Body)"/>
                <w:b/>
                <w:color w:val="265A9A"/>
                <w:sz w:val="18"/>
              </w:rPr>
              <w:t>Year established</w:t>
            </w:r>
          </w:p>
        </w:tc>
      </w:tr>
      <w:tr w:rsidR="00D7305F" w:rsidRPr="00A972CD" w14:paraId="51117BA5" w14:textId="77777777" w:rsidTr="00A3603A">
        <w:tc>
          <w:tcPr>
            <w:tcW w:w="1978" w:type="pct"/>
            <w:tcBorders>
              <w:top w:val="single" w:sz="4" w:space="0" w:color="B3B3B3"/>
              <w:bottom w:val="nil"/>
            </w:tcBorders>
            <w:shd w:val="clear" w:color="auto" w:fill="F2F2F2"/>
          </w:tcPr>
          <w:p w14:paraId="141F1DA3" w14:textId="77777777" w:rsidR="00D7305F" w:rsidRPr="00A3603A" w:rsidRDefault="00D7305F">
            <w:pPr>
              <w:pStyle w:val="FigureTableSubheading"/>
              <w:spacing w:before="45" w:after="45"/>
              <w:ind w:left="57" w:right="108"/>
              <w:rPr>
                <w:rFonts w:ascii="Arial (Body)" w:hAnsi="Arial (Body)"/>
                <w:bCs/>
                <w:color w:val="000000" w:themeColor="text1"/>
                <w:sz w:val="18"/>
              </w:rPr>
            </w:pPr>
            <w:r w:rsidRPr="00A3603A">
              <w:rPr>
                <w:rFonts w:ascii="Arial (Body)" w:hAnsi="Arial (Body)"/>
                <w:bCs/>
                <w:color w:val="000000" w:themeColor="text1"/>
                <w:sz w:val="18"/>
              </w:rPr>
              <w:t>Export Finance Australia (EFA)</w:t>
            </w:r>
          </w:p>
        </w:tc>
        <w:tc>
          <w:tcPr>
            <w:tcW w:w="1978" w:type="pct"/>
            <w:tcBorders>
              <w:top w:val="single" w:sz="4" w:space="0" w:color="B3B3B3"/>
              <w:bottom w:val="nil"/>
            </w:tcBorders>
            <w:shd w:val="clear" w:color="auto" w:fill="F2F2F2"/>
          </w:tcPr>
          <w:p w14:paraId="08C0AF50" w14:textId="77777777" w:rsidR="00D7305F" w:rsidRPr="00A972CD" w:rsidRDefault="00D7305F">
            <w:pPr>
              <w:pStyle w:val="FigureTableSubheading"/>
              <w:spacing w:before="45" w:after="45"/>
              <w:ind w:left="57" w:right="108"/>
              <w:rPr>
                <w:rFonts w:ascii="Arial (Body)" w:hAnsi="Arial (Body)"/>
                <w:color w:val="000000"/>
                <w:sz w:val="18"/>
              </w:rPr>
            </w:pPr>
            <w:r w:rsidRPr="00A972CD">
              <w:rPr>
                <w:rFonts w:ascii="Arial (Body)" w:hAnsi="Arial (Body)"/>
                <w:color w:val="000000"/>
                <w:sz w:val="18"/>
              </w:rPr>
              <w:t>Exporting businesses</w:t>
            </w:r>
          </w:p>
        </w:tc>
        <w:tc>
          <w:tcPr>
            <w:tcW w:w="1044" w:type="pct"/>
            <w:tcBorders>
              <w:top w:val="single" w:sz="4" w:space="0" w:color="B3B3B3"/>
              <w:bottom w:val="nil"/>
            </w:tcBorders>
            <w:shd w:val="clear" w:color="auto" w:fill="F2F2F2"/>
          </w:tcPr>
          <w:p w14:paraId="63125345" w14:textId="77777777" w:rsidR="00D7305F" w:rsidRPr="00A972CD" w:rsidRDefault="00D7305F" w:rsidP="00A3603A">
            <w:pPr>
              <w:pStyle w:val="FigureTableSubheading"/>
              <w:spacing w:before="45" w:after="45"/>
              <w:ind w:left="57" w:right="108"/>
              <w:jc w:val="right"/>
              <w:rPr>
                <w:rFonts w:ascii="Arial (Body)" w:hAnsi="Arial (Body)"/>
                <w:color w:val="000000"/>
                <w:sz w:val="18"/>
              </w:rPr>
            </w:pPr>
            <w:r w:rsidRPr="00A972CD">
              <w:rPr>
                <w:rFonts w:ascii="Arial (Body)" w:hAnsi="Arial (Body)"/>
                <w:color w:val="000000"/>
                <w:sz w:val="18"/>
              </w:rPr>
              <w:t>1991</w:t>
            </w:r>
          </w:p>
        </w:tc>
      </w:tr>
      <w:tr w:rsidR="00D7305F" w:rsidRPr="00A972CD" w14:paraId="548CB61D" w14:textId="77777777" w:rsidTr="00A3603A">
        <w:tc>
          <w:tcPr>
            <w:tcW w:w="1978" w:type="pct"/>
            <w:tcBorders>
              <w:top w:val="nil"/>
              <w:bottom w:val="nil"/>
            </w:tcBorders>
          </w:tcPr>
          <w:p w14:paraId="26C15344" w14:textId="77777777" w:rsidR="00D7305F" w:rsidRPr="00A3603A" w:rsidRDefault="00D7305F">
            <w:pPr>
              <w:pStyle w:val="FigureTableSubheading"/>
              <w:spacing w:before="45" w:after="45"/>
              <w:ind w:left="57" w:right="108"/>
              <w:rPr>
                <w:rFonts w:ascii="Arial (Body)" w:hAnsi="Arial (Body)"/>
                <w:bCs/>
                <w:color w:val="000000" w:themeColor="text1"/>
                <w:sz w:val="18"/>
              </w:rPr>
            </w:pPr>
            <w:r w:rsidRPr="00A3603A">
              <w:rPr>
                <w:rFonts w:ascii="Arial (Body)" w:hAnsi="Arial (Body)"/>
                <w:bCs/>
                <w:color w:val="000000" w:themeColor="text1"/>
                <w:sz w:val="18"/>
              </w:rPr>
              <w:t>Clean Energy Finance Corporation (CEFC)</w:t>
            </w:r>
          </w:p>
        </w:tc>
        <w:tc>
          <w:tcPr>
            <w:tcW w:w="1978" w:type="pct"/>
            <w:tcBorders>
              <w:top w:val="nil"/>
              <w:bottom w:val="nil"/>
            </w:tcBorders>
          </w:tcPr>
          <w:p w14:paraId="61A427E0" w14:textId="77777777" w:rsidR="00D7305F" w:rsidRPr="00A972CD" w:rsidRDefault="00D7305F">
            <w:pPr>
              <w:pStyle w:val="FigureTableSubheading"/>
              <w:spacing w:before="45" w:after="45"/>
              <w:ind w:left="57" w:right="108"/>
              <w:rPr>
                <w:rFonts w:ascii="Arial (Body)" w:hAnsi="Arial (Body)"/>
                <w:color w:val="000000"/>
                <w:sz w:val="18"/>
              </w:rPr>
            </w:pPr>
            <w:r w:rsidRPr="00A972CD">
              <w:rPr>
                <w:rFonts w:ascii="Arial (Body)" w:hAnsi="Arial (Body)"/>
                <w:color w:val="000000"/>
                <w:sz w:val="18"/>
              </w:rPr>
              <w:t>Clean energy and low emissions technology</w:t>
            </w:r>
          </w:p>
        </w:tc>
        <w:tc>
          <w:tcPr>
            <w:tcW w:w="1044" w:type="pct"/>
            <w:tcBorders>
              <w:top w:val="nil"/>
              <w:bottom w:val="nil"/>
            </w:tcBorders>
          </w:tcPr>
          <w:p w14:paraId="719AA3D9" w14:textId="77777777" w:rsidR="00D7305F" w:rsidRPr="00A972CD" w:rsidRDefault="00D7305F" w:rsidP="00A3603A">
            <w:pPr>
              <w:pStyle w:val="FigureTableSubheading"/>
              <w:spacing w:before="45" w:after="45"/>
              <w:ind w:left="57" w:right="108"/>
              <w:jc w:val="right"/>
              <w:rPr>
                <w:rFonts w:ascii="Arial (Body)" w:hAnsi="Arial (Body)"/>
                <w:color w:val="000000"/>
                <w:sz w:val="18"/>
              </w:rPr>
            </w:pPr>
            <w:r w:rsidRPr="00A972CD">
              <w:rPr>
                <w:rFonts w:ascii="Arial (Body)" w:hAnsi="Arial (Body)"/>
                <w:color w:val="000000"/>
                <w:sz w:val="18"/>
              </w:rPr>
              <w:t>2012</w:t>
            </w:r>
          </w:p>
        </w:tc>
      </w:tr>
      <w:tr w:rsidR="00D7305F" w:rsidRPr="00A972CD" w14:paraId="18DEFAE6" w14:textId="77777777" w:rsidTr="00A3603A">
        <w:tc>
          <w:tcPr>
            <w:tcW w:w="1978" w:type="pct"/>
            <w:tcBorders>
              <w:bottom w:val="nil"/>
            </w:tcBorders>
            <w:shd w:val="clear" w:color="auto" w:fill="F2F2F2"/>
          </w:tcPr>
          <w:p w14:paraId="35336129" w14:textId="77777777" w:rsidR="00D7305F" w:rsidRPr="00A3603A" w:rsidRDefault="00D7305F">
            <w:pPr>
              <w:pStyle w:val="FigureTableSubheading"/>
              <w:spacing w:before="45" w:after="45"/>
              <w:ind w:left="57" w:right="108"/>
              <w:rPr>
                <w:rFonts w:ascii="Arial (Body)" w:hAnsi="Arial (Body)"/>
                <w:bCs/>
                <w:color w:val="000000" w:themeColor="text1"/>
                <w:sz w:val="18"/>
              </w:rPr>
            </w:pPr>
            <w:r w:rsidRPr="00A3603A">
              <w:rPr>
                <w:rFonts w:ascii="Arial (Body)" w:hAnsi="Arial (Body)"/>
                <w:bCs/>
                <w:color w:val="000000" w:themeColor="text1"/>
                <w:sz w:val="18"/>
              </w:rPr>
              <w:t>Northern Australia Infrastructure Fund (NAIF)</w:t>
            </w:r>
          </w:p>
        </w:tc>
        <w:tc>
          <w:tcPr>
            <w:tcW w:w="1978" w:type="pct"/>
            <w:tcBorders>
              <w:bottom w:val="nil"/>
            </w:tcBorders>
            <w:shd w:val="clear" w:color="auto" w:fill="F2F2F2"/>
          </w:tcPr>
          <w:p w14:paraId="0F232795" w14:textId="77777777" w:rsidR="00D7305F" w:rsidRPr="00A972CD" w:rsidRDefault="00D7305F">
            <w:pPr>
              <w:pStyle w:val="FigureTableSubheading"/>
              <w:spacing w:before="45" w:after="45"/>
              <w:ind w:left="57" w:right="108"/>
              <w:rPr>
                <w:rFonts w:ascii="Arial (Body)" w:hAnsi="Arial (Body)"/>
                <w:color w:val="000000"/>
                <w:sz w:val="18"/>
              </w:rPr>
            </w:pPr>
            <w:r w:rsidRPr="00A972CD">
              <w:rPr>
                <w:rFonts w:ascii="Arial (Body)" w:hAnsi="Arial (Body)"/>
                <w:color w:val="000000"/>
                <w:sz w:val="18"/>
              </w:rPr>
              <w:t>Northern Australia businesses</w:t>
            </w:r>
          </w:p>
        </w:tc>
        <w:tc>
          <w:tcPr>
            <w:tcW w:w="1044" w:type="pct"/>
            <w:tcBorders>
              <w:bottom w:val="nil"/>
            </w:tcBorders>
            <w:shd w:val="clear" w:color="auto" w:fill="F2F2F2"/>
          </w:tcPr>
          <w:p w14:paraId="52B22FC2" w14:textId="77777777" w:rsidR="00D7305F" w:rsidRPr="00A972CD" w:rsidRDefault="00D7305F" w:rsidP="00A3603A">
            <w:pPr>
              <w:pStyle w:val="FigureTableSubheading"/>
              <w:spacing w:before="45" w:after="45"/>
              <w:ind w:left="57" w:right="108"/>
              <w:jc w:val="right"/>
              <w:rPr>
                <w:rFonts w:ascii="Arial (Body)" w:hAnsi="Arial (Body)"/>
                <w:color w:val="000000"/>
                <w:sz w:val="18"/>
              </w:rPr>
            </w:pPr>
            <w:r w:rsidRPr="00A972CD">
              <w:rPr>
                <w:rFonts w:ascii="Arial (Body)" w:hAnsi="Arial (Body)"/>
                <w:color w:val="000000"/>
                <w:sz w:val="18"/>
              </w:rPr>
              <w:t>2016</w:t>
            </w:r>
          </w:p>
        </w:tc>
      </w:tr>
      <w:tr w:rsidR="00D7305F" w:rsidRPr="00A972CD" w14:paraId="4AAAB40E" w14:textId="77777777" w:rsidTr="00A3603A">
        <w:tc>
          <w:tcPr>
            <w:tcW w:w="1978" w:type="pct"/>
            <w:tcBorders>
              <w:top w:val="nil"/>
              <w:bottom w:val="nil"/>
            </w:tcBorders>
          </w:tcPr>
          <w:p w14:paraId="3D4BFFBA" w14:textId="77777777" w:rsidR="00D7305F" w:rsidRPr="00A3603A" w:rsidRDefault="00D7305F">
            <w:pPr>
              <w:pStyle w:val="FigureTableSubheading"/>
              <w:spacing w:before="45" w:after="45"/>
              <w:ind w:left="57" w:right="108"/>
              <w:rPr>
                <w:rFonts w:ascii="Arial (Body)" w:hAnsi="Arial (Body)"/>
                <w:bCs/>
                <w:color w:val="000000" w:themeColor="text1"/>
                <w:sz w:val="18"/>
              </w:rPr>
            </w:pPr>
            <w:r w:rsidRPr="00A3603A">
              <w:rPr>
                <w:rFonts w:ascii="Arial (Body)" w:hAnsi="Arial (Body)"/>
                <w:bCs/>
                <w:color w:val="000000" w:themeColor="text1"/>
                <w:sz w:val="18"/>
              </w:rPr>
              <w:t>Housing Australia (HA)</w:t>
            </w:r>
            <w:r w:rsidRPr="00A3603A">
              <w:rPr>
                <w:rStyle w:val="FootnoteReference"/>
                <w:bCs/>
                <w:color w:val="000000" w:themeColor="text1"/>
              </w:rPr>
              <w:footnoteReference w:id="30"/>
            </w:r>
          </w:p>
        </w:tc>
        <w:tc>
          <w:tcPr>
            <w:tcW w:w="1978" w:type="pct"/>
            <w:tcBorders>
              <w:top w:val="nil"/>
              <w:bottom w:val="nil"/>
            </w:tcBorders>
          </w:tcPr>
          <w:p w14:paraId="279E68ED" w14:textId="77777777" w:rsidR="00D7305F" w:rsidRPr="00A972CD" w:rsidRDefault="00D7305F">
            <w:pPr>
              <w:pStyle w:val="FigureTableSubheading"/>
              <w:spacing w:before="45" w:after="45"/>
              <w:ind w:left="57" w:right="108"/>
              <w:rPr>
                <w:rFonts w:ascii="Arial (Body)" w:hAnsi="Arial (Body)"/>
                <w:color w:val="000000"/>
                <w:sz w:val="18"/>
              </w:rPr>
            </w:pPr>
            <w:r w:rsidRPr="00A972CD">
              <w:rPr>
                <w:rFonts w:ascii="Arial (Body)" w:hAnsi="Arial (Body)"/>
                <w:color w:val="000000"/>
                <w:sz w:val="18"/>
              </w:rPr>
              <w:t>Social and affordable housing</w:t>
            </w:r>
          </w:p>
        </w:tc>
        <w:tc>
          <w:tcPr>
            <w:tcW w:w="1044" w:type="pct"/>
            <w:tcBorders>
              <w:top w:val="nil"/>
              <w:bottom w:val="nil"/>
            </w:tcBorders>
          </w:tcPr>
          <w:p w14:paraId="032C0439" w14:textId="77777777" w:rsidR="00D7305F" w:rsidRPr="00A972CD" w:rsidRDefault="00D7305F" w:rsidP="00A3603A">
            <w:pPr>
              <w:pStyle w:val="FigureTableSubheading"/>
              <w:spacing w:before="45" w:after="45"/>
              <w:ind w:left="57" w:right="108"/>
              <w:jc w:val="right"/>
              <w:rPr>
                <w:rFonts w:ascii="Arial (Body)" w:hAnsi="Arial (Body)"/>
                <w:color w:val="000000"/>
                <w:sz w:val="18"/>
              </w:rPr>
            </w:pPr>
            <w:r w:rsidRPr="00A972CD">
              <w:rPr>
                <w:rFonts w:ascii="Arial (Body)" w:hAnsi="Arial (Body)"/>
                <w:color w:val="000000"/>
                <w:sz w:val="18"/>
              </w:rPr>
              <w:t>2018</w:t>
            </w:r>
          </w:p>
        </w:tc>
      </w:tr>
      <w:tr w:rsidR="00D7305F" w:rsidRPr="00A972CD" w14:paraId="6CE6B4BA" w14:textId="77777777" w:rsidTr="00A3603A">
        <w:tc>
          <w:tcPr>
            <w:tcW w:w="1978" w:type="pct"/>
            <w:tcBorders>
              <w:bottom w:val="single" w:sz="4" w:space="0" w:color="B3B3B3"/>
            </w:tcBorders>
            <w:shd w:val="clear" w:color="auto" w:fill="F2F2F2"/>
          </w:tcPr>
          <w:p w14:paraId="11CA6385" w14:textId="77777777" w:rsidR="00D7305F" w:rsidRPr="00A3603A" w:rsidRDefault="00D7305F">
            <w:pPr>
              <w:pStyle w:val="FigureTableSubheading"/>
              <w:spacing w:before="45" w:after="45"/>
              <w:ind w:left="57" w:right="108"/>
              <w:rPr>
                <w:rFonts w:ascii="Arial (Body)" w:hAnsi="Arial (Body)"/>
                <w:bCs/>
                <w:color w:val="000000" w:themeColor="text1"/>
                <w:sz w:val="18"/>
              </w:rPr>
            </w:pPr>
            <w:r w:rsidRPr="00A3603A">
              <w:rPr>
                <w:rFonts w:ascii="Arial (Body)" w:hAnsi="Arial (Body)"/>
                <w:bCs/>
                <w:color w:val="000000" w:themeColor="text1"/>
                <w:sz w:val="18"/>
              </w:rPr>
              <w:t>Regional Investment Corporation (RIC)</w:t>
            </w:r>
          </w:p>
        </w:tc>
        <w:tc>
          <w:tcPr>
            <w:tcW w:w="1978" w:type="pct"/>
            <w:tcBorders>
              <w:bottom w:val="single" w:sz="4" w:space="0" w:color="B3B3B3"/>
            </w:tcBorders>
            <w:shd w:val="clear" w:color="auto" w:fill="F2F2F2"/>
          </w:tcPr>
          <w:p w14:paraId="1C58950C" w14:textId="77777777" w:rsidR="00D7305F" w:rsidRPr="00A972CD" w:rsidRDefault="00D7305F">
            <w:pPr>
              <w:pStyle w:val="FigureTableSubheading"/>
              <w:spacing w:before="45" w:after="45"/>
              <w:ind w:left="57" w:right="108"/>
              <w:rPr>
                <w:rFonts w:ascii="Arial (Body)" w:hAnsi="Arial (Body)"/>
                <w:color w:val="000000"/>
                <w:sz w:val="18"/>
              </w:rPr>
            </w:pPr>
            <w:r w:rsidRPr="00A972CD">
              <w:rPr>
                <w:rFonts w:ascii="Arial (Body)" w:hAnsi="Arial (Body)"/>
                <w:color w:val="000000"/>
                <w:sz w:val="18"/>
              </w:rPr>
              <w:t>Farm businesses</w:t>
            </w:r>
          </w:p>
        </w:tc>
        <w:tc>
          <w:tcPr>
            <w:tcW w:w="1044" w:type="pct"/>
            <w:tcBorders>
              <w:bottom w:val="single" w:sz="4" w:space="0" w:color="B3B3B3"/>
            </w:tcBorders>
            <w:shd w:val="clear" w:color="auto" w:fill="F2F2F2"/>
          </w:tcPr>
          <w:p w14:paraId="0D5ABBE3" w14:textId="77777777" w:rsidR="00D7305F" w:rsidRPr="00A972CD" w:rsidRDefault="00D7305F" w:rsidP="00A3603A">
            <w:pPr>
              <w:pStyle w:val="FigureTableSubheading"/>
              <w:spacing w:before="45" w:after="45"/>
              <w:ind w:left="57" w:right="108"/>
              <w:jc w:val="right"/>
              <w:rPr>
                <w:rFonts w:ascii="Arial (Body)" w:hAnsi="Arial (Body)"/>
                <w:color w:val="000000"/>
                <w:sz w:val="18"/>
              </w:rPr>
            </w:pPr>
            <w:r w:rsidRPr="00A972CD">
              <w:rPr>
                <w:rFonts w:ascii="Arial (Body)" w:hAnsi="Arial (Body)"/>
                <w:color w:val="000000"/>
                <w:sz w:val="18"/>
              </w:rPr>
              <w:t>2018</w:t>
            </w:r>
          </w:p>
        </w:tc>
      </w:tr>
    </w:tbl>
    <w:p w14:paraId="69B0256D" w14:textId="78AD6F2B" w:rsidR="00D7305F" w:rsidRPr="00C3452E" w:rsidRDefault="00D7305F" w:rsidP="00132C3E">
      <w:pPr>
        <w:pStyle w:val="Source"/>
      </w:pPr>
      <w:r w:rsidRPr="00132C3E">
        <w:t>Source</w:t>
      </w:r>
      <w:r w:rsidRPr="00C3452E">
        <w:t>:</w:t>
      </w:r>
      <w:r w:rsidR="00BD7781">
        <w:t xml:space="preserve"> Finance</w:t>
      </w:r>
      <w:r w:rsidRPr="00C3452E">
        <w:t xml:space="preserve"> </w:t>
      </w:r>
      <w:r w:rsidR="00A268F9" w:rsidRPr="00A268F9">
        <w:t>(2025a, 2025b, 2025c, 2025d, 2025e)</w:t>
      </w:r>
      <w:r w:rsidR="00743F51">
        <w:t>.</w:t>
      </w:r>
    </w:p>
    <w:p w14:paraId="2598A921" w14:textId="59DA203F" w:rsidR="00D7305F" w:rsidRPr="00A972CD" w:rsidRDefault="00791979" w:rsidP="00D7305F">
      <w:pPr>
        <w:pStyle w:val="BodyText"/>
      </w:pPr>
      <w:r w:rsidRPr="00A972CD">
        <w:t xml:space="preserve">Box </w:t>
      </w:r>
      <w:r>
        <w:rPr>
          <w:noProof/>
        </w:rPr>
        <w:t>4</w:t>
      </w:r>
      <w:r>
        <w:t>.</w:t>
      </w:r>
      <w:r>
        <w:rPr>
          <w:noProof/>
        </w:rPr>
        <w:t>3</w:t>
      </w:r>
      <w:r w:rsidR="00F516E4">
        <w:t xml:space="preserve"> </w:t>
      </w:r>
      <w:r w:rsidR="00D7305F" w:rsidRPr="00A972CD">
        <w:t xml:space="preserve">describes the PC’s approaches to estimating concessional finance. Both should be interpreted with caution as they are not directly comparable. Method </w:t>
      </w:r>
      <w:r w:rsidR="00AD701A">
        <w:t>one</w:t>
      </w:r>
      <w:r w:rsidR="00D7305F" w:rsidRPr="00A972CD">
        <w:t xml:space="preserve"> (annual unwind of bottom</w:t>
      </w:r>
      <w:r w:rsidR="00200862">
        <w:noBreakHyphen/>
      </w:r>
      <w:r w:rsidR="00D7305F" w:rsidRPr="00A972CD">
        <w:t xml:space="preserve">up concessional loan charges) is the more appropriate figure because it only uses </w:t>
      </w:r>
      <w:r w:rsidR="00476738">
        <w:t>information</w:t>
      </w:r>
      <w:r w:rsidR="00D7305F" w:rsidRPr="00A972CD">
        <w:t xml:space="preserve"> directly reported by the agencies under a standardised accounting framework </w:t>
      </w:r>
      <w:r w:rsidR="00D7305F" w:rsidRPr="00C3452E">
        <w:rPr>
          <w:rFonts w:ascii="Arial" w:hAnsi="Arial" w:cs="Arial"/>
        </w:rPr>
        <w:t>(Finance 2020, p. 9)</w:t>
      </w:r>
      <w:r w:rsidR="00D7305F" w:rsidRPr="00A972CD">
        <w:t>. However</w:t>
      </w:r>
      <w:r w:rsidR="00D804D9">
        <w:t>,</w:t>
      </w:r>
      <w:r w:rsidR="00D7305F" w:rsidRPr="00A972CD">
        <w:t xml:space="preserve"> not all agencies report the necessary figures, so method </w:t>
      </w:r>
      <w:r w:rsidR="001A49CE">
        <w:t>one</w:t>
      </w:r>
      <w:r w:rsidR="00D7305F" w:rsidRPr="00A972CD">
        <w:t xml:space="preserve"> only provides a limited view of concessional finance. Method </w:t>
      </w:r>
      <w:r w:rsidR="00AD701A">
        <w:t>two</w:t>
      </w:r>
      <w:r w:rsidR="00D7305F" w:rsidRPr="00A972CD">
        <w:t xml:space="preserve"> (return</w:t>
      </w:r>
      <w:r w:rsidR="002508D9">
        <w:t xml:space="preserve"> </w:t>
      </w:r>
      <w:r w:rsidR="00D7305F" w:rsidRPr="00A972CD">
        <w:t xml:space="preserve">gap) offers a more complete view of agencies offering concessional finance, but it is less preferred because it relies on external data which cannot be interpreted as confidently as agencies’ own </w:t>
      </w:r>
      <w:r w:rsidR="008C5938">
        <w:t>information</w:t>
      </w:r>
      <w:r w:rsidR="00D7305F" w:rsidRPr="00A972CD">
        <w:t xml:space="preserve">. </w:t>
      </w:r>
    </w:p>
    <w:p w14:paraId="6C9D2B5B" w14:textId="1CD7D976" w:rsidR="00D7305F" w:rsidRPr="00A972CD" w:rsidRDefault="00D7305F" w:rsidP="00D7305F">
      <w:pPr>
        <w:pStyle w:val="NoSpacing"/>
      </w:pPr>
    </w:p>
    <w:tbl>
      <w:tblPr>
        <w:tblStyle w:val="Boxtable"/>
        <w:tblW w:w="5000" w:type="pct"/>
        <w:tblLook w:val="04A0" w:firstRow="1" w:lastRow="0" w:firstColumn="1" w:lastColumn="0" w:noHBand="0" w:noVBand="1"/>
      </w:tblPr>
      <w:tblGrid>
        <w:gridCol w:w="9638"/>
      </w:tblGrid>
      <w:tr w:rsidR="00D7305F" w:rsidRPr="00A972CD" w14:paraId="4A643562" w14:textId="77777777" w:rsidTr="00616F0E">
        <w:trPr>
          <w:tblHeader/>
        </w:trPr>
        <w:tc>
          <w:tcPr>
            <w:tcW w:w="9638" w:type="dxa"/>
            <w:shd w:val="clear" w:color="auto" w:fill="EBEBEB"/>
            <w:tcMar>
              <w:top w:w="170" w:type="dxa"/>
              <w:left w:w="170" w:type="dxa"/>
              <w:bottom w:w="113" w:type="dxa"/>
              <w:right w:w="170" w:type="dxa"/>
            </w:tcMar>
            <w:hideMark/>
          </w:tcPr>
          <w:p w14:paraId="64953020" w14:textId="0D31D9F6" w:rsidR="00D7305F" w:rsidRPr="00A972CD" w:rsidRDefault="00D7305F">
            <w:pPr>
              <w:pStyle w:val="BoxHeading1"/>
            </w:pPr>
            <w:bookmarkStart w:id="68" w:name="_Ref201316338"/>
            <w:r w:rsidRPr="00A972CD">
              <w:t xml:space="preserve">Box </w:t>
            </w:r>
            <w:r w:rsidR="00791979">
              <w:fldChar w:fldCharType="begin"/>
            </w:r>
            <w:r w:rsidR="00791979">
              <w:instrText xml:space="preserve"> STYLEREF 1 \s </w:instrText>
            </w:r>
            <w:r w:rsidR="00791979">
              <w:fldChar w:fldCharType="separate"/>
            </w:r>
            <w:r w:rsidR="004A080B">
              <w:rPr>
                <w:noProof/>
              </w:rPr>
              <w:t>4</w:t>
            </w:r>
            <w:r w:rsidR="00791979">
              <w:rPr>
                <w:noProof/>
              </w:rPr>
              <w:fldChar w:fldCharType="end"/>
            </w:r>
            <w:r w:rsidR="001D5DA3">
              <w:t>.</w:t>
            </w:r>
            <w:r w:rsidR="00791979">
              <w:fldChar w:fldCharType="begin"/>
            </w:r>
            <w:r w:rsidR="00791979">
              <w:instrText xml:space="preserve"> SEQ Box \* ARABIC \s 1 </w:instrText>
            </w:r>
            <w:r w:rsidR="00791979">
              <w:fldChar w:fldCharType="separate"/>
            </w:r>
            <w:r w:rsidR="004A080B">
              <w:rPr>
                <w:noProof/>
              </w:rPr>
              <w:t>3</w:t>
            </w:r>
            <w:r w:rsidR="00791979">
              <w:rPr>
                <w:noProof/>
              </w:rPr>
              <w:fldChar w:fldCharType="end"/>
            </w:r>
            <w:bookmarkEnd w:id="68"/>
            <w:r w:rsidRPr="00A972CD">
              <w:t xml:space="preserve"> – Approaches to estimating the value of concessional finance</w:t>
            </w:r>
          </w:p>
        </w:tc>
      </w:tr>
      <w:tr w:rsidR="00D7305F" w:rsidRPr="00A972CD" w14:paraId="562FFE9F" w14:textId="77777777" w:rsidTr="00616F0E">
        <w:tc>
          <w:tcPr>
            <w:tcW w:w="9638" w:type="dxa"/>
            <w:shd w:val="clear" w:color="auto" w:fill="EBEBEB"/>
            <w:tcMar>
              <w:top w:w="28" w:type="dxa"/>
              <w:left w:w="170" w:type="dxa"/>
              <w:bottom w:w="170" w:type="dxa"/>
              <w:right w:w="170" w:type="dxa"/>
            </w:tcMar>
            <w:hideMark/>
          </w:tcPr>
          <w:p w14:paraId="0160D0D0" w14:textId="28026BB9" w:rsidR="00D7305F" w:rsidRPr="00A972CD" w:rsidRDefault="00D7305F">
            <w:pPr>
              <w:pStyle w:val="BoxHeading2"/>
              <w:rPr>
                <w:b w:val="0"/>
                <w:bCs/>
              </w:rPr>
            </w:pPr>
            <w:r w:rsidRPr="00A972CD">
              <w:rPr>
                <w:b w:val="0"/>
                <w:bCs/>
              </w:rPr>
              <w:t xml:space="preserve">The PC has two methods for estimating concessional finance. Both methods measure the subsidy conferred by providing finance at below market rates – but do so from different perspectives. </w:t>
            </w:r>
          </w:p>
          <w:p w14:paraId="7A3777BA" w14:textId="77913337" w:rsidR="00D7305F" w:rsidRPr="00A972CD" w:rsidRDefault="00D7305F">
            <w:pPr>
              <w:pStyle w:val="BoxHeading2"/>
            </w:pPr>
            <w:r w:rsidRPr="00A972CD">
              <w:t xml:space="preserve">Method </w:t>
            </w:r>
            <w:r w:rsidR="00AD701A">
              <w:t>one</w:t>
            </w:r>
            <w:r w:rsidRPr="00A972CD">
              <w:t>: Loan</w:t>
            </w:r>
            <w:r w:rsidR="00200862">
              <w:noBreakHyphen/>
            </w:r>
            <w:r w:rsidRPr="00A972CD">
              <w:t>by</w:t>
            </w:r>
            <w:r w:rsidR="00200862">
              <w:noBreakHyphen/>
            </w:r>
            <w:r w:rsidRPr="00A972CD">
              <w:t>loan (bottom up) unwind of concessional loan charges</w:t>
            </w:r>
          </w:p>
          <w:p w14:paraId="3CF9154E" w14:textId="2CF767E1" w:rsidR="00D7305F" w:rsidRPr="00A972CD" w:rsidRDefault="00D7305F">
            <w:pPr>
              <w:pStyle w:val="BodyText"/>
            </w:pPr>
            <w:r w:rsidRPr="00A972CD">
              <w:t>Concessional loans are initially recorded at their present value – the sum of future repayments discounted at the prevailing market interest rate – which is lower than the nominal (concessional) loan amount. The concessional loan charge representing the discount provided</w:t>
            </w:r>
            <w:r w:rsidR="00FD6DE0">
              <w:t>,</w:t>
            </w:r>
            <w:r w:rsidRPr="00A972CD">
              <w:t xml:space="preserve"> is calculated by taking the difference between the net present value of </w:t>
            </w:r>
            <w:r w:rsidR="000D3742">
              <w:t xml:space="preserve">the </w:t>
            </w:r>
            <w:r w:rsidRPr="00A972CD">
              <w:t>loan were it to be provided at commercial rates and the net present value of the loan given the concessional terms on which it is offered. It is an estimate of the value of the concessional component of the concessional loan activities of the entity.</w:t>
            </w:r>
          </w:p>
          <w:p w14:paraId="3AB32495" w14:textId="673D7D08" w:rsidR="00D7305F" w:rsidRPr="00A972CD" w:rsidRDefault="00D7305F">
            <w:pPr>
              <w:pStyle w:val="BodyText"/>
            </w:pPr>
            <w:r w:rsidRPr="00A972CD">
              <w:t>Each year some of this total concessional discount is ‘unwound’ or ‘used up’. When an agency gives a loan at a discount, the value of this discount is recorded as an expense on the agency’s books. As the value of the whole loan depreciates over time, so too does the value of the expense for the agency. The amount the expense reduces by is called the unwinding of the concessional loan charge and is recorded as income for the lending agency. This ‘unwinding’ can be taken as an indicative annual value of the concessional component of the outstanding stock of concessional loan</w:t>
            </w:r>
            <w:r w:rsidR="0001518F">
              <w:t>s</w:t>
            </w:r>
            <w:r w:rsidRPr="00A972CD">
              <w:t xml:space="preserve"> in that year.</w:t>
            </w:r>
          </w:p>
          <w:p w14:paraId="058F3A67" w14:textId="77777777" w:rsidR="00D7305F" w:rsidRPr="00A972CD" w:rsidRDefault="00D7305F">
            <w:pPr>
              <w:pStyle w:val="BodyText"/>
            </w:pPr>
            <w:r w:rsidRPr="00A972CD">
              <w:lastRenderedPageBreak/>
              <w:t xml:space="preserve">As the TAR is focussed on the benefits provided to industry in any given year, the unwind is considered to be the most appropriate figure for this report. While this method is preferred, it lacks completeness as not all agencies report consistent information on the concessional unwind charge, and some provide no information. The TAR methodological annex provides more information on the available data and a worked example to understand the unwind. </w:t>
            </w:r>
          </w:p>
          <w:p w14:paraId="62C045D3" w14:textId="5171C864" w:rsidR="00D7305F" w:rsidRPr="00A972CD" w:rsidRDefault="00D7305F">
            <w:pPr>
              <w:pStyle w:val="BoxHeading2"/>
            </w:pPr>
            <w:r w:rsidRPr="00A972CD">
              <w:t xml:space="preserve">Method </w:t>
            </w:r>
            <w:r w:rsidR="00AD701A">
              <w:t>two</w:t>
            </w:r>
            <w:r w:rsidRPr="00A972CD">
              <w:t>: Portfolio (top down) ‘return gap’ methodology</w:t>
            </w:r>
          </w:p>
          <w:p w14:paraId="0543A9A4" w14:textId="13EFE5D7" w:rsidR="00D7305F" w:rsidRPr="00A972CD" w:rsidRDefault="00D7305F">
            <w:pPr>
              <w:pStyle w:val="BodyText"/>
            </w:pPr>
            <w:r w:rsidRPr="00A972CD">
              <w:t>The second method is a top</w:t>
            </w:r>
            <w:r w:rsidR="00200862">
              <w:noBreakHyphen/>
            </w:r>
            <w:r w:rsidRPr="00A972CD">
              <w:t>down ‘return gap’ applied to the whole portfolio of loans. This is reported as a range and calculated</w:t>
            </w:r>
            <w:r w:rsidRPr="00132C3E">
              <w:rPr>
                <w:b/>
                <w:bCs/>
                <w:vertAlign w:val="superscript"/>
              </w:rPr>
              <w:t>a</w:t>
            </w:r>
            <w:r w:rsidRPr="00A972CD">
              <w:t xml:space="preserve"> as follows:</w:t>
            </w:r>
          </w:p>
          <w:p w14:paraId="0FCFA0F8" w14:textId="77777777" w:rsidR="00D7305F" w:rsidRPr="00A972CD" w:rsidRDefault="00014835">
            <w:pPr>
              <w:pStyle w:val="BodyText"/>
              <w:rPr>
                <w:rFonts w:eastAsiaTheme="minorEastAsia"/>
              </w:rPr>
            </w:pPr>
            <m:oMathPara>
              <m:oMathParaPr>
                <m:jc m:val="left"/>
              </m:oMathParaPr>
              <m:oMath>
                <m:r>
                  <m:rPr>
                    <m:sty m:val="bi"/>
                  </m:rPr>
                  <w:rPr>
                    <w:rFonts w:ascii="Cambria Math" w:hAnsi="Cambria Math"/>
                  </w:rPr>
                  <m:t>Lower bound=</m:t>
                </m:r>
                <m:r>
                  <w:rPr>
                    <w:rFonts w:ascii="Cambria Math" w:hAnsi="Cambria Math"/>
                  </w:rPr>
                  <m:t xml:space="preserve"> </m:t>
                </m:r>
              </m:oMath>
            </m:oMathPara>
          </w:p>
          <w:p w14:paraId="2B5EF9E6" w14:textId="77777777" w:rsidR="00014835" w:rsidRPr="00A972CD" w:rsidRDefault="00000000">
            <w:pPr>
              <w:pStyle w:val="BodyText"/>
              <w:rPr>
                <w:rFonts w:ascii="Cambria Math" w:hAnsi="Cambria Math"/>
                <w:oMath/>
              </w:rPr>
            </w:pPr>
            <m:oMathPara>
              <m:oMathParaPr>
                <m:jc m:val="left"/>
              </m:oMathParaPr>
              <m:oMath>
                <m:d>
                  <m:dPr>
                    <m:ctrlPr>
                      <w:rPr>
                        <w:rFonts w:ascii="Cambria Math" w:hAnsi="Cambria Math"/>
                        <w:i/>
                      </w:rPr>
                    </m:ctrlPr>
                  </m:dPr>
                  <m:e>
                    <m:r>
                      <w:rPr>
                        <w:rFonts w:ascii="Cambria Math" w:hAnsi="Cambria Math"/>
                      </w:rPr>
                      <m:t>Return if stock of loans was invested in five year A bonds</m:t>
                    </m:r>
                  </m:e>
                </m:d>
                <m:r>
                  <w:rPr>
                    <w:rFonts w:ascii="Cambria Math" w:hAnsi="Cambria Math"/>
                  </w:rPr>
                  <m:t>-(Actual return on loans)</m:t>
                </m:r>
              </m:oMath>
            </m:oMathPara>
          </w:p>
          <w:p w14:paraId="75A5C20B" w14:textId="77777777" w:rsidR="00D7305F" w:rsidRPr="00A972CD" w:rsidRDefault="00014835">
            <w:pPr>
              <w:pStyle w:val="BodyText"/>
              <w:rPr>
                <w:rFonts w:eastAsiaTheme="minorEastAsia"/>
              </w:rPr>
            </w:pPr>
            <m:oMathPara>
              <m:oMathParaPr>
                <m:jc m:val="left"/>
              </m:oMathParaPr>
              <m:oMath>
                <m:r>
                  <m:rPr>
                    <m:sty m:val="bi"/>
                  </m:rPr>
                  <w:rPr>
                    <w:rFonts w:ascii="Cambria Math" w:hAnsi="Cambria Math"/>
                  </w:rPr>
                  <m:t>Upper bound=</m:t>
                </m:r>
                <m:r>
                  <w:rPr>
                    <w:rFonts w:ascii="Cambria Math" w:hAnsi="Cambria Math"/>
                  </w:rPr>
                  <m:t xml:space="preserve"> </m:t>
                </m:r>
              </m:oMath>
            </m:oMathPara>
          </w:p>
          <w:p w14:paraId="731229DD" w14:textId="77777777" w:rsidR="00014835" w:rsidRPr="00235AA4" w:rsidRDefault="00000000">
            <w:pPr>
              <w:pStyle w:val="BodyText"/>
              <w:rPr>
                <w:rFonts w:eastAsiaTheme="minorEastAsia"/>
                <w:oMath/>
              </w:rPr>
            </w:pPr>
            <m:oMathPara>
              <m:oMathParaPr>
                <m:jc m:val="left"/>
              </m:oMathParaPr>
              <m:oMath>
                <m:d>
                  <m:dPr>
                    <m:ctrlPr>
                      <w:rPr>
                        <w:rFonts w:ascii="Cambria Math" w:hAnsi="Cambria Math"/>
                        <w:i/>
                      </w:rPr>
                    </m:ctrlPr>
                  </m:dPr>
                  <m:e>
                    <m:r>
                      <w:rPr>
                        <w:rFonts w:ascii="Cambria Math" w:hAnsi="Cambria Math"/>
                      </w:rPr>
                      <m:t>Return if stock of loans was invested in ten year BBB bonds</m:t>
                    </m:r>
                  </m:e>
                </m:d>
                <m:r>
                  <w:rPr>
                    <w:rFonts w:ascii="Cambria Math" w:hAnsi="Cambria Math"/>
                  </w:rPr>
                  <m:t>-(Actual return on loans)</m:t>
                </m:r>
              </m:oMath>
            </m:oMathPara>
          </w:p>
          <w:p w14:paraId="1ADCE585" w14:textId="77777777" w:rsidR="00014835" w:rsidRPr="00A972CD" w:rsidRDefault="00D7305F">
            <w:pPr>
              <w:pStyle w:val="BodyText"/>
              <w:rPr>
                <w:rFonts w:ascii="Cambria Math" w:hAnsi="Cambria Math"/>
                <w:oMath/>
              </w:rPr>
            </w:pPr>
            <w:r w:rsidRPr="00A972CD">
              <w:rPr>
                <w:rFonts w:eastAsiaTheme="minorEastAsia"/>
              </w:rPr>
              <w:t>More detailed information can be found in the TAR methodological annex.</w:t>
            </w:r>
          </w:p>
          <w:p w14:paraId="275DD7E4" w14:textId="739D3788" w:rsidR="00D7305F" w:rsidRPr="00A972CD" w:rsidRDefault="00D7305F">
            <w:pPr>
              <w:pStyle w:val="BodyText"/>
            </w:pPr>
            <w:r w:rsidRPr="00A972CD">
              <w:rPr>
                <w:b/>
                <w:sz w:val="18"/>
                <w:szCs w:val="18"/>
              </w:rPr>
              <w:t>a.</w:t>
            </w:r>
            <w:r w:rsidRPr="00A972CD">
              <w:rPr>
                <w:sz w:val="18"/>
                <w:szCs w:val="18"/>
              </w:rPr>
              <w:t xml:space="preserve"> The range is calculated using the five</w:t>
            </w:r>
            <w:r w:rsidR="00200862">
              <w:rPr>
                <w:sz w:val="18"/>
                <w:szCs w:val="18"/>
              </w:rPr>
              <w:noBreakHyphen/>
            </w:r>
            <w:r w:rsidRPr="00A972CD">
              <w:rPr>
                <w:sz w:val="18"/>
                <w:szCs w:val="18"/>
              </w:rPr>
              <w:t>year A rated debt security yield series from the RBA F3 statistical tables for the lower bound and the ten</w:t>
            </w:r>
            <w:r w:rsidR="00200862">
              <w:rPr>
                <w:sz w:val="18"/>
                <w:szCs w:val="18"/>
              </w:rPr>
              <w:noBreakHyphen/>
            </w:r>
            <w:r w:rsidRPr="00A972CD">
              <w:rPr>
                <w:sz w:val="18"/>
                <w:szCs w:val="18"/>
              </w:rPr>
              <w:t>year BBB rated debt security yield series for the upper bound</w:t>
            </w:r>
            <w:r w:rsidR="00235AA4">
              <w:rPr>
                <w:sz w:val="18"/>
                <w:szCs w:val="18"/>
              </w:rPr>
              <w:t>.</w:t>
            </w:r>
          </w:p>
        </w:tc>
      </w:tr>
      <w:tr w:rsidR="00132C3E" w:rsidRPr="00132C3E" w14:paraId="09473F5B" w14:textId="77777777" w:rsidTr="00616F0E">
        <w:trPr>
          <w:hidden/>
        </w:trPr>
        <w:tc>
          <w:tcPr>
            <w:tcW w:w="9638" w:type="dxa"/>
            <w:shd w:val="clear" w:color="auto" w:fill="auto"/>
            <w:tcMar>
              <w:top w:w="0" w:type="dxa"/>
              <w:left w:w="170" w:type="dxa"/>
              <w:bottom w:w="0" w:type="dxa"/>
              <w:right w:w="170" w:type="dxa"/>
            </w:tcMar>
          </w:tcPr>
          <w:p w14:paraId="0A480DD4" w14:textId="283A0522" w:rsidR="00D7305F" w:rsidRPr="00132C3E" w:rsidRDefault="00D7305F">
            <w:pPr>
              <w:pStyle w:val="BodyText"/>
              <w:spacing w:before="0" w:after="0" w:line="80" w:lineRule="atLeast"/>
              <w:rPr>
                <w:smallCaps/>
                <w:vanish/>
                <w:color w:val="000000" w:themeColor="text1"/>
              </w:rPr>
            </w:pPr>
          </w:p>
        </w:tc>
      </w:tr>
    </w:tbl>
    <w:p w14:paraId="0D564886" w14:textId="5A6C9FCD" w:rsidR="00D7305F" w:rsidRPr="00A972CD" w:rsidRDefault="00D7305F" w:rsidP="00132C3E">
      <w:pPr>
        <w:pStyle w:val="Heading3"/>
        <w:spacing w:before="480"/>
      </w:pPr>
      <w:r w:rsidRPr="00A972CD">
        <w:t>Concessional finance provided in 2023</w:t>
      </w:r>
      <w:r w:rsidR="00684564">
        <w:t>-</w:t>
      </w:r>
      <w:r w:rsidRPr="00A972CD">
        <w:t>24</w:t>
      </w:r>
    </w:p>
    <w:p w14:paraId="4228F494" w14:textId="2FFA6094" w:rsidR="00D7305F" w:rsidRPr="00A972CD" w:rsidRDefault="00D7305F" w:rsidP="00D7305F">
      <w:pPr>
        <w:pStyle w:val="BodyText"/>
      </w:pPr>
      <w:r w:rsidRPr="00A972CD">
        <w:t>Based on our two methodologies, concessional finance entities in 2023</w:t>
      </w:r>
      <w:r w:rsidR="00684564">
        <w:t>-</w:t>
      </w:r>
      <w:r w:rsidRPr="00A972CD">
        <w:t xml:space="preserve">24: </w:t>
      </w:r>
    </w:p>
    <w:p w14:paraId="383B9893" w14:textId="407531ED" w:rsidR="00D7305F" w:rsidRPr="00A972CD" w:rsidRDefault="00D7305F" w:rsidP="003C65EF">
      <w:pPr>
        <w:pStyle w:val="ListBullet"/>
      </w:pPr>
      <w:r w:rsidRPr="00A972CD">
        <w:t xml:space="preserve">provided concessional finance of $127.2 million based on the unwinding of the concessional loan discount (method </w:t>
      </w:r>
      <w:r w:rsidR="003028BD">
        <w:t>one</w:t>
      </w:r>
      <w:r w:rsidRPr="00A972CD">
        <w:t xml:space="preserve"> </w:t>
      </w:r>
      <w:r w:rsidR="00DF2740">
        <w:t>–</w:t>
      </w:r>
      <w:r w:rsidRPr="00A972CD">
        <w:t xml:space="preserve"> this value excludes EFA who do not report the unwinding), with an estimated $71.2 million in concessional value ‘used’ by farm </w:t>
      </w:r>
      <w:r w:rsidR="00CA63AC">
        <w:t>businesses</w:t>
      </w:r>
      <w:r w:rsidR="00CA63AC" w:rsidRPr="00A972CD">
        <w:t xml:space="preserve"> </w:t>
      </w:r>
      <w:r w:rsidRPr="00A972CD">
        <w:t>and farm</w:t>
      </w:r>
      <w:r w:rsidR="00200862">
        <w:noBreakHyphen/>
      </w:r>
      <w:r w:rsidRPr="00A972CD">
        <w:t>related small businesses in 2023</w:t>
      </w:r>
      <w:r w:rsidR="00684564">
        <w:t>-</w:t>
      </w:r>
      <w:r w:rsidRPr="00A972CD">
        <w:t>24</w:t>
      </w:r>
    </w:p>
    <w:p w14:paraId="61590BD4" w14:textId="6E0427FF" w:rsidR="00D7305F" w:rsidRPr="00132C3E" w:rsidRDefault="00D7305F" w:rsidP="003C65EF">
      <w:pPr>
        <w:pStyle w:val="ListBullet"/>
        <w:rPr>
          <w:spacing w:val="-4"/>
        </w:rPr>
      </w:pPr>
      <w:r w:rsidRPr="00132C3E">
        <w:rPr>
          <w:spacing w:val="-4"/>
        </w:rPr>
        <w:t xml:space="preserve">provided concessional finance of between $104 million and $225.8 million based on the return gap method (method </w:t>
      </w:r>
      <w:r w:rsidR="003028BD" w:rsidRPr="00132C3E">
        <w:rPr>
          <w:spacing w:val="-4"/>
        </w:rPr>
        <w:t>two</w:t>
      </w:r>
      <w:r w:rsidRPr="00132C3E">
        <w:rPr>
          <w:spacing w:val="-4"/>
        </w:rPr>
        <w:t>), with Housing Australia having the largest return gap with an upper bound of $101.1</w:t>
      </w:r>
      <w:r w:rsidR="00132C3E" w:rsidRPr="00132C3E">
        <w:rPr>
          <w:spacing w:val="-4"/>
        </w:rPr>
        <w:t> </w:t>
      </w:r>
      <w:r w:rsidRPr="00132C3E">
        <w:rPr>
          <w:spacing w:val="-4"/>
        </w:rPr>
        <w:t>million.</w:t>
      </w:r>
    </w:p>
    <w:p w14:paraId="3027A859" w14:textId="32BFD375" w:rsidR="00D7305F" w:rsidRPr="00A972CD" w:rsidRDefault="002502E4" w:rsidP="00D7305F">
      <w:pPr>
        <w:pStyle w:val="BodyText"/>
      </w:pPr>
      <w:r>
        <w:t xml:space="preserve">Table </w:t>
      </w:r>
      <w:r>
        <w:rPr>
          <w:noProof/>
        </w:rPr>
        <w:t>4</w:t>
      </w:r>
      <w:r>
        <w:t>.</w:t>
      </w:r>
      <w:r>
        <w:rPr>
          <w:noProof/>
        </w:rPr>
        <w:t>2</w:t>
      </w:r>
      <w:r w:rsidR="00D7305F" w:rsidRPr="00A972CD">
        <w:t xml:space="preserve"> details the value of concessional finance by each </w:t>
      </w:r>
      <w:r w:rsidR="00FE4606">
        <w:t>agency</w:t>
      </w:r>
      <w:r w:rsidR="00FE4606" w:rsidRPr="00A972CD">
        <w:t xml:space="preserve"> </w:t>
      </w:r>
      <w:r w:rsidR="00D7305F" w:rsidRPr="00A972CD">
        <w:t>based on the PC’s two methods. Note that, while both measures aim to estimate the amount of ‘concessionality’</w:t>
      </w:r>
      <w:r w:rsidR="00505441">
        <w:t>,</w:t>
      </w:r>
      <w:r w:rsidR="00D7305F" w:rsidRPr="00A972CD">
        <w:t xml:space="preserve"> the two estimates are not directly comparable with estimates between agencies varying significantly.</w:t>
      </w:r>
      <w:r w:rsidR="006A640A">
        <w:t xml:space="preserve"> </w:t>
      </w:r>
    </w:p>
    <w:p w14:paraId="7C721A1F" w14:textId="115138F8" w:rsidR="00D7305F" w:rsidRPr="00A972CD" w:rsidRDefault="00665312" w:rsidP="00665312">
      <w:pPr>
        <w:pStyle w:val="Caption"/>
        <w:keepNext/>
      </w:pPr>
      <w:bookmarkStart w:id="69" w:name="_Ref170139101"/>
      <w:bookmarkStart w:id="70" w:name="_Ref201578019"/>
      <w:r>
        <w:lastRenderedPageBreak/>
        <w:t xml:space="preserve">Table </w:t>
      </w:r>
      <w:r>
        <w:fldChar w:fldCharType="begin"/>
      </w:r>
      <w:r>
        <w:instrText xml:space="preserve"> STYLEREF 1 \s </w:instrText>
      </w:r>
      <w:r>
        <w:fldChar w:fldCharType="separate"/>
      </w:r>
      <w:r w:rsidR="004A080B">
        <w:rPr>
          <w:noProof/>
        </w:rPr>
        <w:t>4</w:t>
      </w:r>
      <w:r>
        <w:fldChar w:fldCharType="end"/>
      </w:r>
      <w:r>
        <w:t>.</w:t>
      </w:r>
      <w:r>
        <w:fldChar w:fldCharType="begin"/>
      </w:r>
      <w:r>
        <w:instrText xml:space="preserve"> SEQ Table \* ARABIC \s 1 </w:instrText>
      </w:r>
      <w:r>
        <w:fldChar w:fldCharType="separate"/>
      </w:r>
      <w:r w:rsidR="004A080B">
        <w:rPr>
          <w:noProof/>
        </w:rPr>
        <w:t>2</w:t>
      </w:r>
      <w:r>
        <w:fldChar w:fldCharType="end"/>
      </w:r>
      <w:bookmarkEnd w:id="69"/>
      <w:bookmarkEnd w:id="70"/>
      <w:r w:rsidR="00D7305F" w:rsidRPr="00A972CD">
        <w:rPr>
          <w:noProof/>
        </w:rPr>
        <w:t xml:space="preserve"> – </w:t>
      </w:r>
      <w:r w:rsidR="00D7305F" w:rsidRPr="00A972CD">
        <w:t>In 2023</w:t>
      </w:r>
      <w:r w:rsidR="00684564">
        <w:t>-</w:t>
      </w:r>
      <w:r w:rsidR="00D7305F" w:rsidRPr="00A972CD">
        <w:t>24 the Australian Government provided approximately one to two hundred million dollars through concessional finance</w:t>
      </w:r>
      <w:r w:rsidR="00D7305F" w:rsidRPr="00A972CD">
        <w:rPr>
          <w:vertAlign w:val="superscript"/>
        </w:rPr>
        <w:t>a,b,c,d,e</w:t>
      </w:r>
    </w:p>
    <w:p w14:paraId="40611584" w14:textId="50750EC6" w:rsidR="00D7305F" w:rsidRPr="00A972CD" w:rsidRDefault="00D7305F" w:rsidP="00D7305F">
      <w:pPr>
        <w:pStyle w:val="FigureTableSubheading"/>
      </w:pPr>
      <w:r w:rsidRPr="00A972CD">
        <w:t>Value of concessional finance to industry based on two methods, $ millions, 2023</w:t>
      </w:r>
      <w:r w:rsidR="00684564">
        <w:t>-</w:t>
      </w:r>
      <w:r w:rsidRPr="00A972CD">
        <w:t>24</w:t>
      </w:r>
    </w:p>
    <w:tbl>
      <w:tblPr>
        <w:tblW w:w="963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47"/>
        <w:gridCol w:w="2154"/>
        <w:gridCol w:w="1928"/>
        <w:gridCol w:w="1927"/>
        <w:gridCol w:w="2381"/>
      </w:tblGrid>
      <w:tr w:rsidR="00D7305F" w:rsidRPr="00A972CD" w14:paraId="25828180" w14:textId="77777777">
        <w:trPr>
          <w:trHeight w:val="541"/>
          <w:tblHeader/>
        </w:trPr>
        <w:tc>
          <w:tcPr>
            <w:tcW w:w="1247" w:type="dxa"/>
            <w:tcBorders>
              <w:bottom w:val="single" w:sz="4" w:space="0" w:color="B3B3B3"/>
            </w:tcBorders>
            <w:vAlign w:val="bottom"/>
          </w:tcPr>
          <w:p w14:paraId="67834556"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Entity</w:t>
            </w:r>
          </w:p>
        </w:tc>
        <w:tc>
          <w:tcPr>
            <w:tcW w:w="2154" w:type="dxa"/>
            <w:tcBorders>
              <w:bottom w:val="single" w:sz="4" w:space="0" w:color="B3B3B3"/>
            </w:tcBorders>
            <w:vAlign w:val="bottom"/>
          </w:tcPr>
          <w:p w14:paraId="3207F306" w14:textId="77777777" w:rsidR="00D7305F" w:rsidRPr="00A972CD" w:rsidRDefault="00D7305F" w:rsidP="00132C3E">
            <w:pPr>
              <w:pStyle w:val="TableHeading"/>
              <w:keepNext/>
              <w:spacing w:before="45" w:after="45"/>
              <w:ind w:right="108"/>
              <w:jc w:val="right"/>
              <w:rPr>
                <w:rFonts w:ascii="Arial (Body)" w:hAnsi="Arial (Body)"/>
                <w:color w:val="265A9A"/>
              </w:rPr>
            </w:pPr>
            <w:r w:rsidRPr="00A972CD">
              <w:rPr>
                <w:rFonts w:ascii="Arial (Body)" w:hAnsi="Arial (Body)"/>
                <w:color w:val="265A9A"/>
              </w:rPr>
              <w:t>Outstanding loan ($m)</w:t>
            </w:r>
            <w:r w:rsidRPr="00A972CD">
              <w:rPr>
                <w:rFonts w:ascii="Arial (Body)" w:hAnsi="Arial (Body)"/>
                <w:color w:val="265A9A"/>
                <w:vertAlign w:val="superscript"/>
              </w:rPr>
              <w:t>a</w:t>
            </w:r>
          </w:p>
        </w:tc>
        <w:tc>
          <w:tcPr>
            <w:tcW w:w="1928" w:type="dxa"/>
            <w:tcBorders>
              <w:bottom w:val="single" w:sz="4" w:space="0" w:color="B3B3B3"/>
            </w:tcBorders>
            <w:vAlign w:val="bottom"/>
          </w:tcPr>
          <w:p w14:paraId="7602ED8A" w14:textId="77777777" w:rsidR="00D7305F" w:rsidRPr="00A972CD" w:rsidRDefault="00D7305F" w:rsidP="00132C3E">
            <w:pPr>
              <w:pStyle w:val="TableHeading"/>
              <w:keepNext/>
              <w:spacing w:before="45" w:after="45"/>
              <w:ind w:right="108"/>
              <w:jc w:val="right"/>
              <w:rPr>
                <w:rFonts w:ascii="Arial (Body)" w:hAnsi="Arial (Body)"/>
                <w:color w:val="265A9A"/>
              </w:rPr>
            </w:pPr>
            <w:r w:rsidRPr="00A972CD">
              <w:rPr>
                <w:rFonts w:ascii="Arial (Body)" w:hAnsi="Arial (Body)"/>
                <w:color w:val="265A9A"/>
              </w:rPr>
              <w:t>Unwind of charges</w:t>
            </w:r>
          </w:p>
        </w:tc>
        <w:tc>
          <w:tcPr>
            <w:tcW w:w="1927" w:type="dxa"/>
            <w:tcBorders>
              <w:bottom w:val="single" w:sz="4" w:space="0" w:color="B3B3B3"/>
            </w:tcBorders>
            <w:vAlign w:val="bottom"/>
          </w:tcPr>
          <w:p w14:paraId="695FC875" w14:textId="77777777" w:rsidR="00D7305F" w:rsidRPr="00A972CD" w:rsidRDefault="00D7305F" w:rsidP="00132C3E">
            <w:pPr>
              <w:pStyle w:val="TableHeading"/>
              <w:keepNext/>
              <w:spacing w:before="45" w:after="45"/>
              <w:ind w:right="108"/>
              <w:jc w:val="right"/>
              <w:rPr>
                <w:rFonts w:ascii="Arial (Body)" w:hAnsi="Arial (Body)"/>
                <w:color w:val="265A9A"/>
              </w:rPr>
            </w:pPr>
            <w:r w:rsidRPr="00A972CD">
              <w:rPr>
                <w:rFonts w:ascii="Arial (Body)" w:hAnsi="Arial (Body)"/>
                <w:color w:val="265A9A"/>
              </w:rPr>
              <w:t>Market return gap (basis points)</w:t>
            </w:r>
            <w:r w:rsidRPr="00A972CD">
              <w:rPr>
                <w:rFonts w:ascii="Arial (Body)" w:hAnsi="Arial (Body)"/>
                <w:color w:val="265A9A"/>
                <w:vertAlign w:val="superscript"/>
              </w:rPr>
              <w:t>b</w:t>
            </w:r>
          </w:p>
        </w:tc>
        <w:tc>
          <w:tcPr>
            <w:tcW w:w="2381" w:type="dxa"/>
            <w:tcBorders>
              <w:bottom w:val="single" w:sz="4" w:space="0" w:color="B3B3B3"/>
            </w:tcBorders>
            <w:vAlign w:val="bottom"/>
          </w:tcPr>
          <w:p w14:paraId="1A9A1E20" w14:textId="77777777" w:rsidR="00D7305F" w:rsidRPr="00A972CD" w:rsidRDefault="00D7305F" w:rsidP="00132C3E">
            <w:pPr>
              <w:pStyle w:val="TableHeading"/>
              <w:keepNext/>
              <w:spacing w:before="45" w:after="45"/>
              <w:ind w:right="108"/>
              <w:jc w:val="right"/>
              <w:rPr>
                <w:rFonts w:ascii="Arial (Body)" w:hAnsi="Arial (Body)"/>
                <w:color w:val="265A9A"/>
              </w:rPr>
            </w:pPr>
            <w:r w:rsidRPr="00A972CD">
              <w:rPr>
                <w:rFonts w:ascii="Arial (Body)" w:hAnsi="Arial (Body)"/>
                <w:color w:val="265A9A"/>
              </w:rPr>
              <w:t xml:space="preserve">Market return gap ($m) </w:t>
            </w:r>
            <w:r w:rsidRPr="00A972CD">
              <w:rPr>
                <w:rFonts w:ascii="Arial (Body)" w:hAnsi="Arial (Body)"/>
                <w:color w:val="265A9A"/>
                <w:vertAlign w:val="superscript"/>
              </w:rPr>
              <w:t>c,d</w:t>
            </w:r>
          </w:p>
        </w:tc>
      </w:tr>
      <w:tr w:rsidR="00D7305F" w:rsidRPr="00A972CD" w14:paraId="3DEE8253" w14:textId="77777777">
        <w:trPr>
          <w:trHeight w:val="397"/>
          <w:tblHeader/>
        </w:trPr>
        <w:tc>
          <w:tcPr>
            <w:tcW w:w="1247" w:type="dxa"/>
            <w:tcBorders>
              <w:top w:val="single" w:sz="4" w:space="0" w:color="B3B3B3"/>
              <w:bottom w:val="nil"/>
            </w:tcBorders>
            <w:shd w:val="clear" w:color="auto" w:fill="F2F2F2" w:themeFill="background1" w:themeFillShade="F2"/>
          </w:tcPr>
          <w:p w14:paraId="1AAED71B"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EFA</w:t>
            </w:r>
          </w:p>
        </w:tc>
        <w:tc>
          <w:tcPr>
            <w:tcW w:w="2154" w:type="dxa"/>
            <w:tcBorders>
              <w:top w:val="single" w:sz="4" w:space="0" w:color="B3B3B3"/>
              <w:bottom w:val="nil"/>
            </w:tcBorders>
            <w:shd w:val="clear" w:color="auto" w:fill="F2F2F2" w:themeFill="background1" w:themeFillShade="F2"/>
          </w:tcPr>
          <w:p w14:paraId="407EE4D9" w14:textId="77777777" w:rsidR="00D7305F" w:rsidRPr="00A972CD" w:rsidRDefault="00D7305F" w:rsidP="00132C3E">
            <w:pPr>
              <w:spacing w:before="45" w:after="45" w:line="240" w:lineRule="auto"/>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$1,299.8</w:t>
            </w:r>
          </w:p>
        </w:tc>
        <w:tc>
          <w:tcPr>
            <w:tcW w:w="1928" w:type="dxa"/>
            <w:tcBorders>
              <w:top w:val="single" w:sz="4" w:space="0" w:color="B3B3B3"/>
              <w:bottom w:val="nil"/>
            </w:tcBorders>
            <w:shd w:val="clear" w:color="auto" w:fill="F2F2F2" w:themeFill="background1" w:themeFillShade="F2"/>
          </w:tcPr>
          <w:p w14:paraId="5F1E41F4"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N/A</w:t>
            </w:r>
          </w:p>
        </w:tc>
        <w:tc>
          <w:tcPr>
            <w:tcW w:w="1927" w:type="dxa"/>
            <w:tcBorders>
              <w:top w:val="single" w:sz="4" w:space="0" w:color="B3B3B3"/>
              <w:bottom w:val="nil"/>
            </w:tcBorders>
            <w:shd w:val="clear" w:color="auto" w:fill="F2F2F2" w:themeFill="background1" w:themeFillShade="F2"/>
          </w:tcPr>
          <w:p w14:paraId="26D527C7" w14:textId="2AF07D0E" w:rsidR="00D7305F" w:rsidRPr="00A972CD" w:rsidRDefault="001E54D0" w:rsidP="00132C3E">
            <w:pPr>
              <w:pStyle w:val="BodyText"/>
              <w:spacing w:before="45" w:after="45"/>
              <w:ind w:left="57" w:right="108"/>
              <w:jc w:val="right"/>
              <w:rPr>
                <w:rFonts w:ascii="Arial (Body)" w:hAnsi="Arial (Body)" w:cstheme="minorHAnsi"/>
                <w:color w:val="000000"/>
                <w:sz w:val="18"/>
                <w:szCs w:val="18"/>
              </w:rPr>
            </w:pPr>
            <w:r w:rsidRPr="001E54D0">
              <w:rPr>
                <w:rFonts w:ascii="Arial (Body)" w:hAnsi="Arial (Body)" w:cstheme="minorHAnsi"/>
                <w:color w:val="000000"/>
                <w:sz w:val="18"/>
                <w:szCs w:val="18"/>
              </w:rPr>
              <w:t>−</w:t>
            </w:r>
            <w:r w:rsidR="00D7305F" w:rsidRPr="00A972CD">
              <w:rPr>
                <w:rFonts w:ascii="Arial (Body)" w:hAnsi="Arial (Body)" w:cstheme="minorHAnsi"/>
                <w:color w:val="000000"/>
                <w:sz w:val="18"/>
                <w:szCs w:val="18"/>
              </w:rPr>
              <w:t>69 – 35</w:t>
            </w:r>
          </w:p>
        </w:tc>
        <w:tc>
          <w:tcPr>
            <w:tcW w:w="2381" w:type="dxa"/>
            <w:tcBorders>
              <w:top w:val="single" w:sz="4" w:space="0" w:color="B3B3B3"/>
              <w:bottom w:val="nil"/>
            </w:tcBorders>
            <w:shd w:val="clear" w:color="auto" w:fill="F2F2F2" w:themeFill="background1" w:themeFillShade="F2"/>
          </w:tcPr>
          <w:p w14:paraId="5A63B39D" w14:textId="03A930DA" w:rsidR="00D7305F" w:rsidRPr="00A972CD" w:rsidRDefault="009B7681" w:rsidP="00132C3E">
            <w:pPr>
              <w:pStyle w:val="BodyText"/>
              <w:spacing w:before="45" w:after="45"/>
              <w:ind w:left="57" w:right="108"/>
              <w:jc w:val="right"/>
              <w:rPr>
                <w:rFonts w:ascii="Arial (Body)" w:hAnsi="Arial (Body)" w:cstheme="minorHAnsi"/>
                <w:color w:val="000000"/>
                <w:sz w:val="18"/>
                <w:szCs w:val="18"/>
              </w:rPr>
            </w:pPr>
            <w:r w:rsidRPr="009B7681">
              <w:rPr>
                <w:rFonts w:ascii="Arial (Body)" w:hAnsi="Arial (Body)" w:cstheme="minorHAnsi"/>
                <w:color w:val="000000"/>
                <w:sz w:val="18"/>
                <w:szCs w:val="18"/>
              </w:rPr>
              <w:t>−</w:t>
            </w:r>
            <w:r w:rsidR="00D7305F" w:rsidRPr="00A972CD">
              <w:rPr>
                <w:rFonts w:ascii="Arial (Body)" w:hAnsi="Arial (Body)" w:cstheme="minorHAnsi"/>
                <w:color w:val="000000"/>
                <w:sz w:val="18"/>
                <w:szCs w:val="18"/>
              </w:rPr>
              <w:t xml:space="preserve">$8.9 </w:t>
            </w:r>
            <w:r w:rsidR="00110026">
              <w:rPr>
                <w:rFonts w:ascii="Arial (Body)" w:hAnsi="Arial (Body)" w:cstheme="minorHAnsi"/>
                <w:color w:val="000000"/>
                <w:sz w:val="18"/>
                <w:szCs w:val="18"/>
              </w:rPr>
              <w:t>–</w:t>
            </w:r>
            <w:r w:rsidR="00D7305F" w:rsidRPr="00A972CD">
              <w:rPr>
                <w:rFonts w:ascii="Arial (Body)" w:hAnsi="Arial (Body)" w:cstheme="minorHAnsi"/>
                <w:color w:val="000000"/>
                <w:sz w:val="18"/>
                <w:szCs w:val="18"/>
              </w:rPr>
              <w:t xml:space="preserve"> $4.6</w:t>
            </w:r>
          </w:p>
        </w:tc>
      </w:tr>
      <w:tr w:rsidR="00D7305F" w:rsidRPr="00A972CD" w14:paraId="59F1FFF2" w14:textId="77777777">
        <w:trPr>
          <w:trHeight w:val="417"/>
          <w:tblHeader/>
        </w:trPr>
        <w:tc>
          <w:tcPr>
            <w:tcW w:w="1247" w:type="dxa"/>
            <w:tcBorders>
              <w:top w:val="nil"/>
              <w:bottom w:val="nil"/>
            </w:tcBorders>
          </w:tcPr>
          <w:p w14:paraId="020A8066"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CEFC</w:t>
            </w:r>
          </w:p>
        </w:tc>
        <w:tc>
          <w:tcPr>
            <w:tcW w:w="2154" w:type="dxa"/>
            <w:tcBorders>
              <w:top w:val="nil"/>
              <w:bottom w:val="nil"/>
            </w:tcBorders>
          </w:tcPr>
          <w:p w14:paraId="67EC7F27"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$2,863.7</w:t>
            </w:r>
          </w:p>
        </w:tc>
        <w:tc>
          <w:tcPr>
            <w:tcW w:w="1928" w:type="dxa"/>
            <w:tcBorders>
              <w:top w:val="nil"/>
              <w:bottom w:val="nil"/>
            </w:tcBorders>
          </w:tcPr>
          <w:p w14:paraId="76D6DA8D"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$6.2</w:t>
            </w:r>
          </w:p>
        </w:tc>
        <w:tc>
          <w:tcPr>
            <w:tcW w:w="1927" w:type="dxa"/>
            <w:tcBorders>
              <w:top w:val="nil"/>
              <w:bottom w:val="nil"/>
            </w:tcBorders>
          </w:tcPr>
          <w:p w14:paraId="2B8B4CD5"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0 – 104</w:t>
            </w:r>
          </w:p>
        </w:tc>
        <w:tc>
          <w:tcPr>
            <w:tcW w:w="2381" w:type="dxa"/>
            <w:tcBorders>
              <w:top w:val="nil"/>
              <w:bottom w:val="nil"/>
            </w:tcBorders>
          </w:tcPr>
          <w:p w14:paraId="1A0F59BA"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$0.1 – $29.9</w:t>
            </w:r>
          </w:p>
        </w:tc>
      </w:tr>
      <w:tr w:rsidR="00D7305F" w:rsidRPr="00A972CD" w14:paraId="7E13F9B0" w14:textId="77777777">
        <w:trPr>
          <w:trHeight w:val="423"/>
          <w:tblHeader/>
        </w:trPr>
        <w:tc>
          <w:tcPr>
            <w:tcW w:w="1247" w:type="dxa"/>
            <w:tcBorders>
              <w:bottom w:val="nil"/>
            </w:tcBorders>
            <w:shd w:val="clear" w:color="auto" w:fill="F2F2F2" w:themeFill="background1" w:themeFillShade="F2"/>
          </w:tcPr>
          <w:p w14:paraId="33F4DCC7"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HA</w:t>
            </w:r>
          </w:p>
        </w:tc>
        <w:tc>
          <w:tcPr>
            <w:tcW w:w="2154" w:type="dxa"/>
            <w:tcBorders>
              <w:bottom w:val="nil"/>
            </w:tcBorders>
            <w:shd w:val="clear" w:color="auto" w:fill="F2F2F2" w:themeFill="background1" w:themeFillShade="F2"/>
          </w:tcPr>
          <w:p w14:paraId="53C68D6B"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$3,084.8</w:t>
            </w:r>
          </w:p>
        </w:tc>
        <w:tc>
          <w:tcPr>
            <w:tcW w:w="1928" w:type="dxa"/>
            <w:tcBorders>
              <w:bottom w:val="nil"/>
            </w:tcBorders>
            <w:shd w:val="clear" w:color="auto" w:fill="F2F2F2" w:themeFill="background1" w:themeFillShade="F2"/>
          </w:tcPr>
          <w:p w14:paraId="032C1485"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$23.3</w:t>
            </w:r>
          </w:p>
        </w:tc>
        <w:tc>
          <w:tcPr>
            <w:tcW w:w="1927" w:type="dxa"/>
            <w:tcBorders>
              <w:bottom w:val="nil"/>
            </w:tcBorders>
            <w:shd w:val="clear" w:color="auto" w:fill="F2F2F2" w:themeFill="background1" w:themeFillShade="F2"/>
          </w:tcPr>
          <w:p w14:paraId="4D1BF334" w14:textId="3DE1D7D6"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 xml:space="preserve">224 </w:t>
            </w:r>
            <w:r w:rsidR="00110026">
              <w:rPr>
                <w:rFonts w:ascii="Arial (Body)" w:hAnsi="Arial (Body)" w:cstheme="minorHAnsi"/>
                <w:color w:val="000000"/>
                <w:sz w:val="18"/>
                <w:szCs w:val="18"/>
              </w:rPr>
              <w:t>–</w:t>
            </w:r>
            <w:r w:rsidRPr="00A972CD">
              <w:rPr>
                <w:rFonts w:ascii="Arial (Body)" w:hAnsi="Arial (Body)" w:cstheme="minorHAnsi"/>
                <w:color w:val="000000"/>
                <w:sz w:val="18"/>
                <w:szCs w:val="18"/>
              </w:rPr>
              <w:t xml:space="preserve"> 382</w:t>
            </w:r>
          </w:p>
        </w:tc>
        <w:tc>
          <w:tcPr>
            <w:tcW w:w="2381" w:type="dxa"/>
            <w:tcBorders>
              <w:bottom w:val="nil"/>
            </w:tcBorders>
            <w:shd w:val="clear" w:color="auto" w:fill="F2F2F2" w:themeFill="background1" w:themeFillShade="F2"/>
          </w:tcPr>
          <w:p w14:paraId="444DF745"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$69 – $101.1</w:t>
            </w:r>
          </w:p>
        </w:tc>
      </w:tr>
      <w:tr w:rsidR="00D7305F" w:rsidRPr="00A972CD" w14:paraId="1F255D10" w14:textId="77777777">
        <w:trPr>
          <w:trHeight w:val="430"/>
          <w:tblHeader/>
        </w:trPr>
        <w:tc>
          <w:tcPr>
            <w:tcW w:w="1247" w:type="dxa"/>
            <w:tcBorders>
              <w:top w:val="nil"/>
              <w:bottom w:val="nil"/>
            </w:tcBorders>
          </w:tcPr>
          <w:p w14:paraId="5F5EDD28"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RIC</w:t>
            </w:r>
          </w:p>
        </w:tc>
        <w:tc>
          <w:tcPr>
            <w:tcW w:w="2154" w:type="dxa"/>
            <w:tcBorders>
              <w:top w:val="nil"/>
              <w:bottom w:val="nil"/>
            </w:tcBorders>
          </w:tcPr>
          <w:p w14:paraId="55572A10"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$2,838.2</w:t>
            </w:r>
          </w:p>
        </w:tc>
        <w:tc>
          <w:tcPr>
            <w:tcW w:w="1928" w:type="dxa"/>
            <w:tcBorders>
              <w:top w:val="nil"/>
              <w:bottom w:val="nil"/>
            </w:tcBorders>
          </w:tcPr>
          <w:p w14:paraId="0BF57C2F" w14:textId="77777777" w:rsidR="00D7305F" w:rsidRPr="00A972CD" w:rsidRDefault="00D7305F" w:rsidP="00132C3E">
            <w:pPr>
              <w:pStyle w:val="BodyText"/>
              <w:spacing w:before="45" w:after="45"/>
              <w:ind w:left="57" w:right="108"/>
              <w:jc w:val="right"/>
              <w:rPr>
                <w:rFonts w:ascii="Arial (Body)" w:hAnsi="Arial (Body)"/>
                <w:color w:val="000000"/>
                <w:sz w:val="18"/>
                <w:szCs w:val="18"/>
              </w:rPr>
            </w:pPr>
            <w:r w:rsidRPr="00A972CD">
              <w:rPr>
                <w:rFonts w:ascii="Arial (Body)" w:hAnsi="Arial (Body)"/>
                <w:color w:val="000000" w:themeColor="text1"/>
                <w:sz w:val="18"/>
                <w:szCs w:val="18"/>
              </w:rPr>
              <w:t>$71.2</w:t>
            </w:r>
          </w:p>
        </w:tc>
        <w:tc>
          <w:tcPr>
            <w:tcW w:w="1927" w:type="dxa"/>
            <w:tcBorders>
              <w:top w:val="nil"/>
              <w:bottom w:val="nil"/>
            </w:tcBorders>
          </w:tcPr>
          <w:p w14:paraId="63A9DEC7" w14:textId="3E9C7BD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 xml:space="preserve">94 </w:t>
            </w:r>
            <w:r w:rsidR="00110026">
              <w:rPr>
                <w:rFonts w:ascii="Arial (Body)" w:hAnsi="Arial (Body)" w:cstheme="minorHAnsi"/>
                <w:color w:val="000000"/>
                <w:sz w:val="18"/>
                <w:szCs w:val="18"/>
              </w:rPr>
              <w:t>–</w:t>
            </w:r>
            <w:r w:rsidRPr="00A972CD">
              <w:rPr>
                <w:rFonts w:ascii="Arial (Body)" w:hAnsi="Arial (Body)" w:cstheme="minorHAnsi"/>
                <w:color w:val="000000"/>
                <w:sz w:val="18"/>
                <w:szCs w:val="18"/>
              </w:rPr>
              <w:t xml:space="preserve"> 198</w:t>
            </w:r>
          </w:p>
        </w:tc>
        <w:tc>
          <w:tcPr>
            <w:tcW w:w="2381" w:type="dxa"/>
            <w:tcBorders>
              <w:top w:val="nil"/>
              <w:bottom w:val="nil"/>
            </w:tcBorders>
          </w:tcPr>
          <w:p w14:paraId="06D471FB"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$26.8 – $56.2</w:t>
            </w:r>
          </w:p>
        </w:tc>
      </w:tr>
      <w:tr w:rsidR="00D7305F" w:rsidRPr="00A972CD" w14:paraId="1205CCB8" w14:textId="77777777">
        <w:trPr>
          <w:trHeight w:val="435"/>
          <w:tblHeader/>
        </w:trPr>
        <w:tc>
          <w:tcPr>
            <w:tcW w:w="1247" w:type="dxa"/>
            <w:tcBorders>
              <w:bottom w:val="nil"/>
            </w:tcBorders>
            <w:shd w:val="clear" w:color="auto" w:fill="F2F2F2" w:themeFill="background1" w:themeFillShade="F2"/>
          </w:tcPr>
          <w:p w14:paraId="776FEF19"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NAIF</w:t>
            </w:r>
          </w:p>
        </w:tc>
        <w:tc>
          <w:tcPr>
            <w:tcW w:w="2154" w:type="dxa"/>
            <w:tcBorders>
              <w:bottom w:val="nil"/>
            </w:tcBorders>
            <w:shd w:val="clear" w:color="auto" w:fill="F2F2F2" w:themeFill="background1" w:themeFillShade="F2"/>
          </w:tcPr>
          <w:p w14:paraId="1C348C71"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$1,642.8</w:t>
            </w:r>
          </w:p>
        </w:tc>
        <w:tc>
          <w:tcPr>
            <w:tcW w:w="1928" w:type="dxa"/>
            <w:tcBorders>
              <w:bottom w:val="nil"/>
            </w:tcBorders>
            <w:shd w:val="clear" w:color="auto" w:fill="F2F2F2" w:themeFill="background1" w:themeFillShade="F2"/>
          </w:tcPr>
          <w:p w14:paraId="26FC965B" w14:textId="77777777" w:rsidR="00D7305F" w:rsidRPr="00A972CD" w:rsidRDefault="00D7305F" w:rsidP="00132C3E">
            <w:pPr>
              <w:pStyle w:val="BodyText"/>
              <w:spacing w:before="45" w:after="45"/>
              <w:ind w:left="57" w:right="108"/>
              <w:jc w:val="right"/>
              <w:rPr>
                <w:rFonts w:ascii="Arial (Body)" w:hAnsi="Arial (Body)"/>
                <w:color w:val="000000"/>
                <w:sz w:val="18"/>
                <w:szCs w:val="18"/>
              </w:rPr>
            </w:pPr>
            <w:r w:rsidRPr="00A972CD">
              <w:rPr>
                <w:rFonts w:ascii="Arial (Body)" w:hAnsi="Arial (Body)"/>
                <w:color w:val="000000" w:themeColor="text1"/>
                <w:sz w:val="18"/>
                <w:szCs w:val="18"/>
              </w:rPr>
              <w:t>$26.4</w:t>
            </w:r>
          </w:p>
        </w:tc>
        <w:tc>
          <w:tcPr>
            <w:tcW w:w="1927" w:type="dxa"/>
            <w:tcBorders>
              <w:bottom w:val="nil"/>
            </w:tcBorders>
            <w:shd w:val="clear" w:color="auto" w:fill="F2F2F2" w:themeFill="background1" w:themeFillShade="F2"/>
          </w:tcPr>
          <w:p w14:paraId="4320E997" w14:textId="763F8871"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 xml:space="preserve">103 </w:t>
            </w:r>
            <w:r w:rsidR="00426335">
              <w:rPr>
                <w:rFonts w:ascii="Arial (Body)" w:hAnsi="Arial (Body)" w:cstheme="minorHAnsi"/>
                <w:color w:val="000000"/>
                <w:sz w:val="18"/>
                <w:szCs w:val="18"/>
              </w:rPr>
              <w:t>–</w:t>
            </w:r>
            <w:r w:rsidRPr="00A972CD">
              <w:rPr>
                <w:rFonts w:ascii="Arial (Body)" w:hAnsi="Arial (Body)" w:cstheme="minorHAnsi"/>
                <w:color w:val="000000"/>
                <w:sz w:val="18"/>
                <w:szCs w:val="18"/>
              </w:rPr>
              <w:t xml:space="preserve"> 207</w:t>
            </w:r>
          </w:p>
        </w:tc>
        <w:tc>
          <w:tcPr>
            <w:tcW w:w="2381" w:type="dxa"/>
            <w:tcBorders>
              <w:bottom w:val="nil"/>
            </w:tcBorders>
            <w:shd w:val="clear" w:color="auto" w:fill="F2F2F2" w:themeFill="background1" w:themeFillShade="F2"/>
          </w:tcPr>
          <w:p w14:paraId="60AE1919"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$17.0 – $34.0</w:t>
            </w:r>
          </w:p>
        </w:tc>
      </w:tr>
      <w:tr w:rsidR="00D7305F" w:rsidRPr="00A972CD" w14:paraId="119D43C7" w14:textId="77777777">
        <w:trPr>
          <w:trHeight w:val="435"/>
          <w:tblHeader/>
        </w:trPr>
        <w:tc>
          <w:tcPr>
            <w:tcW w:w="1247" w:type="dxa"/>
            <w:tcBorders>
              <w:top w:val="nil"/>
            </w:tcBorders>
          </w:tcPr>
          <w:p w14:paraId="038B7342"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Total</w:t>
            </w:r>
          </w:p>
        </w:tc>
        <w:tc>
          <w:tcPr>
            <w:tcW w:w="2154" w:type="dxa"/>
            <w:tcBorders>
              <w:top w:val="nil"/>
            </w:tcBorders>
          </w:tcPr>
          <w:p w14:paraId="17D1583C"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$11,729.3</w:t>
            </w:r>
          </w:p>
        </w:tc>
        <w:tc>
          <w:tcPr>
            <w:tcW w:w="1928" w:type="dxa"/>
            <w:tcBorders>
              <w:top w:val="nil"/>
            </w:tcBorders>
          </w:tcPr>
          <w:p w14:paraId="5532C48C" w14:textId="77777777" w:rsidR="00D7305F" w:rsidRPr="00A972CD" w:rsidRDefault="00D7305F" w:rsidP="00132C3E">
            <w:pPr>
              <w:pStyle w:val="BodyText"/>
              <w:spacing w:before="45" w:after="45"/>
              <w:ind w:left="57" w:right="108"/>
              <w:jc w:val="right"/>
              <w:rPr>
                <w:rFonts w:ascii="Arial (Body)" w:hAnsi="Arial (Body)"/>
                <w:color w:val="000000"/>
                <w:sz w:val="18"/>
                <w:szCs w:val="18"/>
              </w:rPr>
            </w:pPr>
            <w:r w:rsidRPr="00A972CD">
              <w:rPr>
                <w:rFonts w:ascii="Arial (Body)" w:hAnsi="Arial (Body)"/>
                <w:color w:val="000000" w:themeColor="text1"/>
                <w:sz w:val="18"/>
                <w:szCs w:val="18"/>
              </w:rPr>
              <w:t>$127.2 (sans EFA)</w:t>
            </w:r>
          </w:p>
        </w:tc>
        <w:tc>
          <w:tcPr>
            <w:tcW w:w="1927" w:type="dxa"/>
            <w:tcBorders>
              <w:top w:val="nil"/>
            </w:tcBorders>
          </w:tcPr>
          <w:p w14:paraId="17AB0508" w14:textId="19BB2F48"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 xml:space="preserve">89 </w:t>
            </w:r>
            <w:r w:rsidR="00426335">
              <w:rPr>
                <w:rFonts w:ascii="Arial (Body)" w:hAnsi="Arial (Body)" w:cstheme="minorHAnsi"/>
                <w:color w:val="000000"/>
                <w:sz w:val="18"/>
                <w:szCs w:val="18"/>
              </w:rPr>
              <w:t>–</w:t>
            </w:r>
            <w:r w:rsidRPr="00A972CD">
              <w:rPr>
                <w:rFonts w:ascii="Arial (Body)" w:hAnsi="Arial (Body)" w:cstheme="minorHAnsi"/>
                <w:color w:val="000000"/>
                <w:sz w:val="18"/>
                <w:szCs w:val="18"/>
              </w:rPr>
              <w:t xml:space="preserve"> 192</w:t>
            </w:r>
          </w:p>
        </w:tc>
        <w:tc>
          <w:tcPr>
            <w:tcW w:w="2381" w:type="dxa"/>
            <w:tcBorders>
              <w:top w:val="nil"/>
            </w:tcBorders>
          </w:tcPr>
          <w:p w14:paraId="16ECB30A" w14:textId="77777777" w:rsidR="00D7305F" w:rsidRPr="00A972CD" w:rsidRDefault="00D7305F" w:rsidP="00132C3E">
            <w:pPr>
              <w:pStyle w:val="BodyText"/>
              <w:spacing w:before="45" w:after="45"/>
              <w:ind w:left="57" w:right="108"/>
              <w:jc w:val="right"/>
              <w:rPr>
                <w:rFonts w:ascii="Arial (Body)" w:hAnsi="Arial (Body)" w:cstheme="minorHAnsi"/>
                <w:color w:val="000000"/>
                <w:sz w:val="18"/>
                <w:szCs w:val="18"/>
              </w:rPr>
            </w:pPr>
            <w:r w:rsidRPr="00A972CD">
              <w:rPr>
                <w:rFonts w:ascii="Arial (Body)" w:hAnsi="Arial (Body)" w:cstheme="minorHAnsi"/>
                <w:color w:val="000000"/>
                <w:sz w:val="18"/>
                <w:szCs w:val="18"/>
              </w:rPr>
              <w:t>$104.0 – $225.8</w:t>
            </w:r>
          </w:p>
        </w:tc>
      </w:tr>
    </w:tbl>
    <w:p w14:paraId="593DE529" w14:textId="2F3BB2AC" w:rsidR="00D7305F" w:rsidRPr="00A972CD" w:rsidRDefault="00D7305F" w:rsidP="00D7305F">
      <w:pPr>
        <w:pStyle w:val="Note"/>
        <w:keepNext/>
      </w:pPr>
      <w:r w:rsidRPr="00A972CD">
        <w:rPr>
          <w:b/>
          <w:bCs/>
        </w:rPr>
        <w:t>a.</w:t>
      </w:r>
      <w:r w:rsidRPr="00A972CD">
        <w:t xml:space="preserve"> Stock of outstanding loans provided by each entity, drawn from the annual report of each entity, gross of concessions and impairments. For RIC, this is a best estimate based on information provided in the Department of Agriculture’s annual report. </w:t>
      </w:r>
      <w:r w:rsidRPr="00A972CD">
        <w:rPr>
          <w:b/>
          <w:bCs/>
        </w:rPr>
        <w:t>b.</w:t>
      </w:r>
      <w:r w:rsidRPr="00A972CD">
        <w:t xml:space="preserve"> Basis point difference between the rate of return the portfolio would have earned had those funds being invested at prevailing market interest rates, and the rate of return actually earned on that portfolio of loans. A positive number implies concessionality. The range of estimates reflects the range of tenor and credit rating assumptions used for the commercial portfolio return comparator, ranging from the average rate of return on an A rated five year tenor (5.2%) to a BBB rated ten year tenor (6.3%) that prevailed during 2023</w:t>
      </w:r>
      <w:r w:rsidR="00684564">
        <w:t>-</w:t>
      </w:r>
      <w:r w:rsidRPr="00A972CD">
        <w:t xml:space="preserve">24. </w:t>
      </w:r>
      <w:r w:rsidRPr="00A972CD">
        <w:rPr>
          <w:b/>
        </w:rPr>
        <w:t>c.</w:t>
      </w:r>
      <w:r w:rsidRPr="00A972CD">
        <w:t xml:space="preserve"> The rate of return actually earned is estimated using interest income provided in each entities annual report. However, for EFA, RIC and NAIF, interest income earned on the portfolio of loans of interest to this analysis is not provided. For these entities, the rate of return is the </w:t>
      </w:r>
      <w:r w:rsidR="004A66C7">
        <w:t>PC’s</w:t>
      </w:r>
      <w:r w:rsidRPr="00A972CD">
        <w:t xml:space="preserve"> best estimate, based on available data and a number of assumptions. </w:t>
      </w:r>
      <w:r w:rsidRPr="00A972CD">
        <w:rPr>
          <w:b/>
          <w:bCs/>
        </w:rPr>
        <w:t>d.</w:t>
      </w:r>
      <w:r w:rsidRPr="00A972CD">
        <w:t xml:space="preserve"> Dollar value of the return gap range applied to the outstanding stock of loans held by each entity. </w:t>
      </w:r>
      <w:r w:rsidRPr="00A972CD">
        <w:rPr>
          <w:b/>
          <w:bCs/>
        </w:rPr>
        <w:t>e.</w:t>
      </w:r>
      <w:r w:rsidRPr="00A972CD">
        <w:t> Weighted average of basis point gaps of individual entities.</w:t>
      </w:r>
    </w:p>
    <w:p w14:paraId="368D34C1" w14:textId="56C93203" w:rsidR="00D7305F" w:rsidRPr="00D50451" w:rsidRDefault="00D7305F" w:rsidP="00D7305F">
      <w:pPr>
        <w:pStyle w:val="Source"/>
      </w:pPr>
      <w:r w:rsidRPr="00A972CD">
        <w:t>Source: P</w:t>
      </w:r>
      <w:r w:rsidR="00451318">
        <w:t>C</w:t>
      </w:r>
      <w:r w:rsidRPr="00A972CD">
        <w:t xml:space="preserve"> estimates using </w:t>
      </w:r>
      <w:r w:rsidR="00CD7AFC">
        <w:t>CEFC</w:t>
      </w:r>
      <w:r w:rsidRPr="00A972CD">
        <w:t xml:space="preserve"> </w:t>
      </w:r>
      <w:r w:rsidR="00A268F9" w:rsidRPr="00A268F9">
        <w:rPr>
          <w:rFonts w:ascii="Arial" w:hAnsi="Arial" w:cs="Arial"/>
        </w:rPr>
        <w:t>(2024a, pp. 119, 126)</w:t>
      </w:r>
      <w:r w:rsidR="0003156E">
        <w:t xml:space="preserve">, </w:t>
      </w:r>
      <w:r w:rsidR="009F2D2F">
        <w:t xml:space="preserve">DAFF </w:t>
      </w:r>
      <w:r w:rsidR="00A268F9" w:rsidRPr="00A268F9">
        <w:rPr>
          <w:rFonts w:ascii="Arial" w:hAnsi="Arial" w:cs="Arial"/>
        </w:rPr>
        <w:t>(2024, p. 157)</w:t>
      </w:r>
      <w:r w:rsidR="003F3279">
        <w:t>,</w:t>
      </w:r>
      <w:r w:rsidR="00D166F9">
        <w:t xml:space="preserve"> DITRDCA</w:t>
      </w:r>
      <w:r w:rsidR="003F3279">
        <w:t xml:space="preserve"> </w:t>
      </w:r>
      <w:r w:rsidR="00A268F9" w:rsidRPr="00A268F9">
        <w:rPr>
          <w:rFonts w:ascii="Arial" w:hAnsi="Arial" w:cs="Arial"/>
        </w:rPr>
        <w:t>(2024, p. 198)</w:t>
      </w:r>
      <w:r w:rsidR="00D166F9">
        <w:t>,</w:t>
      </w:r>
      <w:r w:rsidR="000F602A">
        <w:t xml:space="preserve"> EFA</w:t>
      </w:r>
      <w:r w:rsidR="00D166F9">
        <w:t xml:space="preserve"> </w:t>
      </w:r>
      <w:r w:rsidR="00A268F9" w:rsidRPr="00A268F9">
        <w:rPr>
          <w:rFonts w:ascii="Arial" w:hAnsi="Arial" w:cs="Arial"/>
        </w:rPr>
        <w:t>(2024a, p. 129)</w:t>
      </w:r>
      <w:r w:rsidR="000F602A">
        <w:t xml:space="preserve">, HA </w:t>
      </w:r>
      <w:r w:rsidR="00A268F9" w:rsidRPr="00A268F9">
        <w:rPr>
          <w:rFonts w:ascii="Arial" w:hAnsi="Arial" w:cs="Arial"/>
        </w:rPr>
        <w:t>(2024, pp. 76, 92)</w:t>
      </w:r>
      <w:r w:rsidRPr="00C3452E">
        <w:t xml:space="preserve">, unwind values for RIC and NAIF provided directly to the </w:t>
      </w:r>
      <w:r w:rsidR="004A66C7">
        <w:t>PC</w:t>
      </w:r>
      <w:r w:rsidR="009013B5">
        <w:t xml:space="preserve">. </w:t>
      </w:r>
    </w:p>
    <w:p w14:paraId="622DA84D" w14:textId="45F08C16" w:rsidR="00D7305F" w:rsidRPr="000520F6" w:rsidRDefault="00D7305F" w:rsidP="00D7305F">
      <w:pPr>
        <w:pStyle w:val="Heading3"/>
      </w:pPr>
      <w:r>
        <w:t>Concessional finance fell from its 2022</w:t>
      </w:r>
      <w:r w:rsidR="00684564">
        <w:t>-</w:t>
      </w:r>
      <w:r>
        <w:t>23 high</w:t>
      </w:r>
    </w:p>
    <w:p w14:paraId="0C9E8A29" w14:textId="7A581729" w:rsidR="00D7305F" w:rsidRDefault="00914186" w:rsidP="00D7305F">
      <w:pPr>
        <w:pStyle w:val="BodyText"/>
      </w:pPr>
      <w:r>
        <w:t xml:space="preserve">As shown in </w:t>
      </w:r>
      <w:r w:rsidR="00791979">
        <w:rPr>
          <w:noProof/>
        </w:rPr>
        <w:t>4</w:t>
      </w:r>
      <w:r w:rsidR="00791979">
        <w:t>.</w:t>
      </w:r>
      <w:r w:rsidR="00791979">
        <w:rPr>
          <w:noProof/>
        </w:rPr>
        <w:t>3</w:t>
      </w:r>
      <w:r>
        <w:t xml:space="preserve">, </w:t>
      </w:r>
      <w:r w:rsidR="005957C1">
        <w:t xml:space="preserve">the return gap method </w:t>
      </w:r>
      <w:r w:rsidR="00D7305F">
        <w:t>found that assistance from</w:t>
      </w:r>
      <w:r w:rsidR="00D7305F" w:rsidRPr="0036015E">
        <w:t xml:space="preserve"> concessional finance decreased from the previous year.</w:t>
      </w:r>
      <w:r w:rsidR="00D7305F">
        <w:t xml:space="preserve"> This may be because </w:t>
      </w:r>
      <w:r w:rsidR="00D7305F" w:rsidRPr="003203E3">
        <w:t>the value of the 10</w:t>
      </w:r>
      <w:r w:rsidR="00200862">
        <w:noBreakHyphen/>
      </w:r>
      <w:r w:rsidR="00D7305F" w:rsidRPr="003203E3">
        <w:t>year BBB rated bonds (used to calculate the upper bound) decreased slightly in 2023</w:t>
      </w:r>
      <w:r w:rsidR="00A27F84">
        <w:t>-</w:t>
      </w:r>
      <w:r w:rsidR="00D7305F" w:rsidRPr="003203E3">
        <w:t>24, h</w:t>
      </w:r>
      <w:r w:rsidR="00D7305F" w:rsidRPr="003548DB">
        <w:t>ow</w:t>
      </w:r>
      <w:r w:rsidR="00D7305F">
        <w:t>ever</w:t>
      </w:r>
      <w:r w:rsidR="00D7305F" w:rsidRPr="0036015E">
        <w:t xml:space="preserve"> </w:t>
      </w:r>
      <w:r w:rsidR="00D7305F">
        <w:t>the precise cause of the fall in concessional finance is difficult to isolate without more granular loan level data.</w:t>
      </w:r>
    </w:p>
    <w:p w14:paraId="392707DC" w14:textId="39253BFC" w:rsidR="00D7305F" w:rsidRPr="00A972CD" w:rsidRDefault="00D7305F" w:rsidP="00D7305F">
      <w:pPr>
        <w:pStyle w:val="FigureTableHeading"/>
      </w:pPr>
      <w:bookmarkStart w:id="71" w:name="_Ref201316360"/>
      <w:r w:rsidRPr="00C3452E">
        <w:t xml:space="preserve">Table </w:t>
      </w:r>
      <w:r w:rsidR="00665312">
        <w:fldChar w:fldCharType="begin"/>
      </w:r>
      <w:r w:rsidR="00665312">
        <w:instrText xml:space="preserve"> STYLEREF 1 \s </w:instrText>
      </w:r>
      <w:r w:rsidR="00665312">
        <w:fldChar w:fldCharType="separate"/>
      </w:r>
      <w:r w:rsidR="004A080B">
        <w:rPr>
          <w:noProof/>
        </w:rPr>
        <w:t>4</w:t>
      </w:r>
      <w:r w:rsidR="00665312">
        <w:fldChar w:fldCharType="end"/>
      </w:r>
      <w:r w:rsidR="00665312">
        <w:t>.</w:t>
      </w:r>
      <w:r w:rsidR="00665312">
        <w:fldChar w:fldCharType="begin"/>
      </w:r>
      <w:r w:rsidR="00665312">
        <w:instrText xml:space="preserve"> SEQ Table \* ARABIC \s 1 </w:instrText>
      </w:r>
      <w:r w:rsidR="00665312">
        <w:fldChar w:fldCharType="separate"/>
      </w:r>
      <w:r w:rsidR="004A080B">
        <w:rPr>
          <w:noProof/>
        </w:rPr>
        <w:t>3</w:t>
      </w:r>
      <w:r w:rsidR="00665312">
        <w:fldChar w:fldCharType="end"/>
      </w:r>
      <w:bookmarkEnd w:id="71"/>
      <w:r w:rsidRPr="00A972CD">
        <w:rPr>
          <w:noProof/>
        </w:rPr>
        <w:t xml:space="preserve"> </w:t>
      </w:r>
      <w:bookmarkStart w:id="72" w:name="_Ref192171929"/>
      <w:r w:rsidRPr="00A972CD">
        <w:rPr>
          <w:noProof/>
        </w:rPr>
        <w:t xml:space="preserve">– </w:t>
      </w:r>
      <w:r w:rsidRPr="00A972CD">
        <w:t>The return gap declined from the level seen in 2022</w:t>
      </w:r>
      <w:r w:rsidR="00A27F84">
        <w:t>-</w:t>
      </w:r>
      <w:r w:rsidRPr="00A972CD">
        <w:t>23 TAR</w:t>
      </w:r>
      <w:bookmarkEnd w:id="72"/>
    </w:p>
    <w:p w14:paraId="296548E8" w14:textId="55D621E4" w:rsidR="00D7305F" w:rsidRPr="00A972CD" w:rsidRDefault="00D7305F" w:rsidP="00D7305F">
      <w:pPr>
        <w:pStyle w:val="FigureTableSubheading"/>
      </w:pPr>
      <w:r w:rsidRPr="00A972CD">
        <w:t>Return gap value of concessional finance, $ millions, 2021</w:t>
      </w:r>
      <w:r w:rsidR="00A27F84">
        <w:t>-</w:t>
      </w:r>
      <w:r w:rsidRPr="00A972CD">
        <w:t>22 to 2023</w:t>
      </w:r>
      <w:r w:rsidR="00A27F84">
        <w:t>-</w:t>
      </w:r>
      <w:r w:rsidRPr="00A972CD">
        <w:t>24</w:t>
      </w:r>
    </w:p>
    <w:tbl>
      <w:tblPr>
        <w:tblW w:w="977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93"/>
        <w:gridCol w:w="2769"/>
        <w:gridCol w:w="3005"/>
        <w:gridCol w:w="3005"/>
      </w:tblGrid>
      <w:tr w:rsidR="00D7305F" w:rsidRPr="00A972CD" w14:paraId="3E00C753" w14:textId="77777777">
        <w:trPr>
          <w:trHeight w:val="541"/>
          <w:tblHeader/>
        </w:trPr>
        <w:tc>
          <w:tcPr>
            <w:tcW w:w="993" w:type="dxa"/>
            <w:tcBorders>
              <w:bottom w:val="single" w:sz="4" w:space="0" w:color="B3B3B3"/>
            </w:tcBorders>
            <w:shd w:val="clear" w:color="000000" w:fill="auto"/>
            <w:vAlign w:val="bottom"/>
          </w:tcPr>
          <w:p w14:paraId="2DAAB8C9" w14:textId="77777777"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Year</w:t>
            </w:r>
          </w:p>
        </w:tc>
        <w:tc>
          <w:tcPr>
            <w:tcW w:w="2769" w:type="dxa"/>
            <w:tcBorders>
              <w:bottom w:val="single" w:sz="4" w:space="0" w:color="B3B3B3"/>
            </w:tcBorders>
            <w:shd w:val="clear" w:color="000000" w:fill="auto"/>
            <w:vAlign w:val="bottom"/>
          </w:tcPr>
          <w:p w14:paraId="097FBBF5" w14:textId="77777777" w:rsidR="00D7305F" w:rsidRPr="00A972CD" w:rsidRDefault="00D7305F" w:rsidP="00A63C65">
            <w:pPr>
              <w:pStyle w:val="TableHeading"/>
              <w:keepNext/>
              <w:spacing w:before="45" w:after="45"/>
              <w:ind w:right="108"/>
              <w:jc w:val="right"/>
              <w:rPr>
                <w:rFonts w:ascii="Arial (Body)" w:hAnsi="Arial (Body)"/>
                <w:color w:val="265A9A"/>
              </w:rPr>
            </w:pPr>
            <w:r w:rsidRPr="00A972CD">
              <w:rPr>
                <w:rFonts w:ascii="Arial (Body)" w:hAnsi="Arial (Body)"/>
                <w:color w:val="265A9A"/>
              </w:rPr>
              <w:t>Outstanding loan ($m)</w:t>
            </w:r>
            <w:r w:rsidRPr="00A972CD">
              <w:rPr>
                <w:rFonts w:ascii="Arial (Body)" w:hAnsi="Arial (Body)"/>
                <w:color w:val="265A9A"/>
                <w:vertAlign w:val="superscript"/>
              </w:rPr>
              <w:t>a</w:t>
            </w:r>
          </w:p>
        </w:tc>
        <w:tc>
          <w:tcPr>
            <w:tcW w:w="3005" w:type="dxa"/>
            <w:tcBorders>
              <w:bottom w:val="single" w:sz="4" w:space="0" w:color="B3B3B3"/>
            </w:tcBorders>
            <w:shd w:val="clear" w:color="000000" w:fill="auto"/>
            <w:vAlign w:val="bottom"/>
          </w:tcPr>
          <w:p w14:paraId="045A5DAE" w14:textId="77777777" w:rsidR="00D7305F" w:rsidRPr="00A972CD" w:rsidRDefault="00D7305F" w:rsidP="00A63C65">
            <w:pPr>
              <w:pStyle w:val="TableHeading"/>
              <w:keepNext/>
              <w:spacing w:before="45" w:after="45"/>
              <w:ind w:right="108"/>
              <w:jc w:val="right"/>
              <w:rPr>
                <w:rFonts w:ascii="Arial (Body)" w:hAnsi="Arial (Body)"/>
                <w:color w:val="265A9A"/>
              </w:rPr>
            </w:pPr>
            <w:r w:rsidRPr="00A972CD">
              <w:rPr>
                <w:rFonts w:ascii="Arial (Body)" w:hAnsi="Arial (Body)"/>
                <w:color w:val="265A9A"/>
              </w:rPr>
              <w:t>Market return gap (basis points)</w:t>
            </w:r>
            <w:r w:rsidRPr="00A972CD">
              <w:rPr>
                <w:rFonts w:ascii="Arial (Body)" w:hAnsi="Arial (Body)"/>
                <w:color w:val="265A9A"/>
                <w:vertAlign w:val="superscript"/>
              </w:rPr>
              <w:t>b</w:t>
            </w:r>
          </w:p>
        </w:tc>
        <w:tc>
          <w:tcPr>
            <w:tcW w:w="3005" w:type="dxa"/>
            <w:tcBorders>
              <w:bottom w:val="single" w:sz="4" w:space="0" w:color="B3B3B3"/>
            </w:tcBorders>
            <w:shd w:val="clear" w:color="000000" w:fill="auto"/>
            <w:vAlign w:val="bottom"/>
          </w:tcPr>
          <w:p w14:paraId="19C88E1E" w14:textId="77777777" w:rsidR="00D7305F" w:rsidRPr="00A972CD" w:rsidRDefault="00D7305F" w:rsidP="00A63C65">
            <w:pPr>
              <w:pStyle w:val="TableHeading"/>
              <w:keepNext/>
              <w:spacing w:before="45" w:after="45"/>
              <w:ind w:right="108"/>
              <w:jc w:val="right"/>
              <w:rPr>
                <w:rFonts w:ascii="Arial (Body)" w:hAnsi="Arial (Body)"/>
                <w:color w:val="265A9A"/>
              </w:rPr>
            </w:pPr>
            <w:r w:rsidRPr="00A972CD">
              <w:rPr>
                <w:rFonts w:ascii="Arial (Body)" w:hAnsi="Arial (Body)"/>
                <w:color w:val="265A9A"/>
              </w:rPr>
              <w:t>Market return gap</w:t>
            </w:r>
            <w:r w:rsidRPr="00A972CD">
              <w:rPr>
                <w:rFonts w:ascii="Arial (Body)" w:hAnsi="Arial (Body)"/>
                <w:color w:val="265A9A"/>
                <w:vertAlign w:val="superscript"/>
              </w:rPr>
              <w:t>c,d</w:t>
            </w:r>
          </w:p>
        </w:tc>
      </w:tr>
      <w:tr w:rsidR="00D7305F" w:rsidRPr="00A972CD" w14:paraId="72EA0CEE" w14:textId="77777777">
        <w:trPr>
          <w:trHeight w:val="397"/>
          <w:tblHeader/>
        </w:trPr>
        <w:tc>
          <w:tcPr>
            <w:tcW w:w="993" w:type="dxa"/>
            <w:tcBorders>
              <w:top w:val="single" w:sz="4" w:space="0" w:color="B3B3B3"/>
              <w:bottom w:val="nil"/>
            </w:tcBorders>
            <w:shd w:val="clear" w:color="000000" w:fill="F2F2F2"/>
          </w:tcPr>
          <w:p w14:paraId="3EEB9E5C" w14:textId="66A5EDDB"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2021</w:t>
            </w:r>
            <w:r w:rsidR="00A27F84">
              <w:rPr>
                <w:rFonts w:ascii="Arial (Body)" w:hAnsi="Arial (Body)"/>
                <w:color w:val="265A9A"/>
              </w:rPr>
              <w:t>-</w:t>
            </w:r>
            <w:r w:rsidRPr="00A972CD">
              <w:rPr>
                <w:rFonts w:ascii="Arial (Body)" w:hAnsi="Arial (Body)"/>
                <w:color w:val="265A9A"/>
              </w:rPr>
              <w:t>22</w:t>
            </w:r>
          </w:p>
        </w:tc>
        <w:tc>
          <w:tcPr>
            <w:tcW w:w="2769" w:type="dxa"/>
            <w:tcBorders>
              <w:top w:val="single" w:sz="4" w:space="0" w:color="B3B3B3"/>
              <w:bottom w:val="nil"/>
            </w:tcBorders>
            <w:shd w:val="clear" w:color="000000" w:fill="F2F2F2"/>
          </w:tcPr>
          <w:p w14:paraId="7026F5C7" w14:textId="77777777"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$10,047</w:t>
            </w:r>
          </w:p>
        </w:tc>
        <w:tc>
          <w:tcPr>
            <w:tcW w:w="3005" w:type="dxa"/>
            <w:tcBorders>
              <w:top w:val="single" w:sz="4" w:space="0" w:color="B3B3B3"/>
              <w:bottom w:val="nil"/>
            </w:tcBorders>
            <w:shd w:val="clear" w:color="000000" w:fill="F2F2F2"/>
          </w:tcPr>
          <w:p w14:paraId="21AFC2A3" w14:textId="1A7192BB"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64</w:t>
            </w:r>
            <w:r w:rsidR="009E7AE9">
              <w:rPr>
                <w:rFonts w:ascii="Arial (Body)" w:hAnsi="Arial (Body)"/>
                <w:color w:val="265A9A"/>
              </w:rPr>
              <w:t>–</w:t>
            </w:r>
            <w:r w:rsidRPr="00A972CD">
              <w:rPr>
                <w:rFonts w:ascii="Arial (Body)" w:hAnsi="Arial (Body)"/>
                <w:color w:val="000000"/>
                <w:sz w:val="18"/>
              </w:rPr>
              <w:t>219</w:t>
            </w:r>
          </w:p>
        </w:tc>
        <w:tc>
          <w:tcPr>
            <w:tcW w:w="3005" w:type="dxa"/>
            <w:tcBorders>
              <w:top w:val="single" w:sz="4" w:space="0" w:color="B3B3B3"/>
              <w:bottom w:val="nil"/>
            </w:tcBorders>
            <w:shd w:val="clear" w:color="000000" w:fill="F2F2F2"/>
          </w:tcPr>
          <w:p w14:paraId="6ECABE0E" w14:textId="5ECFF54C"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$64.8</w:t>
            </w:r>
            <w:r w:rsidR="009E7AE9">
              <w:rPr>
                <w:rFonts w:ascii="Arial (Body)" w:hAnsi="Arial (Body)"/>
                <w:color w:val="265A9A"/>
              </w:rPr>
              <w:t>–</w:t>
            </w:r>
            <w:r w:rsidRPr="00A972CD">
              <w:rPr>
                <w:rFonts w:ascii="Arial (Body)" w:hAnsi="Arial (Body)"/>
                <w:color w:val="000000"/>
                <w:sz w:val="18"/>
              </w:rPr>
              <w:t>$220.2</w:t>
            </w:r>
          </w:p>
        </w:tc>
      </w:tr>
      <w:tr w:rsidR="00D7305F" w:rsidRPr="00A972CD" w14:paraId="04113B74" w14:textId="77777777">
        <w:trPr>
          <w:trHeight w:val="417"/>
          <w:tblHeader/>
        </w:trPr>
        <w:tc>
          <w:tcPr>
            <w:tcW w:w="993" w:type="dxa"/>
            <w:tcBorders>
              <w:top w:val="nil"/>
              <w:bottom w:val="nil"/>
            </w:tcBorders>
            <w:shd w:val="clear" w:color="000000" w:fill="auto"/>
          </w:tcPr>
          <w:p w14:paraId="17FEEB64" w14:textId="25CB6BCE"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2022</w:t>
            </w:r>
            <w:r w:rsidR="00A27F84">
              <w:rPr>
                <w:rFonts w:ascii="Arial (Body)" w:hAnsi="Arial (Body)"/>
                <w:color w:val="265A9A"/>
              </w:rPr>
              <w:t>-</w:t>
            </w:r>
            <w:r w:rsidRPr="00A972CD">
              <w:rPr>
                <w:rFonts w:ascii="Arial (Body)" w:hAnsi="Arial (Body)"/>
                <w:color w:val="265A9A"/>
              </w:rPr>
              <w:t>23</w:t>
            </w:r>
          </w:p>
        </w:tc>
        <w:tc>
          <w:tcPr>
            <w:tcW w:w="2769" w:type="dxa"/>
            <w:tcBorders>
              <w:top w:val="nil"/>
              <w:bottom w:val="nil"/>
            </w:tcBorders>
            <w:shd w:val="clear" w:color="000000" w:fill="auto"/>
          </w:tcPr>
          <w:p w14:paraId="29992895" w14:textId="77777777"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$10,171</w:t>
            </w:r>
          </w:p>
        </w:tc>
        <w:tc>
          <w:tcPr>
            <w:tcW w:w="3005" w:type="dxa"/>
            <w:tcBorders>
              <w:top w:val="nil"/>
              <w:bottom w:val="nil"/>
            </w:tcBorders>
            <w:shd w:val="clear" w:color="000000" w:fill="auto"/>
          </w:tcPr>
          <w:p w14:paraId="73B69A04" w14:textId="280F887F"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208</w:t>
            </w:r>
            <w:r w:rsidR="009E7AE9">
              <w:rPr>
                <w:rFonts w:ascii="Arial (Body)" w:hAnsi="Arial (Body)"/>
                <w:color w:val="265A9A"/>
              </w:rPr>
              <w:t>–</w:t>
            </w:r>
            <w:r w:rsidRPr="00A972CD">
              <w:rPr>
                <w:rFonts w:ascii="Arial (Body)" w:hAnsi="Arial (Body)"/>
                <w:color w:val="000000"/>
                <w:sz w:val="18"/>
              </w:rPr>
              <w:t>350</w:t>
            </w:r>
          </w:p>
        </w:tc>
        <w:tc>
          <w:tcPr>
            <w:tcW w:w="3005" w:type="dxa"/>
            <w:tcBorders>
              <w:top w:val="nil"/>
              <w:bottom w:val="nil"/>
            </w:tcBorders>
            <w:shd w:val="clear" w:color="000000" w:fill="auto"/>
          </w:tcPr>
          <w:p w14:paraId="3F3F8D01" w14:textId="321F5AFB"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$211.4</w:t>
            </w:r>
            <w:r w:rsidR="009E7AE9">
              <w:rPr>
                <w:rFonts w:ascii="Arial (Body)" w:hAnsi="Arial (Body)"/>
                <w:color w:val="265A9A"/>
              </w:rPr>
              <w:t>–</w:t>
            </w:r>
            <w:r w:rsidRPr="00A972CD">
              <w:rPr>
                <w:rFonts w:ascii="Arial (Body)" w:hAnsi="Arial (Body)"/>
                <w:color w:val="000000"/>
                <w:sz w:val="18"/>
              </w:rPr>
              <w:t>$356.0</w:t>
            </w:r>
          </w:p>
        </w:tc>
      </w:tr>
      <w:tr w:rsidR="00D7305F" w:rsidRPr="00A972CD" w14:paraId="58A3F156" w14:textId="77777777">
        <w:trPr>
          <w:trHeight w:val="423"/>
          <w:tblHeader/>
        </w:trPr>
        <w:tc>
          <w:tcPr>
            <w:tcW w:w="993" w:type="dxa"/>
            <w:tcBorders>
              <w:bottom w:val="single" w:sz="4" w:space="0" w:color="B3B3B3"/>
            </w:tcBorders>
            <w:shd w:val="clear" w:color="000000" w:fill="F2F2F2"/>
          </w:tcPr>
          <w:p w14:paraId="24228DAF" w14:textId="567A22DC" w:rsidR="00D7305F" w:rsidRPr="00A972CD" w:rsidRDefault="00D7305F">
            <w:pPr>
              <w:pStyle w:val="TableHeading"/>
              <w:keepNext/>
              <w:spacing w:before="45" w:after="45"/>
              <w:ind w:right="108"/>
              <w:rPr>
                <w:rFonts w:ascii="Arial (Body)" w:hAnsi="Arial (Body)"/>
                <w:color w:val="265A9A"/>
              </w:rPr>
            </w:pPr>
            <w:r w:rsidRPr="00A972CD">
              <w:rPr>
                <w:rFonts w:ascii="Arial (Body)" w:hAnsi="Arial (Body)"/>
                <w:color w:val="265A9A"/>
              </w:rPr>
              <w:t>2023</w:t>
            </w:r>
            <w:r w:rsidR="00A27F84">
              <w:rPr>
                <w:rFonts w:ascii="Arial (Body)" w:hAnsi="Arial (Body)"/>
                <w:color w:val="265A9A"/>
              </w:rPr>
              <w:t>-</w:t>
            </w:r>
            <w:r w:rsidRPr="00A972CD">
              <w:rPr>
                <w:rFonts w:ascii="Arial (Body)" w:hAnsi="Arial (Body)"/>
                <w:color w:val="265A9A"/>
              </w:rPr>
              <w:t>24</w:t>
            </w:r>
          </w:p>
        </w:tc>
        <w:tc>
          <w:tcPr>
            <w:tcW w:w="2769" w:type="dxa"/>
            <w:tcBorders>
              <w:bottom w:val="single" w:sz="4" w:space="0" w:color="B3B3B3"/>
            </w:tcBorders>
            <w:shd w:val="clear" w:color="000000" w:fill="F2F2F2"/>
          </w:tcPr>
          <w:p w14:paraId="5CA2436C" w14:textId="77777777"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$11,729</w:t>
            </w:r>
          </w:p>
        </w:tc>
        <w:tc>
          <w:tcPr>
            <w:tcW w:w="3005" w:type="dxa"/>
            <w:tcBorders>
              <w:bottom w:val="single" w:sz="4" w:space="0" w:color="B3B3B3"/>
            </w:tcBorders>
            <w:shd w:val="clear" w:color="000000" w:fill="F2F2F2"/>
          </w:tcPr>
          <w:p w14:paraId="58015FB3" w14:textId="6966B036"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89</w:t>
            </w:r>
            <w:r w:rsidR="009E7AE9">
              <w:rPr>
                <w:rFonts w:ascii="Arial (Body)" w:hAnsi="Arial (Body)"/>
                <w:color w:val="265A9A"/>
              </w:rPr>
              <w:t>–</w:t>
            </w:r>
            <w:r w:rsidRPr="00A972CD">
              <w:rPr>
                <w:rFonts w:ascii="Arial (Body)" w:hAnsi="Arial (Body)"/>
                <w:color w:val="000000"/>
                <w:sz w:val="18"/>
              </w:rPr>
              <w:t>192</w:t>
            </w:r>
          </w:p>
        </w:tc>
        <w:tc>
          <w:tcPr>
            <w:tcW w:w="3005" w:type="dxa"/>
            <w:tcBorders>
              <w:bottom w:val="single" w:sz="4" w:space="0" w:color="B3B3B3"/>
            </w:tcBorders>
            <w:shd w:val="clear" w:color="000000" w:fill="F2F2F2"/>
          </w:tcPr>
          <w:p w14:paraId="47C12B38" w14:textId="73008076" w:rsidR="00D7305F" w:rsidRPr="00A972CD" w:rsidRDefault="00D7305F" w:rsidP="00A63C65">
            <w:pPr>
              <w:pStyle w:val="BodyText"/>
              <w:spacing w:before="45" w:after="45"/>
              <w:ind w:left="57" w:right="108"/>
              <w:jc w:val="right"/>
              <w:rPr>
                <w:rFonts w:ascii="Arial (Body)" w:hAnsi="Arial (Body)"/>
                <w:color w:val="000000"/>
                <w:sz w:val="18"/>
              </w:rPr>
            </w:pPr>
            <w:r w:rsidRPr="00A972CD">
              <w:rPr>
                <w:rFonts w:ascii="Arial (Body)" w:hAnsi="Arial (Body)"/>
                <w:color w:val="000000"/>
                <w:sz w:val="18"/>
              </w:rPr>
              <w:t>$103.9</w:t>
            </w:r>
            <w:r w:rsidR="009E7AE9">
              <w:rPr>
                <w:rFonts w:ascii="Arial (Body)" w:hAnsi="Arial (Body)"/>
                <w:color w:val="265A9A"/>
              </w:rPr>
              <w:t>–</w:t>
            </w:r>
            <w:r w:rsidRPr="00A972CD">
              <w:rPr>
                <w:rFonts w:ascii="Arial (Body)" w:hAnsi="Arial (Body)"/>
                <w:color w:val="000000"/>
                <w:sz w:val="18"/>
              </w:rPr>
              <w:t>$225.6</w:t>
            </w:r>
          </w:p>
        </w:tc>
      </w:tr>
    </w:tbl>
    <w:p w14:paraId="2AE0C73D" w14:textId="0CAB4F2E" w:rsidR="00C726BC" w:rsidRDefault="00D7305F" w:rsidP="00D7305F">
      <w:pPr>
        <w:pStyle w:val="Source"/>
      </w:pPr>
      <w:r w:rsidRPr="00A972CD">
        <w:t>Source: P</w:t>
      </w:r>
      <w:r w:rsidR="00451318">
        <w:t>C</w:t>
      </w:r>
      <w:r w:rsidRPr="00A972CD">
        <w:t xml:space="preserve"> estimates using</w:t>
      </w:r>
      <w:r w:rsidR="00C726BC">
        <w:t xml:space="preserve"> CEFC </w:t>
      </w:r>
      <w:r w:rsidR="00A268F9" w:rsidRPr="00A268F9">
        <w:rPr>
          <w:rFonts w:ascii="Arial" w:hAnsi="Arial" w:cs="Arial"/>
        </w:rPr>
        <w:t>(2023, p. 134, 2024a, p. 126)</w:t>
      </w:r>
      <w:r w:rsidR="00F7397C">
        <w:t xml:space="preserve">, DAFF </w:t>
      </w:r>
      <w:r w:rsidR="00A268F9" w:rsidRPr="00A268F9">
        <w:rPr>
          <w:rFonts w:ascii="Arial" w:hAnsi="Arial" w:cs="Arial"/>
        </w:rPr>
        <w:t>(2023, p. 138, 2024, p. 157)</w:t>
      </w:r>
      <w:r w:rsidR="00C008AB">
        <w:t>, DITR</w:t>
      </w:r>
      <w:r w:rsidR="00A227CF">
        <w:t>DCA</w:t>
      </w:r>
      <w:r w:rsidR="00C008AB">
        <w:t xml:space="preserve"> </w:t>
      </w:r>
      <w:r w:rsidR="00A268F9" w:rsidRPr="00A268F9">
        <w:rPr>
          <w:rFonts w:ascii="Arial" w:hAnsi="Arial" w:cs="Arial"/>
        </w:rPr>
        <w:t>(2023, p. 174, 2024, p. 198)</w:t>
      </w:r>
      <w:r w:rsidR="00A227CF">
        <w:t xml:space="preserve">, EFA </w:t>
      </w:r>
      <w:r w:rsidR="00A268F9" w:rsidRPr="00A268F9">
        <w:rPr>
          <w:rFonts w:ascii="Arial" w:hAnsi="Arial" w:cs="Arial"/>
        </w:rPr>
        <w:t>(2023, p. 126, 2024a, p. 129)</w:t>
      </w:r>
      <w:r w:rsidR="00A227CF">
        <w:t xml:space="preserve">, HA </w:t>
      </w:r>
      <w:r w:rsidR="00A268F9" w:rsidRPr="00A268F9">
        <w:rPr>
          <w:rFonts w:ascii="Arial" w:hAnsi="Arial" w:cs="Arial"/>
        </w:rPr>
        <w:t>(2023, p. 112, 2024, p. 92)</w:t>
      </w:r>
      <w:r w:rsidR="00743F51">
        <w:t>.</w:t>
      </w:r>
    </w:p>
    <w:p w14:paraId="39D72E5E" w14:textId="288E1AA6" w:rsidR="00D7305F" w:rsidRPr="00A972CD" w:rsidRDefault="00791979" w:rsidP="00D7305F">
      <w:pPr>
        <w:pStyle w:val="BodyText"/>
      </w:pPr>
      <w:r w:rsidRPr="00C3452E">
        <w:t xml:space="preserve">Figure </w:t>
      </w:r>
      <w:r>
        <w:rPr>
          <w:noProof/>
        </w:rPr>
        <w:t>4.9</w:t>
      </w:r>
      <w:r w:rsidR="00D7305F" w:rsidRPr="00A972CD">
        <w:t xml:space="preserve"> shows the change in the reported unwind of concessional loan discounts from 2021</w:t>
      </w:r>
      <w:r w:rsidR="00A27F84">
        <w:t>-</w:t>
      </w:r>
      <w:r w:rsidR="00D7305F" w:rsidRPr="00A972CD">
        <w:t>22 (excluding EFA). The total change in reported unwind year</w:t>
      </w:r>
      <w:r w:rsidR="00200862">
        <w:noBreakHyphen/>
      </w:r>
      <w:r w:rsidR="00D7305F" w:rsidRPr="00A972CD">
        <w:t>on</w:t>
      </w:r>
      <w:r w:rsidR="00200862">
        <w:noBreakHyphen/>
      </w:r>
      <w:r w:rsidR="00D7305F" w:rsidRPr="00A972CD">
        <w:t xml:space="preserve">year is largely driven by RIC. CEFC and HA provided steady concessional finance via unwind estimates, while NAIF provisions of concessional finance grew </w:t>
      </w:r>
      <w:r w:rsidR="00D7305F" w:rsidRPr="00A972CD">
        <w:lastRenderedPageBreak/>
        <w:t>consistently year</w:t>
      </w:r>
      <w:r w:rsidR="00200862">
        <w:noBreakHyphen/>
      </w:r>
      <w:r w:rsidR="00D7305F" w:rsidRPr="00A972CD">
        <w:t>on</w:t>
      </w:r>
      <w:r w:rsidR="00200862">
        <w:noBreakHyphen/>
      </w:r>
      <w:r w:rsidR="00D7305F" w:rsidRPr="00A972CD">
        <w:t>year. Again, it is impossible to determine what caused the drop in concessional finance in 2023</w:t>
      </w:r>
      <w:r w:rsidR="00A27F84">
        <w:t>-</w:t>
      </w:r>
      <w:r w:rsidR="00D7305F" w:rsidRPr="00A972CD">
        <w:t xml:space="preserve">24 without loan level data. </w:t>
      </w:r>
    </w:p>
    <w:p w14:paraId="0F1A8C11" w14:textId="11E19D10" w:rsidR="00D7305F" w:rsidRPr="00C3452E" w:rsidRDefault="00D7305F" w:rsidP="00D7305F">
      <w:pPr>
        <w:pStyle w:val="Caption"/>
        <w:keepNext/>
      </w:pPr>
      <w:bookmarkStart w:id="73" w:name="_Ref193710498"/>
      <w:r w:rsidRPr="00C3452E">
        <w:t xml:space="preserve">Figure </w:t>
      </w:r>
      <w:r w:rsidR="005642CB">
        <w:fldChar w:fldCharType="begin"/>
      </w:r>
      <w:r w:rsidR="005642CB">
        <w:instrText xml:space="preserve"> STYLEREF 1 \s </w:instrText>
      </w:r>
      <w:r w:rsidR="005642CB">
        <w:fldChar w:fldCharType="separate"/>
      </w:r>
      <w:r w:rsidR="004A080B">
        <w:rPr>
          <w:noProof/>
        </w:rPr>
        <w:t>4</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9</w:t>
      </w:r>
      <w:r w:rsidR="005642CB">
        <w:fldChar w:fldCharType="end"/>
      </w:r>
      <w:bookmarkEnd w:id="73"/>
      <w:r w:rsidRPr="00C3452E">
        <w:t xml:space="preserve"> </w:t>
      </w:r>
      <w:r w:rsidR="00B60156">
        <w:t>–</w:t>
      </w:r>
      <w:r w:rsidRPr="00C3452E">
        <w:t xml:space="preserve"> RIC is consistently the largest provider of concessional loans</w:t>
      </w:r>
      <w:r w:rsidRPr="00C3452E">
        <w:rPr>
          <w:vertAlign w:val="superscript"/>
        </w:rPr>
        <w:t>a</w:t>
      </w:r>
    </w:p>
    <w:p w14:paraId="087C1955" w14:textId="3DE99B7E" w:rsidR="00D7305F" w:rsidRPr="00C3452E" w:rsidRDefault="00D7305F" w:rsidP="00D7305F">
      <w:pPr>
        <w:pStyle w:val="FigureTableSubheading"/>
      </w:pPr>
      <w:r w:rsidRPr="00C3452E">
        <w:t>Unwinding of concessional finance, 2021</w:t>
      </w:r>
      <w:r w:rsidR="00A27F84">
        <w:t>-</w:t>
      </w:r>
      <w:r w:rsidRPr="00C3452E">
        <w:t>22 to 2023</w:t>
      </w:r>
      <w:r w:rsidR="00A27F84">
        <w:t>-</w:t>
      </w:r>
      <w:r w:rsidRPr="00C3452E">
        <w:t>24</w:t>
      </w:r>
    </w:p>
    <w:p w14:paraId="1BE48B5A" w14:textId="073F0E01" w:rsidR="00D7305F" w:rsidRPr="00A972CD" w:rsidRDefault="000E689E" w:rsidP="00A63C65">
      <w:pPr>
        <w:pStyle w:val="BodyText"/>
      </w:pPr>
      <w:r w:rsidRPr="000E689E">
        <w:t xml:space="preserve"> </w:t>
      </w:r>
      <w:r w:rsidRPr="000E689E">
        <w:rPr>
          <w:noProof/>
        </w:rPr>
        <w:drawing>
          <wp:inline distT="0" distB="0" distL="0" distR="0" wp14:anchorId="76EB8360" wp14:editId="0FCDF0A6">
            <wp:extent cx="6077585" cy="2955925"/>
            <wp:effectExtent l="0" t="0" r="0" b="0"/>
            <wp:docPr id="1499665991" name="Picture 33" descr="Figure 4.9 - This figure is a clustered column chart showing the relative unwinding of concessional finance calculated each year for concessional finance entities (excluding Export Finance Australia) from 2021-22 to 2023-24. In years 2021-22, 2022-23 and 2023-24 respectively, the unwind of concessional loans figure for the Clean Energy Finance Corporation was $5.3 million, $4.6 million and $6.2 million; Housing Australia ($21.1 million, $21.4 million and $23.4 million); Northern Australia Infrastructure Fund ($8.7 million, $18.39 million and $26.4 million); Regional Investment Corporation ($74.7 million, $117.4 million and $71.5 m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65991" name="Picture 33" descr="Figure 4.9 - This figure is a clustered column chart showing the relative unwinding of concessional finance calculated each year for concessional finance entities (excluding Export Finance Australia) from 2021-22 to 2023-24. In years 2021-22, 2022-23 and 2023-24 respectively, the unwind of concessional loans figure for the Clean Energy Finance Corporation was $5.3 million, $4.6 million and $6.2 million; Housing Australia ($21.1 million, $21.4 million and $23.4 million); Northern Australia Infrastructure Fund ($8.7 million, $18.39 million and $26.4 million); Regional Investment Corporation ($74.7 million, $117.4 million and $71.5 million).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7585" cy="2955925"/>
                    </a:xfrm>
                    <a:prstGeom prst="rect">
                      <a:avLst/>
                    </a:prstGeom>
                    <a:noFill/>
                    <a:ln>
                      <a:noFill/>
                    </a:ln>
                  </pic:spPr>
                </pic:pic>
              </a:graphicData>
            </a:graphic>
          </wp:inline>
        </w:drawing>
      </w:r>
    </w:p>
    <w:p w14:paraId="29C2BB63" w14:textId="341004C2" w:rsidR="00D7305F" w:rsidRPr="00A972CD" w:rsidRDefault="00D7305F" w:rsidP="003B48FD">
      <w:pPr>
        <w:pStyle w:val="Note"/>
      </w:pPr>
      <w:r w:rsidRPr="00A972CD">
        <w:rPr>
          <w:b/>
          <w:bCs/>
        </w:rPr>
        <w:t>a.</w:t>
      </w:r>
      <w:r w:rsidRPr="00A972CD">
        <w:t xml:space="preserve"> RIC and NAIF unwinds for 2021</w:t>
      </w:r>
      <w:r w:rsidR="00A27F84">
        <w:t>-</w:t>
      </w:r>
      <w:r w:rsidRPr="00A972CD">
        <w:t>22 and 2022</w:t>
      </w:r>
      <w:r w:rsidR="00A27F84">
        <w:t>-</w:t>
      </w:r>
      <w:r w:rsidRPr="00A972CD">
        <w:t xml:space="preserve">23 adjusted from previous TAR reports as per advice from the agencies. </w:t>
      </w:r>
    </w:p>
    <w:p w14:paraId="2E9B8794" w14:textId="0F00BE2A" w:rsidR="00D7305F" w:rsidRDefault="00D7305F" w:rsidP="00D7305F">
      <w:pPr>
        <w:pStyle w:val="Source"/>
        <w:rPr>
          <w:rFonts w:ascii="Arial" w:hAnsi="Arial" w:cs="Arial"/>
        </w:rPr>
      </w:pPr>
      <w:r w:rsidRPr="00C3452E">
        <w:t>Source:</w:t>
      </w:r>
      <w:r w:rsidR="00142EBB">
        <w:t xml:space="preserve"> PC</w:t>
      </w:r>
      <w:r w:rsidRPr="00C3452E">
        <w:rPr>
          <w:rFonts w:ascii="Arial" w:hAnsi="Arial" w:cs="Arial"/>
        </w:rPr>
        <w:t xml:space="preserve"> </w:t>
      </w:r>
      <w:r w:rsidR="00A268F9" w:rsidRPr="00A268F9">
        <w:rPr>
          <w:rFonts w:ascii="Arial" w:hAnsi="Arial" w:cs="Arial"/>
        </w:rPr>
        <w:t>(2023b, p. 35, 2024c, p. 23)</w:t>
      </w:r>
      <w:r w:rsidR="00A65ACB">
        <w:rPr>
          <w:rFonts w:ascii="Arial" w:hAnsi="Arial" w:cs="Arial"/>
        </w:rPr>
        <w:t>,</w:t>
      </w:r>
      <w:r w:rsidRPr="00C3452E">
        <w:rPr>
          <w:rFonts w:ascii="Arial" w:hAnsi="Arial" w:cs="Arial"/>
        </w:rPr>
        <w:t xml:space="preserve"> </w:t>
      </w:r>
      <w:r w:rsidR="00A65ACB">
        <w:rPr>
          <w:rFonts w:ascii="Arial" w:hAnsi="Arial" w:cs="Arial"/>
        </w:rPr>
        <w:t>n</w:t>
      </w:r>
      <w:r w:rsidRPr="00C3452E" w:rsidDel="00E6109F">
        <w:rPr>
          <w:rFonts w:ascii="Arial" w:hAnsi="Arial" w:cs="Arial"/>
        </w:rPr>
        <w:t>umbers for RIC have been adjusted as per advice from the Department of Agriculture, Forestry and Fisheries.</w:t>
      </w:r>
    </w:p>
    <w:p w14:paraId="2CFB3DD9" w14:textId="2ED28AB8" w:rsidR="00A972CD" w:rsidRDefault="00A972CD" w:rsidP="00A972CD">
      <w:pPr>
        <w:pStyle w:val="BodyText"/>
        <w:sectPr w:rsidR="00A972CD" w:rsidSect="00A972CD">
          <w:type w:val="oddPage"/>
          <w:pgSz w:w="11906" w:h="16838" w:code="9"/>
          <w:pgMar w:top="1134" w:right="1134" w:bottom="1134" w:left="1134" w:header="794" w:footer="510" w:gutter="0"/>
          <w:cols w:space="708"/>
          <w:docGrid w:linePitch="360"/>
        </w:sectPr>
      </w:pPr>
    </w:p>
    <w:p w14:paraId="1DC2C342" w14:textId="291F6093" w:rsidR="00A972CD" w:rsidRDefault="00AC3655" w:rsidP="003529F2">
      <w:pPr>
        <w:pStyle w:val="Heading1"/>
      </w:pPr>
      <w:bookmarkStart w:id="74" w:name="_Toc202477859"/>
      <w:r w:rsidRPr="003529F2">
        <w:lastRenderedPageBreak/>
        <w:t>Australian</w:t>
      </w:r>
      <w:r>
        <w:t xml:space="preserve"> f</w:t>
      </w:r>
      <w:r w:rsidR="00A972CD">
        <w:t>oreign investment policy developments</w:t>
      </w:r>
      <w:bookmarkEnd w:id="74"/>
      <w:r w:rsidR="00A972CD">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016A41" w:rsidRPr="002F759A" w14:paraId="71F845CD" w14:textId="77777777" w:rsidTr="00616F0E">
        <w:tc>
          <w:tcPr>
            <w:tcW w:w="9638" w:type="dxa"/>
            <w:gridSpan w:val="2"/>
            <w:shd w:val="clear" w:color="auto" w:fill="E7F6FD"/>
            <w:tcMar>
              <w:left w:w="170" w:type="dxa"/>
            </w:tcMar>
          </w:tcPr>
          <w:p w14:paraId="53C970C6" w14:textId="77777777" w:rsidR="00016A41" w:rsidRPr="002F759A" w:rsidRDefault="00016A41">
            <w:pPr>
              <w:pStyle w:val="Keypoints-heading"/>
            </w:pPr>
            <w:r w:rsidRPr="002F759A">
              <w:t>Key points</w:t>
            </w:r>
          </w:p>
        </w:tc>
      </w:tr>
      <w:tr w:rsidR="00016A41" w14:paraId="4771F98A" w14:textId="77777777" w:rsidTr="00616F0E">
        <w:trPr>
          <w:trHeight w:val="711"/>
        </w:trPr>
        <w:tc>
          <w:tcPr>
            <w:tcW w:w="577" w:type="dxa"/>
            <w:shd w:val="clear" w:color="auto" w:fill="E7F6FD"/>
            <w:tcMar>
              <w:top w:w="0" w:type="dxa"/>
              <w:bottom w:w="0" w:type="dxa"/>
              <w:right w:w="113" w:type="dxa"/>
            </w:tcMar>
          </w:tcPr>
          <w:p w14:paraId="5C9ABC90" w14:textId="77777777" w:rsidR="00016A41" w:rsidRDefault="00016A41" w:rsidP="000C6B77">
            <w:pPr>
              <w:pStyle w:val="KeyPointsicon"/>
            </w:pPr>
            <w:r w:rsidRPr="00A51374">
              <w:rPr>
                <w:noProof/>
              </w:rPr>
              <w:drawing>
                <wp:inline distT="0" distB="0" distL="0" distR="0" wp14:anchorId="446555BA" wp14:editId="7E969D07">
                  <wp:extent cx="180000" cy="180000"/>
                  <wp:effectExtent l="0" t="0" r="0" b="0"/>
                  <wp:docPr id="62624983" name="Graphic 62624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740BA27" w14:textId="77777777" w:rsidR="00016A41" w:rsidRDefault="00016A41" w:rsidP="001C79A3">
            <w:pPr>
              <w:pStyle w:val="KeyPoints-Bold"/>
            </w:pPr>
            <w:r>
              <w:t>The Australian Government progressed reforms to encourage foreign investment in ‘build to rent’ housing and in sectors aligned with ‘Future Made in Australia’, while introducing a temporary ban on foreign persons purchasing established dwellings.</w:t>
            </w:r>
          </w:p>
          <w:p w14:paraId="49323BD7" w14:textId="7E3B1008" w:rsidR="00016A41" w:rsidRPr="004426B9" w:rsidRDefault="00016A41" w:rsidP="00B04756">
            <w:pPr>
              <w:pStyle w:val="KeyPoints-Bullet"/>
            </w:pPr>
            <w:r w:rsidRPr="00C73CFE">
              <w:rPr>
                <w:shd w:val="clear" w:color="auto" w:fill="E7F6FD"/>
              </w:rPr>
              <w:t>A temporary ban on foreign investors purchasing established dwellings is in place from 1 April</w:t>
            </w:r>
            <w:r w:rsidRPr="00C73CFE" w:rsidDel="003374AE">
              <w:rPr>
                <w:shd w:val="clear" w:color="auto" w:fill="E7F6FD"/>
              </w:rPr>
              <w:t xml:space="preserve"> </w:t>
            </w:r>
            <w:r w:rsidRPr="00C73CFE">
              <w:rPr>
                <w:shd w:val="clear" w:color="auto" w:fill="E7F6FD"/>
              </w:rPr>
              <w:t>2025 to 31</w:t>
            </w:r>
            <w:r w:rsidR="00F11E59">
              <w:rPr>
                <w:shd w:val="clear" w:color="auto" w:fill="E7F6FD"/>
              </w:rPr>
              <w:t> </w:t>
            </w:r>
            <w:r w:rsidRPr="00C73CFE">
              <w:rPr>
                <w:shd w:val="clear" w:color="auto" w:fill="E7F6FD"/>
              </w:rPr>
              <w:t>March 2027</w:t>
            </w:r>
            <w:r w:rsidRPr="00591200">
              <w:t>.</w:t>
            </w:r>
          </w:p>
          <w:p w14:paraId="272E807F" w14:textId="77777777" w:rsidR="00016A41" w:rsidRPr="00B04756" w:rsidRDefault="00016A41" w:rsidP="00B04756">
            <w:pPr>
              <w:pStyle w:val="KeyPoints-Bullet"/>
            </w:pPr>
            <w:r w:rsidRPr="00B04756">
              <w:t xml:space="preserve">New laws and policies have been implemented which aim to incentivise foreign investment in the ‘build to rent’ sector through tax concessions and lower foreign investment application fees for these investments. </w:t>
            </w:r>
          </w:p>
          <w:p w14:paraId="3E04565D" w14:textId="77777777" w:rsidR="00016A41" w:rsidRDefault="00016A41" w:rsidP="00B04756">
            <w:pPr>
              <w:pStyle w:val="KeyPoints-Bullet"/>
            </w:pPr>
            <w:r w:rsidRPr="00B04756">
              <w:t>The Australian Government progressed plans to create a ‘Front Door’ for investors in Future Made in Australia aligned sectors.</w:t>
            </w:r>
          </w:p>
        </w:tc>
      </w:tr>
      <w:tr w:rsidR="00016A41" w14:paraId="410F578F" w14:textId="77777777" w:rsidTr="00616F0E">
        <w:tc>
          <w:tcPr>
            <w:tcW w:w="577" w:type="dxa"/>
            <w:shd w:val="clear" w:color="auto" w:fill="E7F6FD"/>
            <w:tcMar>
              <w:top w:w="0" w:type="dxa"/>
              <w:bottom w:w="0" w:type="dxa"/>
              <w:right w:w="113" w:type="dxa"/>
            </w:tcMar>
          </w:tcPr>
          <w:p w14:paraId="7A7EEF1B" w14:textId="77777777" w:rsidR="00016A41" w:rsidRPr="00F31E73" w:rsidRDefault="00016A41" w:rsidP="001C79A3">
            <w:pPr>
              <w:pStyle w:val="KeyPointsicon"/>
              <w:rPr>
                <w:noProof/>
              </w:rPr>
            </w:pPr>
            <w:r w:rsidRPr="00A51374">
              <w:rPr>
                <w:noProof/>
              </w:rPr>
              <w:drawing>
                <wp:inline distT="0" distB="0" distL="0" distR="0" wp14:anchorId="73131B4A" wp14:editId="3F0AC890">
                  <wp:extent cx="180000" cy="180000"/>
                  <wp:effectExtent l="0" t="0" r="0" b="0"/>
                  <wp:docPr id="1980062779" name="Graphic 1980062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2A7E60D" w14:textId="77777777" w:rsidR="00016A41" w:rsidRDefault="00016A41" w:rsidP="001C79A3">
            <w:pPr>
              <w:pStyle w:val="KeyPoints-Bold"/>
            </w:pPr>
            <w:r>
              <w:t>The value of foreign investment approvals increased despite a fall in the number of applications.</w:t>
            </w:r>
          </w:p>
          <w:p w14:paraId="2E317BAE" w14:textId="5191C979" w:rsidR="00016A41" w:rsidRPr="00B04756" w:rsidRDefault="00016A41" w:rsidP="00B04756">
            <w:pPr>
              <w:pStyle w:val="KeyPoints-Bullet"/>
            </w:pPr>
            <w:r w:rsidRPr="00B04756">
              <w:t>In 2023</w:t>
            </w:r>
            <w:r w:rsidR="00A27F84" w:rsidRPr="00B04756">
              <w:t>-</w:t>
            </w:r>
            <w:r w:rsidRPr="00B04756">
              <w:t>24, the value of commercial foreign investment approvals grew to $187 billion, up from $173 billion.</w:t>
            </w:r>
          </w:p>
          <w:p w14:paraId="3B629EE6" w14:textId="77777777" w:rsidR="00016A41" w:rsidRPr="00B04756" w:rsidRDefault="00016A41" w:rsidP="00B04756">
            <w:pPr>
              <w:pStyle w:val="KeyPoints-Bullet"/>
            </w:pPr>
            <w:r w:rsidRPr="00B04756">
              <w:t>Most foreign investment approvals are subject to conditions.</w:t>
            </w:r>
          </w:p>
          <w:p w14:paraId="5176AB7B" w14:textId="7E2F9038" w:rsidR="00016A41" w:rsidRPr="006239E2" w:rsidRDefault="00016A41" w:rsidP="00B04756">
            <w:pPr>
              <w:pStyle w:val="KeyPoints-Bullet"/>
              <w:rPr>
                <w:spacing w:val="-4"/>
              </w:rPr>
            </w:pPr>
            <w:r w:rsidRPr="006239E2">
              <w:rPr>
                <w:spacing w:val="-4"/>
              </w:rPr>
              <w:t>The number of investment approvals fell by 13.8% over the last year, from a high of 7,891 in 2022</w:t>
            </w:r>
            <w:r w:rsidR="00A27F84" w:rsidRPr="006239E2">
              <w:rPr>
                <w:spacing w:val="-4"/>
              </w:rPr>
              <w:t>-</w:t>
            </w:r>
            <w:r w:rsidRPr="006239E2">
              <w:rPr>
                <w:spacing w:val="-4"/>
              </w:rPr>
              <w:t>23 to 6,805 in 2023</w:t>
            </w:r>
            <w:r w:rsidR="00A27F84" w:rsidRPr="006239E2">
              <w:rPr>
                <w:spacing w:val="-4"/>
              </w:rPr>
              <w:t>-</w:t>
            </w:r>
            <w:r w:rsidRPr="006239E2">
              <w:rPr>
                <w:spacing w:val="-4"/>
              </w:rPr>
              <w:t>24. This decrease is almost entirely attributable to a fall in the number of residential real estate approvals.</w:t>
            </w:r>
            <w:r w:rsidRPr="006239E2" w:rsidDel="00AF0B33">
              <w:rPr>
                <w:spacing w:val="-4"/>
              </w:rPr>
              <w:t xml:space="preserve"> </w:t>
            </w:r>
          </w:p>
          <w:p w14:paraId="509D63ED" w14:textId="77777777" w:rsidR="00016A41" w:rsidRDefault="00016A41" w:rsidP="00B04756">
            <w:pPr>
              <w:pStyle w:val="KeyPoints-Bullet"/>
            </w:pPr>
            <w:r w:rsidRPr="00B04756">
              <w:t>Residential real estate approvals have made up most of the number of applications over the past eight years (average ~83%), but a tiny portion of foreign investment overall by value (average 6%).</w:t>
            </w:r>
          </w:p>
        </w:tc>
      </w:tr>
      <w:tr w:rsidR="00016A41" w14:paraId="6C08FCEA" w14:textId="77777777" w:rsidTr="00616F0E">
        <w:tc>
          <w:tcPr>
            <w:tcW w:w="577" w:type="dxa"/>
            <w:shd w:val="clear" w:color="auto" w:fill="E7F6FD"/>
            <w:tcMar>
              <w:top w:w="0" w:type="dxa"/>
              <w:bottom w:w="0" w:type="dxa"/>
              <w:right w:w="113" w:type="dxa"/>
            </w:tcMar>
          </w:tcPr>
          <w:p w14:paraId="049EE856" w14:textId="77777777" w:rsidR="00016A41" w:rsidRPr="00A51374" w:rsidRDefault="00016A41" w:rsidP="000C6B77">
            <w:pPr>
              <w:pStyle w:val="KeyPointsicon"/>
            </w:pPr>
            <w:r w:rsidRPr="00F31E73">
              <w:rPr>
                <w:noProof/>
              </w:rPr>
              <w:drawing>
                <wp:inline distT="0" distB="0" distL="0" distR="0" wp14:anchorId="1BBD1EB2" wp14:editId="414F5919">
                  <wp:extent cx="180000" cy="180000"/>
                  <wp:effectExtent l="0" t="0" r="0" b="0"/>
                  <wp:docPr id="1699599745" name="Graphic 1699599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F43E77C" w14:textId="40305858" w:rsidR="00016A41" w:rsidRDefault="00016A41" w:rsidP="001C79A3">
            <w:pPr>
              <w:pStyle w:val="KeyPoints-Bold"/>
            </w:pPr>
            <w:r>
              <w:t xml:space="preserve">Australia’s international investment position </w:t>
            </w:r>
            <w:r w:rsidRPr="00C25D27">
              <w:t>grew</w:t>
            </w:r>
            <w:r w:rsidR="00C6248F">
              <w:t>,</w:t>
            </w:r>
            <w:r w:rsidR="0031672D">
              <w:t xml:space="preserve"> </w:t>
            </w:r>
            <w:r w:rsidRPr="00C25D27">
              <w:t>based</w:t>
            </w:r>
            <w:r>
              <w:t xml:space="preserve"> the </w:t>
            </w:r>
            <w:r w:rsidRPr="00C25D27">
              <w:t>ABS’s data on flows</w:t>
            </w:r>
            <w:r>
              <w:t xml:space="preserve"> of </w:t>
            </w:r>
            <w:r w:rsidRPr="00C25D27">
              <w:t>investment</w:t>
            </w:r>
            <w:r>
              <w:t>.</w:t>
            </w:r>
          </w:p>
          <w:p w14:paraId="4B145B62" w14:textId="52F6E2C5" w:rsidR="00016A41" w:rsidRPr="00B04756" w:rsidRDefault="00016A41" w:rsidP="00B04756">
            <w:pPr>
              <w:pStyle w:val="KeyPoints-Bullet"/>
            </w:pPr>
            <w:r w:rsidRPr="00B04756">
              <w:t>The increasing international investment position was driven by</w:t>
            </w:r>
            <w:r w:rsidRPr="00B04756" w:rsidDel="001B01C8">
              <w:t xml:space="preserve"> </w:t>
            </w:r>
            <w:r w:rsidRPr="00B04756">
              <w:t xml:space="preserve">Australia’s growing net asset position in equity, which increased from 14.7% to 27% of GDP over 2024. The superannuation sector is the main holder in Australia of international equities and is a key driver </w:t>
            </w:r>
            <w:r w:rsidR="007829A9" w:rsidRPr="00B04756">
              <w:t xml:space="preserve">of </w:t>
            </w:r>
            <w:r w:rsidRPr="00B04756">
              <w:t>this underlying trend.</w:t>
            </w:r>
          </w:p>
          <w:p w14:paraId="6702A88C" w14:textId="1F4DD557" w:rsidR="00016A41" w:rsidRPr="00610627" w:rsidRDefault="00016A41" w:rsidP="00B04756">
            <w:pPr>
              <w:pStyle w:val="KeyPoints-Bullet"/>
            </w:pPr>
            <w:r w:rsidRPr="00B04756">
              <w:t xml:space="preserve">Net foreign debt </w:t>
            </w:r>
            <w:r w:rsidR="00375119" w:rsidRPr="00B04756">
              <w:t xml:space="preserve">had </w:t>
            </w:r>
            <w:r w:rsidRPr="00B04756">
              <w:t xml:space="preserve">risen to 51% of GDP at the end of 2024 compared </w:t>
            </w:r>
            <w:r w:rsidR="00CF30CC" w:rsidRPr="00B04756">
              <w:t xml:space="preserve">with </w:t>
            </w:r>
            <w:r w:rsidRPr="00B04756">
              <w:t>45.9% at the end of 2023.</w:t>
            </w:r>
          </w:p>
        </w:tc>
      </w:tr>
      <w:tr w:rsidR="00016A41" w14:paraId="74121C7C" w14:textId="77777777" w:rsidTr="00616F0E">
        <w:tc>
          <w:tcPr>
            <w:tcW w:w="577" w:type="dxa"/>
            <w:shd w:val="clear" w:color="auto" w:fill="E7F6FD"/>
            <w:tcMar>
              <w:top w:w="0" w:type="dxa"/>
              <w:bottom w:w="0" w:type="dxa"/>
              <w:right w:w="113" w:type="dxa"/>
            </w:tcMar>
          </w:tcPr>
          <w:p w14:paraId="2FDB9917" w14:textId="77777777" w:rsidR="00016A41" w:rsidRPr="00A51374" w:rsidRDefault="00016A41" w:rsidP="000C6B77">
            <w:pPr>
              <w:pStyle w:val="KeyPointsicon"/>
            </w:pPr>
            <w:r w:rsidRPr="00A51374">
              <w:rPr>
                <w:noProof/>
              </w:rPr>
              <w:drawing>
                <wp:inline distT="0" distB="0" distL="0" distR="0" wp14:anchorId="1C19E408" wp14:editId="284DD97B">
                  <wp:extent cx="180000" cy="18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68CD968" w14:textId="2C0ECDF7" w:rsidR="00016A41" w:rsidRPr="00C25D27" w:rsidRDefault="00016A41" w:rsidP="001C79A3">
            <w:pPr>
              <w:pStyle w:val="BodyText"/>
              <w:rPr>
                <w:b/>
                <w:sz w:val="18"/>
                <w:szCs w:val="18"/>
              </w:rPr>
            </w:pPr>
            <w:r w:rsidRPr="00C25D27">
              <w:rPr>
                <w:b/>
                <w:sz w:val="18"/>
                <w:szCs w:val="18"/>
              </w:rPr>
              <w:t xml:space="preserve">The United States remains the largest source of </w:t>
            </w:r>
            <w:r w:rsidR="00CF30CC">
              <w:rPr>
                <w:b/>
                <w:sz w:val="18"/>
                <w:szCs w:val="18"/>
              </w:rPr>
              <w:t>foreign direct investment (</w:t>
            </w:r>
            <w:r w:rsidRPr="00C25D27">
              <w:rPr>
                <w:b/>
                <w:sz w:val="18"/>
                <w:szCs w:val="18"/>
              </w:rPr>
              <w:t>FDI</w:t>
            </w:r>
            <w:r w:rsidR="00CF30CC">
              <w:rPr>
                <w:b/>
                <w:sz w:val="18"/>
                <w:szCs w:val="18"/>
              </w:rPr>
              <w:t>)</w:t>
            </w:r>
            <w:r w:rsidRPr="00C25D27">
              <w:rPr>
                <w:b/>
                <w:bCs/>
                <w:sz w:val="18"/>
                <w:szCs w:val="18"/>
              </w:rPr>
              <w:t xml:space="preserve"> inbound to Australia</w:t>
            </w:r>
            <w:r w:rsidRPr="00C25D27">
              <w:rPr>
                <w:b/>
                <w:sz w:val="18"/>
                <w:szCs w:val="18"/>
              </w:rPr>
              <w:t xml:space="preserve">, while the mining </w:t>
            </w:r>
            <w:r>
              <w:rPr>
                <w:b/>
                <w:bCs/>
                <w:sz w:val="18"/>
                <w:szCs w:val="18"/>
              </w:rPr>
              <w:t>industry</w:t>
            </w:r>
            <w:r w:rsidRPr="00C25D27">
              <w:rPr>
                <w:b/>
                <w:sz w:val="18"/>
                <w:szCs w:val="18"/>
              </w:rPr>
              <w:t xml:space="preserve"> remains the largest destination for </w:t>
            </w:r>
            <w:r w:rsidRPr="00C25D27">
              <w:rPr>
                <w:b/>
                <w:bCs/>
                <w:sz w:val="18"/>
                <w:szCs w:val="18"/>
              </w:rPr>
              <w:t xml:space="preserve">inbound </w:t>
            </w:r>
            <w:r w:rsidRPr="00C25D27">
              <w:rPr>
                <w:b/>
                <w:sz w:val="18"/>
                <w:szCs w:val="18"/>
              </w:rPr>
              <w:t>FDI.</w:t>
            </w:r>
          </w:p>
          <w:p w14:paraId="347D1A49" w14:textId="77777777" w:rsidR="00016A41" w:rsidRPr="00B04756" w:rsidRDefault="00016A41" w:rsidP="00B04756">
            <w:pPr>
              <w:pStyle w:val="KeyPoints-Bullet"/>
            </w:pPr>
            <w:r w:rsidRPr="00B04756">
              <w:t>The top source countries for inbound FDI continued to be the United States, the United Kingdom, Japan, Canada and China. FDI from these sources was equivalent</w:t>
            </w:r>
            <w:r w:rsidRPr="00B04756" w:rsidDel="007B0B5B">
              <w:t xml:space="preserve"> </w:t>
            </w:r>
            <w:r w:rsidRPr="00B04756">
              <w:t xml:space="preserve">to 24.8% of GDP. </w:t>
            </w:r>
          </w:p>
          <w:p w14:paraId="3E664281" w14:textId="6019C6CF" w:rsidR="00016A41" w:rsidRPr="00610627" w:rsidRDefault="00016A41" w:rsidP="00B04756">
            <w:pPr>
              <w:pStyle w:val="KeyPoints-Bullet"/>
            </w:pPr>
            <w:r>
              <w:t xml:space="preserve">The top </w:t>
            </w:r>
            <w:r w:rsidRPr="00B04756">
              <w:t>destination</w:t>
            </w:r>
            <w:r>
              <w:t xml:space="preserve"> sectors continued to be mining, finance and insurance, and property and business services. </w:t>
            </w:r>
            <w:r w:rsidRPr="00C25D27">
              <w:t xml:space="preserve">Inbound </w:t>
            </w:r>
            <w:r>
              <w:t>FDI in</w:t>
            </w:r>
            <w:r w:rsidR="00CF30CC">
              <w:t>to</w:t>
            </w:r>
            <w:r>
              <w:t xml:space="preserve"> these sectors was equivalent to </w:t>
            </w:r>
            <w:r w:rsidRPr="00C73CFE">
              <w:t>2</w:t>
            </w:r>
            <w:r w:rsidR="00F867B0">
              <w:t>6.</w:t>
            </w:r>
            <w:r w:rsidRPr="00C73CFE">
              <w:t>2</w:t>
            </w:r>
            <w:r>
              <w:t>% of GDP.</w:t>
            </w:r>
          </w:p>
        </w:tc>
      </w:tr>
    </w:tbl>
    <w:p w14:paraId="75DBC824" w14:textId="0AF50F17" w:rsidR="00A972CD" w:rsidRDefault="00A972CD" w:rsidP="00837C7A">
      <w:pPr>
        <w:pStyle w:val="BodyText"/>
      </w:pPr>
      <w:r>
        <w:lastRenderedPageBreak/>
        <w:t xml:space="preserve">As a small open economy, Australia relies on foreign investment to drive economic and productivity growth. It allows for greater investment, increasing the stock of capital available to workers and promoting an efficient allocation of resources. Foreign investment enables the international transfer of knowledge, methods and technology. </w:t>
      </w:r>
      <w:r w:rsidRPr="00C25D27">
        <w:t>In doing so, foreign investors bring valuable advantages to their Australian affiliates, bringing Australia closer to the productivity frontier</w:t>
      </w:r>
      <w:r>
        <w:t xml:space="preserve"> </w:t>
      </w:r>
      <w:r w:rsidRPr="006609ED">
        <w:rPr>
          <w:rFonts w:ascii="Arial" w:hAnsi="Arial" w:cs="Arial"/>
        </w:rPr>
        <w:t>(PC 2020, p. 58)</w:t>
      </w:r>
      <w:r>
        <w:t>.</w:t>
      </w:r>
    </w:p>
    <w:p w14:paraId="0B99FA1A" w14:textId="426732C3" w:rsidR="00A972CD" w:rsidRDefault="00A972CD" w:rsidP="00837C7A">
      <w:pPr>
        <w:pStyle w:val="BodyText"/>
      </w:pPr>
      <w:r>
        <w:t>While beneficial, foreign investment can present policy challenges. Foreign direct investment (FDI), defined as investment allowing foreign influence over domestic firms or assets, can create competition policy issues or national security concerns. As a result,</w:t>
      </w:r>
      <w:r w:rsidDel="0046408C">
        <w:t xml:space="preserve"> </w:t>
      </w:r>
      <w:r w:rsidR="0046408C">
        <w:t>FDI</w:t>
      </w:r>
      <w:r>
        <w:t xml:space="preserve"> is governed by policy frameworks, legislation and regulation</w:t>
      </w:r>
      <w:r w:rsidR="00443B23">
        <w:t>,</w:t>
      </w:r>
      <w:r>
        <w:t xml:space="preserve"> which can address these issues, but also potentially create barriers to productivity</w:t>
      </w:r>
      <w:r w:rsidR="00266271">
        <w:t>-</w:t>
      </w:r>
      <w:r>
        <w:t>enhancing investment.</w:t>
      </w:r>
    </w:p>
    <w:p w14:paraId="2D1C7603" w14:textId="7A678564" w:rsidR="00A972CD" w:rsidRDefault="00A972CD" w:rsidP="00837C7A">
      <w:pPr>
        <w:pStyle w:val="BodyText"/>
      </w:pPr>
      <w:r>
        <w:t xml:space="preserve">Understanding these dynamics is crucial for Australia. Accordingly, the </w:t>
      </w:r>
      <w:r w:rsidR="00EB6D3E">
        <w:t>Trade</w:t>
      </w:r>
      <w:r w:rsidR="00DA6F78">
        <w:t xml:space="preserve"> and Assistance Review (</w:t>
      </w:r>
      <w:r>
        <w:t>TAR</w:t>
      </w:r>
      <w:r w:rsidR="00DA6F78">
        <w:t>)</w:t>
      </w:r>
      <w:r>
        <w:t xml:space="preserve"> monitors </w:t>
      </w:r>
      <w:r w:rsidR="00685CAD">
        <w:t xml:space="preserve">flows of </w:t>
      </w:r>
      <w:r>
        <w:t xml:space="preserve">investment and the policy frameworks affecting those flows. </w:t>
      </w:r>
    </w:p>
    <w:p w14:paraId="37E81E44" w14:textId="3A32C9C8" w:rsidR="00A972CD" w:rsidRPr="00104179" w:rsidRDefault="00A972CD" w:rsidP="00B04756">
      <w:pPr>
        <w:pStyle w:val="Heading2"/>
      </w:pPr>
      <w:bookmarkStart w:id="75" w:name="_Toc202477860"/>
      <w:r>
        <w:t>Changes to foreign investment policy</w:t>
      </w:r>
      <w:bookmarkEnd w:id="75"/>
    </w:p>
    <w:p w14:paraId="5EDDF3FD" w14:textId="77777777" w:rsidR="00A972CD" w:rsidRPr="00576A13" w:rsidRDefault="00A972CD" w:rsidP="00837C7A">
      <w:pPr>
        <w:pStyle w:val="Heading3"/>
      </w:pPr>
      <w:r>
        <w:t>Fifty years of Australian foreign investment policy (1975 to 2025)</w:t>
      </w:r>
    </w:p>
    <w:p w14:paraId="03E61039" w14:textId="581F8608" w:rsidR="00A972CD" w:rsidRDefault="00A972CD" w:rsidP="00837C7A">
      <w:pPr>
        <w:pStyle w:val="BodyText"/>
      </w:pPr>
      <w:r>
        <w:t xml:space="preserve">Since its formalisation through the </w:t>
      </w:r>
      <w:r>
        <w:rPr>
          <w:i/>
          <w:iCs/>
        </w:rPr>
        <w:t>Foreign Acquisitions and Takeovers Act 1975</w:t>
      </w:r>
      <w:r>
        <w:t xml:space="preserve"> (Cth)</w:t>
      </w:r>
      <w:r w:rsidR="003C79CD">
        <w:t xml:space="preserve"> (FATA</w:t>
      </w:r>
      <w:r>
        <w:t>)</w:t>
      </w:r>
      <w:r>
        <w:rPr>
          <w:i/>
        </w:rPr>
        <w:t>,</w:t>
      </w:r>
      <w:r>
        <w:t xml:space="preserve"> Australia’s foreign investment framework has aimed to balance the benefits of foreign investment with the risks of foreign control of Australian assets. Restrictive measures on foreign investment include screening processes, national interest tests and increased scrutiny for entities investing in sensitive areas. </w:t>
      </w:r>
    </w:p>
    <w:p w14:paraId="2C090FFC" w14:textId="68FEC8DC" w:rsidR="00A972CD" w:rsidRDefault="00A972CD" w:rsidP="00837C7A">
      <w:pPr>
        <w:pStyle w:val="BodyText"/>
      </w:pPr>
      <w:r>
        <w:t xml:space="preserve">Restrictions on foreign investment can protect national interests, but they can also be distortionary. </w:t>
      </w:r>
      <w:r w:rsidRPr="00C25D27">
        <w:t xml:space="preserve">For example, </w:t>
      </w:r>
      <w:r w:rsidR="00CE3E6D">
        <w:t>the Productivity Commission</w:t>
      </w:r>
      <w:r>
        <w:t> </w:t>
      </w:r>
      <w:r w:rsidRPr="003B1682">
        <w:rPr>
          <w:rFonts w:ascii="Arial" w:hAnsi="Arial" w:cs="Arial"/>
        </w:rPr>
        <w:t>(2020, pp. 56–57)</w:t>
      </w:r>
      <w:r>
        <w:t xml:space="preserve"> </w:t>
      </w:r>
      <w:r w:rsidRPr="00C25D27">
        <w:t>modelled that increasing Australia’s restrictions on foreign investment to a similar level of restrictiveness as New Zealand would reduce Gross National Income by between $0.8 billion and $7.1 billion (or $82–$731 per household per year).</w:t>
      </w:r>
      <w:r>
        <w:t xml:space="preserve"> </w:t>
      </w:r>
    </w:p>
    <w:p w14:paraId="72B6EFA4" w14:textId="473B9F90" w:rsidR="00A972CD" w:rsidRDefault="00FE52EA" w:rsidP="00837C7A">
      <w:pPr>
        <w:pStyle w:val="BodyText"/>
      </w:pPr>
      <w:r>
        <w:t xml:space="preserve">Figure </w:t>
      </w:r>
      <w:r>
        <w:rPr>
          <w:noProof/>
        </w:rPr>
        <w:t>5</w:t>
      </w:r>
      <w:r>
        <w:t>.</w:t>
      </w:r>
      <w:r>
        <w:rPr>
          <w:noProof/>
        </w:rPr>
        <w:t>1</w:t>
      </w:r>
      <w:r w:rsidR="00A972CD">
        <w:t xml:space="preserve"> provides a brief overview of major reforms in the past five decades and the various measures the Australian Government has introduced which balance restrictiveness and openness to foreign investment</w:t>
      </w:r>
      <w:r w:rsidR="00444D41">
        <w:t>.</w:t>
      </w:r>
    </w:p>
    <w:p w14:paraId="6F145026" w14:textId="2D616053" w:rsidR="00A972CD" w:rsidRPr="00B370A8" w:rsidRDefault="00A972CD" w:rsidP="00A972CD">
      <w:pPr>
        <w:pStyle w:val="ListBullet"/>
      </w:pPr>
      <w:r w:rsidRPr="003A0BF3">
        <w:rPr>
          <w:b/>
        </w:rPr>
        <w:t>Formalisation (1975 to 1985):</w:t>
      </w:r>
      <w:r w:rsidRPr="00B370A8">
        <w:t xml:space="preserve"> foreign investment policy was formalised through </w:t>
      </w:r>
      <w:r w:rsidR="003C79CD">
        <w:rPr>
          <w:iCs/>
        </w:rPr>
        <w:t>FATA</w:t>
      </w:r>
      <w:r w:rsidRPr="00D23D7D">
        <w:rPr>
          <w:rStyle w:val="FootnoteReference"/>
        </w:rPr>
        <w:footnoteReference w:id="31"/>
      </w:r>
      <w:r w:rsidRPr="00F43E0D">
        <w:t xml:space="preserve"> </w:t>
      </w:r>
      <w:r w:rsidR="00F719B5">
        <w:rPr>
          <w:rFonts w:ascii="Arial (Body)" w:hAnsi="Arial (Body)"/>
          <w:color w:val="265A9A"/>
        </w:rPr>
        <w:t>–</w:t>
      </w:r>
      <w:r>
        <w:rPr>
          <w:rFonts w:ascii="Arial (Body)" w:hAnsi="Arial (Body)"/>
          <w:color w:val="265A9A"/>
        </w:rPr>
        <w:t xml:space="preserve"> </w:t>
      </w:r>
      <w:r w:rsidRPr="00B370A8">
        <w:t>this resulted in</w:t>
      </w:r>
      <w:r w:rsidRPr="00F43E0D">
        <w:t xml:space="preserve"> </w:t>
      </w:r>
      <w:r w:rsidRPr="00B370A8">
        <w:t>the establishment of the Foreign Investment Review Board (FIRB) to advise the Treasurer on foreign investment decisions and to administer the new regulatory framework</w:t>
      </w:r>
      <w:r>
        <w:t xml:space="preserve">. </w:t>
      </w:r>
      <w:r w:rsidR="001711A9">
        <w:t>At the time of its establishment,</w:t>
      </w:r>
      <w:r w:rsidRPr="00C25D27">
        <w:t xml:space="preserve"> Australia’s foreign investment regime was more restrictive, with a complex ‘net economic benefits test’ applied</w:t>
      </w:r>
      <w:r w:rsidRPr="00B370A8" w:rsidDel="00166B7C">
        <w:t xml:space="preserve"> </w:t>
      </w:r>
      <w:r w:rsidRPr="00975B0A">
        <w:rPr>
          <w:rFonts w:ascii="Arial" w:hAnsi="Arial" w:cs="Arial"/>
        </w:rPr>
        <w:t>(Treasury 1999, p. 64)</w:t>
      </w:r>
      <w:r w:rsidRPr="00B370A8">
        <w:t>.</w:t>
      </w:r>
      <w:r w:rsidRPr="00B370A8" w:rsidDel="00C64269">
        <w:t xml:space="preserve"> </w:t>
      </w:r>
      <w:r w:rsidRPr="00C25D27">
        <w:t>There was also a</w:t>
      </w:r>
      <w:r>
        <w:t>n</w:t>
      </w:r>
      <w:r w:rsidRPr="00C25D27">
        <w:t xml:space="preserve"> opportunities test, where Australians had to be given the opportunity to buy the asset before a foreign entity could purchase it</w:t>
      </w:r>
      <w:r w:rsidRPr="00B370A8">
        <w:t xml:space="preserve"> </w:t>
      </w:r>
      <w:r w:rsidRPr="00AF15F3">
        <w:rPr>
          <w:rFonts w:ascii="Arial" w:hAnsi="Arial" w:cs="Arial"/>
        </w:rPr>
        <w:t>(FIRB 1988, p. 2)</w:t>
      </w:r>
      <w:r w:rsidRPr="00B370A8">
        <w:t>.</w:t>
      </w:r>
    </w:p>
    <w:p w14:paraId="7953BF75" w14:textId="2B07E560" w:rsidR="00A972CD" w:rsidRPr="00901397" w:rsidRDefault="00A972CD" w:rsidP="00A972CD">
      <w:pPr>
        <w:pStyle w:val="ListBullet"/>
      </w:pPr>
      <w:r w:rsidRPr="003A0BF3">
        <w:rPr>
          <w:b/>
        </w:rPr>
        <w:t>Liberalisation (1985 to 2005):</w:t>
      </w:r>
      <w:r w:rsidRPr="00901397">
        <w:t xml:space="preserve"> restrictions were gradually liberalised in the following decades. </w:t>
      </w:r>
      <w:r w:rsidRPr="00C25D27">
        <w:t xml:space="preserve">The opportunity test was abolished in 1985 and the net benefits test was replaced with a negative national interest test </w:t>
      </w:r>
      <w:r w:rsidR="00F719B5">
        <w:rPr>
          <w:rFonts w:ascii="Arial (Body)" w:hAnsi="Arial (Body)"/>
          <w:color w:val="265A9A"/>
        </w:rPr>
        <w:t>–</w:t>
      </w:r>
      <w:r w:rsidRPr="00C25D27">
        <w:t xml:space="preserve"> which allows foreign investments to proceed unless they can be shown to be contrary to the national interest</w:t>
      </w:r>
      <w:r w:rsidR="00AF4951">
        <w:t xml:space="preserve"> </w:t>
      </w:r>
      <w:r w:rsidR="00AF4951">
        <w:rPr>
          <w:rFonts w:ascii="Arial (Body)" w:hAnsi="Arial (Body)"/>
          <w:color w:val="265A9A"/>
        </w:rPr>
        <w:t>–</w:t>
      </w:r>
      <w:r w:rsidRPr="00C25D27">
        <w:t xml:space="preserve"> meaning economic benefits are automatically assumed </w:t>
      </w:r>
      <w:r w:rsidRPr="00172078">
        <w:rPr>
          <w:rFonts w:ascii="Arial" w:hAnsi="Arial" w:cs="Arial"/>
        </w:rPr>
        <w:t>(FIRB 1988, p. 2; PC 2020, p. 19)</w:t>
      </w:r>
      <w:r w:rsidRPr="00901397">
        <w:t xml:space="preserve">. </w:t>
      </w:r>
      <w:r w:rsidRPr="00C25D27">
        <w:t>The proliferation of preferential trade agreements over the period also facilitated some modest liberalisation in investment</w:t>
      </w:r>
      <w:r w:rsidRPr="00901397">
        <w:t xml:space="preserve"> </w:t>
      </w:r>
      <w:r w:rsidR="0028392B" w:rsidRPr="0028392B">
        <w:rPr>
          <w:rFonts w:ascii="Arial" w:hAnsi="Arial" w:cs="Arial"/>
        </w:rPr>
        <w:t>(PC 2010b, pp. 159–161)</w:t>
      </w:r>
      <w:r w:rsidRPr="00901397">
        <w:t xml:space="preserve">. </w:t>
      </w:r>
    </w:p>
    <w:p w14:paraId="1CE4DCDF" w14:textId="1F91A449" w:rsidR="00A972CD" w:rsidRPr="00901397" w:rsidRDefault="00A972CD" w:rsidP="00A972CD">
      <w:pPr>
        <w:pStyle w:val="ListBullet"/>
      </w:pPr>
      <w:r w:rsidRPr="003A0BF3">
        <w:rPr>
          <w:b/>
        </w:rPr>
        <w:t>Balancing (2005 to 2025):</w:t>
      </w:r>
      <w:r w:rsidRPr="00901397">
        <w:t xml:space="preserve"> </w:t>
      </w:r>
      <w:r>
        <w:t xml:space="preserve">targeted </w:t>
      </w:r>
      <w:r w:rsidRPr="00901397">
        <w:t>reform heightening scrutiny of sensitive sectors</w:t>
      </w:r>
      <w:r w:rsidR="009D4098">
        <w:t xml:space="preserve"> while continuing</w:t>
      </w:r>
      <w:r w:rsidR="00780089">
        <w:t xml:space="preserve"> to focus on maintaining investment attractiveness</w:t>
      </w:r>
      <w:r w:rsidRPr="00901397">
        <w:t>.</w:t>
      </w:r>
      <w:r w:rsidRPr="00901397" w:rsidDel="00B9226A">
        <w:t xml:space="preserve"> </w:t>
      </w:r>
      <w:r w:rsidRPr="00901397">
        <w:t xml:space="preserve">For instance, </w:t>
      </w:r>
      <w:r w:rsidRPr="00C25D27">
        <w:t xml:space="preserve">since 2015 all agricultural land investments need to be listed on a foreign ownership </w:t>
      </w:r>
      <w:r w:rsidRPr="007F4FA7">
        <w:t>register</w:t>
      </w:r>
      <w:r w:rsidR="007F4FA7">
        <w:t xml:space="preserve">. </w:t>
      </w:r>
      <w:r w:rsidRPr="007F4FA7">
        <w:t>Likewise</w:t>
      </w:r>
      <w:r w:rsidR="0091033E">
        <w:t>,</w:t>
      </w:r>
      <w:r w:rsidRPr="00C25D27">
        <w:t xml:space="preserve"> the 2020</w:t>
      </w:r>
      <w:r w:rsidR="00A27F84">
        <w:t>-</w:t>
      </w:r>
      <w:r w:rsidRPr="00C25D27">
        <w:t xml:space="preserve">21 national security test </w:t>
      </w:r>
      <w:r w:rsidRPr="00C25D27">
        <w:lastRenderedPageBreak/>
        <w:t xml:space="preserve">amendments granted the government greater enforcement powers and heightened screening </w:t>
      </w:r>
      <w:r w:rsidR="00605F3E">
        <w:t>rigour</w:t>
      </w:r>
      <w:r w:rsidR="00605F3E" w:rsidRPr="00901397">
        <w:t xml:space="preserve"> </w:t>
      </w:r>
      <w:r w:rsidRPr="00F43E0D">
        <w:t>(FIRB 2021, p. 56)</w:t>
      </w:r>
      <w:r w:rsidRPr="00901397">
        <w:t xml:space="preserve">. </w:t>
      </w:r>
      <w:r w:rsidRPr="00C25D27">
        <w:t>Treasury</w:t>
      </w:r>
      <w:r w:rsidRPr="00C25D27" w:rsidDel="00A30AF1">
        <w:t xml:space="preserve"> </w:t>
      </w:r>
      <w:r w:rsidR="00A30AF1">
        <w:t>has</w:t>
      </w:r>
      <w:r w:rsidR="00A30AF1" w:rsidRPr="00C25D27">
        <w:t xml:space="preserve"> </w:t>
      </w:r>
      <w:r w:rsidRPr="00C25D27">
        <w:t xml:space="preserve">cited </w:t>
      </w:r>
      <w:r w:rsidR="00E744BA">
        <w:t>’</w:t>
      </w:r>
      <w:r w:rsidRPr="00C25D27">
        <w:t>evolving geopolitical risks</w:t>
      </w:r>
      <w:r w:rsidR="00E744BA">
        <w:t>’</w:t>
      </w:r>
      <w:r w:rsidRPr="00C25D27">
        <w:t xml:space="preserve"> as justification for these changes</w:t>
      </w:r>
      <w:r>
        <w:t xml:space="preserve"> </w:t>
      </w:r>
      <w:r w:rsidRPr="00C24553">
        <w:rPr>
          <w:rFonts w:ascii="Arial" w:hAnsi="Arial" w:cs="Arial"/>
        </w:rPr>
        <w:t>(Treasury 2021, p. 16)</w:t>
      </w:r>
      <w:r>
        <w:t xml:space="preserve">. </w:t>
      </w:r>
      <w:r w:rsidRPr="00C25D27">
        <w:t xml:space="preserve">At the same time, efforts have </w:t>
      </w:r>
      <w:r w:rsidR="00D248DF">
        <w:t>focused</w:t>
      </w:r>
      <w:r w:rsidRPr="00C25D27">
        <w:t xml:space="preserve"> on streamlining processes for lower risk proposals</w:t>
      </w:r>
      <w:r w:rsidRPr="00901397">
        <w:t xml:space="preserve"> </w:t>
      </w:r>
      <w:r w:rsidR="0028392B" w:rsidRPr="0028392B">
        <w:rPr>
          <w:rFonts w:ascii="Arial" w:hAnsi="Arial" w:cs="Arial"/>
        </w:rPr>
        <w:t>(PC 2024c, pp. 66–69)</w:t>
      </w:r>
      <w:r w:rsidRPr="00901397">
        <w:t>.</w:t>
      </w:r>
      <w:r w:rsidR="00DB1300">
        <w:t xml:space="preserve"> Further policy changes </w:t>
      </w:r>
      <w:r w:rsidR="00007AA3">
        <w:t>were implemented in 2024</w:t>
      </w:r>
      <w:r w:rsidR="00F82883">
        <w:t xml:space="preserve"> and are discussed in more detail below. </w:t>
      </w:r>
    </w:p>
    <w:p w14:paraId="12FA2A1C" w14:textId="7FA1ACAE" w:rsidR="00A972CD" w:rsidRDefault="00016A41" w:rsidP="006239E2">
      <w:pPr>
        <w:pStyle w:val="FigureTableHeading"/>
      </w:pPr>
      <w:bookmarkStart w:id="76" w:name="_Ref201584817"/>
      <w:r>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1</w:t>
      </w:r>
      <w:r w:rsidR="005642CB">
        <w:fldChar w:fldCharType="end"/>
      </w:r>
      <w:bookmarkEnd w:id="76"/>
      <w:r w:rsidR="00A972CD" w:rsidRPr="00AC60CA">
        <w:t xml:space="preserve"> </w:t>
      </w:r>
      <w:r w:rsidR="00C74A03">
        <w:t>–</w:t>
      </w:r>
      <w:r w:rsidR="00A972CD">
        <w:t xml:space="preserve"> Australia’s foreign investment policy changes to calibrate the balance between restrictiveness and openness</w:t>
      </w:r>
      <w:r w:rsidR="00A972CD" w:rsidRPr="00EC627A">
        <w:rPr>
          <w:vertAlign w:val="superscript"/>
        </w:rPr>
        <w:t>a</w:t>
      </w:r>
      <w:r w:rsidR="00A972CD">
        <w:t xml:space="preserve"> </w:t>
      </w:r>
    </w:p>
    <w:p w14:paraId="222E3882" w14:textId="77F24322" w:rsidR="00A972CD" w:rsidRDefault="00A972CD" w:rsidP="00837C7A">
      <w:pPr>
        <w:pStyle w:val="FigureTableSubheading"/>
        <w:keepLines/>
      </w:pPr>
      <w:r>
        <w:t>Timeline of key foreign investment policy changes</w:t>
      </w:r>
      <w:r w:rsidR="00757269">
        <w:t>,</w:t>
      </w:r>
      <w:r>
        <w:t xml:space="preserve"> 1975</w:t>
      </w:r>
      <w:r w:rsidR="00757269">
        <w:t xml:space="preserve"> to </w:t>
      </w:r>
      <w:r>
        <w:t>2020</w:t>
      </w:r>
    </w:p>
    <w:p w14:paraId="623A9FE0" w14:textId="1AEFF1D6" w:rsidR="00A972CD" w:rsidRDefault="001175E2" w:rsidP="00757269">
      <w:pPr>
        <w:pStyle w:val="BodyText"/>
      </w:pPr>
      <w:r w:rsidRPr="001175E2">
        <w:rPr>
          <w:noProof/>
        </w:rPr>
        <w:drawing>
          <wp:inline distT="0" distB="0" distL="0" distR="0" wp14:anchorId="468E0B58" wp14:editId="2ADF3443">
            <wp:extent cx="6118225" cy="3964940"/>
            <wp:effectExtent l="0" t="0" r="0" b="0"/>
            <wp:docPr id="2124207148" name="Picture 11" descr="Figure 5.1 - This figure shows a timeline of notable foreign investment policies from 1975 to 2025, and colour codes them (red for restrictive policies and blue for opening policies).  &#10;The first decade (1975-1985) contains the ‘net benefit test’ and the ‘opportunity test’ as restrictive policies.  &#10;The second decade (1985-1995) contains ‘foreign purchases of residential real estate – heavily restricted’ as a restrictive policy. It also contains ‘opportunity test discontinued’, ‘benefits test eased’, ‘broad relaxation for foreign investment in rural land, commercial real estate and business’ and ‘negative national interest test’ as opening policies.  &#10;The third decade (1995-2005) contains ‘restrictions for foreign investments in residential real estate relaxed’, preferential trade agreements include US, Thailand and Singapore’ and ‘relaxations for foreign investment in financial services, telecoms, mining, media and aviation’ as opening policies. &#10;The fourth decade (2005-2015) contains ‘foreign investment in real estate restricted’ and ‘state-owned enterprises subject to extra conditions’ as restrictive policies. It also contains ‘preferential trade agreements include Korea, China and Japan’ and ‘investment threshold increased, indexed annually’ as opening policies. &#10;The fifth decade (2015-2025) contains ‘heightened scrutiny for “sensitive” investment areas’, ‘rapidly rising application fees’, introduction of national registers for sensitive foreign owned assets’ and ‘expanded infringement notices, higher civil and criminal penalties’ as restrictive policies. It also contains ‘streamlined process for non-sensitive sectors and priority growth areas’ and ‘further trade agreements’ as opening polic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07148" name="Picture 11" descr="Figure 5.1 - This figure shows a timeline of notable foreign investment policies from 1975 to 2025, and colour codes them (red for restrictive policies and blue for opening policies).  &#10;The first decade (1975-1985) contains the ‘net benefit test’ and the ‘opportunity test’ as restrictive policies.  &#10;The second decade (1985-1995) contains ‘foreign purchases of residential real estate – heavily restricted’ as a restrictive policy. It also contains ‘opportunity test discontinued’, ‘benefits test eased’, ‘broad relaxation for foreign investment in rural land, commercial real estate and business’ and ‘negative national interest test’ as opening policies.  &#10;The third decade (1995-2005) contains ‘restrictions for foreign investments in residential real estate relaxed’, preferential trade agreements include US, Thailand and Singapore’ and ‘relaxations for foreign investment in financial services, telecoms, mining, media and aviation’ as opening policies. &#10;The fourth decade (2005-2015) contains ‘foreign investment in real estate restricted’ and ‘state-owned enterprises subject to extra conditions’ as restrictive policies. It also contains ‘preferential trade agreements include Korea, China and Japan’ and ‘investment threshold increased, indexed annually’ as opening policies. &#10;The fifth decade (2015-2025) contains ‘heightened scrutiny for “sensitive” investment areas’, ‘rapidly rising application fees’, introduction of national registers for sensitive foreign owned assets’ and ‘expanded infringement notices, higher civil and criminal penalties’ as restrictive policies. It also contains ‘streamlined process for non-sensitive sectors and priority growth areas’ and ‘further trade agreements’ as opening policies.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8225" cy="3964940"/>
                    </a:xfrm>
                    <a:prstGeom prst="rect">
                      <a:avLst/>
                    </a:prstGeom>
                    <a:noFill/>
                    <a:ln>
                      <a:noFill/>
                    </a:ln>
                  </pic:spPr>
                </pic:pic>
              </a:graphicData>
            </a:graphic>
          </wp:inline>
        </w:drawing>
      </w:r>
    </w:p>
    <w:p w14:paraId="7E144D9B" w14:textId="6B332DDE" w:rsidR="00A972CD" w:rsidRDefault="00A972CD" w:rsidP="00837C7A">
      <w:pPr>
        <w:pStyle w:val="Note"/>
      </w:pPr>
      <w:r w:rsidRPr="00EC627A">
        <w:rPr>
          <w:b/>
          <w:bCs/>
        </w:rPr>
        <w:t>a</w:t>
      </w:r>
      <w:r w:rsidR="00664A4F">
        <w:rPr>
          <w:b/>
          <w:bCs/>
        </w:rPr>
        <w:t>.</w:t>
      </w:r>
      <w:r>
        <w:t xml:space="preserve"> PC </w:t>
      </w:r>
      <w:r w:rsidRPr="00B71431">
        <w:rPr>
          <w:rFonts w:ascii="Arial" w:hAnsi="Arial" w:cs="Arial"/>
        </w:rPr>
        <w:t>(2020, pp. 111–114)</w:t>
      </w:r>
      <w:r>
        <w:t xml:space="preserve"> provides a more detailed breakdown of recent changes. </w:t>
      </w:r>
    </w:p>
    <w:p w14:paraId="6BF22F76" w14:textId="03595ADF" w:rsidR="00A972CD" w:rsidRDefault="00016A41" w:rsidP="00837C7A">
      <w:pPr>
        <w:pStyle w:val="Source"/>
      </w:pPr>
      <w:r w:rsidRPr="00415101">
        <w:t>Source:</w:t>
      </w:r>
      <w:r w:rsidR="00E744BA">
        <w:t xml:space="preserve"> Evans </w:t>
      </w:r>
      <w:r w:rsidR="00410539" w:rsidRPr="00410539">
        <w:rPr>
          <w:rFonts w:ascii="Arial" w:hAnsi="Arial" w:cs="Arial"/>
        </w:rPr>
        <w:t>(1999, p. 110)</w:t>
      </w:r>
      <w:r w:rsidR="00F45979">
        <w:t xml:space="preserve">, FIRB </w:t>
      </w:r>
      <w:r w:rsidR="00410539" w:rsidRPr="00410539">
        <w:rPr>
          <w:rFonts w:ascii="Arial" w:hAnsi="Arial" w:cs="Arial"/>
        </w:rPr>
        <w:t>(2008, pp. 103–113, 2010, p. 11, 2019, p. 60, 2021, p. 13)</w:t>
      </w:r>
      <w:r w:rsidR="004B1912">
        <w:t xml:space="preserve">, Treasury </w:t>
      </w:r>
      <w:r w:rsidR="00410539" w:rsidRPr="00410539">
        <w:rPr>
          <w:rFonts w:ascii="Arial" w:hAnsi="Arial" w:cs="Arial"/>
        </w:rPr>
        <w:t>(2017, p. 21)</w:t>
      </w:r>
      <w:r w:rsidR="00743F51">
        <w:t>.</w:t>
      </w:r>
    </w:p>
    <w:p w14:paraId="4513C152" w14:textId="77777777" w:rsidR="00A972CD" w:rsidRDefault="00A972CD" w:rsidP="00837C7A">
      <w:pPr>
        <w:pStyle w:val="Heading3"/>
      </w:pPr>
      <w:r>
        <w:t xml:space="preserve">Recent developments in foreign investment policy </w:t>
      </w:r>
    </w:p>
    <w:p w14:paraId="21EC3F95" w14:textId="7029161E" w:rsidR="00A972CD" w:rsidRPr="00901397" w:rsidRDefault="005214AF" w:rsidP="005C3F28">
      <w:pPr>
        <w:pStyle w:val="BodyText"/>
      </w:pPr>
      <w:r>
        <w:t xml:space="preserve">The </w:t>
      </w:r>
      <w:r w:rsidR="00A972CD" w:rsidRPr="00901397">
        <w:t>TAR 2022</w:t>
      </w:r>
      <w:r w:rsidR="00A27F84">
        <w:t>-</w:t>
      </w:r>
      <w:r w:rsidR="00A972CD" w:rsidRPr="00901397">
        <w:t xml:space="preserve">23 </w:t>
      </w:r>
      <w:r w:rsidR="0028392B" w:rsidRPr="0028392B">
        <w:rPr>
          <w:rFonts w:ascii="Arial" w:hAnsi="Arial" w:cs="Arial"/>
        </w:rPr>
        <w:t>(2024c, pp. 66–69)</w:t>
      </w:r>
      <w:r w:rsidR="00A972CD" w:rsidRPr="00901397">
        <w:t xml:space="preserve"> noted three major developments in foreign investment policy</w:t>
      </w:r>
      <w:r w:rsidR="00304C57">
        <w:t>,</w:t>
      </w:r>
      <w:r w:rsidR="00A972CD" w:rsidRPr="00901397">
        <w:t xml:space="preserve"> namely:</w:t>
      </w:r>
    </w:p>
    <w:p w14:paraId="7F4FF3F8" w14:textId="3E5450D0" w:rsidR="00A972CD" w:rsidRPr="00901397" w:rsidRDefault="005C3F28" w:rsidP="00A972CD">
      <w:pPr>
        <w:pStyle w:val="ListBullet"/>
      </w:pPr>
      <w:r>
        <w:t>F</w:t>
      </w:r>
      <w:r w:rsidR="00A972CD" w:rsidRPr="00901397">
        <w:t xml:space="preserve">oreign investment application fees doubled from July 2022 </w:t>
      </w:r>
      <w:r w:rsidR="00A972CD" w:rsidRPr="00D21259">
        <w:rPr>
          <w:rFonts w:ascii="Arial" w:hAnsi="Arial" w:cs="Arial"/>
        </w:rPr>
        <w:t>(Treasury 2023a, p. 233)</w:t>
      </w:r>
      <w:r w:rsidR="00A972CD" w:rsidRPr="00901397">
        <w:t>, with further increases in April 2024 tripling fees for established home purchases and doubling vacancy fees</w:t>
      </w:r>
      <w:r w:rsidR="00A972CD">
        <w:t>.</w:t>
      </w:r>
      <w:r w:rsidR="00A972CD" w:rsidRPr="00901397">
        <w:t xml:space="preserve"> </w:t>
      </w:r>
      <w:r w:rsidR="00A972CD">
        <w:t>D</w:t>
      </w:r>
      <w:r w:rsidR="00A972CD" w:rsidRPr="00901397">
        <w:t>oubled penalties for</w:t>
      </w:r>
      <w:r w:rsidR="00A972CD">
        <w:t xml:space="preserve"> investors that fail to gain prior approval or do not comply with the conditions imposed on the acquisition</w:t>
      </w:r>
      <w:r w:rsidR="00A972CD" w:rsidRPr="00901397" w:rsidDel="006B0412">
        <w:t xml:space="preserve"> </w:t>
      </w:r>
      <w:r w:rsidR="00A972CD" w:rsidRPr="00901397">
        <w:t>from January 2023</w:t>
      </w:r>
      <w:r w:rsidR="00A972CD">
        <w:t xml:space="preserve"> </w:t>
      </w:r>
      <w:r w:rsidR="00A972CD" w:rsidRPr="003F73DD">
        <w:rPr>
          <w:rFonts w:ascii="Arial" w:hAnsi="Arial" w:cs="Arial"/>
        </w:rPr>
        <w:t>(Treasury 2023a, p. 233)</w:t>
      </w:r>
      <w:r w:rsidR="00A972CD">
        <w:t>.</w:t>
      </w:r>
    </w:p>
    <w:p w14:paraId="394F5DD1" w14:textId="4191ED8B" w:rsidR="00A972CD" w:rsidRPr="00901397" w:rsidRDefault="005C3F28" w:rsidP="00A972CD">
      <w:pPr>
        <w:pStyle w:val="ListBullet"/>
      </w:pPr>
      <w:r>
        <w:t>M</w:t>
      </w:r>
      <w:r w:rsidR="00A972CD" w:rsidRPr="00901397">
        <w:t xml:space="preserve">onetary screening thresholds were adjusted following trade agreements with India and the UK </w:t>
      </w:r>
      <w:r w:rsidR="00A972CD" w:rsidRPr="00D21259">
        <w:rPr>
          <w:rFonts w:ascii="Arial" w:hAnsi="Arial" w:cs="Arial"/>
        </w:rPr>
        <w:t>(Treasury 2023a, p. 233)</w:t>
      </w:r>
      <w:r w:rsidR="00871BB5">
        <w:t>.</w:t>
      </w:r>
    </w:p>
    <w:p w14:paraId="34CEE3FB" w14:textId="70C3FAD6" w:rsidR="00016A41" w:rsidRPr="00901397" w:rsidRDefault="005C3F28" w:rsidP="00F33EF0">
      <w:pPr>
        <w:pStyle w:val="ListBullet"/>
      </w:pPr>
      <w:r>
        <w:t>T</w:t>
      </w:r>
      <w:r w:rsidR="00016A41" w:rsidRPr="00901397">
        <w:t>weaks to</w:t>
      </w:r>
      <w:r w:rsidR="00016A41" w:rsidRPr="00901397" w:rsidDel="00631DF8">
        <w:t xml:space="preserve"> </w:t>
      </w:r>
      <w:r w:rsidR="00016A41">
        <w:t>foreign investment framework</w:t>
      </w:r>
      <w:r w:rsidR="00016A41" w:rsidRPr="00901397">
        <w:t xml:space="preserve"> policies and processes </w:t>
      </w:r>
      <w:r w:rsidR="003D6741">
        <w:t>were announced</w:t>
      </w:r>
      <w:r w:rsidR="00016A41" w:rsidRPr="00901397">
        <w:t xml:space="preserve"> in May 2024 to apply heightened scrutiny for high</w:t>
      </w:r>
      <w:r w:rsidR="006565BE">
        <w:t>-</w:t>
      </w:r>
      <w:r w:rsidR="00016A41" w:rsidRPr="00901397">
        <w:t xml:space="preserve">risk proposals while streamlining assessments for lower risk investment proposals </w:t>
      </w:r>
      <w:r w:rsidR="0028392B" w:rsidRPr="0028392B">
        <w:rPr>
          <w:rFonts w:ascii="Arial" w:hAnsi="Arial" w:cs="Arial"/>
        </w:rPr>
        <w:t>(Treasury 2024c, p. 221)</w:t>
      </w:r>
      <w:r w:rsidR="00016A41" w:rsidRPr="00901397">
        <w:t>.</w:t>
      </w:r>
    </w:p>
    <w:p w14:paraId="000CF1D9" w14:textId="06474009" w:rsidR="00016A41" w:rsidRDefault="00016A41" w:rsidP="006E3FA0">
      <w:pPr>
        <w:pStyle w:val="BodyText"/>
        <w:spacing w:line="270" w:lineRule="atLeast"/>
      </w:pPr>
      <w:r>
        <w:lastRenderedPageBreak/>
        <w:t xml:space="preserve">Since </w:t>
      </w:r>
      <w:r w:rsidR="003D6741">
        <w:t>the</w:t>
      </w:r>
      <w:r>
        <w:t xml:space="preserve"> TAR 2022</w:t>
      </w:r>
      <w:r w:rsidR="00A27F84">
        <w:t>-</w:t>
      </w:r>
      <w:r>
        <w:t xml:space="preserve">23, the Australian Government has made further changes to policy settings relevant to foreign investors. </w:t>
      </w:r>
    </w:p>
    <w:p w14:paraId="0BA6C742" w14:textId="5FE7DC89" w:rsidR="00016A41" w:rsidRDefault="00016A41" w:rsidP="006E3FA0">
      <w:pPr>
        <w:pStyle w:val="BodyText"/>
        <w:spacing w:line="270" w:lineRule="atLeast"/>
      </w:pPr>
      <w:r>
        <w:t xml:space="preserve">The Australian Government progressed plans for establishing </w:t>
      </w:r>
      <w:r w:rsidRPr="006E4746">
        <w:t xml:space="preserve">a </w:t>
      </w:r>
      <w:r>
        <w:t>‘</w:t>
      </w:r>
      <w:r w:rsidRPr="006E4746">
        <w:t xml:space="preserve">Front Door' </w:t>
      </w:r>
      <w:r>
        <w:t>to simplify processes for major, transformational investment projects aligned with Future Made in Australia</w:t>
      </w:r>
      <w:r w:rsidRPr="006E4746">
        <w:t xml:space="preserve">. </w:t>
      </w:r>
      <w:r w:rsidR="001D02A2">
        <w:t>This applies</w:t>
      </w:r>
      <w:r>
        <w:t xml:space="preserve"> to international and domestic investors. </w:t>
      </w:r>
      <w:r w:rsidRPr="006E4746">
        <w:t xml:space="preserve">This approach </w:t>
      </w:r>
      <w:r>
        <w:t xml:space="preserve">prioritises certain projects by helping coordinate engagement across government agencies, </w:t>
      </w:r>
      <w:r w:rsidR="003D6741">
        <w:t>helping</w:t>
      </w:r>
      <w:r>
        <w:t xml:space="preserve"> investors navigate regulatory requirements and by connecting proponents with public financing opportunities through Specialist Investment Vehicles</w:t>
      </w:r>
      <w:r w:rsidR="00C061EB">
        <w:t>.</w:t>
      </w:r>
      <w:r w:rsidRPr="00DE4596">
        <w:rPr>
          <w:rStyle w:val="FootnoteReference"/>
        </w:rPr>
        <w:footnoteReference w:id="32"/>
      </w:r>
      <w:r>
        <w:t xml:space="preserve"> Consultation for the Front Door was carried out from September to October 2024 and pilot services are slated to commence from September 2025 </w:t>
      </w:r>
      <w:r w:rsidR="00410539" w:rsidRPr="00410539">
        <w:rPr>
          <w:rFonts w:ascii="Arial" w:hAnsi="Arial" w:cs="Arial"/>
        </w:rPr>
        <w:t>(The Commonwealth of Australia 2024b, p. 15, 2025c, p. 26; Treasury 2024d, p. 1)</w:t>
      </w:r>
      <w:r w:rsidRPr="00C25D27">
        <w:t>.</w:t>
      </w:r>
    </w:p>
    <w:p w14:paraId="1836F603" w14:textId="02AB7695" w:rsidR="00016A41" w:rsidRDefault="00016A41" w:rsidP="006E3FA0">
      <w:pPr>
        <w:pStyle w:val="BodyText"/>
        <w:spacing w:line="270" w:lineRule="atLeast"/>
      </w:pPr>
      <w:r>
        <w:t xml:space="preserve">Treasury’s recent foreign investment fees guidance note provides </w:t>
      </w:r>
      <w:r w:rsidDel="007C4B54">
        <w:t>details for new provisions</w:t>
      </w:r>
      <w:r w:rsidDel="00A2157E">
        <w:t xml:space="preserve"> where foreign investment applicants can have fees refunded </w:t>
      </w:r>
      <w:r>
        <w:t>if they were unsuccessful in competitive bid processes. Under the policy, bidders can choose between a 75% refund or a 100% credit for a subsequent foreign investment application that is made within 24 months of the detailed bid. The policy applies for competitive bid processes only where the outcome is uncertain at the time the bids are made. Some further exclusions and criteria apply, for instance, residential land is not included, even if it is bought at a public auction. Refunds are not automatic and will be made on a case</w:t>
      </w:r>
      <w:r w:rsidR="00200862">
        <w:noBreakHyphen/>
      </w:r>
      <w:r>
        <w:t>by</w:t>
      </w:r>
      <w:r w:rsidR="00200862">
        <w:noBreakHyphen/>
      </w:r>
      <w:r>
        <w:t xml:space="preserve">case basis </w:t>
      </w:r>
      <w:r w:rsidRPr="009A41C9">
        <w:rPr>
          <w:rFonts w:ascii="Arial" w:hAnsi="Arial" w:cs="Arial"/>
        </w:rPr>
        <w:t>(Treasury 2025b, p. 46)</w:t>
      </w:r>
      <w:r>
        <w:t xml:space="preserve">. </w:t>
      </w:r>
    </w:p>
    <w:p w14:paraId="0F8899B8" w14:textId="664EAA82" w:rsidR="00016A41" w:rsidRDefault="00016A41" w:rsidP="006E3FA0">
      <w:pPr>
        <w:pStyle w:val="BodyText"/>
        <w:spacing w:line="270" w:lineRule="atLeast"/>
      </w:pPr>
      <w:r>
        <w:t xml:space="preserve">In November 2024, the Parliament of Australia enacted </w:t>
      </w:r>
      <w:r w:rsidRPr="0014682E">
        <w:rPr>
          <w:i/>
        </w:rPr>
        <w:t xml:space="preserve">Treasury Laws Amendment (Responsible Buy Now Pay Later and Other Measures) </w:t>
      </w:r>
      <w:r w:rsidRPr="004E0FBA">
        <w:rPr>
          <w:i/>
        </w:rPr>
        <w:t>Act</w:t>
      </w:r>
      <w:r w:rsidRPr="0014682E">
        <w:rPr>
          <w:i/>
        </w:rPr>
        <w:t xml:space="preserve"> 2024</w:t>
      </w:r>
      <w:r>
        <w:rPr>
          <w:i/>
        </w:rPr>
        <w:t xml:space="preserve"> </w:t>
      </w:r>
      <w:r w:rsidRPr="004E0FBA">
        <w:t>(Cth)</w:t>
      </w:r>
      <w:r>
        <w:rPr>
          <w:i/>
        </w:rPr>
        <w:t xml:space="preserve">. </w:t>
      </w:r>
      <w:r>
        <w:t>The act contains incentives f</w:t>
      </w:r>
      <w:r w:rsidRPr="00A1758B">
        <w:t xml:space="preserve">or </w:t>
      </w:r>
      <w:r>
        <w:t xml:space="preserve">institutional </w:t>
      </w:r>
      <w:r w:rsidRPr="00A1758B">
        <w:t xml:space="preserve">investors to support the construction of new </w:t>
      </w:r>
      <w:r w:rsidR="00D842AA">
        <w:t>‘</w:t>
      </w:r>
      <w:r w:rsidRPr="00A1758B">
        <w:t>build to rent</w:t>
      </w:r>
      <w:r w:rsidR="00D842AA">
        <w:t>’</w:t>
      </w:r>
      <w:r w:rsidRPr="00A1758B">
        <w:t xml:space="preserve"> developments by increasing the capital works deduction rate to 4</w:t>
      </w:r>
      <w:r>
        <w:t>%</w:t>
      </w:r>
      <w:r w:rsidRPr="00A1758B">
        <w:t xml:space="preserve"> per year and reducing the final withholding tax rate on eligible fund payments from eligible managed investment trust investments to 15</w:t>
      </w:r>
      <w:r>
        <w:t xml:space="preserve">% </w:t>
      </w:r>
      <w:r w:rsidRPr="00BA1A33">
        <w:rPr>
          <w:rFonts w:ascii="Arial" w:hAnsi="Arial" w:cs="Arial"/>
        </w:rPr>
        <w:t>(The Parliament of the Commonwealth of Australia 2024, p. 1)</w:t>
      </w:r>
      <w:r>
        <w:t xml:space="preserve">. </w:t>
      </w:r>
      <w:r w:rsidR="00E83110">
        <w:t>Build to</w:t>
      </w:r>
      <w:r w:rsidDel="00103626">
        <w:t xml:space="preserve"> </w:t>
      </w:r>
      <w:r>
        <w:t>rent developments are multi</w:t>
      </w:r>
      <w:r w:rsidR="00200862">
        <w:noBreakHyphen/>
      </w:r>
      <w:r>
        <w:t>unit buildings, where the units are rented as opposed to sold on the market.</w:t>
      </w:r>
    </w:p>
    <w:p w14:paraId="067DD3D9" w14:textId="50D16F8D" w:rsidR="00016A41" w:rsidRDefault="00016A41" w:rsidP="006E3FA0">
      <w:pPr>
        <w:pStyle w:val="BodyText"/>
        <w:spacing w:line="270" w:lineRule="atLeast"/>
      </w:pPr>
      <w:r>
        <w:t>The Australian Government also</w:t>
      </w:r>
      <w:r w:rsidDel="00E253C7">
        <w:t xml:space="preserve"> </w:t>
      </w:r>
      <w:r w:rsidR="00E253C7">
        <w:t>provides</w:t>
      </w:r>
      <w:r>
        <w:t xml:space="preserve"> concessional application fees to foreign investment applications for new build to rent developments. The concessional treatment would treat land that has or will have a build to rent development as commercial land for fee purposes, if certain conditions are met. Treasury provides the example of a build to rent development on $10 million of residential land. Under the normal fee schedule the development would incur $796,500 in fees; while under the concessional treatment (with land assessed as commercial) it would only incur $14,700 in fees </w:t>
      </w:r>
      <w:r w:rsidRPr="00B07D52">
        <w:rPr>
          <w:rFonts w:ascii="Arial" w:hAnsi="Arial" w:cs="Arial"/>
        </w:rPr>
        <w:t>(Treasury 2025b, pp. 48–49)</w:t>
      </w:r>
      <w:r>
        <w:t xml:space="preserve">. </w:t>
      </w:r>
    </w:p>
    <w:p w14:paraId="2434EF5D" w14:textId="71F51A1C" w:rsidR="00A972CD" w:rsidRDefault="00016A41" w:rsidP="006E3FA0">
      <w:pPr>
        <w:pStyle w:val="BodyText"/>
        <w:spacing w:line="270" w:lineRule="atLeast"/>
      </w:pPr>
      <w:r>
        <w:t>While encouraging investment in build to rent developments; other housing investment is being restricted. On 16 February 2025</w:t>
      </w:r>
      <w:r w:rsidRPr="007F173E">
        <w:t>, the</w:t>
      </w:r>
      <w:r w:rsidRPr="007F173E" w:rsidDel="00640220">
        <w:t xml:space="preserve"> </w:t>
      </w:r>
      <w:r>
        <w:t>Australian Government</w:t>
      </w:r>
      <w:r w:rsidRPr="007F173E">
        <w:t xml:space="preserve"> announced a temporary ban on foreign investors purchasing established homes from </w:t>
      </w:r>
      <w:r>
        <w:t xml:space="preserve">1 </w:t>
      </w:r>
      <w:r w:rsidRPr="007F173E">
        <w:t>April 2025 to 31</w:t>
      </w:r>
      <w:r>
        <w:t xml:space="preserve"> </w:t>
      </w:r>
      <w:r w:rsidRPr="007F173E">
        <w:t xml:space="preserve">March 2027. </w:t>
      </w:r>
      <w:r>
        <w:t>The ban applies to foreign persons, including temporary residents and to foreign</w:t>
      </w:r>
      <w:r w:rsidR="00200862">
        <w:noBreakHyphen/>
      </w:r>
      <w:r>
        <w:t xml:space="preserve">owned companies. </w:t>
      </w:r>
      <w:r w:rsidRPr="00474697">
        <w:t>Some exceptions will be made under the policy, including for investments that significantly increase housing supply or support the availability of housing on a commercial scale</w:t>
      </w:r>
      <w:r>
        <w:rPr>
          <w:i/>
          <w:iCs/>
        </w:rPr>
        <w:t xml:space="preserve"> </w:t>
      </w:r>
      <w:r w:rsidR="00410539" w:rsidRPr="00410539">
        <w:rPr>
          <w:rFonts w:ascii="Arial" w:hAnsi="Arial" w:cs="Arial"/>
        </w:rPr>
        <w:t>(ATO 2025a)</w:t>
      </w:r>
      <w:r>
        <w:t>.</w:t>
      </w:r>
      <w:r w:rsidR="00A972CD">
        <w:t xml:space="preserve"> </w:t>
      </w:r>
    </w:p>
    <w:p w14:paraId="1DCF87AA" w14:textId="1D276C5B" w:rsidR="00A972CD" w:rsidRDefault="00A972CD" w:rsidP="006E3FA0">
      <w:pPr>
        <w:pStyle w:val="BodyText"/>
        <w:spacing w:line="270" w:lineRule="atLeast"/>
      </w:pPr>
      <w:r w:rsidRPr="00C25D27">
        <w:t xml:space="preserve">Treasury and the Australian Tax Office </w:t>
      </w:r>
      <w:r w:rsidR="00DC70E8">
        <w:t>(ATO)</w:t>
      </w:r>
      <w:r w:rsidRPr="00C25D27">
        <w:t xml:space="preserve"> are increasing scrutiny of tax arrangements ‘which pose a risk to revenue to ensure that multinational companies are adhering to Australia’s taxation laws’ </w:t>
      </w:r>
      <w:r w:rsidRPr="00C25D27">
        <w:rPr>
          <w:rFonts w:ascii="Arial" w:hAnsi="Arial" w:cs="Arial"/>
        </w:rPr>
        <w:t>(Treasury 2025a, p. 3)</w:t>
      </w:r>
      <w:r w:rsidRPr="00C25D27">
        <w:t>.</w:t>
      </w:r>
      <w:r w:rsidRPr="00C25D27" w:rsidDel="007030F5">
        <w:t xml:space="preserve"> </w:t>
      </w:r>
      <w:r w:rsidRPr="00FF5C1D">
        <w:t>Treasury</w:t>
      </w:r>
      <w:r>
        <w:t>’s</w:t>
      </w:r>
      <w:r w:rsidRPr="00FF5C1D">
        <w:t xml:space="preserve"> ‘particular focus is on investments that are structured through </w:t>
      </w:r>
      <w:r w:rsidR="007667BB">
        <w:t>effectively</w:t>
      </w:r>
      <w:r w:rsidR="007667BB" w:rsidRPr="00FF5C1D">
        <w:t xml:space="preserve"> </w:t>
      </w:r>
      <w:r w:rsidRPr="00FF5C1D">
        <w:t>low or no tax jurisdictions where there is limited economic activity taking place’</w:t>
      </w:r>
      <w:r>
        <w:t xml:space="preserve"> </w:t>
      </w:r>
      <w:r w:rsidRPr="001E0355">
        <w:rPr>
          <w:rFonts w:ascii="Arial" w:hAnsi="Arial" w:cs="Arial"/>
        </w:rPr>
        <w:t>(Treasury 2025a, p. 10)</w:t>
      </w:r>
      <w:r>
        <w:t xml:space="preserve">. </w:t>
      </w:r>
    </w:p>
    <w:p w14:paraId="3D9453F5" w14:textId="0F1BD573" w:rsidR="00A972CD" w:rsidRDefault="00A972CD" w:rsidP="006E3FA0">
      <w:pPr>
        <w:pStyle w:val="BodyText"/>
        <w:spacing w:line="270" w:lineRule="atLeast"/>
      </w:pPr>
      <w:r>
        <w:t>The Australian Government also</w:t>
      </w:r>
      <w:r w:rsidRPr="000200B2">
        <w:t xml:space="preserve"> announced </w:t>
      </w:r>
      <w:r>
        <w:t xml:space="preserve">increased funding for </w:t>
      </w:r>
      <w:r w:rsidR="004B6BE8">
        <w:t xml:space="preserve">the </w:t>
      </w:r>
      <w:r>
        <w:t xml:space="preserve">ATO and Treasury to enhance compliance activities to target land banking by foreign investors – referring to </w:t>
      </w:r>
      <w:r w:rsidRPr="00C25D27">
        <w:t>‘investors who are acquiring vacant land, not developing it while prices rise and then selling it for a profit’.</w:t>
      </w:r>
      <w:r>
        <w:t xml:space="preserve"> </w:t>
      </w:r>
      <w:r w:rsidR="00016A41" w:rsidRPr="00C25D27">
        <w:t xml:space="preserve">Treasury and the </w:t>
      </w:r>
      <w:r w:rsidR="00090AC6">
        <w:t>ATO</w:t>
      </w:r>
      <w:r w:rsidR="00016A41" w:rsidRPr="00C25D27">
        <w:t xml:space="preserve"> will jointly receive </w:t>
      </w:r>
      <w:r w:rsidR="00016A41">
        <w:t>‘</w:t>
      </w:r>
      <w:r w:rsidR="00016A41" w:rsidRPr="00C25D27">
        <w:t>$8.9 million over four years from 2025</w:t>
      </w:r>
      <w:r w:rsidR="00A27F84">
        <w:t>-</w:t>
      </w:r>
      <w:r w:rsidR="00016A41" w:rsidRPr="00C25D27">
        <w:t>26 and $1.9 million ongoing from 2029</w:t>
      </w:r>
      <w:r w:rsidR="00A27F84">
        <w:t>-</w:t>
      </w:r>
      <w:r w:rsidR="00016A41" w:rsidRPr="00C25D27">
        <w:t xml:space="preserve">30 to implement </w:t>
      </w:r>
      <w:r w:rsidR="00016A41" w:rsidRPr="00C25D27">
        <w:lastRenderedPageBreak/>
        <w:t>an audit program and enhance their compliance approach to target land banking by foreign investors</w:t>
      </w:r>
      <w:r w:rsidR="00016A41">
        <w:t>’</w:t>
      </w:r>
      <w:r w:rsidR="00016A41" w:rsidRPr="00C25D27">
        <w:t xml:space="preserve"> </w:t>
      </w:r>
      <w:r w:rsidR="00410539" w:rsidRPr="00410539">
        <w:rPr>
          <w:rFonts w:ascii="Arial" w:hAnsi="Arial" w:cs="Arial"/>
        </w:rPr>
        <w:t>(O’Neil and Chalmers 2025)</w:t>
      </w:r>
      <w:r w:rsidRPr="00C25D27">
        <w:t>.</w:t>
      </w:r>
    </w:p>
    <w:p w14:paraId="7E65B79D" w14:textId="51F9C8BC" w:rsidR="00A972CD" w:rsidRDefault="00A972CD" w:rsidP="006E3FA0">
      <w:pPr>
        <w:pStyle w:val="BodyText"/>
        <w:spacing w:line="270" w:lineRule="atLeast"/>
      </w:pPr>
      <w:r>
        <w:t>The extent of</w:t>
      </w:r>
      <w:r w:rsidRPr="004169B4">
        <w:t xml:space="preserve"> land banking</w:t>
      </w:r>
      <w:r>
        <w:t xml:space="preserve"> in Australia is unclear.</w:t>
      </w:r>
      <w:r w:rsidRPr="004169B4">
        <w:t xml:space="preserve"> </w:t>
      </w:r>
      <w:r>
        <w:t>In the absence of specific evidence, available data on f</w:t>
      </w:r>
      <w:r w:rsidRPr="004169B4">
        <w:t xml:space="preserve">oreign purchases of vacant land indicate </w:t>
      </w:r>
      <w:r>
        <w:t>the maximum scope of such behaviour</w:t>
      </w:r>
      <w:r w:rsidRPr="00C25D27">
        <w:t>. In 2022</w:t>
      </w:r>
      <w:r w:rsidR="00A27F84">
        <w:t>-</w:t>
      </w:r>
      <w:r w:rsidRPr="00C25D27">
        <w:t>23, foreign purchases of vacant land rose to 16.7% of total residential real estate purchases ($818.3 million) from 16.2% ($631.8 million) in 2021</w:t>
      </w:r>
      <w:r w:rsidR="00A27F84">
        <w:t>-</w:t>
      </w:r>
      <w:r w:rsidRPr="00C25D27">
        <w:t xml:space="preserve">22 </w:t>
      </w:r>
      <w:r w:rsidR="0028392B" w:rsidRPr="0028392B">
        <w:rPr>
          <w:rFonts w:ascii="Arial" w:hAnsi="Arial" w:cs="Arial"/>
        </w:rPr>
        <w:t>(ATO 2024a, p. 3)</w:t>
      </w:r>
      <w:r w:rsidRPr="00C25D27">
        <w:t>.</w:t>
      </w:r>
      <w:r>
        <w:t xml:space="preserve"> While this growth is not evidence of land banking occurring, it suggests that the upper bound for possible land banking is growing modestly. </w:t>
      </w:r>
    </w:p>
    <w:p w14:paraId="1F420B88" w14:textId="7F7A6A7B" w:rsidR="00A972CD" w:rsidRDefault="00A972CD" w:rsidP="00B04756">
      <w:pPr>
        <w:pStyle w:val="Heading2"/>
      </w:pPr>
      <w:bookmarkStart w:id="77" w:name="_Toc140090273"/>
      <w:bookmarkStart w:id="78" w:name="_Toc202477861"/>
      <w:r>
        <w:t>Foreign direct investment applications</w:t>
      </w:r>
      <w:bookmarkEnd w:id="77"/>
      <w:bookmarkEnd w:id="78"/>
    </w:p>
    <w:p w14:paraId="43C11FDF" w14:textId="25261A13" w:rsidR="00A972CD" w:rsidRDefault="00A972CD" w:rsidP="006E3FA0">
      <w:pPr>
        <w:pStyle w:val="BodyText"/>
        <w:spacing w:line="270" w:lineRule="atLeast"/>
      </w:pPr>
      <w:r w:rsidRPr="00D146B0">
        <w:rPr>
          <w:lang w:val="en-US"/>
        </w:rPr>
        <w:t xml:space="preserve">Under the </w:t>
      </w:r>
      <w:r w:rsidR="00855585">
        <w:rPr>
          <w:lang w:val="en-US"/>
        </w:rPr>
        <w:t>f</w:t>
      </w:r>
      <w:r w:rsidRPr="00D146B0">
        <w:rPr>
          <w:lang w:val="en-US"/>
        </w:rPr>
        <w:t xml:space="preserve">oreign </w:t>
      </w:r>
      <w:r w:rsidR="00855585">
        <w:rPr>
          <w:lang w:val="en-US"/>
        </w:rPr>
        <w:t>i</w:t>
      </w:r>
      <w:r w:rsidRPr="00D146B0">
        <w:rPr>
          <w:lang w:val="en-US"/>
        </w:rPr>
        <w:t xml:space="preserve">nvestment </w:t>
      </w:r>
      <w:r w:rsidR="00855585">
        <w:rPr>
          <w:lang w:val="en-US"/>
        </w:rPr>
        <w:t>f</w:t>
      </w:r>
      <w:r w:rsidRPr="00D146B0">
        <w:rPr>
          <w:lang w:val="en-US"/>
        </w:rPr>
        <w:t xml:space="preserve">ramework, the </w:t>
      </w:r>
      <w:r>
        <w:rPr>
          <w:lang w:val="en-US"/>
        </w:rPr>
        <w:t xml:space="preserve">Australian </w:t>
      </w:r>
      <w:r w:rsidRPr="00D146B0">
        <w:rPr>
          <w:lang w:val="en-US"/>
        </w:rPr>
        <w:t>Government reviews foreign investment proposals that meet certain criteria on a risk</w:t>
      </w:r>
      <w:r w:rsidR="00200862">
        <w:rPr>
          <w:lang w:val="en-US"/>
        </w:rPr>
        <w:noBreakHyphen/>
      </w:r>
      <w:r w:rsidRPr="00D146B0">
        <w:rPr>
          <w:lang w:val="en-US"/>
        </w:rPr>
        <w:t>based, case</w:t>
      </w:r>
      <w:r w:rsidR="00200862">
        <w:rPr>
          <w:lang w:val="en-US"/>
        </w:rPr>
        <w:noBreakHyphen/>
      </w:r>
      <w:r w:rsidRPr="00D146B0">
        <w:rPr>
          <w:lang w:val="en-US"/>
        </w:rPr>
        <w:t>by</w:t>
      </w:r>
      <w:r w:rsidR="00200862">
        <w:rPr>
          <w:lang w:val="en-US"/>
        </w:rPr>
        <w:noBreakHyphen/>
      </w:r>
      <w:r w:rsidRPr="00D146B0">
        <w:rPr>
          <w:lang w:val="en-US"/>
        </w:rPr>
        <w:t xml:space="preserve">case basis, </w:t>
      </w:r>
      <w:r w:rsidR="00D71035">
        <w:rPr>
          <w:lang w:val="en-US"/>
        </w:rPr>
        <w:t>to restrict proposals that are not in the national interest</w:t>
      </w:r>
      <w:r w:rsidRPr="00D146B0">
        <w:rPr>
          <w:lang w:val="en-US"/>
        </w:rPr>
        <w:t xml:space="preserve">. </w:t>
      </w:r>
      <w:r>
        <w:rPr>
          <w:lang w:val="en-US"/>
        </w:rPr>
        <w:t>P</w:t>
      </w:r>
      <w:r w:rsidRPr="00D146B0">
        <w:rPr>
          <w:lang w:val="en-US"/>
        </w:rPr>
        <w:t>roposed foreign investments may be screened under a ‘national interest test’ or a narrower ‘national security test’.</w:t>
      </w:r>
      <w:r w:rsidRPr="002F4EA9">
        <w:rPr>
          <w:lang w:val="en-US"/>
        </w:rPr>
        <w:t xml:space="preserve"> </w:t>
      </w:r>
      <w:r w:rsidRPr="00735F0E">
        <w:rPr>
          <w:lang w:val="en-US"/>
        </w:rPr>
        <w:t xml:space="preserve">If </w:t>
      </w:r>
      <w:r>
        <w:rPr>
          <w:lang w:val="en-US"/>
        </w:rPr>
        <w:t xml:space="preserve">the Australian Government believes </w:t>
      </w:r>
      <w:r w:rsidRPr="00735F0E">
        <w:rPr>
          <w:lang w:val="en-US"/>
        </w:rPr>
        <w:t>that a proposed investment is contrary to the national interest or national security, it will not be approved or</w:t>
      </w:r>
      <w:r>
        <w:rPr>
          <w:lang w:val="en-US"/>
        </w:rPr>
        <w:t xml:space="preserve"> there will be conditions applied to it</w:t>
      </w:r>
      <w:r w:rsidRPr="00735F0E">
        <w:rPr>
          <w:lang w:val="en-US"/>
        </w:rPr>
        <w:t>.</w:t>
      </w:r>
      <w:r>
        <w:t xml:space="preserve"> </w:t>
      </w:r>
    </w:p>
    <w:p w14:paraId="62F08214" w14:textId="5DDF3276" w:rsidR="00A972CD" w:rsidRDefault="00791979" w:rsidP="006E3FA0">
      <w:pPr>
        <w:pStyle w:val="BodyText"/>
        <w:spacing w:line="270" w:lineRule="atLeast"/>
      </w:pPr>
      <w:r>
        <w:t xml:space="preserve">Figure </w:t>
      </w:r>
      <w:r>
        <w:rPr>
          <w:noProof/>
        </w:rPr>
        <w:t>5</w:t>
      </w:r>
      <w:r>
        <w:t>.</w:t>
      </w:r>
      <w:r>
        <w:rPr>
          <w:noProof/>
        </w:rPr>
        <w:t>2</w:t>
      </w:r>
      <w:r w:rsidR="00A972CD">
        <w:t xml:space="preserve"> shows the value of foreign investment applications by approval status. The value of foreign investment applications varies year</w:t>
      </w:r>
      <w:r w:rsidR="002A1AD9">
        <w:t>-</w:t>
      </w:r>
      <w:r w:rsidR="00A972CD">
        <w:t>on</w:t>
      </w:r>
      <w:r w:rsidR="002A1AD9">
        <w:t>-</w:t>
      </w:r>
      <w:r w:rsidR="00A972CD">
        <w:t xml:space="preserve">year. </w:t>
      </w:r>
      <w:r w:rsidR="00A972CD" w:rsidRPr="00C25D27">
        <w:t>In 2023</w:t>
      </w:r>
      <w:r w:rsidR="00A27F84">
        <w:t>-</w:t>
      </w:r>
      <w:r w:rsidR="00A972CD" w:rsidRPr="00C25D27">
        <w:t>24, approved foreign investment applications grew to $193.6 billion, up from $181.0 billion the previous year, with both years down from $335 billion in 2021</w:t>
      </w:r>
      <w:r w:rsidR="00A27F84">
        <w:t>-</w:t>
      </w:r>
      <w:r w:rsidR="00A972CD" w:rsidRPr="00C25D27">
        <w:t>22.</w:t>
      </w:r>
      <w:r w:rsidR="00A972CD">
        <w:t xml:space="preserve"> Consistent with previous years, most approved investment is subject to conditions</w:t>
      </w:r>
      <w:r w:rsidR="00A972CD" w:rsidRPr="00C25D27">
        <w:t xml:space="preserve">. These conditions can include requirements for investors to provide audited financial statements or submit to compliance audits. They can also impose board and governance requirements, such as mandating a certain proportion of directors be Australian citizens or permanent residents, or restricting directors from access to potentially sensitive information </w:t>
      </w:r>
      <w:r w:rsidR="00016A41" w:rsidRPr="001C35DC">
        <w:rPr>
          <w:rFonts w:ascii="Arial" w:hAnsi="Arial" w:cs="Arial"/>
        </w:rPr>
        <w:t>(Treasury 2023b, pp. 6–8)</w:t>
      </w:r>
      <w:r w:rsidR="00A972CD" w:rsidRPr="00C25D27">
        <w:t>.</w:t>
      </w:r>
      <w:r w:rsidR="00A972CD">
        <w:t xml:space="preserve"> </w:t>
      </w:r>
      <w:r w:rsidR="00A972CD" w:rsidRPr="00C25D27">
        <w:t>Over 2023</w:t>
      </w:r>
      <w:r w:rsidR="00A27F84">
        <w:t>-</w:t>
      </w:r>
      <w:r w:rsidR="00A972CD" w:rsidRPr="00C25D27">
        <w:t>24, 72% of investment was subject to conditions.</w:t>
      </w:r>
      <w:r w:rsidR="00A972CD">
        <w:t xml:space="preserve"> </w:t>
      </w:r>
    </w:p>
    <w:p w14:paraId="3FBB31D3" w14:textId="19A821EC" w:rsidR="00A972CD" w:rsidRPr="00146382" w:rsidRDefault="00016A41" w:rsidP="006E3FA0">
      <w:pPr>
        <w:pStyle w:val="FigureTableHeading"/>
        <w:rPr>
          <w:vertAlign w:val="superscript"/>
        </w:rPr>
      </w:pPr>
      <w:bookmarkStart w:id="79" w:name="_Ref195177524"/>
      <w:r>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2</w:t>
      </w:r>
      <w:r w:rsidR="005642CB">
        <w:fldChar w:fldCharType="end"/>
      </w:r>
      <w:bookmarkStart w:id="80" w:name="_Ref194563793"/>
      <w:bookmarkEnd w:id="79"/>
      <w:r w:rsidR="00C74A03">
        <w:t xml:space="preserve"> –</w:t>
      </w:r>
      <w:r w:rsidR="00A972CD">
        <w:t xml:space="preserve"> The value of foreign investment applications is variable year</w:t>
      </w:r>
      <w:r w:rsidR="00200862">
        <w:noBreakHyphen/>
      </w:r>
      <w:r w:rsidR="00A972CD">
        <w:t>on</w:t>
      </w:r>
      <w:r w:rsidR="00200862">
        <w:noBreakHyphen/>
      </w:r>
      <w:bookmarkEnd w:id="80"/>
      <w:r w:rsidR="00A972CD">
        <w:t>year</w:t>
      </w:r>
      <w:r w:rsidR="00A972CD" w:rsidRPr="00EC627A">
        <w:rPr>
          <w:vertAlign w:val="superscript"/>
        </w:rPr>
        <w:t>a</w:t>
      </w:r>
    </w:p>
    <w:p w14:paraId="0B734F76" w14:textId="6826E429" w:rsidR="00A972CD" w:rsidRDefault="00A972CD" w:rsidP="00837C7A">
      <w:pPr>
        <w:pStyle w:val="FigureTableSubheading"/>
        <w:keepLines/>
      </w:pPr>
      <w:r>
        <w:t>Value of foreign investment applications; $ billions; 2016</w:t>
      </w:r>
      <w:r w:rsidR="00A27F84">
        <w:t>-</w:t>
      </w:r>
      <w:r>
        <w:t>17 to 2023</w:t>
      </w:r>
      <w:r w:rsidR="00A27F84">
        <w:t>-</w:t>
      </w:r>
      <w:r>
        <w:t>24</w:t>
      </w:r>
    </w:p>
    <w:p w14:paraId="61BC133E" w14:textId="47B767BE" w:rsidR="00A972CD" w:rsidRPr="005550A0" w:rsidRDefault="00B06E08" w:rsidP="00837C7A">
      <w:pPr>
        <w:pStyle w:val="BodyText"/>
      </w:pPr>
      <w:r w:rsidRPr="00B06E08">
        <w:rPr>
          <w:noProof/>
        </w:rPr>
        <w:drawing>
          <wp:inline distT="0" distB="0" distL="0" distR="0" wp14:anchorId="4C1C6B11" wp14:editId="163D16DE">
            <wp:extent cx="6120130" cy="2955925"/>
            <wp:effectExtent l="0" t="0" r="0" b="0"/>
            <wp:docPr id="726819332" name="Picture 12" descr="Figure 5.2 - This figure is a stacked column chart, with different columns for financial years 2015-16 to 2023-24, and billions of dollars on the y-axis. The different segments of the columns are ‘value of foreign investment applications approved without conditions’, ‘value of foreign investment applications approved with conditions’ and ‘value of investment applications rejected and denied. The chart shows variability in the value of applications in each category year-on-year, with ‘approved with conditions’ displaying the most variability in the series. It also only shows ‘rejected and declined’ for years 2016-17 to 2018-19, reflecting FIRB’s decision to stop reporting application re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19332" name="Picture 12" descr="Figure 5.2 - This figure is a stacked column chart, with different columns for financial years 2015-16 to 2023-24, and billions of dollars on the y-axis. The different segments of the columns are ‘value of foreign investment applications approved without conditions’, ‘value of foreign investment applications approved with conditions’ and ‘value of investment applications rejected and denied. The chart shows variability in the value of applications in each category year-on-year, with ‘approved with conditions’ displaying the most variability in the series. It also only shows ‘rejected and declined’ for years 2016-17 to 2018-19, reflecting FIRB’s decision to stop reporting application rejections.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2955925"/>
                    </a:xfrm>
                    <a:prstGeom prst="rect">
                      <a:avLst/>
                    </a:prstGeom>
                    <a:noFill/>
                    <a:ln>
                      <a:noFill/>
                    </a:ln>
                  </pic:spPr>
                </pic:pic>
              </a:graphicData>
            </a:graphic>
          </wp:inline>
        </w:drawing>
      </w:r>
    </w:p>
    <w:p w14:paraId="073B2644" w14:textId="3C35828A" w:rsidR="00A972CD" w:rsidRDefault="00A972CD" w:rsidP="00837C7A">
      <w:pPr>
        <w:pStyle w:val="Note"/>
      </w:pPr>
      <w:r w:rsidRPr="00EC627A">
        <w:rPr>
          <w:b/>
          <w:bCs/>
        </w:rPr>
        <w:t>a</w:t>
      </w:r>
      <w:r w:rsidR="00EB62B6">
        <w:rPr>
          <w:b/>
          <w:bCs/>
        </w:rPr>
        <w:t>.</w:t>
      </w:r>
      <w:r w:rsidDel="00E127BC">
        <w:t xml:space="preserve"> </w:t>
      </w:r>
      <w:r>
        <w:t xml:space="preserve">FIRB </w:t>
      </w:r>
      <w:r w:rsidRPr="00282C34">
        <w:t xml:space="preserve">statistics on foreign investment </w:t>
      </w:r>
      <w:r>
        <w:t xml:space="preserve">approvals </w:t>
      </w:r>
      <w:r w:rsidRPr="00282C34">
        <w:t xml:space="preserve">relate to the administration of foreign investment policy and are substantially different from the ABS statistics </w:t>
      </w:r>
      <w:r>
        <w:t>on</w:t>
      </w:r>
      <w:r w:rsidRPr="00282C34">
        <w:t xml:space="preserve"> foreign investment </w:t>
      </w:r>
      <w:r>
        <w:t xml:space="preserve">detailed </w:t>
      </w:r>
      <w:r w:rsidRPr="00282C34">
        <w:t xml:space="preserve">in </w:t>
      </w:r>
      <w:r>
        <w:t xml:space="preserve">section </w:t>
      </w:r>
      <w:r w:rsidR="00057A1C">
        <w:t>5</w:t>
      </w:r>
      <w:r>
        <w:t>.3</w:t>
      </w:r>
      <w:r w:rsidRPr="00282C34">
        <w:t>.</w:t>
      </w:r>
      <w:r>
        <w:t xml:space="preserve"> These are approvals as opposed to the actual flows of FDI into Australia each year.</w:t>
      </w:r>
    </w:p>
    <w:p w14:paraId="0337B208" w14:textId="420440D5" w:rsidR="00016A41" w:rsidRDefault="00016A41" w:rsidP="001C79A3">
      <w:pPr>
        <w:pStyle w:val="Source"/>
      </w:pPr>
      <w:r w:rsidRPr="00696447">
        <w:t xml:space="preserve">Source: </w:t>
      </w:r>
      <w:r>
        <w:t xml:space="preserve">Treasury </w:t>
      </w:r>
      <w:r w:rsidR="0028392B" w:rsidRPr="0028392B">
        <w:rPr>
          <w:rFonts w:ascii="Arial" w:hAnsi="Arial" w:cs="Arial"/>
        </w:rPr>
        <w:t>(2023a, p. 226, 2024b, p. 223)</w:t>
      </w:r>
      <w:r>
        <w:t xml:space="preserve"> and FIRB </w:t>
      </w:r>
      <w:r w:rsidR="00820F85" w:rsidRPr="00820F85">
        <w:rPr>
          <w:rFonts w:ascii="Arial" w:hAnsi="Arial" w:cs="Arial"/>
        </w:rPr>
        <w:t>(2020, p. 24, 2021, pp. 19–20)</w:t>
      </w:r>
      <w:r>
        <w:t>.</w:t>
      </w:r>
    </w:p>
    <w:p w14:paraId="0AB5A0A5" w14:textId="285BF63F" w:rsidR="00016A41" w:rsidRDefault="00791979" w:rsidP="001C79A3">
      <w:pPr>
        <w:pStyle w:val="BodyText"/>
      </w:pPr>
      <w:r>
        <w:lastRenderedPageBreak/>
        <w:t xml:space="preserve">Figure </w:t>
      </w:r>
      <w:r>
        <w:rPr>
          <w:noProof/>
        </w:rPr>
        <w:t>5</w:t>
      </w:r>
      <w:r>
        <w:t>.</w:t>
      </w:r>
      <w:r>
        <w:rPr>
          <w:noProof/>
        </w:rPr>
        <w:t>3</w:t>
      </w:r>
      <w:r w:rsidR="00016A41">
        <w:t xml:space="preserve"> shows the number of applications and average value of applications over time. While the value of approved investments grew, </w:t>
      </w:r>
      <w:r w:rsidR="00016A41" w:rsidRPr="009A251F">
        <w:t>the number of investment approvals fell by 13.8% over the last year, from 7,891</w:t>
      </w:r>
      <w:r w:rsidR="00D47216">
        <w:t xml:space="preserve"> </w:t>
      </w:r>
      <w:r w:rsidR="00016A41" w:rsidRPr="009A251F">
        <w:t>in 2022</w:t>
      </w:r>
      <w:r w:rsidR="00A27F84">
        <w:t>-</w:t>
      </w:r>
      <w:r w:rsidR="00016A41" w:rsidRPr="009A251F">
        <w:t>23 to 6,805 in 2023</w:t>
      </w:r>
      <w:r w:rsidR="00A27F84">
        <w:t>-</w:t>
      </w:r>
      <w:r w:rsidR="00016A41" w:rsidRPr="009A251F">
        <w:t>24.</w:t>
      </w:r>
      <w:r w:rsidR="00016A41" w:rsidRPr="009A251F" w:rsidDel="00146150">
        <w:t xml:space="preserve"> </w:t>
      </w:r>
      <w:r w:rsidR="00016A41" w:rsidRPr="009A251F">
        <w:t xml:space="preserve">This decrease is almost entirely attributable to </w:t>
      </w:r>
      <w:r w:rsidR="002057BB">
        <w:t xml:space="preserve">the </w:t>
      </w:r>
      <w:r w:rsidR="00016A41" w:rsidRPr="009A251F">
        <w:t xml:space="preserve">995 </w:t>
      </w:r>
      <w:r w:rsidR="00D806FE">
        <w:t>fewer</w:t>
      </w:r>
      <w:r w:rsidR="00D806FE" w:rsidRPr="009A251F">
        <w:t xml:space="preserve"> </w:t>
      </w:r>
      <w:r w:rsidR="00874583">
        <w:t xml:space="preserve">residential </w:t>
      </w:r>
      <w:r w:rsidR="00016A41" w:rsidRPr="009A251F">
        <w:t>approvals in 2023</w:t>
      </w:r>
      <w:r w:rsidR="00A27F84">
        <w:t>-</w:t>
      </w:r>
      <w:r w:rsidR="00016A41" w:rsidRPr="009A251F">
        <w:t xml:space="preserve">24. In general, residential real estate applications make up the bulk of the number of applications, but a minority of the value of applications. </w:t>
      </w:r>
      <w:r w:rsidR="00F128C9">
        <w:t xml:space="preserve">From </w:t>
      </w:r>
      <w:r w:rsidR="002832F2">
        <w:t>2016-17 to 2023-24</w:t>
      </w:r>
      <w:r w:rsidR="0057500C">
        <w:t>,</w:t>
      </w:r>
      <w:r w:rsidR="00016A41" w:rsidRPr="009A251F">
        <w:t xml:space="preserve"> commercial investments accounted for the vast majority (94%) of the value of investments, but only 17% of the number of approvals.</w:t>
      </w:r>
    </w:p>
    <w:p w14:paraId="74E09536" w14:textId="421BC6EC" w:rsidR="00A972CD" w:rsidRPr="00146382" w:rsidRDefault="00016A41" w:rsidP="000540A2">
      <w:pPr>
        <w:pStyle w:val="FigureTableHeading"/>
      </w:pPr>
      <w:bookmarkStart w:id="81" w:name="_Ref199256096"/>
      <w:r>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3</w:t>
      </w:r>
      <w:r w:rsidR="005642CB">
        <w:fldChar w:fldCharType="end"/>
      </w:r>
      <w:bookmarkEnd w:id="81"/>
      <w:r w:rsidR="00A27F84">
        <w:t xml:space="preserve"> </w:t>
      </w:r>
      <w:r w:rsidR="00A972CD">
        <w:t>– In the past nine years the number of applications has declined, while their value has increased</w:t>
      </w:r>
      <w:r w:rsidR="00A972CD" w:rsidRPr="00EC627A">
        <w:rPr>
          <w:vertAlign w:val="superscript"/>
        </w:rPr>
        <w:t>a</w:t>
      </w:r>
    </w:p>
    <w:p w14:paraId="66C91D16" w14:textId="19C647BA" w:rsidR="00A972CD" w:rsidRDefault="00F31A9F" w:rsidP="00837C7A">
      <w:pPr>
        <w:pStyle w:val="FigureTableSubheading"/>
        <w:keepLines/>
      </w:pPr>
      <w:r>
        <w:t>F</w:t>
      </w:r>
      <w:r w:rsidR="00A972CD">
        <w:t>oreign investment applications</w:t>
      </w:r>
      <w:r w:rsidR="00D3720E">
        <w:t>,</w:t>
      </w:r>
      <w:r w:rsidR="00A972CD">
        <w:t xml:space="preserve"> 2016</w:t>
      </w:r>
      <w:r w:rsidR="007E7B1A">
        <w:t>-</w:t>
      </w:r>
      <w:r w:rsidR="00A972CD">
        <w:t>17 to 2023</w:t>
      </w:r>
      <w:r w:rsidR="007E7B1A">
        <w:t>-</w:t>
      </w:r>
      <w:r w:rsidR="00A972CD">
        <w:t>24</w:t>
      </w:r>
    </w:p>
    <w:p w14:paraId="4C6DB5E0" w14:textId="5B156639" w:rsidR="00016A41" w:rsidRDefault="00556BEF" w:rsidP="001C79A3">
      <w:pPr>
        <w:pStyle w:val="Source"/>
      </w:pPr>
      <w:r w:rsidRPr="00556BEF">
        <w:rPr>
          <w:noProof/>
        </w:rPr>
        <w:drawing>
          <wp:inline distT="0" distB="0" distL="0" distR="0" wp14:anchorId="559C3E61" wp14:editId="055635EC">
            <wp:extent cx="6120130" cy="2923540"/>
            <wp:effectExtent l="0" t="0" r="0" b="0"/>
            <wp:docPr id="700864594" name="Picture 1" descr="This figure is a double-axis line chart with two series. The first series is the ‘number of applications approved’ (count data), and the second series is ‘average value of approved applications’ (millions of dollars). The x-axis contains financial years 2015-16 to 2023-24. The chart shows the number of applications falling sharply from 2015-16 (41.4 thousand) to 2018-19 (8.7 thousand) and continuing flatly until 2023-24 (6.8 thousand). The value of applications trended upward from 2015-16 ($5.98 billion) to 2021-22 ($48.6 billion), sharply fell in 2022-23 ($23 billion) and rose to $28.5 billion in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64594" name="Picture 1" descr="This figure is a double-axis line chart with two series. The first series is the ‘number of applications approved’ (count data), and the second series is ‘average value of approved applications’ (millions of dollars). The x-axis contains financial years 2015-16 to 2023-24. The chart shows the number of applications falling sharply from 2015-16 (41.4 thousand) to 2018-19 (8.7 thousand) and continuing flatly until 2023-24 (6.8 thousand). The value of applications trended upward from 2015-16 ($5.98 billion) to 2021-22 ($48.6 billion), sharply fell in 2022-23 ($23 billion) and rose to $28.5 billion in 2023-24.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2923540"/>
                    </a:xfrm>
                    <a:prstGeom prst="rect">
                      <a:avLst/>
                    </a:prstGeom>
                    <a:noFill/>
                    <a:ln>
                      <a:noFill/>
                    </a:ln>
                  </pic:spPr>
                </pic:pic>
              </a:graphicData>
            </a:graphic>
          </wp:inline>
        </w:drawing>
      </w:r>
      <w:r w:rsidR="00016A41" w:rsidRPr="009A251F">
        <w:t xml:space="preserve">Source: </w:t>
      </w:r>
      <w:r w:rsidR="00016A41">
        <w:t xml:space="preserve">Treasury </w:t>
      </w:r>
      <w:r w:rsidR="0028392B" w:rsidRPr="0028392B">
        <w:rPr>
          <w:rFonts w:ascii="Arial" w:hAnsi="Arial" w:cs="Arial"/>
        </w:rPr>
        <w:t>(2023a, p. 226, 2024b, p. 223)</w:t>
      </w:r>
      <w:r w:rsidR="00016A41">
        <w:t xml:space="preserve"> and FIRB </w:t>
      </w:r>
      <w:r w:rsidR="00016A41" w:rsidRPr="00BE2512">
        <w:rPr>
          <w:rFonts w:ascii="Arial" w:hAnsi="Arial" w:cs="Arial"/>
        </w:rPr>
        <w:t>(2020, p. 24, 2021, pp. 19–20)</w:t>
      </w:r>
      <w:r w:rsidR="00016A41">
        <w:t>.</w:t>
      </w:r>
    </w:p>
    <w:p w14:paraId="5F1FEAFD" w14:textId="77777777" w:rsidR="00D81F68" w:rsidRDefault="00A972CD" w:rsidP="00837C7A">
      <w:r>
        <w:t>Understanding the impact of changes in the fee structure or the screening regime since 2021 on FDI approvals is not straightforward,</w:t>
      </w:r>
      <w:r w:rsidR="009F4181" w:rsidRPr="00D23D7D">
        <w:rPr>
          <w:rStyle w:val="FootnoteReference"/>
        </w:rPr>
        <w:footnoteReference w:id="33"/>
      </w:r>
      <w:r>
        <w:t xml:space="preserve"> as the number and size of foreign investment applications can be driven by a wide range of external factors. The frequency of policy adjustments further complicates the ability to isolate the impact of any one specific change. </w:t>
      </w:r>
    </w:p>
    <w:p w14:paraId="27E726E5" w14:textId="5517B352" w:rsidR="00A972CD" w:rsidRPr="0057634C" w:rsidRDefault="00A972CD" w:rsidP="00837C7A">
      <w:r>
        <w:t>Quasi</w:t>
      </w:r>
      <w:r w:rsidR="00200862">
        <w:noBreakHyphen/>
      </w:r>
      <w:r>
        <w:t>experimental econometric techniques with appropriate controls could help evaluate the impact of these reforms. For example, a difference</w:t>
      </w:r>
      <w:r w:rsidR="00200862">
        <w:noBreakHyphen/>
      </w:r>
      <w:r>
        <w:t>in</w:t>
      </w:r>
      <w:r w:rsidR="00200862">
        <w:noBreakHyphen/>
      </w:r>
      <w:r>
        <w:t xml:space="preserve">differences approach could examine changes in the number of applications that triggered the national interest test before the reforms with </w:t>
      </w:r>
      <w:r w:rsidRPr="00EE6159">
        <w:t>the number that trigger</w:t>
      </w:r>
      <w:r>
        <w:t xml:space="preserve"> the test after the reforms. Or it could examine the number of investments from certain countries that are less exposed to the reforms due to trade agreements, compared to those that are</w:t>
      </w:r>
      <w:r w:rsidDel="008166B4">
        <w:t xml:space="preserve"> </w:t>
      </w:r>
      <w:r>
        <w:t>not.</w:t>
      </w:r>
      <w:r w:rsidRPr="00D23D7D">
        <w:rPr>
          <w:rStyle w:val="FootnoteReference"/>
        </w:rPr>
        <w:footnoteReference w:id="34"/>
      </w:r>
      <w:r>
        <w:t xml:space="preserve"> A difference</w:t>
      </w:r>
      <w:r w:rsidR="00200862">
        <w:noBreakHyphen/>
      </w:r>
      <w:r>
        <w:t>in</w:t>
      </w:r>
      <w:r w:rsidR="00200862">
        <w:noBreakHyphen/>
      </w:r>
      <w:r>
        <w:t>difference allows researchers to pinpoint the effect of an intervention by removing the influence of unobserved factors assumed to affect both groups equally. Such approaches cannot be done with publicly reported data</w:t>
      </w:r>
      <w:r w:rsidR="00D81F68">
        <w:t>,</w:t>
      </w:r>
      <w:r>
        <w:t xml:space="preserve"> </w:t>
      </w:r>
      <w:r>
        <w:lastRenderedPageBreak/>
        <w:t xml:space="preserve">however, </w:t>
      </w:r>
      <w:r w:rsidRPr="009A251F">
        <w:t>Treasury have stated they will evaluate the</w:t>
      </w:r>
      <w:r w:rsidRPr="009A251F" w:rsidDel="0099130D">
        <w:t xml:space="preserve"> </w:t>
      </w:r>
      <w:r w:rsidRPr="009A251F">
        <w:t xml:space="preserve">2021 reforms in 2025 </w:t>
      </w:r>
      <w:r w:rsidRPr="009A251F">
        <w:rPr>
          <w:rFonts w:ascii="Arial" w:hAnsi="Arial" w:cs="Arial"/>
        </w:rPr>
        <w:t>(Treasury 2021, p. 3)</w:t>
      </w:r>
      <w:r w:rsidRPr="009A251F">
        <w:t>.</w:t>
      </w:r>
      <w:r>
        <w:t xml:space="preserve"> Such techniques could be employed depending on the scope of the review.</w:t>
      </w:r>
    </w:p>
    <w:p w14:paraId="69CBF4D5" w14:textId="386F0BB4" w:rsidR="00A972CD" w:rsidRDefault="00A972CD" w:rsidP="00B04756">
      <w:pPr>
        <w:pStyle w:val="Heading2"/>
      </w:pPr>
      <w:bookmarkStart w:id="82" w:name="_Toc202477862"/>
      <w:r w:rsidRPr="00B04756">
        <w:t>Trends</w:t>
      </w:r>
      <w:r>
        <w:t xml:space="preserve"> in foreign investment</w:t>
      </w:r>
      <w:bookmarkEnd w:id="82"/>
    </w:p>
    <w:p w14:paraId="507C80D2" w14:textId="77777777" w:rsidR="00A972CD" w:rsidRPr="00F72D0B" w:rsidRDefault="00A972CD" w:rsidP="00837C7A">
      <w:pPr>
        <w:pStyle w:val="Heading3"/>
      </w:pPr>
      <w:r>
        <w:t>Trajectory of Australia’s international investment position</w:t>
      </w:r>
    </w:p>
    <w:p w14:paraId="5366D247" w14:textId="7112567E" w:rsidR="00A972CD" w:rsidRDefault="00791979" w:rsidP="00837C7A">
      <w:pPr>
        <w:pStyle w:val="BodyText"/>
      </w:pPr>
      <w:r>
        <w:t xml:space="preserve">Figure </w:t>
      </w:r>
      <w:r>
        <w:rPr>
          <w:noProof/>
        </w:rPr>
        <w:t>5</w:t>
      </w:r>
      <w:r>
        <w:t>.</w:t>
      </w:r>
      <w:r>
        <w:rPr>
          <w:noProof/>
        </w:rPr>
        <w:t>4</w:t>
      </w:r>
      <w:r w:rsidR="00A972CD">
        <w:t xml:space="preserve"> shows that Australia’s international investment position (foreign assets owned by Australia minus Australian assets owned by foreign investors expressed as ‘debts’)</w:t>
      </w:r>
      <w:r w:rsidR="00A972CD" w:rsidRPr="007220AA">
        <w:rPr>
          <w:rStyle w:val="FootnoteReference"/>
        </w:rPr>
        <w:t xml:space="preserve"> </w:t>
      </w:r>
      <w:r w:rsidR="00A972CD">
        <w:t>is rising.</w:t>
      </w:r>
      <w:r w:rsidR="00A972CD" w:rsidRPr="00D9085D">
        <w:t xml:space="preserve"> </w:t>
      </w:r>
      <w:r w:rsidR="00A01709">
        <w:t>However</w:t>
      </w:r>
      <w:r w:rsidR="0048719D">
        <w:t>,</w:t>
      </w:r>
      <w:r w:rsidR="00A972CD">
        <w:t xml:space="preserve"> the overall investment position remains negative, meaning Australia has a net foreign liability. This means Australia attracts more foreign investment than it invests overseas.</w:t>
      </w:r>
      <w:r w:rsidR="00A972CD" w:rsidRPr="00CE2DA5">
        <w:t xml:space="preserve"> </w:t>
      </w:r>
      <w:r w:rsidR="00A972CD">
        <w:t>While Australia has a net foreign liability overall, the international investment position as a percent</w:t>
      </w:r>
      <w:r w:rsidR="00586EB0">
        <w:t>age</w:t>
      </w:r>
      <w:r w:rsidR="00A972CD">
        <w:t xml:space="preserve"> of GDP has been trending towards zero over the past decade</w:t>
      </w:r>
      <w:r w:rsidR="00A972CD" w:rsidRPr="009A251F">
        <w:t>. At the end of 2024, the total amount Australia owes to the rest of the world – after subtracting what it owns overseas –</w:t>
      </w:r>
      <w:r w:rsidR="002C0960">
        <w:t xml:space="preserve"> </w:t>
      </w:r>
      <w:r w:rsidR="001C1F00">
        <w:t>decreased</w:t>
      </w:r>
      <w:r w:rsidR="001C1F00" w:rsidRPr="009A251F">
        <w:t xml:space="preserve"> </w:t>
      </w:r>
      <w:r w:rsidR="00A972CD" w:rsidRPr="009A251F">
        <w:t xml:space="preserve">to </w:t>
      </w:r>
      <w:r w:rsidR="001E54D0" w:rsidRPr="001E54D0">
        <w:t>−</w:t>
      </w:r>
      <w:r w:rsidR="00A972CD" w:rsidRPr="009A251F">
        <w:t xml:space="preserve">24% of GDP from </w:t>
      </w:r>
      <w:r w:rsidR="001E54D0" w:rsidRPr="001E54D0">
        <w:t>−</w:t>
      </w:r>
      <w:r w:rsidR="00A972CD" w:rsidRPr="009A251F">
        <w:t>31.2% at the end of 2023.</w:t>
      </w:r>
      <w:r w:rsidR="00A972CD" w:rsidRPr="00D23D7D">
        <w:rPr>
          <w:rStyle w:val="FootnoteReference"/>
        </w:rPr>
        <w:footnoteReference w:id="35"/>
      </w:r>
    </w:p>
    <w:p w14:paraId="2A9DCD67" w14:textId="2BCEF9F6" w:rsidR="00A972CD" w:rsidRPr="00146382" w:rsidRDefault="00016A41" w:rsidP="000540A2">
      <w:pPr>
        <w:pStyle w:val="FigureTableHeading"/>
      </w:pPr>
      <w:bookmarkStart w:id="83" w:name="_Ref198905961"/>
      <w:r>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4</w:t>
      </w:r>
      <w:r w:rsidR="005642CB">
        <w:fldChar w:fldCharType="end"/>
      </w:r>
      <w:bookmarkEnd w:id="83"/>
      <w:r w:rsidR="007E7B1A">
        <w:t xml:space="preserve"> </w:t>
      </w:r>
      <w:r w:rsidR="00A972CD">
        <w:t>– Australia’s international investment position is rising</w:t>
      </w:r>
    </w:p>
    <w:p w14:paraId="02DDB992" w14:textId="56B2E27B" w:rsidR="00A972CD" w:rsidRDefault="00A972CD" w:rsidP="00837C7A">
      <w:pPr>
        <w:pStyle w:val="FigureTableSubheading"/>
        <w:keepLines/>
        <w:rPr>
          <w:vertAlign w:val="superscript"/>
        </w:rPr>
      </w:pPr>
      <w:r>
        <w:t xml:space="preserve">International investment position as a proportion of GDP, </w:t>
      </w:r>
      <w:r w:rsidR="007639C2">
        <w:t xml:space="preserve">1 January </w:t>
      </w:r>
      <w:r w:rsidR="00A61CF8">
        <w:t>2000</w:t>
      </w:r>
      <w:r w:rsidR="007639C2">
        <w:t xml:space="preserve"> </w:t>
      </w:r>
      <w:r>
        <w:t>to 31</w:t>
      </w:r>
      <w:r w:rsidR="00DF00BE">
        <w:t> </w:t>
      </w:r>
      <w:r>
        <w:t>December 2024</w:t>
      </w:r>
    </w:p>
    <w:p w14:paraId="0F24BEA7" w14:textId="074841E5" w:rsidR="00A972CD" w:rsidRPr="00F43E0D" w:rsidRDefault="00462704" w:rsidP="00837C7A">
      <w:pPr>
        <w:pStyle w:val="Note"/>
      </w:pPr>
      <w:r w:rsidRPr="00462704">
        <w:rPr>
          <w:noProof/>
        </w:rPr>
        <w:drawing>
          <wp:inline distT="0" distB="0" distL="0" distR="0" wp14:anchorId="1F0BB3C3" wp14:editId="5C25C326">
            <wp:extent cx="6120130" cy="3235325"/>
            <wp:effectExtent l="0" t="0" r="0" b="0"/>
            <wp:docPr id="1072977766" name="Picture 3" descr="Figure 5.4 - This figure is a single line timeseries from the year 2000 to 2024, with proportion of GDP on the y-axis. The series is ‘assets owned by Australia minus assets owned by foreign investors’ and exhibits a flat but slightly downward trend from March of 2000 (-50.3% of GDP) to September of 2016 (-62.6%), then trending upwards to December of 2024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77766" name="Picture 3" descr="Figure 5.4 - This figure is a single line timeseries from the year 2000 to 2024, with proportion of GDP on the y-axis. The series is ‘assets owned by Australia minus assets owned by foreign investors’ and exhibits a flat but slightly downward trend from March of 2000 (-50.3% of GDP) to September of 2016 (-62.6%), then trending upwards to December of 2024 (-24%).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235325"/>
                    </a:xfrm>
                    <a:prstGeom prst="rect">
                      <a:avLst/>
                    </a:prstGeom>
                    <a:noFill/>
                    <a:ln>
                      <a:noFill/>
                    </a:ln>
                  </pic:spPr>
                </pic:pic>
              </a:graphicData>
            </a:graphic>
          </wp:inline>
        </w:drawing>
      </w:r>
      <w:r w:rsidR="00A972CD" w:rsidRPr="00EA7483">
        <w:rPr>
          <w:b/>
          <w:bCs/>
        </w:rPr>
        <w:t xml:space="preserve"> </w:t>
      </w:r>
    </w:p>
    <w:p w14:paraId="0FB2D162" w14:textId="146CAEAE" w:rsidR="00A972CD" w:rsidRDefault="00A972CD" w:rsidP="00837C7A">
      <w:pPr>
        <w:pStyle w:val="Source"/>
      </w:pPr>
      <w:r w:rsidRPr="00696447">
        <w:t xml:space="preserve">Source: </w:t>
      </w:r>
      <w:r w:rsidR="007639C2">
        <w:t>PC</w:t>
      </w:r>
      <w:r>
        <w:t xml:space="preserve"> estimates based on ABS </w:t>
      </w:r>
      <w:r w:rsidR="001F4645" w:rsidRPr="001F4645">
        <w:rPr>
          <w:rFonts w:ascii="Arial" w:hAnsi="Arial" w:cs="Arial"/>
        </w:rPr>
        <w:t>(2025e)</w:t>
      </w:r>
      <w:r w:rsidR="00AB0477">
        <w:t>.</w:t>
      </w:r>
    </w:p>
    <w:p w14:paraId="5A17565F" w14:textId="3D2B2C54" w:rsidR="00A972CD" w:rsidRDefault="00791979" w:rsidP="00837C7A">
      <w:pPr>
        <w:pStyle w:val="BodyText"/>
      </w:pPr>
      <w:r>
        <w:t xml:space="preserve">Figure </w:t>
      </w:r>
      <w:r>
        <w:rPr>
          <w:noProof/>
        </w:rPr>
        <w:t>5</w:t>
      </w:r>
      <w:r>
        <w:t>.</w:t>
      </w:r>
      <w:r>
        <w:rPr>
          <w:noProof/>
        </w:rPr>
        <w:t>5</w:t>
      </w:r>
      <w:r w:rsidR="00A972CD">
        <w:t xml:space="preserve"> decomposes the international investment position into net debt</w:t>
      </w:r>
      <w:r w:rsidR="0010554B">
        <w:t xml:space="preserve"> and net equity</w:t>
      </w:r>
      <w:r w:rsidR="003E2930">
        <w:t>.</w:t>
      </w:r>
      <w:r w:rsidR="00A972CD" w:rsidRPr="00560E11">
        <w:rPr>
          <w:rStyle w:val="FootnoteReference"/>
        </w:rPr>
        <w:footnoteReference w:id="36"/>
      </w:r>
      <w:r w:rsidR="00A972CD">
        <w:t xml:space="preserve"> While Australia’s net debt remains negative as a percent of GDP – meaning it owes more in debt to the world than it is owed – </w:t>
      </w:r>
      <w:r w:rsidR="00A972CD">
        <w:lastRenderedPageBreak/>
        <w:t>it has maintained a positive net equity position as a percent of GDP since 2013. This means Australians own more shares and equities overseas than foreign investors own in Australia.</w:t>
      </w:r>
    </w:p>
    <w:p w14:paraId="4C595613" w14:textId="708CF2BE" w:rsidR="00A972CD" w:rsidRPr="009A251F" w:rsidRDefault="00A972CD" w:rsidP="00837C7A">
      <w:pPr>
        <w:pStyle w:val="BodyText"/>
      </w:pPr>
      <w:r>
        <w:t xml:space="preserve">Australia’s net equity position became positive in 2013 and has continued to climb ever since. </w:t>
      </w:r>
      <w:r w:rsidRPr="009A251F">
        <w:t>At the end of 2024</w:t>
      </w:r>
      <w:r w:rsidR="004A7A71">
        <w:t>,</w:t>
      </w:r>
      <w:r w:rsidRPr="009A251F">
        <w:t xml:space="preserve"> net equity was 27% of GDP, up from 14.7% at the end of 2023. </w:t>
      </w:r>
    </w:p>
    <w:p w14:paraId="1A47EF65" w14:textId="31566C55" w:rsidR="00A972CD" w:rsidRDefault="00A972CD" w:rsidP="00837C7A">
      <w:pPr>
        <w:pStyle w:val="BodyText"/>
      </w:pPr>
      <w:r w:rsidRPr="009A251F">
        <w:t xml:space="preserve">At the same time the net debt position fell to </w:t>
      </w:r>
      <w:r w:rsidR="001E54D0" w:rsidRPr="001E54D0">
        <w:t>−</w:t>
      </w:r>
      <w:r w:rsidRPr="009A251F">
        <w:t xml:space="preserve">51% of GDP by the end of 2024, from </w:t>
      </w:r>
      <w:r w:rsidR="001E54D0" w:rsidRPr="001E54D0">
        <w:t>−</w:t>
      </w:r>
      <w:r w:rsidRPr="009A251F">
        <w:t xml:space="preserve">45.9% the year prior. However, overall, in the past 24 years net debt has been within a band of </w:t>
      </w:r>
      <w:r w:rsidR="001E54D0" w:rsidRPr="001E54D0">
        <w:t>−</w:t>
      </w:r>
      <w:r w:rsidRPr="009A251F">
        <w:t xml:space="preserve">65.3% to </w:t>
      </w:r>
      <w:r w:rsidR="001E54D0" w:rsidRPr="001E54D0">
        <w:t>−</w:t>
      </w:r>
      <w:r w:rsidRPr="009A251F">
        <w:t>39.4% of GDP, without</w:t>
      </w:r>
      <w:r>
        <w:t xml:space="preserve"> </w:t>
      </w:r>
      <w:r w:rsidR="00F31E63">
        <w:t xml:space="preserve">a </w:t>
      </w:r>
      <w:r>
        <w:t xml:space="preserve">clear trend in either direction. </w:t>
      </w:r>
    </w:p>
    <w:p w14:paraId="54B7BD06" w14:textId="3FEC81F6" w:rsidR="00A972CD" w:rsidRPr="00146382" w:rsidRDefault="00016A41" w:rsidP="000540A2">
      <w:pPr>
        <w:pStyle w:val="FigureTableHeading"/>
      </w:pPr>
      <w:bookmarkStart w:id="84" w:name="_Ref198905950"/>
      <w:r>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5</w:t>
      </w:r>
      <w:r w:rsidR="005642CB">
        <w:fldChar w:fldCharType="end"/>
      </w:r>
      <w:bookmarkEnd w:id="84"/>
      <w:r w:rsidR="007E7B1A">
        <w:t xml:space="preserve"> </w:t>
      </w:r>
      <w:r w:rsidR="00A972CD">
        <w:t>– Australia holds more shares in overseas companies, offsetting debt increases</w:t>
      </w:r>
    </w:p>
    <w:p w14:paraId="27DB6606" w14:textId="77777777" w:rsidR="00A972CD" w:rsidRDefault="00A972CD" w:rsidP="00837C7A">
      <w:pPr>
        <w:pStyle w:val="FigureTableSubheading"/>
        <w:keepLines/>
      </w:pPr>
      <w:r>
        <w:t>Net equity and debt positions as a proportion of GDP, to 31 December 2024</w:t>
      </w:r>
    </w:p>
    <w:p w14:paraId="26E5BBAA" w14:textId="7A148F9B" w:rsidR="00A972CD" w:rsidRDefault="00567387" w:rsidP="00837C7A">
      <w:pPr>
        <w:pStyle w:val="BodyText"/>
      </w:pPr>
      <w:r w:rsidRPr="00567387">
        <w:rPr>
          <w:noProof/>
        </w:rPr>
        <w:drawing>
          <wp:inline distT="0" distB="0" distL="0" distR="0" wp14:anchorId="0BE84DBA" wp14:editId="42A186A1">
            <wp:extent cx="6120130" cy="3226435"/>
            <wp:effectExtent l="0" t="0" r="0" b="0"/>
            <wp:docPr id="234496213" name="Picture 6" descr="Figure 5.5 - This figure is a two-line timeseries from the year 2000 to 2024, with proportion of GDP on the y-axis. The first series is ‘net equity position’ and it exhibits a flat but steady upwards trend from 2000 (-10.9% of GDP) to June of 2013 where it first rises above zero (0.31%) and continuing upward to December of 2024 (27%). The second series is ‘net debt position’ and trends downward from March of 2000 (-39.4%) to June of 2016 (-65.3%), continuing flatly to September 2020 (-62.5%), rising steadily to September 2023 (-45.1%), falling again to -51%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96213" name="Picture 6" descr="Figure 5.5 - This figure is a two-line timeseries from the year 2000 to 2024, with proportion of GDP on the y-axis. The first series is ‘net equity position’ and it exhibits a flat but steady upwards trend from 2000 (-10.9% of GDP) to June of 2013 where it first rises above zero (0.31%) and continuing upward to December of 2024 (27%). The second series is ‘net debt position’ and trends downward from March of 2000 (-39.4%) to June of 2016 (-65.3%), continuing flatly to September 2020 (-62.5%), rising steadily to September 2023 (-45.1%), falling again to -51% in December 2024.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3226435"/>
                    </a:xfrm>
                    <a:prstGeom prst="rect">
                      <a:avLst/>
                    </a:prstGeom>
                    <a:noFill/>
                    <a:ln>
                      <a:noFill/>
                    </a:ln>
                  </pic:spPr>
                </pic:pic>
              </a:graphicData>
            </a:graphic>
          </wp:inline>
        </w:drawing>
      </w:r>
    </w:p>
    <w:p w14:paraId="565D272C" w14:textId="0A534E84" w:rsidR="00A972CD" w:rsidRDefault="00A972CD" w:rsidP="00837C7A">
      <w:pPr>
        <w:pStyle w:val="Source"/>
      </w:pPr>
      <w:r w:rsidRPr="00696447">
        <w:t xml:space="preserve">Source: </w:t>
      </w:r>
      <w:r w:rsidR="00436E5A">
        <w:t>PC</w:t>
      </w:r>
      <w:r>
        <w:t xml:space="preserve"> estimates based on ABS </w:t>
      </w:r>
      <w:r w:rsidR="001F4645" w:rsidRPr="001F4645">
        <w:rPr>
          <w:rFonts w:ascii="Arial" w:hAnsi="Arial" w:cs="Arial"/>
        </w:rPr>
        <w:t>(2025e)</w:t>
      </w:r>
      <w:r w:rsidR="00221C74">
        <w:t>.</w:t>
      </w:r>
    </w:p>
    <w:p w14:paraId="4EB4A896" w14:textId="0371998E" w:rsidR="00A972CD" w:rsidRDefault="00791979" w:rsidP="00837C7A">
      <w:pPr>
        <w:pStyle w:val="BodyText"/>
      </w:pPr>
      <w:r>
        <w:t xml:space="preserve">Figure </w:t>
      </w:r>
      <w:r>
        <w:rPr>
          <w:noProof/>
        </w:rPr>
        <w:t>5</w:t>
      </w:r>
      <w:r>
        <w:t>.</w:t>
      </w:r>
      <w:r>
        <w:rPr>
          <w:noProof/>
        </w:rPr>
        <w:t>6</w:t>
      </w:r>
      <w:r w:rsidR="00A972CD">
        <w:t xml:space="preserve"> helps explain Australia’s rising net equity by showing the growth of domestic and international equities as a share of GDP over time. As the major owner of equities, the superannuation sector is a substantial force behind this trend. </w:t>
      </w:r>
      <w:r w:rsidR="00A972CD" w:rsidRPr="009A251F">
        <w:t>By December 2024, international equities held by Australian entities were</w:t>
      </w:r>
      <w:r w:rsidR="00A972CD" w:rsidRPr="00C73CFE">
        <w:t xml:space="preserve"> 28% of GDP, up from 22% at December 2023</w:t>
      </w:r>
      <w:r w:rsidR="00A972CD" w:rsidRPr="009A251F">
        <w:t xml:space="preserve">. Over 2024, the total value of assets held by super funds increased by 12.2% in nominal terms, and by </w:t>
      </w:r>
      <w:r w:rsidR="00A972CD" w:rsidRPr="00C73CFE">
        <w:t>8.1</w:t>
      </w:r>
      <w:r w:rsidR="00A972CD" w:rsidRPr="009A251F">
        <w:t>% as a proportion of GDP.</w:t>
      </w:r>
      <w:r w:rsidR="00A972CD" w:rsidRPr="00A565ED">
        <w:t xml:space="preserve"> </w:t>
      </w:r>
      <w:r w:rsidR="00A972CD" w:rsidRPr="009A251F">
        <w:t>This is partially driven by more funds flowing into the sector as the superannuation guarantee has continued to increase and is legislated to grow to 12% of gross income in mid</w:t>
      </w:r>
      <w:r w:rsidR="00200862">
        <w:noBreakHyphen/>
      </w:r>
      <w:r w:rsidR="00A972CD" w:rsidRPr="009A251F">
        <w:t xml:space="preserve">2025 </w:t>
      </w:r>
      <w:r w:rsidR="00A972CD" w:rsidRPr="009A251F">
        <w:rPr>
          <w:rFonts w:ascii="Arial" w:hAnsi="Arial" w:cs="Arial"/>
        </w:rPr>
        <w:t>(RBA 2023, p. 3)</w:t>
      </w:r>
      <w:r w:rsidR="00A972CD" w:rsidRPr="009A251F">
        <w:t>.</w:t>
      </w:r>
    </w:p>
    <w:p w14:paraId="03B46806" w14:textId="647B2C52" w:rsidR="00A972CD" w:rsidRDefault="00A972CD" w:rsidP="00837C7A">
      <w:pPr>
        <w:pStyle w:val="BodyText"/>
      </w:pPr>
      <w:r>
        <w:t>In recent years</w:t>
      </w:r>
      <w:r w:rsidRPr="009A251F">
        <w:t>, super funds have steadily increased their international equity as a share of total equity holdings – from 17.</w:t>
      </w:r>
      <w:r w:rsidRPr="00C73CFE">
        <w:t>3</w:t>
      </w:r>
      <w:r w:rsidRPr="009A251F">
        <w:t xml:space="preserve">% in 2000 to 26% in 2024. From 2023 </w:t>
      </w:r>
      <w:r w:rsidRPr="00C73CFE">
        <w:t>to</w:t>
      </w:r>
      <w:r w:rsidRPr="009A251F">
        <w:t xml:space="preserve"> 2024</w:t>
      </w:r>
      <w:r w:rsidR="0010576E">
        <w:t>,</w:t>
      </w:r>
      <w:r w:rsidRPr="009A251F">
        <w:t xml:space="preserve"> the proportion of funds invested in international equity </w:t>
      </w:r>
      <w:r w:rsidRPr="00C73CFE">
        <w:t xml:space="preserve">rose from </w:t>
      </w:r>
      <w:r w:rsidRPr="009A251F">
        <w:t xml:space="preserve">22.8% of </w:t>
      </w:r>
      <w:r w:rsidRPr="009A251F" w:rsidDel="00AA3AB9">
        <w:t>GDP</w:t>
      </w:r>
      <w:r w:rsidRPr="00C73CFE">
        <w:t xml:space="preserve"> to 26%</w:t>
      </w:r>
      <w:r w:rsidRPr="009A251F">
        <w:t>.</w:t>
      </w:r>
      <w:r>
        <w:t xml:space="preserve"> </w:t>
      </w:r>
    </w:p>
    <w:p w14:paraId="3B076660" w14:textId="41EE1578" w:rsidR="00A972CD" w:rsidRPr="00146382" w:rsidRDefault="00016A41" w:rsidP="00837C7A">
      <w:pPr>
        <w:pStyle w:val="FigureTableHeading"/>
      </w:pPr>
      <w:bookmarkStart w:id="85" w:name="_Ref198905938"/>
      <w:bookmarkStart w:id="86" w:name="_Ref194563696"/>
      <w:bookmarkStart w:id="87" w:name="_Ref164765828"/>
      <w:bookmarkStart w:id="88" w:name="_Ref195252441"/>
      <w:r>
        <w:lastRenderedPageBreak/>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6</w:t>
      </w:r>
      <w:r w:rsidR="005642CB">
        <w:fldChar w:fldCharType="end"/>
      </w:r>
      <w:bookmarkEnd w:id="85"/>
      <w:bookmarkEnd w:id="86"/>
      <w:bookmarkEnd w:id="87"/>
      <w:bookmarkEnd w:id="88"/>
      <w:r w:rsidR="007E7B1A">
        <w:t xml:space="preserve"> </w:t>
      </w:r>
      <w:r w:rsidR="00A972CD">
        <w:t>– Australia increasingly holds more shares in overseas companies</w:t>
      </w:r>
      <w:r w:rsidR="00A972CD" w:rsidRPr="00EC627A">
        <w:rPr>
          <w:vertAlign w:val="superscript"/>
        </w:rPr>
        <w:t>a</w:t>
      </w:r>
    </w:p>
    <w:p w14:paraId="25EF538F" w14:textId="77777777" w:rsidR="00A972CD" w:rsidRDefault="00A972CD" w:rsidP="00837C7A">
      <w:pPr>
        <w:pStyle w:val="FigureTableSubheading"/>
        <w:keepLines/>
      </w:pPr>
      <w:r>
        <w:t>Gross assets as a proportion of GDP, quarterly data to 31 December 2024</w:t>
      </w:r>
    </w:p>
    <w:p w14:paraId="696550E4" w14:textId="01D62DF7" w:rsidR="00A972CD" w:rsidRDefault="00DB76FA" w:rsidP="00837C7A">
      <w:pPr>
        <w:pStyle w:val="Note"/>
        <w:rPr>
          <w:spacing w:val="-2"/>
        </w:rPr>
      </w:pPr>
      <w:r w:rsidRPr="00DB76FA">
        <w:rPr>
          <w:noProof/>
        </w:rPr>
        <w:drawing>
          <wp:inline distT="0" distB="0" distL="0" distR="0" wp14:anchorId="5F6DF69B" wp14:editId="2242C1FC">
            <wp:extent cx="6120130" cy="3342005"/>
            <wp:effectExtent l="0" t="0" r="0" b="0"/>
            <wp:docPr id="1413136310" name="Picture 7" descr="Figure 5.6 - This figure is a stacked column chart showing gross assets as a proportion of GDP from the year 2000 to 2024. The three series are ‘domestic equities’, ‘international equities’ and ‘other assets’, with entries recorded quarterly. The chart shows that, over the timeseries, domestic equities is the large majority of total assets, with other assets and international equities making up a much smaller proportion. From 2000 to 2013, the lowest proportion of domestic equities was 27.7% of GDP (March 2000), and the highest was 61% (September 2011). The proportion of domestic equities does not fall below 50% of GDP after June 2013, with a peak of 86.42% of GDP in December 2021. The average proportion of GDP for international equities was 6.6% between March 2000 and December 2013, and 17.8% between March 2014 and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36310" name="Picture 7" descr="Figure 5.6 - This figure is a stacked column chart showing gross assets as a proportion of GDP from the year 2000 to 2024. The three series are ‘domestic equities’, ‘international equities’ and ‘other assets’, with entries recorded quarterly. The chart shows that, over the timeseries, domestic equities is the large majority of total assets, with other assets and international equities making up a much smaller proportion. From 2000 to 2013, the lowest proportion of domestic equities was 27.7% of GDP (March 2000), and the highest was 61% (September 2011). The proportion of domestic equities does not fall below 50% of GDP after June 2013, with a peak of 86.42% of GDP in December 2021. The average proportion of GDP for international equities was 6.6% between March 2000 and December 2013, and 17.8% between March 2014 and December 2024.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342005"/>
                    </a:xfrm>
                    <a:prstGeom prst="rect">
                      <a:avLst/>
                    </a:prstGeom>
                    <a:noFill/>
                    <a:ln>
                      <a:noFill/>
                    </a:ln>
                  </pic:spPr>
                </pic:pic>
              </a:graphicData>
            </a:graphic>
          </wp:inline>
        </w:drawing>
      </w:r>
      <w:r w:rsidR="00A972CD" w:rsidRPr="007A5D91">
        <w:rPr>
          <w:b/>
          <w:bCs/>
        </w:rPr>
        <w:t xml:space="preserve"> </w:t>
      </w:r>
    </w:p>
    <w:p w14:paraId="6EDD20A7" w14:textId="7F3EF891" w:rsidR="00A972CD" w:rsidRDefault="00A972CD" w:rsidP="00837C7A">
      <w:pPr>
        <w:pStyle w:val="Source"/>
        <w:rPr>
          <w:spacing w:val="-2"/>
        </w:rPr>
      </w:pPr>
      <w:r w:rsidRPr="00804C89">
        <w:rPr>
          <w:spacing w:val="-2"/>
        </w:rPr>
        <w:t xml:space="preserve">Source: </w:t>
      </w:r>
      <w:r w:rsidR="006A5E1A">
        <w:rPr>
          <w:spacing w:val="-2"/>
        </w:rPr>
        <w:t>PC</w:t>
      </w:r>
      <w:r w:rsidR="006A5E1A" w:rsidRPr="00804C89">
        <w:rPr>
          <w:spacing w:val="-2"/>
        </w:rPr>
        <w:t xml:space="preserve"> </w:t>
      </w:r>
      <w:r w:rsidRPr="00804C89">
        <w:rPr>
          <w:spacing w:val="-2"/>
        </w:rPr>
        <w:t xml:space="preserve">estimates based on ABS </w:t>
      </w:r>
      <w:r w:rsidR="0028392B" w:rsidRPr="0028392B">
        <w:rPr>
          <w:rFonts w:ascii="Arial" w:hAnsi="Arial" w:cs="Arial"/>
        </w:rPr>
        <w:t>(2025b)</w:t>
      </w:r>
      <w:r w:rsidR="00007668">
        <w:rPr>
          <w:spacing w:val="-2"/>
        </w:rPr>
        <w:t>.</w:t>
      </w:r>
    </w:p>
    <w:p w14:paraId="343AA11A" w14:textId="616D2B59" w:rsidR="00A972CD" w:rsidRDefault="00791979" w:rsidP="00837C7A">
      <w:pPr>
        <w:pStyle w:val="BodyText"/>
      </w:pPr>
      <w:r w:rsidDel="00E37883">
        <w:t xml:space="preserve">Figure </w:t>
      </w:r>
      <w:r>
        <w:rPr>
          <w:noProof/>
        </w:rPr>
        <w:t>5</w:t>
      </w:r>
      <w:r>
        <w:t>.</w:t>
      </w:r>
      <w:r>
        <w:rPr>
          <w:noProof/>
        </w:rPr>
        <w:t>7</w:t>
      </w:r>
      <w:r w:rsidR="00A972CD">
        <w:t xml:space="preserve"> partially breaks down the overall ‘net debt’</w:t>
      </w:r>
      <w:r w:rsidR="00A972CD" w:rsidRPr="00A565ED">
        <w:t xml:space="preserve"> </w:t>
      </w:r>
      <w:r w:rsidR="00A972CD">
        <w:t>into</w:t>
      </w:r>
      <w:r w:rsidR="00A972CD" w:rsidRPr="00A565ED">
        <w:t xml:space="preserve"> </w:t>
      </w:r>
      <w:r w:rsidR="00A972CD">
        <w:t xml:space="preserve">net </w:t>
      </w:r>
      <w:r w:rsidR="00A972CD" w:rsidRPr="00A565ED">
        <w:t xml:space="preserve">portfolio investment (investment that does not come with a controlling interest in firms or assets) and </w:t>
      </w:r>
      <w:r w:rsidR="00A972CD">
        <w:t xml:space="preserve">net </w:t>
      </w:r>
      <w:r w:rsidR="00A972CD" w:rsidRPr="00A565ED">
        <w:t>direct investment (investment that grants the foreign investor a significant degree of influence over their management)</w:t>
      </w:r>
      <w:r w:rsidR="00A972CD">
        <w:t>.</w:t>
      </w:r>
      <w:r w:rsidR="00C73731" w:rsidRPr="00D23D7D">
        <w:rPr>
          <w:rStyle w:val="FootnoteReference"/>
        </w:rPr>
        <w:footnoteReference w:id="37"/>
      </w:r>
      <w:r w:rsidR="00A972CD">
        <w:t xml:space="preserve"> </w:t>
      </w:r>
      <w:r w:rsidR="00A972CD" w:rsidRPr="00A565ED">
        <w:t>The bulk of investment in</w:t>
      </w:r>
      <w:r w:rsidR="00A972CD">
        <w:t>to</w:t>
      </w:r>
      <w:r w:rsidR="00A972CD" w:rsidRPr="00A565ED">
        <w:t xml:space="preserve"> Australia comes from portfolio investment. </w:t>
      </w:r>
    </w:p>
    <w:p w14:paraId="484334CB" w14:textId="160B04AF" w:rsidR="00A972CD" w:rsidRPr="00F82BD9" w:rsidRDefault="00A972CD" w:rsidP="00837C7A">
      <w:pPr>
        <w:pStyle w:val="BodyText"/>
      </w:pPr>
      <w:r w:rsidRPr="009A251F">
        <w:t>Net portfolio investment and net direct investment in Australia both fell as a proportion of GDP. Net portfolio investment fell to 17.1% at the end of 2024, down from 23.3% of GDP at the end of 2023, while net direct investment fell to 3%</w:t>
      </w:r>
      <w:r w:rsidR="00EF0198">
        <w:t xml:space="preserve"> from </w:t>
      </w:r>
      <w:r w:rsidR="00837F29">
        <w:t>5.</w:t>
      </w:r>
      <w:r w:rsidR="007174DF">
        <w:t>3% at the end of 2023</w:t>
      </w:r>
      <w:r w:rsidRPr="009A251F">
        <w:t>. Both fell in nominal terms and as a proportion of GDP.</w:t>
      </w:r>
      <w:r w:rsidRPr="00A565ED">
        <w:t xml:space="preserve"> </w:t>
      </w:r>
    </w:p>
    <w:p w14:paraId="554D1B1F" w14:textId="77777777" w:rsidR="00A972CD" w:rsidRPr="00804C89" w:rsidRDefault="00A972CD" w:rsidP="00837C7A">
      <w:pPr>
        <w:pStyle w:val="Source"/>
        <w:rPr>
          <w:spacing w:val="-2"/>
        </w:rPr>
      </w:pPr>
    </w:p>
    <w:p w14:paraId="0A166A21" w14:textId="08C2A6FA" w:rsidR="00A972CD" w:rsidRPr="00146382" w:rsidRDefault="00016A41" w:rsidP="000540A2">
      <w:pPr>
        <w:pStyle w:val="FigureTableHeading"/>
      </w:pPr>
      <w:bookmarkStart w:id="89" w:name="_Ref198905927"/>
      <w:r w:rsidDel="00E37883">
        <w:lastRenderedPageBreak/>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7</w:t>
      </w:r>
      <w:r w:rsidR="005642CB">
        <w:fldChar w:fldCharType="end"/>
      </w:r>
      <w:bookmarkEnd w:id="89"/>
      <w:r w:rsidR="00A972CD" w:rsidRPr="00EC7392">
        <w:t xml:space="preserve"> </w:t>
      </w:r>
      <w:r w:rsidR="00A972CD">
        <w:t>– Foreign investment in Australia fell in both portfolio and direct investment</w:t>
      </w:r>
    </w:p>
    <w:p w14:paraId="18F21CC1" w14:textId="77777777" w:rsidR="00A972CD" w:rsidRDefault="00A972CD" w:rsidP="00837C7A">
      <w:pPr>
        <w:pStyle w:val="FigureTableSubheading"/>
        <w:keepLines/>
      </w:pPr>
      <w:r>
        <w:t>Net investment by type as a proportion of GDP (absolute value), to 31 December 2024</w:t>
      </w:r>
    </w:p>
    <w:p w14:paraId="1B45C466" w14:textId="4D2A0FA7" w:rsidR="00A972CD" w:rsidRDefault="00E76549" w:rsidP="00837C7A">
      <w:pPr>
        <w:pStyle w:val="Note"/>
        <w:keepLines/>
      </w:pPr>
      <w:r w:rsidRPr="00E76549">
        <w:rPr>
          <w:noProof/>
        </w:rPr>
        <w:drawing>
          <wp:inline distT="0" distB="0" distL="0" distR="0" wp14:anchorId="67FA86DF" wp14:editId="0BAB5171">
            <wp:extent cx="6120130" cy="3507105"/>
            <wp:effectExtent l="0" t="0" r="0" b="0"/>
            <wp:docPr id="378456549" name="Picture 1" descr="Figure 5.7 - This figure is a stacked column chart showing quarterly data for ‘net portfolio investment’ and ‘net direct investment’ as a proportion of GDP (absolute value) from the year 2000 to 2024. It shows portfolio investment is much larger than direct investment. The average value of portfolio investment between March 2000 and December 2018 was 47% of GDP, and 29.3% of GDP between March 2019 and December 2024. Direct investment averaged 6.2% of GDP between March 2000 and December 2012, 11.3% between March 2013 and December 2022 and 4.9% between March 2023 and December 2024. The chart shows that both direct and portfolio investment are trending downwards, from a combined 58.7% of GDP in December 2016, to 20% in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56549" name="Picture 1" descr="Figure 5.7 - This figure is a stacked column chart showing quarterly data for ‘net portfolio investment’ and ‘net direct investment’ as a proportion of GDP (absolute value) from the year 2000 to 2024. It shows portfolio investment is much larger than direct investment. The average value of portfolio investment between March 2000 and December 2018 was 47% of GDP, and 29.3% of GDP between March 2019 and December 2024. Direct investment averaged 6.2% of GDP between March 2000 and December 2012, 11.3% between March 2013 and December 2022 and 4.9% between March 2023 and December 2024. The chart shows that both direct and portfolio investment are trending downwards, from a combined 58.7% of GDP in December 2016, to 20% in December 2024.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3507105"/>
                    </a:xfrm>
                    <a:prstGeom prst="rect">
                      <a:avLst/>
                    </a:prstGeom>
                    <a:noFill/>
                    <a:ln>
                      <a:noFill/>
                    </a:ln>
                  </pic:spPr>
                </pic:pic>
              </a:graphicData>
            </a:graphic>
          </wp:inline>
        </w:drawing>
      </w:r>
    </w:p>
    <w:p w14:paraId="5E8C3DF1" w14:textId="71B800F5" w:rsidR="00A972CD" w:rsidRPr="00F82BD9" w:rsidRDefault="00A972CD" w:rsidP="00837C7A">
      <w:pPr>
        <w:pStyle w:val="Source"/>
      </w:pPr>
      <w:r w:rsidRPr="009A251F">
        <w:t xml:space="preserve">Source: </w:t>
      </w:r>
      <w:r w:rsidR="006F7F24">
        <w:t>PC</w:t>
      </w:r>
      <w:r w:rsidRPr="009A251F">
        <w:t xml:space="preserve"> estimates based on ABS</w:t>
      </w:r>
      <w:r w:rsidRPr="009A251F" w:rsidDel="00ED44CE">
        <w:t xml:space="preserve"> </w:t>
      </w:r>
      <w:r w:rsidR="0028392B" w:rsidRPr="0028392B">
        <w:rPr>
          <w:rFonts w:ascii="Arial" w:hAnsi="Arial" w:cs="Arial"/>
        </w:rPr>
        <w:t>(2025c)</w:t>
      </w:r>
      <w:r w:rsidR="006F7F24">
        <w:t>.</w:t>
      </w:r>
    </w:p>
    <w:p w14:paraId="45312BEE" w14:textId="77777777" w:rsidR="00A972CD" w:rsidRDefault="00A972CD" w:rsidP="00837C7A">
      <w:pPr>
        <w:pStyle w:val="Heading3"/>
      </w:pPr>
      <w:r>
        <w:t>Composition of foreign investment flows into Australia</w:t>
      </w:r>
    </w:p>
    <w:p w14:paraId="0A6F1A16" w14:textId="1766BD8A" w:rsidR="00A972CD" w:rsidRDefault="00791979" w:rsidP="00837C7A">
      <w:pPr>
        <w:pStyle w:val="BodyText"/>
      </w:pPr>
      <w:r>
        <w:t xml:space="preserve">Figure </w:t>
      </w:r>
      <w:r>
        <w:rPr>
          <w:noProof/>
        </w:rPr>
        <w:t>5</w:t>
      </w:r>
      <w:r>
        <w:t>.</w:t>
      </w:r>
      <w:r>
        <w:rPr>
          <w:noProof/>
        </w:rPr>
        <w:t>8</w:t>
      </w:r>
      <w:r w:rsidR="00A972CD">
        <w:t xml:space="preserve"> shows</w:t>
      </w:r>
      <w:r w:rsidR="00A972CD" w:rsidDel="001202F9">
        <w:t xml:space="preserve"> </w:t>
      </w:r>
      <w:r w:rsidR="00A972CD">
        <w:t xml:space="preserve">the composition of total portfolio investment and total foreign direct investment by country. </w:t>
      </w:r>
      <w:r w:rsidR="00A972CD">
        <w:rPr>
          <w:lang w:val="en-US"/>
        </w:rPr>
        <w:t xml:space="preserve">Note that the values in figure </w:t>
      </w:r>
      <w:r w:rsidR="007C13B6">
        <w:rPr>
          <w:lang w:val="en-US"/>
        </w:rPr>
        <w:t>5.8</w:t>
      </w:r>
      <w:r w:rsidR="00A972CD">
        <w:rPr>
          <w:lang w:val="en-US"/>
        </w:rPr>
        <w:t xml:space="preserve"> (total investment into Australia) are not directly comparable with </w:t>
      </w:r>
      <w:r w:rsidR="00A972CD" w:rsidRPr="009A251F">
        <w:rPr>
          <w:lang w:val="en-US"/>
        </w:rPr>
        <w:t xml:space="preserve">figure </w:t>
      </w:r>
      <w:r w:rsidR="007C13B6">
        <w:rPr>
          <w:lang w:val="en-US"/>
        </w:rPr>
        <w:t>5.7</w:t>
      </w:r>
      <w:r w:rsidR="00A972CD" w:rsidRPr="009A251F">
        <w:rPr>
          <w:lang w:val="en-US"/>
        </w:rPr>
        <w:t xml:space="preserve"> (net investment or the difference between outflows and inflows). </w:t>
      </w:r>
      <w:r w:rsidR="00A972CD" w:rsidRPr="009A251F">
        <w:t xml:space="preserve">Total portfolio investment into Australia (92.5% of </w:t>
      </w:r>
      <w:r w:rsidR="00A972CD" w:rsidRPr="009A251F" w:rsidDel="00365E35">
        <w:t>GDP</w:t>
      </w:r>
      <w:r w:rsidR="00A972CD" w:rsidRPr="009A251F">
        <w:t>) remains significantly larger than total foreign direct investment into Australia (</w:t>
      </w:r>
      <w:r w:rsidR="00A972CD" w:rsidRPr="00C73CFE">
        <w:t>50</w:t>
      </w:r>
      <w:r w:rsidR="00A972CD" w:rsidRPr="009A251F">
        <w:t xml:space="preserve">% of GDP). This is because portfolio investment involves lower risk securities like cash or bonds and is subject to </w:t>
      </w:r>
      <w:r w:rsidR="00B76C7A">
        <w:t>fewer</w:t>
      </w:r>
      <w:r w:rsidR="00A972CD" w:rsidRPr="009A251F">
        <w:t xml:space="preserve"> regulatory hurdles.</w:t>
      </w:r>
    </w:p>
    <w:p w14:paraId="6348828D" w14:textId="065E0263" w:rsidR="00A972CD" w:rsidRDefault="00A972CD" w:rsidP="00837C7A">
      <w:pPr>
        <w:pStyle w:val="BodyText"/>
      </w:pPr>
      <w:r w:rsidRPr="009A251F">
        <w:t>The largest source of FDI is the United States (8.6% of GDP), followed by Japan (5.9%) and the United Kingdom (5.7%). Most countries’ FDI flows did not change significantly compared to previous years.</w:t>
      </w:r>
      <w:r>
        <w:t xml:space="preserve"> However, Japan continued to increase its FDI into Australia. </w:t>
      </w:r>
      <w:r w:rsidRPr="009A251F">
        <w:t>The Japan</w:t>
      </w:r>
      <w:r w:rsidR="006A1DD8" w:rsidRPr="006A1DD8">
        <w:t>–</w:t>
      </w:r>
      <w:r w:rsidRPr="009A251F">
        <w:t xml:space="preserve">Australia Investment Report 2024 highlights that Japan ‘remains the only foreign investor to have increased its FDI into Australia in every single year over the past 11 years’ </w:t>
      </w:r>
      <w:r w:rsidRPr="009A251F">
        <w:rPr>
          <w:rFonts w:ascii="Arial" w:hAnsi="Arial" w:cs="Arial"/>
        </w:rPr>
        <w:t>(Herbert Smith Freehills 2024, p. 2)</w:t>
      </w:r>
      <w:r w:rsidRPr="009A251F">
        <w:t>.</w:t>
      </w:r>
      <w:r>
        <w:t xml:space="preserve"> </w:t>
      </w:r>
      <w:r w:rsidRPr="009A251F">
        <w:t xml:space="preserve">Japanese direct investment into Australia in 2024 (5.9% of GDP) notably included a $9 billion acquisition of electronics design software company Altium by semiconductor company Renesas Electronics </w:t>
      </w:r>
      <w:r w:rsidRPr="009A251F">
        <w:rPr>
          <w:rFonts w:ascii="Arial" w:hAnsi="Arial" w:cs="Arial"/>
        </w:rPr>
        <w:t>(Bennett 2024)</w:t>
      </w:r>
      <w:r w:rsidRPr="009A251F">
        <w:t>.</w:t>
      </w:r>
    </w:p>
    <w:p w14:paraId="6FC53CC7" w14:textId="04C992B0" w:rsidR="00A972CD" w:rsidRPr="009B1C58" w:rsidRDefault="00A972CD" w:rsidP="00837C7A">
      <w:pPr>
        <w:pStyle w:val="BodyText"/>
      </w:pPr>
      <w:r w:rsidRPr="009A251F">
        <w:t>The United States was also the largest source of inbound portfolio investment in 2024 (32% of GDP).</w:t>
      </w:r>
      <w:r w:rsidRPr="009B1C58">
        <w:t xml:space="preserve"> Countries that are hubs for financial institutions feature heavily in the top sources of </w:t>
      </w:r>
      <w:r>
        <w:t xml:space="preserve">inbound </w:t>
      </w:r>
      <w:r w:rsidRPr="009B1C58">
        <w:t>portfolio investment.</w:t>
      </w:r>
      <w:r w:rsidR="00B72D6A">
        <w:rPr>
          <w:rStyle w:val="FootnoteReference"/>
        </w:rPr>
        <w:footnoteReference w:id="38"/>
      </w:r>
      <w:r w:rsidRPr="009B1C58">
        <w:t xml:space="preserve"> </w:t>
      </w:r>
      <w:r>
        <w:t>This is because the ABS records where the money entered Australia from, not necessarily the originating source of the funds.</w:t>
      </w:r>
    </w:p>
    <w:p w14:paraId="7CB98B29" w14:textId="2BBFCB87" w:rsidR="00A972CD" w:rsidRDefault="00016A41" w:rsidP="000540A2">
      <w:pPr>
        <w:pStyle w:val="FigureTableHeading"/>
      </w:pPr>
      <w:bookmarkStart w:id="90" w:name="_Ref166510641"/>
      <w:bookmarkStart w:id="91" w:name="_Ref198048013"/>
      <w:r>
        <w:lastRenderedPageBreak/>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8</w:t>
      </w:r>
      <w:r w:rsidR="005642CB">
        <w:fldChar w:fldCharType="end"/>
      </w:r>
      <w:bookmarkEnd w:id="90"/>
      <w:bookmarkEnd w:id="91"/>
      <w:r w:rsidR="00A972CD">
        <w:rPr>
          <w:noProof/>
        </w:rPr>
        <w:t xml:space="preserve"> </w:t>
      </w:r>
      <w:r w:rsidR="00A972CD">
        <w:t>– The United States remains the largest source of direct and portfolio investment inbound to Australia</w:t>
      </w:r>
      <w:r w:rsidR="00A972CD" w:rsidRPr="00EC627A">
        <w:rPr>
          <w:vertAlign w:val="superscript"/>
        </w:rPr>
        <w:t>a</w:t>
      </w:r>
      <w:r w:rsidR="00A972CD">
        <w:rPr>
          <w:vertAlign w:val="superscript"/>
        </w:rPr>
        <w:t>,b,c</w:t>
      </w:r>
      <w:r w:rsidR="007867A2">
        <w:rPr>
          <w:vertAlign w:val="superscript"/>
        </w:rPr>
        <w:t>,d</w:t>
      </w:r>
    </w:p>
    <w:p w14:paraId="751CA13F" w14:textId="77777777" w:rsidR="00A972CD" w:rsidRPr="00F37DE6" w:rsidRDefault="00A972CD">
      <w:pPr>
        <w:pStyle w:val="FigureTableSubheading"/>
        <w:keepLines/>
      </w:pPr>
      <w:r>
        <w:t>Total foreign investment into Australia as a proportion of GDP in 2024</w:t>
      </w:r>
    </w:p>
    <w:p w14:paraId="6662E9BE" w14:textId="7FFE5AF1" w:rsidR="00A972CD" w:rsidRDefault="002151DE" w:rsidP="007D5C92">
      <w:pPr>
        <w:pStyle w:val="BodyText"/>
        <w:spacing w:before="0" w:after="0"/>
      </w:pPr>
      <w:r w:rsidRPr="002151DE">
        <w:rPr>
          <w:noProof/>
        </w:rPr>
        <w:drawing>
          <wp:inline distT="0" distB="0" distL="0" distR="0" wp14:anchorId="425897F2" wp14:editId="0A22C228">
            <wp:extent cx="5940000" cy="2690895"/>
            <wp:effectExtent l="0" t="0" r="0" b="0"/>
            <wp:docPr id="1964774260" name="Picture 9" descr="Figure 5.8 - This figure is a tree map showing total foreign investment into Australia as a proportion of GDP in 2024. It is first split into two segments, portfolio investment (92.45% of GDP) and direct investment (47%). The chart shows that the major contributors to portfolio investment are the United States (32% of GDP), Belgium (14%), the United Kingdom (11.1%), Luxembourg (3.8%) and Japan (3.1%), with the rest of the world’s contribution to portfolio investment equalling 28.4% of GDP. The major contributors to direct investment are the United States (8.6% of GDP), Japan (5.9%), Belgium (5.7%), Canada (3.1%) and China (1.3%), with the rest of the world’s contribution to direct investment equalling 22.4% of GDP. The chart contains a footnote explaining that the percentages will not add to 100, as the values are simply calculated by dividing the investment values by nominal GDP i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74260" name="Picture 9" descr="Figure 5.8 - This figure is a tree map showing total foreign investment into Australia as a proportion of GDP in 2024. It is first split into two segments, portfolio investment (92.45% of GDP) and direct investment (47%). The chart shows that the major contributors to portfolio investment are the United States (32% of GDP), Belgium (14%), the United Kingdom (11.1%), Luxembourg (3.8%) and Japan (3.1%), with the rest of the world’s contribution to portfolio investment equalling 28.4% of GDP. The major contributors to direct investment are the United States (8.6% of GDP), Japan (5.9%), Belgium (5.7%), Canada (3.1%) and China (1.3%), with the rest of the world’s contribution to direct investment equalling 22.4% of GDP. The chart contains a footnote explaining that the percentages will not add to 100, as the values are simply calculated by dividing the investment values by nominal GDP in 2024. "/>
                    <pic:cNvPicPr>
                      <a:picLocks noChangeAspect="1" noChangeArrowheads="1"/>
                    </pic:cNvPicPr>
                  </pic:nvPicPr>
                  <pic:blipFill rotWithShape="1">
                    <a:blip r:embed="rId85">
                      <a:extLst>
                        <a:ext uri="{28A0092B-C50C-407E-A947-70E740481C1C}">
                          <a14:useLocalDpi xmlns:a14="http://schemas.microsoft.com/office/drawing/2010/main" val="0"/>
                        </a:ext>
                      </a:extLst>
                    </a:blip>
                    <a:srcRect t="1516" b="1952"/>
                    <a:stretch/>
                  </pic:blipFill>
                  <pic:spPr bwMode="auto">
                    <a:xfrm>
                      <a:off x="0" y="0"/>
                      <a:ext cx="5940000" cy="2690895"/>
                    </a:xfrm>
                    <a:prstGeom prst="rect">
                      <a:avLst/>
                    </a:prstGeom>
                    <a:noFill/>
                    <a:ln>
                      <a:noFill/>
                    </a:ln>
                    <a:extLst>
                      <a:ext uri="{53640926-AAD7-44D8-BBD7-CCE9431645EC}">
                        <a14:shadowObscured xmlns:a14="http://schemas.microsoft.com/office/drawing/2010/main"/>
                      </a:ext>
                    </a:extLst>
                  </pic:spPr>
                </pic:pic>
              </a:graphicData>
            </a:graphic>
          </wp:inline>
        </w:drawing>
      </w:r>
    </w:p>
    <w:p w14:paraId="7BAE019A" w14:textId="2B6A4A03" w:rsidR="00A972CD" w:rsidRPr="001A4295" w:rsidRDefault="00A972CD" w:rsidP="00837C7A">
      <w:pPr>
        <w:pStyle w:val="Note"/>
        <w:rPr>
          <w:spacing w:val="-4"/>
        </w:rPr>
      </w:pPr>
      <w:r w:rsidRPr="00E7790F">
        <w:rPr>
          <w:b/>
          <w:bCs/>
          <w:spacing w:val="-4"/>
        </w:rPr>
        <w:t>a</w:t>
      </w:r>
      <w:r>
        <w:rPr>
          <w:spacing w:val="-4"/>
        </w:rPr>
        <w:t>.</w:t>
      </w:r>
      <w:r w:rsidRPr="00E7790F">
        <w:rPr>
          <w:spacing w:val="-4"/>
        </w:rPr>
        <w:t xml:space="preserve"> </w:t>
      </w:r>
      <w:r>
        <w:rPr>
          <w:spacing w:val="-4"/>
        </w:rPr>
        <w:t>LUX = Luxembourg</w:t>
      </w:r>
      <w:r w:rsidRPr="00E7790F">
        <w:rPr>
          <w:spacing w:val="-4"/>
        </w:rPr>
        <w:t>.</w:t>
      </w:r>
      <w:r>
        <w:rPr>
          <w:spacing w:val="-4"/>
        </w:rPr>
        <w:t xml:space="preserve"> </w:t>
      </w:r>
      <w:r>
        <w:rPr>
          <w:b/>
          <w:bCs/>
          <w:spacing w:val="-4"/>
        </w:rPr>
        <w:t>b</w:t>
      </w:r>
      <w:r w:rsidRPr="009A251F">
        <w:rPr>
          <w:b/>
          <w:bCs/>
          <w:spacing w:val="-4"/>
        </w:rPr>
        <w:t xml:space="preserve">. </w:t>
      </w:r>
      <w:r w:rsidR="007867A2" w:rsidRPr="002C063D">
        <w:rPr>
          <w:spacing w:val="-4"/>
        </w:rPr>
        <w:t>Investment from China excludes Hong Kong</w:t>
      </w:r>
      <w:r w:rsidR="004D1E76" w:rsidRPr="002C063D">
        <w:rPr>
          <w:spacing w:val="-4"/>
        </w:rPr>
        <w:t>.</w:t>
      </w:r>
      <w:r w:rsidR="004D1E76">
        <w:rPr>
          <w:b/>
          <w:bCs/>
          <w:spacing w:val="-4"/>
        </w:rPr>
        <w:t xml:space="preserve"> c.</w:t>
      </w:r>
      <w:r w:rsidRPr="009A251F">
        <w:rPr>
          <w:b/>
          <w:bCs/>
          <w:spacing w:val="-4"/>
        </w:rPr>
        <w:t xml:space="preserve"> </w:t>
      </w:r>
      <w:r w:rsidRPr="009A251F">
        <w:rPr>
          <w:spacing w:val="-4"/>
        </w:rPr>
        <w:t>The ‘Rest of World’ category comprises countries which all individually contributed less than 3% of GDP in foreign investment.</w:t>
      </w:r>
      <w:r>
        <w:rPr>
          <w:spacing w:val="-4"/>
        </w:rPr>
        <w:t xml:space="preserve"> </w:t>
      </w:r>
      <w:r w:rsidR="004D1E76">
        <w:rPr>
          <w:b/>
          <w:bCs/>
          <w:spacing w:val="-4"/>
        </w:rPr>
        <w:t>d</w:t>
      </w:r>
      <w:r>
        <w:rPr>
          <w:b/>
          <w:bCs/>
          <w:spacing w:val="-4"/>
        </w:rPr>
        <w:t xml:space="preserve">. </w:t>
      </w:r>
      <w:r>
        <w:rPr>
          <w:spacing w:val="-4"/>
        </w:rPr>
        <w:t xml:space="preserve">Categories do not add to 100%, </w:t>
      </w:r>
      <w:r w:rsidRPr="004A2242">
        <w:rPr>
          <w:spacing w:val="-4"/>
        </w:rPr>
        <w:t>investment is calculated by taking the investment value and dividing by nominal GDP in 2024.</w:t>
      </w:r>
    </w:p>
    <w:p w14:paraId="5D805A25" w14:textId="6F20719E" w:rsidR="00A972CD" w:rsidRDefault="00A972CD" w:rsidP="00837C7A">
      <w:pPr>
        <w:pStyle w:val="Source"/>
      </w:pPr>
      <w:r w:rsidRPr="00696447">
        <w:t xml:space="preserve">Source: </w:t>
      </w:r>
      <w:r w:rsidR="00180072">
        <w:t>PC</w:t>
      </w:r>
      <w:r>
        <w:t xml:space="preserve"> estimates based on ABS </w:t>
      </w:r>
      <w:r w:rsidR="001F4645" w:rsidRPr="001F4645">
        <w:rPr>
          <w:rFonts w:ascii="Arial" w:hAnsi="Arial" w:cs="Arial"/>
        </w:rPr>
        <w:t>(2025f)</w:t>
      </w:r>
      <w:r w:rsidR="00C53AE4">
        <w:t>.</w:t>
      </w:r>
    </w:p>
    <w:p w14:paraId="200F182F" w14:textId="246E9C6B" w:rsidR="00016A41" w:rsidRPr="00E34632" w:rsidRDefault="00791979" w:rsidP="001C79A3">
      <w:pPr>
        <w:pStyle w:val="BodyText"/>
        <w:rPr>
          <w:spacing w:val="-4"/>
        </w:rPr>
      </w:pPr>
      <w:r w:rsidRPr="00E34632">
        <w:rPr>
          <w:spacing w:val="-4"/>
        </w:rPr>
        <w:t>Figure 5.9</w:t>
      </w:r>
      <w:r w:rsidR="00016A41" w:rsidRPr="00E34632">
        <w:rPr>
          <w:spacing w:val="-4"/>
          <w:szCs w:val="22"/>
        </w:rPr>
        <w:t xml:space="preserve"> shows the breakdown of FDI into Australia by sector in 2024. The mining sector remained the largest destination for inbound FDI in 2024 (15% of GDP</w:t>
      </w:r>
      <w:r w:rsidR="00275B9D" w:rsidRPr="00E34632">
        <w:rPr>
          <w:spacing w:val="-4"/>
          <w:szCs w:val="22"/>
        </w:rPr>
        <w:t>) but</w:t>
      </w:r>
      <w:r w:rsidR="00016A41" w:rsidRPr="00E34632">
        <w:rPr>
          <w:spacing w:val="-4"/>
          <w:szCs w:val="22"/>
        </w:rPr>
        <w:t xml:space="preserve"> was below its five</w:t>
      </w:r>
      <w:r w:rsidR="00200862" w:rsidRPr="00E34632">
        <w:rPr>
          <w:spacing w:val="-4"/>
          <w:szCs w:val="22"/>
        </w:rPr>
        <w:noBreakHyphen/>
      </w:r>
      <w:r w:rsidR="00016A41" w:rsidRPr="00E34632">
        <w:rPr>
          <w:spacing w:val="-4"/>
          <w:szCs w:val="22"/>
        </w:rPr>
        <w:t>year average (17%). Transport and communication saw the largest year</w:t>
      </w:r>
      <w:r w:rsidR="00200862" w:rsidRPr="00E34632">
        <w:rPr>
          <w:spacing w:val="-4"/>
          <w:szCs w:val="22"/>
        </w:rPr>
        <w:noBreakHyphen/>
      </w:r>
      <w:r w:rsidR="00016A41" w:rsidRPr="00E34632">
        <w:rPr>
          <w:spacing w:val="-4"/>
          <w:szCs w:val="22"/>
        </w:rPr>
        <w:t>on</w:t>
      </w:r>
      <w:r w:rsidR="00200862" w:rsidRPr="00E34632">
        <w:rPr>
          <w:spacing w:val="-4"/>
          <w:szCs w:val="22"/>
        </w:rPr>
        <w:noBreakHyphen/>
      </w:r>
      <w:r w:rsidR="00016A41" w:rsidRPr="00E34632">
        <w:rPr>
          <w:spacing w:val="-4"/>
          <w:szCs w:val="22"/>
        </w:rPr>
        <w:t>year increase in FDI, from 2.</w:t>
      </w:r>
      <w:r w:rsidR="00EB310C" w:rsidRPr="00E34632">
        <w:rPr>
          <w:spacing w:val="-4"/>
          <w:szCs w:val="22"/>
        </w:rPr>
        <w:t>2</w:t>
      </w:r>
      <w:r w:rsidR="00016A41" w:rsidRPr="00E34632">
        <w:rPr>
          <w:spacing w:val="-4"/>
          <w:szCs w:val="22"/>
        </w:rPr>
        <w:t>% of GDP in 2023 to 3.</w:t>
      </w:r>
      <w:r w:rsidR="00EB310C" w:rsidRPr="00E34632">
        <w:rPr>
          <w:spacing w:val="-4"/>
          <w:szCs w:val="22"/>
        </w:rPr>
        <w:t>4</w:t>
      </w:r>
      <w:r w:rsidR="00016A41" w:rsidRPr="00E34632">
        <w:rPr>
          <w:spacing w:val="-4"/>
          <w:szCs w:val="22"/>
        </w:rPr>
        <w:t>% in 2024.</w:t>
      </w:r>
    </w:p>
    <w:p w14:paraId="7E1F7546" w14:textId="1443E664" w:rsidR="00A972CD" w:rsidRPr="00146382" w:rsidRDefault="00016A41" w:rsidP="000540A2">
      <w:pPr>
        <w:pStyle w:val="FigureTableHeading"/>
      </w:pPr>
      <w:bookmarkStart w:id="92" w:name="_Ref170304951"/>
      <w:bookmarkStart w:id="93" w:name="_Ref198047960"/>
      <w:r>
        <w:t xml:space="preserve">Figure </w:t>
      </w:r>
      <w:r w:rsidR="005642CB">
        <w:fldChar w:fldCharType="begin"/>
      </w:r>
      <w:r w:rsidR="005642CB">
        <w:instrText xml:space="preserve"> STYLEREF 1 \s </w:instrText>
      </w:r>
      <w:r w:rsidR="005642CB">
        <w:fldChar w:fldCharType="separate"/>
      </w:r>
      <w:r w:rsidR="004A080B">
        <w:rPr>
          <w:noProof/>
        </w:rPr>
        <w:t>5</w:t>
      </w:r>
      <w:r w:rsidR="005642CB">
        <w:fldChar w:fldCharType="end"/>
      </w:r>
      <w:r w:rsidR="005642CB">
        <w:t>.</w:t>
      </w:r>
      <w:r w:rsidR="005642CB">
        <w:fldChar w:fldCharType="begin"/>
      </w:r>
      <w:r w:rsidR="005642CB">
        <w:instrText xml:space="preserve"> SEQ Figure \* ARABIC \s 1 </w:instrText>
      </w:r>
      <w:r w:rsidR="005642CB">
        <w:fldChar w:fldCharType="separate"/>
      </w:r>
      <w:r w:rsidR="004A080B">
        <w:rPr>
          <w:noProof/>
        </w:rPr>
        <w:t>9</w:t>
      </w:r>
      <w:r w:rsidR="005642CB">
        <w:fldChar w:fldCharType="end"/>
      </w:r>
      <w:bookmarkEnd w:id="92"/>
      <w:bookmarkEnd w:id="93"/>
      <w:r w:rsidR="00A972CD">
        <w:t xml:space="preserve"> – Mining remains the largest sector for FDI inbound to Australia</w:t>
      </w:r>
      <w:r w:rsidR="00A972CD" w:rsidRPr="00EC627A">
        <w:rPr>
          <w:vertAlign w:val="superscript"/>
        </w:rPr>
        <w:t>a</w:t>
      </w:r>
      <w:r w:rsidR="00FF2BA7">
        <w:rPr>
          <w:vertAlign w:val="superscript"/>
        </w:rPr>
        <w:t>,b</w:t>
      </w:r>
    </w:p>
    <w:p w14:paraId="17E2F319" w14:textId="7D621C55" w:rsidR="00A972CD" w:rsidRDefault="00491537" w:rsidP="00837C7A">
      <w:pPr>
        <w:pStyle w:val="FigureTableSubheading"/>
        <w:keepLines/>
      </w:pPr>
      <w:r>
        <w:t>FDI</w:t>
      </w:r>
      <w:r w:rsidR="00A972CD" w:rsidRPr="00C73CFE">
        <w:t xml:space="preserve"> into Australia as a proportion of GDP 2023</w:t>
      </w:r>
      <w:r>
        <w:rPr>
          <w:rFonts w:ascii="Arial (Body)" w:hAnsi="Arial (Body)"/>
          <w:color w:val="265A9A"/>
        </w:rPr>
        <w:t>-</w:t>
      </w:r>
      <w:r w:rsidR="00A972CD" w:rsidRPr="00C73CFE">
        <w:t>24, by industry</w:t>
      </w:r>
    </w:p>
    <w:p w14:paraId="7894B283" w14:textId="6C8A1226" w:rsidR="00A972CD" w:rsidRDefault="00BE27C7" w:rsidP="00837C7A">
      <w:pPr>
        <w:pStyle w:val="Note"/>
        <w:keepLines/>
      </w:pPr>
      <w:r w:rsidRPr="00BE27C7">
        <w:rPr>
          <w:noProof/>
        </w:rPr>
        <w:drawing>
          <wp:inline distT="0" distB="0" distL="0" distR="0" wp14:anchorId="36BB8DA6" wp14:editId="30EAA069">
            <wp:extent cx="5938210" cy="2641600"/>
            <wp:effectExtent l="0" t="0" r="0" b="0"/>
            <wp:docPr id="1100006624" name="Picture 2" descr="This figure is a clustered bar chart showing foreign direct investment into Australia by sector as a proportion of GDP. Each sector is split into two bars, one showing foreign investment into the sector as a proportion of GDP in 2024, and the other showing the five-year average (2019-2023) of foreign investment into the sector as a proportion of GDP. As a proportion of GDP, foreign investment in 2024 and the five-year average respectively was: 15.5% and 18.2% for the mining sector; 6.1% and 6.3% for the finance and insurance sector, 5.5% and 6.4% for property and business services; 4.9% and 5.7% for the manufacturing sector, 2.9% and 3.4% for wholesale and retail trade; 3.5% and 2.9% for the transport and communication sector; 1% and 1.4% for the electricity, gas and water sector; and 0.2% and 0.4% for the agriculture, forestry and fishing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06624" name="Picture 2" descr="This figure is a clustered bar chart showing foreign direct investment into Australia by sector as a proportion of GDP. Each sector is split into two bars, one showing foreign investment into the sector as a proportion of GDP in 2024, and the other showing the five-year average (2019-2023) of foreign investment into the sector as a proportion of GDP. As a proportion of GDP, foreign investment in 2024 and the five-year average respectively was: 15.5% and 18.2% for the mining sector; 6.1% and 6.3% for the finance and insurance sector, 5.5% and 6.4% for property and business services; 4.9% and 5.7% for the manufacturing sector, 2.9% and 3.4% for wholesale and retail trade; 3.5% and 2.9% for the transport and communication sector; 1% and 1.4% for the electricity, gas and water sector; and 0.2% and 0.4% for the agriculture, forestry and fishing sector. "/>
                    <pic:cNvPicPr>
                      <a:picLocks noChangeAspect="1" noChangeArrowheads="1"/>
                    </pic:cNvPicPr>
                  </pic:nvPicPr>
                  <pic:blipFill rotWithShape="1">
                    <a:blip r:embed="rId86">
                      <a:extLst>
                        <a:ext uri="{28A0092B-C50C-407E-A947-70E740481C1C}">
                          <a14:useLocalDpi xmlns:a14="http://schemas.microsoft.com/office/drawing/2010/main" val="0"/>
                        </a:ext>
                      </a:extLst>
                    </a:blip>
                    <a:srcRect t="2097" b="2499"/>
                    <a:stretch/>
                  </pic:blipFill>
                  <pic:spPr bwMode="auto">
                    <a:xfrm>
                      <a:off x="0" y="0"/>
                      <a:ext cx="5940000" cy="2642396"/>
                    </a:xfrm>
                    <a:prstGeom prst="rect">
                      <a:avLst/>
                    </a:prstGeom>
                    <a:noFill/>
                    <a:ln>
                      <a:noFill/>
                    </a:ln>
                    <a:extLst>
                      <a:ext uri="{53640926-AAD7-44D8-BBD7-CCE9431645EC}">
                        <a14:shadowObscured xmlns:a14="http://schemas.microsoft.com/office/drawing/2010/main"/>
                      </a:ext>
                    </a:extLst>
                  </pic:spPr>
                </pic:pic>
              </a:graphicData>
            </a:graphic>
          </wp:inline>
        </w:drawing>
      </w:r>
    </w:p>
    <w:p w14:paraId="7B9140C6" w14:textId="77801FA6" w:rsidR="00A972CD" w:rsidRPr="00F27612" w:rsidRDefault="00A972CD" w:rsidP="00837C7A">
      <w:pPr>
        <w:pStyle w:val="Note"/>
        <w:rPr>
          <w:spacing w:val="-4"/>
        </w:rPr>
      </w:pPr>
      <w:r w:rsidRPr="00E7790F">
        <w:rPr>
          <w:b/>
          <w:bCs/>
          <w:spacing w:val="-4"/>
        </w:rPr>
        <w:t>a</w:t>
      </w:r>
      <w:r w:rsidR="00CC5F90">
        <w:rPr>
          <w:b/>
          <w:bCs/>
          <w:spacing w:val="-4"/>
        </w:rPr>
        <w:t>.</w:t>
      </w:r>
      <w:r w:rsidRPr="00E7790F">
        <w:rPr>
          <w:spacing w:val="-4"/>
        </w:rPr>
        <w:t xml:space="preserve"> Other includes direct investments not allocated to one sector</w:t>
      </w:r>
      <w:r>
        <w:rPr>
          <w:spacing w:val="-4"/>
        </w:rPr>
        <w:t>,</w:t>
      </w:r>
      <w:r w:rsidRPr="00E7790F">
        <w:rPr>
          <w:spacing w:val="-4"/>
        </w:rPr>
        <w:t xml:space="preserve"> those allocated to healthcare and social assistance, administrative and support services and other sectors with data not available for publication.</w:t>
      </w:r>
      <w:r w:rsidR="00A1143D">
        <w:rPr>
          <w:spacing w:val="-4"/>
        </w:rPr>
        <w:t xml:space="preserve"> </w:t>
      </w:r>
      <w:r w:rsidR="00A1143D">
        <w:rPr>
          <w:b/>
          <w:bCs/>
          <w:spacing w:val="-4"/>
        </w:rPr>
        <w:t xml:space="preserve">b. </w:t>
      </w:r>
      <w:r w:rsidR="00D13CC6" w:rsidRPr="00F27612">
        <w:rPr>
          <w:spacing w:val="-4"/>
        </w:rPr>
        <w:t>5-year average refers to the average</w:t>
      </w:r>
      <w:r w:rsidR="00D13CC6">
        <w:rPr>
          <w:b/>
          <w:bCs/>
          <w:spacing w:val="-4"/>
        </w:rPr>
        <w:t xml:space="preserve"> </w:t>
      </w:r>
      <w:r w:rsidR="00F6408A">
        <w:rPr>
          <w:spacing w:val="-4"/>
        </w:rPr>
        <w:t>value of inbound FDI flows from 2019 to 2023.</w:t>
      </w:r>
    </w:p>
    <w:p w14:paraId="6BE65433" w14:textId="77777777" w:rsidR="001E1EA1" w:rsidRDefault="00A972CD" w:rsidP="001C79A3">
      <w:pPr>
        <w:pStyle w:val="Source"/>
        <w:sectPr w:rsidR="001E1EA1" w:rsidSect="00016A41">
          <w:headerReference w:type="even" r:id="rId87"/>
          <w:headerReference w:type="default" r:id="rId88"/>
          <w:footerReference w:type="even" r:id="rId89"/>
          <w:footerReference w:type="default" r:id="rId90"/>
          <w:headerReference w:type="first" r:id="rId91"/>
          <w:type w:val="oddPage"/>
          <w:pgSz w:w="11906" w:h="16838" w:code="9"/>
          <w:pgMar w:top="1134" w:right="1134" w:bottom="1134" w:left="1134" w:header="794" w:footer="510" w:gutter="0"/>
          <w:cols w:space="708"/>
          <w:docGrid w:linePitch="360"/>
        </w:sectPr>
      </w:pPr>
      <w:r w:rsidRPr="00696447">
        <w:t xml:space="preserve">Source: </w:t>
      </w:r>
      <w:r w:rsidR="00B83E49">
        <w:t>PC</w:t>
      </w:r>
      <w:r>
        <w:t xml:space="preserve"> estimates based on ABS </w:t>
      </w:r>
      <w:r w:rsidR="001F4645" w:rsidRPr="001F4645">
        <w:rPr>
          <w:rFonts w:ascii="Arial" w:hAnsi="Arial" w:cs="Arial"/>
        </w:rPr>
        <w:t>(2025f)</w:t>
      </w:r>
      <w:r w:rsidR="00B83E49">
        <w:t>.</w:t>
      </w:r>
    </w:p>
    <w:p w14:paraId="7E5D9D90" w14:textId="77777777" w:rsidR="00D62C8B" w:rsidRDefault="00D62C8B" w:rsidP="001C79A3">
      <w:pPr>
        <w:pStyle w:val="Source"/>
      </w:pPr>
    </w:p>
    <w:p w14:paraId="0E58DE9C" w14:textId="77777777" w:rsidR="008C76AF" w:rsidRDefault="008C76AF" w:rsidP="001C79A3">
      <w:pPr>
        <w:pStyle w:val="Source"/>
      </w:pPr>
    </w:p>
    <w:p w14:paraId="6FD4D275" w14:textId="5CA8F660" w:rsidR="008C76AF" w:rsidRDefault="008C76AF" w:rsidP="001C79A3">
      <w:pPr>
        <w:pStyle w:val="Source"/>
        <w:sectPr w:rsidR="008C76AF" w:rsidSect="001E1EA1">
          <w:headerReference w:type="even" r:id="rId92"/>
          <w:pgSz w:w="11906" w:h="16838" w:code="9"/>
          <w:pgMar w:top="1134" w:right="1134" w:bottom="1134" w:left="1134" w:header="794" w:footer="510" w:gutter="0"/>
          <w:cols w:space="708"/>
          <w:docGrid w:linePitch="360"/>
        </w:sectPr>
      </w:pPr>
    </w:p>
    <w:p w14:paraId="25D8485D" w14:textId="5223C864" w:rsidR="00E259AA" w:rsidRPr="00E756A3" w:rsidRDefault="00E259AA" w:rsidP="00CC1067">
      <w:pPr>
        <w:pStyle w:val="Heading1-Section-fullpage"/>
        <w:framePr w:wrap="around"/>
        <w:rPr>
          <w:color w:val="265A9A" w:themeColor="background2"/>
        </w:rPr>
      </w:pPr>
      <w:bookmarkStart w:id="94" w:name="_Toc202477863"/>
      <w:bookmarkStart w:id="95" w:name="_Toc78901540"/>
      <w:bookmarkStart w:id="96" w:name="_Toc201909667"/>
      <w:r w:rsidRPr="00E756A3">
        <w:rPr>
          <w:color w:val="265A9A" w:themeColor="background2"/>
        </w:rPr>
        <w:lastRenderedPageBreak/>
        <w:t>Appendices</w:t>
      </w:r>
      <w:bookmarkEnd w:id="94"/>
    </w:p>
    <w:p w14:paraId="3C0FCAC4" w14:textId="77777777" w:rsidR="001E1EA1" w:rsidRDefault="001E1EA1">
      <w:pPr>
        <w:spacing w:before="0" w:after="160" w:line="259" w:lineRule="auto"/>
        <w:sectPr w:rsidR="001E1EA1" w:rsidSect="00823C91">
          <w:headerReference w:type="even" r:id="rId93"/>
          <w:headerReference w:type="default" r:id="rId94"/>
          <w:footerReference w:type="even" r:id="rId95"/>
          <w:footerReference w:type="default" r:id="rId96"/>
          <w:headerReference w:type="first" r:id="rId97"/>
          <w:footerReference w:type="first" r:id="rId98"/>
          <w:type w:val="oddPage"/>
          <w:pgSz w:w="11906" w:h="16838" w:code="9"/>
          <w:pgMar w:top="1134" w:right="1134" w:bottom="1134" w:left="1134" w:header="794" w:footer="510" w:gutter="0"/>
          <w:cols w:space="708"/>
          <w:docGrid w:linePitch="360"/>
        </w:sectPr>
      </w:pPr>
    </w:p>
    <w:p w14:paraId="36BD1113" w14:textId="77777777" w:rsidR="006D60A4" w:rsidRDefault="006D60A4">
      <w:pPr>
        <w:spacing w:before="0" w:after="160" w:line="259" w:lineRule="auto"/>
      </w:pPr>
    </w:p>
    <w:p w14:paraId="24D07B3D" w14:textId="7268BA39" w:rsidR="006D60A4" w:rsidRDefault="00CC1067">
      <w:pPr>
        <w:spacing w:before="0" w:after="160" w:line="259" w:lineRule="auto"/>
      </w:pPr>
      <w:r>
        <w:br w:type="page"/>
      </w:r>
    </w:p>
    <w:p w14:paraId="1A4D84DC" w14:textId="77777777" w:rsidR="006D60A4" w:rsidRDefault="006D60A4">
      <w:pPr>
        <w:spacing w:before="0" w:after="160" w:line="259" w:lineRule="auto"/>
        <w:sectPr w:rsidR="006D60A4" w:rsidSect="001E1EA1">
          <w:headerReference w:type="even" r:id="rId99"/>
          <w:pgSz w:w="11906" w:h="16838" w:code="9"/>
          <w:pgMar w:top="1134" w:right="1134" w:bottom="1134" w:left="1134" w:header="794" w:footer="510" w:gutter="0"/>
          <w:cols w:space="708"/>
          <w:docGrid w:linePitch="360"/>
        </w:sectPr>
      </w:pPr>
    </w:p>
    <w:p w14:paraId="21691E24" w14:textId="77777777" w:rsidR="00CB4A37" w:rsidRPr="00CB4A37" w:rsidRDefault="00CB4A37" w:rsidP="00B75DAB">
      <w:pPr>
        <w:pStyle w:val="Heading-Appendix"/>
      </w:pPr>
      <w:bookmarkStart w:id="97" w:name="_Toc201325987"/>
      <w:bookmarkStart w:id="98" w:name="_Toc202477864"/>
      <w:r w:rsidRPr="00CB4A37">
        <w:lastRenderedPageBreak/>
        <w:t>Modelling the impact of global tariffs</w:t>
      </w:r>
      <w:bookmarkEnd w:id="97"/>
      <w:bookmarkEnd w:id="98"/>
    </w:p>
    <w:p w14:paraId="58B61807" w14:textId="77777777" w:rsidR="00CB4A37" w:rsidRPr="00CB4A37" w:rsidRDefault="00CB4A37" w:rsidP="00CB4A37">
      <w:pPr>
        <w:keepNext/>
        <w:keepLines/>
        <w:numPr>
          <w:ilvl w:val="1"/>
          <w:numId w:val="34"/>
        </w:numPr>
        <w:spacing w:before="480" w:line="340" w:lineRule="atLeast"/>
        <w:outlineLvl w:val="1"/>
        <w:rPr>
          <w:rFonts w:asciiTheme="majorHAnsi" w:eastAsiaTheme="majorEastAsia" w:hAnsiTheme="majorHAnsi" w:cstheme="majorBidi"/>
          <w:sz w:val="30"/>
          <w:szCs w:val="60"/>
        </w:rPr>
      </w:pPr>
      <w:bookmarkStart w:id="99" w:name="_Toc201325988"/>
      <w:r w:rsidRPr="00CB4A37">
        <w:rPr>
          <w:rFonts w:asciiTheme="majorHAnsi" w:eastAsiaTheme="majorEastAsia" w:hAnsiTheme="majorHAnsi" w:cstheme="majorBidi"/>
          <w:sz w:val="30"/>
          <w:szCs w:val="60"/>
        </w:rPr>
        <w:t>About the global tariff modelling</w:t>
      </w:r>
      <w:bookmarkEnd w:id="99"/>
    </w:p>
    <w:p w14:paraId="5CC4B349" w14:textId="77777777" w:rsidR="00CB4A37" w:rsidRPr="00CB4A37" w:rsidRDefault="00CB4A37" w:rsidP="005D40E2">
      <w:pPr>
        <w:pStyle w:val="BodyText"/>
      </w:pPr>
      <w:r w:rsidRPr="00CB4A37">
        <w:t>The PC used the PC Global computable general equilibrium (CGE) model to assess the potential economy</w:t>
      </w:r>
      <w:r w:rsidRPr="00CB4A37">
        <w:noBreakHyphen/>
        <w:t xml:space="preserve">wide impacts of global tariff scenarios on the Australian economy. This modelling uses the same approach, model and assumptions that the PC documented in its </w:t>
      </w:r>
      <w:r w:rsidRPr="00CB4A37">
        <w:rPr>
          <w:i/>
          <w:iCs/>
        </w:rPr>
        <w:t>Rising protectionism</w:t>
      </w:r>
      <w:r w:rsidRPr="00CB4A37">
        <w:t xml:space="preserve"> and </w:t>
      </w:r>
      <w:r w:rsidRPr="00CB4A37">
        <w:rPr>
          <w:i/>
          <w:iCs/>
        </w:rPr>
        <w:t>Modelling</w:t>
      </w:r>
      <w:r w:rsidRPr="00CB4A37">
        <w:t xml:space="preserve"> </w:t>
      </w:r>
      <w:r w:rsidRPr="00CB4A37">
        <w:rPr>
          <w:i/>
          <w:iCs/>
        </w:rPr>
        <w:t>Asian trade integration</w:t>
      </w:r>
      <w:r w:rsidRPr="00CB4A37">
        <w:t xml:space="preserve"> research papers </w:t>
      </w:r>
      <w:r w:rsidRPr="00CB4A37">
        <w:rPr>
          <w:rFonts w:ascii="Arial" w:hAnsi="Arial" w:cs="Arial"/>
        </w:rPr>
        <w:t>(PC 2017b, 2017a, 2024)</w:t>
      </w:r>
      <w:r w:rsidRPr="00CB4A37">
        <w:t>.</w:t>
      </w:r>
    </w:p>
    <w:p w14:paraId="011EE332" w14:textId="77777777" w:rsidR="00CB4A37" w:rsidRPr="00CB4A37" w:rsidRDefault="00CB4A37" w:rsidP="005D40E2">
      <w:pPr>
        <w:pStyle w:val="BodyText"/>
        <w:rPr>
          <w:rFonts w:ascii="Arial" w:eastAsia="Arial" w:hAnsi="Arial" w:cs="Times New Roman"/>
        </w:rPr>
      </w:pPr>
      <w:r w:rsidRPr="00CB4A37">
        <w:rPr>
          <w:rFonts w:ascii="Arial" w:eastAsia="Arial" w:hAnsi="Arial" w:cs="Times New Roman"/>
        </w:rPr>
        <w:t>CGE models are designed to account for the economy</w:t>
      </w:r>
      <w:r w:rsidRPr="00CB4A37">
        <w:rPr>
          <w:rFonts w:ascii="Arial" w:eastAsia="Arial" w:hAnsi="Arial" w:cs="Times New Roman"/>
        </w:rPr>
        <w:noBreakHyphen/>
        <w:t xml:space="preserve">wide effects of a specified economic shock </w:t>
      </w:r>
      <w:r w:rsidRPr="00CB4A37">
        <w:rPr>
          <w:rFonts w:ascii="Arial" w:hAnsi="Arial" w:cs="Arial"/>
        </w:rPr>
        <w:t>(Burfisher 2021, p. 12)</w:t>
      </w:r>
      <w:r w:rsidRPr="00CB4A37">
        <w:rPr>
          <w:rFonts w:ascii="Arial" w:eastAsia="Arial" w:hAnsi="Arial" w:cs="Times New Roman"/>
        </w:rPr>
        <w:t>. They fit economic data, typically from officially published input</w:t>
      </w:r>
      <w:r w:rsidRPr="00CB4A37">
        <w:rPr>
          <w:rFonts w:ascii="Arial" w:eastAsia="Arial" w:hAnsi="Arial" w:cs="Times New Roman"/>
        </w:rPr>
        <w:noBreakHyphen/>
        <w:t>output tables, to a system of equations and assumptions designed to stylistically model the behavioural responses of firms, households and governments (typically in response to changes in relative prices). CGE models can explicitly account for economy</w:t>
      </w:r>
      <w:r w:rsidRPr="00CB4A37">
        <w:rPr>
          <w:rFonts w:ascii="Arial" w:eastAsia="Arial" w:hAnsi="Arial" w:cs="Times New Roman"/>
        </w:rPr>
        <w:noBreakHyphen/>
        <w:t>wide resource constraints, such as on the national supply of labour. Consequently, in the absence of productivity improvements, industries need to draw resources away from other sectors to increase their output.</w:t>
      </w:r>
    </w:p>
    <w:p w14:paraId="18FEA951" w14:textId="77777777" w:rsidR="00CB4A37" w:rsidRPr="00CB4A37" w:rsidRDefault="00CB4A37" w:rsidP="005D40E2">
      <w:pPr>
        <w:pStyle w:val="BodyText"/>
        <w:rPr>
          <w:rFonts w:ascii="Arial" w:eastAsia="Arial" w:hAnsi="Arial" w:cs="Times New Roman"/>
        </w:rPr>
      </w:pPr>
      <w:r w:rsidRPr="00CB4A37">
        <w:rPr>
          <w:rFonts w:ascii="Arial" w:eastAsia="Arial" w:hAnsi="Arial" w:cs="Times New Roman"/>
        </w:rPr>
        <w:t>PC Global is a comparative</w:t>
      </w:r>
      <w:r w:rsidRPr="00CB4A37">
        <w:rPr>
          <w:rFonts w:ascii="Arial" w:eastAsia="Arial" w:hAnsi="Arial" w:cs="Times New Roman"/>
        </w:rPr>
        <w:noBreakHyphen/>
        <w:t xml:space="preserve">static model (box A.1), comparing the state of the world economy with and without a specified policy shock, at some future point in time after the economy has had time to adjust. PC Global is a streamlined version of the </w:t>
      </w:r>
      <w:r w:rsidRPr="00CB4A37">
        <w:t xml:space="preserve">Global Trade Analysis Project (GTAP) </w:t>
      </w:r>
      <w:r w:rsidRPr="00CB4A37">
        <w:rPr>
          <w:rFonts w:ascii="Arial" w:eastAsia="Arial" w:hAnsi="Arial" w:cs="Times New Roman"/>
        </w:rPr>
        <w:t>Model,</w:t>
      </w:r>
      <w:r w:rsidRPr="00CB4A37">
        <w:rPr>
          <w:rFonts w:ascii="Arial" w:eastAsia="Arial" w:hAnsi="Arial" w:cs="Times New Roman"/>
          <w:vertAlign w:val="superscript"/>
        </w:rPr>
        <w:footnoteReference w:id="39"/>
      </w:r>
      <w:r w:rsidRPr="00CB4A37">
        <w:rPr>
          <w:rFonts w:ascii="Arial" w:eastAsia="Arial" w:hAnsi="Arial" w:cs="Times New Roman"/>
        </w:rPr>
        <w:t xml:space="preserve"> with additional assumptions about how capital is allocated across the world.</w:t>
      </w:r>
      <w:r w:rsidRPr="00CB4A37">
        <w:rPr>
          <w:rFonts w:ascii="Arial" w:eastAsia="Arial" w:hAnsi="Arial" w:cs="Times New Roman"/>
          <w:vertAlign w:val="superscript"/>
        </w:rPr>
        <w:footnoteReference w:id="40"/>
      </w:r>
    </w:p>
    <w:p w14:paraId="7CB24C15" w14:textId="77777777" w:rsidR="00CB4A37" w:rsidRPr="00CB4A37" w:rsidRDefault="00CB4A37" w:rsidP="005D40E2">
      <w:pPr>
        <w:pStyle w:val="BodyText"/>
        <w:rPr>
          <w:rFonts w:ascii="Arial" w:eastAsia="Arial" w:hAnsi="Arial" w:cs="Times New Roman"/>
        </w:rPr>
      </w:pPr>
      <w:r w:rsidRPr="00CB4A37">
        <w:rPr>
          <w:rFonts w:ascii="Arial" w:eastAsia="Arial" w:hAnsi="Arial" w:cs="Times New Roman"/>
        </w:rPr>
        <w:t>The PC Global database used here covers 35 regions – consisting of 30 major economies and five residual regional aggregates (table A.4 at the end of this appendix) – and 65 sectors, including 45 goods sectors and 20 service sectors (table A.5 at the end of this appendix). It has a reference year of 2017 and corresponds to the latest GTAP database (version 11), predating the disruptions to global production and trade caused by the COVID</w:t>
      </w:r>
      <w:r w:rsidRPr="00CB4A37">
        <w:rPr>
          <w:rFonts w:ascii="Arial" w:eastAsia="Arial" w:hAnsi="Arial" w:cs="Times New Roman"/>
        </w:rPr>
        <w:noBreakHyphen/>
        <w:t>19 pandemic. Hence, it may not account for all of the latest developments in global trade.</w:t>
      </w:r>
      <w:r w:rsidRPr="00CB4A37">
        <w:rPr>
          <w:rFonts w:ascii="Arial" w:eastAsia="Arial" w:hAnsi="Arial" w:cs="Times New Roman"/>
          <w:vertAlign w:val="superscript"/>
        </w:rPr>
        <w:footnoteReference w:id="41"/>
      </w:r>
    </w:p>
    <w:tbl>
      <w:tblPr>
        <w:tblStyle w:val="Boxtable1"/>
        <w:tblW w:w="5000" w:type="pct"/>
        <w:tblInd w:w="0" w:type="dxa"/>
        <w:tblLook w:val="04A0" w:firstRow="1" w:lastRow="0" w:firstColumn="1" w:lastColumn="0" w:noHBand="0" w:noVBand="1"/>
      </w:tblPr>
      <w:tblGrid>
        <w:gridCol w:w="9638"/>
      </w:tblGrid>
      <w:tr w:rsidR="00CB4A37" w:rsidRPr="00CB4A37" w14:paraId="157AB4D1" w14:textId="77777777" w:rsidTr="00074CE0">
        <w:trPr>
          <w:tblHeader/>
        </w:trPr>
        <w:tc>
          <w:tcPr>
            <w:tcW w:w="9638" w:type="dxa"/>
            <w:shd w:val="clear" w:color="auto" w:fill="EBEBEB"/>
            <w:tcMar>
              <w:top w:w="170" w:type="dxa"/>
              <w:left w:w="170" w:type="dxa"/>
              <w:bottom w:w="113" w:type="dxa"/>
              <w:right w:w="170" w:type="dxa"/>
            </w:tcMar>
            <w:hideMark/>
          </w:tcPr>
          <w:p w14:paraId="5F1DCE28" w14:textId="77777777" w:rsidR="00CB4A37" w:rsidRPr="00CB4A37" w:rsidRDefault="00CB4A37" w:rsidP="00CB4A37">
            <w:pPr>
              <w:keepNext/>
              <w:spacing w:before="240" w:after="0"/>
              <w:rPr>
                <w:rFonts w:ascii="Arial Black" w:hAnsi="Arial Black"/>
                <w:iCs/>
                <w:color w:val="000000" w:themeColor="text1"/>
                <w:szCs w:val="18"/>
              </w:rPr>
            </w:pPr>
            <w:r w:rsidRPr="00CB4A37">
              <w:rPr>
                <w:rFonts w:ascii="Arial Black" w:hAnsi="Arial Black"/>
                <w:iCs/>
                <w:color w:val="000000" w:themeColor="text1"/>
                <w:szCs w:val="18"/>
              </w:rPr>
              <w:lastRenderedPageBreak/>
              <w:t xml:space="preserve">Box </w:t>
            </w:r>
            <w:r w:rsidRPr="00CB4A37">
              <w:rPr>
                <w:rFonts w:ascii="Arial Black" w:hAnsi="Arial Black"/>
                <w:iCs/>
                <w:noProof/>
                <w:color w:val="000000" w:themeColor="text1"/>
                <w:szCs w:val="18"/>
              </w:rPr>
              <w:t>A</w:t>
            </w:r>
            <w:r w:rsidRPr="00CB4A37">
              <w:rPr>
                <w:rFonts w:ascii="Arial Black" w:hAnsi="Arial Black"/>
                <w:iCs/>
                <w:color w:val="000000" w:themeColor="text1"/>
                <w:szCs w:val="18"/>
              </w:rPr>
              <w:t>.</w:t>
            </w:r>
            <w:r w:rsidRPr="00CB4A37">
              <w:rPr>
                <w:rFonts w:ascii="Arial Black" w:hAnsi="Arial Black"/>
                <w:iCs/>
                <w:noProof/>
                <w:color w:val="000000" w:themeColor="text1"/>
                <w:szCs w:val="18"/>
              </w:rPr>
              <w:t>1</w:t>
            </w:r>
            <w:r w:rsidRPr="00CB4A37">
              <w:rPr>
                <w:rFonts w:ascii="Arial Black" w:hAnsi="Arial Black"/>
                <w:iCs/>
                <w:color w:val="000000" w:themeColor="text1"/>
                <w:szCs w:val="18"/>
              </w:rPr>
              <w:t xml:space="preserve"> – Overview of the PC Global model</w:t>
            </w:r>
          </w:p>
        </w:tc>
      </w:tr>
      <w:tr w:rsidR="00CB4A37" w:rsidRPr="00CB4A37" w14:paraId="3C20E355" w14:textId="77777777" w:rsidTr="00074CE0">
        <w:tc>
          <w:tcPr>
            <w:tcW w:w="9638" w:type="dxa"/>
            <w:shd w:val="clear" w:color="auto" w:fill="EBEBEB"/>
            <w:tcMar>
              <w:top w:w="28" w:type="dxa"/>
              <w:left w:w="170" w:type="dxa"/>
              <w:bottom w:w="170" w:type="dxa"/>
              <w:right w:w="170" w:type="dxa"/>
            </w:tcMar>
            <w:hideMark/>
          </w:tcPr>
          <w:p w14:paraId="1F777910" w14:textId="77777777" w:rsidR="00CB4A37" w:rsidRPr="00CB4A37" w:rsidRDefault="00CB4A37" w:rsidP="00CB4A37">
            <w:r w:rsidRPr="00CB4A37">
              <w:t>PC Global is a computable general equilibrium model (CGE) of the world economy. Each economy in the model database is linked to the others through trade, foreign investment, international capital income flows and, given the long</w:t>
            </w:r>
            <w:r w:rsidRPr="00CB4A37">
              <w:noBreakHyphen/>
              <w:t>run closure used here, movements of productive capital (see below).</w:t>
            </w:r>
          </w:p>
          <w:p w14:paraId="456C2B10" w14:textId="77777777" w:rsidR="00CB4A37" w:rsidRPr="00CB4A37" w:rsidRDefault="00CB4A37" w:rsidP="00CB4A37">
            <w:pPr>
              <w:rPr>
                <w:rFonts w:cs="Arial"/>
              </w:rPr>
            </w:pPr>
            <w:r w:rsidRPr="00CB4A37">
              <w:rPr>
                <w:rFonts w:cs="Arial"/>
              </w:rPr>
              <w:t>Producers in each region use primary factors and intermediate inputs (products) to produce goods and services. Producers seek to minimise production costs based on constant returns to scale production technology to achieve the level of output demanded. Demand for primary factors in aggregate and for intermediate inputs moves with industry output (Leontief technology) and input productivity. Producers substitute between factors (labour and capital for all industries, land for agricultural industries and natural resources for forestry, fishing and mining industries) based on the relative price and productivity of those factors. Producers substitute between intermediate inputs from different sources based on two nested constant elasticity of substitution demands (using Armington elasticities) between:</w:t>
            </w:r>
          </w:p>
          <w:p w14:paraId="61BCCCE4" w14:textId="77777777" w:rsidR="00CB4A37" w:rsidRPr="00CB4A37" w:rsidRDefault="00CB4A37" w:rsidP="00CB4A37">
            <w:pPr>
              <w:numPr>
                <w:ilvl w:val="0"/>
                <w:numId w:val="22"/>
              </w:numPr>
              <w:contextualSpacing/>
            </w:pPr>
            <w:r w:rsidRPr="00CB4A37">
              <w:t>domestically produced inputs and composite imports</w:t>
            </w:r>
          </w:p>
          <w:p w14:paraId="230D3CFE" w14:textId="77777777" w:rsidR="00CB4A37" w:rsidRPr="00CB4A37" w:rsidRDefault="00CB4A37" w:rsidP="005D40E2">
            <w:pPr>
              <w:numPr>
                <w:ilvl w:val="0"/>
                <w:numId w:val="22"/>
              </w:numPr>
            </w:pPr>
            <w:r w:rsidRPr="00CB4A37">
              <w:t>composite imports that are comprised of imports from different countries.</w:t>
            </w:r>
          </w:p>
          <w:p w14:paraId="4DE9A0E8" w14:textId="77777777" w:rsidR="00CB4A37" w:rsidRPr="00CB4A37" w:rsidRDefault="00CB4A37" w:rsidP="00CB4A37">
            <w:r w:rsidRPr="00CB4A37">
              <w:rPr>
                <w:rFonts w:cs="Arial"/>
              </w:rPr>
              <w:t>Using Armington elasticities implies that domestic production and imports are imperfect substitutes for each other (as are imports from different regions).</w:t>
            </w:r>
            <w:r w:rsidRPr="00CB4A37">
              <w:t xml:space="preserve"> First, and at the highest level, producers (and consumers) switch between domestically produced goods and imports based on their relative price. Imports are then sourced from different trading partners based on the price of imports from each country relative to the weighted-average price of imports from all countries. </w:t>
            </w:r>
          </w:p>
          <w:p w14:paraId="16CECCCF" w14:textId="77777777" w:rsidR="00CB4A37" w:rsidRPr="00CB4A37" w:rsidRDefault="00CB4A37" w:rsidP="00CB4A37">
            <w:pPr>
              <w:rPr>
                <w:rFonts w:cs="Arial"/>
              </w:rPr>
            </w:pPr>
            <w:r w:rsidRPr="00CB4A37">
              <w:t xml:space="preserve">The elasticities of substitution between domestic goods and imports vary by product and are typically half the value of the corresponding elasticity between imports from different sources. </w:t>
            </w:r>
            <w:r w:rsidRPr="00CB4A37">
              <w:rPr>
                <w:rFonts w:cs="Arial"/>
              </w:rPr>
              <w:t xml:space="preserve">Consequently, producers (and consumers) are relatively less responsive to changes in the price of domestic goods than imported goods from different sources. Imports from different regions are more substitutable for each other than they are for domestic production. </w:t>
            </w:r>
          </w:p>
          <w:p w14:paraId="1693E397" w14:textId="77777777" w:rsidR="00CB4A37" w:rsidRPr="00CB4A37" w:rsidRDefault="00CB4A37" w:rsidP="00CB4A37">
            <w:pPr>
              <w:rPr>
                <w:rFonts w:cs="Arial"/>
              </w:rPr>
            </w:pPr>
            <w:r w:rsidRPr="00CB4A37">
              <w:rPr>
                <w:rFonts w:cs="Arial"/>
              </w:rPr>
              <w:t>Land, labour and natural resources are owned in the economy in which production occurs. The capital stock in each industry in each economy is owned by domestic and foreign investors in differing proportions. This entitles foreign investors to a proportionate share of the capital income that the industry generates. Foreign investors pay income tax on their capital income in the economy in which the income is earnt. The after</w:t>
            </w:r>
            <w:r w:rsidRPr="00CB4A37">
              <w:rPr>
                <w:rFonts w:cs="Arial"/>
              </w:rPr>
              <w:noBreakHyphen/>
              <w:t>tax foreign capital income feeds into the income account of the investor’s home region and into its national income. These income flows account for the difference between gross domestic production (GDP) and gross national product (GNP) in the model. The model also accounts for the change in purchasing power of national income (Gross Domestic Absorption, or GDA). All other primary factor income accrues to households in the economy in which production occurs.</w:t>
            </w:r>
          </w:p>
          <w:p w14:paraId="428EC8C9" w14:textId="77777777" w:rsidR="00CB4A37" w:rsidRPr="00CB4A37" w:rsidRDefault="00CB4A37" w:rsidP="00CB4A37">
            <w:pPr>
              <w:rPr>
                <w:rFonts w:cs="Arial"/>
              </w:rPr>
            </w:pPr>
            <w:r w:rsidRPr="00CB4A37">
              <w:rPr>
                <w:rFonts w:cs="Arial"/>
              </w:rPr>
              <w:t>Households consume goods and services from their after</w:t>
            </w:r>
            <w:r w:rsidRPr="00CB4A37">
              <w:rPr>
                <w:rFonts w:cs="Arial"/>
              </w:rPr>
              <w:noBreakHyphen/>
              <w:t>tax income that is not saved. The quantity of each good and service demanded is based on the price of that good or service assuming a Cobb</w:t>
            </w:r>
            <w:r w:rsidRPr="00CB4A37">
              <w:rPr>
                <w:rFonts w:cs="Arial"/>
              </w:rPr>
              <w:noBreakHyphen/>
              <w:t>Douglas demand function. Household savings fund investment, alongside government savings.</w:t>
            </w:r>
          </w:p>
          <w:p w14:paraId="7AB991F2" w14:textId="77777777" w:rsidR="00CB4A37" w:rsidRPr="00CB4A37" w:rsidRDefault="00CB4A37" w:rsidP="00CB4A37">
            <w:pPr>
              <w:rPr>
                <w:rFonts w:cs="Arial"/>
              </w:rPr>
            </w:pPr>
            <w:r w:rsidRPr="00CB4A37">
              <w:rPr>
                <w:rFonts w:cs="Arial"/>
              </w:rPr>
              <w:t xml:space="preserve">Government is modelled stylistically. It levies various taxes – on primary factor incomes (including capital income), production, the domestic sale of goods, imports (tariffs) and exports. Revenue from these taxes funds government savings and expenditure. The quantity of government demand for each good and service is based on their price assuming a Constant Demand Elasticity function. </w:t>
            </w:r>
          </w:p>
        </w:tc>
      </w:tr>
      <w:tr w:rsidR="00CB4A37" w:rsidRPr="00CB4A37" w14:paraId="167DC76C" w14:textId="77777777" w:rsidTr="00074CE0">
        <w:trPr>
          <w:hidden/>
        </w:trPr>
        <w:tc>
          <w:tcPr>
            <w:tcW w:w="9638" w:type="dxa"/>
            <w:shd w:val="clear" w:color="auto" w:fill="auto"/>
            <w:tcMar>
              <w:top w:w="0" w:type="dxa"/>
              <w:left w:w="170" w:type="dxa"/>
              <w:bottom w:w="0" w:type="dxa"/>
              <w:right w:w="170" w:type="dxa"/>
            </w:tcMar>
            <w:hideMark/>
          </w:tcPr>
          <w:p w14:paraId="54BDF571" w14:textId="77777777" w:rsidR="00CB4A37" w:rsidRPr="00CB4A37" w:rsidRDefault="00CB4A37" w:rsidP="00CB4A37">
            <w:pPr>
              <w:spacing w:before="0" w:after="0" w:line="80" w:lineRule="atLeast"/>
              <w:rPr>
                <w:smallCaps/>
                <w:vanish/>
              </w:rPr>
            </w:pPr>
          </w:p>
        </w:tc>
      </w:tr>
    </w:tbl>
    <w:p w14:paraId="725825C4" w14:textId="77777777" w:rsidR="00CB4A37" w:rsidRPr="00CB4A37" w:rsidRDefault="00CB4A37" w:rsidP="00CB4A37">
      <w:pPr>
        <w:rPr>
          <w:spacing w:val="-2"/>
        </w:rPr>
      </w:pPr>
      <w:r w:rsidRPr="00CB4A37">
        <w:rPr>
          <w:spacing w:val="-2"/>
        </w:rPr>
        <w:lastRenderedPageBreak/>
        <w:t>The modelling assumes that, over the long run, investors in each country reallocate their productive capital across regions to equalise the changes in the rate of return that they earn on the capital that they own in different destinations and industries.</w:t>
      </w:r>
      <w:r w:rsidRPr="00CB4A37">
        <w:rPr>
          <w:spacing w:val="-2"/>
          <w:vertAlign w:val="superscript"/>
        </w:rPr>
        <w:footnoteReference w:id="42"/>
      </w:r>
      <w:r w:rsidRPr="00CB4A37">
        <w:rPr>
          <w:spacing w:val="-2"/>
          <w:vertAlign w:val="superscript"/>
        </w:rPr>
        <w:t>,</w:t>
      </w:r>
      <w:r w:rsidRPr="00CB4A37">
        <w:rPr>
          <w:spacing w:val="-2"/>
          <w:vertAlign w:val="superscript"/>
        </w:rPr>
        <w:footnoteReference w:id="43"/>
      </w:r>
      <w:r w:rsidRPr="00CB4A37">
        <w:rPr>
          <w:spacing w:val="-2"/>
        </w:rPr>
        <w:t xml:space="preserve"> The aggregate supply of labour in each economy is held fixed, with wages and each industry’s share of labour supply allowed to vary in response to industry demand. This ‘closure’ assumption is consistent with assuming that the economy has adapted fully to the modelled changes.</w:t>
      </w:r>
      <w:r w:rsidRPr="00CB4A37">
        <w:rPr>
          <w:spacing w:val="-2"/>
          <w:vertAlign w:val="superscript"/>
        </w:rPr>
        <w:footnoteReference w:id="44"/>
      </w:r>
      <w:r w:rsidRPr="00CB4A37">
        <w:rPr>
          <w:spacing w:val="-2"/>
        </w:rPr>
        <w:t xml:space="preserve"> </w:t>
      </w:r>
    </w:p>
    <w:p w14:paraId="3AADBE80" w14:textId="77777777" w:rsidR="00CB4A37" w:rsidRPr="00CB4A37" w:rsidRDefault="00CB4A37" w:rsidP="00CB4A37">
      <w:r w:rsidRPr="00CB4A37">
        <w:t>This long</w:t>
      </w:r>
      <w:r w:rsidRPr="00CB4A37">
        <w:noBreakHyphen/>
        <w:t>run closure also allows a high degree of flexibility in the trade response of each economy to a given shock. The elasticities of substitution between imports from different sources are sufficiently high to allow for economies to pivot their sources and destinations to mitigate economic harm. Consistent with a long</w:t>
      </w:r>
      <w:r w:rsidRPr="00CB4A37">
        <w:noBreakHyphen/>
        <w:t>run environment, it is typically prices, instead of volumes, that bear the brunt of adjustment.</w:t>
      </w:r>
    </w:p>
    <w:p w14:paraId="3671F65D" w14:textId="77777777" w:rsidR="00CB4A37" w:rsidRPr="00CB4A37" w:rsidRDefault="00CB4A37" w:rsidP="00CB4A37">
      <w:r w:rsidRPr="00CB4A37">
        <w:t>The model does not include bilateral nominal exchange rates between countries, such that export prices, and with them export volumes, adjust to ensure that there is no change in the model’s stylised balance of payments (referred to as restoring external balance).</w:t>
      </w:r>
      <w:r w:rsidRPr="00CB4A37">
        <w:rPr>
          <w:vertAlign w:val="superscript"/>
        </w:rPr>
        <w:footnoteReference w:id="45"/>
      </w:r>
      <w:r w:rsidRPr="00CB4A37">
        <w:t xml:space="preserve"> The balance on the current account (which reflects, among other things, exports, imports and income flows) must offset the balance on the capital account (investment minus savings).</w:t>
      </w:r>
    </w:p>
    <w:p w14:paraId="4D051AA9" w14:textId="77777777" w:rsidR="00CB4A37" w:rsidRPr="00CB4A37" w:rsidRDefault="00CB4A37" w:rsidP="00CB4A37">
      <w:r w:rsidRPr="00CB4A37">
        <w:t>The results represent a new long-run global equilibrium after all quantities and prices (including wages and capital flows) have fully adjusted to the new policy settings, subject to these assumptions.</w:t>
      </w:r>
    </w:p>
    <w:p w14:paraId="57DCAD2B" w14:textId="77777777" w:rsidR="00CB4A37" w:rsidRPr="00CB4A37" w:rsidRDefault="00CB4A37" w:rsidP="00CB4A37">
      <w:r w:rsidRPr="00CB4A37">
        <w:t>PC Global is a model of real, rather than nominal, economic activity. Although it has prices, all prices in the model are implicitly relative to a fixed model numeraire that is set exogenously. The numeraire in this analysis is the world price of capital goods. As the model does not contain bilateral or country-specific exchange rates, all prices in the database have been converted to US dollars.</w:t>
      </w:r>
    </w:p>
    <w:p w14:paraId="47EC3A6A" w14:textId="77777777" w:rsidR="00CB4A37" w:rsidRPr="00CB4A37" w:rsidRDefault="00CB4A37" w:rsidP="003C6C84">
      <w:pPr>
        <w:keepNext/>
        <w:keepLines/>
        <w:numPr>
          <w:ilvl w:val="1"/>
          <w:numId w:val="34"/>
        </w:numPr>
        <w:spacing w:before="480" w:line="340" w:lineRule="atLeast"/>
        <w:outlineLvl w:val="1"/>
        <w:rPr>
          <w:rFonts w:asciiTheme="majorHAnsi" w:eastAsiaTheme="majorEastAsia" w:hAnsiTheme="majorHAnsi" w:cstheme="majorBidi"/>
          <w:sz w:val="30"/>
          <w:szCs w:val="60"/>
        </w:rPr>
      </w:pPr>
      <w:bookmarkStart w:id="100" w:name="_Toc201325989"/>
      <w:r w:rsidRPr="00CB4A37">
        <w:rPr>
          <w:rFonts w:asciiTheme="majorHAnsi" w:eastAsiaTheme="majorEastAsia" w:hAnsiTheme="majorHAnsi" w:cstheme="majorBidi"/>
          <w:sz w:val="30"/>
          <w:szCs w:val="60"/>
        </w:rPr>
        <w:t>Global tariff modelling scenarios</w:t>
      </w:r>
      <w:bookmarkEnd w:id="100"/>
    </w:p>
    <w:p w14:paraId="4C89CEA5" w14:textId="77777777" w:rsidR="00CB4A37" w:rsidRPr="00CB4A37" w:rsidRDefault="00CB4A37" w:rsidP="00CB4A37">
      <w:r w:rsidRPr="00CB4A37">
        <w:t>The PC modelled three scenarios to illustrate the potential impacts of recent global tariff developments on Australia. These scenarios are loosely based on recent US trade policy developments and are designed to explain the different ways that global tariffs may impact the Australian economy. Our modelling scenarios abstract from policy settings to focus on the mechanisms at play.</w:t>
      </w:r>
    </w:p>
    <w:p w14:paraId="5DC97D7C" w14:textId="77777777" w:rsidR="00CB4A37" w:rsidRPr="00CB4A37" w:rsidRDefault="00CB4A37" w:rsidP="00CB4A37">
      <w:r w:rsidRPr="00CB4A37">
        <w:t>The PC modelled the following scenarios to estimate the potential impacts of global tariffs on Australia.</w:t>
      </w:r>
      <w:r w:rsidRPr="00CB4A37">
        <w:rPr>
          <w:rFonts w:ascii="Arial" w:eastAsia="Arial" w:hAnsi="Arial" w:cs="Times New Roman"/>
          <w:vertAlign w:val="superscript"/>
        </w:rPr>
        <w:footnoteReference w:id="46"/>
      </w:r>
    </w:p>
    <w:p w14:paraId="15DFED51" w14:textId="77777777" w:rsidR="00CB4A37" w:rsidRPr="00CB4A37" w:rsidRDefault="00CB4A37" w:rsidP="00CB4A37">
      <w:pPr>
        <w:numPr>
          <w:ilvl w:val="0"/>
          <w:numId w:val="22"/>
        </w:numPr>
        <w:contextualSpacing/>
      </w:pPr>
      <w:r w:rsidRPr="00CB4A37">
        <w:rPr>
          <w:b/>
        </w:rPr>
        <w:lastRenderedPageBreak/>
        <w:t>Universal 10</w:t>
      </w:r>
      <w:r w:rsidRPr="00CB4A37">
        <w:t>: an additional 10% tariff on all goods imports to the US from all trading partners.</w:t>
      </w:r>
    </w:p>
    <w:p w14:paraId="4AA00C26" w14:textId="77777777" w:rsidR="00CB4A37" w:rsidRPr="00CB4A37" w:rsidRDefault="00CB4A37" w:rsidP="00CB4A37">
      <w:pPr>
        <w:numPr>
          <w:ilvl w:val="0"/>
          <w:numId w:val="22"/>
        </w:numPr>
        <w:contextualSpacing/>
      </w:pPr>
      <w:r w:rsidRPr="00CB4A37">
        <w:rPr>
          <w:b/>
        </w:rPr>
        <w:t>Liberation Day</w:t>
      </w:r>
      <w:r w:rsidRPr="00CB4A37">
        <w:rPr>
          <w:b/>
          <w:bCs/>
        </w:rPr>
        <w:t>+</w:t>
      </w:r>
      <w:r w:rsidRPr="00CB4A37">
        <w:t>: additional tariffs on all goods imports to the US, varying by product and foreign trading partner roughly in line with the Liberation Day announcements.</w:t>
      </w:r>
    </w:p>
    <w:p w14:paraId="78FEF1D5" w14:textId="77777777" w:rsidR="00CB4A37" w:rsidRPr="00CB4A37" w:rsidRDefault="00CB4A37" w:rsidP="00CB4A37">
      <w:pPr>
        <w:numPr>
          <w:ilvl w:val="0"/>
          <w:numId w:val="22"/>
        </w:numPr>
      </w:pPr>
      <w:r w:rsidRPr="00CB4A37">
        <w:rPr>
          <w:b/>
        </w:rPr>
        <w:t>China 50</w:t>
      </w:r>
      <w:r w:rsidRPr="00CB4A37">
        <w:t>: an additional 50% tariff on all goods imports to the US from China.</w:t>
      </w:r>
    </w:p>
    <w:p w14:paraId="67906506" w14:textId="77777777" w:rsidR="00CB4A37" w:rsidRPr="00CB4A37" w:rsidRDefault="00CB4A37" w:rsidP="00CB4A37">
      <w:r w:rsidRPr="00CB4A37">
        <w:t>Each scenario consists of two parts:</w:t>
      </w:r>
    </w:p>
    <w:p w14:paraId="29807FB5" w14:textId="77777777" w:rsidR="00CB4A37" w:rsidRPr="00CB4A37" w:rsidRDefault="00CB4A37" w:rsidP="00CB4A37">
      <w:pPr>
        <w:numPr>
          <w:ilvl w:val="0"/>
          <w:numId w:val="22"/>
        </w:numPr>
        <w:contextualSpacing/>
      </w:pPr>
      <w:r w:rsidRPr="00CB4A37">
        <w:t>The policy is implemented unilaterally by the US (that is, without retaliation from the countries targeted).</w:t>
      </w:r>
    </w:p>
    <w:p w14:paraId="41B00524" w14:textId="77777777" w:rsidR="00CB4A37" w:rsidRPr="00CB4A37" w:rsidRDefault="00CB4A37" w:rsidP="00CB4A37">
      <w:pPr>
        <w:numPr>
          <w:ilvl w:val="0"/>
          <w:numId w:val="22"/>
        </w:numPr>
        <w:contextualSpacing/>
        <w:rPr>
          <w:spacing w:val="-2"/>
        </w:rPr>
      </w:pPr>
      <w:r w:rsidRPr="00CB4A37">
        <w:rPr>
          <w:spacing w:val="-2"/>
        </w:rPr>
        <w:t>The economies targeted by the policy retaliate in an identical manner (including, where relevant, Australia).</w:t>
      </w:r>
      <w:r w:rsidRPr="00CB4A37">
        <w:rPr>
          <w:spacing w:val="-2"/>
          <w:vertAlign w:val="superscript"/>
        </w:rPr>
        <w:footnoteReference w:id="47"/>
      </w:r>
      <w:r w:rsidRPr="00CB4A37">
        <w:rPr>
          <w:spacing w:val="-2"/>
        </w:rPr>
        <w:t xml:space="preserve"> </w:t>
      </w:r>
    </w:p>
    <w:p w14:paraId="18C20D5F" w14:textId="77777777" w:rsidR="00CB4A37" w:rsidRPr="00CB4A37" w:rsidRDefault="00CB4A37" w:rsidP="00504D82">
      <w:pPr>
        <w:pStyle w:val="Heading3-noTOC"/>
      </w:pPr>
      <w:r w:rsidRPr="00CB4A37">
        <w:t>Universal 10: an additional 10% tariff on all goods imports to the United States from all trading partners</w:t>
      </w:r>
    </w:p>
    <w:p w14:paraId="6787C070" w14:textId="77777777" w:rsidR="00CB4A37" w:rsidRPr="00CB4A37" w:rsidRDefault="00CB4A37" w:rsidP="00CB4A37">
      <w:r w:rsidRPr="00CB4A37">
        <w:t xml:space="preserve">On 2 April 2025, the President of the US issued Executive Order 14257 declaring a national emergency over the US trade deficit and imposing ‘an additional ad valorem duty on all imports from all trading partners’ (subject to limited exemptions), starting at a baseline of 10% </w:t>
      </w:r>
      <w:r w:rsidRPr="00CB4A37">
        <w:rPr>
          <w:rFonts w:ascii="Arial" w:hAnsi="Arial" w:cs="Arial"/>
        </w:rPr>
        <w:t>(The White House 2025s)</w:t>
      </w:r>
      <w:r w:rsidRPr="00CB4A37">
        <w:t>.</w:t>
      </w:r>
      <w:r w:rsidRPr="00CB4A37">
        <w:rPr>
          <w:vertAlign w:val="superscript"/>
        </w:rPr>
        <w:footnoteReference w:id="48"/>
      </w:r>
      <w:r w:rsidRPr="00CB4A37">
        <w:t xml:space="preserve"> Further tariffs varied by trading partner but were paused for 90 days while the 10% baseline remained in force </w:t>
      </w:r>
      <w:r w:rsidRPr="00CB4A37">
        <w:rPr>
          <w:rFonts w:ascii="Arial" w:hAnsi="Arial" w:cs="Arial"/>
        </w:rPr>
        <w:t>(The White House 2025p, 2025o)</w:t>
      </w:r>
      <w:r w:rsidRPr="00CB4A37">
        <w:t>.</w:t>
      </w:r>
    </w:p>
    <w:p w14:paraId="5DEE7B1A" w14:textId="77777777" w:rsidR="00CB4A37" w:rsidRPr="00CB4A37" w:rsidRDefault="00CB4A37" w:rsidP="00CB4A37">
      <w:r w:rsidRPr="00CB4A37">
        <w:t xml:space="preserve">The PC modelled a scenario where the US levies an additional 10% tariff on all goods imports from all trading partners. For example, if the US levied a 2% ad valorem tariff on all imports of a particular good prior to the policy change, the ad valorem tariff rate would increase by 10 </w:t>
      </w:r>
      <w:r w:rsidRPr="00CB4A37" w:rsidDel="009D418F">
        <w:t>percent</w:t>
      </w:r>
      <w:r w:rsidRPr="00CB4A37" w:rsidDel="00497358">
        <w:t>age</w:t>
      </w:r>
      <w:r w:rsidRPr="00CB4A37">
        <w:t xml:space="preserve"> points to 12% for imports of that good from all countries.</w:t>
      </w:r>
      <w:r w:rsidRPr="00CB4A37">
        <w:rPr>
          <w:vertAlign w:val="superscript"/>
        </w:rPr>
        <w:footnoteReference w:id="49"/>
      </w:r>
      <w:r w:rsidRPr="00CB4A37">
        <w:rPr>
          <w:vertAlign w:val="superscript"/>
        </w:rPr>
        <w:t>,</w:t>
      </w:r>
      <w:r w:rsidRPr="00CB4A37">
        <w:rPr>
          <w:vertAlign w:val="superscript"/>
        </w:rPr>
        <w:footnoteReference w:id="50"/>
      </w:r>
      <w:r w:rsidRPr="00CB4A37">
        <w:t xml:space="preserve"> </w:t>
      </w:r>
    </w:p>
    <w:p w14:paraId="20F57C4C" w14:textId="77777777" w:rsidR="00CB4A37" w:rsidRPr="00CB4A37" w:rsidRDefault="00CB4A37" w:rsidP="00CB4A37">
      <w:r w:rsidRPr="00CB4A37">
        <w:t>The PC also modelled three retaliation scenarios for the Universal 10 scenario, where the rest of the world levies an additional 10% tariff on all goods imports from the US, while Australia’s response differs across scenarios:</w:t>
      </w:r>
    </w:p>
    <w:p w14:paraId="04AE4003" w14:textId="77777777" w:rsidR="00CB4A37" w:rsidRPr="00CB4A37" w:rsidRDefault="00CB4A37" w:rsidP="00CB4A37">
      <w:pPr>
        <w:numPr>
          <w:ilvl w:val="0"/>
          <w:numId w:val="22"/>
        </w:numPr>
        <w:contextualSpacing/>
      </w:pPr>
      <w:r w:rsidRPr="00CB4A37">
        <w:t>Australia joins with the rest of the world and imposes a 10% retaliatory tariff on all imports from the US.</w:t>
      </w:r>
    </w:p>
    <w:p w14:paraId="2BDA62BF" w14:textId="77777777" w:rsidR="00CB4A37" w:rsidRPr="00CB4A37" w:rsidRDefault="00CB4A37" w:rsidP="00CB4A37">
      <w:pPr>
        <w:numPr>
          <w:ilvl w:val="0"/>
          <w:numId w:val="22"/>
        </w:numPr>
        <w:contextualSpacing/>
      </w:pPr>
      <w:r w:rsidRPr="00CB4A37">
        <w:t>Australia takes no action while the rest of the world imposes a 10% tariff on all imports from the US.</w:t>
      </w:r>
    </w:p>
    <w:p w14:paraId="740B00F1" w14:textId="77777777" w:rsidR="00CB4A37" w:rsidRPr="00CB4A37" w:rsidRDefault="00CB4A37" w:rsidP="00CB4A37">
      <w:pPr>
        <w:numPr>
          <w:ilvl w:val="0"/>
          <w:numId w:val="22"/>
        </w:numPr>
        <w:contextualSpacing/>
      </w:pPr>
      <w:r w:rsidRPr="00CB4A37">
        <w:t>Australia removes all tariffs while the rest of the world imposes a 10% tariff on all imports from the US.</w:t>
      </w:r>
    </w:p>
    <w:p w14:paraId="6530094C" w14:textId="77777777" w:rsidR="00CB4A37" w:rsidRPr="00CB4A37" w:rsidRDefault="00CB4A37" w:rsidP="00504D82">
      <w:pPr>
        <w:pStyle w:val="Heading3-noTOC"/>
      </w:pPr>
      <w:r w:rsidRPr="00CB4A37">
        <w:lastRenderedPageBreak/>
        <w:t>Liberation Day+: additional tariffs on all goods imports to the United States, varying by product and foreign trading partner</w:t>
      </w:r>
    </w:p>
    <w:p w14:paraId="7EE18A3D" w14:textId="77777777" w:rsidR="00CB4A37" w:rsidRPr="00CB4A37" w:rsidRDefault="00CB4A37" w:rsidP="00CB4A37">
      <w:r w:rsidRPr="00CB4A37">
        <w:t xml:space="preserve">On 1 February 2025, the President of the US issued Executive Orders 14193 and 14194 announcing additional tariffs to be imposed on goods imported from Canada and Mexico, respectively </w:t>
      </w:r>
      <w:r w:rsidRPr="00CB4A37">
        <w:rPr>
          <w:rFonts w:ascii="Arial" w:hAnsi="Arial" w:cs="Arial"/>
        </w:rPr>
        <w:t>(The White House 2025l, 2025m)</w:t>
      </w:r>
      <w:r w:rsidRPr="00CB4A37">
        <w:t xml:space="preserve">. The Executive Orders impose a 25% ad valorem rate of duty on products of Canada and Mexico, except for energy and energy resources from Canada, which are subject to a 10% ad valorem rate of duty. The additional tariffs on Canada and Mexico were paused until 4 March following negotiations with the US </w:t>
      </w:r>
      <w:r w:rsidRPr="00CB4A37">
        <w:rPr>
          <w:rFonts w:ascii="Arial" w:hAnsi="Arial" w:cs="Arial"/>
        </w:rPr>
        <w:t>(The White House 2025r, 2025q)</w:t>
      </w:r>
      <w:r w:rsidRPr="00CB4A37">
        <w:t xml:space="preserve">, and suspended indefinitely from 7 March for goods that satisfy US-Mexico-Canada-Agreement (USMCA) rules of origin </w:t>
      </w:r>
      <w:r w:rsidRPr="00CB4A37">
        <w:rPr>
          <w:rFonts w:ascii="Arial" w:hAnsi="Arial" w:cs="Arial"/>
        </w:rPr>
        <w:t>(The White House 2025e, 2025f)</w:t>
      </w:r>
      <w:r w:rsidRPr="00CB4A37">
        <w:t>.</w:t>
      </w:r>
    </w:p>
    <w:p w14:paraId="2D813A00" w14:textId="77777777" w:rsidR="00CB4A37" w:rsidRPr="00CB4A37" w:rsidRDefault="00CB4A37" w:rsidP="00CB4A37">
      <w:pPr>
        <w:rPr>
          <w:spacing w:val="-2"/>
        </w:rPr>
      </w:pPr>
      <w:r w:rsidRPr="00CB4A37">
        <w:rPr>
          <w:spacing w:val="-2"/>
        </w:rPr>
        <w:t xml:space="preserve">On 10 February, the President issued Proclamations 10895 and 10896 increasing the rate of duty on imports of aluminium and steel articles, respectively, to 25% for all trading partners </w:t>
      </w:r>
      <w:r w:rsidRPr="00CB4A37">
        <w:rPr>
          <w:rFonts w:cs="Arial"/>
          <w:spacing w:val="-2"/>
        </w:rPr>
        <w:t>(The White House 2025b, 2025d)</w:t>
      </w:r>
      <w:r w:rsidRPr="00CB4A37">
        <w:rPr>
          <w:spacing w:val="-2"/>
        </w:rPr>
        <w:t xml:space="preserve">. These Proclamations increase pre-existing tariffs on aluminium imports from 10% to 25% and remove tariff exemptions that had previously been granted to aluminium and steel imports from Australia and other trading partners. On 3 June, the President issued Proclamation 10947 which doubled the additional rate of duty on aluminium and steel articles from 25% to 50% for all trading partners </w:t>
      </w:r>
      <w:r w:rsidRPr="00CB4A37">
        <w:rPr>
          <w:rFonts w:cs="Arial"/>
          <w:spacing w:val="-2"/>
        </w:rPr>
        <w:t>(The White House 2025a)</w:t>
      </w:r>
      <w:r w:rsidRPr="00CB4A37">
        <w:rPr>
          <w:spacing w:val="-2"/>
        </w:rPr>
        <w:t xml:space="preserve">. </w:t>
      </w:r>
    </w:p>
    <w:p w14:paraId="519AE4F2" w14:textId="77777777" w:rsidR="00CB4A37" w:rsidRPr="00CB4A37" w:rsidRDefault="00CB4A37" w:rsidP="00CB4A37">
      <w:r w:rsidRPr="00CB4A37">
        <w:t xml:space="preserve">On 26 March, the President issued Proclamation 10908 imposing an additional 25% tariff on imports of automobiles and automobile parts </w:t>
      </w:r>
      <w:r w:rsidRPr="00CB4A37">
        <w:rPr>
          <w:rFonts w:ascii="Arial" w:hAnsi="Arial" w:cs="Arial"/>
        </w:rPr>
        <w:t>(The White House 2025c)</w:t>
      </w:r>
      <w:r w:rsidRPr="00CB4A37">
        <w:t xml:space="preserve">. On 20 April, the President issued Proclamation 10925 which temporarily reduced the effective rate of duty on imports of automobiles parts used to assemble automobiles in the US </w:t>
      </w:r>
      <w:r w:rsidRPr="00CB4A37">
        <w:rPr>
          <w:rFonts w:ascii="Arial" w:hAnsi="Arial" w:cs="Arial"/>
        </w:rPr>
        <w:t>(The White House 2025h)</w:t>
      </w:r>
      <w:r w:rsidRPr="00CB4A37">
        <w:t>. The Proclamation introduced an import adjustment offset valued at 3.75% of the value of automobiles assembled in the US, available until 30 April 2026 and at a lower rate of 2.5% until 30 April 2027.</w:t>
      </w:r>
    </w:p>
    <w:p w14:paraId="3E4DF4AD" w14:textId="77777777" w:rsidR="00CB4A37" w:rsidRPr="00CB4A37" w:rsidRDefault="00CB4A37" w:rsidP="00CB4A37">
      <w:r w:rsidRPr="00CB4A37">
        <w:t xml:space="preserve">On 2 April, US Executive Order 14257 announced further tariffs to be imposed on imports from 57 countries from 5 April </w:t>
      </w:r>
      <w:r w:rsidRPr="00CB4A37">
        <w:rPr>
          <w:rFonts w:ascii="Arial" w:hAnsi="Arial" w:cs="Arial"/>
        </w:rPr>
        <w:t>(The White House 2025s)</w:t>
      </w:r>
      <w:r w:rsidRPr="00CB4A37">
        <w:t xml:space="preserve">. These further tariffs varied by trading partner and were described as ‘reciprocal tariffs’, aiming to balance asymmetries in US trade relationships including the US trade deficit, differences in tariff rates, and the use of non-tariff barriers by foreign trading partners. US reciprocal tariffs were paused for 90 days from 10 April for all trading partners except China </w:t>
      </w:r>
      <w:r w:rsidRPr="00CB4A37">
        <w:rPr>
          <w:rFonts w:ascii="Arial" w:hAnsi="Arial" w:cs="Arial"/>
        </w:rPr>
        <w:t>(The White House 2025p)</w:t>
      </w:r>
      <w:r w:rsidRPr="00CB4A37">
        <w:t xml:space="preserve">, whose tariffs were paused from 14 May </w:t>
      </w:r>
      <w:r w:rsidRPr="00CB4A37">
        <w:rPr>
          <w:rFonts w:ascii="Arial" w:hAnsi="Arial" w:cs="Arial"/>
        </w:rPr>
        <w:t>(The White House 2025o)</w:t>
      </w:r>
      <w:r w:rsidRPr="00CB4A37">
        <w:t>.</w:t>
      </w:r>
    </w:p>
    <w:p w14:paraId="4FB065BE" w14:textId="77777777" w:rsidR="00CB4A37" w:rsidRPr="00CB4A37" w:rsidRDefault="00CB4A37" w:rsidP="00CB4A37">
      <w:r w:rsidRPr="00CB4A37">
        <w:t>The PC modelled a scenario where the US levies the additional tariffs shown in figure A.1, as outlined in:</w:t>
      </w:r>
    </w:p>
    <w:p w14:paraId="3D3BFC25" w14:textId="77777777" w:rsidR="00CB4A37" w:rsidRPr="00CB4A37" w:rsidRDefault="00CB4A37" w:rsidP="00CB4A37">
      <w:pPr>
        <w:numPr>
          <w:ilvl w:val="0"/>
          <w:numId w:val="22"/>
        </w:numPr>
        <w:contextualSpacing/>
      </w:pPr>
      <w:r w:rsidRPr="00CB4A37">
        <w:t>Executive Order 14193 (tariffs on imports from Canada)</w:t>
      </w:r>
    </w:p>
    <w:p w14:paraId="4144F447" w14:textId="77777777" w:rsidR="00CB4A37" w:rsidRPr="00CB4A37" w:rsidRDefault="00CB4A37" w:rsidP="00CB4A37">
      <w:pPr>
        <w:numPr>
          <w:ilvl w:val="0"/>
          <w:numId w:val="22"/>
        </w:numPr>
        <w:contextualSpacing/>
      </w:pPr>
      <w:r w:rsidRPr="00CB4A37">
        <w:t>Executive Order 14194 (tariffs on imports from Mexico)</w:t>
      </w:r>
    </w:p>
    <w:p w14:paraId="0D5C23A9" w14:textId="77777777" w:rsidR="00CB4A37" w:rsidRPr="00CB4A37" w:rsidRDefault="00CB4A37" w:rsidP="00CB4A37">
      <w:pPr>
        <w:numPr>
          <w:ilvl w:val="0"/>
          <w:numId w:val="22"/>
        </w:numPr>
        <w:contextualSpacing/>
      </w:pPr>
      <w:r w:rsidRPr="00CB4A37">
        <w:t>Executive Order 14257 (tariffs on all other trading partners)</w:t>
      </w:r>
    </w:p>
    <w:p w14:paraId="22D0B209" w14:textId="77777777" w:rsidR="00CB4A37" w:rsidRPr="00CB4A37" w:rsidRDefault="00CB4A37" w:rsidP="00CB4A37">
      <w:pPr>
        <w:numPr>
          <w:ilvl w:val="0"/>
          <w:numId w:val="22"/>
        </w:numPr>
        <w:contextualSpacing/>
      </w:pPr>
      <w:r w:rsidRPr="00CB4A37">
        <w:t>Proclamation 10908 (25% tariffs on imports of automobiles and automobile parts)</w:t>
      </w:r>
    </w:p>
    <w:p w14:paraId="3B4ABA1E" w14:textId="77777777" w:rsidR="00CB4A37" w:rsidRPr="00CB4A37" w:rsidRDefault="00CB4A37" w:rsidP="00CB4A37">
      <w:pPr>
        <w:numPr>
          <w:ilvl w:val="0"/>
          <w:numId w:val="22"/>
        </w:numPr>
        <w:contextualSpacing/>
      </w:pPr>
      <w:r w:rsidRPr="00CB4A37">
        <w:t>Proclamation 10947 (50% tariffs on imports of aluminium and steel).</w:t>
      </w:r>
      <w:r w:rsidRPr="00CB4A37">
        <w:rPr>
          <w:vertAlign w:val="superscript"/>
        </w:rPr>
        <w:footnoteReference w:id="51"/>
      </w:r>
    </w:p>
    <w:p w14:paraId="3CD2E93D"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1 </w:t>
      </w:r>
      <w:r w:rsidRPr="00CB4A37">
        <w:rPr>
          <w:rFonts w:asciiTheme="majorHAnsi" w:hAnsiTheme="majorHAnsi"/>
          <w:iCs/>
          <w:color w:val="000000" w:themeColor="text1"/>
          <w:szCs w:val="18"/>
        </w:rPr>
        <w:t>– Tariffs levied by the United States in this scenario vary by product and trading partner</w:t>
      </w:r>
    </w:p>
    <w:p w14:paraId="024AA8EC"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Rate of duty on imports of select products and trading partners, ad valorem tariff rate</w:t>
      </w:r>
    </w:p>
    <w:p w14:paraId="053F1E76" w14:textId="77777777" w:rsidR="00CB4A37" w:rsidRPr="00CB4A37" w:rsidRDefault="00CB4A37" w:rsidP="00CB4A37">
      <w:pPr>
        <w:spacing w:after="0"/>
      </w:pPr>
      <w:r w:rsidRPr="00CB4A37">
        <w:rPr>
          <w:noProof/>
        </w:rPr>
        <w:drawing>
          <wp:inline distT="0" distB="0" distL="0" distR="0" wp14:anchorId="021139D1" wp14:editId="69E3B036">
            <wp:extent cx="6120130" cy="3172264"/>
            <wp:effectExtent l="0" t="0" r="0" b="9525"/>
            <wp:docPr id="1073458796" name="Picture 1" descr="This figure is a bar chart showing the various ad valorem tariff rates levied on different products and trading partners by the United States as part of the Liberation Day+ scenario. The rate levied on Australia is the lowest at 10%, equal with Brazil and the United Kingdom. Some of the highest rates include Cambodia (59%), Vietnam (56%) and Sri Lanka. The two products categories on which tariffs are levied are aluminium and steel (50%) and automobiles and part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8796" name="Picture 1" descr="This figure is a bar chart showing the various ad valorem tariff rates levied on different products and trading partners by the United States as part of the Liberation Day+ scenario. The rate levied on Australia is the lowest at 10%, equal with Brazil and the United Kingdom. Some of the highest rates include Cambodia (59%), Vietnam (56%) and Sri Lanka. The two products categories on which tariffs are levied are aluminium and steel (50%) and automobiles and parts (25%). "/>
                    <pic:cNvPicPr>
                      <a:picLocks noChangeAspect="1" noChangeArrowheads="1"/>
                    </pic:cNvPicPr>
                  </pic:nvPicPr>
                  <pic:blipFill rotWithShape="1">
                    <a:blip r:embed="rId100">
                      <a:extLst>
                        <a:ext uri="{28A0092B-C50C-407E-A947-70E740481C1C}">
                          <a14:useLocalDpi xmlns:a14="http://schemas.microsoft.com/office/drawing/2010/main" val="0"/>
                        </a:ext>
                      </a:extLst>
                    </a:blip>
                    <a:srcRect b="1911"/>
                    <a:stretch/>
                  </pic:blipFill>
                  <pic:spPr bwMode="auto">
                    <a:xfrm>
                      <a:off x="0" y="0"/>
                      <a:ext cx="6120130" cy="3172264"/>
                    </a:xfrm>
                    <a:prstGeom prst="rect">
                      <a:avLst/>
                    </a:prstGeom>
                    <a:noFill/>
                    <a:ln>
                      <a:noFill/>
                    </a:ln>
                    <a:extLst>
                      <a:ext uri="{53640926-AAD7-44D8-BBD7-CCE9431645EC}">
                        <a14:shadowObscured xmlns:a14="http://schemas.microsoft.com/office/drawing/2010/main"/>
                      </a:ext>
                    </a:extLst>
                  </pic:spPr>
                </pic:pic>
              </a:graphicData>
            </a:graphic>
          </wp:inline>
        </w:drawing>
      </w:r>
    </w:p>
    <w:p w14:paraId="6180353D" w14:textId="77777777" w:rsidR="00CB4A37" w:rsidRPr="00CB4A37" w:rsidRDefault="00CB4A37" w:rsidP="00C678B8">
      <w:pPr>
        <w:pStyle w:val="Note"/>
      </w:pPr>
      <w:r w:rsidRPr="00CB4A37">
        <w:rPr>
          <w:b/>
          <w:bCs/>
        </w:rPr>
        <w:t>a.</w:t>
      </w:r>
      <w:r w:rsidRPr="00CB4A37">
        <w:t xml:space="preserve"> Tariffs on energy imports (coal, oil, gas, electricity, and the gas distribution and transmission model industries) from Canada to the US are set at 10%, as per Executive Order 14193.</w:t>
      </w:r>
    </w:p>
    <w:p w14:paraId="0E87419E" w14:textId="77777777" w:rsidR="00CB4A37" w:rsidRPr="00CB4A37" w:rsidRDefault="00CB4A37" w:rsidP="00CB4A37">
      <w:pPr>
        <w:spacing w:before="80" w:after="240" w:line="216" w:lineRule="atLeast"/>
        <w:rPr>
          <w:sz w:val="18"/>
        </w:rPr>
      </w:pPr>
      <w:r w:rsidRPr="00CB4A37">
        <w:rPr>
          <w:sz w:val="18"/>
        </w:rPr>
        <w:t xml:space="preserve">Source: The White House </w:t>
      </w:r>
      <w:r w:rsidRPr="00CB4A37">
        <w:rPr>
          <w:rFonts w:ascii="Arial" w:hAnsi="Arial" w:cs="Arial"/>
          <w:sz w:val="18"/>
        </w:rPr>
        <w:t>(2025s, 2025m, 2025l, 2025h, 2025a)</w:t>
      </w:r>
      <w:r w:rsidRPr="00CB4A37">
        <w:rPr>
          <w:sz w:val="18"/>
        </w:rPr>
        <w:t>.</w:t>
      </w:r>
    </w:p>
    <w:p w14:paraId="75ECF421" w14:textId="77777777" w:rsidR="00CB4A37" w:rsidRPr="00CB4A37" w:rsidRDefault="00CB4A37" w:rsidP="00CB4A37">
      <w:r w:rsidRPr="00CB4A37">
        <w:t xml:space="preserve">Tariffs do not stack in this scenario. This means tariffs on particular products like aluminium and steel or automobiles and parts will take precedence over tariffs on trading partners. For example, aluminium from Australia imported into the US faces a 50% tariff instead of Australia’s baseline 10% tariff. </w:t>
      </w:r>
    </w:p>
    <w:p w14:paraId="1E5E9CDD" w14:textId="77777777" w:rsidR="00CB4A37" w:rsidRPr="00CB4A37" w:rsidRDefault="00CB4A37" w:rsidP="00CB4A37">
      <w:r w:rsidRPr="00CB4A37">
        <w:t>This scenario also abstracts from US policy by omitting the specific exemptions outlined in the Executive Orders and Proclamations, as well as any other presidential actions that may affect final import tariff rates.</w:t>
      </w:r>
    </w:p>
    <w:p w14:paraId="2EB47BF7" w14:textId="77777777" w:rsidR="00CB4A37" w:rsidRPr="00CB4A37" w:rsidRDefault="00CB4A37" w:rsidP="00504D82">
      <w:pPr>
        <w:pStyle w:val="Heading3-noTOC"/>
      </w:pPr>
      <w:r w:rsidRPr="00CB4A37">
        <w:t>China 50: an additional 50% tariff on all goods imports to the United States from China</w:t>
      </w:r>
    </w:p>
    <w:p w14:paraId="5D04769D" w14:textId="77777777" w:rsidR="00CB4A37" w:rsidRPr="00CB4A37" w:rsidRDefault="00CB4A37" w:rsidP="00CB4A37">
      <w:r w:rsidRPr="00CB4A37">
        <w:t xml:space="preserve">On 1 February, the President of the US issued Executive Order 14195 imposing an additional 10% ad valorem tariff on all goods imported from China from February 4 </w:t>
      </w:r>
      <w:r w:rsidRPr="00CB4A37">
        <w:rPr>
          <w:rFonts w:ascii="Arial" w:hAnsi="Arial" w:cs="Arial"/>
        </w:rPr>
        <w:t>(The White House 2025n)</w:t>
      </w:r>
      <w:r w:rsidRPr="00CB4A37">
        <w:t>.</w:t>
      </w:r>
      <w:r w:rsidRPr="00CB4A37">
        <w:rPr>
          <w:vertAlign w:val="superscript"/>
        </w:rPr>
        <w:footnoteReference w:id="52"/>
      </w:r>
      <w:r w:rsidRPr="00CB4A37">
        <w:t xml:space="preserve"> On 4 February, China announced tariffs of 10–15% on imported farm products from the US, imposed export controls and unreliable entity designations for some US companies, and announced an anti-trust investigation into Google </w:t>
      </w:r>
      <w:r w:rsidRPr="00CB4A37">
        <w:rPr>
          <w:rFonts w:ascii="Arial" w:hAnsi="Arial" w:cs="Arial"/>
        </w:rPr>
        <w:t>(PIIE 2025)</w:t>
      </w:r>
      <w:r w:rsidRPr="00CB4A37">
        <w:t>. Additional Executive Orders by the US and retaliatory actions from China followed (box A.2).</w:t>
      </w:r>
    </w:p>
    <w:p w14:paraId="0F47549B" w14:textId="77777777" w:rsidR="00CB4A37" w:rsidRPr="00CB4A37" w:rsidRDefault="00CB4A37" w:rsidP="00CB4A37">
      <w:pPr>
        <w:spacing w:before="0" w:after="0"/>
      </w:pPr>
    </w:p>
    <w:tbl>
      <w:tblPr>
        <w:tblStyle w:val="Boxtable"/>
        <w:tblW w:w="5000" w:type="pct"/>
        <w:tblLook w:val="04A0" w:firstRow="1" w:lastRow="0" w:firstColumn="1" w:lastColumn="0" w:noHBand="0" w:noVBand="1"/>
      </w:tblPr>
      <w:tblGrid>
        <w:gridCol w:w="9638"/>
      </w:tblGrid>
      <w:tr w:rsidR="00CB4A37" w:rsidRPr="00341B38" w14:paraId="3C05808A" w14:textId="77777777" w:rsidTr="00074CE0">
        <w:trPr>
          <w:tblHeader/>
        </w:trPr>
        <w:tc>
          <w:tcPr>
            <w:tcW w:w="9638" w:type="dxa"/>
            <w:shd w:val="clear" w:color="auto" w:fill="EBEBEB"/>
            <w:tcMar>
              <w:top w:w="170" w:type="dxa"/>
              <w:left w:w="170" w:type="dxa"/>
              <w:bottom w:w="113" w:type="dxa"/>
              <w:right w:w="170" w:type="dxa"/>
            </w:tcMar>
            <w:hideMark/>
          </w:tcPr>
          <w:p w14:paraId="3E85838B" w14:textId="77777777" w:rsidR="00CB4A37" w:rsidRPr="00341B38" w:rsidRDefault="00CB4A37" w:rsidP="00341B38">
            <w:pPr>
              <w:pStyle w:val="BoxHeading1"/>
              <w:rPr>
                <w:lang w:eastAsia="en-AU"/>
              </w:rPr>
            </w:pPr>
            <w:r w:rsidRPr="00341B38">
              <w:rPr>
                <w:lang w:eastAsia="en-AU"/>
              </w:rPr>
              <w:lastRenderedPageBreak/>
              <w:t>Box A.2 – A non-exhaustive timeline of trade actions between the United States and People’s Republic of China (3 March to 12 May 2025)</w:t>
            </w:r>
          </w:p>
          <w:p w14:paraId="23143F0B" w14:textId="77777777" w:rsidR="00CB4A37" w:rsidRPr="00341B38" w:rsidRDefault="00CB4A37" w:rsidP="00B4234B">
            <w:pPr>
              <w:pStyle w:val="ListBullet"/>
              <w:rPr>
                <w:lang w:eastAsia="en-AU"/>
              </w:rPr>
            </w:pPr>
            <w:r w:rsidRPr="00B4234B">
              <w:rPr>
                <w:b/>
                <w:bCs/>
                <w:lang w:eastAsia="en-AU"/>
              </w:rPr>
              <w:t>3 March.</w:t>
            </w:r>
            <w:r w:rsidRPr="00341B38">
              <w:rPr>
                <w:lang w:eastAsia="en-AU"/>
              </w:rPr>
              <w:t xml:space="preserve"> Executive Order 14228 increased the tariffs previously imposed on imports from China by 10 </w:t>
            </w:r>
            <w:r w:rsidRPr="00341B38" w:rsidDel="009D418F">
              <w:rPr>
                <w:lang w:eastAsia="en-AU"/>
              </w:rPr>
              <w:t>percent</w:t>
            </w:r>
            <w:r w:rsidRPr="00341B38" w:rsidDel="00497358">
              <w:rPr>
                <w:lang w:eastAsia="en-AU"/>
              </w:rPr>
              <w:t>age</w:t>
            </w:r>
            <w:r w:rsidRPr="00341B38">
              <w:rPr>
                <w:lang w:eastAsia="en-AU"/>
              </w:rPr>
              <w:t xml:space="preserve"> points to 20% (The White House 2025j). </w:t>
            </w:r>
          </w:p>
          <w:p w14:paraId="5AC350C7" w14:textId="77777777" w:rsidR="00CB4A37" w:rsidRPr="00341B38" w:rsidRDefault="00CB4A37" w:rsidP="00B4234B">
            <w:pPr>
              <w:pStyle w:val="ListBullet"/>
              <w:rPr>
                <w:lang w:eastAsia="en-AU"/>
              </w:rPr>
            </w:pPr>
            <w:r w:rsidRPr="00B4234B">
              <w:rPr>
                <w:b/>
                <w:bCs/>
                <w:lang w:eastAsia="en-AU"/>
              </w:rPr>
              <w:t>2 April.</w:t>
            </w:r>
            <w:r w:rsidRPr="00341B38">
              <w:rPr>
                <w:lang w:eastAsia="en-AU"/>
              </w:rPr>
              <w:t xml:space="preserve"> Executive Order 14256 eliminated </w:t>
            </w:r>
            <w:r w:rsidRPr="00341B38">
              <w:rPr>
                <w:i/>
                <w:lang w:eastAsia="en-AU"/>
              </w:rPr>
              <w:t>de minimis</w:t>
            </w:r>
            <w:r w:rsidRPr="00341B38">
              <w:rPr>
                <w:lang w:eastAsia="en-AU"/>
              </w:rPr>
              <w:t xml:space="preserve"> treatment for all products of China and imposed a 30% ad valorem tariff on ‘low-value’ items from China received through the international postal network that would otherwise qualify for </w:t>
            </w:r>
            <w:r w:rsidRPr="00341B38">
              <w:rPr>
                <w:i/>
                <w:lang w:eastAsia="en-AU"/>
              </w:rPr>
              <w:t>de minimis</w:t>
            </w:r>
            <w:r w:rsidRPr="00341B38">
              <w:rPr>
                <w:lang w:eastAsia="en-AU"/>
              </w:rPr>
              <w:t xml:space="preserve"> treatment, from 2 May (The White House 2025k).</w:t>
            </w:r>
            <w:r w:rsidRPr="00341B38">
              <w:rPr>
                <w:vertAlign w:val="superscript"/>
                <w:lang w:eastAsia="en-AU"/>
              </w:rPr>
              <w:footnoteReference w:id="53"/>
            </w:r>
            <w:r w:rsidRPr="00341B38">
              <w:rPr>
                <w:lang w:eastAsia="en-AU"/>
              </w:rPr>
              <w:t xml:space="preserve"> The Executive Order also imposed an additional, specific duty of US$25 per postal item from 2 May scheduled to increase to US$50 per postal item from 1 June (The White House 2025k).</w:t>
            </w:r>
          </w:p>
          <w:p w14:paraId="11FEBC96" w14:textId="77777777" w:rsidR="00CB4A37" w:rsidRPr="00341B38" w:rsidRDefault="00CB4A37" w:rsidP="00B4234B">
            <w:pPr>
              <w:pStyle w:val="ListBullet"/>
              <w:rPr>
                <w:lang w:eastAsia="en-AU"/>
              </w:rPr>
            </w:pPr>
            <w:r w:rsidRPr="00B4234B">
              <w:rPr>
                <w:b/>
                <w:bCs/>
                <w:lang w:eastAsia="en-AU"/>
              </w:rPr>
              <w:t>2 April.</w:t>
            </w:r>
            <w:r w:rsidRPr="00341B38">
              <w:rPr>
                <w:lang w:eastAsia="en-AU"/>
              </w:rPr>
              <w:t xml:space="preserve"> Executive Order 14257 imposed an additional 34% ‘reciprocal’ tariff on imports from China, on top of the additional 10% baseline tariff imposed on all US trading partners and the 20% tariff under Executive Order 14228, starting from 5 April (The White House 2025s). Low-value imports under Executive Order 14256 were exempted.</w:t>
            </w:r>
          </w:p>
          <w:p w14:paraId="7495753F" w14:textId="77777777" w:rsidR="00CB4A37" w:rsidRPr="00341B38" w:rsidRDefault="00CB4A37" w:rsidP="00B4234B">
            <w:pPr>
              <w:pStyle w:val="ListBullet"/>
              <w:rPr>
                <w:lang w:eastAsia="en-AU"/>
              </w:rPr>
            </w:pPr>
            <w:r w:rsidRPr="00B4234B">
              <w:rPr>
                <w:b/>
                <w:bCs/>
                <w:lang w:eastAsia="en-AU"/>
              </w:rPr>
              <w:t>8 April.</w:t>
            </w:r>
            <w:r w:rsidRPr="00341B38">
              <w:rPr>
                <w:lang w:eastAsia="en-AU"/>
              </w:rPr>
              <w:t xml:space="preserve"> Executive Order 14259 increased the additional 34% ‘reciprocal’ tariff on imports from China by 50 </w:t>
            </w:r>
            <w:r w:rsidRPr="00341B38" w:rsidDel="009D418F">
              <w:rPr>
                <w:lang w:eastAsia="en-AU"/>
              </w:rPr>
              <w:t>percent</w:t>
            </w:r>
            <w:r w:rsidRPr="00341B38" w:rsidDel="00497358">
              <w:rPr>
                <w:lang w:eastAsia="en-AU"/>
              </w:rPr>
              <w:t>age</w:t>
            </w:r>
            <w:r w:rsidRPr="00341B38">
              <w:rPr>
                <w:lang w:eastAsia="en-AU"/>
              </w:rPr>
              <w:t xml:space="preserve"> points to 84% from 9 April, following China’s imposition of an additional 34% tariff on goods imported from the US (The White House 2025g). The Executive Order also tripled the rates of duty introduced in Executive Order 14256 for low-value and postal items.</w:t>
            </w:r>
          </w:p>
          <w:p w14:paraId="24BFD8EA" w14:textId="77777777" w:rsidR="00CB4A37" w:rsidRPr="00341B38" w:rsidRDefault="00CB4A37" w:rsidP="00B4234B">
            <w:pPr>
              <w:pStyle w:val="ListBullet"/>
              <w:rPr>
                <w:spacing w:val="-2"/>
                <w:lang w:eastAsia="en-AU"/>
              </w:rPr>
            </w:pPr>
            <w:r w:rsidRPr="00B4234B">
              <w:rPr>
                <w:b/>
                <w:bCs/>
                <w:spacing w:val="-2"/>
                <w:lang w:eastAsia="en-AU"/>
              </w:rPr>
              <w:t>9 April.</w:t>
            </w:r>
            <w:r w:rsidRPr="00341B38">
              <w:rPr>
                <w:spacing w:val="-2"/>
                <w:lang w:eastAsia="en-AU"/>
              </w:rPr>
              <w:t xml:space="preserve"> Executive Order 14266 increased the additional 84% ‘reciprocal’ tariff on imports from China by 41 </w:t>
            </w:r>
            <w:r w:rsidRPr="00341B38" w:rsidDel="009D418F">
              <w:rPr>
                <w:spacing w:val="-2"/>
                <w:lang w:eastAsia="en-AU"/>
              </w:rPr>
              <w:t>percent</w:t>
            </w:r>
            <w:r w:rsidRPr="00341B38" w:rsidDel="00497358">
              <w:rPr>
                <w:spacing w:val="-2"/>
                <w:lang w:eastAsia="en-AU"/>
              </w:rPr>
              <w:t>age</w:t>
            </w:r>
            <w:r w:rsidRPr="00341B38">
              <w:rPr>
                <w:spacing w:val="-2"/>
                <w:lang w:eastAsia="en-AU"/>
              </w:rPr>
              <w:t xml:space="preserve"> points to 125% from 10 April, following China’s increase of its additional tariffs on US imports by 50 </w:t>
            </w:r>
            <w:r w:rsidRPr="00341B38" w:rsidDel="009D418F">
              <w:rPr>
                <w:spacing w:val="-2"/>
                <w:lang w:eastAsia="en-AU"/>
              </w:rPr>
              <w:t>percent</w:t>
            </w:r>
            <w:r w:rsidRPr="00341B38" w:rsidDel="00497358">
              <w:rPr>
                <w:spacing w:val="-2"/>
                <w:lang w:eastAsia="en-AU"/>
              </w:rPr>
              <w:t>age</w:t>
            </w:r>
            <w:r w:rsidRPr="00341B38">
              <w:rPr>
                <w:spacing w:val="-2"/>
                <w:lang w:eastAsia="en-AU"/>
              </w:rPr>
              <w:t xml:space="preserve"> points to 84% (The White House 2025p). US tariffs on Chinese imports peaked at 145% (including Executive Order 14228) and ‘reciprocal’ tariffs on other trading partners were paused. Executive Order 14266 also increased the rates of duty for low-value and postal items by a third. China’s additional tariffs on imports from the US increased to 125% from 12 April (PIIE 2025).</w:t>
            </w:r>
          </w:p>
          <w:p w14:paraId="6EF1598E" w14:textId="77777777" w:rsidR="00CB4A37" w:rsidRPr="00341B38" w:rsidRDefault="00CB4A37" w:rsidP="00B4234B">
            <w:pPr>
              <w:pStyle w:val="ListBullet"/>
              <w:rPr>
                <w:b/>
                <w:spacing w:val="-2"/>
                <w:lang w:eastAsia="en-AU"/>
              </w:rPr>
            </w:pPr>
            <w:r w:rsidRPr="00B4234B">
              <w:rPr>
                <w:b/>
                <w:bCs/>
                <w:spacing w:val="-2"/>
                <w:lang w:eastAsia="en-AU"/>
              </w:rPr>
              <w:t>12 May.</w:t>
            </w:r>
            <w:r w:rsidRPr="00341B38">
              <w:rPr>
                <w:spacing w:val="-2"/>
                <w:lang w:eastAsia="en-AU"/>
              </w:rPr>
              <w:t xml:space="preserve"> Executive Order 14298 reduced the additional ‘reciprocal’ tariffs on imports from China to the 34% originally announced and lowered this rate further to 10% for 90 days from 14 May (The White House 2025o). The additional 20% tariffs under Executive Order 14228 remain in place, for a total of 30% in additional tariffs (The White House 2025i). Executive Order 14298 also reduced the rate of duty on low-value imports to 54% and the rate per postal item duty to 100 dollars. China also removed some retaliatory measures, including by lowering its additional tariffs on US imports to 10% (PIIE 2025).</w:t>
            </w:r>
          </w:p>
        </w:tc>
      </w:tr>
      <w:tr w:rsidR="00CB4A37" w:rsidRPr="00CB4A37" w14:paraId="22079870" w14:textId="77777777" w:rsidTr="00074CE0">
        <w:trPr>
          <w:hidden/>
        </w:trPr>
        <w:tc>
          <w:tcPr>
            <w:tcW w:w="9638" w:type="dxa"/>
            <w:shd w:val="clear" w:color="auto" w:fill="auto"/>
            <w:tcMar>
              <w:top w:w="0" w:type="dxa"/>
              <w:left w:w="170" w:type="dxa"/>
              <w:bottom w:w="0" w:type="dxa"/>
              <w:right w:w="170" w:type="dxa"/>
            </w:tcMar>
          </w:tcPr>
          <w:p w14:paraId="3A2113F6" w14:textId="77777777" w:rsidR="00CB4A37" w:rsidRPr="00CB4A37" w:rsidRDefault="00CB4A37" w:rsidP="00963B4D">
            <w:pPr>
              <w:spacing w:before="0" w:after="0" w:line="80" w:lineRule="atLeast"/>
              <w:rPr>
                <w:rFonts w:ascii="Times New Roman" w:eastAsia="Times New Roman" w:hAnsi="Times New Roman" w:cs="Times New Roman"/>
                <w:b/>
                <w:smallCaps/>
                <w:vanish/>
                <w:lang w:eastAsia="en-AU"/>
              </w:rPr>
            </w:pPr>
          </w:p>
        </w:tc>
      </w:tr>
    </w:tbl>
    <w:p w14:paraId="186FD2E3" w14:textId="77777777" w:rsidR="00CB4A37" w:rsidRPr="00CB4A37" w:rsidRDefault="00CB4A37" w:rsidP="00CB4A37">
      <w:r w:rsidRPr="00CB4A37">
        <w:t>PC Global was unable to model a scenario where the US levies the additional tariffs on imports from China as outlined in Executive Orders 14228 and 14266, specifically the additional ad valorem rate of duty of 145% on goods from China (including Hong Kong</w:t>
      </w:r>
      <w:r w:rsidRPr="00CB4A37" w:rsidDel="000E104C">
        <w:t xml:space="preserve"> and Macau</w:t>
      </w:r>
      <w:r w:rsidRPr="00CB4A37">
        <w:t xml:space="preserve">). </w:t>
      </w:r>
    </w:p>
    <w:p w14:paraId="14FA0BE9" w14:textId="77777777" w:rsidR="00CB4A37" w:rsidRPr="00CB4A37" w:rsidRDefault="00CB4A37" w:rsidP="00CB4A37">
      <w:r w:rsidRPr="00CB4A37">
        <w:t>CGE models, like PC global, are designed to estimate the effect of small changes. Large tariffs can prevent the model from solving accurately, if at all. This is because, in the long run, the model assumes a high degree of substitutability between imports of the same product from different countries. The tariffs in this scenario imply a large increase in the price of imports from China relative to all other countries, which would lead to a large switch away from Chinese imports by US consumers. The size of the price difference is such that, in the real world, trade would cease. However, in the model, the price increases and high elasticities of substitution lead US demand for Chinese products to decline by well over 100%, which cannot happen in the real world. The implied responses are unfeasible and make the model unable to solve.</w:t>
      </w:r>
    </w:p>
    <w:p w14:paraId="57A79B05" w14:textId="77777777" w:rsidR="00CB4A37" w:rsidRPr="00CB4A37" w:rsidRDefault="00CB4A37" w:rsidP="00CB4A37">
      <w:r w:rsidRPr="00CB4A37">
        <w:lastRenderedPageBreak/>
        <w:t>Instead, the PC modelled a scenario where the US levies an additional 50% ad valorem tariff on imports from China (including Hong Kong).</w:t>
      </w:r>
      <w:r w:rsidRPr="00CB4A37">
        <w:rPr>
          <w:vertAlign w:val="superscript"/>
        </w:rPr>
        <w:footnoteReference w:id="54"/>
      </w:r>
      <w:r w:rsidRPr="00CB4A37">
        <w:t xml:space="preserve"> The results are an indicative underestimate of the effects on Australia from large tariffs levied on China by the US.</w:t>
      </w:r>
    </w:p>
    <w:p w14:paraId="53F3038E" w14:textId="77777777" w:rsidR="00CB4A37" w:rsidRPr="00CB4A37" w:rsidRDefault="00CB4A37" w:rsidP="003C6C84">
      <w:pPr>
        <w:keepNext/>
        <w:keepLines/>
        <w:numPr>
          <w:ilvl w:val="1"/>
          <w:numId w:val="34"/>
        </w:numPr>
        <w:spacing w:before="480" w:line="340" w:lineRule="atLeast"/>
        <w:outlineLvl w:val="1"/>
        <w:rPr>
          <w:rFonts w:asciiTheme="majorHAnsi" w:eastAsiaTheme="majorEastAsia" w:hAnsiTheme="majorHAnsi" w:cstheme="majorBidi"/>
          <w:sz w:val="30"/>
          <w:szCs w:val="60"/>
        </w:rPr>
      </w:pPr>
      <w:bookmarkStart w:id="101" w:name="_Toc201325990"/>
      <w:r w:rsidRPr="00CB4A37">
        <w:rPr>
          <w:rFonts w:asciiTheme="majorHAnsi" w:eastAsiaTheme="majorEastAsia" w:hAnsiTheme="majorHAnsi" w:cstheme="majorBidi"/>
          <w:sz w:val="30"/>
          <w:szCs w:val="60"/>
        </w:rPr>
        <w:t>Global tariff modelling results</w:t>
      </w:r>
      <w:bookmarkEnd w:id="101"/>
    </w:p>
    <w:p w14:paraId="2CDC3847" w14:textId="77777777" w:rsidR="00CB4A37" w:rsidRPr="00CB4A37" w:rsidRDefault="00CB4A37" w:rsidP="00CB4A37">
      <w:r w:rsidRPr="00CB4A37">
        <w:t xml:space="preserve">As a general equilibrium model, PC Global presents the final state of the world economy after it has adjusted completely to a policy shock. By design, the model does not provide the dynamics behind these changes. The model derives results by solving its system of equations simultaneously, which makes it difficult to explain the intuition underpinning the effects reported, the transmission mechanisms involved and the relative contributions made by various factors (many of which may have opposing effects). </w:t>
      </w:r>
    </w:p>
    <w:p w14:paraId="1767BF88" w14:textId="77777777" w:rsidR="00CB4A37" w:rsidRPr="00CB4A37" w:rsidRDefault="00CB4A37" w:rsidP="00CB4A37">
      <w:r w:rsidRPr="00CB4A37">
        <w:t>To illustrate how the effects of tariffs are transmitted through the economy, the discussion that follows is presented as a stylised sequence of effects, though these effects occur simultaneously in the model. The discussion focusses on the base scenario without retaliation unless otherwise specified. Aside from in tables, numbers are rounded to the nearest significant figure. All results are reported as percentage changes unless otherwise specified.</w:t>
      </w:r>
    </w:p>
    <w:p w14:paraId="022B7FAE" w14:textId="77777777" w:rsidR="00CB4A37" w:rsidRPr="00CB4A37" w:rsidRDefault="00CB4A37" w:rsidP="00504D82">
      <w:pPr>
        <w:pStyle w:val="Heading3-noTOC"/>
      </w:pPr>
      <w:r w:rsidRPr="00CB4A37">
        <w:t>Universal 10</w:t>
      </w:r>
    </w:p>
    <w:p w14:paraId="59CDDD52" w14:textId="77777777" w:rsidR="00CB4A37" w:rsidRPr="00CB4A37" w:rsidRDefault="00CB4A37" w:rsidP="00CB4A37">
      <w:r w:rsidRPr="00CB4A37">
        <w:t xml:space="preserve">The modelled impacts of this scenario are driven by a fall in the relative competitiveness of the US economy compared to the rest of the world (table A.1). </w:t>
      </w:r>
    </w:p>
    <w:p w14:paraId="49B08BF3"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t xml:space="preserve">Table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1 – </w:t>
      </w:r>
      <w:r w:rsidRPr="00CB4A37">
        <w:rPr>
          <w:rFonts w:asciiTheme="majorHAnsi" w:hAnsiTheme="majorHAnsi"/>
          <w:iCs/>
          <w:color w:val="000000" w:themeColor="text1"/>
          <w:szCs w:val="18"/>
        </w:rPr>
        <w:t>Modelled impacts of an additional 10% tariff on all goods imports to the United States from all trading partners</w:t>
      </w:r>
    </w:p>
    <w:p w14:paraId="14F5CF1C" w14:textId="77777777" w:rsidR="00CB4A37" w:rsidRPr="00CB4A37" w:rsidRDefault="00CB4A37" w:rsidP="00CB4A37">
      <w:pPr>
        <w:keepNext/>
        <w:spacing w:before="40" w:after="40"/>
        <w:rPr>
          <w:rFonts w:asciiTheme="majorHAnsi" w:hAnsiTheme="majorHAnsi"/>
          <w:iCs/>
          <w:color w:val="58585B"/>
          <w:szCs w:val="18"/>
        </w:rPr>
      </w:pPr>
      <w:r w:rsidRPr="00CB4A37">
        <w:rPr>
          <w:rFonts w:asciiTheme="majorHAnsi" w:hAnsiTheme="majorHAnsi"/>
          <w:iCs/>
          <w:color w:val="58585B"/>
          <w:szCs w:val="18"/>
        </w:rPr>
        <w:t>Scenario with and without retaliation by the rest of the world (% change from base)</w:t>
      </w:r>
    </w:p>
    <w:tbl>
      <w:tblPr>
        <w:tblW w:w="5000" w:type="pct"/>
        <w:tblCellMar>
          <w:left w:w="0" w:type="dxa"/>
          <w:right w:w="0" w:type="dxa"/>
        </w:tblCellMar>
        <w:tblLook w:val="04A0" w:firstRow="1" w:lastRow="0" w:firstColumn="1" w:lastColumn="0" w:noHBand="0" w:noVBand="1"/>
      </w:tblPr>
      <w:tblGrid>
        <w:gridCol w:w="2136"/>
        <w:gridCol w:w="937"/>
        <w:gridCol w:w="937"/>
        <w:gridCol w:w="938"/>
        <w:gridCol w:w="938"/>
        <w:gridCol w:w="938"/>
        <w:gridCol w:w="938"/>
        <w:gridCol w:w="938"/>
        <w:gridCol w:w="938"/>
      </w:tblGrid>
      <w:tr w:rsidR="00CB4A37" w:rsidRPr="00CB4A37" w14:paraId="19E98EE4" w14:textId="77777777" w:rsidTr="00074CE0">
        <w:trPr>
          <w:trHeight w:val="288"/>
        </w:trPr>
        <w:tc>
          <w:tcPr>
            <w:tcW w:w="2136" w:type="dxa"/>
            <w:tcBorders>
              <w:top w:val="nil"/>
              <w:left w:val="nil"/>
              <w:bottom w:val="single" w:sz="4" w:space="0" w:color="B3B3B3"/>
              <w:right w:val="nil"/>
            </w:tcBorders>
            <w:vAlign w:val="bottom"/>
            <w:hideMark/>
          </w:tcPr>
          <w:p w14:paraId="351712E1" w14:textId="77777777" w:rsidR="00CB4A37" w:rsidRPr="00CB4A37" w:rsidRDefault="00CB4A37" w:rsidP="00CB4A37">
            <w:pPr>
              <w:keepNext/>
              <w:spacing w:before="40" w:after="40"/>
              <w:rPr>
                <w:rFonts w:asciiTheme="majorHAnsi" w:hAnsiTheme="majorHAnsi"/>
                <w:iCs/>
                <w:color w:val="58585B"/>
                <w:szCs w:val="18"/>
                <w:lang w:eastAsia="en-AU"/>
              </w:rPr>
            </w:pPr>
            <w:r w:rsidRPr="00CB4A37">
              <w:rPr>
                <w:rFonts w:asciiTheme="majorHAnsi" w:hAnsiTheme="majorHAnsi"/>
                <w:iCs/>
                <w:color w:val="58585B"/>
                <w:szCs w:val="18"/>
                <w:lang w:eastAsia="en-AU"/>
              </w:rPr>
              <w:t> </w:t>
            </w:r>
          </w:p>
        </w:tc>
        <w:tc>
          <w:tcPr>
            <w:tcW w:w="1874" w:type="dxa"/>
            <w:gridSpan w:val="2"/>
            <w:tcBorders>
              <w:top w:val="nil"/>
              <w:left w:val="nil"/>
              <w:bottom w:val="single" w:sz="4" w:space="0" w:color="B3B3B3"/>
              <w:right w:val="nil"/>
            </w:tcBorders>
            <w:vAlign w:val="bottom"/>
            <w:hideMark/>
          </w:tcPr>
          <w:p w14:paraId="513C13EF"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Australia</w:t>
            </w:r>
          </w:p>
        </w:tc>
        <w:tc>
          <w:tcPr>
            <w:tcW w:w="1876" w:type="dxa"/>
            <w:gridSpan w:val="2"/>
            <w:tcBorders>
              <w:top w:val="nil"/>
              <w:left w:val="nil"/>
              <w:bottom w:val="single" w:sz="4" w:space="0" w:color="B3B3B3"/>
              <w:right w:val="nil"/>
            </w:tcBorders>
            <w:vAlign w:val="bottom"/>
            <w:hideMark/>
          </w:tcPr>
          <w:p w14:paraId="08D59BA2"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United States</w:t>
            </w:r>
          </w:p>
        </w:tc>
        <w:tc>
          <w:tcPr>
            <w:tcW w:w="1876" w:type="dxa"/>
            <w:gridSpan w:val="2"/>
            <w:tcBorders>
              <w:top w:val="nil"/>
              <w:left w:val="nil"/>
              <w:bottom w:val="single" w:sz="4" w:space="0" w:color="B3B3B3"/>
              <w:right w:val="nil"/>
            </w:tcBorders>
            <w:vAlign w:val="bottom"/>
            <w:hideMark/>
          </w:tcPr>
          <w:p w14:paraId="05C0473C"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China</w:t>
            </w:r>
          </w:p>
        </w:tc>
        <w:tc>
          <w:tcPr>
            <w:tcW w:w="1876" w:type="dxa"/>
            <w:gridSpan w:val="2"/>
            <w:tcBorders>
              <w:top w:val="nil"/>
              <w:left w:val="nil"/>
              <w:bottom w:val="single" w:sz="4" w:space="0" w:color="B3B3B3"/>
              <w:right w:val="nil"/>
            </w:tcBorders>
            <w:vAlign w:val="bottom"/>
            <w:hideMark/>
          </w:tcPr>
          <w:p w14:paraId="3C7970CF"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European Union</w:t>
            </w:r>
          </w:p>
        </w:tc>
      </w:tr>
      <w:tr w:rsidR="00CB4A37" w:rsidRPr="00963B4D" w14:paraId="75BEC1EC" w14:textId="77777777" w:rsidTr="00074CE0">
        <w:trPr>
          <w:trHeight w:val="288"/>
        </w:trPr>
        <w:tc>
          <w:tcPr>
            <w:tcW w:w="2136" w:type="dxa"/>
            <w:tcBorders>
              <w:top w:val="nil"/>
              <w:left w:val="nil"/>
              <w:bottom w:val="nil"/>
              <w:right w:val="nil"/>
            </w:tcBorders>
            <w:shd w:val="clear" w:color="000000" w:fill="F2F2F2"/>
            <w:hideMark/>
          </w:tcPr>
          <w:p w14:paraId="301B8491" w14:textId="77777777" w:rsidR="00CB4A37" w:rsidRPr="00963B4D" w:rsidRDefault="00CB4A37" w:rsidP="00CB4A37">
            <w:pPr>
              <w:spacing w:before="0" w:after="0" w:line="240" w:lineRule="auto"/>
              <w:rPr>
                <w:rFonts w:ascii="Arial (Body)" w:eastAsia="Times New Roman" w:hAnsi="Arial (Body)" w:cs="Times New Roman"/>
                <w:b/>
                <w:bCs/>
                <w:color w:val="265A9A"/>
                <w:sz w:val="18"/>
                <w:szCs w:val="18"/>
                <w:lang w:eastAsia="en-AU"/>
              </w:rPr>
            </w:pPr>
            <w:r w:rsidRPr="00963B4D">
              <w:rPr>
                <w:rFonts w:ascii="Arial (Body)" w:eastAsia="Times New Roman" w:hAnsi="Arial (Body)" w:cs="Times New Roman" w:hint="eastAsia"/>
                <w:b/>
                <w:bCs/>
                <w:color w:val="265A9A"/>
                <w:sz w:val="18"/>
                <w:szCs w:val="18"/>
                <w:lang w:eastAsia="en-AU"/>
              </w:rPr>
              <w:t> </w:t>
            </w:r>
          </w:p>
        </w:tc>
        <w:tc>
          <w:tcPr>
            <w:tcW w:w="937" w:type="dxa"/>
            <w:tcBorders>
              <w:top w:val="nil"/>
              <w:left w:val="nil"/>
              <w:bottom w:val="nil"/>
              <w:right w:val="nil"/>
            </w:tcBorders>
            <w:shd w:val="clear" w:color="000000" w:fill="F2F2F2"/>
            <w:hideMark/>
          </w:tcPr>
          <w:p w14:paraId="2AB969F2"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Without retaliation</w:t>
            </w:r>
          </w:p>
        </w:tc>
        <w:tc>
          <w:tcPr>
            <w:tcW w:w="937" w:type="dxa"/>
            <w:tcBorders>
              <w:top w:val="nil"/>
              <w:left w:val="nil"/>
              <w:bottom w:val="nil"/>
              <w:right w:val="nil"/>
            </w:tcBorders>
            <w:shd w:val="clear" w:color="000000" w:fill="F2F2F2"/>
            <w:hideMark/>
          </w:tcPr>
          <w:p w14:paraId="26223664"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 retaliation</w:t>
            </w:r>
          </w:p>
        </w:tc>
        <w:tc>
          <w:tcPr>
            <w:tcW w:w="938" w:type="dxa"/>
            <w:tcBorders>
              <w:top w:val="nil"/>
              <w:left w:val="nil"/>
              <w:bottom w:val="nil"/>
              <w:right w:val="nil"/>
            </w:tcBorders>
            <w:shd w:val="clear" w:color="000000" w:fill="F2F2F2"/>
            <w:hideMark/>
          </w:tcPr>
          <w:p w14:paraId="098D6D21"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Without retaliation</w:t>
            </w:r>
          </w:p>
        </w:tc>
        <w:tc>
          <w:tcPr>
            <w:tcW w:w="938" w:type="dxa"/>
            <w:tcBorders>
              <w:top w:val="nil"/>
              <w:left w:val="nil"/>
              <w:bottom w:val="nil"/>
              <w:right w:val="nil"/>
            </w:tcBorders>
            <w:shd w:val="clear" w:color="000000" w:fill="F2F2F2"/>
            <w:hideMark/>
          </w:tcPr>
          <w:p w14:paraId="11A03374"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 retaliation</w:t>
            </w:r>
          </w:p>
        </w:tc>
        <w:tc>
          <w:tcPr>
            <w:tcW w:w="938" w:type="dxa"/>
            <w:tcBorders>
              <w:top w:val="nil"/>
              <w:left w:val="nil"/>
              <w:bottom w:val="nil"/>
              <w:right w:val="nil"/>
            </w:tcBorders>
            <w:shd w:val="clear" w:color="000000" w:fill="F2F2F2"/>
            <w:hideMark/>
          </w:tcPr>
          <w:p w14:paraId="49E29FEA"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Without retaliation</w:t>
            </w:r>
          </w:p>
        </w:tc>
        <w:tc>
          <w:tcPr>
            <w:tcW w:w="938" w:type="dxa"/>
            <w:tcBorders>
              <w:top w:val="nil"/>
              <w:left w:val="nil"/>
              <w:bottom w:val="nil"/>
              <w:right w:val="nil"/>
            </w:tcBorders>
            <w:shd w:val="clear" w:color="000000" w:fill="F2F2F2"/>
            <w:hideMark/>
          </w:tcPr>
          <w:p w14:paraId="161DA562"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 retaliation</w:t>
            </w:r>
          </w:p>
        </w:tc>
        <w:tc>
          <w:tcPr>
            <w:tcW w:w="938" w:type="dxa"/>
            <w:tcBorders>
              <w:top w:val="nil"/>
              <w:left w:val="nil"/>
              <w:bottom w:val="nil"/>
              <w:right w:val="nil"/>
            </w:tcBorders>
            <w:shd w:val="clear" w:color="000000" w:fill="F2F2F2"/>
            <w:hideMark/>
          </w:tcPr>
          <w:p w14:paraId="0A5E5E1F"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Without retaliation</w:t>
            </w:r>
          </w:p>
        </w:tc>
        <w:tc>
          <w:tcPr>
            <w:tcW w:w="938" w:type="dxa"/>
            <w:tcBorders>
              <w:top w:val="nil"/>
              <w:left w:val="nil"/>
              <w:bottom w:val="nil"/>
              <w:right w:val="nil"/>
            </w:tcBorders>
            <w:shd w:val="clear" w:color="000000" w:fill="F2F2F2"/>
            <w:hideMark/>
          </w:tcPr>
          <w:p w14:paraId="614D839B" w14:textId="77777777" w:rsidR="00CB4A37" w:rsidRPr="00963B4D" w:rsidRDefault="00CB4A37" w:rsidP="00CB4A37">
            <w:pPr>
              <w:spacing w:before="0" w:after="20" w:line="240" w:lineRule="auto"/>
              <w:ind w:left="57"/>
              <w:jc w:val="right"/>
              <w:rPr>
                <w:i/>
                <w:iCs/>
                <w:sz w:val="18"/>
                <w:szCs w:val="18"/>
                <w:lang w:eastAsia="en-AU"/>
              </w:rPr>
            </w:pPr>
            <w:r w:rsidRPr="00963B4D">
              <w:rPr>
                <w:i/>
                <w:iCs/>
                <w:sz w:val="18"/>
                <w:szCs w:val="18"/>
                <w:lang w:eastAsia="en-AU"/>
              </w:rPr>
              <w:t>With retaliation</w:t>
            </w:r>
          </w:p>
        </w:tc>
      </w:tr>
      <w:tr w:rsidR="00CB4A37" w:rsidRPr="00CB4A37" w14:paraId="20B98D32" w14:textId="77777777" w:rsidTr="00074CE0">
        <w:trPr>
          <w:trHeight w:val="288"/>
        </w:trPr>
        <w:tc>
          <w:tcPr>
            <w:tcW w:w="2136" w:type="dxa"/>
            <w:tcBorders>
              <w:top w:val="nil"/>
              <w:left w:val="nil"/>
              <w:bottom w:val="nil"/>
              <w:right w:val="nil"/>
            </w:tcBorders>
            <w:hideMark/>
          </w:tcPr>
          <w:p w14:paraId="32227B2A"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Real GDP</w:t>
            </w:r>
            <w:r w:rsidRPr="00CB4A37">
              <w:rPr>
                <w:b/>
                <w:color w:val="265A9A" w:themeColor="background2"/>
                <w:sz w:val="18"/>
                <w:vertAlign w:val="superscript"/>
                <w:lang w:eastAsia="en-AU"/>
              </w:rPr>
              <w:t>a</w:t>
            </w:r>
          </w:p>
        </w:tc>
        <w:tc>
          <w:tcPr>
            <w:tcW w:w="937" w:type="dxa"/>
            <w:tcBorders>
              <w:top w:val="nil"/>
              <w:left w:val="nil"/>
              <w:bottom w:val="nil"/>
              <w:right w:val="nil"/>
            </w:tcBorders>
          </w:tcPr>
          <w:p w14:paraId="6FDBBA9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0.09</w:t>
            </w:r>
          </w:p>
        </w:tc>
        <w:tc>
          <w:tcPr>
            <w:tcW w:w="937" w:type="dxa"/>
            <w:tcBorders>
              <w:top w:val="nil"/>
              <w:left w:val="nil"/>
              <w:bottom w:val="nil"/>
              <w:right w:val="nil"/>
            </w:tcBorders>
          </w:tcPr>
          <w:p w14:paraId="5B9340B9"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0.15</w:t>
            </w:r>
          </w:p>
        </w:tc>
        <w:tc>
          <w:tcPr>
            <w:tcW w:w="938" w:type="dxa"/>
            <w:tcBorders>
              <w:top w:val="nil"/>
              <w:left w:val="nil"/>
              <w:bottom w:val="nil"/>
              <w:right w:val="nil"/>
            </w:tcBorders>
          </w:tcPr>
          <w:p w14:paraId="3B26E6D4"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–0.61</w:t>
            </w:r>
          </w:p>
        </w:tc>
        <w:tc>
          <w:tcPr>
            <w:tcW w:w="938" w:type="dxa"/>
            <w:tcBorders>
              <w:top w:val="nil"/>
              <w:left w:val="nil"/>
              <w:bottom w:val="nil"/>
              <w:right w:val="nil"/>
            </w:tcBorders>
          </w:tcPr>
          <w:p w14:paraId="5E7222E3"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–1.18</w:t>
            </w:r>
          </w:p>
        </w:tc>
        <w:tc>
          <w:tcPr>
            <w:tcW w:w="938" w:type="dxa"/>
            <w:tcBorders>
              <w:top w:val="nil"/>
              <w:left w:val="nil"/>
              <w:bottom w:val="nil"/>
              <w:right w:val="nil"/>
            </w:tcBorders>
          </w:tcPr>
          <w:p w14:paraId="5BB1506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0.04</w:t>
            </w:r>
          </w:p>
        </w:tc>
        <w:tc>
          <w:tcPr>
            <w:tcW w:w="938" w:type="dxa"/>
            <w:tcBorders>
              <w:top w:val="nil"/>
              <w:left w:val="nil"/>
              <w:bottom w:val="nil"/>
              <w:right w:val="nil"/>
            </w:tcBorders>
          </w:tcPr>
          <w:p w14:paraId="3C67705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0.11</w:t>
            </w:r>
          </w:p>
        </w:tc>
        <w:tc>
          <w:tcPr>
            <w:tcW w:w="938" w:type="dxa"/>
            <w:tcBorders>
              <w:top w:val="nil"/>
              <w:left w:val="nil"/>
              <w:bottom w:val="nil"/>
              <w:right w:val="nil"/>
            </w:tcBorders>
          </w:tcPr>
          <w:p w14:paraId="674E88E8"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0.28</w:t>
            </w:r>
          </w:p>
        </w:tc>
        <w:tc>
          <w:tcPr>
            <w:tcW w:w="938" w:type="dxa"/>
            <w:tcBorders>
              <w:top w:val="nil"/>
              <w:left w:val="nil"/>
              <w:bottom w:val="nil"/>
              <w:right w:val="nil"/>
            </w:tcBorders>
          </w:tcPr>
          <w:p w14:paraId="4AE7266A"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0.46</w:t>
            </w:r>
          </w:p>
        </w:tc>
      </w:tr>
      <w:tr w:rsidR="00CB4A37" w:rsidRPr="00CB4A37" w14:paraId="7C86BA92" w14:textId="77777777" w:rsidTr="00074CE0">
        <w:trPr>
          <w:trHeight w:val="288"/>
        </w:trPr>
        <w:tc>
          <w:tcPr>
            <w:tcW w:w="2136" w:type="dxa"/>
            <w:tcBorders>
              <w:top w:val="nil"/>
              <w:left w:val="nil"/>
              <w:bottom w:val="nil"/>
              <w:right w:val="nil"/>
            </w:tcBorders>
            <w:shd w:val="clear" w:color="000000" w:fill="F2F2F2"/>
            <w:hideMark/>
          </w:tcPr>
          <w:p w14:paraId="096A8518"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szCs w:val="18"/>
                <w:lang w:eastAsia="en-AU"/>
              </w:rPr>
              <w:t>Real GNP</w:t>
            </w:r>
            <w:r w:rsidRPr="00CB4A37">
              <w:rPr>
                <w:b/>
                <w:color w:val="265A9A" w:themeColor="background2"/>
                <w:sz w:val="18"/>
                <w:szCs w:val="18"/>
                <w:vertAlign w:val="superscript"/>
                <w:lang w:eastAsia="en-AU"/>
              </w:rPr>
              <w:t>b</w:t>
            </w:r>
          </w:p>
        </w:tc>
        <w:tc>
          <w:tcPr>
            <w:tcW w:w="937" w:type="dxa"/>
            <w:tcBorders>
              <w:top w:val="nil"/>
              <w:left w:val="nil"/>
              <w:bottom w:val="nil"/>
              <w:right w:val="nil"/>
            </w:tcBorders>
            <w:shd w:val="clear" w:color="000000" w:fill="F2F2F2"/>
          </w:tcPr>
          <w:p w14:paraId="56809999"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0.02</w:t>
            </w:r>
          </w:p>
        </w:tc>
        <w:tc>
          <w:tcPr>
            <w:tcW w:w="937" w:type="dxa"/>
            <w:tcBorders>
              <w:top w:val="nil"/>
              <w:left w:val="nil"/>
              <w:bottom w:val="nil"/>
              <w:right w:val="nil"/>
            </w:tcBorders>
            <w:shd w:val="clear" w:color="000000" w:fill="F2F2F2"/>
          </w:tcPr>
          <w:p w14:paraId="1E915F0C"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0.00</w:t>
            </w:r>
          </w:p>
        </w:tc>
        <w:tc>
          <w:tcPr>
            <w:tcW w:w="938" w:type="dxa"/>
            <w:tcBorders>
              <w:top w:val="nil"/>
              <w:left w:val="nil"/>
              <w:bottom w:val="nil"/>
              <w:right w:val="nil"/>
            </w:tcBorders>
            <w:shd w:val="clear" w:color="000000" w:fill="F2F2F2"/>
          </w:tcPr>
          <w:p w14:paraId="49F80861"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–0.21</w:t>
            </w:r>
          </w:p>
        </w:tc>
        <w:tc>
          <w:tcPr>
            <w:tcW w:w="938" w:type="dxa"/>
            <w:tcBorders>
              <w:top w:val="nil"/>
              <w:left w:val="nil"/>
              <w:bottom w:val="nil"/>
              <w:right w:val="nil"/>
            </w:tcBorders>
            <w:shd w:val="clear" w:color="000000" w:fill="F2F2F2"/>
          </w:tcPr>
          <w:p w14:paraId="4B6653D8"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–0.42</w:t>
            </w:r>
          </w:p>
        </w:tc>
        <w:tc>
          <w:tcPr>
            <w:tcW w:w="938" w:type="dxa"/>
            <w:tcBorders>
              <w:top w:val="nil"/>
              <w:left w:val="nil"/>
              <w:bottom w:val="nil"/>
              <w:right w:val="nil"/>
            </w:tcBorders>
            <w:shd w:val="clear" w:color="000000" w:fill="F2F2F2"/>
          </w:tcPr>
          <w:p w14:paraId="2FAB60CF"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–0.02</w:t>
            </w:r>
          </w:p>
        </w:tc>
        <w:tc>
          <w:tcPr>
            <w:tcW w:w="938" w:type="dxa"/>
            <w:tcBorders>
              <w:top w:val="nil"/>
              <w:left w:val="nil"/>
              <w:bottom w:val="nil"/>
              <w:right w:val="nil"/>
            </w:tcBorders>
            <w:shd w:val="clear" w:color="000000" w:fill="F2F2F2"/>
          </w:tcPr>
          <w:p w14:paraId="5CADA8C8"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–0.02</w:t>
            </w:r>
          </w:p>
        </w:tc>
        <w:tc>
          <w:tcPr>
            <w:tcW w:w="938" w:type="dxa"/>
            <w:tcBorders>
              <w:top w:val="nil"/>
              <w:left w:val="nil"/>
              <w:bottom w:val="nil"/>
              <w:right w:val="nil"/>
            </w:tcBorders>
            <w:shd w:val="clear" w:color="000000" w:fill="F2F2F2"/>
          </w:tcPr>
          <w:p w14:paraId="0D30FAB8"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0.04</w:t>
            </w:r>
          </w:p>
        </w:tc>
        <w:tc>
          <w:tcPr>
            <w:tcW w:w="938" w:type="dxa"/>
            <w:tcBorders>
              <w:top w:val="nil"/>
              <w:left w:val="nil"/>
              <w:bottom w:val="nil"/>
              <w:right w:val="nil"/>
            </w:tcBorders>
            <w:shd w:val="clear" w:color="000000" w:fill="F2F2F2"/>
          </w:tcPr>
          <w:p w14:paraId="2B0F1433"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0.02</w:t>
            </w:r>
          </w:p>
        </w:tc>
      </w:tr>
      <w:tr w:rsidR="00CB4A37" w:rsidRPr="00CB4A37" w14:paraId="3818C04B" w14:textId="77777777" w:rsidTr="00074CE0">
        <w:trPr>
          <w:trHeight w:val="288"/>
        </w:trPr>
        <w:tc>
          <w:tcPr>
            <w:tcW w:w="2136" w:type="dxa"/>
            <w:tcBorders>
              <w:top w:val="nil"/>
              <w:left w:val="nil"/>
              <w:bottom w:val="nil"/>
              <w:right w:val="nil"/>
            </w:tcBorders>
            <w:hideMark/>
          </w:tcPr>
          <w:p w14:paraId="57B06F45"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Real GNA</w:t>
            </w:r>
            <w:r w:rsidRPr="00CB4A37">
              <w:rPr>
                <w:b/>
                <w:color w:val="265A9A" w:themeColor="background2"/>
                <w:sz w:val="18"/>
                <w:szCs w:val="18"/>
                <w:vertAlign w:val="superscript"/>
                <w:lang w:eastAsia="en-AU"/>
              </w:rPr>
              <w:t>c</w:t>
            </w:r>
          </w:p>
        </w:tc>
        <w:tc>
          <w:tcPr>
            <w:tcW w:w="937" w:type="dxa"/>
            <w:tcBorders>
              <w:top w:val="nil"/>
              <w:left w:val="nil"/>
              <w:bottom w:val="nil"/>
              <w:right w:val="nil"/>
            </w:tcBorders>
          </w:tcPr>
          <w:p w14:paraId="26A98A34"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–0.03</w:t>
            </w:r>
          </w:p>
        </w:tc>
        <w:tc>
          <w:tcPr>
            <w:tcW w:w="937" w:type="dxa"/>
            <w:tcBorders>
              <w:top w:val="nil"/>
              <w:left w:val="nil"/>
              <w:bottom w:val="nil"/>
              <w:right w:val="nil"/>
            </w:tcBorders>
          </w:tcPr>
          <w:p w14:paraId="5127A217"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0.08</w:t>
            </w:r>
          </w:p>
        </w:tc>
        <w:tc>
          <w:tcPr>
            <w:tcW w:w="938" w:type="dxa"/>
            <w:tcBorders>
              <w:top w:val="nil"/>
              <w:left w:val="nil"/>
              <w:bottom w:val="nil"/>
              <w:right w:val="nil"/>
            </w:tcBorders>
          </w:tcPr>
          <w:p w14:paraId="788224D8"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0.13</w:t>
            </w:r>
          </w:p>
        </w:tc>
        <w:tc>
          <w:tcPr>
            <w:tcW w:w="938" w:type="dxa"/>
            <w:tcBorders>
              <w:top w:val="nil"/>
              <w:left w:val="nil"/>
              <w:bottom w:val="nil"/>
              <w:right w:val="nil"/>
            </w:tcBorders>
          </w:tcPr>
          <w:p w14:paraId="33CC602A"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–0.45</w:t>
            </w:r>
          </w:p>
        </w:tc>
        <w:tc>
          <w:tcPr>
            <w:tcW w:w="938" w:type="dxa"/>
            <w:tcBorders>
              <w:top w:val="nil"/>
              <w:left w:val="nil"/>
              <w:bottom w:val="nil"/>
              <w:right w:val="nil"/>
            </w:tcBorders>
          </w:tcPr>
          <w:p w14:paraId="4292021A"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–0.11</w:t>
            </w:r>
          </w:p>
        </w:tc>
        <w:tc>
          <w:tcPr>
            <w:tcW w:w="938" w:type="dxa"/>
            <w:tcBorders>
              <w:top w:val="nil"/>
              <w:left w:val="nil"/>
              <w:bottom w:val="nil"/>
              <w:right w:val="nil"/>
            </w:tcBorders>
          </w:tcPr>
          <w:p w14:paraId="766766ED"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–0.03</w:t>
            </w:r>
          </w:p>
        </w:tc>
        <w:tc>
          <w:tcPr>
            <w:tcW w:w="938" w:type="dxa"/>
            <w:tcBorders>
              <w:top w:val="nil"/>
              <w:left w:val="nil"/>
              <w:bottom w:val="nil"/>
              <w:right w:val="nil"/>
            </w:tcBorders>
          </w:tcPr>
          <w:p w14:paraId="77E476E0"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0.02</w:t>
            </w:r>
          </w:p>
        </w:tc>
        <w:tc>
          <w:tcPr>
            <w:tcW w:w="938" w:type="dxa"/>
            <w:tcBorders>
              <w:top w:val="nil"/>
              <w:left w:val="nil"/>
              <w:bottom w:val="nil"/>
              <w:right w:val="nil"/>
            </w:tcBorders>
          </w:tcPr>
          <w:p w14:paraId="12B1550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0.02</w:t>
            </w:r>
          </w:p>
        </w:tc>
      </w:tr>
      <w:tr w:rsidR="00CB4A37" w:rsidRPr="00CB4A37" w14:paraId="11271670" w14:textId="77777777" w:rsidTr="00074CE0">
        <w:trPr>
          <w:trHeight w:val="288"/>
        </w:trPr>
        <w:tc>
          <w:tcPr>
            <w:tcW w:w="2136" w:type="dxa"/>
            <w:tcBorders>
              <w:top w:val="nil"/>
              <w:left w:val="nil"/>
              <w:bottom w:val="nil"/>
              <w:right w:val="nil"/>
            </w:tcBorders>
            <w:shd w:val="clear" w:color="000000" w:fill="F2F2F2"/>
            <w:hideMark/>
          </w:tcPr>
          <w:p w14:paraId="2895DEA8"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Prices</w:t>
            </w:r>
            <w:r w:rsidRPr="00CB4A37">
              <w:rPr>
                <w:b/>
                <w:color w:val="265A9A" w:themeColor="background2"/>
                <w:sz w:val="18"/>
                <w:szCs w:val="18"/>
                <w:vertAlign w:val="superscript"/>
                <w:lang w:eastAsia="en-AU"/>
              </w:rPr>
              <w:t>d</w:t>
            </w:r>
          </w:p>
        </w:tc>
        <w:tc>
          <w:tcPr>
            <w:tcW w:w="937" w:type="dxa"/>
            <w:tcBorders>
              <w:top w:val="nil"/>
              <w:left w:val="nil"/>
              <w:bottom w:val="nil"/>
              <w:right w:val="nil"/>
            </w:tcBorders>
            <w:shd w:val="clear" w:color="000000" w:fill="F2F2F2"/>
          </w:tcPr>
          <w:p w14:paraId="188B8B9B"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–0.64</w:t>
            </w:r>
          </w:p>
        </w:tc>
        <w:tc>
          <w:tcPr>
            <w:tcW w:w="937" w:type="dxa"/>
            <w:tcBorders>
              <w:top w:val="nil"/>
              <w:left w:val="nil"/>
              <w:bottom w:val="nil"/>
              <w:right w:val="nil"/>
            </w:tcBorders>
            <w:shd w:val="clear" w:color="000000" w:fill="F2F2F2"/>
          </w:tcPr>
          <w:p w14:paraId="3C77721B"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0.23</w:t>
            </w:r>
          </w:p>
        </w:tc>
        <w:tc>
          <w:tcPr>
            <w:tcW w:w="938" w:type="dxa"/>
            <w:tcBorders>
              <w:top w:val="nil"/>
              <w:left w:val="nil"/>
              <w:bottom w:val="nil"/>
              <w:right w:val="nil"/>
            </w:tcBorders>
            <w:shd w:val="clear" w:color="000000" w:fill="F2F2F2"/>
          </w:tcPr>
          <w:p w14:paraId="4D614382"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3.11</w:t>
            </w:r>
          </w:p>
        </w:tc>
        <w:tc>
          <w:tcPr>
            <w:tcW w:w="938" w:type="dxa"/>
            <w:tcBorders>
              <w:top w:val="nil"/>
              <w:left w:val="nil"/>
              <w:bottom w:val="nil"/>
              <w:right w:val="nil"/>
            </w:tcBorders>
            <w:shd w:val="clear" w:color="000000" w:fill="F2F2F2"/>
          </w:tcPr>
          <w:p w14:paraId="2767B9E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–0.81</w:t>
            </w:r>
          </w:p>
        </w:tc>
        <w:tc>
          <w:tcPr>
            <w:tcW w:w="938" w:type="dxa"/>
            <w:tcBorders>
              <w:top w:val="nil"/>
              <w:left w:val="nil"/>
              <w:bottom w:val="nil"/>
              <w:right w:val="nil"/>
            </w:tcBorders>
            <w:shd w:val="clear" w:color="000000" w:fill="F2F2F2"/>
          </w:tcPr>
          <w:p w14:paraId="5154A1EC"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–0.91</w:t>
            </w:r>
          </w:p>
        </w:tc>
        <w:tc>
          <w:tcPr>
            <w:tcW w:w="938" w:type="dxa"/>
            <w:tcBorders>
              <w:top w:val="nil"/>
              <w:left w:val="nil"/>
              <w:bottom w:val="nil"/>
              <w:right w:val="nil"/>
            </w:tcBorders>
            <w:shd w:val="clear" w:color="000000" w:fill="F2F2F2"/>
          </w:tcPr>
          <w:p w14:paraId="36D4B8FF"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–0.05</w:t>
            </w:r>
          </w:p>
        </w:tc>
        <w:tc>
          <w:tcPr>
            <w:tcW w:w="938" w:type="dxa"/>
            <w:tcBorders>
              <w:top w:val="nil"/>
              <w:left w:val="nil"/>
              <w:bottom w:val="nil"/>
              <w:right w:val="nil"/>
            </w:tcBorders>
            <w:shd w:val="clear" w:color="000000" w:fill="F2F2F2"/>
          </w:tcPr>
          <w:p w14:paraId="19C9D572"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–0.73</w:t>
            </w:r>
          </w:p>
        </w:tc>
        <w:tc>
          <w:tcPr>
            <w:tcW w:w="938" w:type="dxa"/>
            <w:tcBorders>
              <w:top w:val="nil"/>
              <w:left w:val="nil"/>
              <w:bottom w:val="nil"/>
              <w:right w:val="nil"/>
            </w:tcBorders>
            <w:shd w:val="clear" w:color="000000" w:fill="F2F2F2"/>
          </w:tcPr>
          <w:p w14:paraId="6F0E42D7"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–0.09</w:t>
            </w:r>
          </w:p>
        </w:tc>
      </w:tr>
      <w:tr w:rsidR="00CB4A37" w:rsidRPr="00CB4A37" w14:paraId="1F9E606F" w14:textId="77777777" w:rsidTr="00074CE0">
        <w:trPr>
          <w:trHeight w:val="288"/>
        </w:trPr>
        <w:tc>
          <w:tcPr>
            <w:tcW w:w="2136" w:type="dxa"/>
            <w:tcBorders>
              <w:top w:val="nil"/>
              <w:left w:val="nil"/>
              <w:bottom w:val="nil"/>
              <w:right w:val="nil"/>
            </w:tcBorders>
            <w:hideMark/>
          </w:tcPr>
          <w:p w14:paraId="2394828F"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Import volumes</w:t>
            </w:r>
          </w:p>
        </w:tc>
        <w:tc>
          <w:tcPr>
            <w:tcW w:w="937" w:type="dxa"/>
            <w:tcBorders>
              <w:top w:val="nil"/>
              <w:left w:val="nil"/>
              <w:bottom w:val="nil"/>
              <w:right w:val="nil"/>
            </w:tcBorders>
          </w:tcPr>
          <w:p w14:paraId="13616073"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–0.31</w:t>
            </w:r>
          </w:p>
        </w:tc>
        <w:tc>
          <w:tcPr>
            <w:tcW w:w="937" w:type="dxa"/>
            <w:tcBorders>
              <w:top w:val="nil"/>
              <w:left w:val="nil"/>
              <w:bottom w:val="nil"/>
              <w:right w:val="nil"/>
            </w:tcBorders>
          </w:tcPr>
          <w:p w14:paraId="19BDCD9B"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0.09</w:t>
            </w:r>
          </w:p>
        </w:tc>
        <w:tc>
          <w:tcPr>
            <w:tcW w:w="938" w:type="dxa"/>
            <w:tcBorders>
              <w:top w:val="nil"/>
              <w:left w:val="nil"/>
              <w:bottom w:val="nil"/>
              <w:right w:val="nil"/>
            </w:tcBorders>
          </w:tcPr>
          <w:p w14:paraId="21858522"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–8.68</w:t>
            </w:r>
          </w:p>
        </w:tc>
        <w:tc>
          <w:tcPr>
            <w:tcW w:w="938" w:type="dxa"/>
            <w:tcBorders>
              <w:top w:val="nil"/>
              <w:left w:val="nil"/>
              <w:bottom w:val="nil"/>
              <w:right w:val="nil"/>
            </w:tcBorders>
          </w:tcPr>
          <w:p w14:paraId="1A512A51"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–17.23</w:t>
            </w:r>
          </w:p>
        </w:tc>
        <w:tc>
          <w:tcPr>
            <w:tcW w:w="938" w:type="dxa"/>
            <w:tcBorders>
              <w:top w:val="nil"/>
              <w:left w:val="nil"/>
              <w:bottom w:val="nil"/>
              <w:right w:val="nil"/>
            </w:tcBorders>
          </w:tcPr>
          <w:p w14:paraId="36D12B69"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–0.63</w:t>
            </w:r>
          </w:p>
        </w:tc>
        <w:tc>
          <w:tcPr>
            <w:tcW w:w="938" w:type="dxa"/>
            <w:tcBorders>
              <w:top w:val="nil"/>
              <w:left w:val="nil"/>
              <w:bottom w:val="nil"/>
              <w:right w:val="nil"/>
            </w:tcBorders>
          </w:tcPr>
          <w:p w14:paraId="117B27A6"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–0.28</w:t>
            </w:r>
          </w:p>
        </w:tc>
        <w:tc>
          <w:tcPr>
            <w:tcW w:w="938" w:type="dxa"/>
            <w:tcBorders>
              <w:top w:val="nil"/>
              <w:left w:val="nil"/>
              <w:bottom w:val="nil"/>
              <w:right w:val="nil"/>
            </w:tcBorders>
          </w:tcPr>
          <w:p w14:paraId="3CACD03D"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0.01</w:t>
            </w:r>
          </w:p>
        </w:tc>
        <w:tc>
          <w:tcPr>
            <w:tcW w:w="938" w:type="dxa"/>
            <w:tcBorders>
              <w:top w:val="nil"/>
              <w:left w:val="nil"/>
              <w:bottom w:val="nil"/>
              <w:right w:val="nil"/>
            </w:tcBorders>
          </w:tcPr>
          <w:p w14:paraId="4CBD9232"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0.70</w:t>
            </w:r>
          </w:p>
        </w:tc>
      </w:tr>
      <w:tr w:rsidR="00CB4A37" w:rsidRPr="00CB4A37" w14:paraId="62A2FA7C" w14:textId="77777777" w:rsidTr="00074CE0">
        <w:trPr>
          <w:trHeight w:val="288"/>
        </w:trPr>
        <w:tc>
          <w:tcPr>
            <w:tcW w:w="2136" w:type="dxa"/>
            <w:tcBorders>
              <w:top w:val="nil"/>
              <w:left w:val="nil"/>
              <w:bottom w:val="nil"/>
              <w:right w:val="nil"/>
            </w:tcBorders>
            <w:shd w:val="clear" w:color="000000" w:fill="F2F2F2"/>
            <w:hideMark/>
          </w:tcPr>
          <w:p w14:paraId="19E634C1"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Export volumes</w:t>
            </w:r>
          </w:p>
        </w:tc>
        <w:tc>
          <w:tcPr>
            <w:tcW w:w="937" w:type="dxa"/>
            <w:tcBorders>
              <w:top w:val="nil"/>
              <w:left w:val="nil"/>
              <w:bottom w:val="nil"/>
              <w:right w:val="nil"/>
            </w:tcBorders>
            <w:shd w:val="clear" w:color="000000" w:fill="F2F2F2"/>
          </w:tcPr>
          <w:p w14:paraId="2F828CF5"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0.07</w:t>
            </w:r>
          </w:p>
        </w:tc>
        <w:tc>
          <w:tcPr>
            <w:tcW w:w="937" w:type="dxa"/>
            <w:tcBorders>
              <w:top w:val="nil"/>
              <w:left w:val="nil"/>
              <w:bottom w:val="nil"/>
              <w:right w:val="nil"/>
            </w:tcBorders>
            <w:shd w:val="clear" w:color="000000" w:fill="F2F2F2"/>
          </w:tcPr>
          <w:p w14:paraId="3E66595D"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–0.01</w:t>
            </w:r>
          </w:p>
        </w:tc>
        <w:tc>
          <w:tcPr>
            <w:tcW w:w="938" w:type="dxa"/>
            <w:tcBorders>
              <w:top w:val="nil"/>
              <w:left w:val="nil"/>
              <w:bottom w:val="nil"/>
              <w:right w:val="nil"/>
            </w:tcBorders>
            <w:shd w:val="clear" w:color="000000" w:fill="F2F2F2"/>
          </w:tcPr>
          <w:p w14:paraId="777F0DC3"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–14.97</w:t>
            </w:r>
          </w:p>
        </w:tc>
        <w:tc>
          <w:tcPr>
            <w:tcW w:w="938" w:type="dxa"/>
            <w:tcBorders>
              <w:top w:val="nil"/>
              <w:left w:val="nil"/>
              <w:bottom w:val="nil"/>
              <w:right w:val="nil"/>
            </w:tcBorders>
            <w:shd w:val="clear" w:color="000000" w:fill="F2F2F2"/>
          </w:tcPr>
          <w:p w14:paraId="603FEEE5"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–24.43</w:t>
            </w:r>
          </w:p>
        </w:tc>
        <w:tc>
          <w:tcPr>
            <w:tcW w:w="938" w:type="dxa"/>
            <w:tcBorders>
              <w:top w:val="nil"/>
              <w:left w:val="nil"/>
              <w:bottom w:val="nil"/>
              <w:right w:val="nil"/>
            </w:tcBorders>
            <w:shd w:val="clear" w:color="000000" w:fill="F2F2F2"/>
          </w:tcPr>
          <w:p w14:paraId="0FBCA72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–0.09</w:t>
            </w:r>
          </w:p>
        </w:tc>
        <w:tc>
          <w:tcPr>
            <w:tcW w:w="938" w:type="dxa"/>
            <w:tcBorders>
              <w:top w:val="nil"/>
              <w:left w:val="nil"/>
              <w:bottom w:val="nil"/>
              <w:right w:val="nil"/>
            </w:tcBorders>
            <w:shd w:val="clear" w:color="000000" w:fill="F2F2F2"/>
          </w:tcPr>
          <w:p w14:paraId="536636F9"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–0.23</w:t>
            </w:r>
          </w:p>
        </w:tc>
        <w:tc>
          <w:tcPr>
            <w:tcW w:w="938" w:type="dxa"/>
            <w:tcBorders>
              <w:top w:val="nil"/>
              <w:left w:val="nil"/>
              <w:bottom w:val="nil"/>
              <w:right w:val="nil"/>
            </w:tcBorders>
            <w:shd w:val="clear" w:color="000000" w:fill="F2F2F2"/>
          </w:tcPr>
          <w:p w14:paraId="1357CF31"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0.34</w:t>
            </w:r>
          </w:p>
        </w:tc>
        <w:tc>
          <w:tcPr>
            <w:tcW w:w="938" w:type="dxa"/>
            <w:tcBorders>
              <w:top w:val="nil"/>
              <w:left w:val="nil"/>
              <w:bottom w:val="nil"/>
              <w:right w:val="nil"/>
            </w:tcBorders>
            <w:shd w:val="clear" w:color="000000" w:fill="F2F2F2"/>
          </w:tcPr>
          <w:p w14:paraId="2AB45163"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1.24</w:t>
            </w:r>
          </w:p>
        </w:tc>
      </w:tr>
      <w:tr w:rsidR="00CB4A37" w:rsidRPr="00CB4A37" w14:paraId="567DE8D3" w14:textId="77777777" w:rsidTr="00074CE0">
        <w:trPr>
          <w:trHeight w:val="288"/>
        </w:trPr>
        <w:tc>
          <w:tcPr>
            <w:tcW w:w="2136" w:type="dxa"/>
            <w:tcBorders>
              <w:top w:val="nil"/>
              <w:left w:val="nil"/>
              <w:bottom w:val="single" w:sz="4" w:space="0" w:color="B3B3B3"/>
              <w:right w:val="nil"/>
            </w:tcBorders>
            <w:hideMark/>
          </w:tcPr>
          <w:p w14:paraId="217057BE"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Terms of trade</w:t>
            </w:r>
            <w:r w:rsidRPr="00CB4A37">
              <w:rPr>
                <w:b/>
                <w:color w:val="265A9A" w:themeColor="background2"/>
                <w:sz w:val="18"/>
                <w:vertAlign w:val="superscript"/>
                <w:lang w:eastAsia="en-AU"/>
              </w:rPr>
              <w:t>e</w:t>
            </w:r>
          </w:p>
        </w:tc>
        <w:tc>
          <w:tcPr>
            <w:tcW w:w="937" w:type="dxa"/>
            <w:tcBorders>
              <w:top w:val="nil"/>
              <w:left w:val="nil"/>
              <w:bottom w:val="single" w:sz="4" w:space="0" w:color="B3B3B3"/>
              <w:right w:val="nil"/>
            </w:tcBorders>
          </w:tcPr>
          <w:p w14:paraId="6DE2CEB1"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–0.26</w:t>
            </w:r>
          </w:p>
        </w:tc>
        <w:tc>
          <w:tcPr>
            <w:tcW w:w="937" w:type="dxa"/>
            <w:tcBorders>
              <w:top w:val="nil"/>
              <w:left w:val="nil"/>
              <w:bottom w:val="single" w:sz="4" w:space="0" w:color="B3B3B3"/>
              <w:right w:val="nil"/>
            </w:tcBorders>
          </w:tcPr>
          <w:p w14:paraId="31203EC2"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0.51</w:t>
            </w:r>
          </w:p>
        </w:tc>
        <w:tc>
          <w:tcPr>
            <w:tcW w:w="938" w:type="dxa"/>
            <w:tcBorders>
              <w:top w:val="nil"/>
              <w:left w:val="nil"/>
              <w:bottom w:val="single" w:sz="4" w:space="0" w:color="B3B3B3"/>
              <w:right w:val="nil"/>
            </w:tcBorders>
          </w:tcPr>
          <w:p w14:paraId="3D146607"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3.74</w:t>
            </w:r>
          </w:p>
        </w:tc>
        <w:tc>
          <w:tcPr>
            <w:tcW w:w="938" w:type="dxa"/>
            <w:tcBorders>
              <w:top w:val="nil"/>
              <w:left w:val="nil"/>
              <w:bottom w:val="single" w:sz="4" w:space="0" w:color="B3B3B3"/>
              <w:right w:val="nil"/>
            </w:tcBorders>
          </w:tcPr>
          <w:p w14:paraId="529AF44E"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–0.49</w:t>
            </w:r>
          </w:p>
        </w:tc>
        <w:tc>
          <w:tcPr>
            <w:tcW w:w="938" w:type="dxa"/>
            <w:tcBorders>
              <w:top w:val="nil"/>
              <w:left w:val="nil"/>
              <w:bottom w:val="single" w:sz="4" w:space="0" w:color="B3B3B3"/>
              <w:right w:val="nil"/>
            </w:tcBorders>
          </w:tcPr>
          <w:p w14:paraId="1D9B4568"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–0.35</w:t>
            </w:r>
          </w:p>
        </w:tc>
        <w:tc>
          <w:tcPr>
            <w:tcW w:w="938" w:type="dxa"/>
            <w:tcBorders>
              <w:top w:val="nil"/>
              <w:left w:val="nil"/>
              <w:bottom w:val="single" w:sz="4" w:space="0" w:color="B3B3B3"/>
              <w:right w:val="nil"/>
            </w:tcBorders>
          </w:tcPr>
          <w:p w14:paraId="68C25DED"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0.05</w:t>
            </w:r>
          </w:p>
        </w:tc>
        <w:tc>
          <w:tcPr>
            <w:tcW w:w="938" w:type="dxa"/>
            <w:tcBorders>
              <w:top w:val="nil"/>
              <w:left w:val="nil"/>
              <w:bottom w:val="single" w:sz="4" w:space="0" w:color="B3B3B3"/>
              <w:right w:val="nil"/>
            </w:tcBorders>
          </w:tcPr>
          <w:p w14:paraId="039A4151"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–0.15</w:t>
            </w:r>
          </w:p>
        </w:tc>
        <w:tc>
          <w:tcPr>
            <w:tcW w:w="938" w:type="dxa"/>
            <w:tcBorders>
              <w:top w:val="nil"/>
              <w:left w:val="nil"/>
              <w:bottom w:val="single" w:sz="4" w:space="0" w:color="B3B3B3"/>
              <w:right w:val="nil"/>
            </w:tcBorders>
          </w:tcPr>
          <w:p w14:paraId="4FC86956" w14:textId="77777777" w:rsidR="00CB4A37" w:rsidRPr="00CB4A37" w:rsidRDefault="00CB4A37" w:rsidP="00CB4A37">
            <w:pPr>
              <w:spacing w:before="0" w:after="20"/>
              <w:ind w:left="57"/>
              <w:jc w:val="right"/>
              <w:rPr>
                <w:rFonts w:eastAsia="Times New Roman" w:cs="Times New Roman"/>
                <w:sz w:val="18"/>
                <w:lang w:eastAsia="en-AU"/>
              </w:rPr>
            </w:pPr>
            <w:r w:rsidRPr="00CB4A37">
              <w:rPr>
                <w:rFonts w:ascii="Arial (Body)" w:hAnsi="Arial (Body)"/>
                <w:color w:val="000000"/>
                <w:sz w:val="18"/>
                <w:szCs w:val="18"/>
              </w:rPr>
              <w:t>0.06</w:t>
            </w:r>
          </w:p>
        </w:tc>
      </w:tr>
    </w:tbl>
    <w:p w14:paraId="3759C5AA" w14:textId="77777777" w:rsidR="00CB4A37" w:rsidRPr="00CB4A37" w:rsidRDefault="00CB4A37" w:rsidP="00963B4D">
      <w:pPr>
        <w:pStyle w:val="Note"/>
      </w:pPr>
      <w:r w:rsidRPr="00CB4A37">
        <w:rPr>
          <w:b/>
          <w:bCs/>
        </w:rPr>
        <w:t>a.</w:t>
      </w:r>
      <w:r w:rsidRPr="00CB4A37">
        <w:t xml:space="preserve"> Real GDP is a measure of real national production. </w:t>
      </w:r>
      <w:r w:rsidRPr="00CB4A37">
        <w:rPr>
          <w:b/>
          <w:bCs/>
        </w:rPr>
        <w:t>b.</w:t>
      </w:r>
      <w:r w:rsidRPr="00CB4A37">
        <w:t xml:space="preserve"> Real GNP is a measure of real national income. </w:t>
      </w:r>
      <w:r w:rsidRPr="00CB4A37">
        <w:rPr>
          <w:b/>
          <w:bCs/>
        </w:rPr>
        <w:t>c.</w:t>
      </w:r>
      <w:r w:rsidRPr="00CB4A37">
        <w:t xml:space="preserve"> Real GNA is a measure of the real purchasing power of national income. </w:t>
      </w:r>
      <w:r w:rsidRPr="00CB4A37">
        <w:rPr>
          <w:b/>
          <w:bCs/>
        </w:rPr>
        <w:t>d.</w:t>
      </w:r>
      <w:r w:rsidRPr="00CB4A37">
        <w:t xml:space="preserve"> Prices are the GDP deflator in each region. </w:t>
      </w:r>
      <w:r w:rsidRPr="00CB4A37">
        <w:rPr>
          <w:b/>
          <w:bCs/>
        </w:rPr>
        <w:t>e.</w:t>
      </w:r>
      <w:r w:rsidRPr="00CB4A37">
        <w:t xml:space="preserve"> The terms of trade are an index of the price of exports divided by the price of imports.</w:t>
      </w:r>
    </w:p>
    <w:p w14:paraId="0A00CA87" w14:textId="77777777" w:rsidR="00CB4A37" w:rsidRPr="00CB4A37" w:rsidRDefault="00CB4A37" w:rsidP="00CB4A37">
      <w:pPr>
        <w:spacing w:before="80" w:after="240" w:line="216" w:lineRule="atLeast"/>
        <w:rPr>
          <w:sz w:val="18"/>
        </w:rPr>
      </w:pPr>
      <w:r w:rsidRPr="00CB4A37">
        <w:rPr>
          <w:sz w:val="18"/>
        </w:rPr>
        <w:t>Source: PC estimates.</w:t>
      </w:r>
    </w:p>
    <w:p w14:paraId="5B664042" w14:textId="77777777" w:rsidR="00CB4A37" w:rsidRPr="00CB4A37" w:rsidRDefault="00CB4A37" w:rsidP="00504D82">
      <w:pPr>
        <w:pStyle w:val="Heading4"/>
      </w:pPr>
      <w:r w:rsidRPr="00CB4A37">
        <w:t>Impacts on the United States</w:t>
      </w:r>
    </w:p>
    <w:p w14:paraId="7CBC0C0C" w14:textId="77777777" w:rsidR="00CB4A37" w:rsidRPr="00CB4A37" w:rsidRDefault="00CB4A37" w:rsidP="00CB4A37">
      <w:pPr>
        <w:numPr>
          <w:ilvl w:val="0"/>
          <w:numId w:val="22"/>
        </w:numPr>
        <w:contextualSpacing/>
      </w:pPr>
      <w:r w:rsidRPr="00CB4A37">
        <w:t>Tariffs increase the price of goods imported into the US, reducing their demand in favour of domestically produced goods. US tariff revenue increases by roughly $200 billion (3.7% of government revenue in the model database).</w:t>
      </w:r>
    </w:p>
    <w:p w14:paraId="55273406" w14:textId="77777777" w:rsidR="00CB4A37" w:rsidRPr="00CB4A37" w:rsidRDefault="00CB4A37" w:rsidP="00CB4A37">
      <w:pPr>
        <w:numPr>
          <w:ilvl w:val="0"/>
          <w:numId w:val="22"/>
        </w:numPr>
        <w:contextualSpacing/>
      </w:pPr>
      <w:r w:rsidRPr="00CB4A37">
        <w:lastRenderedPageBreak/>
        <w:t xml:space="preserve">Higher domestic demand stimulates the US manufacturing sector, which draws labour and capital from other, more productive sectors of the economy to meet the additional domestic demand. </w:t>
      </w:r>
    </w:p>
    <w:p w14:paraId="5C03BA32" w14:textId="77777777" w:rsidR="00CB4A37" w:rsidRPr="00CB4A37" w:rsidRDefault="00CB4A37" w:rsidP="00CB4A37">
      <w:pPr>
        <w:numPr>
          <w:ilvl w:val="0"/>
          <w:numId w:val="22"/>
        </w:numPr>
        <w:contextualSpacing/>
      </w:pPr>
      <w:r w:rsidRPr="00CB4A37">
        <w:t>Higher import prices and domestic demand feed through into higher prices in the US (3.1%). This increases the price of US exports (by 2.8%) and the resulting loss in international competitiveness leads to a fall in US export volumes (by –15%).</w:t>
      </w:r>
    </w:p>
    <w:p w14:paraId="160AFF36" w14:textId="77777777" w:rsidR="00CB4A37" w:rsidRPr="00CB4A37" w:rsidRDefault="00CB4A37" w:rsidP="00CB4A37">
      <w:pPr>
        <w:numPr>
          <w:ilvl w:val="0"/>
          <w:numId w:val="22"/>
        </w:numPr>
        <w:contextualSpacing/>
      </w:pPr>
      <w:r w:rsidRPr="00CB4A37">
        <w:t xml:space="preserve">Together, these effects lead to lower real GDP in the US (by –0.6%). Aggregate production falls across all sectors, including manufacturing (by –1.1%), with lower export demand more than offsetting the increase in domestic demand. </w:t>
      </w:r>
    </w:p>
    <w:p w14:paraId="3EED7570" w14:textId="77777777" w:rsidR="00CB4A37" w:rsidRPr="00CB4A37" w:rsidRDefault="00CB4A37" w:rsidP="00CB4A37">
      <w:pPr>
        <w:numPr>
          <w:ilvl w:val="0"/>
          <w:numId w:val="22"/>
        </w:numPr>
        <w:contextualSpacing/>
      </w:pPr>
      <w:r w:rsidRPr="00CB4A37">
        <w:t>Lower aggregate production reduces the demand for labour and capital, resulting in lower real wages (by –1.6%). In conjunction with the higher cost of investment goods in the US due to higher prices, the net rate of return on capital earned by investors also falls (by –0.9%).</w:t>
      </w:r>
    </w:p>
    <w:p w14:paraId="36BF13B8" w14:textId="77777777" w:rsidR="00CB4A37" w:rsidRPr="00CB4A37" w:rsidRDefault="00CB4A37" w:rsidP="00382841">
      <w:pPr>
        <w:numPr>
          <w:ilvl w:val="0"/>
          <w:numId w:val="22"/>
        </w:numPr>
      </w:pPr>
      <w:r w:rsidRPr="00CB4A37">
        <w:t>Lower rates of return lead US and foreign investors to move capital out of the US in search of higher real returns, which becomes available for use by other economies in their production. The real capital stock in the US falls (by –1.2%).</w:t>
      </w:r>
    </w:p>
    <w:p w14:paraId="5B643F00" w14:textId="77777777" w:rsidR="00CB4A37" w:rsidRPr="00CB4A37" w:rsidRDefault="00CB4A37" w:rsidP="00504D82">
      <w:pPr>
        <w:pStyle w:val="Heading4"/>
      </w:pPr>
      <w:r w:rsidRPr="00CB4A37">
        <w:t>Impacts on Australia</w:t>
      </w:r>
    </w:p>
    <w:p w14:paraId="2FD1D5F1" w14:textId="77777777" w:rsidR="00CB4A37" w:rsidRPr="00CB4A37" w:rsidRDefault="00CB4A37" w:rsidP="00CB4A37">
      <w:r w:rsidRPr="00CB4A37">
        <w:t>The impacts of this scenario for Australia are marginally positive and modest compared to those on the US.</w:t>
      </w:r>
    </w:p>
    <w:p w14:paraId="20094A75" w14:textId="77777777" w:rsidR="00CB4A37" w:rsidRPr="00CB4A37" w:rsidRDefault="00CB4A37" w:rsidP="00CB4A37">
      <w:pPr>
        <w:numPr>
          <w:ilvl w:val="0"/>
          <w:numId w:val="22"/>
        </w:numPr>
        <w:contextualSpacing/>
      </w:pPr>
      <w:r w:rsidRPr="00CB4A37">
        <w:t>Australian production increases (by 0.1%), due to an inflow of productive capital from overseas investors and the comparatively higher price of imports from the US, which incentivises some import substitution.</w:t>
      </w:r>
    </w:p>
    <w:p w14:paraId="1F7A1E0F" w14:textId="77777777" w:rsidR="00CB4A37" w:rsidRPr="00CB4A37" w:rsidRDefault="00CB4A37" w:rsidP="00CB4A37">
      <w:pPr>
        <w:numPr>
          <w:ilvl w:val="0"/>
          <w:numId w:val="22"/>
        </w:numPr>
        <w:contextualSpacing/>
      </w:pPr>
      <w:r w:rsidRPr="00CB4A37">
        <w:t>The increase in the supply of capital makes the domestic economy more capital intensive, leading to a lower rental price (by –0.8%). The relative scarcity of labour means that there is a slight increase in Australian real wages (by 0.1%) to produce the additional output.</w:t>
      </w:r>
    </w:p>
    <w:p w14:paraId="2ADFD7BA" w14:textId="77777777" w:rsidR="00CB4A37" w:rsidRPr="00CB4A37" w:rsidRDefault="00CB4A37" w:rsidP="00CB4A37">
      <w:pPr>
        <w:numPr>
          <w:ilvl w:val="0"/>
          <w:numId w:val="22"/>
        </w:numPr>
        <w:contextualSpacing/>
      </w:pPr>
      <w:r w:rsidRPr="00CB4A37">
        <w:t xml:space="preserve">Lower US demand for exports leads producers globally to seek alternate markets, which requires exporters to reduce the price of goods previously exported to the US. Access to cheaper imports lowers the price that Australia pays for its imports (by –0.3%). </w:t>
      </w:r>
    </w:p>
    <w:p w14:paraId="6863CFD6" w14:textId="77777777" w:rsidR="00CB4A37" w:rsidRPr="00CB4A37" w:rsidRDefault="00CB4A37" w:rsidP="00CB4A37">
      <w:pPr>
        <w:numPr>
          <w:ilvl w:val="0"/>
          <w:numId w:val="22"/>
        </w:numPr>
        <w:contextualSpacing/>
      </w:pPr>
      <w:r w:rsidRPr="00CB4A37">
        <w:t>China, whose largest export market is the US by far, exports slightly less but at an appreciably lower price (by –0.8%), including to Australia. China’s imports fall in value to restore external balance, including a marginal fall in imports from Australia.</w:t>
      </w:r>
    </w:p>
    <w:p w14:paraId="582939B4" w14:textId="77777777" w:rsidR="00CB4A37" w:rsidRPr="00CB4A37" w:rsidRDefault="00CB4A37" w:rsidP="00CB4A37">
      <w:pPr>
        <w:numPr>
          <w:ilvl w:val="0"/>
          <w:numId w:val="22"/>
        </w:numPr>
        <w:contextualSpacing/>
      </w:pPr>
      <w:r w:rsidRPr="00CB4A37">
        <w:t>Lower import prices reduce the cost of imported inputs used in Australian production and ultimately flow through to lower consumer prices (by –0.6%).</w:t>
      </w:r>
    </w:p>
    <w:p w14:paraId="40979CFC" w14:textId="77777777" w:rsidR="00CB4A37" w:rsidRPr="00CB4A37" w:rsidRDefault="00CB4A37" w:rsidP="00CB4A37">
      <w:pPr>
        <w:numPr>
          <w:ilvl w:val="0"/>
          <w:numId w:val="22"/>
        </w:numPr>
        <w:contextualSpacing/>
      </w:pPr>
      <w:r w:rsidRPr="00CB4A37">
        <w:t xml:space="preserve">Australia needs to find alternative markets for the goods that were previously exported to the US, which also requires the price (and income) of Australian exports to fall (by –0.6%). Australian exports pivot to regions such as the United Kingdom, Korea and Canada. </w:t>
      </w:r>
    </w:p>
    <w:p w14:paraId="136E4D49" w14:textId="77777777" w:rsidR="00CB4A37" w:rsidRPr="00CB4A37" w:rsidRDefault="00CB4A37" w:rsidP="00CB4A37">
      <w:pPr>
        <w:numPr>
          <w:ilvl w:val="0"/>
          <w:numId w:val="22"/>
        </w:numPr>
        <w:contextualSpacing/>
      </w:pPr>
      <w:r w:rsidRPr="00CB4A37">
        <w:t xml:space="preserve">Australia’s terms of trade deteriorate slightly (by </w:t>
      </w:r>
      <w:r w:rsidRPr="00CB4A37">
        <w:rPr>
          <w:rFonts w:ascii="Arial (Body)" w:hAnsi="Arial (Body)"/>
          <w:color w:val="000000"/>
          <w:szCs w:val="18"/>
        </w:rPr>
        <w:t>–</w:t>
      </w:r>
      <w:r w:rsidRPr="00CB4A37">
        <w:t>0.3%) as export prices fall by more than import prices.</w:t>
      </w:r>
    </w:p>
    <w:p w14:paraId="0997A5EA" w14:textId="77777777" w:rsidR="00CB4A37" w:rsidRPr="00CB4A37" w:rsidRDefault="00CB4A37" w:rsidP="00CB4A37">
      <w:r w:rsidRPr="00CB4A37">
        <w:t xml:space="preserve">Nonetheless, the trade effects for Australia are small compared to those on the US (figure A.2). Australian imports fall slightly due to higher domestic production, with falls in manufactured and service imports from the US partly counteracted by higher imports from the rest of the world. Australian export volumes rise slightly overall, offsetting falls in exports to the US. </w:t>
      </w:r>
    </w:p>
    <w:p w14:paraId="19C4C4EC" w14:textId="77777777" w:rsidR="00CB4A37" w:rsidRPr="00CB4A37" w:rsidRDefault="00CB4A37" w:rsidP="00CB4A37">
      <w:pPr>
        <w:keepNext/>
        <w:spacing w:before="240" w:after="40"/>
        <w:rPr>
          <w:rFonts w:asciiTheme="majorHAnsi" w:hAnsiTheme="majorHAnsi"/>
          <w:iCs/>
          <w:color w:val="000000" w:themeColor="text1"/>
          <w:szCs w:val="18"/>
        </w:rPr>
      </w:pPr>
      <w:bookmarkStart w:id="102" w:name="_Hlk200528179"/>
      <w:r w:rsidRPr="00CB4A37">
        <w:rPr>
          <w:rFonts w:asciiTheme="majorHAnsi" w:hAnsiTheme="majorHAnsi"/>
          <w:iCs/>
          <w:color w:val="000000" w:themeColor="text1"/>
          <w:szCs w:val="18"/>
        </w:rPr>
        <w:lastRenderedPageBreak/>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2 </w:t>
      </w:r>
      <w:r w:rsidRPr="00CB4A37">
        <w:rPr>
          <w:rFonts w:asciiTheme="majorHAnsi" w:hAnsiTheme="majorHAnsi"/>
          <w:iCs/>
          <w:color w:val="000000" w:themeColor="text1"/>
          <w:szCs w:val="18"/>
        </w:rPr>
        <w:t>– Trade with the rest of the world offsets lower trade with the United States</w:t>
      </w:r>
    </w:p>
    <w:p w14:paraId="2CC34D14"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 in Australian exports and imports with selected trading partners</w:t>
      </w:r>
    </w:p>
    <w:bookmarkEnd w:id="102"/>
    <w:p w14:paraId="5B70CCB5" w14:textId="77777777" w:rsidR="00CB4A37" w:rsidRPr="00CB4A37" w:rsidRDefault="00CB4A37" w:rsidP="0095301C">
      <w:pPr>
        <w:pStyle w:val="BodyText"/>
      </w:pPr>
      <w:r w:rsidRPr="00CB4A37">
        <w:rPr>
          <w:noProof/>
        </w:rPr>
        <w:drawing>
          <wp:inline distT="0" distB="0" distL="0" distR="0" wp14:anchorId="5EEBE4AE" wp14:editId="1AB0C89F">
            <wp:extent cx="6120130" cy="3099435"/>
            <wp:effectExtent l="0" t="0" r="0" b="0"/>
            <wp:docPr id="985918908" name="Picture 17" descr="This figure is a clustered column chart showing the percentage change in Australian exports and imports with a selection of seven Australian trading partners, Association of Southeast Asian Nations (ASEAN) as a group and the rest of the world. The largest change is in exports and imports to the United States, which fall by around 7.5% and almost 17% respectively. The largest increases are in exports and imports to Canada and Mexico – exports to Canada increase by over 3%, imports from Canada by over 5%, and both exports to and imports from Mexico by around 5%. In general, changes in imports are larger, at just under 2.5% from China, Japan and Korea with smaller but positive increases from the EU and ASEAN nations. There is no change in exports to China and changes in exports to other countries are around 1%. The change in trade flows with the rest of the world is comparatively small, at around 1%, and larger for exports than im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18908" name="Picture 17" descr="This figure is a clustered column chart showing the percentage change in Australian exports and imports with a selection of seven Australian trading partners, Association of Southeast Asian Nations (ASEAN) as a group and the rest of the world. The largest change is in exports and imports to the United States, which fall by around 7.5% and almost 17% respectively. The largest increases are in exports and imports to Canada and Mexico – exports to Canada increase by over 3%, imports from Canada by over 5%, and both exports to and imports from Mexico by around 5%. In general, changes in imports are larger, at just under 2.5% from China, Japan and Korea with smaller but positive increases from the EU and ASEAN nations. There is no change in exports to China and changes in exports to other countries are around 1%. The change in trade flows with the rest of the world is comparatively small, at around 1%, and larger for exports than imports.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099435"/>
                    </a:xfrm>
                    <a:prstGeom prst="rect">
                      <a:avLst/>
                    </a:prstGeom>
                    <a:noFill/>
                    <a:ln>
                      <a:noFill/>
                    </a:ln>
                  </pic:spPr>
                </pic:pic>
              </a:graphicData>
            </a:graphic>
          </wp:inline>
        </w:drawing>
      </w:r>
    </w:p>
    <w:p w14:paraId="116A30CC" w14:textId="77777777" w:rsidR="00CB4A37" w:rsidRPr="00CB4A37" w:rsidRDefault="00CB4A37" w:rsidP="00CB4A37">
      <w:pPr>
        <w:spacing w:before="80" w:after="240" w:line="216" w:lineRule="atLeast"/>
        <w:rPr>
          <w:sz w:val="18"/>
        </w:rPr>
      </w:pPr>
      <w:r w:rsidRPr="00CB4A37">
        <w:rPr>
          <w:sz w:val="18"/>
        </w:rPr>
        <w:t>Source: PC estimates.</w:t>
      </w:r>
    </w:p>
    <w:p w14:paraId="31DEAAF2" w14:textId="77777777" w:rsidR="00CB4A37" w:rsidRPr="00CB4A37" w:rsidRDefault="00CB4A37" w:rsidP="00504D82">
      <w:pPr>
        <w:pStyle w:val="Heading4"/>
      </w:pPr>
      <w:r w:rsidRPr="00CB4A37">
        <w:t>Impacts on the rest of the world</w:t>
      </w:r>
    </w:p>
    <w:p w14:paraId="4650DF87" w14:textId="77777777" w:rsidR="00CB4A37" w:rsidRPr="00CB4A37" w:rsidRDefault="00CB4A37" w:rsidP="00CB4A37">
      <w:r w:rsidRPr="00CB4A37">
        <w:t>The modelled impacts on the rest of the world are generally positive (in relative terms) and small, reflecting the net effect of opposing factors. However, some economies face concentrated downturns and global production falls in aggregate.</w:t>
      </w:r>
    </w:p>
    <w:p w14:paraId="279C212D" w14:textId="77777777" w:rsidR="00CB4A37" w:rsidRPr="00CB4A37" w:rsidRDefault="00CB4A37" w:rsidP="00CB4A37">
      <w:pPr>
        <w:numPr>
          <w:ilvl w:val="0"/>
          <w:numId w:val="22"/>
        </w:numPr>
        <w:contextualSpacing/>
      </w:pPr>
      <w:r w:rsidRPr="00CB4A37">
        <w:t xml:space="preserve">Lower US demand for imports causes an oversupply of products previously exported to the US, resulting in lower prices for these exports. However, in many economies, this is more than offset by the outflow of productive capital from the US, which increases manufacturing output in economies such as Japan (by 0.4%) and Korea (by 0.3%). </w:t>
      </w:r>
    </w:p>
    <w:p w14:paraId="2BB17ABD" w14:textId="77777777" w:rsidR="00CB4A37" w:rsidRPr="00CB4A37" w:rsidRDefault="00CB4A37" w:rsidP="00CB4A37">
      <w:pPr>
        <w:numPr>
          <w:ilvl w:val="0"/>
          <w:numId w:val="22"/>
        </w:numPr>
        <w:contextualSpacing/>
      </w:pPr>
      <w:r w:rsidRPr="00CB4A37">
        <w:t xml:space="preserve">US tariffs reduce the international competitiveness of </w:t>
      </w:r>
      <w:r w:rsidRPr="00CB4A37">
        <w:rPr>
          <w:i/>
          <w:iCs/>
        </w:rPr>
        <w:t>all</w:t>
      </w:r>
      <w:r w:rsidRPr="00CB4A37">
        <w:t xml:space="preserve"> US exports, benefitting economies that produce similar goods and services to those exported by the US. This leads to trade diversion, as patterns of trade shift away from the US, increasing real GDP in comparable economies like the European Union (by 0.3%).</w:t>
      </w:r>
    </w:p>
    <w:p w14:paraId="52BE71C3" w14:textId="77777777" w:rsidR="00CB4A37" w:rsidRPr="00CB4A37" w:rsidRDefault="00CB4A37" w:rsidP="00CB4A37">
      <w:pPr>
        <w:numPr>
          <w:ilvl w:val="0"/>
          <w:numId w:val="22"/>
        </w:numPr>
        <w:contextualSpacing/>
      </w:pPr>
      <w:r w:rsidRPr="00CB4A37">
        <w:t xml:space="preserve">Mexico and Canada, being highly integrated with the US economy, face larger negative impacts than the US. These economies rely on US exports and demand for their imports (namely oil, gas and motor vehicles and parts), leading to concentrated downturns on their manufacturing sectors and their economies more broadly. Real GDP falls in both Mexico (by </w:t>
      </w:r>
      <w:r w:rsidRPr="00CB4A37">
        <w:rPr>
          <w:rFonts w:ascii="Arial (Body)" w:hAnsi="Arial (Body)"/>
          <w:color w:val="000000"/>
          <w:szCs w:val="18"/>
        </w:rPr>
        <w:t>–0.9%) and Canada (by –0.7%).</w:t>
      </w:r>
    </w:p>
    <w:p w14:paraId="6F1F1C28" w14:textId="77777777" w:rsidR="00CB4A37" w:rsidRPr="00CB4A37" w:rsidRDefault="00CB4A37" w:rsidP="00CB4A37">
      <w:pPr>
        <w:numPr>
          <w:ilvl w:val="0"/>
          <w:numId w:val="22"/>
        </w:numPr>
        <w:contextualSpacing/>
      </w:pPr>
      <w:r w:rsidRPr="00CB4A37">
        <w:t xml:space="preserve">The rest of the world benefits in relative terms from the significant outflow of capital from the US, Mexico and Canada that occurs because of lower production in these economies. The rental price of capital in the rest of the world falls, lowering production costs and increasing output in most of the world. </w:t>
      </w:r>
    </w:p>
    <w:p w14:paraId="17880DF7" w14:textId="77777777" w:rsidR="00CB4A37" w:rsidRPr="00CB4A37" w:rsidRDefault="00CB4A37" w:rsidP="00CB4A37">
      <w:pPr>
        <w:numPr>
          <w:ilvl w:val="0"/>
          <w:numId w:val="22"/>
        </w:numPr>
        <w:contextualSpacing/>
      </w:pPr>
      <w:r w:rsidRPr="00CB4A37">
        <w:t>China is a beneficiary of this capital outflow, which limits the harm to its economy despite its dependence on US markets for its exports. Chinese production grows marginally as the economy becomes more domestically oriented, but the purchasing power of national income falls (by 0.1%) as producers pay more capital income to US investors.</w:t>
      </w:r>
    </w:p>
    <w:p w14:paraId="598C71B4" w14:textId="77777777" w:rsidR="00CB4A37" w:rsidRPr="00CB4A37" w:rsidRDefault="00CB4A37" w:rsidP="00CB4A37">
      <w:pPr>
        <w:numPr>
          <w:ilvl w:val="0"/>
          <w:numId w:val="22"/>
        </w:numPr>
        <w:contextualSpacing/>
      </w:pPr>
      <w:r w:rsidRPr="00CB4A37">
        <w:t xml:space="preserve">The aggregate effect of US tariffs in this scenario is to reduce global production (by </w:t>
      </w:r>
      <w:r w:rsidRPr="00CB4A37">
        <w:rPr>
          <w:rFonts w:ascii="Arial (Body)" w:hAnsi="Arial (Body)"/>
          <w:color w:val="000000"/>
          <w:szCs w:val="18"/>
        </w:rPr>
        <w:t>–</w:t>
      </w:r>
      <w:r w:rsidRPr="00CB4A37">
        <w:t>0.04%) and divert international trade away from the US.</w:t>
      </w:r>
    </w:p>
    <w:p w14:paraId="7BF2F056" w14:textId="77777777" w:rsidR="00CB4A37" w:rsidRPr="00CB4A37" w:rsidRDefault="00CB4A37" w:rsidP="00504D82">
      <w:pPr>
        <w:pStyle w:val="Heading4"/>
      </w:pPr>
      <w:r w:rsidRPr="00CB4A37">
        <w:lastRenderedPageBreak/>
        <w:t>The effect of retaliation</w:t>
      </w:r>
    </w:p>
    <w:p w14:paraId="31FB0D4D" w14:textId="77777777" w:rsidR="00CB4A37" w:rsidRPr="00CB4A37" w:rsidRDefault="00CB4A37" w:rsidP="00CB4A37">
      <w:r w:rsidRPr="00CB4A37">
        <w:t>Global retaliation – whereby regions that export to the US respond with a 10% tariff on goods imported to the US – exacerbates the effects of the initial policy (figure A.3).</w:t>
      </w:r>
    </w:p>
    <w:p w14:paraId="073A18C5"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3</w:t>
      </w:r>
      <w:r w:rsidRPr="00CB4A37">
        <w:rPr>
          <w:rFonts w:asciiTheme="majorHAnsi" w:hAnsiTheme="majorHAnsi"/>
          <w:iCs/>
          <w:color w:val="000000" w:themeColor="text1"/>
          <w:szCs w:val="18"/>
        </w:rPr>
        <w:t xml:space="preserve"> – Retaliation by affected economies exacerbates the effect of the initial policy on real output</w:t>
      </w:r>
    </w:p>
    <w:p w14:paraId="5AD4F037"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 in real GDP for selected economies</w:t>
      </w:r>
    </w:p>
    <w:p w14:paraId="36106617" w14:textId="77777777" w:rsidR="00CB4A37" w:rsidRPr="00CB4A37" w:rsidRDefault="00CB4A37" w:rsidP="00CB4A37">
      <w:pPr>
        <w:spacing w:before="0" w:after="0"/>
        <w:ind w:left="227" w:hanging="227"/>
        <w:contextualSpacing/>
      </w:pPr>
      <w:r w:rsidRPr="00CB4A37">
        <w:rPr>
          <w:noProof/>
        </w:rPr>
        <w:drawing>
          <wp:inline distT="0" distB="0" distL="0" distR="0" wp14:anchorId="0B0D3456" wp14:editId="149D800A">
            <wp:extent cx="6120130" cy="2904979"/>
            <wp:effectExtent l="0" t="0" r="0" b="0"/>
            <wp:docPr id="1229426685" name="Picture 15" descr="This figure is a clustered column chart showing the percentage change in real Gross Domestic Product (GDP) for eight economies, the Association of Southeast Asian Nations (ASEAN) and the rest of the world. The changes are shown for the modelling scenarios without retaliation and with retaliation by the rest of the world to United States. The changes in real GDP are larger for every region shown in the case with retaliation. The largest changes in magnitude are falls in real GDP between –2% and –1% for Mexico, Canada and the United States (in that order), for the case with retaliation. All other regions shown demonstrate an increase in real GDP, with the largest increases for Japan, the European Union and Korea (around or just below 0.5%) for the case with retaliation. The smallest increases are for China and Australia, at or below 0.1%. In general, the case without retaliation is shown to lead to approximately half of the increase in real GDP that is shown for the case with retal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6685" name="Picture 15" descr="This figure is a clustered column chart showing the percentage change in real Gross Domestic Product (GDP) for eight economies, the Association of Southeast Asian Nations (ASEAN) and the rest of the world. The changes are shown for the modelling scenarios without retaliation and with retaliation by the rest of the world to United States. The changes in real GDP are larger for every region shown in the case with retaliation. The largest changes in magnitude are falls in real GDP between –2% and –1% for Mexico, Canada and the United States (in that order), for the case with retaliation. All other regions shown demonstrate an increase in real GDP, with the largest increases for Japan, the European Union and Korea (around or just below 0.5%) for the case with retaliation. The smallest increases are for China and Australia, at or below 0.1%. In general, the case without retaliation is shown to lead to approximately half of the increase in real GDP that is shown for the case with retaliation. "/>
                    <pic:cNvPicPr>
                      <a:picLocks noChangeAspect="1" noChangeArrowheads="1"/>
                    </pic:cNvPicPr>
                  </pic:nvPicPr>
                  <pic:blipFill rotWithShape="1">
                    <a:blip r:embed="rId102">
                      <a:extLst>
                        <a:ext uri="{28A0092B-C50C-407E-A947-70E740481C1C}">
                          <a14:useLocalDpi xmlns:a14="http://schemas.microsoft.com/office/drawing/2010/main" val="0"/>
                        </a:ext>
                      </a:extLst>
                    </a:blip>
                    <a:srcRect t="-1" b="2685"/>
                    <a:stretch/>
                  </pic:blipFill>
                  <pic:spPr bwMode="auto">
                    <a:xfrm>
                      <a:off x="0" y="0"/>
                      <a:ext cx="6120130" cy="2904979"/>
                    </a:xfrm>
                    <a:prstGeom prst="rect">
                      <a:avLst/>
                    </a:prstGeom>
                    <a:noFill/>
                    <a:ln>
                      <a:noFill/>
                    </a:ln>
                    <a:extLst>
                      <a:ext uri="{53640926-AAD7-44D8-BBD7-CCE9431645EC}">
                        <a14:shadowObscured xmlns:a14="http://schemas.microsoft.com/office/drawing/2010/main"/>
                      </a:ext>
                    </a:extLst>
                  </pic:spPr>
                </pic:pic>
              </a:graphicData>
            </a:graphic>
          </wp:inline>
        </w:drawing>
      </w:r>
    </w:p>
    <w:p w14:paraId="2E2960B7" w14:textId="77777777" w:rsidR="00CB4A37" w:rsidRPr="00CB4A37" w:rsidRDefault="00CB4A37" w:rsidP="00CB4A37">
      <w:pPr>
        <w:spacing w:before="80" w:after="240" w:line="216" w:lineRule="atLeast"/>
        <w:rPr>
          <w:sz w:val="18"/>
        </w:rPr>
      </w:pPr>
      <w:r w:rsidRPr="00CB4A37">
        <w:rPr>
          <w:sz w:val="18"/>
        </w:rPr>
        <w:t>Source: PC estimates.</w:t>
      </w:r>
    </w:p>
    <w:p w14:paraId="04701697" w14:textId="77777777" w:rsidR="00CB4A37" w:rsidRPr="00CB4A37" w:rsidRDefault="00CB4A37" w:rsidP="00CB4A37">
      <w:pPr>
        <w:numPr>
          <w:ilvl w:val="0"/>
          <w:numId w:val="22"/>
        </w:numPr>
        <w:contextualSpacing/>
      </w:pPr>
      <w:r w:rsidRPr="00CB4A37">
        <w:t xml:space="preserve">Retaliation leads to much larger declines in world trade and world production, with the latter declining by approximately three times as much as in the case without retaliation (by </w:t>
      </w:r>
      <w:r w:rsidRPr="00CB4A37">
        <w:rPr>
          <w:rFonts w:ascii="Arial (Body)" w:hAnsi="Arial (Body)"/>
          <w:color w:val="000000"/>
          <w:szCs w:val="18"/>
        </w:rPr>
        <w:t>–0.1%)</w:t>
      </w:r>
      <w:r w:rsidRPr="00CB4A37">
        <w:t xml:space="preserve">. </w:t>
      </w:r>
    </w:p>
    <w:p w14:paraId="5B1F449E" w14:textId="77777777" w:rsidR="00CB4A37" w:rsidRPr="00CB4A37" w:rsidRDefault="00CB4A37" w:rsidP="00CB4A37">
      <w:pPr>
        <w:numPr>
          <w:ilvl w:val="0"/>
          <w:numId w:val="22"/>
        </w:numPr>
        <w:contextualSpacing/>
      </w:pPr>
      <w:r w:rsidRPr="00CB4A37">
        <w:t>US tariff revenue is just over $20 billion lower than what the US would have collected in the case without retaliation, at just under $180 billion.</w:t>
      </w:r>
    </w:p>
    <w:p w14:paraId="59985037" w14:textId="77777777" w:rsidR="00CB4A37" w:rsidRPr="00CB4A37" w:rsidRDefault="00CB4A37" w:rsidP="00CB4A37">
      <w:pPr>
        <w:numPr>
          <w:ilvl w:val="0"/>
          <w:numId w:val="22"/>
        </w:numPr>
        <w:contextualSpacing/>
      </w:pPr>
      <w:r w:rsidRPr="00CB4A37">
        <w:t>Australian production increases (by 0.2%), slightly more than in the case without retaliation, due to the additional capital freed up by lower production in other parts of the world.</w:t>
      </w:r>
    </w:p>
    <w:p w14:paraId="434A409F" w14:textId="77777777" w:rsidR="00CB4A37" w:rsidRPr="00CB4A37" w:rsidRDefault="00CB4A37" w:rsidP="00CB4A37">
      <w:pPr>
        <w:numPr>
          <w:ilvl w:val="0"/>
          <w:numId w:val="22"/>
        </w:numPr>
        <w:contextualSpacing/>
      </w:pPr>
      <w:r w:rsidRPr="00CB4A37">
        <w:t xml:space="preserve">However, prices increase relative to the case without retaliation, both in Australia (by 0.2%) and abroad, generally leading to lower real wages and returns to capital. Prices fall in the US (by </w:t>
      </w:r>
      <w:r w:rsidRPr="00CB4A37">
        <w:rPr>
          <w:rFonts w:ascii="Arial (Body)" w:hAnsi="Arial (Body)"/>
          <w:color w:val="000000"/>
          <w:szCs w:val="18"/>
        </w:rPr>
        <w:t xml:space="preserve">–0.8%), but </w:t>
      </w:r>
      <w:r w:rsidRPr="00CB4A37">
        <w:t>due to lower production reducing demand for labour and capital and consequently nominal wages and the rental price of capital. Real wages and returns to capital fall furthest in Mexico, Canada and the US.</w:t>
      </w:r>
    </w:p>
    <w:p w14:paraId="129DEA28" w14:textId="77777777" w:rsidR="00CB4A37" w:rsidRPr="00CB4A37" w:rsidRDefault="00CB4A37" w:rsidP="00D70A90">
      <w:pPr>
        <w:numPr>
          <w:ilvl w:val="0"/>
          <w:numId w:val="22"/>
        </w:numPr>
      </w:pPr>
      <w:r w:rsidRPr="00CB4A37">
        <w:t>Australian terms of trade improve (by 0.5%) as export prices increase on the back of higher mineral prices and import prices fall due to the need to find alternative markets. Higher purchasing power relative to the rest of the world drives higher national welfare (by 0.1%) compared to the case without retaliation.</w:t>
      </w:r>
    </w:p>
    <w:p w14:paraId="4F2CC491" w14:textId="77777777" w:rsidR="00CB4A37" w:rsidRPr="00CB4A37" w:rsidRDefault="00CB4A37" w:rsidP="00504D82">
      <w:pPr>
        <w:pStyle w:val="Heading4"/>
      </w:pPr>
      <w:r w:rsidRPr="00CB4A37">
        <w:t>The effect of Australia’s response</w:t>
      </w:r>
    </w:p>
    <w:p w14:paraId="037DC5D2" w14:textId="77777777" w:rsidR="00CB4A37" w:rsidRPr="00CB4A37" w:rsidRDefault="00CB4A37" w:rsidP="00CB4A37">
      <w:r w:rsidRPr="00CB4A37">
        <w:t>Australia’s best response to global tariffs between the US and the rest of the world is not to participate in the trade war, but to reduce its remaining tariffs (figure A.4).</w:t>
      </w:r>
    </w:p>
    <w:p w14:paraId="0B1AC649" w14:textId="77777777" w:rsidR="00CB4A37" w:rsidRPr="00CB4A37" w:rsidRDefault="00CB4A37" w:rsidP="00CB4A37">
      <w:pPr>
        <w:keepNext/>
        <w:spacing w:before="240" w:after="40"/>
        <w:rPr>
          <w:rFonts w:asciiTheme="majorHAnsi" w:hAnsiTheme="majorHAnsi"/>
          <w:iCs/>
          <w:color w:val="000000" w:themeColor="text1"/>
          <w:spacing w:val="-4"/>
          <w:szCs w:val="18"/>
        </w:rPr>
      </w:pPr>
      <w:r w:rsidRPr="00CB4A37">
        <w:rPr>
          <w:rFonts w:asciiTheme="majorHAnsi" w:hAnsiTheme="majorHAnsi"/>
          <w:iCs/>
          <w:color w:val="000000" w:themeColor="text1"/>
          <w:spacing w:val="-4"/>
          <w:szCs w:val="18"/>
        </w:rPr>
        <w:lastRenderedPageBreak/>
        <w:t xml:space="preserve">Figure </w:t>
      </w:r>
      <w:r w:rsidRPr="00CB4A37">
        <w:rPr>
          <w:rFonts w:asciiTheme="majorHAnsi" w:hAnsiTheme="majorHAnsi"/>
          <w:iCs/>
          <w:noProof/>
          <w:color w:val="000000" w:themeColor="text1"/>
          <w:spacing w:val="-4"/>
          <w:szCs w:val="18"/>
        </w:rPr>
        <w:t>A</w:t>
      </w:r>
      <w:r w:rsidRPr="00CB4A37">
        <w:rPr>
          <w:rFonts w:asciiTheme="majorHAnsi" w:hAnsiTheme="majorHAnsi"/>
          <w:iCs/>
          <w:color w:val="000000" w:themeColor="text1"/>
          <w:spacing w:val="-4"/>
          <w:szCs w:val="18"/>
        </w:rPr>
        <w:t>.</w:t>
      </w:r>
      <w:r w:rsidRPr="00CB4A37">
        <w:rPr>
          <w:rFonts w:asciiTheme="majorHAnsi" w:hAnsiTheme="majorHAnsi"/>
          <w:iCs/>
          <w:noProof/>
          <w:color w:val="000000" w:themeColor="text1"/>
          <w:spacing w:val="-4"/>
          <w:szCs w:val="18"/>
        </w:rPr>
        <w:t xml:space="preserve">4 – </w:t>
      </w:r>
      <w:r w:rsidRPr="00CB4A37">
        <w:rPr>
          <w:rFonts w:asciiTheme="majorHAnsi" w:hAnsiTheme="majorHAnsi"/>
          <w:iCs/>
          <w:color w:val="000000" w:themeColor="text1"/>
          <w:spacing w:val="-4"/>
          <w:szCs w:val="18"/>
        </w:rPr>
        <w:t>Australia’s best response to global tariffs is to eliminate its remaining tariffs</w:t>
      </w:r>
    </w:p>
    <w:p w14:paraId="1D358C74"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 in real GDP, real GNP and real GNA for Australia</w:t>
      </w:r>
    </w:p>
    <w:p w14:paraId="2A59FEE1" w14:textId="77777777" w:rsidR="00CB4A37" w:rsidRPr="00CB4A37" w:rsidRDefault="00CB4A37" w:rsidP="00CB4A37">
      <w:pPr>
        <w:spacing w:after="0"/>
      </w:pPr>
      <w:r w:rsidRPr="00CB4A37">
        <w:rPr>
          <w:noProof/>
        </w:rPr>
        <w:drawing>
          <wp:inline distT="0" distB="0" distL="0" distR="0" wp14:anchorId="7945CD55" wp14:editId="05E31D95">
            <wp:extent cx="6120130" cy="3200400"/>
            <wp:effectExtent l="0" t="0" r="0" b="0"/>
            <wp:docPr id="1529796610" name="Picture 4" descr="This figure is a clustered column chart showing the changes in real Gross Domestic Product (GDP), real Gross National Product (GNP), and Gross National Absorption (GNA) for Australia associated with four modelled responses by Australia to 10% tariffs being levied by the United States. All three series are highest in the case where Australia removes all tariffs while other countries retaliate, with real GDP increasing by 0.35%, real GNP by 0.8%, and real GNA by 0.14%. This case is followed by the case where Australia takes no action while all other countries retaliate, where the increases are 0.29% for real GDP, 0.06% for real GNP and 0.13% for real GNA. The case where Australia and other countries retaliate lead to smaller improvements for Australia, at 0.15% for GDP, 0.08% in real GNA, and a marginal decline in real GNP. The worst case is the universal and unilateral 10% tariff on all imports to the US, where real GDP increases by 0.09%, real GNP by 0.02% and real GNA falls by –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96610" name="Picture 4" descr="This figure is a clustered column chart showing the changes in real Gross Domestic Product (GDP), real Gross National Product (GNP), and Gross National Absorption (GNA) for Australia associated with four modelled responses by Australia to 10% tariffs being levied by the United States. All three series are highest in the case where Australia removes all tariffs while other countries retaliate, with real GDP increasing by 0.35%, real GNP by 0.8%, and real GNA by 0.14%. This case is followed by the case where Australia takes no action while all other countries retaliate, where the increases are 0.29% for real GDP, 0.06% for real GNP and 0.13% for real GNA. The case where Australia and other countries retaliate lead to smaller improvements for Australia, at 0.15% for GDP, 0.08% in real GNA, and a marginal decline in real GNP. The worst case is the universal and unilateral 10% tariff on all imports to the US, where real GDP increases by 0.09%, real GNP by 0.02% and real GNA falls by –0.03%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200400"/>
                    </a:xfrm>
                    <a:prstGeom prst="rect">
                      <a:avLst/>
                    </a:prstGeom>
                    <a:noFill/>
                    <a:ln>
                      <a:noFill/>
                    </a:ln>
                  </pic:spPr>
                </pic:pic>
              </a:graphicData>
            </a:graphic>
          </wp:inline>
        </w:drawing>
      </w:r>
    </w:p>
    <w:p w14:paraId="5993D52E" w14:textId="77777777" w:rsidR="00CB4A37" w:rsidRPr="00CB4A37" w:rsidRDefault="00CB4A37" w:rsidP="00CB4A37">
      <w:pPr>
        <w:spacing w:before="0" w:after="360" w:line="216" w:lineRule="atLeast"/>
        <w:rPr>
          <w:sz w:val="18"/>
        </w:rPr>
      </w:pPr>
      <w:r w:rsidRPr="00CB4A37">
        <w:rPr>
          <w:sz w:val="18"/>
        </w:rPr>
        <w:t>Source: PC estimates.</w:t>
      </w:r>
    </w:p>
    <w:p w14:paraId="17661E94" w14:textId="77777777" w:rsidR="00CB4A37" w:rsidRPr="00CB4A37" w:rsidRDefault="00CB4A37" w:rsidP="00CB4A37">
      <w:pPr>
        <w:numPr>
          <w:ilvl w:val="0"/>
          <w:numId w:val="22"/>
        </w:numPr>
        <w:contextualSpacing/>
      </w:pPr>
      <w:r w:rsidRPr="00CB4A37">
        <w:t>Australia joining the rest of the world in retaliatory action against the US increases Australian production (by 0.2%), more than if no one retaliated. This is because the tariffs imposed by the rest of the world generate a larger outflow of capital than the case without retaliation – especially from economies more dependent on trade with the US (such as Mexico and Canada) – and not because of the retaliatory tariffs that Australia imposes.</w:t>
      </w:r>
    </w:p>
    <w:p w14:paraId="43AFD793" w14:textId="77777777" w:rsidR="00CB4A37" w:rsidRPr="00CB4A37" w:rsidRDefault="00CB4A37" w:rsidP="00CB4A37">
      <w:pPr>
        <w:numPr>
          <w:ilvl w:val="0"/>
          <w:numId w:val="22"/>
        </w:numPr>
        <w:contextualSpacing/>
      </w:pPr>
      <w:r w:rsidRPr="00CB4A37">
        <w:t xml:space="preserve">In fact, Australia taking no action when the rest of the world retaliates leads to a larger increase in Australian production (by 0.3%), real consumer wages (by 0.3%), and import and export volumes (by 0.5% each). Retaliatory tariffs by Australia effectively limit the extent to which Australia can benefit from the changes in international trade and capital flows caused by others’ tariffs, by attempting to lock in existing production and trade patterns. </w:t>
      </w:r>
    </w:p>
    <w:p w14:paraId="4BEE0B00" w14:textId="77777777" w:rsidR="00CB4A37" w:rsidRPr="00CB4A37" w:rsidRDefault="00CB4A37" w:rsidP="00CB4A37">
      <w:pPr>
        <w:numPr>
          <w:ilvl w:val="0"/>
          <w:numId w:val="22"/>
        </w:numPr>
        <w:contextualSpacing/>
      </w:pPr>
      <w:r w:rsidRPr="00CB4A37">
        <w:t>The largest benefit to the Australian economy comes from Australia unilaterally removing its remaining tariffs while the rest of the world retaliates against the US.</w:t>
      </w:r>
      <w:r w:rsidRPr="00CB4A37">
        <w:rPr>
          <w:vertAlign w:val="superscript"/>
        </w:rPr>
        <w:footnoteReference w:id="55"/>
      </w:r>
      <w:r w:rsidRPr="00CB4A37">
        <w:rPr>
          <w:vertAlign w:val="superscript"/>
        </w:rPr>
        <w:t xml:space="preserve"> </w:t>
      </w:r>
      <w:r w:rsidRPr="00CB4A37">
        <w:t>Australian production, real wages and import volumes and export volumes all increase by more than in the other retaliatory strategies (by 0.4%, 0.3%, 0.7% and 0.8%, respectively).</w:t>
      </w:r>
    </w:p>
    <w:p w14:paraId="0628EEB9" w14:textId="77777777" w:rsidR="00CB4A37" w:rsidRPr="00CB4A37" w:rsidRDefault="00CB4A37" w:rsidP="00CB4A37">
      <w:r w:rsidRPr="00CB4A37">
        <w:t xml:space="preserve">Although Australia has few remaining tariffs, their removal would allow Australian production, Australian workers and Australian firms to fully benefit from the trade policies of other economies. </w:t>
      </w:r>
    </w:p>
    <w:p w14:paraId="6B5ADC03" w14:textId="77777777" w:rsidR="00CB4A37" w:rsidRPr="00CB4A37" w:rsidRDefault="00CB4A37" w:rsidP="00504D82">
      <w:pPr>
        <w:pStyle w:val="Heading3-noTOC"/>
      </w:pPr>
      <w:r w:rsidRPr="00CB4A37">
        <w:t>Liberation Day+</w:t>
      </w:r>
    </w:p>
    <w:p w14:paraId="17B750C2" w14:textId="77777777" w:rsidR="00CB4A37" w:rsidRPr="00CB4A37" w:rsidRDefault="00CB4A37" w:rsidP="00CB4A37">
      <w:r w:rsidRPr="00CB4A37">
        <w:t>The modelled impacts of this scenario are driven by the differential nature of the tariffs applied (table A.2).</w:t>
      </w:r>
    </w:p>
    <w:p w14:paraId="6EA1EB14"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Table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2 – Modelled impacts of </w:t>
      </w:r>
      <w:r w:rsidRPr="00CB4A37">
        <w:rPr>
          <w:rFonts w:asciiTheme="majorHAnsi" w:hAnsiTheme="majorHAnsi"/>
          <w:iCs/>
          <w:color w:val="000000" w:themeColor="text1"/>
          <w:szCs w:val="18"/>
        </w:rPr>
        <w:t>additional tariffs on all goods imports to the United States, varying by product and foreign trading partner</w:t>
      </w:r>
    </w:p>
    <w:p w14:paraId="54C45ED7" w14:textId="77777777" w:rsidR="00CB4A37" w:rsidRPr="00CB4A37" w:rsidRDefault="00CB4A37" w:rsidP="00CB4A37">
      <w:pPr>
        <w:keepNext/>
        <w:spacing w:before="40" w:after="40"/>
        <w:rPr>
          <w:rFonts w:asciiTheme="majorHAnsi" w:hAnsiTheme="majorHAnsi"/>
          <w:iCs/>
          <w:color w:val="58585B"/>
          <w:szCs w:val="18"/>
        </w:rPr>
      </w:pPr>
      <w:r w:rsidRPr="00CB4A37">
        <w:rPr>
          <w:rFonts w:asciiTheme="majorHAnsi" w:hAnsiTheme="majorHAnsi"/>
          <w:iCs/>
          <w:color w:val="58585B"/>
          <w:szCs w:val="18"/>
        </w:rPr>
        <w:t>Scenario with and without retaliation (% change from base)</w:t>
      </w:r>
    </w:p>
    <w:tbl>
      <w:tblPr>
        <w:tblW w:w="5000" w:type="pct"/>
        <w:tblCellMar>
          <w:left w:w="0" w:type="dxa"/>
          <w:right w:w="0" w:type="dxa"/>
        </w:tblCellMar>
        <w:tblLook w:val="04A0" w:firstRow="1" w:lastRow="0" w:firstColumn="1" w:lastColumn="0" w:noHBand="0" w:noVBand="1"/>
      </w:tblPr>
      <w:tblGrid>
        <w:gridCol w:w="2136"/>
        <w:gridCol w:w="937"/>
        <w:gridCol w:w="937"/>
        <w:gridCol w:w="938"/>
        <w:gridCol w:w="938"/>
        <w:gridCol w:w="938"/>
        <w:gridCol w:w="938"/>
        <w:gridCol w:w="938"/>
        <w:gridCol w:w="938"/>
      </w:tblGrid>
      <w:tr w:rsidR="00CB4A37" w:rsidRPr="00CB4A37" w14:paraId="1B8182BD" w14:textId="77777777" w:rsidTr="00074CE0">
        <w:trPr>
          <w:trHeight w:val="288"/>
        </w:trPr>
        <w:tc>
          <w:tcPr>
            <w:tcW w:w="2136" w:type="dxa"/>
            <w:tcBorders>
              <w:top w:val="nil"/>
              <w:left w:val="nil"/>
              <w:bottom w:val="single" w:sz="4" w:space="0" w:color="B3B3B3"/>
              <w:right w:val="nil"/>
            </w:tcBorders>
            <w:vAlign w:val="bottom"/>
            <w:hideMark/>
          </w:tcPr>
          <w:p w14:paraId="0C77529F" w14:textId="77777777" w:rsidR="00CB4A37" w:rsidRPr="00CB4A37" w:rsidRDefault="00CB4A37" w:rsidP="00CB4A37">
            <w:pPr>
              <w:keepNext/>
              <w:spacing w:before="40" w:after="40"/>
              <w:rPr>
                <w:rFonts w:asciiTheme="majorHAnsi" w:hAnsiTheme="majorHAnsi"/>
                <w:iCs/>
                <w:color w:val="58585B"/>
                <w:szCs w:val="18"/>
                <w:lang w:eastAsia="en-AU"/>
              </w:rPr>
            </w:pPr>
            <w:r w:rsidRPr="00CB4A37">
              <w:rPr>
                <w:rFonts w:asciiTheme="majorHAnsi" w:hAnsiTheme="majorHAnsi"/>
                <w:iCs/>
                <w:color w:val="58585B"/>
                <w:szCs w:val="18"/>
                <w:lang w:eastAsia="en-AU"/>
              </w:rPr>
              <w:t> </w:t>
            </w:r>
          </w:p>
        </w:tc>
        <w:tc>
          <w:tcPr>
            <w:tcW w:w="1874" w:type="dxa"/>
            <w:gridSpan w:val="2"/>
            <w:tcBorders>
              <w:top w:val="nil"/>
              <w:left w:val="nil"/>
              <w:bottom w:val="single" w:sz="4" w:space="0" w:color="B3B3B3"/>
              <w:right w:val="nil"/>
            </w:tcBorders>
            <w:vAlign w:val="bottom"/>
            <w:hideMark/>
          </w:tcPr>
          <w:p w14:paraId="58A9628B"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Australia</w:t>
            </w:r>
          </w:p>
        </w:tc>
        <w:tc>
          <w:tcPr>
            <w:tcW w:w="1876" w:type="dxa"/>
            <w:gridSpan w:val="2"/>
            <w:tcBorders>
              <w:top w:val="nil"/>
              <w:left w:val="nil"/>
              <w:bottom w:val="single" w:sz="4" w:space="0" w:color="B3B3B3"/>
              <w:right w:val="nil"/>
            </w:tcBorders>
            <w:vAlign w:val="bottom"/>
            <w:hideMark/>
          </w:tcPr>
          <w:p w14:paraId="753664F4"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United States</w:t>
            </w:r>
          </w:p>
        </w:tc>
        <w:tc>
          <w:tcPr>
            <w:tcW w:w="1876" w:type="dxa"/>
            <w:gridSpan w:val="2"/>
            <w:tcBorders>
              <w:top w:val="nil"/>
              <w:left w:val="nil"/>
              <w:bottom w:val="single" w:sz="4" w:space="0" w:color="B3B3B3"/>
              <w:right w:val="nil"/>
            </w:tcBorders>
            <w:vAlign w:val="bottom"/>
            <w:hideMark/>
          </w:tcPr>
          <w:p w14:paraId="42CBEB83"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China</w:t>
            </w:r>
          </w:p>
        </w:tc>
        <w:tc>
          <w:tcPr>
            <w:tcW w:w="1876" w:type="dxa"/>
            <w:gridSpan w:val="2"/>
            <w:tcBorders>
              <w:top w:val="nil"/>
              <w:left w:val="nil"/>
              <w:bottom w:val="single" w:sz="4" w:space="0" w:color="B3B3B3"/>
              <w:right w:val="nil"/>
            </w:tcBorders>
            <w:vAlign w:val="bottom"/>
            <w:hideMark/>
          </w:tcPr>
          <w:p w14:paraId="2416D8A2"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European Union</w:t>
            </w:r>
          </w:p>
        </w:tc>
      </w:tr>
      <w:tr w:rsidR="00CB4A37" w:rsidRPr="00CB4A37" w14:paraId="0BDA9573" w14:textId="77777777" w:rsidTr="00074CE0">
        <w:trPr>
          <w:trHeight w:val="288"/>
        </w:trPr>
        <w:tc>
          <w:tcPr>
            <w:tcW w:w="2136" w:type="dxa"/>
            <w:tcBorders>
              <w:top w:val="nil"/>
              <w:left w:val="nil"/>
              <w:bottom w:val="nil"/>
              <w:right w:val="nil"/>
            </w:tcBorders>
            <w:shd w:val="clear" w:color="000000" w:fill="F2F2F2"/>
            <w:hideMark/>
          </w:tcPr>
          <w:p w14:paraId="528155DD" w14:textId="77777777" w:rsidR="00CB4A37" w:rsidRPr="00CB4A37" w:rsidRDefault="00CB4A37" w:rsidP="00CB4A37">
            <w:pPr>
              <w:spacing w:before="0" w:after="0" w:line="240" w:lineRule="auto"/>
              <w:rPr>
                <w:rFonts w:ascii="Arial (Body)" w:eastAsia="Times New Roman" w:hAnsi="Arial (Body)" w:cs="Times New Roman"/>
                <w:b/>
                <w:bCs/>
                <w:color w:val="265A9A"/>
                <w:sz w:val="14"/>
                <w:szCs w:val="16"/>
                <w:lang w:eastAsia="en-AU"/>
              </w:rPr>
            </w:pPr>
            <w:r w:rsidRPr="00CB4A37">
              <w:rPr>
                <w:rFonts w:ascii="Arial (Body)" w:eastAsia="Times New Roman" w:hAnsi="Arial (Body)" w:cs="Times New Roman" w:hint="eastAsia"/>
                <w:b/>
                <w:bCs/>
                <w:color w:val="265A9A"/>
                <w:sz w:val="14"/>
                <w:szCs w:val="16"/>
                <w:lang w:eastAsia="en-AU"/>
              </w:rPr>
              <w:t> </w:t>
            </w:r>
          </w:p>
        </w:tc>
        <w:tc>
          <w:tcPr>
            <w:tcW w:w="937" w:type="dxa"/>
            <w:tcBorders>
              <w:top w:val="nil"/>
              <w:left w:val="nil"/>
              <w:bottom w:val="nil"/>
              <w:right w:val="nil"/>
            </w:tcBorders>
            <w:shd w:val="clear" w:color="000000" w:fill="F2F2F2"/>
            <w:hideMark/>
          </w:tcPr>
          <w:p w14:paraId="46C7EAE2"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Without retaliation</w:t>
            </w:r>
          </w:p>
        </w:tc>
        <w:tc>
          <w:tcPr>
            <w:tcW w:w="937" w:type="dxa"/>
            <w:tcBorders>
              <w:top w:val="nil"/>
              <w:left w:val="nil"/>
              <w:bottom w:val="nil"/>
              <w:right w:val="nil"/>
            </w:tcBorders>
            <w:shd w:val="clear" w:color="000000" w:fill="F2F2F2"/>
            <w:hideMark/>
          </w:tcPr>
          <w:p w14:paraId="7E8AB3A5"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 retaliation</w:t>
            </w:r>
          </w:p>
        </w:tc>
        <w:tc>
          <w:tcPr>
            <w:tcW w:w="938" w:type="dxa"/>
            <w:tcBorders>
              <w:top w:val="nil"/>
              <w:left w:val="nil"/>
              <w:bottom w:val="nil"/>
              <w:right w:val="nil"/>
            </w:tcBorders>
            <w:shd w:val="clear" w:color="000000" w:fill="F2F2F2"/>
            <w:hideMark/>
          </w:tcPr>
          <w:p w14:paraId="2A1AAF16"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Without retaliation</w:t>
            </w:r>
          </w:p>
        </w:tc>
        <w:tc>
          <w:tcPr>
            <w:tcW w:w="938" w:type="dxa"/>
            <w:tcBorders>
              <w:top w:val="nil"/>
              <w:left w:val="nil"/>
              <w:bottom w:val="nil"/>
              <w:right w:val="nil"/>
            </w:tcBorders>
            <w:shd w:val="clear" w:color="000000" w:fill="F2F2F2"/>
            <w:hideMark/>
          </w:tcPr>
          <w:p w14:paraId="5CBBB96E"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 retaliation</w:t>
            </w:r>
          </w:p>
        </w:tc>
        <w:tc>
          <w:tcPr>
            <w:tcW w:w="938" w:type="dxa"/>
            <w:tcBorders>
              <w:top w:val="nil"/>
              <w:left w:val="nil"/>
              <w:bottom w:val="nil"/>
              <w:right w:val="nil"/>
            </w:tcBorders>
            <w:shd w:val="clear" w:color="000000" w:fill="F2F2F2"/>
            <w:hideMark/>
          </w:tcPr>
          <w:p w14:paraId="28C59405"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Without retaliation</w:t>
            </w:r>
          </w:p>
        </w:tc>
        <w:tc>
          <w:tcPr>
            <w:tcW w:w="938" w:type="dxa"/>
            <w:tcBorders>
              <w:top w:val="nil"/>
              <w:left w:val="nil"/>
              <w:bottom w:val="nil"/>
              <w:right w:val="nil"/>
            </w:tcBorders>
            <w:shd w:val="clear" w:color="000000" w:fill="F2F2F2"/>
            <w:hideMark/>
          </w:tcPr>
          <w:p w14:paraId="3ECC3C3D"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 retaliation</w:t>
            </w:r>
          </w:p>
        </w:tc>
        <w:tc>
          <w:tcPr>
            <w:tcW w:w="938" w:type="dxa"/>
            <w:tcBorders>
              <w:top w:val="nil"/>
              <w:left w:val="nil"/>
              <w:bottom w:val="nil"/>
              <w:right w:val="nil"/>
            </w:tcBorders>
            <w:shd w:val="clear" w:color="000000" w:fill="F2F2F2"/>
            <w:hideMark/>
          </w:tcPr>
          <w:p w14:paraId="3C2FC162"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Without retaliation</w:t>
            </w:r>
          </w:p>
        </w:tc>
        <w:tc>
          <w:tcPr>
            <w:tcW w:w="938" w:type="dxa"/>
            <w:tcBorders>
              <w:top w:val="nil"/>
              <w:left w:val="nil"/>
              <w:bottom w:val="nil"/>
              <w:right w:val="nil"/>
            </w:tcBorders>
            <w:shd w:val="clear" w:color="000000" w:fill="F2F2F2"/>
            <w:hideMark/>
          </w:tcPr>
          <w:p w14:paraId="0F1AA28C" w14:textId="77777777" w:rsidR="00CB4A37" w:rsidRPr="00CB4A37" w:rsidRDefault="00CB4A37" w:rsidP="00CB4A37">
            <w:pPr>
              <w:spacing w:before="0" w:after="20" w:line="240" w:lineRule="auto"/>
              <w:ind w:left="57" w:right="57"/>
              <w:jc w:val="right"/>
              <w:rPr>
                <w:i/>
                <w:iCs/>
                <w:sz w:val="18"/>
                <w:szCs w:val="18"/>
                <w:lang w:eastAsia="en-AU"/>
              </w:rPr>
            </w:pPr>
            <w:r w:rsidRPr="00CB4A37">
              <w:rPr>
                <w:i/>
                <w:iCs/>
                <w:sz w:val="18"/>
                <w:szCs w:val="18"/>
                <w:lang w:eastAsia="en-AU"/>
              </w:rPr>
              <w:t>With retaliation</w:t>
            </w:r>
          </w:p>
        </w:tc>
      </w:tr>
      <w:tr w:rsidR="00CB4A37" w:rsidRPr="00CB4A37" w14:paraId="72A535FF" w14:textId="77777777" w:rsidTr="00074CE0">
        <w:trPr>
          <w:trHeight w:val="288"/>
        </w:trPr>
        <w:tc>
          <w:tcPr>
            <w:tcW w:w="2136" w:type="dxa"/>
            <w:tcBorders>
              <w:top w:val="nil"/>
              <w:left w:val="nil"/>
              <w:bottom w:val="nil"/>
              <w:right w:val="nil"/>
            </w:tcBorders>
            <w:hideMark/>
          </w:tcPr>
          <w:p w14:paraId="5BA42648"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Real GDP</w:t>
            </w:r>
            <w:r w:rsidRPr="00CB4A37">
              <w:rPr>
                <w:b/>
                <w:color w:val="265A9A" w:themeColor="background2"/>
                <w:sz w:val="18"/>
                <w:vertAlign w:val="superscript"/>
                <w:lang w:eastAsia="en-AU"/>
              </w:rPr>
              <w:t>a</w:t>
            </w:r>
          </w:p>
        </w:tc>
        <w:tc>
          <w:tcPr>
            <w:tcW w:w="937" w:type="dxa"/>
            <w:tcBorders>
              <w:top w:val="nil"/>
              <w:left w:val="nil"/>
              <w:bottom w:val="nil"/>
              <w:right w:val="nil"/>
            </w:tcBorders>
          </w:tcPr>
          <w:p w14:paraId="435D7943"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0.37</w:t>
            </w:r>
          </w:p>
        </w:tc>
        <w:tc>
          <w:tcPr>
            <w:tcW w:w="937" w:type="dxa"/>
            <w:tcBorders>
              <w:top w:val="nil"/>
              <w:left w:val="nil"/>
              <w:bottom w:val="nil"/>
              <w:right w:val="nil"/>
            </w:tcBorders>
          </w:tcPr>
          <w:p w14:paraId="7401E8C3"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0.51</w:t>
            </w:r>
          </w:p>
        </w:tc>
        <w:tc>
          <w:tcPr>
            <w:tcW w:w="938" w:type="dxa"/>
            <w:tcBorders>
              <w:top w:val="nil"/>
              <w:left w:val="nil"/>
              <w:bottom w:val="nil"/>
              <w:right w:val="nil"/>
            </w:tcBorders>
          </w:tcPr>
          <w:p w14:paraId="084B707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–2.10</w:t>
            </w:r>
          </w:p>
        </w:tc>
        <w:tc>
          <w:tcPr>
            <w:tcW w:w="938" w:type="dxa"/>
            <w:tcBorders>
              <w:top w:val="nil"/>
              <w:left w:val="nil"/>
              <w:bottom w:val="nil"/>
              <w:right w:val="nil"/>
            </w:tcBorders>
          </w:tcPr>
          <w:p w14:paraId="51271166"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–3.03</w:t>
            </w:r>
          </w:p>
        </w:tc>
        <w:tc>
          <w:tcPr>
            <w:tcW w:w="938" w:type="dxa"/>
            <w:tcBorders>
              <w:top w:val="nil"/>
              <w:left w:val="nil"/>
              <w:bottom w:val="nil"/>
              <w:right w:val="nil"/>
            </w:tcBorders>
          </w:tcPr>
          <w:p w14:paraId="62D3536A"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–0.13</w:t>
            </w:r>
          </w:p>
        </w:tc>
        <w:tc>
          <w:tcPr>
            <w:tcW w:w="938" w:type="dxa"/>
            <w:tcBorders>
              <w:top w:val="nil"/>
              <w:left w:val="nil"/>
              <w:bottom w:val="nil"/>
              <w:right w:val="nil"/>
            </w:tcBorders>
          </w:tcPr>
          <w:p w14:paraId="6033EFC9"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–0.10</w:t>
            </w:r>
          </w:p>
        </w:tc>
        <w:tc>
          <w:tcPr>
            <w:tcW w:w="938" w:type="dxa"/>
            <w:tcBorders>
              <w:top w:val="nil"/>
              <w:left w:val="nil"/>
              <w:bottom w:val="nil"/>
              <w:right w:val="nil"/>
            </w:tcBorders>
          </w:tcPr>
          <w:p w14:paraId="4382C989"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0.72</w:t>
            </w:r>
          </w:p>
        </w:tc>
        <w:tc>
          <w:tcPr>
            <w:tcW w:w="938" w:type="dxa"/>
            <w:tcBorders>
              <w:top w:val="nil"/>
              <w:left w:val="nil"/>
              <w:bottom w:val="nil"/>
              <w:right w:val="nil"/>
            </w:tcBorders>
          </w:tcPr>
          <w:p w14:paraId="0B7A6C9B"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0.88</w:t>
            </w:r>
          </w:p>
        </w:tc>
      </w:tr>
      <w:tr w:rsidR="00CB4A37" w:rsidRPr="00CB4A37" w14:paraId="3571CB14" w14:textId="77777777" w:rsidTr="00074CE0">
        <w:trPr>
          <w:trHeight w:val="288"/>
        </w:trPr>
        <w:tc>
          <w:tcPr>
            <w:tcW w:w="2136" w:type="dxa"/>
            <w:tcBorders>
              <w:top w:val="nil"/>
              <w:left w:val="nil"/>
              <w:bottom w:val="nil"/>
              <w:right w:val="nil"/>
            </w:tcBorders>
            <w:shd w:val="clear" w:color="000000" w:fill="F2F2F2"/>
            <w:hideMark/>
          </w:tcPr>
          <w:p w14:paraId="4715609C"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szCs w:val="18"/>
                <w:lang w:eastAsia="en-AU"/>
              </w:rPr>
              <w:t>Real GNP</w:t>
            </w:r>
            <w:r w:rsidRPr="00CB4A37">
              <w:rPr>
                <w:b/>
                <w:color w:val="265A9A" w:themeColor="background2"/>
                <w:sz w:val="18"/>
                <w:szCs w:val="18"/>
                <w:vertAlign w:val="superscript"/>
                <w:lang w:eastAsia="en-AU"/>
              </w:rPr>
              <w:t>b</w:t>
            </w:r>
          </w:p>
        </w:tc>
        <w:tc>
          <w:tcPr>
            <w:tcW w:w="937" w:type="dxa"/>
            <w:tcBorders>
              <w:top w:val="nil"/>
              <w:left w:val="nil"/>
              <w:bottom w:val="nil"/>
              <w:right w:val="nil"/>
            </w:tcBorders>
            <w:shd w:val="clear" w:color="000000" w:fill="F2F2F2"/>
          </w:tcPr>
          <w:p w14:paraId="1A282CF2"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0.08</w:t>
            </w:r>
          </w:p>
        </w:tc>
        <w:tc>
          <w:tcPr>
            <w:tcW w:w="937" w:type="dxa"/>
            <w:tcBorders>
              <w:top w:val="nil"/>
              <w:left w:val="nil"/>
              <w:bottom w:val="nil"/>
              <w:right w:val="nil"/>
            </w:tcBorders>
            <w:shd w:val="clear" w:color="000000" w:fill="F2F2F2"/>
          </w:tcPr>
          <w:p w14:paraId="12510573"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0.06</w:t>
            </w:r>
          </w:p>
        </w:tc>
        <w:tc>
          <w:tcPr>
            <w:tcW w:w="938" w:type="dxa"/>
            <w:tcBorders>
              <w:top w:val="nil"/>
              <w:left w:val="nil"/>
              <w:bottom w:val="nil"/>
              <w:right w:val="nil"/>
            </w:tcBorders>
            <w:shd w:val="clear" w:color="000000" w:fill="F2F2F2"/>
          </w:tcPr>
          <w:p w14:paraId="494AD5D5"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–1.02</w:t>
            </w:r>
          </w:p>
        </w:tc>
        <w:tc>
          <w:tcPr>
            <w:tcW w:w="938" w:type="dxa"/>
            <w:tcBorders>
              <w:top w:val="nil"/>
              <w:left w:val="nil"/>
              <w:bottom w:val="nil"/>
              <w:right w:val="nil"/>
            </w:tcBorders>
            <w:shd w:val="clear" w:color="000000" w:fill="F2F2F2"/>
          </w:tcPr>
          <w:p w14:paraId="56FA2A0A"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–1.40</w:t>
            </w:r>
          </w:p>
        </w:tc>
        <w:tc>
          <w:tcPr>
            <w:tcW w:w="938" w:type="dxa"/>
            <w:tcBorders>
              <w:top w:val="nil"/>
              <w:left w:val="nil"/>
              <w:bottom w:val="nil"/>
              <w:right w:val="nil"/>
            </w:tcBorders>
            <w:shd w:val="clear" w:color="000000" w:fill="F2F2F2"/>
          </w:tcPr>
          <w:p w14:paraId="562B9D6B"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–0.15</w:t>
            </w:r>
          </w:p>
        </w:tc>
        <w:tc>
          <w:tcPr>
            <w:tcW w:w="938" w:type="dxa"/>
            <w:tcBorders>
              <w:top w:val="nil"/>
              <w:left w:val="nil"/>
              <w:bottom w:val="nil"/>
              <w:right w:val="nil"/>
            </w:tcBorders>
            <w:shd w:val="clear" w:color="000000" w:fill="F2F2F2"/>
          </w:tcPr>
          <w:p w14:paraId="6242FF44"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–0.22</w:t>
            </w:r>
          </w:p>
        </w:tc>
        <w:tc>
          <w:tcPr>
            <w:tcW w:w="938" w:type="dxa"/>
            <w:tcBorders>
              <w:top w:val="nil"/>
              <w:left w:val="nil"/>
              <w:bottom w:val="nil"/>
              <w:right w:val="nil"/>
            </w:tcBorders>
            <w:shd w:val="clear" w:color="000000" w:fill="F2F2F2"/>
          </w:tcPr>
          <w:p w14:paraId="3F47B509"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0.11</w:t>
            </w:r>
          </w:p>
        </w:tc>
        <w:tc>
          <w:tcPr>
            <w:tcW w:w="938" w:type="dxa"/>
            <w:tcBorders>
              <w:top w:val="nil"/>
              <w:left w:val="nil"/>
              <w:bottom w:val="nil"/>
              <w:right w:val="nil"/>
            </w:tcBorders>
            <w:shd w:val="clear" w:color="000000" w:fill="F2F2F2"/>
          </w:tcPr>
          <w:p w14:paraId="3CF8F23C"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–0.02</w:t>
            </w:r>
          </w:p>
        </w:tc>
      </w:tr>
      <w:tr w:rsidR="00CB4A37" w:rsidRPr="00CB4A37" w14:paraId="0C273E78" w14:textId="77777777" w:rsidTr="00074CE0">
        <w:trPr>
          <w:trHeight w:val="288"/>
        </w:trPr>
        <w:tc>
          <w:tcPr>
            <w:tcW w:w="2136" w:type="dxa"/>
            <w:tcBorders>
              <w:top w:val="nil"/>
              <w:left w:val="nil"/>
              <w:bottom w:val="nil"/>
              <w:right w:val="nil"/>
            </w:tcBorders>
            <w:hideMark/>
          </w:tcPr>
          <w:p w14:paraId="69888B97"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Real GNA</w:t>
            </w:r>
            <w:r w:rsidRPr="00CB4A37">
              <w:rPr>
                <w:b/>
                <w:color w:val="265A9A" w:themeColor="background2"/>
                <w:sz w:val="18"/>
                <w:szCs w:val="18"/>
                <w:vertAlign w:val="superscript"/>
                <w:lang w:eastAsia="en-AU"/>
              </w:rPr>
              <w:t>c</w:t>
            </w:r>
          </w:p>
        </w:tc>
        <w:tc>
          <w:tcPr>
            <w:tcW w:w="937" w:type="dxa"/>
            <w:tcBorders>
              <w:top w:val="nil"/>
              <w:left w:val="nil"/>
              <w:bottom w:val="nil"/>
              <w:right w:val="nil"/>
            </w:tcBorders>
          </w:tcPr>
          <w:p w14:paraId="36600B14"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0.12</w:t>
            </w:r>
          </w:p>
        </w:tc>
        <w:tc>
          <w:tcPr>
            <w:tcW w:w="937" w:type="dxa"/>
            <w:tcBorders>
              <w:top w:val="nil"/>
              <w:left w:val="nil"/>
              <w:bottom w:val="nil"/>
              <w:right w:val="nil"/>
            </w:tcBorders>
          </w:tcPr>
          <w:p w14:paraId="1D95D556"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0.37</w:t>
            </w:r>
          </w:p>
        </w:tc>
        <w:tc>
          <w:tcPr>
            <w:tcW w:w="938" w:type="dxa"/>
            <w:tcBorders>
              <w:top w:val="nil"/>
              <w:left w:val="nil"/>
              <w:bottom w:val="nil"/>
              <w:right w:val="nil"/>
            </w:tcBorders>
          </w:tcPr>
          <w:p w14:paraId="1825FA45"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–0.35</w:t>
            </w:r>
          </w:p>
        </w:tc>
        <w:tc>
          <w:tcPr>
            <w:tcW w:w="938" w:type="dxa"/>
            <w:tcBorders>
              <w:top w:val="nil"/>
              <w:left w:val="nil"/>
              <w:bottom w:val="nil"/>
              <w:right w:val="nil"/>
            </w:tcBorders>
          </w:tcPr>
          <w:p w14:paraId="03FEDB1F"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–1.36</w:t>
            </w:r>
          </w:p>
        </w:tc>
        <w:tc>
          <w:tcPr>
            <w:tcW w:w="938" w:type="dxa"/>
            <w:tcBorders>
              <w:top w:val="nil"/>
              <w:left w:val="nil"/>
              <w:bottom w:val="nil"/>
              <w:right w:val="nil"/>
            </w:tcBorders>
          </w:tcPr>
          <w:p w14:paraId="6328F4A0"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–0.61</w:t>
            </w:r>
          </w:p>
        </w:tc>
        <w:tc>
          <w:tcPr>
            <w:tcW w:w="938" w:type="dxa"/>
            <w:tcBorders>
              <w:top w:val="nil"/>
              <w:left w:val="nil"/>
              <w:bottom w:val="nil"/>
              <w:right w:val="nil"/>
            </w:tcBorders>
          </w:tcPr>
          <w:p w14:paraId="353D7917"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–0.51</w:t>
            </w:r>
          </w:p>
        </w:tc>
        <w:tc>
          <w:tcPr>
            <w:tcW w:w="938" w:type="dxa"/>
            <w:tcBorders>
              <w:top w:val="nil"/>
              <w:left w:val="nil"/>
              <w:bottom w:val="nil"/>
              <w:right w:val="nil"/>
            </w:tcBorders>
          </w:tcPr>
          <w:p w14:paraId="125B2E77"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0.06</w:t>
            </w:r>
          </w:p>
        </w:tc>
        <w:tc>
          <w:tcPr>
            <w:tcW w:w="938" w:type="dxa"/>
            <w:tcBorders>
              <w:top w:val="nil"/>
              <w:left w:val="nil"/>
              <w:bottom w:val="nil"/>
              <w:right w:val="nil"/>
            </w:tcBorders>
          </w:tcPr>
          <w:p w14:paraId="4F124D2B"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–0.05</w:t>
            </w:r>
          </w:p>
        </w:tc>
      </w:tr>
      <w:tr w:rsidR="00CB4A37" w:rsidRPr="00CB4A37" w14:paraId="5EBE90BE" w14:textId="77777777" w:rsidTr="00074CE0">
        <w:trPr>
          <w:trHeight w:val="288"/>
        </w:trPr>
        <w:tc>
          <w:tcPr>
            <w:tcW w:w="2136" w:type="dxa"/>
            <w:tcBorders>
              <w:top w:val="nil"/>
              <w:left w:val="nil"/>
              <w:bottom w:val="nil"/>
              <w:right w:val="nil"/>
            </w:tcBorders>
            <w:shd w:val="clear" w:color="000000" w:fill="F2F2F2"/>
            <w:hideMark/>
          </w:tcPr>
          <w:p w14:paraId="58943EE2"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Prices</w:t>
            </w:r>
            <w:r w:rsidRPr="00CB4A37">
              <w:rPr>
                <w:b/>
                <w:color w:val="265A9A" w:themeColor="background2"/>
                <w:sz w:val="18"/>
                <w:szCs w:val="18"/>
                <w:vertAlign w:val="superscript"/>
                <w:lang w:eastAsia="en-AU"/>
              </w:rPr>
              <w:t>d</w:t>
            </w:r>
          </w:p>
        </w:tc>
        <w:tc>
          <w:tcPr>
            <w:tcW w:w="937" w:type="dxa"/>
            <w:tcBorders>
              <w:top w:val="nil"/>
              <w:left w:val="nil"/>
              <w:bottom w:val="nil"/>
              <w:right w:val="nil"/>
            </w:tcBorders>
            <w:shd w:val="clear" w:color="000000" w:fill="F2F2F2"/>
          </w:tcPr>
          <w:p w14:paraId="4A3D5445"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–0.81</w:t>
            </w:r>
          </w:p>
        </w:tc>
        <w:tc>
          <w:tcPr>
            <w:tcW w:w="937" w:type="dxa"/>
            <w:tcBorders>
              <w:top w:val="nil"/>
              <w:left w:val="nil"/>
              <w:bottom w:val="nil"/>
              <w:right w:val="nil"/>
            </w:tcBorders>
            <w:shd w:val="clear" w:color="000000" w:fill="F2F2F2"/>
          </w:tcPr>
          <w:p w14:paraId="2DD6B1AF"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0.69</w:t>
            </w:r>
          </w:p>
        </w:tc>
        <w:tc>
          <w:tcPr>
            <w:tcW w:w="938" w:type="dxa"/>
            <w:tcBorders>
              <w:top w:val="nil"/>
              <w:left w:val="nil"/>
              <w:bottom w:val="nil"/>
              <w:right w:val="nil"/>
            </w:tcBorders>
            <w:shd w:val="clear" w:color="000000" w:fill="F2F2F2"/>
          </w:tcPr>
          <w:p w14:paraId="206B5F84"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8.44</w:t>
            </w:r>
          </w:p>
        </w:tc>
        <w:tc>
          <w:tcPr>
            <w:tcW w:w="938" w:type="dxa"/>
            <w:tcBorders>
              <w:top w:val="nil"/>
              <w:left w:val="nil"/>
              <w:bottom w:val="nil"/>
              <w:right w:val="nil"/>
            </w:tcBorders>
            <w:shd w:val="clear" w:color="000000" w:fill="F2F2F2"/>
          </w:tcPr>
          <w:p w14:paraId="523C15BB"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1.38</w:t>
            </w:r>
          </w:p>
        </w:tc>
        <w:tc>
          <w:tcPr>
            <w:tcW w:w="938" w:type="dxa"/>
            <w:tcBorders>
              <w:top w:val="nil"/>
              <w:left w:val="nil"/>
              <w:bottom w:val="nil"/>
              <w:right w:val="nil"/>
            </w:tcBorders>
            <w:shd w:val="clear" w:color="000000" w:fill="F2F2F2"/>
          </w:tcPr>
          <w:p w14:paraId="661A8B69"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–3.59</w:t>
            </w:r>
          </w:p>
        </w:tc>
        <w:tc>
          <w:tcPr>
            <w:tcW w:w="938" w:type="dxa"/>
            <w:tcBorders>
              <w:top w:val="nil"/>
              <w:left w:val="nil"/>
              <w:bottom w:val="nil"/>
              <w:right w:val="nil"/>
            </w:tcBorders>
            <w:shd w:val="clear" w:color="000000" w:fill="F2F2F2"/>
          </w:tcPr>
          <w:p w14:paraId="23632B3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–1.81</w:t>
            </w:r>
          </w:p>
        </w:tc>
        <w:tc>
          <w:tcPr>
            <w:tcW w:w="938" w:type="dxa"/>
            <w:tcBorders>
              <w:top w:val="nil"/>
              <w:left w:val="nil"/>
              <w:bottom w:val="nil"/>
              <w:right w:val="nil"/>
            </w:tcBorders>
            <w:shd w:val="clear" w:color="000000" w:fill="F2F2F2"/>
          </w:tcPr>
          <w:p w14:paraId="2E7E92CF"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–1.78</w:t>
            </w:r>
          </w:p>
        </w:tc>
        <w:tc>
          <w:tcPr>
            <w:tcW w:w="938" w:type="dxa"/>
            <w:tcBorders>
              <w:top w:val="nil"/>
              <w:left w:val="nil"/>
              <w:bottom w:val="nil"/>
              <w:right w:val="nil"/>
            </w:tcBorders>
            <w:shd w:val="clear" w:color="000000" w:fill="F2F2F2"/>
          </w:tcPr>
          <w:p w14:paraId="48D2EC43"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–0.62</w:t>
            </w:r>
          </w:p>
        </w:tc>
      </w:tr>
      <w:tr w:rsidR="00CB4A37" w:rsidRPr="00CB4A37" w14:paraId="1CDD13F1" w14:textId="77777777" w:rsidTr="00074CE0">
        <w:trPr>
          <w:trHeight w:val="288"/>
        </w:trPr>
        <w:tc>
          <w:tcPr>
            <w:tcW w:w="2136" w:type="dxa"/>
            <w:tcBorders>
              <w:top w:val="nil"/>
              <w:left w:val="nil"/>
              <w:bottom w:val="nil"/>
              <w:right w:val="nil"/>
            </w:tcBorders>
            <w:hideMark/>
          </w:tcPr>
          <w:p w14:paraId="4FC3B106"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Import volumes</w:t>
            </w:r>
          </w:p>
        </w:tc>
        <w:tc>
          <w:tcPr>
            <w:tcW w:w="937" w:type="dxa"/>
            <w:tcBorders>
              <w:top w:val="nil"/>
              <w:left w:val="nil"/>
              <w:bottom w:val="nil"/>
              <w:right w:val="nil"/>
            </w:tcBorders>
          </w:tcPr>
          <w:p w14:paraId="216B1184"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0.47</w:t>
            </w:r>
          </w:p>
        </w:tc>
        <w:tc>
          <w:tcPr>
            <w:tcW w:w="937" w:type="dxa"/>
            <w:tcBorders>
              <w:top w:val="nil"/>
              <w:left w:val="nil"/>
              <w:bottom w:val="nil"/>
              <w:right w:val="nil"/>
            </w:tcBorders>
          </w:tcPr>
          <w:p w14:paraId="238BC2BB"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1.50</w:t>
            </w:r>
          </w:p>
        </w:tc>
        <w:tc>
          <w:tcPr>
            <w:tcW w:w="938" w:type="dxa"/>
            <w:tcBorders>
              <w:top w:val="nil"/>
              <w:left w:val="nil"/>
              <w:bottom w:val="nil"/>
              <w:right w:val="nil"/>
            </w:tcBorders>
          </w:tcPr>
          <w:p w14:paraId="43BA483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–20.19</w:t>
            </w:r>
          </w:p>
        </w:tc>
        <w:tc>
          <w:tcPr>
            <w:tcW w:w="938" w:type="dxa"/>
            <w:tcBorders>
              <w:top w:val="nil"/>
              <w:left w:val="nil"/>
              <w:bottom w:val="nil"/>
              <w:right w:val="nil"/>
            </w:tcBorders>
          </w:tcPr>
          <w:p w14:paraId="5C7230D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–33.00</w:t>
            </w:r>
          </w:p>
        </w:tc>
        <w:tc>
          <w:tcPr>
            <w:tcW w:w="938" w:type="dxa"/>
            <w:tcBorders>
              <w:top w:val="nil"/>
              <w:left w:val="nil"/>
              <w:bottom w:val="nil"/>
              <w:right w:val="nil"/>
            </w:tcBorders>
          </w:tcPr>
          <w:p w14:paraId="23C96CEC"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–3.87</w:t>
            </w:r>
          </w:p>
        </w:tc>
        <w:tc>
          <w:tcPr>
            <w:tcW w:w="938" w:type="dxa"/>
            <w:tcBorders>
              <w:top w:val="nil"/>
              <w:left w:val="nil"/>
              <w:bottom w:val="nil"/>
              <w:right w:val="nil"/>
            </w:tcBorders>
          </w:tcPr>
          <w:p w14:paraId="01645D06"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–2.74</w:t>
            </w:r>
          </w:p>
        </w:tc>
        <w:tc>
          <w:tcPr>
            <w:tcW w:w="938" w:type="dxa"/>
            <w:tcBorders>
              <w:top w:val="nil"/>
              <w:left w:val="nil"/>
              <w:bottom w:val="nil"/>
              <w:right w:val="nil"/>
            </w:tcBorders>
          </w:tcPr>
          <w:p w14:paraId="02516701"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–0.19</w:t>
            </w:r>
          </w:p>
        </w:tc>
        <w:tc>
          <w:tcPr>
            <w:tcW w:w="938" w:type="dxa"/>
            <w:tcBorders>
              <w:top w:val="nil"/>
              <w:left w:val="nil"/>
              <w:bottom w:val="nil"/>
              <w:right w:val="nil"/>
            </w:tcBorders>
          </w:tcPr>
          <w:p w14:paraId="07E95135"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1.12</w:t>
            </w:r>
          </w:p>
        </w:tc>
      </w:tr>
      <w:tr w:rsidR="00CB4A37" w:rsidRPr="00CB4A37" w14:paraId="4B1D26E6" w14:textId="77777777" w:rsidTr="00074CE0">
        <w:trPr>
          <w:trHeight w:val="288"/>
        </w:trPr>
        <w:tc>
          <w:tcPr>
            <w:tcW w:w="2136" w:type="dxa"/>
            <w:tcBorders>
              <w:top w:val="nil"/>
              <w:left w:val="nil"/>
              <w:bottom w:val="nil"/>
              <w:right w:val="nil"/>
            </w:tcBorders>
            <w:shd w:val="clear" w:color="000000" w:fill="F2F2F2"/>
            <w:hideMark/>
          </w:tcPr>
          <w:p w14:paraId="6852B9CB"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Export volumes</w:t>
            </w:r>
          </w:p>
        </w:tc>
        <w:tc>
          <w:tcPr>
            <w:tcW w:w="937" w:type="dxa"/>
            <w:tcBorders>
              <w:top w:val="nil"/>
              <w:left w:val="nil"/>
              <w:bottom w:val="nil"/>
              <w:right w:val="nil"/>
            </w:tcBorders>
            <w:shd w:val="clear" w:color="000000" w:fill="F2F2F2"/>
          </w:tcPr>
          <w:p w14:paraId="48AE9F26"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0.86</w:t>
            </w:r>
          </w:p>
        </w:tc>
        <w:tc>
          <w:tcPr>
            <w:tcW w:w="937" w:type="dxa"/>
            <w:tcBorders>
              <w:top w:val="nil"/>
              <w:left w:val="nil"/>
              <w:bottom w:val="nil"/>
              <w:right w:val="nil"/>
            </w:tcBorders>
            <w:shd w:val="clear" w:color="000000" w:fill="F2F2F2"/>
          </w:tcPr>
          <w:p w14:paraId="6E1C5F0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0.91</w:t>
            </w:r>
          </w:p>
        </w:tc>
        <w:tc>
          <w:tcPr>
            <w:tcW w:w="938" w:type="dxa"/>
            <w:tcBorders>
              <w:top w:val="nil"/>
              <w:left w:val="nil"/>
              <w:bottom w:val="nil"/>
              <w:right w:val="nil"/>
            </w:tcBorders>
            <w:shd w:val="clear" w:color="000000" w:fill="F2F2F2"/>
          </w:tcPr>
          <w:p w14:paraId="5177654A"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–33.97</w:t>
            </w:r>
          </w:p>
        </w:tc>
        <w:tc>
          <w:tcPr>
            <w:tcW w:w="938" w:type="dxa"/>
            <w:tcBorders>
              <w:top w:val="nil"/>
              <w:left w:val="nil"/>
              <w:bottom w:val="nil"/>
              <w:right w:val="nil"/>
            </w:tcBorders>
            <w:shd w:val="clear" w:color="000000" w:fill="F2F2F2"/>
          </w:tcPr>
          <w:p w14:paraId="6C75B38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–48.08</w:t>
            </w:r>
          </w:p>
        </w:tc>
        <w:tc>
          <w:tcPr>
            <w:tcW w:w="938" w:type="dxa"/>
            <w:tcBorders>
              <w:top w:val="nil"/>
              <w:left w:val="nil"/>
              <w:bottom w:val="nil"/>
              <w:right w:val="nil"/>
            </w:tcBorders>
            <w:shd w:val="clear" w:color="000000" w:fill="F2F2F2"/>
          </w:tcPr>
          <w:p w14:paraId="7A762919"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–1.21</w:t>
            </w:r>
          </w:p>
        </w:tc>
        <w:tc>
          <w:tcPr>
            <w:tcW w:w="938" w:type="dxa"/>
            <w:tcBorders>
              <w:top w:val="nil"/>
              <w:left w:val="nil"/>
              <w:bottom w:val="nil"/>
              <w:right w:val="nil"/>
            </w:tcBorders>
            <w:shd w:val="clear" w:color="000000" w:fill="F2F2F2"/>
          </w:tcPr>
          <w:p w14:paraId="22138E1C"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–1.13</w:t>
            </w:r>
          </w:p>
        </w:tc>
        <w:tc>
          <w:tcPr>
            <w:tcW w:w="938" w:type="dxa"/>
            <w:tcBorders>
              <w:top w:val="nil"/>
              <w:left w:val="nil"/>
              <w:bottom w:val="nil"/>
              <w:right w:val="nil"/>
            </w:tcBorders>
            <w:shd w:val="clear" w:color="000000" w:fill="F2F2F2"/>
          </w:tcPr>
          <w:p w14:paraId="633F7C8C"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0.63</w:t>
            </w:r>
          </w:p>
        </w:tc>
        <w:tc>
          <w:tcPr>
            <w:tcW w:w="938" w:type="dxa"/>
            <w:tcBorders>
              <w:top w:val="nil"/>
              <w:left w:val="nil"/>
              <w:bottom w:val="nil"/>
              <w:right w:val="nil"/>
            </w:tcBorders>
            <w:shd w:val="clear" w:color="000000" w:fill="F2F2F2"/>
          </w:tcPr>
          <w:p w14:paraId="1599DF6D"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2.26</w:t>
            </w:r>
          </w:p>
        </w:tc>
      </w:tr>
      <w:tr w:rsidR="00CB4A37" w:rsidRPr="00CB4A37" w14:paraId="56F3DF0A" w14:textId="77777777" w:rsidTr="00074CE0">
        <w:trPr>
          <w:trHeight w:val="288"/>
        </w:trPr>
        <w:tc>
          <w:tcPr>
            <w:tcW w:w="2136" w:type="dxa"/>
            <w:tcBorders>
              <w:top w:val="nil"/>
              <w:left w:val="nil"/>
              <w:bottom w:val="single" w:sz="4" w:space="0" w:color="B3B3B3"/>
              <w:right w:val="nil"/>
            </w:tcBorders>
            <w:hideMark/>
          </w:tcPr>
          <w:p w14:paraId="386A1847"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Terms of trade</w:t>
            </w:r>
            <w:r w:rsidRPr="00CB4A37">
              <w:rPr>
                <w:b/>
                <w:color w:val="265A9A" w:themeColor="background2"/>
                <w:sz w:val="18"/>
                <w:vertAlign w:val="superscript"/>
                <w:lang w:eastAsia="en-AU"/>
              </w:rPr>
              <w:t>e</w:t>
            </w:r>
          </w:p>
        </w:tc>
        <w:tc>
          <w:tcPr>
            <w:tcW w:w="937" w:type="dxa"/>
            <w:tcBorders>
              <w:top w:val="nil"/>
              <w:left w:val="nil"/>
              <w:bottom w:val="single" w:sz="4" w:space="0" w:color="B3B3B3"/>
              <w:right w:val="nil"/>
            </w:tcBorders>
          </w:tcPr>
          <w:p w14:paraId="593223A6"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0.05</w:t>
            </w:r>
          </w:p>
        </w:tc>
        <w:tc>
          <w:tcPr>
            <w:tcW w:w="937" w:type="dxa"/>
            <w:tcBorders>
              <w:top w:val="nil"/>
              <w:left w:val="nil"/>
              <w:bottom w:val="single" w:sz="4" w:space="0" w:color="B3B3B3"/>
              <w:right w:val="nil"/>
            </w:tcBorders>
          </w:tcPr>
          <w:p w14:paraId="738E788F"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1.49</w:t>
            </w:r>
          </w:p>
        </w:tc>
        <w:tc>
          <w:tcPr>
            <w:tcW w:w="938" w:type="dxa"/>
            <w:tcBorders>
              <w:top w:val="nil"/>
              <w:left w:val="nil"/>
              <w:bottom w:val="single" w:sz="4" w:space="0" w:color="B3B3B3"/>
              <w:right w:val="nil"/>
            </w:tcBorders>
          </w:tcPr>
          <w:p w14:paraId="3BB3FD50"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9.40</w:t>
            </w:r>
          </w:p>
        </w:tc>
        <w:tc>
          <w:tcPr>
            <w:tcW w:w="938" w:type="dxa"/>
            <w:tcBorders>
              <w:top w:val="nil"/>
              <w:left w:val="nil"/>
              <w:bottom w:val="single" w:sz="4" w:space="0" w:color="B3B3B3"/>
              <w:right w:val="nil"/>
            </w:tcBorders>
          </w:tcPr>
          <w:p w14:paraId="0309A72E"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1.39</w:t>
            </w:r>
          </w:p>
        </w:tc>
        <w:tc>
          <w:tcPr>
            <w:tcW w:w="938" w:type="dxa"/>
            <w:tcBorders>
              <w:top w:val="nil"/>
              <w:left w:val="nil"/>
              <w:bottom w:val="single" w:sz="4" w:space="0" w:color="B3B3B3"/>
              <w:right w:val="nil"/>
            </w:tcBorders>
          </w:tcPr>
          <w:p w14:paraId="245F3D45"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–1.94</w:t>
            </w:r>
          </w:p>
        </w:tc>
        <w:tc>
          <w:tcPr>
            <w:tcW w:w="938" w:type="dxa"/>
            <w:tcBorders>
              <w:top w:val="nil"/>
              <w:left w:val="nil"/>
              <w:bottom w:val="single" w:sz="4" w:space="0" w:color="B3B3B3"/>
              <w:right w:val="nil"/>
            </w:tcBorders>
          </w:tcPr>
          <w:p w14:paraId="74BE4453"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–1.12</w:t>
            </w:r>
          </w:p>
        </w:tc>
        <w:tc>
          <w:tcPr>
            <w:tcW w:w="938" w:type="dxa"/>
            <w:tcBorders>
              <w:top w:val="nil"/>
              <w:left w:val="nil"/>
              <w:bottom w:val="single" w:sz="4" w:space="0" w:color="B3B3B3"/>
              <w:right w:val="nil"/>
            </w:tcBorders>
          </w:tcPr>
          <w:p w14:paraId="42502734"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–0.41</w:t>
            </w:r>
          </w:p>
        </w:tc>
        <w:tc>
          <w:tcPr>
            <w:tcW w:w="938" w:type="dxa"/>
            <w:tcBorders>
              <w:top w:val="nil"/>
              <w:left w:val="nil"/>
              <w:bottom w:val="single" w:sz="4" w:space="0" w:color="B3B3B3"/>
              <w:right w:val="nil"/>
            </w:tcBorders>
          </w:tcPr>
          <w:p w14:paraId="17FCC3E5" w14:textId="77777777" w:rsidR="00CB4A37" w:rsidRPr="00CB4A37" w:rsidRDefault="00CB4A37" w:rsidP="00CB4A37">
            <w:pPr>
              <w:spacing w:before="0" w:after="20"/>
              <w:ind w:left="57" w:right="57"/>
              <w:jc w:val="right"/>
              <w:rPr>
                <w:rFonts w:eastAsia="Times New Roman" w:cs="Times New Roman"/>
                <w:sz w:val="18"/>
                <w:lang w:eastAsia="en-AU"/>
              </w:rPr>
            </w:pPr>
            <w:r w:rsidRPr="00CB4A37">
              <w:rPr>
                <w:rFonts w:ascii="Arial (Body)" w:hAnsi="Arial (Body)"/>
                <w:color w:val="000000"/>
                <w:sz w:val="18"/>
                <w:szCs w:val="18"/>
              </w:rPr>
              <w:t>–0.06</w:t>
            </w:r>
          </w:p>
        </w:tc>
      </w:tr>
    </w:tbl>
    <w:p w14:paraId="64C05AF9" w14:textId="77777777" w:rsidR="00CB4A37" w:rsidRPr="00CB4A37" w:rsidRDefault="00CB4A37" w:rsidP="009E4D3C">
      <w:pPr>
        <w:pStyle w:val="Note"/>
      </w:pPr>
      <w:r w:rsidRPr="00CB4A37">
        <w:rPr>
          <w:b/>
          <w:bCs/>
        </w:rPr>
        <w:t>a.</w:t>
      </w:r>
      <w:r w:rsidRPr="00CB4A37">
        <w:t xml:space="preserve"> Real GDP is a measure of real national production. </w:t>
      </w:r>
      <w:r w:rsidRPr="00CB4A37">
        <w:rPr>
          <w:b/>
          <w:bCs/>
        </w:rPr>
        <w:t>b.</w:t>
      </w:r>
      <w:r w:rsidRPr="00CB4A37">
        <w:t xml:space="preserve"> Real GNP is a measure of real national income. </w:t>
      </w:r>
      <w:r w:rsidRPr="00CB4A37">
        <w:rPr>
          <w:b/>
          <w:bCs/>
        </w:rPr>
        <w:t>c.</w:t>
      </w:r>
      <w:r w:rsidRPr="00CB4A37">
        <w:t xml:space="preserve"> Real GNA is a measure of the real purchasing power of national income. </w:t>
      </w:r>
      <w:r w:rsidRPr="00CB4A37">
        <w:rPr>
          <w:b/>
          <w:bCs/>
        </w:rPr>
        <w:t>d.</w:t>
      </w:r>
      <w:r w:rsidRPr="00CB4A37">
        <w:t xml:space="preserve"> Prices are the GDP deflator in each region. </w:t>
      </w:r>
      <w:r w:rsidRPr="00CB4A37">
        <w:rPr>
          <w:b/>
          <w:bCs/>
        </w:rPr>
        <w:t>e.</w:t>
      </w:r>
      <w:r w:rsidRPr="00CB4A37">
        <w:t xml:space="preserve"> The terms of trade are an index of the price of exports divided by the price of imports.</w:t>
      </w:r>
    </w:p>
    <w:p w14:paraId="426EE237" w14:textId="77777777" w:rsidR="00CB4A37" w:rsidRPr="00CB4A37" w:rsidRDefault="00CB4A37" w:rsidP="00CB4A37">
      <w:pPr>
        <w:spacing w:before="80" w:after="240" w:line="216" w:lineRule="atLeast"/>
        <w:rPr>
          <w:sz w:val="18"/>
        </w:rPr>
      </w:pPr>
      <w:r w:rsidRPr="00CB4A37">
        <w:rPr>
          <w:sz w:val="18"/>
        </w:rPr>
        <w:t>Source: PC estimates.</w:t>
      </w:r>
    </w:p>
    <w:p w14:paraId="32E93711" w14:textId="77777777" w:rsidR="00CB4A37" w:rsidRPr="00CB4A37" w:rsidRDefault="00CB4A37" w:rsidP="00504D82">
      <w:pPr>
        <w:pStyle w:val="Heading4"/>
      </w:pPr>
      <w:r w:rsidRPr="00CB4A37">
        <w:t>Impacts on the United States</w:t>
      </w:r>
    </w:p>
    <w:p w14:paraId="37F24DE9" w14:textId="77777777" w:rsidR="00CB4A37" w:rsidRPr="00CB4A37" w:rsidRDefault="00CB4A37" w:rsidP="00CB4A37">
      <w:pPr>
        <w:numPr>
          <w:ilvl w:val="0"/>
          <w:numId w:val="22"/>
        </w:numPr>
        <w:contextualSpacing/>
      </w:pPr>
      <w:r w:rsidRPr="00CB4A37">
        <w:t xml:space="preserve">The tariffs cause large increases, and relative differences, in the price of imports into the US from different trading partners. US imports decrease overall (by </w:t>
      </w:r>
      <w:r w:rsidRPr="00CB4A37">
        <w:rPr>
          <w:rFonts w:ascii="Arial (Body)" w:hAnsi="Arial (Body)"/>
          <w:color w:val="000000"/>
          <w:szCs w:val="18"/>
        </w:rPr>
        <w:t>–</w:t>
      </w:r>
      <w:r w:rsidRPr="00CB4A37">
        <w:t>20.2%), with demand increasing for goods produced domestically (by 0.7%) and for imports from economies with lower tariff levels, like the United Kingdom and Australia. US tariff revenue increases by just over $400 billion (7.2% of government revenue).</w:t>
      </w:r>
    </w:p>
    <w:p w14:paraId="65A3A91A" w14:textId="77777777" w:rsidR="00CB4A37" w:rsidRPr="00CB4A37" w:rsidRDefault="00CB4A37" w:rsidP="00CB4A37">
      <w:pPr>
        <w:numPr>
          <w:ilvl w:val="0"/>
          <w:numId w:val="22"/>
        </w:numPr>
        <w:contextualSpacing/>
      </w:pPr>
      <w:r w:rsidRPr="00CB4A37">
        <w:t xml:space="preserve">The fall in US imports is led by large falls in import volumes from China and the European Union (figure A.4). Imports also fall significantly in percentage terms from Cambodia, Vietnam, and other regions with high tariff rates, but less so in volume terms given the smaller trade flows involved. </w:t>
      </w:r>
    </w:p>
    <w:p w14:paraId="529B32E5" w14:textId="77777777" w:rsidR="00CB4A37" w:rsidRPr="00CB4A37" w:rsidRDefault="00CB4A37" w:rsidP="00CB4A37">
      <w:pPr>
        <w:numPr>
          <w:ilvl w:val="0"/>
          <w:numId w:val="22"/>
        </w:numPr>
        <w:contextualSpacing/>
      </w:pPr>
      <w:r w:rsidRPr="00CB4A37">
        <w:t xml:space="preserve">The high tariffs and their wide coverage lead to a large increase in US prices (by 8.4%). This leads to an increase in US export prices (by 7.5%), which reduces their international competitiveness, and leads to an appreciable fall in US export volumes (by </w:t>
      </w:r>
      <w:r w:rsidRPr="00CB4A37">
        <w:rPr>
          <w:rFonts w:ascii="Arial (Body)" w:hAnsi="Arial (Body)"/>
          <w:color w:val="000000"/>
          <w:szCs w:val="18"/>
        </w:rPr>
        <w:t>–</w:t>
      </w:r>
      <w:r w:rsidRPr="00CB4A37">
        <w:t xml:space="preserve">34%). </w:t>
      </w:r>
    </w:p>
    <w:p w14:paraId="26FC5CFA" w14:textId="77777777" w:rsidR="00CB4A37" w:rsidRPr="00CB4A37" w:rsidRDefault="00CB4A37" w:rsidP="00CB4A37">
      <w:pPr>
        <w:numPr>
          <w:ilvl w:val="0"/>
          <w:numId w:val="22"/>
        </w:numPr>
        <w:contextualSpacing/>
      </w:pPr>
      <w:r w:rsidRPr="00CB4A37">
        <w:t>US exports also fall because of the need to restore external balance following lower import volumes. Both US exports and imports fall by similar amounts in volume terms (just over $600 billion each).</w:t>
      </w:r>
    </w:p>
    <w:p w14:paraId="3A8797DF" w14:textId="77777777" w:rsidR="00CB4A37" w:rsidRPr="00CB4A37" w:rsidRDefault="00CB4A37" w:rsidP="00CB4A37">
      <w:pPr>
        <w:numPr>
          <w:ilvl w:val="0"/>
          <w:numId w:val="22"/>
        </w:numPr>
        <w:contextualSpacing/>
      </w:pPr>
      <w:r w:rsidRPr="00CB4A37">
        <w:t xml:space="preserve">Higher US prices and the loss of competitiveness in international markets leads to a decrease in US aggregate production (by </w:t>
      </w:r>
      <w:r w:rsidRPr="00CB4A37">
        <w:rPr>
          <w:rFonts w:ascii="Arial (Body)" w:hAnsi="Arial (Body)"/>
          <w:color w:val="000000"/>
          <w:szCs w:val="18"/>
        </w:rPr>
        <w:t>–2.1</w:t>
      </w:r>
      <w:r w:rsidRPr="00CB4A37">
        <w:t xml:space="preserve">%), across all sectors of the economy. National income and its purchasing power are less affected due to the capital income paid to US overseas investors, but still fall (by </w:t>
      </w:r>
      <w:r w:rsidRPr="00CB4A37">
        <w:rPr>
          <w:rFonts w:ascii="Arial (Body)" w:hAnsi="Arial (Body)"/>
          <w:color w:val="000000"/>
          <w:szCs w:val="18"/>
        </w:rPr>
        <w:t>–</w:t>
      </w:r>
      <w:r w:rsidRPr="00CB4A37">
        <w:t xml:space="preserve">1% and </w:t>
      </w:r>
      <w:r w:rsidRPr="00CB4A37">
        <w:rPr>
          <w:rFonts w:ascii="Arial (Body)" w:hAnsi="Arial (Body)"/>
          <w:color w:val="000000"/>
          <w:szCs w:val="18"/>
        </w:rPr>
        <w:t>–</w:t>
      </w:r>
      <w:r w:rsidRPr="00CB4A37">
        <w:t>0.3%, respectively).</w:t>
      </w:r>
    </w:p>
    <w:p w14:paraId="7EDA1090" w14:textId="77777777" w:rsidR="00CB4A37" w:rsidRPr="00CB4A37" w:rsidRDefault="00CB4A37" w:rsidP="00CB4A37">
      <w:pPr>
        <w:numPr>
          <w:ilvl w:val="0"/>
          <w:numId w:val="22"/>
        </w:numPr>
        <w:contextualSpacing/>
        <w:rPr>
          <w:spacing w:val="-2"/>
        </w:rPr>
      </w:pPr>
      <w:r w:rsidRPr="00CB4A37">
        <w:rPr>
          <w:spacing w:val="-2"/>
        </w:rPr>
        <w:t xml:space="preserve">This decrease in production leads to a fall in the demand for capital in the US, leading to a lower real rental price (by </w:t>
      </w:r>
      <w:r w:rsidRPr="00CB4A37">
        <w:rPr>
          <w:rFonts w:ascii="Arial (Body)" w:hAnsi="Arial (Body)"/>
          <w:color w:val="000000"/>
          <w:spacing w:val="-2"/>
          <w:szCs w:val="18"/>
        </w:rPr>
        <w:t>–1.2</w:t>
      </w:r>
      <w:r w:rsidRPr="00CB4A37">
        <w:rPr>
          <w:spacing w:val="-2"/>
        </w:rPr>
        <w:t xml:space="preserve">%) and rate of return (by </w:t>
      </w:r>
      <w:r w:rsidRPr="00CB4A37">
        <w:rPr>
          <w:rFonts w:ascii="Arial (Body)" w:hAnsi="Arial (Body)"/>
          <w:color w:val="000000"/>
          <w:spacing w:val="-2"/>
          <w:szCs w:val="18"/>
        </w:rPr>
        <w:t>–</w:t>
      </w:r>
      <w:r w:rsidRPr="00CB4A37">
        <w:rPr>
          <w:spacing w:val="-2"/>
        </w:rPr>
        <w:t xml:space="preserve">2.4%). This leads to a large fall in real investment in the US (by </w:t>
      </w:r>
      <w:r w:rsidRPr="00CB4A37">
        <w:rPr>
          <w:spacing w:val="-2"/>
        </w:rPr>
        <w:br/>
      </w:r>
      <w:r w:rsidRPr="00CB4A37">
        <w:rPr>
          <w:rFonts w:ascii="Arial (Body)" w:hAnsi="Arial (Body)"/>
          <w:color w:val="000000"/>
          <w:spacing w:val="-2"/>
          <w:szCs w:val="18"/>
        </w:rPr>
        <w:t>–</w:t>
      </w:r>
      <w:r w:rsidRPr="00CB4A37">
        <w:rPr>
          <w:spacing w:val="-2"/>
        </w:rPr>
        <w:t xml:space="preserve">4.5%) and to a fall in the capital stock (by </w:t>
      </w:r>
      <w:r w:rsidRPr="00CB4A37">
        <w:rPr>
          <w:rFonts w:ascii="Arial (Body)" w:hAnsi="Arial (Body)"/>
          <w:color w:val="000000"/>
          <w:spacing w:val="-2"/>
          <w:szCs w:val="18"/>
        </w:rPr>
        <w:t>–3.3%)</w:t>
      </w:r>
      <w:r w:rsidRPr="00CB4A37">
        <w:rPr>
          <w:spacing w:val="-2"/>
        </w:rPr>
        <w:t xml:space="preserve"> as capital flows outwards in search of higher returns.</w:t>
      </w:r>
    </w:p>
    <w:p w14:paraId="0EBA5A41"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5 </w:t>
      </w:r>
      <w:r w:rsidRPr="00CB4A37">
        <w:rPr>
          <w:rFonts w:asciiTheme="majorHAnsi" w:hAnsiTheme="majorHAnsi"/>
          <w:iCs/>
          <w:color w:val="000000" w:themeColor="text1"/>
          <w:szCs w:val="18"/>
        </w:rPr>
        <w:t>– Falls in United States imports are driven by lower imports from China and the European Union</w:t>
      </w:r>
    </w:p>
    <w:p w14:paraId="1E251F7F"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Changes in import volumes to the United States from selected economies</w:t>
      </w:r>
    </w:p>
    <w:p w14:paraId="1136013D" w14:textId="77777777" w:rsidR="00CB4A37" w:rsidRPr="00CB4A37" w:rsidRDefault="00CB4A37" w:rsidP="00CB4A37">
      <w:pPr>
        <w:spacing w:before="0" w:after="0"/>
        <w:ind w:left="227" w:hanging="227"/>
        <w:contextualSpacing/>
      </w:pPr>
      <w:r w:rsidRPr="00CB4A37">
        <w:rPr>
          <w:noProof/>
        </w:rPr>
        <w:drawing>
          <wp:inline distT="0" distB="0" distL="0" distR="0" wp14:anchorId="74F29F96" wp14:editId="1AE1421E">
            <wp:extent cx="6120130" cy="3279140"/>
            <wp:effectExtent l="0" t="0" r="0" b="0"/>
            <wp:docPr id="1164389621" name="Picture 8" descr="This figure is a column chart showing the changes in import volumes to the United States from a selection of 19 economies in billions of United States dollars. Additionally, data labels on each column show the change in percentage terms. A fall in imports from China dominates the chart, at just over –$275 billion (–56%) which is over double the next largest change. This next largest change is a fall in imports from the European Union, at just over –$100 billion (–21%). This is followed by falls in imports from Canada (–15%), Mexico (–11%), Japan (–26%), Vietnam (–67%), Korea (–32%) and Taiwan (–45%), ranging from just over –$50 billion to around –$25 billion. Imports increase from four trading partners – Australia (31%), Brazil (25%), Singapore (71%) and the United Kingdom (33%), in ascending order. The increase in the United Kingdom is around $40 billion, whereas the increase in imports from Australia is below $10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9621" name="Picture 8" descr="This figure is a column chart showing the changes in import volumes to the United States from a selection of 19 economies in billions of United States dollars. Additionally, data labels on each column show the change in percentage terms. A fall in imports from China dominates the chart, at just over –$275 billion (–56%) which is over double the next largest change. This next largest change is a fall in imports from the European Union, at just over –$100 billion (–21%). This is followed by falls in imports from Canada (–15%), Mexico (–11%), Japan (–26%), Vietnam (–67%), Korea (–32%) and Taiwan (–45%), ranging from just over –$50 billion to around –$25 billion. Imports increase from four trading partners – Australia (31%), Brazil (25%), Singapore (71%) and the United Kingdom (33%), in ascending order. The increase in the United Kingdom is around $40 billion, whereas the increase in imports from Australia is below $10 billion.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3279140"/>
                    </a:xfrm>
                    <a:prstGeom prst="rect">
                      <a:avLst/>
                    </a:prstGeom>
                    <a:noFill/>
                    <a:ln>
                      <a:noFill/>
                    </a:ln>
                  </pic:spPr>
                </pic:pic>
              </a:graphicData>
            </a:graphic>
          </wp:inline>
        </w:drawing>
      </w:r>
    </w:p>
    <w:p w14:paraId="5FDA3A2E" w14:textId="77777777" w:rsidR="00CB4A37" w:rsidRPr="00CB4A37" w:rsidRDefault="00CB4A37" w:rsidP="00CB4A37">
      <w:pPr>
        <w:spacing w:before="80" w:after="240" w:line="216" w:lineRule="atLeast"/>
        <w:rPr>
          <w:sz w:val="18"/>
        </w:rPr>
      </w:pPr>
      <w:r w:rsidRPr="00CB4A37">
        <w:rPr>
          <w:sz w:val="18"/>
        </w:rPr>
        <w:t>Source: PC estimates.</w:t>
      </w:r>
    </w:p>
    <w:p w14:paraId="51F6D951" w14:textId="77777777" w:rsidR="00CB4A37" w:rsidRPr="00CB4A37" w:rsidRDefault="00CB4A37" w:rsidP="00504D82">
      <w:pPr>
        <w:pStyle w:val="Heading4"/>
      </w:pPr>
      <w:r w:rsidRPr="00CB4A37">
        <w:t>Impacts on Australia</w:t>
      </w:r>
    </w:p>
    <w:p w14:paraId="05FBD3C4" w14:textId="77777777" w:rsidR="00CB4A37" w:rsidRPr="00CB4A37" w:rsidRDefault="00CB4A37" w:rsidP="00CB4A37">
      <w:r w:rsidRPr="00CB4A37">
        <w:t xml:space="preserve">The effects on Australia are slightly positive, and more so than in the Universal 10 scenario, as Australia benefits from the US imposing relatively higher tariffs on </w:t>
      </w:r>
      <w:r w:rsidRPr="00CB4A37" w:rsidDel="002062F7">
        <w:t xml:space="preserve">other </w:t>
      </w:r>
      <w:r w:rsidRPr="00CB4A37">
        <w:t>trading partners.</w:t>
      </w:r>
    </w:p>
    <w:p w14:paraId="28F7C9CA" w14:textId="77777777" w:rsidR="00CB4A37" w:rsidRPr="00CB4A37" w:rsidRDefault="00CB4A37" w:rsidP="00CB4A37">
      <w:pPr>
        <w:numPr>
          <w:ilvl w:val="0"/>
          <w:numId w:val="22"/>
        </w:numPr>
        <w:contextualSpacing/>
      </w:pPr>
      <w:r w:rsidRPr="00CB4A37">
        <w:t xml:space="preserve">The relatively low additional US tariff rate on imports from Australia makes Australian imports cheaper for the US compared to imports from many trading partners. As a result, US demand for Australian exports increases (by 30.9%), led by electronics and other manufactured products. </w:t>
      </w:r>
    </w:p>
    <w:p w14:paraId="45051E14" w14:textId="77777777" w:rsidR="00CB4A37" w:rsidRPr="00CB4A37" w:rsidRDefault="00CB4A37" w:rsidP="00CB4A37">
      <w:pPr>
        <w:numPr>
          <w:ilvl w:val="0"/>
          <w:numId w:val="22"/>
        </w:numPr>
        <w:contextualSpacing/>
      </w:pPr>
      <w:r w:rsidRPr="00CB4A37">
        <w:t xml:space="preserve">US tariffs on other trading partners lead to a global oversupply of imports previously sent to the US, decreasing Australia’s import prices (by </w:t>
      </w:r>
      <w:r w:rsidRPr="00CB4A37">
        <w:rPr>
          <w:rFonts w:ascii="Arial (Body)" w:hAnsi="Arial (Body)"/>
          <w:color w:val="000000"/>
          <w:szCs w:val="18"/>
        </w:rPr>
        <w:t>–</w:t>
      </w:r>
      <w:r w:rsidRPr="00CB4A37">
        <w:t xml:space="preserve">1%). Australian imports rise overall (by 0.5%), as lower imports from the US (by </w:t>
      </w:r>
      <w:r w:rsidRPr="00CB4A37">
        <w:rPr>
          <w:rFonts w:ascii="Arial (Body)" w:hAnsi="Arial (Body)"/>
          <w:color w:val="000000"/>
          <w:szCs w:val="18"/>
        </w:rPr>
        <w:t>–</w:t>
      </w:r>
      <w:r w:rsidRPr="00CB4A37">
        <w:t>36.1%) are more than offset by imports from the rest of the world.</w:t>
      </w:r>
    </w:p>
    <w:p w14:paraId="705FBAFB" w14:textId="77777777" w:rsidR="00CB4A37" w:rsidRPr="00CB4A37" w:rsidRDefault="00CB4A37" w:rsidP="00CB4A37">
      <w:pPr>
        <w:numPr>
          <w:ilvl w:val="0"/>
          <w:numId w:val="22"/>
        </w:numPr>
        <w:contextualSpacing/>
      </w:pPr>
      <w:r w:rsidRPr="00CB4A37">
        <w:t>Australia’s increase in imports is led by electronics and other manufactured imports from China. The increase in imports from China is similar to the increase in Australian exports to the US.</w:t>
      </w:r>
      <w:r w:rsidRPr="00CB4A37">
        <w:rPr>
          <w:vertAlign w:val="superscript"/>
        </w:rPr>
        <w:footnoteReference w:id="56"/>
      </w:r>
      <w:r w:rsidRPr="00CB4A37">
        <w:t xml:space="preserve"> Australian </w:t>
      </w:r>
      <w:r w:rsidRPr="00CB4A37">
        <w:lastRenderedPageBreak/>
        <w:t xml:space="preserve">exports increase overall (by 0.9%), with lower exports to China (by </w:t>
      </w:r>
      <w:r w:rsidRPr="00CB4A37">
        <w:rPr>
          <w:rFonts w:ascii="Arial (Body)" w:hAnsi="Arial (Body)"/>
          <w:color w:val="000000"/>
          <w:szCs w:val="18"/>
        </w:rPr>
        <w:t xml:space="preserve">–2.1%) </w:t>
      </w:r>
      <w:r w:rsidRPr="00CB4A37">
        <w:t xml:space="preserve">more than offset by higher exports to the US (by 30.9%). </w:t>
      </w:r>
    </w:p>
    <w:p w14:paraId="23952798" w14:textId="77777777" w:rsidR="00CB4A37" w:rsidRPr="00CB4A37" w:rsidRDefault="00CB4A37" w:rsidP="00CB4A37">
      <w:pPr>
        <w:numPr>
          <w:ilvl w:val="0"/>
          <w:numId w:val="22"/>
        </w:numPr>
        <w:contextualSpacing/>
      </w:pPr>
      <w:r w:rsidRPr="00CB4A37">
        <w:t xml:space="preserve">As outlined in the discussion on the effects of the Universal 10 scenario, the outflow of capital from the US increases Australian production (by 0.4%). The rental price of capital falls (by </w:t>
      </w:r>
      <w:r w:rsidRPr="00CB4A37">
        <w:rPr>
          <w:rFonts w:ascii="Arial (Body)" w:hAnsi="Arial (Body)"/>
          <w:color w:val="000000"/>
          <w:szCs w:val="18"/>
        </w:rPr>
        <w:t>–</w:t>
      </w:r>
      <w:r w:rsidRPr="00CB4A37">
        <w:t xml:space="preserve">1.4%) as domestic production pivots away from capital-intensive sectors like resources and some manufacturing industries, in part due to lower export demand and more imports from China. </w:t>
      </w:r>
    </w:p>
    <w:p w14:paraId="2C1CC82A" w14:textId="77777777" w:rsidR="00CB4A37" w:rsidRPr="00CB4A37" w:rsidRDefault="00CB4A37" w:rsidP="00CB4A37">
      <w:pPr>
        <w:numPr>
          <w:ilvl w:val="0"/>
          <w:numId w:val="22"/>
        </w:numPr>
        <w:contextualSpacing/>
      </w:pPr>
      <w:r w:rsidRPr="00CB4A37">
        <w:t xml:space="preserve">Given the fixed supply of labour in each region, the increased use of capital in Australian production requires the expanding industries to draw labour away from other industries. This increased demand leads to an increase in real wages (by 0.5%). </w:t>
      </w:r>
    </w:p>
    <w:p w14:paraId="6737B3D8" w14:textId="77777777" w:rsidR="00CB4A37" w:rsidRPr="00CB4A37" w:rsidRDefault="00CB4A37" w:rsidP="00921855">
      <w:pPr>
        <w:pStyle w:val="Heading4"/>
      </w:pPr>
      <w:r w:rsidRPr="00CB4A37">
        <w:t>Impacts on the rest of the world</w:t>
      </w:r>
    </w:p>
    <w:p w14:paraId="5EFB5556" w14:textId="77777777" w:rsidR="00CB4A37" w:rsidRPr="00CB4A37" w:rsidRDefault="00CB4A37" w:rsidP="00CB4A37">
      <w:r w:rsidRPr="00CB4A37">
        <w:t>The effects of this scenario on the rest of the world in aggregate are detrimental.</w:t>
      </w:r>
    </w:p>
    <w:p w14:paraId="6B05A559" w14:textId="77777777" w:rsidR="00CB4A37" w:rsidRPr="00CB4A37" w:rsidRDefault="00CB4A37" w:rsidP="00CB4A37">
      <w:pPr>
        <w:numPr>
          <w:ilvl w:val="0"/>
          <w:numId w:val="22"/>
        </w:numPr>
        <w:contextualSpacing/>
      </w:pPr>
      <w:r w:rsidRPr="00CB4A37">
        <w:t xml:space="preserve">Many of the trading partners that previously exported to the US need to find alternative markets for these products and lower their price to find new buyers. Subsequent lower export prices result in lower export income for these economies. Export prices fall for almost all economies, particularly Vietnam (by </w:t>
      </w:r>
      <w:r w:rsidRPr="00CB4A37">
        <w:rPr>
          <w:rFonts w:ascii="Arial (Body)" w:hAnsi="Arial (Body)"/>
          <w:color w:val="000000"/>
          <w:szCs w:val="18"/>
        </w:rPr>
        <w:t xml:space="preserve">–3.9%), </w:t>
      </w:r>
      <w:r w:rsidRPr="00CB4A37">
        <w:t xml:space="preserve">Cambodia (by </w:t>
      </w:r>
      <w:r w:rsidRPr="00CB4A37">
        <w:rPr>
          <w:rFonts w:ascii="Arial (Body)" w:hAnsi="Arial (Body)"/>
          <w:color w:val="000000"/>
          <w:szCs w:val="18"/>
        </w:rPr>
        <w:t>–</w:t>
      </w:r>
      <w:r w:rsidRPr="00CB4A37">
        <w:t xml:space="preserve">3.9%) and China (by </w:t>
      </w:r>
      <w:r w:rsidRPr="00CB4A37">
        <w:rPr>
          <w:rFonts w:ascii="Arial (Body)" w:hAnsi="Arial (Body)"/>
          <w:color w:val="000000"/>
          <w:szCs w:val="18"/>
        </w:rPr>
        <w:t>–</w:t>
      </w:r>
      <w:r w:rsidRPr="00CB4A37">
        <w:t>3.</w:t>
      </w:r>
      <w:r w:rsidRPr="00CB4A37" w:rsidDel="0059432A">
        <w:t>2%)</w:t>
      </w:r>
      <w:r w:rsidRPr="00CB4A37">
        <w:t>.</w:t>
      </w:r>
    </w:p>
    <w:p w14:paraId="52A530C1" w14:textId="77777777" w:rsidR="00CB4A37" w:rsidRPr="00CB4A37" w:rsidRDefault="00CB4A37" w:rsidP="00CB4A37">
      <w:pPr>
        <w:numPr>
          <w:ilvl w:val="0"/>
          <w:numId w:val="22"/>
        </w:numPr>
        <w:contextualSpacing/>
      </w:pPr>
      <w:r w:rsidRPr="00CB4A37">
        <w:t>Canada and Mexico face significant downturns due to their close links with the US economy and the relatively high tariffs levied on them and the products they export (such as cars, aluminium and steel). Their real GDP falls (by –1.5% and –1.3%, respectively) and real GNA falls further (by –2.1% each).</w:t>
      </w:r>
    </w:p>
    <w:p w14:paraId="264C4BD5" w14:textId="77777777" w:rsidR="00CB4A37" w:rsidRPr="00CB4A37" w:rsidRDefault="00CB4A37" w:rsidP="00CB4A37">
      <w:pPr>
        <w:numPr>
          <w:ilvl w:val="0"/>
          <w:numId w:val="22"/>
        </w:numPr>
        <w:contextualSpacing/>
      </w:pPr>
      <w:r w:rsidRPr="00CB4A37">
        <w:t xml:space="preserve">The outflow of capital from the US, Mexico and Canada benefits production in most of the world. Real GDP and real wages increase in every other region except Cambodia, Vietnam and China. </w:t>
      </w:r>
    </w:p>
    <w:p w14:paraId="5805FD8C" w14:textId="77777777" w:rsidR="00CB4A37" w:rsidRPr="00CB4A37" w:rsidRDefault="00CB4A37" w:rsidP="00CB4A37">
      <w:pPr>
        <w:numPr>
          <w:ilvl w:val="0"/>
          <w:numId w:val="22"/>
        </w:numPr>
        <w:contextualSpacing/>
      </w:pPr>
      <w:r w:rsidRPr="00CB4A37">
        <w:t>Real GDA falls further than real GDP in these three economies, as the lower prices for their exports further reduce the purchasing power of their national income.</w:t>
      </w:r>
    </w:p>
    <w:p w14:paraId="78DCD586" w14:textId="77777777" w:rsidR="00CB4A37" w:rsidRPr="00CB4A37" w:rsidRDefault="00CB4A37" w:rsidP="00CB4A37">
      <w:pPr>
        <w:numPr>
          <w:ilvl w:val="0"/>
          <w:numId w:val="22"/>
        </w:numPr>
        <w:contextualSpacing/>
        <w:rPr>
          <w:spacing w:val="-4"/>
        </w:rPr>
      </w:pPr>
      <w:r w:rsidRPr="00CB4A37">
        <w:rPr>
          <w:spacing w:val="-4"/>
        </w:rPr>
        <w:t>The welfare effects for other economies are mixed, as the effect on other region’s imports and exports differ. Manufacturing economies, like Korea and Taiwan, are negatively affected, while some service</w:t>
      </w:r>
      <w:r w:rsidRPr="00CB4A37">
        <w:rPr>
          <w:spacing w:val="-4"/>
        </w:rPr>
        <w:noBreakHyphen/>
        <w:t>oriented economies and economies facing lower tariffs, like the UK and New Zealand, benefit from cheaper imports.</w:t>
      </w:r>
    </w:p>
    <w:p w14:paraId="4AF86493" w14:textId="77777777" w:rsidR="00CB4A37" w:rsidRPr="00CB4A37" w:rsidRDefault="00CB4A37" w:rsidP="001C118A">
      <w:pPr>
        <w:numPr>
          <w:ilvl w:val="0"/>
          <w:numId w:val="22"/>
        </w:numPr>
      </w:pPr>
      <w:r w:rsidRPr="00CB4A37">
        <w:t>The aggregate effect of US tariffs in this scenario is to reduce global production (by –0.2%) and international trade (by –3.7%).</w:t>
      </w:r>
    </w:p>
    <w:p w14:paraId="36372EA6" w14:textId="77777777" w:rsidR="00CB4A37" w:rsidRPr="00CB4A37" w:rsidRDefault="00CB4A37" w:rsidP="00504D82">
      <w:pPr>
        <w:pStyle w:val="Heading4"/>
      </w:pPr>
      <w:r w:rsidRPr="00CB4A37">
        <w:t>The effect of retaliation</w:t>
      </w:r>
    </w:p>
    <w:p w14:paraId="7E056893" w14:textId="77777777" w:rsidR="00CB4A37" w:rsidRPr="00CB4A37" w:rsidRDefault="00CB4A37" w:rsidP="00CB4A37">
      <w:r w:rsidRPr="00CB4A37">
        <w:t>Retaliation – whereby each economy responds to the additional country-specific and product</w:t>
      </w:r>
      <w:r w:rsidRPr="00CB4A37">
        <w:noBreakHyphen/>
        <w:t>specific tariffs levied on them by the US by levying identical tariffs on US exports – almost doubles the detrimental effect on global production (figure A.6).</w:t>
      </w:r>
    </w:p>
    <w:p w14:paraId="3089BA2D" w14:textId="371625BE"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6 </w:t>
      </w:r>
      <w:r w:rsidRPr="00CB4A37">
        <w:rPr>
          <w:rFonts w:asciiTheme="majorHAnsi" w:hAnsiTheme="majorHAnsi"/>
          <w:iCs/>
          <w:color w:val="000000" w:themeColor="text1"/>
          <w:szCs w:val="18"/>
        </w:rPr>
        <w:t>– Retaliation almost doubles the fall in global production despite complicated impacts on individual economies</w:t>
      </w:r>
    </w:p>
    <w:p w14:paraId="2EB8240B"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 in real GDP for selected economies</w:t>
      </w:r>
    </w:p>
    <w:p w14:paraId="694B8FB6" w14:textId="77777777" w:rsidR="00CB4A37" w:rsidRPr="00CB4A37" w:rsidRDefault="00CB4A37" w:rsidP="00CB4A37">
      <w:pPr>
        <w:spacing w:after="0"/>
        <w:ind w:left="227" w:hanging="227"/>
        <w:contextualSpacing/>
      </w:pPr>
      <w:r w:rsidRPr="00CB4A37">
        <w:rPr>
          <w:noProof/>
        </w:rPr>
        <w:drawing>
          <wp:inline distT="0" distB="0" distL="0" distR="0" wp14:anchorId="4EB23FDB" wp14:editId="27488EED">
            <wp:extent cx="6120130" cy="3119120"/>
            <wp:effectExtent l="0" t="0" r="0" b="0"/>
            <wp:docPr id="1453816368" name="Picture 18" descr="This figure is a clustered column chart showing the percentage change in real Gross Domestic Product (GDP) for selected economies with and without retaliation under the “Liberation Day+” scenario. It shows slight but positive percentage changes in real GDP (less than 1%) for Australia, Japan, Korea and the EU. Cambodia, Vietnam and the rest of the world experience slight but negative percentage changes in real GDP (less than 1.5%). Canada, the United States and Mexico experience the largest negative changes (greater than 3% with retaliation). For all countries, the percentage change in real GDP is larger in the “with retaliation”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16368" name="Picture 18" descr="This figure is a clustered column chart showing the percentage change in real Gross Domestic Product (GDP) for selected economies with and without retaliation under the “Liberation Day+” scenario. It shows slight but positive percentage changes in real GDP (less than 1%) for Australia, Japan, Korea and the EU. Cambodia, Vietnam and the rest of the world experience slight but negative percentage changes in real GDP (less than 1.5%). Canada, the United States and Mexico experience the largest negative changes (greater than 3% with retaliation). For all countries, the percentage change in real GDP is larger in the “with retaliation” scenario.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3119120"/>
                    </a:xfrm>
                    <a:prstGeom prst="rect">
                      <a:avLst/>
                    </a:prstGeom>
                    <a:noFill/>
                    <a:ln>
                      <a:noFill/>
                    </a:ln>
                  </pic:spPr>
                </pic:pic>
              </a:graphicData>
            </a:graphic>
          </wp:inline>
        </w:drawing>
      </w:r>
    </w:p>
    <w:p w14:paraId="12D53188" w14:textId="77777777" w:rsidR="00CB4A37" w:rsidRPr="00CB4A37" w:rsidRDefault="00CB4A37" w:rsidP="00CB4A37">
      <w:pPr>
        <w:spacing w:before="80" w:after="240" w:line="216" w:lineRule="atLeast"/>
        <w:rPr>
          <w:sz w:val="18"/>
        </w:rPr>
      </w:pPr>
      <w:r w:rsidRPr="00CB4A37">
        <w:rPr>
          <w:sz w:val="18"/>
        </w:rPr>
        <w:t>Source: PC estimates.</w:t>
      </w:r>
    </w:p>
    <w:p w14:paraId="17D9DDEA" w14:textId="77777777" w:rsidR="00CB4A37" w:rsidRPr="00CB4A37" w:rsidRDefault="00CB4A37" w:rsidP="00CB4A37">
      <w:pPr>
        <w:numPr>
          <w:ilvl w:val="0"/>
          <w:numId w:val="22"/>
        </w:numPr>
        <w:contextualSpacing/>
        <w:rPr>
          <w:spacing w:val="-4"/>
        </w:rPr>
      </w:pPr>
      <w:r w:rsidRPr="00CB4A37">
        <w:rPr>
          <w:spacing w:val="-4"/>
        </w:rPr>
        <w:t xml:space="preserve">Retaliation causes global production and international trade to fall further (by –0.4% and –4.8%, respectively). </w:t>
      </w:r>
    </w:p>
    <w:p w14:paraId="1C2313A1" w14:textId="77777777" w:rsidR="00CB4A37" w:rsidRPr="00CB4A37" w:rsidRDefault="00CB4A37" w:rsidP="00CB4A37">
      <w:pPr>
        <w:numPr>
          <w:ilvl w:val="0"/>
          <w:numId w:val="22"/>
        </w:numPr>
        <w:contextualSpacing/>
      </w:pPr>
      <w:r w:rsidRPr="00CB4A37">
        <w:t>Retaliatory tariffs on US imports further divert trade away from the US, with larger declines in US exports (by –48.1%) and US imports (by –33%). US real GDP falls further (by –3%), led by manufacturing and primary production (by –5.2% each).</w:t>
      </w:r>
    </w:p>
    <w:p w14:paraId="08B4D51E" w14:textId="77777777" w:rsidR="00CB4A37" w:rsidRPr="00CB4A37" w:rsidRDefault="00CB4A37" w:rsidP="00CB4A37">
      <w:pPr>
        <w:numPr>
          <w:ilvl w:val="0"/>
          <w:numId w:val="22"/>
        </w:numPr>
        <w:contextualSpacing/>
      </w:pPr>
      <w:r w:rsidRPr="00CB4A37">
        <w:t xml:space="preserve">The downturn in the US further impacts Canada and Mexico. Lower US demand causes large contractions in their manufacturing sectors (by –11% and –9%, respectively), driving falls in real GDP (by –4% and –‍4.2%, respectively). </w:t>
      </w:r>
    </w:p>
    <w:p w14:paraId="1C609A45" w14:textId="77777777" w:rsidR="00CB4A37" w:rsidRPr="00CB4A37" w:rsidRDefault="00CB4A37" w:rsidP="00CB4A37">
      <w:pPr>
        <w:numPr>
          <w:ilvl w:val="0"/>
          <w:numId w:val="22"/>
        </w:numPr>
        <w:contextualSpacing/>
      </w:pPr>
      <w:r w:rsidRPr="00CB4A37">
        <w:t xml:space="preserve">The effects on production in other economies are mixed, owing to complicated differences in relative prices between economies. Production declines further in Cambodia and Vietnam (by –1% and –0.8%, respectively), but declines only slightly in China (by –0.1%), compared to the case without retaliation. </w:t>
      </w:r>
    </w:p>
    <w:p w14:paraId="410B0FA6" w14:textId="77777777" w:rsidR="00CB4A37" w:rsidRPr="00CB4A37" w:rsidRDefault="00CB4A37" w:rsidP="00CB4A37">
      <w:pPr>
        <w:numPr>
          <w:ilvl w:val="0"/>
          <w:numId w:val="22"/>
        </w:numPr>
        <w:contextualSpacing/>
      </w:pPr>
      <w:r w:rsidRPr="00CB4A37">
        <w:t>The effects on prices are similarly complicated, with price increases in some economies like Australia (primarily due to retaliatory tariffs making the goods that they produce more expensive) and price decreases in others like the US and Vietnam (primarily due to the retaliatory tariffs having larger adverse effects on US exports and requiring larger price falls to find alternative buyers).</w:t>
      </w:r>
    </w:p>
    <w:p w14:paraId="60643130" w14:textId="77777777" w:rsidR="00CB4A37" w:rsidRPr="00CB4A37" w:rsidRDefault="00CB4A37" w:rsidP="00504D82">
      <w:pPr>
        <w:pStyle w:val="Heading3-noTOC"/>
      </w:pPr>
      <w:r w:rsidRPr="00CB4A37">
        <w:t>China 50</w:t>
      </w:r>
    </w:p>
    <w:p w14:paraId="7EBFEF20" w14:textId="77777777" w:rsidR="00CB4A37" w:rsidRPr="00CB4A37" w:rsidRDefault="00CB4A37" w:rsidP="00CB4A37">
      <w:r w:rsidRPr="00CB4A37">
        <w:t>The modelled impacts of this scenario are driven by a sharp reduction in trade between the US and China (table A.3).</w:t>
      </w:r>
    </w:p>
    <w:p w14:paraId="2445A606"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Table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3 – Modelled impacts of an additional 5</w:t>
      </w:r>
      <w:r w:rsidRPr="00CB4A37">
        <w:rPr>
          <w:rFonts w:asciiTheme="majorHAnsi" w:hAnsiTheme="majorHAnsi"/>
          <w:iCs/>
          <w:color w:val="000000" w:themeColor="text1"/>
          <w:szCs w:val="18"/>
        </w:rPr>
        <w:t>0</w:t>
      </w:r>
      <w:r w:rsidRPr="00CB4A37">
        <w:rPr>
          <w:rFonts w:asciiTheme="majorHAnsi" w:hAnsiTheme="majorHAnsi"/>
          <w:iCs/>
          <w:noProof/>
          <w:color w:val="000000" w:themeColor="text1"/>
          <w:szCs w:val="18"/>
        </w:rPr>
        <w:t>%</w:t>
      </w:r>
      <w:r w:rsidRPr="00CB4A37">
        <w:rPr>
          <w:rFonts w:asciiTheme="majorHAnsi" w:hAnsiTheme="majorHAnsi"/>
          <w:iCs/>
          <w:color w:val="000000" w:themeColor="text1"/>
          <w:szCs w:val="18"/>
        </w:rPr>
        <w:t xml:space="preserve"> tariff on all goods imports to the United States from China</w:t>
      </w:r>
    </w:p>
    <w:p w14:paraId="1EFEF059" w14:textId="77777777" w:rsidR="00CB4A37" w:rsidRPr="00CB4A37" w:rsidRDefault="00CB4A37" w:rsidP="00CB4A37">
      <w:pPr>
        <w:keepNext/>
        <w:spacing w:before="40" w:after="40"/>
        <w:rPr>
          <w:rFonts w:asciiTheme="majorHAnsi" w:hAnsiTheme="majorHAnsi"/>
          <w:iCs/>
          <w:color w:val="58585B"/>
          <w:szCs w:val="18"/>
        </w:rPr>
      </w:pPr>
      <w:r w:rsidRPr="00CB4A37">
        <w:rPr>
          <w:rFonts w:asciiTheme="majorHAnsi" w:hAnsiTheme="majorHAnsi"/>
          <w:iCs/>
          <w:color w:val="58585B"/>
          <w:szCs w:val="18"/>
        </w:rPr>
        <w:t>Scenario with and without retaliation (% change from base)</w:t>
      </w:r>
    </w:p>
    <w:tbl>
      <w:tblPr>
        <w:tblW w:w="5000" w:type="pct"/>
        <w:tblCellMar>
          <w:left w:w="0" w:type="dxa"/>
          <w:right w:w="0" w:type="dxa"/>
        </w:tblCellMar>
        <w:tblLook w:val="04A0" w:firstRow="1" w:lastRow="0" w:firstColumn="1" w:lastColumn="0" w:noHBand="0" w:noVBand="1"/>
      </w:tblPr>
      <w:tblGrid>
        <w:gridCol w:w="2136"/>
        <w:gridCol w:w="937"/>
        <w:gridCol w:w="937"/>
        <w:gridCol w:w="938"/>
        <w:gridCol w:w="938"/>
        <w:gridCol w:w="938"/>
        <w:gridCol w:w="938"/>
        <w:gridCol w:w="938"/>
        <w:gridCol w:w="938"/>
      </w:tblGrid>
      <w:tr w:rsidR="00CB4A37" w:rsidRPr="00CB4A37" w14:paraId="4E9F3991" w14:textId="77777777" w:rsidTr="00074CE0">
        <w:trPr>
          <w:trHeight w:val="288"/>
        </w:trPr>
        <w:tc>
          <w:tcPr>
            <w:tcW w:w="2136" w:type="dxa"/>
            <w:tcBorders>
              <w:top w:val="nil"/>
              <w:left w:val="nil"/>
              <w:bottom w:val="single" w:sz="4" w:space="0" w:color="B3B3B3"/>
              <w:right w:val="nil"/>
            </w:tcBorders>
            <w:vAlign w:val="bottom"/>
            <w:hideMark/>
          </w:tcPr>
          <w:p w14:paraId="35575AB4" w14:textId="77777777" w:rsidR="00CB4A37" w:rsidRPr="00CB4A37" w:rsidRDefault="00CB4A37" w:rsidP="00CB4A37">
            <w:pPr>
              <w:keepNext/>
              <w:spacing w:before="40" w:after="40"/>
              <w:rPr>
                <w:rFonts w:asciiTheme="majorHAnsi" w:hAnsiTheme="majorHAnsi"/>
                <w:iCs/>
                <w:color w:val="58585B"/>
                <w:szCs w:val="18"/>
                <w:lang w:eastAsia="en-AU"/>
              </w:rPr>
            </w:pPr>
            <w:r w:rsidRPr="00CB4A37">
              <w:rPr>
                <w:rFonts w:asciiTheme="majorHAnsi" w:hAnsiTheme="majorHAnsi"/>
                <w:iCs/>
                <w:color w:val="58585B"/>
                <w:szCs w:val="18"/>
                <w:lang w:eastAsia="en-AU"/>
              </w:rPr>
              <w:t> </w:t>
            </w:r>
          </w:p>
        </w:tc>
        <w:tc>
          <w:tcPr>
            <w:tcW w:w="1874" w:type="dxa"/>
            <w:gridSpan w:val="2"/>
            <w:tcBorders>
              <w:top w:val="nil"/>
              <w:left w:val="nil"/>
              <w:bottom w:val="single" w:sz="4" w:space="0" w:color="B3B3B3"/>
              <w:right w:val="nil"/>
            </w:tcBorders>
            <w:vAlign w:val="bottom"/>
            <w:hideMark/>
          </w:tcPr>
          <w:p w14:paraId="733F7318"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Australia</w:t>
            </w:r>
          </w:p>
        </w:tc>
        <w:tc>
          <w:tcPr>
            <w:tcW w:w="1876" w:type="dxa"/>
            <w:gridSpan w:val="2"/>
            <w:tcBorders>
              <w:top w:val="nil"/>
              <w:left w:val="nil"/>
              <w:bottom w:val="single" w:sz="4" w:space="0" w:color="B3B3B3"/>
              <w:right w:val="nil"/>
            </w:tcBorders>
            <w:vAlign w:val="bottom"/>
            <w:hideMark/>
          </w:tcPr>
          <w:p w14:paraId="642F5967"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United States</w:t>
            </w:r>
          </w:p>
        </w:tc>
        <w:tc>
          <w:tcPr>
            <w:tcW w:w="1876" w:type="dxa"/>
            <w:gridSpan w:val="2"/>
            <w:tcBorders>
              <w:top w:val="nil"/>
              <w:left w:val="nil"/>
              <w:bottom w:val="single" w:sz="4" w:space="0" w:color="B3B3B3"/>
              <w:right w:val="nil"/>
            </w:tcBorders>
            <w:vAlign w:val="bottom"/>
            <w:hideMark/>
          </w:tcPr>
          <w:p w14:paraId="07859DA9"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China</w:t>
            </w:r>
          </w:p>
        </w:tc>
        <w:tc>
          <w:tcPr>
            <w:tcW w:w="1876" w:type="dxa"/>
            <w:gridSpan w:val="2"/>
            <w:tcBorders>
              <w:top w:val="nil"/>
              <w:left w:val="nil"/>
              <w:bottom w:val="single" w:sz="4" w:space="0" w:color="B3B3B3"/>
              <w:right w:val="nil"/>
            </w:tcBorders>
            <w:vAlign w:val="bottom"/>
            <w:hideMark/>
          </w:tcPr>
          <w:p w14:paraId="2BFE1CAF" w14:textId="77777777" w:rsidR="00CB4A37" w:rsidRPr="00CB4A37" w:rsidRDefault="00CB4A37" w:rsidP="00CB4A37">
            <w:pPr>
              <w:spacing w:before="0" w:after="20"/>
              <w:ind w:left="57"/>
              <w:jc w:val="center"/>
              <w:rPr>
                <w:b/>
                <w:color w:val="265A9A" w:themeColor="background2"/>
                <w:sz w:val="18"/>
                <w:szCs w:val="18"/>
                <w:lang w:eastAsia="en-AU"/>
              </w:rPr>
            </w:pPr>
            <w:r w:rsidRPr="00CB4A37">
              <w:rPr>
                <w:b/>
                <w:color w:val="265A9A" w:themeColor="background2"/>
                <w:sz w:val="18"/>
                <w:lang w:eastAsia="en-AU"/>
              </w:rPr>
              <w:t>European Union</w:t>
            </w:r>
          </w:p>
        </w:tc>
      </w:tr>
      <w:tr w:rsidR="00CB4A37" w:rsidRPr="00CB4A37" w14:paraId="474E742E" w14:textId="77777777" w:rsidTr="00074CE0">
        <w:trPr>
          <w:trHeight w:val="288"/>
        </w:trPr>
        <w:tc>
          <w:tcPr>
            <w:tcW w:w="2136" w:type="dxa"/>
            <w:tcBorders>
              <w:top w:val="nil"/>
              <w:left w:val="nil"/>
              <w:bottom w:val="nil"/>
              <w:right w:val="nil"/>
            </w:tcBorders>
            <w:shd w:val="clear" w:color="000000" w:fill="F2F2F2"/>
            <w:hideMark/>
          </w:tcPr>
          <w:p w14:paraId="4D706144" w14:textId="77777777" w:rsidR="00CB4A37" w:rsidRPr="00CB4A37" w:rsidRDefault="00CB4A37" w:rsidP="00CB4A37">
            <w:pPr>
              <w:spacing w:before="0" w:after="0" w:line="240" w:lineRule="auto"/>
              <w:rPr>
                <w:rFonts w:ascii="Arial (Body)" w:eastAsia="Times New Roman" w:hAnsi="Arial (Body)" w:cs="Times New Roman"/>
                <w:b/>
                <w:bCs/>
                <w:color w:val="265A9A"/>
                <w:sz w:val="14"/>
                <w:szCs w:val="16"/>
                <w:lang w:eastAsia="en-AU"/>
              </w:rPr>
            </w:pPr>
            <w:r w:rsidRPr="00CB4A37">
              <w:rPr>
                <w:rFonts w:ascii="Arial (Body)" w:eastAsia="Times New Roman" w:hAnsi="Arial (Body)" w:cs="Times New Roman" w:hint="eastAsia"/>
                <w:b/>
                <w:bCs/>
                <w:color w:val="265A9A"/>
                <w:sz w:val="14"/>
                <w:szCs w:val="16"/>
                <w:lang w:eastAsia="en-AU"/>
              </w:rPr>
              <w:t> </w:t>
            </w:r>
          </w:p>
        </w:tc>
        <w:tc>
          <w:tcPr>
            <w:tcW w:w="937" w:type="dxa"/>
            <w:tcBorders>
              <w:top w:val="nil"/>
              <w:left w:val="nil"/>
              <w:bottom w:val="nil"/>
              <w:right w:val="nil"/>
            </w:tcBorders>
            <w:shd w:val="clear" w:color="000000" w:fill="F2F2F2"/>
            <w:hideMark/>
          </w:tcPr>
          <w:p w14:paraId="6B5055A0"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Without retaliation</w:t>
            </w:r>
          </w:p>
        </w:tc>
        <w:tc>
          <w:tcPr>
            <w:tcW w:w="937" w:type="dxa"/>
            <w:tcBorders>
              <w:top w:val="nil"/>
              <w:left w:val="nil"/>
              <w:bottom w:val="nil"/>
              <w:right w:val="nil"/>
            </w:tcBorders>
            <w:shd w:val="clear" w:color="000000" w:fill="F2F2F2"/>
            <w:hideMark/>
          </w:tcPr>
          <w:p w14:paraId="03F1D8DC"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 retaliation</w:t>
            </w:r>
          </w:p>
        </w:tc>
        <w:tc>
          <w:tcPr>
            <w:tcW w:w="938" w:type="dxa"/>
            <w:tcBorders>
              <w:top w:val="nil"/>
              <w:left w:val="nil"/>
              <w:bottom w:val="nil"/>
              <w:right w:val="nil"/>
            </w:tcBorders>
            <w:shd w:val="clear" w:color="000000" w:fill="F2F2F2"/>
            <w:hideMark/>
          </w:tcPr>
          <w:p w14:paraId="70191B9A"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Without retaliation</w:t>
            </w:r>
          </w:p>
        </w:tc>
        <w:tc>
          <w:tcPr>
            <w:tcW w:w="938" w:type="dxa"/>
            <w:tcBorders>
              <w:top w:val="nil"/>
              <w:left w:val="nil"/>
              <w:bottom w:val="nil"/>
              <w:right w:val="nil"/>
            </w:tcBorders>
            <w:shd w:val="clear" w:color="000000" w:fill="F2F2F2"/>
            <w:hideMark/>
          </w:tcPr>
          <w:p w14:paraId="0E44DF2E"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 retaliation</w:t>
            </w:r>
          </w:p>
        </w:tc>
        <w:tc>
          <w:tcPr>
            <w:tcW w:w="938" w:type="dxa"/>
            <w:tcBorders>
              <w:top w:val="nil"/>
              <w:left w:val="nil"/>
              <w:bottom w:val="nil"/>
              <w:right w:val="nil"/>
            </w:tcBorders>
            <w:shd w:val="clear" w:color="000000" w:fill="F2F2F2"/>
            <w:hideMark/>
          </w:tcPr>
          <w:p w14:paraId="0332A17C"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Without retaliation</w:t>
            </w:r>
          </w:p>
        </w:tc>
        <w:tc>
          <w:tcPr>
            <w:tcW w:w="938" w:type="dxa"/>
            <w:tcBorders>
              <w:top w:val="nil"/>
              <w:left w:val="nil"/>
              <w:bottom w:val="nil"/>
              <w:right w:val="nil"/>
            </w:tcBorders>
            <w:shd w:val="clear" w:color="000000" w:fill="F2F2F2"/>
            <w:hideMark/>
          </w:tcPr>
          <w:p w14:paraId="4869C73F"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 retaliation</w:t>
            </w:r>
          </w:p>
        </w:tc>
        <w:tc>
          <w:tcPr>
            <w:tcW w:w="938" w:type="dxa"/>
            <w:tcBorders>
              <w:top w:val="nil"/>
              <w:left w:val="nil"/>
              <w:bottom w:val="nil"/>
              <w:right w:val="nil"/>
            </w:tcBorders>
            <w:shd w:val="clear" w:color="000000" w:fill="F2F2F2"/>
            <w:hideMark/>
          </w:tcPr>
          <w:p w14:paraId="1D0D9462"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Without retaliation</w:t>
            </w:r>
          </w:p>
        </w:tc>
        <w:tc>
          <w:tcPr>
            <w:tcW w:w="938" w:type="dxa"/>
            <w:tcBorders>
              <w:top w:val="nil"/>
              <w:left w:val="nil"/>
              <w:bottom w:val="nil"/>
              <w:right w:val="nil"/>
            </w:tcBorders>
            <w:shd w:val="clear" w:color="000000" w:fill="F2F2F2"/>
            <w:hideMark/>
          </w:tcPr>
          <w:p w14:paraId="2D022B93" w14:textId="77777777" w:rsidR="00CB4A37" w:rsidRPr="00CB4A37" w:rsidRDefault="00CB4A37" w:rsidP="00CB4A37">
            <w:pPr>
              <w:spacing w:before="0" w:after="20" w:line="240" w:lineRule="auto"/>
              <w:ind w:left="57" w:right="57"/>
              <w:jc w:val="right"/>
              <w:rPr>
                <w:rFonts w:cstheme="minorHAnsi"/>
                <w:i/>
                <w:iCs/>
                <w:sz w:val="18"/>
                <w:szCs w:val="18"/>
                <w:lang w:eastAsia="en-AU"/>
              </w:rPr>
            </w:pPr>
            <w:r w:rsidRPr="00CB4A37">
              <w:rPr>
                <w:rFonts w:cstheme="minorHAnsi"/>
                <w:i/>
                <w:iCs/>
                <w:sz w:val="18"/>
                <w:szCs w:val="18"/>
                <w:lang w:eastAsia="en-AU"/>
              </w:rPr>
              <w:t>With retaliation</w:t>
            </w:r>
          </w:p>
        </w:tc>
      </w:tr>
      <w:tr w:rsidR="00CB4A37" w:rsidRPr="00CB4A37" w14:paraId="6F15C446" w14:textId="77777777" w:rsidTr="00074CE0">
        <w:trPr>
          <w:trHeight w:val="288"/>
        </w:trPr>
        <w:tc>
          <w:tcPr>
            <w:tcW w:w="2136" w:type="dxa"/>
            <w:tcBorders>
              <w:top w:val="nil"/>
              <w:left w:val="nil"/>
              <w:bottom w:val="nil"/>
              <w:right w:val="nil"/>
            </w:tcBorders>
            <w:hideMark/>
          </w:tcPr>
          <w:p w14:paraId="27CBD105"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Real GDP</w:t>
            </w:r>
            <w:r w:rsidRPr="00CB4A37">
              <w:rPr>
                <w:b/>
                <w:color w:val="265A9A" w:themeColor="background2"/>
                <w:sz w:val="18"/>
                <w:vertAlign w:val="superscript"/>
                <w:lang w:eastAsia="en-AU"/>
              </w:rPr>
              <w:t>a</w:t>
            </w:r>
          </w:p>
        </w:tc>
        <w:tc>
          <w:tcPr>
            <w:tcW w:w="937" w:type="dxa"/>
            <w:tcBorders>
              <w:top w:val="nil"/>
              <w:left w:val="nil"/>
              <w:bottom w:val="nil"/>
              <w:right w:val="nil"/>
            </w:tcBorders>
          </w:tcPr>
          <w:p w14:paraId="511E6B28"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0.08</w:t>
            </w:r>
          </w:p>
        </w:tc>
        <w:tc>
          <w:tcPr>
            <w:tcW w:w="937" w:type="dxa"/>
            <w:tcBorders>
              <w:top w:val="nil"/>
              <w:left w:val="nil"/>
              <w:bottom w:val="nil"/>
              <w:right w:val="nil"/>
            </w:tcBorders>
          </w:tcPr>
          <w:p w14:paraId="1701BC2B"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0.13</w:t>
            </w:r>
          </w:p>
        </w:tc>
        <w:tc>
          <w:tcPr>
            <w:tcW w:w="938" w:type="dxa"/>
            <w:tcBorders>
              <w:top w:val="nil"/>
              <w:left w:val="nil"/>
              <w:bottom w:val="nil"/>
              <w:right w:val="nil"/>
            </w:tcBorders>
          </w:tcPr>
          <w:p w14:paraId="389C80E8"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–0.78</w:t>
            </w:r>
          </w:p>
        </w:tc>
        <w:tc>
          <w:tcPr>
            <w:tcW w:w="938" w:type="dxa"/>
            <w:tcBorders>
              <w:top w:val="nil"/>
              <w:left w:val="nil"/>
              <w:bottom w:val="nil"/>
              <w:right w:val="nil"/>
            </w:tcBorders>
          </w:tcPr>
          <w:p w14:paraId="670A2277"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–0.86</w:t>
            </w:r>
          </w:p>
        </w:tc>
        <w:tc>
          <w:tcPr>
            <w:tcW w:w="938" w:type="dxa"/>
            <w:tcBorders>
              <w:top w:val="nil"/>
              <w:left w:val="nil"/>
              <w:bottom w:val="nil"/>
              <w:right w:val="nil"/>
            </w:tcBorders>
          </w:tcPr>
          <w:p w14:paraId="0AD9157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–0.62</w:t>
            </w:r>
          </w:p>
        </w:tc>
        <w:tc>
          <w:tcPr>
            <w:tcW w:w="938" w:type="dxa"/>
            <w:tcBorders>
              <w:top w:val="nil"/>
              <w:left w:val="nil"/>
              <w:bottom w:val="nil"/>
              <w:right w:val="nil"/>
            </w:tcBorders>
          </w:tcPr>
          <w:p w14:paraId="451813DF"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–0.92</w:t>
            </w:r>
          </w:p>
        </w:tc>
        <w:tc>
          <w:tcPr>
            <w:tcW w:w="938" w:type="dxa"/>
            <w:tcBorders>
              <w:top w:val="nil"/>
              <w:left w:val="nil"/>
              <w:bottom w:val="nil"/>
              <w:right w:val="nil"/>
            </w:tcBorders>
          </w:tcPr>
          <w:p w14:paraId="47BF35F7"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0.24</w:t>
            </w:r>
          </w:p>
        </w:tc>
        <w:tc>
          <w:tcPr>
            <w:tcW w:w="938" w:type="dxa"/>
            <w:tcBorders>
              <w:top w:val="nil"/>
              <w:left w:val="nil"/>
              <w:bottom w:val="nil"/>
              <w:right w:val="nil"/>
            </w:tcBorders>
          </w:tcPr>
          <w:p w14:paraId="0D862A69"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0.28</w:t>
            </w:r>
          </w:p>
        </w:tc>
      </w:tr>
      <w:tr w:rsidR="00CB4A37" w:rsidRPr="00CB4A37" w14:paraId="53030AB0" w14:textId="77777777" w:rsidTr="00074CE0">
        <w:trPr>
          <w:trHeight w:val="288"/>
        </w:trPr>
        <w:tc>
          <w:tcPr>
            <w:tcW w:w="2136" w:type="dxa"/>
            <w:tcBorders>
              <w:top w:val="nil"/>
              <w:left w:val="nil"/>
              <w:bottom w:val="nil"/>
              <w:right w:val="nil"/>
            </w:tcBorders>
            <w:shd w:val="clear" w:color="000000" w:fill="F2F2F2"/>
            <w:hideMark/>
          </w:tcPr>
          <w:p w14:paraId="3117B23C"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szCs w:val="18"/>
                <w:lang w:eastAsia="en-AU"/>
              </w:rPr>
              <w:t>Real GNP</w:t>
            </w:r>
            <w:r w:rsidRPr="00CB4A37">
              <w:rPr>
                <w:b/>
                <w:color w:val="265A9A" w:themeColor="background2"/>
                <w:sz w:val="18"/>
                <w:szCs w:val="18"/>
                <w:vertAlign w:val="superscript"/>
                <w:lang w:eastAsia="en-AU"/>
              </w:rPr>
              <w:t>b</w:t>
            </w:r>
          </w:p>
        </w:tc>
        <w:tc>
          <w:tcPr>
            <w:tcW w:w="937" w:type="dxa"/>
            <w:tcBorders>
              <w:top w:val="nil"/>
              <w:left w:val="nil"/>
              <w:bottom w:val="nil"/>
              <w:right w:val="nil"/>
            </w:tcBorders>
            <w:shd w:val="clear" w:color="000000" w:fill="F2F2F2"/>
          </w:tcPr>
          <w:p w14:paraId="751D649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0.02</w:t>
            </w:r>
          </w:p>
        </w:tc>
        <w:tc>
          <w:tcPr>
            <w:tcW w:w="937" w:type="dxa"/>
            <w:tcBorders>
              <w:top w:val="nil"/>
              <w:left w:val="nil"/>
              <w:bottom w:val="nil"/>
              <w:right w:val="nil"/>
            </w:tcBorders>
            <w:shd w:val="clear" w:color="000000" w:fill="F2F2F2"/>
          </w:tcPr>
          <w:p w14:paraId="03A7CE12"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0.03</w:t>
            </w:r>
          </w:p>
        </w:tc>
        <w:tc>
          <w:tcPr>
            <w:tcW w:w="938" w:type="dxa"/>
            <w:tcBorders>
              <w:top w:val="nil"/>
              <w:left w:val="nil"/>
              <w:bottom w:val="nil"/>
              <w:right w:val="nil"/>
            </w:tcBorders>
            <w:shd w:val="clear" w:color="000000" w:fill="F2F2F2"/>
          </w:tcPr>
          <w:p w14:paraId="57992F6D"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–0.49</w:t>
            </w:r>
          </w:p>
        </w:tc>
        <w:tc>
          <w:tcPr>
            <w:tcW w:w="938" w:type="dxa"/>
            <w:tcBorders>
              <w:top w:val="nil"/>
              <w:left w:val="nil"/>
              <w:bottom w:val="nil"/>
              <w:right w:val="nil"/>
            </w:tcBorders>
            <w:shd w:val="clear" w:color="000000" w:fill="F2F2F2"/>
          </w:tcPr>
          <w:p w14:paraId="2ABD4CDA"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–0.52</w:t>
            </w:r>
          </w:p>
        </w:tc>
        <w:tc>
          <w:tcPr>
            <w:tcW w:w="938" w:type="dxa"/>
            <w:tcBorders>
              <w:top w:val="nil"/>
              <w:left w:val="nil"/>
              <w:bottom w:val="nil"/>
              <w:right w:val="nil"/>
            </w:tcBorders>
            <w:shd w:val="clear" w:color="000000" w:fill="F2F2F2"/>
          </w:tcPr>
          <w:p w14:paraId="3B3A2262"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–0.29</w:t>
            </w:r>
          </w:p>
        </w:tc>
        <w:tc>
          <w:tcPr>
            <w:tcW w:w="938" w:type="dxa"/>
            <w:tcBorders>
              <w:top w:val="nil"/>
              <w:left w:val="nil"/>
              <w:bottom w:val="nil"/>
              <w:right w:val="nil"/>
            </w:tcBorders>
            <w:shd w:val="clear" w:color="000000" w:fill="F2F2F2"/>
          </w:tcPr>
          <w:p w14:paraId="4045E59D"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–0.51</w:t>
            </w:r>
          </w:p>
        </w:tc>
        <w:tc>
          <w:tcPr>
            <w:tcW w:w="938" w:type="dxa"/>
            <w:tcBorders>
              <w:top w:val="nil"/>
              <w:left w:val="nil"/>
              <w:bottom w:val="nil"/>
              <w:right w:val="nil"/>
            </w:tcBorders>
            <w:shd w:val="clear" w:color="000000" w:fill="F2F2F2"/>
          </w:tcPr>
          <w:p w14:paraId="548693F9"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0.06</w:t>
            </w:r>
          </w:p>
        </w:tc>
        <w:tc>
          <w:tcPr>
            <w:tcW w:w="938" w:type="dxa"/>
            <w:tcBorders>
              <w:top w:val="nil"/>
              <w:left w:val="nil"/>
              <w:bottom w:val="nil"/>
              <w:right w:val="nil"/>
            </w:tcBorders>
            <w:shd w:val="clear" w:color="000000" w:fill="F2F2F2"/>
          </w:tcPr>
          <w:p w14:paraId="49E78C6D"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0.06</w:t>
            </w:r>
          </w:p>
        </w:tc>
      </w:tr>
      <w:tr w:rsidR="00CB4A37" w:rsidRPr="00CB4A37" w14:paraId="13C0FFF7" w14:textId="77777777" w:rsidTr="00074CE0">
        <w:trPr>
          <w:trHeight w:val="288"/>
        </w:trPr>
        <w:tc>
          <w:tcPr>
            <w:tcW w:w="2136" w:type="dxa"/>
            <w:tcBorders>
              <w:top w:val="nil"/>
              <w:left w:val="nil"/>
              <w:bottom w:val="nil"/>
              <w:right w:val="nil"/>
            </w:tcBorders>
            <w:hideMark/>
          </w:tcPr>
          <w:p w14:paraId="36BDDAA7"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Real GNA</w:t>
            </w:r>
            <w:r w:rsidRPr="00CB4A37">
              <w:rPr>
                <w:b/>
                <w:color w:val="265A9A" w:themeColor="background2"/>
                <w:sz w:val="18"/>
                <w:szCs w:val="18"/>
                <w:vertAlign w:val="superscript"/>
                <w:lang w:eastAsia="en-AU"/>
              </w:rPr>
              <w:t>c</w:t>
            </w:r>
          </w:p>
        </w:tc>
        <w:tc>
          <w:tcPr>
            <w:tcW w:w="937" w:type="dxa"/>
            <w:tcBorders>
              <w:top w:val="nil"/>
              <w:left w:val="nil"/>
              <w:bottom w:val="nil"/>
              <w:right w:val="nil"/>
            </w:tcBorders>
          </w:tcPr>
          <w:p w14:paraId="2C7A14E8"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0.07</w:t>
            </w:r>
          </w:p>
        </w:tc>
        <w:tc>
          <w:tcPr>
            <w:tcW w:w="937" w:type="dxa"/>
            <w:tcBorders>
              <w:top w:val="nil"/>
              <w:left w:val="nil"/>
              <w:bottom w:val="nil"/>
              <w:right w:val="nil"/>
            </w:tcBorders>
          </w:tcPr>
          <w:p w14:paraId="6280D2C2"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0.13</w:t>
            </w:r>
          </w:p>
        </w:tc>
        <w:tc>
          <w:tcPr>
            <w:tcW w:w="938" w:type="dxa"/>
            <w:tcBorders>
              <w:top w:val="nil"/>
              <w:left w:val="nil"/>
              <w:bottom w:val="nil"/>
              <w:right w:val="nil"/>
            </w:tcBorders>
          </w:tcPr>
          <w:p w14:paraId="03224B73"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–0.44</w:t>
            </w:r>
          </w:p>
        </w:tc>
        <w:tc>
          <w:tcPr>
            <w:tcW w:w="938" w:type="dxa"/>
            <w:tcBorders>
              <w:top w:val="nil"/>
              <w:left w:val="nil"/>
              <w:bottom w:val="nil"/>
              <w:right w:val="nil"/>
            </w:tcBorders>
          </w:tcPr>
          <w:p w14:paraId="55B52EA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–0.53</w:t>
            </w:r>
          </w:p>
        </w:tc>
        <w:tc>
          <w:tcPr>
            <w:tcW w:w="938" w:type="dxa"/>
            <w:tcBorders>
              <w:top w:val="nil"/>
              <w:left w:val="nil"/>
              <w:bottom w:val="nil"/>
              <w:right w:val="nil"/>
            </w:tcBorders>
          </w:tcPr>
          <w:p w14:paraId="22CAA4A5"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–0.89</w:t>
            </w:r>
          </w:p>
        </w:tc>
        <w:tc>
          <w:tcPr>
            <w:tcW w:w="938" w:type="dxa"/>
            <w:tcBorders>
              <w:top w:val="nil"/>
              <w:left w:val="nil"/>
              <w:bottom w:val="nil"/>
              <w:right w:val="nil"/>
            </w:tcBorders>
          </w:tcPr>
          <w:p w14:paraId="531B035D"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–1.09</w:t>
            </w:r>
          </w:p>
        </w:tc>
        <w:tc>
          <w:tcPr>
            <w:tcW w:w="938" w:type="dxa"/>
            <w:tcBorders>
              <w:top w:val="nil"/>
              <w:left w:val="nil"/>
              <w:bottom w:val="nil"/>
              <w:right w:val="nil"/>
            </w:tcBorders>
          </w:tcPr>
          <w:p w14:paraId="4E5CF42E"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0.12</w:t>
            </w:r>
          </w:p>
        </w:tc>
        <w:tc>
          <w:tcPr>
            <w:tcW w:w="938" w:type="dxa"/>
            <w:tcBorders>
              <w:top w:val="nil"/>
              <w:left w:val="nil"/>
              <w:bottom w:val="nil"/>
              <w:right w:val="nil"/>
            </w:tcBorders>
          </w:tcPr>
          <w:p w14:paraId="5F106A0B"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0.12</w:t>
            </w:r>
          </w:p>
        </w:tc>
      </w:tr>
      <w:tr w:rsidR="00CB4A37" w:rsidRPr="00CB4A37" w14:paraId="6F3853D3" w14:textId="77777777" w:rsidTr="00074CE0">
        <w:trPr>
          <w:trHeight w:val="288"/>
        </w:trPr>
        <w:tc>
          <w:tcPr>
            <w:tcW w:w="2136" w:type="dxa"/>
            <w:tcBorders>
              <w:top w:val="nil"/>
              <w:left w:val="nil"/>
              <w:bottom w:val="nil"/>
              <w:right w:val="nil"/>
            </w:tcBorders>
            <w:shd w:val="clear" w:color="000000" w:fill="F2F2F2"/>
            <w:hideMark/>
          </w:tcPr>
          <w:p w14:paraId="6E2863A5"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Prices</w:t>
            </w:r>
            <w:r w:rsidRPr="00CB4A37">
              <w:rPr>
                <w:b/>
                <w:color w:val="265A9A" w:themeColor="background2"/>
                <w:sz w:val="18"/>
                <w:szCs w:val="18"/>
                <w:vertAlign w:val="superscript"/>
                <w:lang w:eastAsia="en-AU"/>
              </w:rPr>
              <w:t>d</w:t>
            </w:r>
          </w:p>
        </w:tc>
        <w:tc>
          <w:tcPr>
            <w:tcW w:w="937" w:type="dxa"/>
            <w:tcBorders>
              <w:top w:val="nil"/>
              <w:left w:val="nil"/>
              <w:bottom w:val="nil"/>
              <w:right w:val="nil"/>
            </w:tcBorders>
            <w:shd w:val="clear" w:color="000000" w:fill="F2F2F2"/>
          </w:tcPr>
          <w:p w14:paraId="1E83A4A2"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eastAsia="Times New Roman" w:cstheme="minorHAnsi"/>
                <w:sz w:val="18"/>
                <w:lang w:eastAsia="en-AU"/>
              </w:rPr>
              <w:t>0.24</w:t>
            </w:r>
          </w:p>
        </w:tc>
        <w:tc>
          <w:tcPr>
            <w:tcW w:w="937" w:type="dxa"/>
            <w:tcBorders>
              <w:top w:val="nil"/>
              <w:left w:val="nil"/>
              <w:bottom w:val="nil"/>
              <w:right w:val="nil"/>
            </w:tcBorders>
            <w:shd w:val="clear" w:color="000000" w:fill="F2F2F2"/>
          </w:tcPr>
          <w:p w14:paraId="3B4F9FB6"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0.46</w:t>
            </w:r>
          </w:p>
        </w:tc>
        <w:tc>
          <w:tcPr>
            <w:tcW w:w="938" w:type="dxa"/>
            <w:tcBorders>
              <w:top w:val="nil"/>
              <w:left w:val="nil"/>
              <w:bottom w:val="nil"/>
              <w:right w:val="nil"/>
            </w:tcBorders>
            <w:shd w:val="clear" w:color="000000" w:fill="F2F2F2"/>
          </w:tcPr>
          <w:p w14:paraId="78AEE02E"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1.67</w:t>
            </w:r>
          </w:p>
        </w:tc>
        <w:tc>
          <w:tcPr>
            <w:tcW w:w="938" w:type="dxa"/>
            <w:tcBorders>
              <w:top w:val="nil"/>
              <w:left w:val="nil"/>
              <w:bottom w:val="nil"/>
              <w:right w:val="nil"/>
            </w:tcBorders>
            <w:shd w:val="clear" w:color="000000" w:fill="F2F2F2"/>
          </w:tcPr>
          <w:p w14:paraId="67DB4775"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0.98</w:t>
            </w:r>
          </w:p>
        </w:tc>
        <w:tc>
          <w:tcPr>
            <w:tcW w:w="938" w:type="dxa"/>
            <w:tcBorders>
              <w:top w:val="nil"/>
              <w:left w:val="nil"/>
              <w:bottom w:val="nil"/>
              <w:right w:val="nil"/>
            </w:tcBorders>
            <w:shd w:val="clear" w:color="000000" w:fill="F2F2F2"/>
          </w:tcPr>
          <w:p w14:paraId="6251525B"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–3.12</w:t>
            </w:r>
          </w:p>
        </w:tc>
        <w:tc>
          <w:tcPr>
            <w:tcW w:w="938" w:type="dxa"/>
            <w:tcBorders>
              <w:top w:val="nil"/>
              <w:left w:val="nil"/>
              <w:bottom w:val="nil"/>
              <w:right w:val="nil"/>
            </w:tcBorders>
            <w:shd w:val="clear" w:color="000000" w:fill="F2F2F2"/>
          </w:tcPr>
          <w:p w14:paraId="64D15AC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–3.00</w:t>
            </w:r>
          </w:p>
        </w:tc>
        <w:tc>
          <w:tcPr>
            <w:tcW w:w="938" w:type="dxa"/>
            <w:tcBorders>
              <w:top w:val="nil"/>
              <w:left w:val="nil"/>
              <w:bottom w:val="nil"/>
              <w:right w:val="nil"/>
            </w:tcBorders>
            <w:shd w:val="clear" w:color="000000" w:fill="F2F2F2"/>
          </w:tcPr>
          <w:p w14:paraId="4E9374F4"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0.51</w:t>
            </w:r>
          </w:p>
        </w:tc>
        <w:tc>
          <w:tcPr>
            <w:tcW w:w="938" w:type="dxa"/>
            <w:tcBorders>
              <w:top w:val="nil"/>
              <w:left w:val="nil"/>
              <w:bottom w:val="nil"/>
              <w:right w:val="nil"/>
            </w:tcBorders>
            <w:shd w:val="clear" w:color="000000" w:fill="F2F2F2"/>
          </w:tcPr>
          <w:p w14:paraId="09FAA27D"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0.54</w:t>
            </w:r>
          </w:p>
        </w:tc>
      </w:tr>
      <w:tr w:rsidR="00CB4A37" w:rsidRPr="00CB4A37" w14:paraId="4525CC05" w14:textId="77777777" w:rsidTr="00074CE0">
        <w:trPr>
          <w:trHeight w:val="288"/>
        </w:trPr>
        <w:tc>
          <w:tcPr>
            <w:tcW w:w="2136" w:type="dxa"/>
            <w:tcBorders>
              <w:top w:val="nil"/>
              <w:left w:val="nil"/>
              <w:bottom w:val="nil"/>
              <w:right w:val="nil"/>
            </w:tcBorders>
            <w:hideMark/>
          </w:tcPr>
          <w:p w14:paraId="5EF4AB41"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Import volumes</w:t>
            </w:r>
          </w:p>
        </w:tc>
        <w:tc>
          <w:tcPr>
            <w:tcW w:w="937" w:type="dxa"/>
            <w:tcBorders>
              <w:top w:val="nil"/>
              <w:left w:val="nil"/>
              <w:bottom w:val="nil"/>
              <w:right w:val="nil"/>
            </w:tcBorders>
          </w:tcPr>
          <w:p w14:paraId="6B5AC224"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0.25</w:t>
            </w:r>
          </w:p>
        </w:tc>
        <w:tc>
          <w:tcPr>
            <w:tcW w:w="937" w:type="dxa"/>
            <w:tcBorders>
              <w:top w:val="nil"/>
              <w:left w:val="nil"/>
              <w:bottom w:val="nil"/>
              <w:right w:val="nil"/>
            </w:tcBorders>
          </w:tcPr>
          <w:p w14:paraId="13D6BDA4"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0.50</w:t>
            </w:r>
          </w:p>
        </w:tc>
        <w:tc>
          <w:tcPr>
            <w:tcW w:w="938" w:type="dxa"/>
            <w:tcBorders>
              <w:top w:val="nil"/>
              <w:left w:val="nil"/>
              <w:bottom w:val="nil"/>
              <w:right w:val="nil"/>
            </w:tcBorders>
          </w:tcPr>
          <w:p w14:paraId="3035F90C"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–2.31</w:t>
            </w:r>
          </w:p>
        </w:tc>
        <w:tc>
          <w:tcPr>
            <w:tcW w:w="938" w:type="dxa"/>
            <w:tcBorders>
              <w:top w:val="nil"/>
              <w:left w:val="nil"/>
              <w:bottom w:val="nil"/>
              <w:right w:val="nil"/>
            </w:tcBorders>
          </w:tcPr>
          <w:p w14:paraId="21A00B3E"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–3.79</w:t>
            </w:r>
          </w:p>
        </w:tc>
        <w:tc>
          <w:tcPr>
            <w:tcW w:w="938" w:type="dxa"/>
            <w:tcBorders>
              <w:top w:val="nil"/>
              <w:left w:val="nil"/>
              <w:bottom w:val="nil"/>
              <w:right w:val="nil"/>
            </w:tcBorders>
          </w:tcPr>
          <w:p w14:paraId="13DC00C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–6.59</w:t>
            </w:r>
          </w:p>
        </w:tc>
        <w:tc>
          <w:tcPr>
            <w:tcW w:w="938" w:type="dxa"/>
            <w:tcBorders>
              <w:top w:val="nil"/>
              <w:left w:val="nil"/>
              <w:bottom w:val="nil"/>
              <w:right w:val="nil"/>
            </w:tcBorders>
          </w:tcPr>
          <w:p w14:paraId="7A157434"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–7.40</w:t>
            </w:r>
          </w:p>
        </w:tc>
        <w:tc>
          <w:tcPr>
            <w:tcW w:w="938" w:type="dxa"/>
            <w:tcBorders>
              <w:top w:val="nil"/>
              <w:left w:val="nil"/>
              <w:bottom w:val="nil"/>
              <w:right w:val="nil"/>
            </w:tcBorders>
          </w:tcPr>
          <w:p w14:paraId="2417E069"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0.38</w:t>
            </w:r>
          </w:p>
        </w:tc>
        <w:tc>
          <w:tcPr>
            <w:tcW w:w="938" w:type="dxa"/>
            <w:tcBorders>
              <w:top w:val="nil"/>
              <w:left w:val="nil"/>
              <w:bottom w:val="nil"/>
              <w:right w:val="nil"/>
            </w:tcBorders>
          </w:tcPr>
          <w:p w14:paraId="4308D6D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0.50</w:t>
            </w:r>
          </w:p>
        </w:tc>
      </w:tr>
      <w:tr w:rsidR="00CB4A37" w:rsidRPr="00CB4A37" w14:paraId="421A9AAE" w14:textId="77777777" w:rsidTr="00074CE0">
        <w:trPr>
          <w:trHeight w:val="288"/>
        </w:trPr>
        <w:tc>
          <w:tcPr>
            <w:tcW w:w="2136" w:type="dxa"/>
            <w:tcBorders>
              <w:top w:val="nil"/>
              <w:left w:val="nil"/>
              <w:bottom w:val="nil"/>
              <w:right w:val="nil"/>
            </w:tcBorders>
            <w:shd w:val="clear" w:color="000000" w:fill="F2F2F2"/>
            <w:hideMark/>
          </w:tcPr>
          <w:p w14:paraId="5610A937"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Export volumes</w:t>
            </w:r>
          </w:p>
        </w:tc>
        <w:tc>
          <w:tcPr>
            <w:tcW w:w="937" w:type="dxa"/>
            <w:tcBorders>
              <w:top w:val="nil"/>
              <w:left w:val="nil"/>
              <w:bottom w:val="nil"/>
              <w:right w:val="nil"/>
            </w:tcBorders>
            <w:shd w:val="clear" w:color="000000" w:fill="F2F2F2"/>
          </w:tcPr>
          <w:p w14:paraId="5838952C"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0.14</w:t>
            </w:r>
          </w:p>
        </w:tc>
        <w:tc>
          <w:tcPr>
            <w:tcW w:w="937" w:type="dxa"/>
            <w:tcBorders>
              <w:top w:val="nil"/>
              <w:left w:val="nil"/>
              <w:bottom w:val="nil"/>
              <w:right w:val="nil"/>
            </w:tcBorders>
            <w:shd w:val="clear" w:color="000000" w:fill="F2F2F2"/>
          </w:tcPr>
          <w:p w14:paraId="0DBF8BEF"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0.25</w:t>
            </w:r>
          </w:p>
        </w:tc>
        <w:tc>
          <w:tcPr>
            <w:tcW w:w="938" w:type="dxa"/>
            <w:tcBorders>
              <w:top w:val="nil"/>
              <w:left w:val="nil"/>
              <w:bottom w:val="nil"/>
              <w:right w:val="nil"/>
            </w:tcBorders>
            <w:shd w:val="clear" w:color="000000" w:fill="F2F2F2"/>
          </w:tcPr>
          <w:p w14:paraId="0868063A"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–4.82</w:t>
            </w:r>
          </w:p>
        </w:tc>
        <w:tc>
          <w:tcPr>
            <w:tcW w:w="938" w:type="dxa"/>
            <w:tcBorders>
              <w:top w:val="nil"/>
              <w:left w:val="nil"/>
              <w:bottom w:val="nil"/>
              <w:right w:val="nil"/>
            </w:tcBorders>
            <w:shd w:val="clear" w:color="000000" w:fill="F2F2F2"/>
          </w:tcPr>
          <w:p w14:paraId="19C38D9A"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–6.49</w:t>
            </w:r>
          </w:p>
        </w:tc>
        <w:tc>
          <w:tcPr>
            <w:tcW w:w="938" w:type="dxa"/>
            <w:tcBorders>
              <w:top w:val="nil"/>
              <w:left w:val="nil"/>
              <w:bottom w:val="nil"/>
              <w:right w:val="nil"/>
            </w:tcBorders>
            <w:shd w:val="clear" w:color="000000" w:fill="F2F2F2"/>
          </w:tcPr>
          <w:p w14:paraId="7E1C1F1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–3.12</w:t>
            </w:r>
          </w:p>
        </w:tc>
        <w:tc>
          <w:tcPr>
            <w:tcW w:w="938" w:type="dxa"/>
            <w:tcBorders>
              <w:top w:val="nil"/>
              <w:left w:val="nil"/>
              <w:bottom w:val="nil"/>
              <w:right w:val="nil"/>
            </w:tcBorders>
            <w:shd w:val="clear" w:color="000000" w:fill="F2F2F2"/>
          </w:tcPr>
          <w:p w14:paraId="17E0AC04"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–3.96</w:t>
            </w:r>
          </w:p>
        </w:tc>
        <w:tc>
          <w:tcPr>
            <w:tcW w:w="938" w:type="dxa"/>
            <w:tcBorders>
              <w:top w:val="nil"/>
              <w:left w:val="nil"/>
              <w:bottom w:val="nil"/>
              <w:right w:val="nil"/>
            </w:tcBorders>
            <w:shd w:val="clear" w:color="000000" w:fill="F2F2F2"/>
          </w:tcPr>
          <w:p w14:paraId="2133CB07"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0.43</w:t>
            </w:r>
          </w:p>
        </w:tc>
        <w:tc>
          <w:tcPr>
            <w:tcW w:w="938" w:type="dxa"/>
            <w:tcBorders>
              <w:top w:val="nil"/>
              <w:left w:val="nil"/>
              <w:bottom w:val="nil"/>
              <w:right w:val="nil"/>
            </w:tcBorders>
            <w:shd w:val="clear" w:color="000000" w:fill="F2F2F2"/>
          </w:tcPr>
          <w:p w14:paraId="5B00A083"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0.60</w:t>
            </w:r>
          </w:p>
        </w:tc>
      </w:tr>
      <w:tr w:rsidR="00CB4A37" w:rsidRPr="00CB4A37" w14:paraId="1E64FAE5" w14:textId="77777777" w:rsidTr="00074CE0">
        <w:trPr>
          <w:trHeight w:val="288"/>
        </w:trPr>
        <w:tc>
          <w:tcPr>
            <w:tcW w:w="2136" w:type="dxa"/>
            <w:tcBorders>
              <w:top w:val="nil"/>
              <w:left w:val="nil"/>
              <w:bottom w:val="single" w:sz="4" w:space="0" w:color="B3B3B3"/>
              <w:right w:val="nil"/>
            </w:tcBorders>
            <w:hideMark/>
          </w:tcPr>
          <w:p w14:paraId="11ACDDEE" w14:textId="77777777" w:rsidR="00CB4A37" w:rsidRPr="00CB4A37" w:rsidRDefault="00CB4A37" w:rsidP="00CB4A37">
            <w:pPr>
              <w:spacing w:before="0" w:after="20"/>
              <w:ind w:left="57"/>
              <w:rPr>
                <w:b/>
                <w:color w:val="265A9A" w:themeColor="background2"/>
                <w:sz w:val="18"/>
                <w:szCs w:val="18"/>
                <w:lang w:eastAsia="en-AU"/>
              </w:rPr>
            </w:pPr>
            <w:r w:rsidRPr="00CB4A37">
              <w:rPr>
                <w:b/>
                <w:color w:val="265A9A" w:themeColor="background2"/>
                <w:sz w:val="18"/>
                <w:lang w:eastAsia="en-AU"/>
              </w:rPr>
              <w:t>Terms of trade</w:t>
            </w:r>
            <w:r w:rsidRPr="00CB4A37">
              <w:rPr>
                <w:b/>
                <w:color w:val="265A9A" w:themeColor="background2"/>
                <w:sz w:val="18"/>
                <w:vertAlign w:val="superscript"/>
                <w:lang w:eastAsia="en-AU"/>
              </w:rPr>
              <w:t>e</w:t>
            </w:r>
          </w:p>
        </w:tc>
        <w:tc>
          <w:tcPr>
            <w:tcW w:w="937" w:type="dxa"/>
            <w:tcBorders>
              <w:top w:val="nil"/>
              <w:left w:val="nil"/>
              <w:bottom w:val="single" w:sz="4" w:space="0" w:color="B3B3B3"/>
              <w:right w:val="nil"/>
            </w:tcBorders>
          </w:tcPr>
          <w:p w14:paraId="2FCAA956"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0.18</w:t>
            </w:r>
          </w:p>
        </w:tc>
        <w:tc>
          <w:tcPr>
            <w:tcW w:w="937" w:type="dxa"/>
            <w:tcBorders>
              <w:top w:val="nil"/>
              <w:left w:val="nil"/>
              <w:bottom w:val="single" w:sz="4" w:space="0" w:color="B3B3B3"/>
              <w:right w:val="nil"/>
            </w:tcBorders>
          </w:tcPr>
          <w:p w14:paraId="0CCF12B9"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0.40</w:t>
            </w:r>
          </w:p>
        </w:tc>
        <w:tc>
          <w:tcPr>
            <w:tcW w:w="938" w:type="dxa"/>
            <w:tcBorders>
              <w:top w:val="nil"/>
              <w:left w:val="nil"/>
              <w:bottom w:val="single" w:sz="4" w:space="0" w:color="B3B3B3"/>
              <w:right w:val="nil"/>
            </w:tcBorders>
          </w:tcPr>
          <w:p w14:paraId="7F0E0BCF"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0.84</w:t>
            </w:r>
          </w:p>
        </w:tc>
        <w:tc>
          <w:tcPr>
            <w:tcW w:w="938" w:type="dxa"/>
            <w:tcBorders>
              <w:top w:val="nil"/>
              <w:left w:val="nil"/>
              <w:bottom w:val="single" w:sz="4" w:space="0" w:color="B3B3B3"/>
              <w:right w:val="nil"/>
            </w:tcBorders>
          </w:tcPr>
          <w:p w14:paraId="58E804C6"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0.13</w:t>
            </w:r>
          </w:p>
        </w:tc>
        <w:tc>
          <w:tcPr>
            <w:tcW w:w="938" w:type="dxa"/>
            <w:tcBorders>
              <w:top w:val="nil"/>
              <w:left w:val="nil"/>
              <w:bottom w:val="single" w:sz="4" w:space="0" w:color="B3B3B3"/>
              <w:right w:val="nil"/>
            </w:tcBorders>
          </w:tcPr>
          <w:p w14:paraId="580C1471"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–2.91</w:t>
            </w:r>
          </w:p>
        </w:tc>
        <w:tc>
          <w:tcPr>
            <w:tcW w:w="938" w:type="dxa"/>
            <w:tcBorders>
              <w:top w:val="nil"/>
              <w:left w:val="nil"/>
              <w:bottom w:val="single" w:sz="4" w:space="0" w:color="B3B3B3"/>
              <w:right w:val="nil"/>
            </w:tcBorders>
          </w:tcPr>
          <w:p w14:paraId="62791E32"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–2.79</w:t>
            </w:r>
          </w:p>
        </w:tc>
        <w:tc>
          <w:tcPr>
            <w:tcW w:w="938" w:type="dxa"/>
            <w:tcBorders>
              <w:top w:val="nil"/>
              <w:left w:val="nil"/>
              <w:bottom w:val="single" w:sz="4" w:space="0" w:color="B3B3B3"/>
              <w:right w:val="nil"/>
            </w:tcBorders>
          </w:tcPr>
          <w:p w14:paraId="5B885AA0"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0.10</w:t>
            </w:r>
          </w:p>
        </w:tc>
        <w:tc>
          <w:tcPr>
            <w:tcW w:w="938" w:type="dxa"/>
            <w:tcBorders>
              <w:top w:val="nil"/>
              <w:left w:val="nil"/>
              <w:bottom w:val="single" w:sz="4" w:space="0" w:color="B3B3B3"/>
              <w:right w:val="nil"/>
            </w:tcBorders>
          </w:tcPr>
          <w:p w14:paraId="19098CA3" w14:textId="77777777" w:rsidR="00CB4A37" w:rsidRPr="00CB4A37" w:rsidRDefault="00CB4A37" w:rsidP="00CB4A37">
            <w:pPr>
              <w:spacing w:before="0" w:after="20"/>
              <w:ind w:left="57" w:right="57"/>
              <w:jc w:val="right"/>
              <w:rPr>
                <w:rFonts w:eastAsia="Times New Roman" w:cstheme="minorHAnsi"/>
                <w:sz w:val="18"/>
                <w:lang w:eastAsia="en-AU"/>
              </w:rPr>
            </w:pPr>
            <w:r w:rsidRPr="00CB4A37">
              <w:rPr>
                <w:rFonts w:cstheme="minorHAnsi"/>
                <w:color w:val="000000"/>
                <w:sz w:val="18"/>
                <w:szCs w:val="18"/>
              </w:rPr>
              <w:t>0.10</w:t>
            </w:r>
          </w:p>
        </w:tc>
      </w:tr>
    </w:tbl>
    <w:p w14:paraId="22F9E714" w14:textId="77777777" w:rsidR="00CB4A37" w:rsidRPr="00CB4A37" w:rsidRDefault="00CB4A37" w:rsidP="007E271E">
      <w:pPr>
        <w:pStyle w:val="Note"/>
      </w:pPr>
      <w:r w:rsidRPr="00CB4A37">
        <w:rPr>
          <w:b/>
          <w:bCs/>
        </w:rPr>
        <w:t>a.</w:t>
      </w:r>
      <w:r w:rsidRPr="00CB4A37">
        <w:t xml:space="preserve"> Real GDP is a measure of real national production. </w:t>
      </w:r>
      <w:r w:rsidRPr="00CB4A37">
        <w:rPr>
          <w:b/>
          <w:bCs/>
        </w:rPr>
        <w:t>b.</w:t>
      </w:r>
      <w:r w:rsidRPr="00CB4A37">
        <w:t xml:space="preserve"> Real GNP is a measure of real national income. </w:t>
      </w:r>
      <w:r w:rsidRPr="00CB4A37">
        <w:rPr>
          <w:b/>
          <w:bCs/>
        </w:rPr>
        <w:t>c.</w:t>
      </w:r>
      <w:r w:rsidRPr="00CB4A37">
        <w:t xml:space="preserve"> Real GNA is a measure of the real purchasing power of national income. </w:t>
      </w:r>
      <w:r w:rsidRPr="00CB4A37">
        <w:rPr>
          <w:b/>
          <w:bCs/>
        </w:rPr>
        <w:t>d.</w:t>
      </w:r>
      <w:r w:rsidRPr="00CB4A37">
        <w:t xml:space="preserve"> Prices are the GDP deflator in each region. </w:t>
      </w:r>
      <w:r w:rsidRPr="00CB4A37">
        <w:rPr>
          <w:b/>
          <w:bCs/>
        </w:rPr>
        <w:t>e.</w:t>
      </w:r>
      <w:r w:rsidRPr="00CB4A37">
        <w:t xml:space="preserve"> The terms of trade are an index of the price of exports divided by the price of imports.</w:t>
      </w:r>
    </w:p>
    <w:p w14:paraId="6822B378" w14:textId="77777777" w:rsidR="00CB4A37" w:rsidRPr="00CB4A37" w:rsidRDefault="00CB4A37" w:rsidP="007E271E">
      <w:pPr>
        <w:pStyle w:val="Source"/>
      </w:pPr>
      <w:r w:rsidRPr="00CB4A37">
        <w:t>Source: PC estimates.</w:t>
      </w:r>
    </w:p>
    <w:p w14:paraId="164BEE32" w14:textId="77777777" w:rsidR="00CB4A37" w:rsidRPr="00CB4A37" w:rsidRDefault="00CB4A37" w:rsidP="00504D82">
      <w:pPr>
        <w:pStyle w:val="Heading4"/>
      </w:pPr>
      <w:r w:rsidRPr="00CB4A37">
        <w:t>Impacts on the United States</w:t>
      </w:r>
    </w:p>
    <w:p w14:paraId="79FDA158" w14:textId="77777777" w:rsidR="00CB4A37" w:rsidRPr="00CB4A37" w:rsidRDefault="00CB4A37" w:rsidP="00CB4A37">
      <w:pPr>
        <w:numPr>
          <w:ilvl w:val="0"/>
          <w:numId w:val="22"/>
        </w:numPr>
        <w:contextualSpacing/>
      </w:pPr>
      <w:r w:rsidRPr="00CB4A37">
        <w:t xml:space="preserve">Tariffs increase the price of goods imported from China into the US to such an extent that US demand for imports from China decreases sharply (by 87.1%). Manufactured goods, led by computer, electronic and optical products, are most affected. </w:t>
      </w:r>
    </w:p>
    <w:p w14:paraId="12239B1E" w14:textId="77777777" w:rsidR="00CB4A37" w:rsidRPr="00CB4A37" w:rsidRDefault="00CB4A37" w:rsidP="00CB4A37">
      <w:pPr>
        <w:numPr>
          <w:ilvl w:val="0"/>
          <w:numId w:val="22"/>
        </w:numPr>
        <w:contextualSpacing/>
      </w:pPr>
      <w:r w:rsidRPr="00CB4A37">
        <w:t xml:space="preserve">US demand shifts towards other exporters and domestically produced goods. US import volumes increase from other trading partners in the region, including Association of Southeast Asian Nations (ASEAN) countries (by 38.4%), Korea (29.6%) and Japan (22%). </w:t>
      </w:r>
    </w:p>
    <w:p w14:paraId="7B0281F8" w14:textId="77777777" w:rsidR="00CB4A37" w:rsidRPr="00CB4A37" w:rsidRDefault="00CB4A37" w:rsidP="00CB4A37">
      <w:pPr>
        <w:numPr>
          <w:ilvl w:val="0"/>
          <w:numId w:val="22"/>
        </w:numPr>
        <w:contextualSpacing/>
      </w:pPr>
      <w:r w:rsidRPr="00CB4A37">
        <w:t xml:space="preserve">US manufacturing also increases real output (by 0.2%) to meet increased domestic demand for manufactured goods, drawing resources away from other sectors to expand. This puts upwards pressure on nominal wages (by 0.9%), which combined with higher import prices (by 0.6%) lead to higher consumer prices (by 1.7%). Real wages fall (by </w:t>
      </w:r>
      <w:r w:rsidRPr="00CB4A37">
        <w:rPr>
          <w:rFonts w:ascii="Arial (Body)" w:hAnsi="Arial (Body)"/>
          <w:color w:val="000000"/>
          <w:szCs w:val="18"/>
        </w:rPr>
        <w:t>–</w:t>
      </w:r>
      <w:r w:rsidRPr="00CB4A37">
        <w:t>0.8%).</w:t>
      </w:r>
    </w:p>
    <w:p w14:paraId="2A411084" w14:textId="77777777" w:rsidR="00CB4A37" w:rsidRPr="00CB4A37" w:rsidRDefault="00CB4A37" w:rsidP="00CB4A37">
      <w:pPr>
        <w:numPr>
          <w:ilvl w:val="0"/>
          <w:numId w:val="22"/>
        </w:numPr>
        <w:contextualSpacing/>
      </w:pPr>
      <w:r w:rsidRPr="00CB4A37">
        <w:t xml:space="preserve">Higher prices hurt the competitiveness of the US economy across all sectors. US export prices rise (by 1.4%), and export volumes fall (by 4.8%) with all trading partners (figure A.7). Real output falls (by </w:t>
      </w:r>
      <w:r w:rsidRPr="00CB4A37">
        <w:rPr>
          <w:rFonts w:ascii="Arial (Body)" w:hAnsi="Arial (Body)"/>
          <w:color w:val="000000"/>
          <w:szCs w:val="18"/>
        </w:rPr>
        <w:t>–0.8</w:t>
      </w:r>
      <w:r w:rsidRPr="00CB4A37">
        <w:t>%), across all sectors except manufacturing.</w:t>
      </w:r>
    </w:p>
    <w:p w14:paraId="1D235087" w14:textId="77777777" w:rsidR="00CB4A37" w:rsidRPr="00CB4A37" w:rsidRDefault="00CB4A37" w:rsidP="00504D82">
      <w:pPr>
        <w:pStyle w:val="Heading4"/>
      </w:pPr>
      <w:r w:rsidRPr="00CB4A37">
        <w:t>Impacts on China</w:t>
      </w:r>
    </w:p>
    <w:p w14:paraId="6ED503D6" w14:textId="77777777" w:rsidR="00CB4A37" w:rsidRPr="00CB4A37" w:rsidRDefault="00CB4A37" w:rsidP="00CB4A37">
      <w:pPr>
        <w:numPr>
          <w:ilvl w:val="0"/>
          <w:numId w:val="22"/>
        </w:numPr>
        <w:contextualSpacing/>
      </w:pPr>
      <w:r w:rsidRPr="00CB4A37">
        <w:t xml:space="preserve">The high US tariffs on Chinese exports reduces US demand for Chinese imports. China responds by finding alternative markets for these products, which requires them to reduce their prices (by </w:t>
      </w:r>
      <w:r w:rsidRPr="00CB4A37">
        <w:rPr>
          <w:rFonts w:ascii="Arial (Body)" w:hAnsi="Arial (Body)"/>
          <w:color w:val="000000"/>
          <w:szCs w:val="18"/>
        </w:rPr>
        <w:t>–</w:t>
      </w:r>
      <w:r w:rsidRPr="00CB4A37">
        <w:t>2.5%). Chinese exports increase to other economies (figure A.7), but not enough to offset the fall in US demand.</w:t>
      </w:r>
    </w:p>
    <w:p w14:paraId="7D011CCD" w14:textId="77777777" w:rsidR="00CB4A37" w:rsidRPr="00CB4A37" w:rsidRDefault="00CB4A37" w:rsidP="00CB4A37">
      <w:pPr>
        <w:numPr>
          <w:ilvl w:val="0"/>
          <w:numId w:val="22"/>
        </w:numPr>
        <w:contextualSpacing/>
      </w:pPr>
      <w:r w:rsidRPr="00CB4A37">
        <w:t xml:space="preserve">Chinese export volumes fall in total (by </w:t>
      </w:r>
      <w:r w:rsidRPr="00CB4A37">
        <w:rPr>
          <w:rFonts w:ascii="Arial (Body)" w:hAnsi="Arial (Body)"/>
          <w:color w:val="000000"/>
          <w:szCs w:val="18"/>
        </w:rPr>
        <w:t xml:space="preserve">–3.1%), </w:t>
      </w:r>
      <w:r w:rsidRPr="00CB4A37">
        <w:t xml:space="preserve">reflecting lower Chinese production overall (by </w:t>
      </w:r>
      <w:r w:rsidRPr="00CB4A37">
        <w:rPr>
          <w:rFonts w:ascii="Arial (Body)" w:hAnsi="Arial (Body)"/>
          <w:color w:val="000000"/>
          <w:szCs w:val="18"/>
        </w:rPr>
        <w:t>–0.6%)</w:t>
      </w:r>
      <w:r w:rsidRPr="00CB4A37">
        <w:t xml:space="preserve">. Chinese imports fall to restore external balance (by </w:t>
      </w:r>
      <w:r w:rsidRPr="00CB4A37">
        <w:rPr>
          <w:rFonts w:ascii="Arial (Body)" w:hAnsi="Arial (Body)"/>
          <w:color w:val="000000"/>
          <w:szCs w:val="18"/>
        </w:rPr>
        <w:t>–6.6%), as the Chinese economy becomes more domestically oriented, with some products that were previously exported now consumed domestically</w:t>
      </w:r>
      <w:r w:rsidRPr="00CB4A37">
        <w:t>.</w:t>
      </w:r>
    </w:p>
    <w:p w14:paraId="2EBAF29D" w14:textId="77777777" w:rsidR="00CB4A37" w:rsidRPr="00CB4A37" w:rsidRDefault="00CB4A37" w:rsidP="00CB4A37">
      <w:pPr>
        <w:numPr>
          <w:ilvl w:val="0"/>
          <w:numId w:val="22"/>
        </w:numPr>
        <w:contextualSpacing/>
      </w:pPr>
      <w:r w:rsidRPr="00CB4A37">
        <w:t xml:space="preserve">Lower Chinese production reduces demand for primary factors, decreasing nominal wages (by </w:t>
      </w:r>
      <w:r w:rsidRPr="00CB4A37">
        <w:rPr>
          <w:rFonts w:ascii="Arial (Body)" w:hAnsi="Arial (Body)"/>
          <w:color w:val="000000"/>
          <w:szCs w:val="18"/>
        </w:rPr>
        <w:t xml:space="preserve">–3.9%) and the rental price of capital (–3%). In addition to the greater supply of products domestically, prices fall for Chinese consumers (by –3.2%) less than nominal wages such that real wages fall (by –0.7%). </w:t>
      </w:r>
    </w:p>
    <w:p w14:paraId="54FA3A8A" w14:textId="77777777" w:rsidR="00CB4A37" w:rsidRPr="00CB4A37" w:rsidRDefault="00CB4A37" w:rsidP="00CB4A37">
      <w:pPr>
        <w:numPr>
          <w:ilvl w:val="0"/>
          <w:numId w:val="22"/>
        </w:numPr>
        <w:contextualSpacing/>
      </w:pPr>
      <w:r w:rsidRPr="00CB4A37">
        <w:rPr>
          <w:rFonts w:ascii="Arial (Body)" w:hAnsi="Arial (Body)"/>
          <w:color w:val="000000"/>
          <w:szCs w:val="18"/>
        </w:rPr>
        <w:t>The real rate of return on capital in China also falls (by –1.6%). The capital stock declines (by –1.2%) as capital flows out of China in search of higher returns abroad.</w:t>
      </w:r>
    </w:p>
    <w:p w14:paraId="1EA4A13E" w14:textId="77777777" w:rsidR="00CB4A37" w:rsidRPr="00CB4A37" w:rsidRDefault="00CB4A37" w:rsidP="00CB4A37"/>
    <w:p w14:paraId="2CCA8A96"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.7</w:t>
      </w:r>
      <w:r w:rsidRPr="00CB4A37">
        <w:rPr>
          <w:rFonts w:asciiTheme="majorHAnsi" w:hAnsiTheme="majorHAnsi"/>
          <w:iCs/>
          <w:noProof/>
          <w:color w:val="000000" w:themeColor="text1"/>
          <w:szCs w:val="18"/>
        </w:rPr>
        <w:t xml:space="preserve"> </w:t>
      </w:r>
      <w:r w:rsidRPr="00CB4A37">
        <w:rPr>
          <w:rFonts w:asciiTheme="majorHAnsi" w:hAnsiTheme="majorHAnsi"/>
          <w:iCs/>
          <w:color w:val="000000" w:themeColor="text1"/>
          <w:szCs w:val="18"/>
        </w:rPr>
        <w:t>– United States exports fall to almost all trading partners whereas Chinese exports diversify from the United States</w:t>
      </w:r>
    </w:p>
    <w:p w14:paraId="713365C5"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 in export volumes for selected economies</w:t>
      </w:r>
    </w:p>
    <w:p w14:paraId="5BD42921" w14:textId="77777777" w:rsidR="00CB4A37" w:rsidRPr="00CB4A37" w:rsidRDefault="00CB4A37" w:rsidP="00CB4A37">
      <w:pPr>
        <w:spacing w:after="0"/>
        <w:ind w:left="227" w:hanging="227"/>
        <w:contextualSpacing/>
      </w:pPr>
      <w:r w:rsidRPr="00CB4A37">
        <w:rPr>
          <w:noProof/>
        </w:rPr>
        <w:drawing>
          <wp:inline distT="0" distB="0" distL="0" distR="0" wp14:anchorId="259FCFD3" wp14:editId="7EF48E31">
            <wp:extent cx="6120130" cy="3115994"/>
            <wp:effectExtent l="0" t="0" r="0" b="8255"/>
            <wp:docPr id="1458078855" name="Picture 19" descr="This figure is a stacked bar chart (with stacking occurring laterally either side of the y-axis). It shows the percentage change in exports from the United States and China to select export destinations under the &quot;China 50” scenario. The impact on United States exports are: –7.9% to Australia, –11.7% to China, –6.9% to Japan, –8.1% to Korea, –1.9% to Canada, 1.6% to Mexico, –5.5% to the European Union, –6.8% to the Association of Southeast Asian Nations (ASEAN) and –5.4% to the rest of the world. The impact on China’s exports are: 14.5% to Australia, 15.3% to Japan, 15.7% to Korea, 29% to Canada, –87.1% to the United States, 39.9% to Mexico, 21.5% to the European Union, 17.2% to ASEAN and 17.1% to the rest of the world. The positive effects on China’s exports are much larger than the negative effects on United States ex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78855" name="Picture 19" descr="This figure is a stacked bar chart (with stacking occurring laterally either side of the y-axis). It shows the percentage change in exports from the United States and China to select export destinations under the &quot;China 50” scenario. The impact on United States exports are: –7.9% to Australia, –11.7% to China, –6.9% to Japan, –8.1% to Korea, –1.9% to Canada, 1.6% to Mexico, –5.5% to the European Union, –6.8% to the Association of Southeast Asian Nations (ASEAN) and –5.4% to the rest of the world. The impact on China’s exports are: 14.5% to Australia, 15.3% to Japan, 15.7% to Korea, 29% to Canada, –87.1% to the United States, 39.9% to Mexico, 21.5% to the European Union, 17.2% to ASEAN and 17.1% to the rest of the world. The positive effects on China’s exports are much larger than the negative effects on United States exports.  "/>
                    <pic:cNvPicPr>
                      <a:picLocks noChangeAspect="1" noChangeArrowheads="1"/>
                    </pic:cNvPicPr>
                  </pic:nvPicPr>
                  <pic:blipFill rotWithShape="1">
                    <a:blip r:embed="rId106">
                      <a:extLst>
                        <a:ext uri="{28A0092B-C50C-407E-A947-70E740481C1C}">
                          <a14:useLocalDpi xmlns:a14="http://schemas.microsoft.com/office/drawing/2010/main" val="0"/>
                        </a:ext>
                      </a:extLst>
                    </a:blip>
                    <a:srcRect b="3745"/>
                    <a:stretch/>
                  </pic:blipFill>
                  <pic:spPr bwMode="auto">
                    <a:xfrm>
                      <a:off x="0" y="0"/>
                      <a:ext cx="6120130" cy="3115994"/>
                    </a:xfrm>
                    <a:prstGeom prst="rect">
                      <a:avLst/>
                    </a:prstGeom>
                    <a:noFill/>
                    <a:ln>
                      <a:noFill/>
                    </a:ln>
                    <a:extLst>
                      <a:ext uri="{53640926-AAD7-44D8-BBD7-CCE9431645EC}">
                        <a14:shadowObscured xmlns:a14="http://schemas.microsoft.com/office/drawing/2010/main"/>
                      </a:ext>
                    </a:extLst>
                  </pic:spPr>
                </pic:pic>
              </a:graphicData>
            </a:graphic>
          </wp:inline>
        </w:drawing>
      </w:r>
    </w:p>
    <w:p w14:paraId="753ACCD9" w14:textId="77777777" w:rsidR="00CB4A37" w:rsidRPr="00CB4A37" w:rsidRDefault="00CB4A37" w:rsidP="00CB4A37">
      <w:pPr>
        <w:spacing w:before="80" w:after="240" w:line="216" w:lineRule="atLeast"/>
        <w:rPr>
          <w:sz w:val="18"/>
        </w:rPr>
      </w:pPr>
      <w:r w:rsidRPr="00CB4A37">
        <w:rPr>
          <w:sz w:val="18"/>
        </w:rPr>
        <w:t>Source: PC estimates.</w:t>
      </w:r>
    </w:p>
    <w:p w14:paraId="6BD19651" w14:textId="77777777" w:rsidR="00CB4A37" w:rsidRPr="00CB4A37" w:rsidRDefault="00CB4A37" w:rsidP="00504D82">
      <w:pPr>
        <w:pStyle w:val="Heading4"/>
      </w:pPr>
      <w:r w:rsidRPr="00CB4A37">
        <w:t>Impacts on Australia</w:t>
      </w:r>
    </w:p>
    <w:p w14:paraId="62809A6F" w14:textId="77777777" w:rsidR="00CB4A37" w:rsidRPr="00CB4A37" w:rsidRDefault="00CB4A37" w:rsidP="00CB4A37">
      <w:r w:rsidRPr="00CB4A37">
        <w:t xml:space="preserve">The modelled effects on Australia are slightly positive, due to capital inflows from China and export demand from the US. </w:t>
      </w:r>
    </w:p>
    <w:p w14:paraId="7AB17BA6" w14:textId="77777777" w:rsidR="00CB4A37" w:rsidRPr="00CB4A37" w:rsidRDefault="00CB4A37" w:rsidP="00CB4A37">
      <w:pPr>
        <w:numPr>
          <w:ilvl w:val="0"/>
          <w:numId w:val="22"/>
        </w:numPr>
        <w:contextualSpacing/>
      </w:pPr>
      <w:r w:rsidRPr="00CB4A37">
        <w:t xml:space="preserve">Australian consumers benefit from cheaper Chinese exports (by </w:t>
      </w:r>
      <w:r w:rsidRPr="00CB4A37">
        <w:rPr>
          <w:rFonts w:ascii="Arial (Body)" w:hAnsi="Arial (Body)"/>
          <w:color w:val="000000"/>
          <w:szCs w:val="18"/>
        </w:rPr>
        <w:t>–2.5%)</w:t>
      </w:r>
      <w:r w:rsidRPr="00CB4A37">
        <w:t>, particularly manufactured goods, as China pivots away from the US. Australian imports from China increase in volume (by 14.5%) due to this price effect.</w:t>
      </w:r>
    </w:p>
    <w:p w14:paraId="05E17BA8" w14:textId="77777777" w:rsidR="00CB4A37" w:rsidRPr="00CB4A37" w:rsidRDefault="00CB4A37" w:rsidP="00CB4A37">
      <w:pPr>
        <w:numPr>
          <w:ilvl w:val="0"/>
          <w:numId w:val="22"/>
        </w:numPr>
        <w:contextualSpacing/>
      </w:pPr>
      <w:r w:rsidRPr="00CB4A37">
        <w:t xml:space="preserve">Australian export volumes rise (by 0.1%) to fund these additional import volumes. Export volumes increase to the US (by 12.1%), predominantly in computers, electronics and other manufactured goods. This more than offsets a fall in export volumes to China (by </w:t>
      </w:r>
      <w:r w:rsidRPr="00CB4A37">
        <w:rPr>
          <w:rFonts w:ascii="Arial (Body)" w:hAnsi="Arial (Body)"/>
          <w:color w:val="000000"/>
          <w:szCs w:val="18"/>
        </w:rPr>
        <w:t>–2.7%), which is led by non-ferrous metals, coal and other primary production.</w:t>
      </w:r>
    </w:p>
    <w:p w14:paraId="36518252" w14:textId="77777777" w:rsidR="00CB4A37" w:rsidRPr="00CB4A37" w:rsidRDefault="00CB4A37" w:rsidP="00CB4A37">
      <w:pPr>
        <w:numPr>
          <w:ilvl w:val="0"/>
          <w:numId w:val="22"/>
        </w:numPr>
        <w:contextualSpacing/>
      </w:pPr>
      <w:r w:rsidRPr="00CB4A37">
        <w:t xml:space="preserve">The outflow of capital from the US and the lower cost of intermediate inputs imported from China allow Australia to increase real production (by 0.1%). As capital flows into the Australian economy, production becomes more capital intensive. The real rate of return on capital falls and real wages increase (by </w:t>
      </w:r>
      <w:r w:rsidRPr="00CB4A37">
        <w:rPr>
          <w:rFonts w:ascii="Arial (Body)" w:hAnsi="Arial (Body)"/>
          <w:color w:val="000000"/>
          <w:szCs w:val="18"/>
        </w:rPr>
        <w:t>–</w:t>
      </w:r>
      <w:r w:rsidRPr="00CB4A37">
        <w:t>0.2% and 0.1%, respectively).</w:t>
      </w:r>
    </w:p>
    <w:p w14:paraId="700156A8" w14:textId="77777777" w:rsidR="00CB4A37" w:rsidRPr="00CB4A37" w:rsidRDefault="00CB4A37" w:rsidP="00CB4A37">
      <w:pPr>
        <w:numPr>
          <w:ilvl w:val="0"/>
          <w:numId w:val="22"/>
        </w:numPr>
        <w:contextualSpacing/>
      </w:pPr>
      <w:r w:rsidRPr="00CB4A37">
        <w:t xml:space="preserve">Australian production reorients towards services, with real services output increasing (by 0.1%) and offsetting a small decline in real primary production (by </w:t>
      </w:r>
      <w:r w:rsidRPr="00CB4A37">
        <w:rPr>
          <w:rFonts w:ascii="Arial (Body)" w:hAnsi="Arial (Body)"/>
          <w:color w:val="000000"/>
          <w:szCs w:val="18"/>
        </w:rPr>
        <w:t>–</w:t>
      </w:r>
      <w:r w:rsidRPr="00CB4A37">
        <w:t>0.1%). Manufacturing output remains relatively flat despite the changes in imports and exports of manufactured goods, indicating that goods manufactured in Australia that were previously produced domestically are being exported to the US and substituted domestically by imports from China.</w:t>
      </w:r>
    </w:p>
    <w:p w14:paraId="7E66672F" w14:textId="77777777" w:rsidR="00CB4A37" w:rsidRPr="00CB4A37" w:rsidRDefault="00CB4A37" w:rsidP="00504D82">
      <w:pPr>
        <w:pStyle w:val="Heading4"/>
      </w:pPr>
      <w:r w:rsidRPr="00CB4A37">
        <w:lastRenderedPageBreak/>
        <w:t>Impacts on the rest of the world</w:t>
      </w:r>
    </w:p>
    <w:p w14:paraId="39917587" w14:textId="77777777" w:rsidR="00CB4A37" w:rsidRPr="00CB4A37" w:rsidRDefault="00CB4A37" w:rsidP="00CB4A37">
      <w:r w:rsidRPr="00CB4A37">
        <w:t xml:space="preserve">As for the rest of the world, the modelled impacts depend on each region’s trading relationships and degree of product competition with the US and China. In general, the rest of the world benefits from cheaper imports from China, increased demand for exports from the US, and capital outflows from both China and the US. </w:t>
      </w:r>
    </w:p>
    <w:p w14:paraId="1C5694D6" w14:textId="77777777" w:rsidR="00CB4A37" w:rsidRPr="00CB4A37" w:rsidRDefault="00CB4A37" w:rsidP="00CB4A37">
      <w:pPr>
        <w:numPr>
          <w:ilvl w:val="0"/>
          <w:numId w:val="22"/>
        </w:numPr>
        <w:contextualSpacing/>
      </w:pPr>
      <w:r w:rsidRPr="00CB4A37">
        <w:t>US tariffs on Chinese products make imports from other economies relatively cheaper for the US. US demand for exports from other manufacturing economies increases, with higher US demand leading to higher export prices and income overall for economies other than China.</w:t>
      </w:r>
    </w:p>
    <w:p w14:paraId="40989296" w14:textId="77777777" w:rsidR="00CB4A37" w:rsidRPr="00CB4A37" w:rsidRDefault="00CB4A37" w:rsidP="00CB4A37">
      <w:pPr>
        <w:numPr>
          <w:ilvl w:val="0"/>
          <w:numId w:val="22"/>
        </w:numPr>
        <w:contextualSpacing/>
      </w:pPr>
      <w:r w:rsidRPr="00CB4A37">
        <w:t xml:space="preserve">Capital outflows from the US and China benefits most other economies, allowing real output to increase in most of the world. However, the effect on the US and China is such that global output falls (by </w:t>
      </w:r>
      <w:r w:rsidRPr="00CB4A37">
        <w:rPr>
          <w:rFonts w:ascii="Arial (Body)" w:hAnsi="Arial (Body)"/>
          <w:color w:val="000000"/>
          <w:szCs w:val="18"/>
        </w:rPr>
        <w:t>–</w:t>
      </w:r>
      <w:r w:rsidRPr="00CB4A37">
        <w:t>0.1%).</w:t>
      </w:r>
    </w:p>
    <w:p w14:paraId="383C4ADA" w14:textId="77777777" w:rsidR="00CB4A37" w:rsidRPr="00CB4A37" w:rsidRDefault="00CB4A37" w:rsidP="00CB4A37">
      <w:pPr>
        <w:numPr>
          <w:ilvl w:val="0"/>
          <w:numId w:val="22"/>
        </w:numPr>
        <w:contextualSpacing/>
      </w:pPr>
      <w:r w:rsidRPr="00CB4A37">
        <w:t xml:space="preserve">Export volumes increase for Mexico and Canada (by 6.1% and 1.7%, respectively), as these economies increase production to meet US demand. Real GDP increases in Mexico and Canada (by 1.2% and 0.2%, respectively), led by increases in manufacturing output (by 4.0% and 2.1%, respectively). </w:t>
      </w:r>
    </w:p>
    <w:p w14:paraId="7C10562C" w14:textId="77777777" w:rsidR="00CB4A37" w:rsidRPr="00CB4A37" w:rsidRDefault="00CB4A37" w:rsidP="00CB4A37">
      <w:pPr>
        <w:numPr>
          <w:ilvl w:val="0"/>
          <w:numId w:val="22"/>
        </w:numPr>
        <w:contextualSpacing/>
      </w:pPr>
      <w:r w:rsidRPr="00CB4A37">
        <w:t>Likewise, export volumes increase for ASEAN countries, Japan and Korea (by 1.6%, 1.1% and 0.8%, respectively). Real GDP increases in these economies (by 0.5%, 0.3% and 0.2%, respectively), also led by manufacturing (by 1%, 0.3% and 0.2%, respectively).</w:t>
      </w:r>
    </w:p>
    <w:p w14:paraId="19C6D30B" w14:textId="77777777" w:rsidR="00CB4A37" w:rsidRPr="00CB4A37" w:rsidRDefault="00CB4A37" w:rsidP="00CB4A37">
      <w:pPr>
        <w:numPr>
          <w:ilvl w:val="0"/>
          <w:numId w:val="22"/>
        </w:numPr>
        <w:contextualSpacing/>
      </w:pPr>
      <w:r w:rsidRPr="00CB4A37">
        <w:t>The rest of the world generally diverts trade, importing more from China, which facilitates more domestic production and increased export volumes to the US.</w:t>
      </w:r>
    </w:p>
    <w:p w14:paraId="7B9B069D" w14:textId="77777777" w:rsidR="00CB4A37" w:rsidRPr="00CB4A37" w:rsidRDefault="00CB4A37" w:rsidP="00504D82">
      <w:pPr>
        <w:pStyle w:val="Heading4"/>
      </w:pPr>
      <w:r w:rsidRPr="00CB4A37">
        <w:t>The effect of retaliation</w:t>
      </w:r>
    </w:p>
    <w:p w14:paraId="0559A907" w14:textId="77777777" w:rsidR="00CB4A37" w:rsidRPr="00CB4A37" w:rsidRDefault="00CB4A37" w:rsidP="00CB4A37">
      <w:r w:rsidRPr="00CB4A37">
        <w:t>Retaliation – whereby China imposes a 50% tariff on imports from the US in response to the US tariff – leads to more negative impacts on China, the US and closely linked economies, with further capital outflows benefitting the rest of the world.</w:t>
      </w:r>
    </w:p>
    <w:p w14:paraId="5BB62BE9" w14:textId="77777777" w:rsidR="00CB4A37" w:rsidRPr="00CB4A37" w:rsidRDefault="00CB4A37" w:rsidP="00CB4A37">
      <w:pPr>
        <w:numPr>
          <w:ilvl w:val="0"/>
          <w:numId w:val="22"/>
        </w:numPr>
        <w:contextualSpacing/>
      </w:pPr>
      <w:r w:rsidRPr="00CB4A37">
        <w:t xml:space="preserve">Chinese tariffs on goods imported from the US reduce Chinese demand for US produced goods, namely advanced manufacturing products like computers, electronics and chemical products. US export volumes to China fall (by </w:t>
      </w:r>
      <w:r w:rsidRPr="00CB4A37">
        <w:rPr>
          <w:rFonts w:ascii="Arial (Body)" w:hAnsi="Arial (Body)"/>
          <w:color w:val="000000"/>
          <w:szCs w:val="18"/>
        </w:rPr>
        <w:t>–</w:t>
      </w:r>
      <w:r w:rsidRPr="00CB4A37">
        <w:t>62.6%).</w:t>
      </w:r>
    </w:p>
    <w:p w14:paraId="76BF7696" w14:textId="77777777" w:rsidR="00CB4A37" w:rsidRPr="00CB4A37" w:rsidRDefault="00CB4A37" w:rsidP="00CB4A37">
      <w:pPr>
        <w:numPr>
          <w:ilvl w:val="0"/>
          <w:numId w:val="22"/>
        </w:numPr>
        <w:contextualSpacing/>
      </w:pPr>
      <w:r w:rsidRPr="00CB4A37">
        <w:t xml:space="preserve">US import volumes also fall overall (by </w:t>
      </w:r>
      <w:r w:rsidRPr="00CB4A37">
        <w:rPr>
          <w:rFonts w:ascii="Arial (Body)" w:hAnsi="Arial (Body)"/>
          <w:color w:val="000000"/>
          <w:szCs w:val="18"/>
        </w:rPr>
        <w:t xml:space="preserve">–3.8%) to restore external balance, now from economies other than China </w:t>
      </w:r>
      <w:r w:rsidRPr="00CB4A37">
        <w:t xml:space="preserve">given the reduction already caused by the initial tariffs. US production falls (by </w:t>
      </w:r>
      <w:r w:rsidRPr="00CB4A37">
        <w:rPr>
          <w:rFonts w:ascii="Arial (Body)" w:hAnsi="Arial (Body)"/>
          <w:color w:val="000000"/>
          <w:szCs w:val="18"/>
        </w:rPr>
        <w:t>–0.9%) due to the combination of lower demand from China and costlier imported intermediate inputs. Real wages fall (by –0.8%).</w:t>
      </w:r>
    </w:p>
    <w:p w14:paraId="2A355CBE" w14:textId="77777777" w:rsidR="00CB4A37" w:rsidRPr="00CB4A37" w:rsidRDefault="00CB4A37" w:rsidP="00CB4A37">
      <w:pPr>
        <w:numPr>
          <w:ilvl w:val="0"/>
          <w:numId w:val="22"/>
        </w:numPr>
        <w:contextualSpacing/>
      </w:pPr>
      <w:r w:rsidRPr="00CB4A37">
        <w:t xml:space="preserve">Despite the downturn in the US economy, exports from Mexico and Canada to the US still increase, albeit by less than in the case without retaliation. Exports from Mexico and Canada increase overall (by 6.4% and 2%, respectively), led by higher manufacturing output (by 4.2% and 2.1%, respectively) due to greater capital inflows from China and the US. As Mexico competes more directly with China in global markets, particularly in electronic goods, bilateral tariffs between China and the US lead to higher real GDP in Mexico (by 1.3%) compared to Canada (by 0.2%). </w:t>
      </w:r>
    </w:p>
    <w:p w14:paraId="5C33AF6D" w14:textId="77777777" w:rsidR="00CB4A37" w:rsidRPr="00CB4A37" w:rsidRDefault="00CB4A37" w:rsidP="00CB4A37">
      <w:pPr>
        <w:numPr>
          <w:ilvl w:val="0"/>
          <w:numId w:val="22"/>
        </w:numPr>
        <w:contextualSpacing/>
      </w:pPr>
      <w:r w:rsidRPr="00CB4A37">
        <w:t>Likewise, export volumes increase from ASEAN countries, Japan and Korea (1.9%, 1.6% and 1.2%, respectively) and more than in the case without retaliation. Growth in real GDP (by 0.6%, 0.3% and 0.3%, respectively) is led by higher real output in manufacturing (by 1.3%, 0.5% and 0.4%, respectively) from greater capital inflows.</w:t>
      </w:r>
    </w:p>
    <w:p w14:paraId="45DDD099" w14:textId="77777777" w:rsidR="00CB4A37" w:rsidRPr="00CB4A37" w:rsidRDefault="00CB4A37" w:rsidP="00CB4A37">
      <w:pPr>
        <w:numPr>
          <w:ilvl w:val="0"/>
          <w:numId w:val="22"/>
        </w:numPr>
        <w:contextualSpacing/>
      </w:pPr>
      <w:r w:rsidRPr="00CB4A37">
        <w:t xml:space="preserve">With even more foreign investment, the Australian economy becomes more capital intensive. Production increases slightly (by 0.1%), driven by higher output in capital-intensive sectors like primary production (by 0.2%) and services (by 0.1%). Wages rise (by 0.1%) and the real rate of return on capital falls (by </w:t>
      </w:r>
      <w:r w:rsidRPr="00CB4A37">
        <w:rPr>
          <w:rFonts w:ascii="Arial (Body)" w:hAnsi="Arial (Body)"/>
          <w:color w:val="000000"/>
          <w:szCs w:val="18"/>
        </w:rPr>
        <w:t>–</w:t>
      </w:r>
      <w:r w:rsidRPr="00CB4A37">
        <w:t>0.2%).</w:t>
      </w:r>
    </w:p>
    <w:p w14:paraId="69985BEA" w14:textId="77777777" w:rsidR="00CB4A37" w:rsidRPr="00CB4A37" w:rsidRDefault="00CB4A37" w:rsidP="00CB4A37">
      <w:pPr>
        <w:numPr>
          <w:ilvl w:val="0"/>
          <w:numId w:val="22"/>
        </w:numPr>
        <w:contextualSpacing/>
      </w:pPr>
      <w:r w:rsidRPr="00CB4A37">
        <w:t xml:space="preserve">Nonetheless, the impacts on China and the US cause world production to decrease (by </w:t>
      </w:r>
      <w:r w:rsidRPr="00CB4A37">
        <w:rPr>
          <w:rFonts w:ascii="Arial (Body)" w:hAnsi="Arial (Body)"/>
          <w:color w:val="000000"/>
          <w:szCs w:val="18"/>
        </w:rPr>
        <w:t xml:space="preserve">–0.2%) and </w:t>
      </w:r>
      <w:r w:rsidRPr="00CB4A37">
        <w:t xml:space="preserve">by more than in the case without retaliation. </w:t>
      </w:r>
    </w:p>
    <w:p w14:paraId="150B1426"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 xml:space="preserve">Figure </w:t>
      </w:r>
      <w:r w:rsidRPr="00CB4A37">
        <w:rPr>
          <w:rFonts w:asciiTheme="majorHAnsi" w:hAnsiTheme="majorHAnsi"/>
          <w:iCs/>
          <w:noProof/>
          <w:color w:val="000000" w:themeColor="text1"/>
          <w:szCs w:val="18"/>
        </w:rPr>
        <w:t>A</w:t>
      </w:r>
      <w:r w:rsidRPr="00CB4A37">
        <w:rPr>
          <w:rFonts w:asciiTheme="majorHAnsi" w:hAnsiTheme="majorHAnsi"/>
          <w:iCs/>
          <w:color w:val="000000" w:themeColor="text1"/>
          <w:szCs w:val="18"/>
        </w:rPr>
        <w:t>.</w:t>
      </w:r>
      <w:r w:rsidRPr="00CB4A37">
        <w:rPr>
          <w:rFonts w:asciiTheme="majorHAnsi" w:hAnsiTheme="majorHAnsi"/>
          <w:iCs/>
          <w:noProof/>
          <w:color w:val="000000" w:themeColor="text1"/>
          <w:szCs w:val="18"/>
        </w:rPr>
        <w:t xml:space="preserve">8 </w:t>
      </w:r>
      <w:r w:rsidRPr="00CB4A37">
        <w:rPr>
          <w:rFonts w:asciiTheme="majorHAnsi" w:hAnsiTheme="majorHAnsi"/>
          <w:iCs/>
          <w:color w:val="000000" w:themeColor="text1"/>
          <w:szCs w:val="18"/>
        </w:rPr>
        <w:t>– Retaliation leads to lower production in economies dependent on the United States</w:t>
      </w:r>
    </w:p>
    <w:p w14:paraId="6510BE1C" w14:textId="77777777" w:rsidR="00CB4A37" w:rsidRPr="00CB4A37" w:rsidRDefault="00CB4A37" w:rsidP="00CB4A37">
      <w:pPr>
        <w:keepNext/>
        <w:keepLines/>
        <w:spacing w:before="40" w:after="40"/>
        <w:rPr>
          <w:rFonts w:asciiTheme="majorHAnsi" w:hAnsiTheme="majorHAnsi"/>
          <w:iCs/>
          <w:color w:val="58585B"/>
          <w:szCs w:val="18"/>
        </w:rPr>
      </w:pPr>
      <w:r w:rsidRPr="00CB4A37">
        <w:rPr>
          <w:rFonts w:asciiTheme="majorHAnsi" w:hAnsiTheme="majorHAnsi"/>
          <w:iCs/>
          <w:color w:val="58585B"/>
          <w:szCs w:val="18"/>
        </w:rPr>
        <w:t>Change in real GDP for selected economies</w:t>
      </w:r>
    </w:p>
    <w:p w14:paraId="4E5A1CE0" w14:textId="77777777" w:rsidR="00CB4A37" w:rsidRPr="00CB4A37" w:rsidRDefault="00CB4A37" w:rsidP="00CB4A37">
      <w:pPr>
        <w:ind w:left="227" w:hanging="227"/>
        <w:contextualSpacing/>
      </w:pPr>
      <w:r w:rsidRPr="00CB4A37">
        <w:rPr>
          <w:noProof/>
        </w:rPr>
        <w:drawing>
          <wp:inline distT="0" distB="0" distL="0" distR="0" wp14:anchorId="06FFE504" wp14:editId="22017DA2">
            <wp:extent cx="6120130" cy="3237230"/>
            <wp:effectExtent l="0" t="0" r="0" b="0"/>
            <wp:docPr id="2135937218" name="Picture 20" descr="This figure is a clustered column chart showing the change in real Gross Domestic Product (GDP) for select economies in the two scenarios (with retaliation and without retaliation). Effects on real GDP with and without retaliation are, respectively: Australia (0.13% and 0.08%), China (–0.92% and –0.62%), Japan (0.32% and 0.25%), Korea (0.3% and 0.2%), Canada (0.24% and 0.2%), The United States (–0.86% and –0.78%), Mexico (1.27% and 1.15%), the European Union (0.28% and 0.24%), the Association of Southeast Asian Nations (ASEAN) (0.55% and 0.47%), and the rest of the world (0.25% and 0.22%). For all selected economies, the effects are larger under the “with retaliation”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37218" name="Picture 20" descr="This figure is a clustered column chart showing the change in real Gross Domestic Product (GDP) for select economies in the two scenarios (with retaliation and without retaliation). Effects on real GDP with and without retaliation are, respectively: Australia (0.13% and 0.08%), China (–0.92% and –0.62%), Japan (0.32% and 0.25%), Korea (0.3% and 0.2%), Canada (0.24% and 0.2%), The United States (–0.86% and –0.78%), Mexico (1.27% and 1.15%), the European Union (0.28% and 0.24%), the Association of Southeast Asian Nations (ASEAN) (0.55% and 0.47%), and the rest of the world (0.25% and 0.22%). For all selected economies, the effects are larger under the “with retaliation” scenario.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237230"/>
                    </a:xfrm>
                    <a:prstGeom prst="rect">
                      <a:avLst/>
                    </a:prstGeom>
                    <a:noFill/>
                    <a:ln>
                      <a:noFill/>
                    </a:ln>
                  </pic:spPr>
                </pic:pic>
              </a:graphicData>
            </a:graphic>
          </wp:inline>
        </w:drawing>
      </w:r>
    </w:p>
    <w:p w14:paraId="72129C02" w14:textId="77777777" w:rsidR="00CB4A37" w:rsidRPr="00CB4A37" w:rsidRDefault="00CB4A37" w:rsidP="00CB4A37">
      <w:pPr>
        <w:spacing w:before="80" w:after="240" w:line="216" w:lineRule="atLeast"/>
        <w:rPr>
          <w:sz w:val="18"/>
        </w:rPr>
      </w:pPr>
      <w:r w:rsidRPr="00CB4A37">
        <w:rPr>
          <w:sz w:val="18"/>
        </w:rPr>
        <w:t xml:space="preserve">Source: PC estimates. </w:t>
      </w:r>
    </w:p>
    <w:p w14:paraId="4EF7E260" w14:textId="77777777" w:rsidR="00CB4A37" w:rsidRPr="00CB4A37" w:rsidRDefault="00CB4A37" w:rsidP="00CB4A37">
      <w:pPr>
        <w:keepNext/>
        <w:keepLines/>
        <w:pageBreakBefore/>
        <w:numPr>
          <w:ilvl w:val="1"/>
          <w:numId w:val="36"/>
        </w:numPr>
        <w:spacing w:before="480" w:line="340" w:lineRule="atLeast"/>
        <w:outlineLvl w:val="1"/>
        <w:rPr>
          <w:rFonts w:asciiTheme="majorHAnsi" w:eastAsiaTheme="majorEastAsia" w:hAnsiTheme="majorHAnsi" w:cstheme="majorBidi"/>
          <w:sz w:val="30"/>
          <w:szCs w:val="60"/>
          <w:lang w:eastAsia="en-AU"/>
        </w:rPr>
      </w:pPr>
      <w:bookmarkStart w:id="103" w:name="_Toc164725259"/>
      <w:r w:rsidRPr="00CB4A37">
        <w:rPr>
          <w:rFonts w:asciiTheme="majorHAnsi" w:eastAsiaTheme="majorEastAsia" w:hAnsiTheme="majorHAnsi" w:cstheme="majorBidi"/>
          <w:sz w:val="30"/>
          <w:szCs w:val="60"/>
          <w:lang w:eastAsia="en-AU"/>
        </w:rPr>
        <w:lastRenderedPageBreak/>
        <w:t>Regions and industries in the PC Global database</w:t>
      </w:r>
      <w:bookmarkEnd w:id="103"/>
    </w:p>
    <w:p w14:paraId="16B45B36"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t>Table A.4</w:t>
      </w:r>
      <w:r w:rsidRPr="00CB4A37">
        <w:rPr>
          <w:rFonts w:asciiTheme="majorHAnsi" w:hAnsiTheme="majorHAnsi"/>
          <w:iCs/>
          <w:noProof/>
          <w:color w:val="000000" w:themeColor="text1"/>
          <w:szCs w:val="18"/>
        </w:rPr>
        <w:t xml:space="preserve"> – </w:t>
      </w:r>
      <w:r w:rsidRPr="00CB4A37">
        <w:rPr>
          <w:rFonts w:asciiTheme="majorHAnsi" w:hAnsiTheme="majorHAnsi"/>
          <w:iCs/>
          <w:color w:val="000000" w:themeColor="text1"/>
          <w:szCs w:val="18"/>
        </w:rPr>
        <w:t>Countries and regions in the PC Global database</w:t>
      </w:r>
    </w:p>
    <w:tbl>
      <w:tblPr>
        <w:tblW w:w="5000" w:type="pct"/>
        <w:tblLook w:val="04A0" w:firstRow="1" w:lastRow="0" w:firstColumn="1" w:lastColumn="0" w:noHBand="0" w:noVBand="1"/>
      </w:tblPr>
      <w:tblGrid>
        <w:gridCol w:w="993"/>
        <w:gridCol w:w="3828"/>
        <w:gridCol w:w="991"/>
        <w:gridCol w:w="3826"/>
      </w:tblGrid>
      <w:tr w:rsidR="00CB4A37" w:rsidRPr="00CB4A37" w14:paraId="31584EE3" w14:textId="77777777" w:rsidTr="00074CE0">
        <w:trPr>
          <w:trHeight w:val="250"/>
        </w:trPr>
        <w:tc>
          <w:tcPr>
            <w:tcW w:w="515" w:type="pct"/>
            <w:tcBorders>
              <w:top w:val="nil"/>
              <w:left w:val="nil"/>
              <w:bottom w:val="single" w:sz="4" w:space="0" w:color="B3B3B3"/>
              <w:right w:val="nil"/>
            </w:tcBorders>
            <w:vAlign w:val="bottom"/>
            <w:hideMark/>
          </w:tcPr>
          <w:p w14:paraId="201BF465" w14:textId="77777777" w:rsidR="00CB4A37" w:rsidRPr="00CB4A37" w:rsidRDefault="00CB4A37" w:rsidP="00CB4A37">
            <w:pPr>
              <w:spacing w:before="0" w:after="20"/>
              <w:ind w:left="57"/>
              <w:rPr>
                <w:b/>
                <w:color w:val="265A9A" w:themeColor="background2"/>
                <w:sz w:val="18"/>
                <w:lang w:eastAsia="en-AU"/>
              </w:rPr>
            </w:pPr>
            <w:bookmarkStart w:id="104" w:name="RANGE!A7:D25"/>
            <w:r w:rsidRPr="00CB4A37">
              <w:rPr>
                <w:b/>
                <w:color w:val="265A9A" w:themeColor="background2"/>
                <w:sz w:val="18"/>
                <w:lang w:eastAsia="en-AU"/>
              </w:rPr>
              <w:t>Number</w:t>
            </w:r>
            <w:bookmarkEnd w:id="104"/>
          </w:p>
        </w:tc>
        <w:tc>
          <w:tcPr>
            <w:tcW w:w="1986" w:type="pct"/>
            <w:tcBorders>
              <w:top w:val="nil"/>
              <w:left w:val="nil"/>
              <w:bottom w:val="single" w:sz="4" w:space="0" w:color="B3B3B3"/>
              <w:right w:val="nil"/>
            </w:tcBorders>
            <w:vAlign w:val="bottom"/>
            <w:hideMark/>
          </w:tcPr>
          <w:p w14:paraId="6B7B8EFF" w14:textId="77777777" w:rsidR="00CB4A37" w:rsidRPr="00CB4A37" w:rsidRDefault="00CB4A37" w:rsidP="00CB4A37">
            <w:pPr>
              <w:spacing w:before="0" w:after="20"/>
              <w:ind w:left="57"/>
              <w:rPr>
                <w:b/>
                <w:color w:val="265A9A" w:themeColor="background2"/>
                <w:sz w:val="18"/>
                <w:lang w:eastAsia="en-AU"/>
              </w:rPr>
            </w:pPr>
            <w:r w:rsidRPr="00CB4A37">
              <w:rPr>
                <w:b/>
                <w:color w:val="265A9A" w:themeColor="background2"/>
                <w:sz w:val="18"/>
                <w:lang w:eastAsia="en-AU"/>
              </w:rPr>
              <w:t>Region</w:t>
            </w:r>
          </w:p>
        </w:tc>
        <w:tc>
          <w:tcPr>
            <w:tcW w:w="514" w:type="pct"/>
            <w:tcBorders>
              <w:top w:val="nil"/>
              <w:left w:val="nil"/>
              <w:bottom w:val="single" w:sz="4" w:space="0" w:color="B3B3B3"/>
              <w:right w:val="nil"/>
            </w:tcBorders>
            <w:vAlign w:val="bottom"/>
            <w:hideMark/>
          </w:tcPr>
          <w:p w14:paraId="7E29B156" w14:textId="77777777" w:rsidR="00CB4A37" w:rsidRPr="00CB4A37" w:rsidRDefault="00CB4A37" w:rsidP="00CB4A37">
            <w:pPr>
              <w:spacing w:before="0" w:after="20"/>
              <w:ind w:left="57"/>
              <w:rPr>
                <w:b/>
                <w:color w:val="265A9A" w:themeColor="background2"/>
                <w:sz w:val="18"/>
                <w:lang w:eastAsia="en-AU"/>
              </w:rPr>
            </w:pPr>
            <w:r w:rsidRPr="00CB4A37">
              <w:rPr>
                <w:b/>
                <w:color w:val="265A9A" w:themeColor="background2"/>
                <w:sz w:val="18"/>
                <w:lang w:eastAsia="en-AU"/>
              </w:rPr>
              <w:t>Number</w:t>
            </w:r>
          </w:p>
        </w:tc>
        <w:tc>
          <w:tcPr>
            <w:tcW w:w="1985" w:type="pct"/>
            <w:tcBorders>
              <w:top w:val="nil"/>
              <w:left w:val="nil"/>
              <w:bottom w:val="single" w:sz="4" w:space="0" w:color="B3B3B3"/>
              <w:right w:val="nil"/>
            </w:tcBorders>
            <w:vAlign w:val="bottom"/>
            <w:hideMark/>
          </w:tcPr>
          <w:p w14:paraId="2085353E" w14:textId="77777777" w:rsidR="00CB4A37" w:rsidRPr="00CB4A37" w:rsidRDefault="00CB4A37" w:rsidP="00CB4A37">
            <w:pPr>
              <w:spacing w:before="0" w:after="20"/>
              <w:ind w:left="57"/>
              <w:rPr>
                <w:b/>
                <w:color w:val="265A9A" w:themeColor="background2"/>
                <w:sz w:val="18"/>
                <w:lang w:eastAsia="en-AU"/>
              </w:rPr>
            </w:pPr>
            <w:r w:rsidRPr="00CB4A37">
              <w:rPr>
                <w:b/>
                <w:color w:val="265A9A" w:themeColor="background2"/>
                <w:sz w:val="18"/>
                <w:lang w:eastAsia="en-AU"/>
              </w:rPr>
              <w:t>Region</w:t>
            </w:r>
          </w:p>
        </w:tc>
      </w:tr>
      <w:tr w:rsidR="00CB4A37" w:rsidRPr="00CB4A37" w14:paraId="2101B02C" w14:textId="77777777" w:rsidTr="00074CE0">
        <w:trPr>
          <w:trHeight w:val="260"/>
        </w:trPr>
        <w:tc>
          <w:tcPr>
            <w:tcW w:w="515" w:type="pct"/>
            <w:tcBorders>
              <w:top w:val="nil"/>
              <w:left w:val="nil"/>
              <w:bottom w:val="nil"/>
              <w:right w:val="nil"/>
            </w:tcBorders>
            <w:shd w:val="clear" w:color="000000" w:fill="F2F2F2"/>
            <w:vAlign w:val="center"/>
            <w:hideMark/>
          </w:tcPr>
          <w:p w14:paraId="23D71942" w14:textId="77777777" w:rsidR="00CB4A37" w:rsidRPr="00CB4A37" w:rsidRDefault="00CB4A37" w:rsidP="00CB4A37">
            <w:pPr>
              <w:spacing w:before="0" w:after="20"/>
              <w:ind w:left="57"/>
              <w:rPr>
                <w:b/>
                <w:bCs/>
                <w:color w:val="265A9A"/>
                <w:sz w:val="18"/>
              </w:rPr>
            </w:pPr>
            <w:r w:rsidRPr="00CB4A37">
              <w:rPr>
                <w:b/>
                <w:bCs/>
                <w:color w:val="265A9A"/>
                <w:sz w:val="18"/>
              </w:rPr>
              <w:t>1</w:t>
            </w:r>
          </w:p>
        </w:tc>
        <w:tc>
          <w:tcPr>
            <w:tcW w:w="1986" w:type="pct"/>
            <w:tcBorders>
              <w:top w:val="nil"/>
              <w:left w:val="nil"/>
              <w:bottom w:val="nil"/>
              <w:right w:val="nil"/>
            </w:tcBorders>
            <w:shd w:val="clear" w:color="000000" w:fill="F2F2F2"/>
            <w:vAlign w:val="center"/>
            <w:hideMark/>
          </w:tcPr>
          <w:p w14:paraId="0DF0B4B3" w14:textId="77777777" w:rsidR="00CB4A37" w:rsidRPr="00CB4A37" w:rsidRDefault="00CB4A37" w:rsidP="00CB4A37">
            <w:pPr>
              <w:spacing w:before="0" w:after="20"/>
              <w:ind w:left="57"/>
              <w:rPr>
                <w:sz w:val="18"/>
              </w:rPr>
            </w:pPr>
            <w:r w:rsidRPr="00CB4A37">
              <w:rPr>
                <w:sz w:val="18"/>
              </w:rPr>
              <w:t>Australia (AUS)</w:t>
            </w:r>
          </w:p>
        </w:tc>
        <w:tc>
          <w:tcPr>
            <w:tcW w:w="514" w:type="pct"/>
            <w:tcBorders>
              <w:top w:val="nil"/>
              <w:left w:val="nil"/>
              <w:bottom w:val="nil"/>
              <w:right w:val="nil"/>
            </w:tcBorders>
            <w:shd w:val="clear" w:color="000000" w:fill="F2F2F2"/>
            <w:vAlign w:val="center"/>
            <w:hideMark/>
          </w:tcPr>
          <w:p w14:paraId="6650E196" w14:textId="77777777" w:rsidR="00CB4A37" w:rsidRPr="00CB4A37" w:rsidRDefault="00CB4A37" w:rsidP="00CB4A37">
            <w:pPr>
              <w:spacing w:before="0" w:after="20"/>
              <w:ind w:left="57"/>
              <w:rPr>
                <w:b/>
                <w:bCs/>
                <w:color w:val="265A9A"/>
                <w:sz w:val="18"/>
              </w:rPr>
            </w:pPr>
            <w:r w:rsidRPr="00CB4A37">
              <w:rPr>
                <w:b/>
                <w:bCs/>
                <w:color w:val="265A9A"/>
                <w:sz w:val="18"/>
              </w:rPr>
              <w:t>19</w:t>
            </w:r>
          </w:p>
        </w:tc>
        <w:tc>
          <w:tcPr>
            <w:tcW w:w="1985" w:type="pct"/>
            <w:tcBorders>
              <w:top w:val="nil"/>
              <w:left w:val="nil"/>
              <w:bottom w:val="nil"/>
              <w:right w:val="nil"/>
            </w:tcBorders>
            <w:shd w:val="clear" w:color="000000" w:fill="F2F2F2"/>
            <w:vAlign w:val="center"/>
            <w:hideMark/>
          </w:tcPr>
          <w:p w14:paraId="47EB17ED" w14:textId="77777777" w:rsidR="00CB4A37" w:rsidRPr="00CB4A37" w:rsidRDefault="00CB4A37" w:rsidP="00CB4A37">
            <w:pPr>
              <w:spacing w:before="0" w:after="20"/>
              <w:ind w:left="57"/>
              <w:rPr>
                <w:sz w:val="18"/>
              </w:rPr>
            </w:pPr>
            <w:r w:rsidRPr="00CB4A37">
              <w:rPr>
                <w:sz w:val="18"/>
              </w:rPr>
              <w:t>India (IND)</w:t>
            </w:r>
          </w:p>
        </w:tc>
      </w:tr>
      <w:tr w:rsidR="00CB4A37" w:rsidRPr="00CB4A37" w14:paraId="3C27D74A" w14:textId="77777777" w:rsidTr="00074CE0">
        <w:trPr>
          <w:trHeight w:val="260"/>
        </w:trPr>
        <w:tc>
          <w:tcPr>
            <w:tcW w:w="515" w:type="pct"/>
            <w:tcBorders>
              <w:top w:val="nil"/>
              <w:left w:val="nil"/>
              <w:bottom w:val="nil"/>
              <w:right w:val="nil"/>
            </w:tcBorders>
            <w:hideMark/>
          </w:tcPr>
          <w:p w14:paraId="58D04FFD" w14:textId="77777777" w:rsidR="00CB4A37" w:rsidRPr="00CB4A37" w:rsidRDefault="00CB4A37" w:rsidP="00CB4A37">
            <w:pPr>
              <w:spacing w:before="0" w:after="20"/>
              <w:ind w:left="57"/>
              <w:rPr>
                <w:b/>
                <w:bCs/>
                <w:color w:val="265A9A"/>
                <w:sz w:val="18"/>
              </w:rPr>
            </w:pPr>
            <w:r w:rsidRPr="00CB4A37">
              <w:rPr>
                <w:b/>
                <w:bCs/>
                <w:color w:val="265A9A"/>
                <w:sz w:val="18"/>
              </w:rPr>
              <w:t>2</w:t>
            </w:r>
          </w:p>
        </w:tc>
        <w:tc>
          <w:tcPr>
            <w:tcW w:w="1986" w:type="pct"/>
            <w:tcBorders>
              <w:top w:val="nil"/>
              <w:left w:val="nil"/>
              <w:bottom w:val="nil"/>
              <w:right w:val="nil"/>
            </w:tcBorders>
            <w:hideMark/>
          </w:tcPr>
          <w:p w14:paraId="4A998C1A" w14:textId="77777777" w:rsidR="00CB4A37" w:rsidRPr="00CB4A37" w:rsidRDefault="00CB4A37" w:rsidP="00CB4A37">
            <w:pPr>
              <w:spacing w:before="0" w:after="20"/>
              <w:ind w:left="57"/>
              <w:rPr>
                <w:sz w:val="18"/>
              </w:rPr>
            </w:pPr>
            <w:r w:rsidRPr="00CB4A37">
              <w:rPr>
                <w:sz w:val="18"/>
              </w:rPr>
              <w:t>New Zealand (NZL)</w:t>
            </w:r>
          </w:p>
        </w:tc>
        <w:tc>
          <w:tcPr>
            <w:tcW w:w="514" w:type="pct"/>
            <w:tcBorders>
              <w:top w:val="nil"/>
              <w:left w:val="nil"/>
              <w:bottom w:val="nil"/>
              <w:right w:val="nil"/>
            </w:tcBorders>
            <w:hideMark/>
          </w:tcPr>
          <w:p w14:paraId="7FA0B08F" w14:textId="77777777" w:rsidR="00CB4A37" w:rsidRPr="00CB4A37" w:rsidRDefault="00CB4A37" w:rsidP="00CB4A37">
            <w:pPr>
              <w:spacing w:before="0" w:after="20"/>
              <w:ind w:left="57"/>
              <w:rPr>
                <w:b/>
                <w:bCs/>
                <w:color w:val="265A9A"/>
                <w:sz w:val="18"/>
              </w:rPr>
            </w:pPr>
            <w:r w:rsidRPr="00CB4A37">
              <w:rPr>
                <w:b/>
                <w:bCs/>
                <w:color w:val="265A9A"/>
                <w:sz w:val="18"/>
              </w:rPr>
              <w:t>20</w:t>
            </w:r>
          </w:p>
        </w:tc>
        <w:tc>
          <w:tcPr>
            <w:tcW w:w="1985" w:type="pct"/>
            <w:tcBorders>
              <w:top w:val="nil"/>
              <w:left w:val="nil"/>
              <w:bottom w:val="nil"/>
              <w:right w:val="nil"/>
            </w:tcBorders>
            <w:hideMark/>
          </w:tcPr>
          <w:p w14:paraId="52A26C76" w14:textId="77777777" w:rsidR="00CB4A37" w:rsidRPr="00CB4A37" w:rsidRDefault="00CB4A37" w:rsidP="00CB4A37">
            <w:pPr>
              <w:spacing w:before="0" w:after="20"/>
              <w:ind w:left="57"/>
              <w:rPr>
                <w:sz w:val="18"/>
              </w:rPr>
            </w:pPr>
            <w:r w:rsidRPr="00CB4A37">
              <w:rPr>
                <w:sz w:val="18"/>
              </w:rPr>
              <w:t>Pakistan (PAK)</w:t>
            </w:r>
          </w:p>
        </w:tc>
      </w:tr>
      <w:tr w:rsidR="00CB4A37" w:rsidRPr="00CB4A37" w14:paraId="0DB8CD5F" w14:textId="77777777" w:rsidTr="00074CE0">
        <w:trPr>
          <w:trHeight w:val="260"/>
        </w:trPr>
        <w:tc>
          <w:tcPr>
            <w:tcW w:w="515" w:type="pct"/>
            <w:tcBorders>
              <w:top w:val="nil"/>
              <w:left w:val="nil"/>
              <w:bottom w:val="nil"/>
              <w:right w:val="nil"/>
            </w:tcBorders>
            <w:shd w:val="clear" w:color="000000" w:fill="F2F2F2"/>
            <w:hideMark/>
          </w:tcPr>
          <w:p w14:paraId="5F7B055A" w14:textId="77777777" w:rsidR="00CB4A37" w:rsidRPr="00CB4A37" w:rsidRDefault="00CB4A37" w:rsidP="00CB4A37">
            <w:pPr>
              <w:spacing w:before="0" w:after="20"/>
              <w:ind w:left="57"/>
              <w:rPr>
                <w:b/>
                <w:bCs/>
                <w:color w:val="265A9A"/>
                <w:sz w:val="18"/>
              </w:rPr>
            </w:pPr>
            <w:r w:rsidRPr="00CB4A37">
              <w:rPr>
                <w:b/>
                <w:bCs/>
                <w:color w:val="265A9A"/>
                <w:sz w:val="18"/>
              </w:rPr>
              <w:t>3</w:t>
            </w:r>
          </w:p>
        </w:tc>
        <w:tc>
          <w:tcPr>
            <w:tcW w:w="1986" w:type="pct"/>
            <w:tcBorders>
              <w:top w:val="nil"/>
              <w:left w:val="nil"/>
              <w:bottom w:val="nil"/>
              <w:right w:val="nil"/>
            </w:tcBorders>
            <w:shd w:val="clear" w:color="000000" w:fill="F2F2F2"/>
            <w:hideMark/>
          </w:tcPr>
          <w:p w14:paraId="0D8934E0" w14:textId="77777777" w:rsidR="00CB4A37" w:rsidRPr="00CB4A37" w:rsidRDefault="00CB4A37" w:rsidP="00CB4A37">
            <w:pPr>
              <w:spacing w:before="0" w:after="20"/>
              <w:ind w:left="57"/>
              <w:rPr>
                <w:sz w:val="18"/>
              </w:rPr>
            </w:pPr>
            <w:r w:rsidRPr="00CB4A37">
              <w:rPr>
                <w:sz w:val="18"/>
              </w:rPr>
              <w:t>China (CHN)</w:t>
            </w:r>
          </w:p>
        </w:tc>
        <w:tc>
          <w:tcPr>
            <w:tcW w:w="514" w:type="pct"/>
            <w:tcBorders>
              <w:top w:val="nil"/>
              <w:left w:val="nil"/>
              <w:bottom w:val="nil"/>
              <w:right w:val="nil"/>
            </w:tcBorders>
            <w:shd w:val="clear" w:color="000000" w:fill="F2F2F2"/>
            <w:hideMark/>
          </w:tcPr>
          <w:p w14:paraId="63BE2D6B" w14:textId="77777777" w:rsidR="00CB4A37" w:rsidRPr="00CB4A37" w:rsidRDefault="00CB4A37" w:rsidP="00CB4A37">
            <w:pPr>
              <w:spacing w:before="0" w:after="20"/>
              <w:ind w:left="57"/>
              <w:rPr>
                <w:b/>
                <w:bCs/>
                <w:color w:val="265A9A"/>
                <w:sz w:val="18"/>
              </w:rPr>
            </w:pPr>
            <w:r w:rsidRPr="00CB4A37">
              <w:rPr>
                <w:b/>
                <w:bCs/>
                <w:color w:val="265A9A"/>
                <w:sz w:val="18"/>
              </w:rPr>
              <w:t>21</w:t>
            </w:r>
          </w:p>
        </w:tc>
        <w:tc>
          <w:tcPr>
            <w:tcW w:w="1985" w:type="pct"/>
            <w:tcBorders>
              <w:top w:val="nil"/>
              <w:left w:val="nil"/>
              <w:bottom w:val="nil"/>
              <w:right w:val="nil"/>
            </w:tcBorders>
            <w:shd w:val="clear" w:color="000000" w:fill="F2F2F2"/>
            <w:hideMark/>
          </w:tcPr>
          <w:p w14:paraId="11E15CFB" w14:textId="77777777" w:rsidR="00CB4A37" w:rsidRPr="00CB4A37" w:rsidRDefault="00CB4A37" w:rsidP="00CB4A37">
            <w:pPr>
              <w:spacing w:before="0" w:after="20"/>
              <w:ind w:left="57"/>
              <w:rPr>
                <w:sz w:val="18"/>
              </w:rPr>
            </w:pPr>
            <w:r w:rsidRPr="00CB4A37">
              <w:rPr>
                <w:sz w:val="18"/>
              </w:rPr>
              <w:t>Sri Lanka (SRI)</w:t>
            </w:r>
          </w:p>
        </w:tc>
      </w:tr>
      <w:tr w:rsidR="00CB4A37" w:rsidRPr="00CB4A37" w14:paraId="70E10198" w14:textId="77777777" w:rsidTr="00074CE0">
        <w:trPr>
          <w:trHeight w:val="260"/>
        </w:trPr>
        <w:tc>
          <w:tcPr>
            <w:tcW w:w="515" w:type="pct"/>
            <w:tcBorders>
              <w:top w:val="nil"/>
              <w:left w:val="nil"/>
              <w:bottom w:val="nil"/>
              <w:right w:val="nil"/>
            </w:tcBorders>
            <w:hideMark/>
          </w:tcPr>
          <w:p w14:paraId="05AB743B" w14:textId="77777777" w:rsidR="00CB4A37" w:rsidRPr="00CB4A37" w:rsidRDefault="00CB4A37" w:rsidP="00CB4A37">
            <w:pPr>
              <w:spacing w:before="0" w:after="20"/>
              <w:ind w:left="57"/>
              <w:rPr>
                <w:b/>
                <w:bCs/>
                <w:color w:val="265A9A"/>
                <w:sz w:val="18"/>
              </w:rPr>
            </w:pPr>
            <w:r w:rsidRPr="00CB4A37">
              <w:rPr>
                <w:b/>
                <w:bCs/>
                <w:color w:val="265A9A"/>
                <w:sz w:val="18"/>
              </w:rPr>
              <w:t>4</w:t>
            </w:r>
          </w:p>
        </w:tc>
        <w:tc>
          <w:tcPr>
            <w:tcW w:w="1986" w:type="pct"/>
            <w:tcBorders>
              <w:top w:val="nil"/>
              <w:left w:val="nil"/>
              <w:bottom w:val="nil"/>
              <w:right w:val="nil"/>
            </w:tcBorders>
            <w:hideMark/>
          </w:tcPr>
          <w:p w14:paraId="1D96B02F" w14:textId="77777777" w:rsidR="00CB4A37" w:rsidRPr="00CB4A37" w:rsidRDefault="00CB4A37" w:rsidP="00CB4A37">
            <w:pPr>
              <w:spacing w:before="0" w:after="20"/>
              <w:ind w:left="57"/>
              <w:rPr>
                <w:sz w:val="18"/>
              </w:rPr>
            </w:pPr>
            <w:r w:rsidRPr="00CB4A37">
              <w:rPr>
                <w:sz w:val="18"/>
              </w:rPr>
              <w:t>Hong Kong (HKG)</w:t>
            </w:r>
          </w:p>
        </w:tc>
        <w:tc>
          <w:tcPr>
            <w:tcW w:w="514" w:type="pct"/>
            <w:tcBorders>
              <w:top w:val="nil"/>
              <w:left w:val="nil"/>
              <w:bottom w:val="nil"/>
              <w:right w:val="nil"/>
            </w:tcBorders>
            <w:hideMark/>
          </w:tcPr>
          <w:p w14:paraId="38F1D01E" w14:textId="77777777" w:rsidR="00CB4A37" w:rsidRPr="00CB4A37" w:rsidRDefault="00CB4A37" w:rsidP="00CB4A37">
            <w:pPr>
              <w:spacing w:before="0" w:after="20"/>
              <w:ind w:left="57"/>
              <w:rPr>
                <w:b/>
                <w:bCs/>
                <w:color w:val="265A9A"/>
                <w:sz w:val="18"/>
              </w:rPr>
            </w:pPr>
            <w:r w:rsidRPr="00CB4A37">
              <w:rPr>
                <w:b/>
                <w:bCs/>
                <w:color w:val="265A9A"/>
                <w:sz w:val="18"/>
              </w:rPr>
              <w:t>22</w:t>
            </w:r>
          </w:p>
        </w:tc>
        <w:tc>
          <w:tcPr>
            <w:tcW w:w="1985" w:type="pct"/>
            <w:tcBorders>
              <w:top w:val="nil"/>
              <w:left w:val="nil"/>
              <w:bottom w:val="nil"/>
              <w:right w:val="nil"/>
            </w:tcBorders>
            <w:hideMark/>
          </w:tcPr>
          <w:p w14:paraId="2FC9EEF5" w14:textId="77777777" w:rsidR="00CB4A37" w:rsidRPr="00CB4A37" w:rsidRDefault="00CB4A37" w:rsidP="00CB4A37">
            <w:pPr>
              <w:spacing w:before="0" w:after="20"/>
              <w:ind w:left="57"/>
              <w:rPr>
                <w:sz w:val="18"/>
              </w:rPr>
            </w:pPr>
            <w:r w:rsidRPr="00CB4A37">
              <w:rPr>
                <w:sz w:val="18"/>
              </w:rPr>
              <w:t>Rest of Asia and Oceania (ROA)</w:t>
            </w:r>
          </w:p>
        </w:tc>
      </w:tr>
      <w:tr w:rsidR="00CB4A37" w:rsidRPr="00CB4A37" w14:paraId="550217D2" w14:textId="77777777" w:rsidTr="00074CE0">
        <w:trPr>
          <w:trHeight w:val="260"/>
        </w:trPr>
        <w:tc>
          <w:tcPr>
            <w:tcW w:w="515" w:type="pct"/>
            <w:tcBorders>
              <w:top w:val="nil"/>
              <w:left w:val="nil"/>
              <w:bottom w:val="nil"/>
              <w:right w:val="nil"/>
            </w:tcBorders>
            <w:shd w:val="clear" w:color="000000" w:fill="F2F2F2"/>
            <w:hideMark/>
          </w:tcPr>
          <w:p w14:paraId="03072733" w14:textId="77777777" w:rsidR="00CB4A37" w:rsidRPr="00CB4A37" w:rsidRDefault="00CB4A37" w:rsidP="00CB4A37">
            <w:pPr>
              <w:spacing w:before="0" w:after="20"/>
              <w:ind w:left="57"/>
              <w:rPr>
                <w:b/>
                <w:bCs/>
                <w:color w:val="265A9A"/>
                <w:sz w:val="18"/>
              </w:rPr>
            </w:pPr>
            <w:r w:rsidRPr="00CB4A37">
              <w:rPr>
                <w:b/>
                <w:bCs/>
                <w:color w:val="265A9A"/>
                <w:sz w:val="18"/>
              </w:rPr>
              <w:t>5</w:t>
            </w:r>
          </w:p>
        </w:tc>
        <w:tc>
          <w:tcPr>
            <w:tcW w:w="1986" w:type="pct"/>
            <w:tcBorders>
              <w:top w:val="nil"/>
              <w:left w:val="nil"/>
              <w:bottom w:val="nil"/>
              <w:right w:val="nil"/>
            </w:tcBorders>
            <w:shd w:val="clear" w:color="000000" w:fill="F2F2F2"/>
            <w:hideMark/>
          </w:tcPr>
          <w:p w14:paraId="4477701F" w14:textId="77777777" w:rsidR="00CB4A37" w:rsidRPr="00CB4A37" w:rsidRDefault="00CB4A37" w:rsidP="00CB4A37">
            <w:pPr>
              <w:spacing w:before="0" w:after="20"/>
              <w:ind w:left="57"/>
              <w:rPr>
                <w:sz w:val="18"/>
              </w:rPr>
            </w:pPr>
            <w:r w:rsidRPr="00CB4A37">
              <w:rPr>
                <w:sz w:val="18"/>
              </w:rPr>
              <w:t>Japan (JPN)</w:t>
            </w:r>
          </w:p>
        </w:tc>
        <w:tc>
          <w:tcPr>
            <w:tcW w:w="514" w:type="pct"/>
            <w:tcBorders>
              <w:top w:val="nil"/>
              <w:left w:val="nil"/>
              <w:bottom w:val="nil"/>
              <w:right w:val="nil"/>
            </w:tcBorders>
            <w:shd w:val="clear" w:color="000000" w:fill="F2F2F2"/>
            <w:hideMark/>
          </w:tcPr>
          <w:p w14:paraId="35152FA1" w14:textId="77777777" w:rsidR="00CB4A37" w:rsidRPr="00CB4A37" w:rsidRDefault="00CB4A37" w:rsidP="00CB4A37">
            <w:pPr>
              <w:spacing w:before="0" w:after="20"/>
              <w:ind w:left="57"/>
              <w:rPr>
                <w:b/>
                <w:bCs/>
                <w:color w:val="265A9A"/>
                <w:sz w:val="18"/>
              </w:rPr>
            </w:pPr>
            <w:r w:rsidRPr="00CB4A37">
              <w:rPr>
                <w:b/>
                <w:bCs/>
                <w:color w:val="265A9A"/>
                <w:sz w:val="18"/>
              </w:rPr>
              <w:t>23</w:t>
            </w:r>
          </w:p>
        </w:tc>
        <w:tc>
          <w:tcPr>
            <w:tcW w:w="1985" w:type="pct"/>
            <w:tcBorders>
              <w:top w:val="nil"/>
              <w:left w:val="nil"/>
              <w:bottom w:val="nil"/>
              <w:right w:val="nil"/>
            </w:tcBorders>
            <w:shd w:val="clear" w:color="000000" w:fill="F2F2F2"/>
            <w:hideMark/>
          </w:tcPr>
          <w:p w14:paraId="08D10038" w14:textId="77777777" w:rsidR="00CB4A37" w:rsidRPr="00CB4A37" w:rsidRDefault="00CB4A37" w:rsidP="00CB4A37">
            <w:pPr>
              <w:spacing w:before="0" w:after="20"/>
              <w:ind w:left="57"/>
              <w:rPr>
                <w:sz w:val="18"/>
              </w:rPr>
            </w:pPr>
            <w:r w:rsidRPr="00CB4A37">
              <w:rPr>
                <w:sz w:val="18"/>
              </w:rPr>
              <w:t>Canada (CAN)</w:t>
            </w:r>
          </w:p>
        </w:tc>
      </w:tr>
      <w:tr w:rsidR="00CB4A37" w:rsidRPr="00CB4A37" w14:paraId="1C863A6C" w14:textId="77777777" w:rsidTr="00074CE0">
        <w:trPr>
          <w:trHeight w:val="260"/>
        </w:trPr>
        <w:tc>
          <w:tcPr>
            <w:tcW w:w="515" w:type="pct"/>
            <w:tcBorders>
              <w:top w:val="nil"/>
              <w:left w:val="nil"/>
              <w:bottom w:val="nil"/>
              <w:right w:val="nil"/>
            </w:tcBorders>
            <w:hideMark/>
          </w:tcPr>
          <w:p w14:paraId="4C58A4F6" w14:textId="77777777" w:rsidR="00CB4A37" w:rsidRPr="00CB4A37" w:rsidRDefault="00CB4A37" w:rsidP="00CB4A37">
            <w:pPr>
              <w:spacing w:before="0" w:after="20"/>
              <w:ind w:left="57"/>
              <w:rPr>
                <w:b/>
                <w:bCs/>
                <w:color w:val="265A9A"/>
                <w:sz w:val="18"/>
              </w:rPr>
            </w:pPr>
            <w:r w:rsidRPr="00CB4A37">
              <w:rPr>
                <w:b/>
                <w:bCs/>
                <w:color w:val="265A9A"/>
                <w:sz w:val="18"/>
              </w:rPr>
              <w:t>6</w:t>
            </w:r>
          </w:p>
        </w:tc>
        <w:tc>
          <w:tcPr>
            <w:tcW w:w="1986" w:type="pct"/>
            <w:tcBorders>
              <w:top w:val="nil"/>
              <w:left w:val="nil"/>
              <w:bottom w:val="nil"/>
              <w:right w:val="nil"/>
            </w:tcBorders>
            <w:hideMark/>
          </w:tcPr>
          <w:p w14:paraId="7FBD4AC1" w14:textId="77777777" w:rsidR="00CB4A37" w:rsidRPr="00CB4A37" w:rsidRDefault="00CB4A37" w:rsidP="00CB4A37">
            <w:pPr>
              <w:spacing w:before="0" w:after="20"/>
              <w:ind w:left="57"/>
              <w:rPr>
                <w:sz w:val="18"/>
              </w:rPr>
            </w:pPr>
            <w:r w:rsidRPr="00CB4A37">
              <w:rPr>
                <w:sz w:val="18"/>
              </w:rPr>
              <w:t>Korea (KOR)</w:t>
            </w:r>
          </w:p>
        </w:tc>
        <w:tc>
          <w:tcPr>
            <w:tcW w:w="514" w:type="pct"/>
            <w:tcBorders>
              <w:top w:val="nil"/>
              <w:left w:val="nil"/>
              <w:bottom w:val="nil"/>
              <w:right w:val="nil"/>
            </w:tcBorders>
            <w:hideMark/>
          </w:tcPr>
          <w:p w14:paraId="1BE9C2B4" w14:textId="77777777" w:rsidR="00CB4A37" w:rsidRPr="00CB4A37" w:rsidRDefault="00CB4A37" w:rsidP="00CB4A37">
            <w:pPr>
              <w:spacing w:before="0" w:after="20"/>
              <w:ind w:left="57"/>
              <w:rPr>
                <w:b/>
                <w:bCs/>
                <w:color w:val="265A9A"/>
                <w:sz w:val="18"/>
              </w:rPr>
            </w:pPr>
            <w:r w:rsidRPr="00CB4A37">
              <w:rPr>
                <w:b/>
                <w:bCs/>
                <w:color w:val="265A9A"/>
                <w:sz w:val="18"/>
              </w:rPr>
              <w:t>24</w:t>
            </w:r>
          </w:p>
        </w:tc>
        <w:tc>
          <w:tcPr>
            <w:tcW w:w="1985" w:type="pct"/>
            <w:tcBorders>
              <w:top w:val="nil"/>
              <w:left w:val="nil"/>
              <w:bottom w:val="nil"/>
              <w:right w:val="nil"/>
            </w:tcBorders>
            <w:hideMark/>
          </w:tcPr>
          <w:p w14:paraId="71DF3F24" w14:textId="77777777" w:rsidR="00CB4A37" w:rsidRPr="00CB4A37" w:rsidRDefault="00CB4A37" w:rsidP="00CB4A37">
            <w:pPr>
              <w:spacing w:before="0" w:after="20"/>
              <w:ind w:left="57"/>
              <w:rPr>
                <w:sz w:val="18"/>
              </w:rPr>
            </w:pPr>
            <w:r w:rsidRPr="00CB4A37">
              <w:rPr>
                <w:sz w:val="18"/>
              </w:rPr>
              <w:t>United States of America (US)</w:t>
            </w:r>
          </w:p>
        </w:tc>
      </w:tr>
      <w:tr w:rsidR="00CB4A37" w:rsidRPr="00CB4A37" w14:paraId="070D14B6" w14:textId="77777777" w:rsidTr="00074CE0">
        <w:trPr>
          <w:trHeight w:val="260"/>
        </w:trPr>
        <w:tc>
          <w:tcPr>
            <w:tcW w:w="515" w:type="pct"/>
            <w:tcBorders>
              <w:top w:val="nil"/>
              <w:left w:val="nil"/>
              <w:bottom w:val="nil"/>
              <w:right w:val="nil"/>
            </w:tcBorders>
            <w:shd w:val="clear" w:color="000000" w:fill="F2F2F2"/>
            <w:hideMark/>
          </w:tcPr>
          <w:p w14:paraId="647BFBE7" w14:textId="77777777" w:rsidR="00CB4A37" w:rsidRPr="00CB4A37" w:rsidRDefault="00CB4A37" w:rsidP="00CB4A37">
            <w:pPr>
              <w:spacing w:before="0" w:after="20"/>
              <w:ind w:left="57"/>
              <w:rPr>
                <w:b/>
                <w:bCs/>
                <w:color w:val="265A9A"/>
                <w:sz w:val="18"/>
              </w:rPr>
            </w:pPr>
            <w:r w:rsidRPr="00CB4A37">
              <w:rPr>
                <w:b/>
                <w:bCs/>
                <w:color w:val="265A9A"/>
                <w:sz w:val="18"/>
              </w:rPr>
              <w:t>7</w:t>
            </w:r>
          </w:p>
        </w:tc>
        <w:tc>
          <w:tcPr>
            <w:tcW w:w="1986" w:type="pct"/>
            <w:tcBorders>
              <w:top w:val="nil"/>
              <w:left w:val="nil"/>
              <w:bottom w:val="nil"/>
              <w:right w:val="nil"/>
            </w:tcBorders>
            <w:shd w:val="clear" w:color="000000" w:fill="F2F2F2"/>
            <w:hideMark/>
          </w:tcPr>
          <w:p w14:paraId="037BAF61" w14:textId="77777777" w:rsidR="00CB4A37" w:rsidRPr="00CB4A37" w:rsidRDefault="00CB4A37" w:rsidP="00CB4A37">
            <w:pPr>
              <w:spacing w:before="0" w:after="20"/>
              <w:ind w:left="57"/>
              <w:rPr>
                <w:sz w:val="18"/>
              </w:rPr>
            </w:pPr>
            <w:r w:rsidRPr="00CB4A37">
              <w:rPr>
                <w:sz w:val="18"/>
              </w:rPr>
              <w:t>Taiwan (TWN)</w:t>
            </w:r>
          </w:p>
        </w:tc>
        <w:tc>
          <w:tcPr>
            <w:tcW w:w="514" w:type="pct"/>
            <w:tcBorders>
              <w:top w:val="nil"/>
              <w:left w:val="nil"/>
              <w:bottom w:val="nil"/>
              <w:right w:val="nil"/>
            </w:tcBorders>
            <w:shd w:val="clear" w:color="000000" w:fill="F2F2F2"/>
            <w:hideMark/>
          </w:tcPr>
          <w:p w14:paraId="3B03C347" w14:textId="77777777" w:rsidR="00CB4A37" w:rsidRPr="00CB4A37" w:rsidRDefault="00CB4A37" w:rsidP="00CB4A37">
            <w:pPr>
              <w:spacing w:before="0" w:after="20"/>
              <w:ind w:left="57"/>
              <w:rPr>
                <w:b/>
                <w:bCs/>
                <w:color w:val="265A9A"/>
                <w:sz w:val="18"/>
              </w:rPr>
            </w:pPr>
            <w:r w:rsidRPr="00CB4A37">
              <w:rPr>
                <w:b/>
                <w:bCs/>
                <w:color w:val="265A9A"/>
                <w:sz w:val="18"/>
              </w:rPr>
              <w:t>25</w:t>
            </w:r>
          </w:p>
        </w:tc>
        <w:tc>
          <w:tcPr>
            <w:tcW w:w="1985" w:type="pct"/>
            <w:tcBorders>
              <w:top w:val="nil"/>
              <w:left w:val="nil"/>
              <w:bottom w:val="nil"/>
              <w:right w:val="nil"/>
            </w:tcBorders>
            <w:shd w:val="clear" w:color="000000" w:fill="F2F2F2"/>
            <w:hideMark/>
          </w:tcPr>
          <w:p w14:paraId="1A67469F" w14:textId="77777777" w:rsidR="00CB4A37" w:rsidRPr="00CB4A37" w:rsidRDefault="00CB4A37" w:rsidP="00CB4A37">
            <w:pPr>
              <w:spacing w:before="0" w:after="20"/>
              <w:ind w:left="57"/>
              <w:rPr>
                <w:sz w:val="18"/>
              </w:rPr>
            </w:pPr>
            <w:r w:rsidRPr="00CB4A37">
              <w:rPr>
                <w:sz w:val="18"/>
              </w:rPr>
              <w:t>Mexico (MEX)</w:t>
            </w:r>
          </w:p>
        </w:tc>
      </w:tr>
      <w:tr w:rsidR="00CB4A37" w:rsidRPr="00CB4A37" w14:paraId="5CAF8F42" w14:textId="77777777" w:rsidTr="00074CE0">
        <w:trPr>
          <w:trHeight w:val="260"/>
        </w:trPr>
        <w:tc>
          <w:tcPr>
            <w:tcW w:w="515" w:type="pct"/>
            <w:tcBorders>
              <w:top w:val="nil"/>
              <w:left w:val="nil"/>
              <w:bottom w:val="nil"/>
              <w:right w:val="nil"/>
            </w:tcBorders>
            <w:hideMark/>
          </w:tcPr>
          <w:p w14:paraId="1BE04085" w14:textId="77777777" w:rsidR="00CB4A37" w:rsidRPr="00CB4A37" w:rsidRDefault="00CB4A37" w:rsidP="00CB4A37">
            <w:pPr>
              <w:spacing w:before="0" w:after="20"/>
              <w:ind w:left="57"/>
              <w:rPr>
                <w:b/>
                <w:bCs/>
                <w:color w:val="265A9A"/>
                <w:sz w:val="18"/>
              </w:rPr>
            </w:pPr>
            <w:r w:rsidRPr="00CB4A37">
              <w:rPr>
                <w:b/>
                <w:bCs/>
                <w:color w:val="265A9A"/>
                <w:sz w:val="18"/>
              </w:rPr>
              <w:t>8</w:t>
            </w:r>
          </w:p>
        </w:tc>
        <w:tc>
          <w:tcPr>
            <w:tcW w:w="1986" w:type="pct"/>
            <w:tcBorders>
              <w:top w:val="nil"/>
              <w:left w:val="nil"/>
              <w:bottom w:val="nil"/>
              <w:right w:val="nil"/>
            </w:tcBorders>
            <w:hideMark/>
          </w:tcPr>
          <w:p w14:paraId="0517DCDA" w14:textId="77777777" w:rsidR="00CB4A37" w:rsidRPr="00CB4A37" w:rsidRDefault="00CB4A37" w:rsidP="00CB4A37">
            <w:pPr>
              <w:spacing w:before="0" w:after="20"/>
              <w:ind w:left="57"/>
              <w:rPr>
                <w:sz w:val="18"/>
              </w:rPr>
            </w:pPr>
            <w:r w:rsidRPr="00CB4A37">
              <w:rPr>
                <w:sz w:val="18"/>
              </w:rPr>
              <w:t>Brunei (BRN)</w:t>
            </w:r>
          </w:p>
        </w:tc>
        <w:tc>
          <w:tcPr>
            <w:tcW w:w="514" w:type="pct"/>
            <w:tcBorders>
              <w:top w:val="nil"/>
              <w:left w:val="nil"/>
              <w:bottom w:val="nil"/>
              <w:right w:val="nil"/>
            </w:tcBorders>
            <w:hideMark/>
          </w:tcPr>
          <w:p w14:paraId="7F8042F3" w14:textId="77777777" w:rsidR="00CB4A37" w:rsidRPr="00CB4A37" w:rsidRDefault="00CB4A37" w:rsidP="00CB4A37">
            <w:pPr>
              <w:spacing w:before="0" w:after="20"/>
              <w:ind w:left="57"/>
              <w:rPr>
                <w:b/>
                <w:bCs/>
                <w:color w:val="265A9A"/>
                <w:sz w:val="18"/>
              </w:rPr>
            </w:pPr>
            <w:r w:rsidRPr="00CB4A37">
              <w:rPr>
                <w:b/>
                <w:bCs/>
                <w:color w:val="265A9A"/>
                <w:sz w:val="18"/>
              </w:rPr>
              <w:t>26</w:t>
            </w:r>
          </w:p>
        </w:tc>
        <w:tc>
          <w:tcPr>
            <w:tcW w:w="1985" w:type="pct"/>
            <w:tcBorders>
              <w:top w:val="nil"/>
              <w:left w:val="nil"/>
              <w:bottom w:val="nil"/>
              <w:right w:val="nil"/>
            </w:tcBorders>
            <w:hideMark/>
          </w:tcPr>
          <w:p w14:paraId="76956779" w14:textId="77777777" w:rsidR="00CB4A37" w:rsidRPr="00CB4A37" w:rsidRDefault="00CB4A37" w:rsidP="00CB4A37">
            <w:pPr>
              <w:spacing w:before="0" w:after="20"/>
              <w:ind w:left="57"/>
              <w:rPr>
                <w:sz w:val="18"/>
              </w:rPr>
            </w:pPr>
            <w:r w:rsidRPr="00CB4A37">
              <w:rPr>
                <w:sz w:val="18"/>
              </w:rPr>
              <w:t>Brazil (BRA)</w:t>
            </w:r>
          </w:p>
        </w:tc>
      </w:tr>
      <w:tr w:rsidR="00CB4A37" w:rsidRPr="00CB4A37" w14:paraId="6439E8B6" w14:textId="77777777" w:rsidTr="00074CE0">
        <w:trPr>
          <w:trHeight w:val="260"/>
        </w:trPr>
        <w:tc>
          <w:tcPr>
            <w:tcW w:w="515" w:type="pct"/>
            <w:tcBorders>
              <w:top w:val="nil"/>
              <w:left w:val="nil"/>
              <w:bottom w:val="nil"/>
              <w:right w:val="nil"/>
            </w:tcBorders>
            <w:shd w:val="clear" w:color="000000" w:fill="F2F2F2"/>
            <w:hideMark/>
          </w:tcPr>
          <w:p w14:paraId="5617AC05" w14:textId="77777777" w:rsidR="00CB4A37" w:rsidRPr="00CB4A37" w:rsidRDefault="00CB4A37" w:rsidP="00CB4A37">
            <w:pPr>
              <w:spacing w:before="0" w:after="20"/>
              <w:ind w:left="57"/>
              <w:rPr>
                <w:b/>
                <w:bCs/>
                <w:color w:val="265A9A"/>
                <w:sz w:val="18"/>
              </w:rPr>
            </w:pPr>
            <w:r w:rsidRPr="00CB4A37">
              <w:rPr>
                <w:b/>
                <w:bCs/>
                <w:color w:val="265A9A"/>
                <w:sz w:val="18"/>
              </w:rPr>
              <w:t>9</w:t>
            </w:r>
          </w:p>
        </w:tc>
        <w:tc>
          <w:tcPr>
            <w:tcW w:w="1986" w:type="pct"/>
            <w:tcBorders>
              <w:top w:val="nil"/>
              <w:left w:val="nil"/>
              <w:bottom w:val="nil"/>
              <w:right w:val="nil"/>
            </w:tcBorders>
            <w:shd w:val="clear" w:color="000000" w:fill="F2F2F2"/>
            <w:hideMark/>
          </w:tcPr>
          <w:p w14:paraId="652F1BDF" w14:textId="77777777" w:rsidR="00CB4A37" w:rsidRPr="00CB4A37" w:rsidRDefault="00CB4A37" w:rsidP="00CB4A37">
            <w:pPr>
              <w:spacing w:before="0" w:after="20"/>
              <w:ind w:left="57"/>
              <w:rPr>
                <w:sz w:val="18"/>
              </w:rPr>
            </w:pPr>
            <w:r w:rsidRPr="00CB4A37">
              <w:rPr>
                <w:sz w:val="18"/>
              </w:rPr>
              <w:t>Cambodia (CAM)</w:t>
            </w:r>
          </w:p>
        </w:tc>
        <w:tc>
          <w:tcPr>
            <w:tcW w:w="514" w:type="pct"/>
            <w:tcBorders>
              <w:top w:val="nil"/>
              <w:left w:val="nil"/>
              <w:bottom w:val="nil"/>
              <w:right w:val="nil"/>
            </w:tcBorders>
            <w:shd w:val="clear" w:color="000000" w:fill="F2F2F2"/>
            <w:hideMark/>
          </w:tcPr>
          <w:p w14:paraId="5B4D34F8" w14:textId="77777777" w:rsidR="00CB4A37" w:rsidRPr="00CB4A37" w:rsidRDefault="00CB4A37" w:rsidP="00CB4A37">
            <w:pPr>
              <w:spacing w:before="0" w:after="20"/>
              <w:ind w:left="57"/>
              <w:rPr>
                <w:b/>
                <w:bCs/>
                <w:color w:val="265A9A"/>
                <w:sz w:val="18"/>
              </w:rPr>
            </w:pPr>
            <w:r w:rsidRPr="00CB4A37">
              <w:rPr>
                <w:b/>
                <w:bCs/>
                <w:color w:val="265A9A"/>
                <w:sz w:val="18"/>
              </w:rPr>
              <w:t>27</w:t>
            </w:r>
          </w:p>
        </w:tc>
        <w:tc>
          <w:tcPr>
            <w:tcW w:w="1985" w:type="pct"/>
            <w:tcBorders>
              <w:top w:val="nil"/>
              <w:left w:val="nil"/>
              <w:bottom w:val="nil"/>
              <w:right w:val="nil"/>
            </w:tcBorders>
            <w:shd w:val="clear" w:color="000000" w:fill="F2F2F2"/>
            <w:hideMark/>
          </w:tcPr>
          <w:p w14:paraId="3BF5EAB5" w14:textId="77777777" w:rsidR="00CB4A37" w:rsidRPr="00CB4A37" w:rsidRDefault="00CB4A37" w:rsidP="00CB4A37">
            <w:pPr>
              <w:spacing w:before="0" w:after="20"/>
              <w:ind w:left="57"/>
              <w:rPr>
                <w:sz w:val="18"/>
              </w:rPr>
            </w:pPr>
            <w:r w:rsidRPr="00CB4A37">
              <w:rPr>
                <w:sz w:val="18"/>
              </w:rPr>
              <w:t>Chile (CHL)</w:t>
            </w:r>
          </w:p>
        </w:tc>
      </w:tr>
      <w:tr w:rsidR="00CB4A37" w:rsidRPr="00CB4A37" w14:paraId="1073A44E" w14:textId="77777777" w:rsidTr="00074CE0">
        <w:trPr>
          <w:trHeight w:val="260"/>
        </w:trPr>
        <w:tc>
          <w:tcPr>
            <w:tcW w:w="515" w:type="pct"/>
            <w:tcBorders>
              <w:top w:val="nil"/>
              <w:left w:val="nil"/>
              <w:bottom w:val="nil"/>
              <w:right w:val="nil"/>
            </w:tcBorders>
            <w:hideMark/>
          </w:tcPr>
          <w:p w14:paraId="1CA1687C" w14:textId="77777777" w:rsidR="00CB4A37" w:rsidRPr="00CB4A37" w:rsidRDefault="00CB4A37" w:rsidP="00CB4A37">
            <w:pPr>
              <w:spacing w:before="0" w:after="20"/>
              <w:ind w:left="57"/>
              <w:rPr>
                <w:b/>
                <w:bCs/>
                <w:color w:val="265A9A"/>
                <w:sz w:val="18"/>
              </w:rPr>
            </w:pPr>
            <w:r w:rsidRPr="00CB4A37">
              <w:rPr>
                <w:b/>
                <w:bCs/>
                <w:color w:val="265A9A"/>
                <w:sz w:val="18"/>
              </w:rPr>
              <w:t>10</w:t>
            </w:r>
          </w:p>
        </w:tc>
        <w:tc>
          <w:tcPr>
            <w:tcW w:w="1986" w:type="pct"/>
            <w:tcBorders>
              <w:top w:val="nil"/>
              <w:left w:val="nil"/>
              <w:bottom w:val="nil"/>
              <w:right w:val="nil"/>
            </w:tcBorders>
            <w:hideMark/>
          </w:tcPr>
          <w:p w14:paraId="773212C4" w14:textId="77777777" w:rsidR="00CB4A37" w:rsidRPr="00CB4A37" w:rsidRDefault="00CB4A37" w:rsidP="00CB4A37">
            <w:pPr>
              <w:spacing w:before="0" w:after="20"/>
              <w:ind w:left="57"/>
              <w:rPr>
                <w:sz w:val="18"/>
              </w:rPr>
            </w:pPr>
            <w:r w:rsidRPr="00CB4A37">
              <w:rPr>
                <w:sz w:val="18"/>
              </w:rPr>
              <w:t>Indonesia (IDN)</w:t>
            </w:r>
          </w:p>
        </w:tc>
        <w:tc>
          <w:tcPr>
            <w:tcW w:w="514" w:type="pct"/>
            <w:tcBorders>
              <w:top w:val="nil"/>
              <w:left w:val="nil"/>
              <w:bottom w:val="nil"/>
              <w:right w:val="nil"/>
            </w:tcBorders>
            <w:hideMark/>
          </w:tcPr>
          <w:p w14:paraId="5706F278" w14:textId="77777777" w:rsidR="00CB4A37" w:rsidRPr="00CB4A37" w:rsidRDefault="00CB4A37" w:rsidP="00CB4A37">
            <w:pPr>
              <w:spacing w:before="0" w:after="20"/>
              <w:ind w:left="57"/>
              <w:rPr>
                <w:b/>
                <w:bCs/>
                <w:color w:val="265A9A"/>
                <w:sz w:val="18"/>
              </w:rPr>
            </w:pPr>
            <w:r w:rsidRPr="00CB4A37">
              <w:rPr>
                <w:b/>
                <w:bCs/>
                <w:color w:val="265A9A"/>
                <w:sz w:val="18"/>
              </w:rPr>
              <w:t>28</w:t>
            </w:r>
          </w:p>
        </w:tc>
        <w:tc>
          <w:tcPr>
            <w:tcW w:w="1985" w:type="pct"/>
            <w:tcBorders>
              <w:top w:val="nil"/>
              <w:left w:val="nil"/>
              <w:bottom w:val="nil"/>
              <w:right w:val="nil"/>
            </w:tcBorders>
            <w:hideMark/>
          </w:tcPr>
          <w:p w14:paraId="4090DCCE" w14:textId="77777777" w:rsidR="00CB4A37" w:rsidRPr="00CB4A37" w:rsidRDefault="00CB4A37" w:rsidP="00CB4A37">
            <w:pPr>
              <w:spacing w:before="0" w:after="20"/>
              <w:ind w:left="57"/>
              <w:rPr>
                <w:sz w:val="18"/>
              </w:rPr>
            </w:pPr>
            <w:r w:rsidRPr="00CB4A37">
              <w:rPr>
                <w:sz w:val="18"/>
              </w:rPr>
              <w:t>Peru (PER)</w:t>
            </w:r>
          </w:p>
        </w:tc>
      </w:tr>
      <w:tr w:rsidR="00CB4A37" w:rsidRPr="00CB4A37" w14:paraId="75F126A1" w14:textId="77777777" w:rsidTr="00074CE0">
        <w:trPr>
          <w:trHeight w:val="260"/>
        </w:trPr>
        <w:tc>
          <w:tcPr>
            <w:tcW w:w="515" w:type="pct"/>
            <w:tcBorders>
              <w:top w:val="nil"/>
              <w:left w:val="nil"/>
              <w:bottom w:val="nil"/>
              <w:right w:val="nil"/>
            </w:tcBorders>
            <w:shd w:val="clear" w:color="000000" w:fill="F2F2F2"/>
            <w:hideMark/>
          </w:tcPr>
          <w:p w14:paraId="3F72F32B" w14:textId="77777777" w:rsidR="00CB4A37" w:rsidRPr="00CB4A37" w:rsidRDefault="00CB4A37" w:rsidP="00CB4A37">
            <w:pPr>
              <w:spacing w:before="0" w:after="20"/>
              <w:ind w:left="57"/>
              <w:rPr>
                <w:b/>
                <w:bCs/>
                <w:color w:val="265A9A"/>
                <w:sz w:val="18"/>
              </w:rPr>
            </w:pPr>
            <w:r w:rsidRPr="00CB4A37">
              <w:rPr>
                <w:b/>
                <w:bCs/>
                <w:color w:val="265A9A"/>
                <w:sz w:val="18"/>
              </w:rPr>
              <w:t>11</w:t>
            </w:r>
          </w:p>
        </w:tc>
        <w:tc>
          <w:tcPr>
            <w:tcW w:w="1986" w:type="pct"/>
            <w:tcBorders>
              <w:top w:val="nil"/>
              <w:left w:val="nil"/>
              <w:bottom w:val="nil"/>
              <w:right w:val="nil"/>
            </w:tcBorders>
            <w:shd w:val="clear" w:color="000000" w:fill="F2F2F2"/>
            <w:hideMark/>
          </w:tcPr>
          <w:p w14:paraId="37E78041" w14:textId="77777777" w:rsidR="00CB4A37" w:rsidRPr="00CB4A37" w:rsidRDefault="00CB4A37" w:rsidP="00CB4A37">
            <w:pPr>
              <w:spacing w:before="0" w:after="20"/>
              <w:ind w:left="57"/>
              <w:rPr>
                <w:sz w:val="18"/>
              </w:rPr>
            </w:pPr>
            <w:r w:rsidRPr="00CB4A37">
              <w:rPr>
                <w:sz w:val="18"/>
              </w:rPr>
              <w:t>Laos (LAO)</w:t>
            </w:r>
          </w:p>
        </w:tc>
        <w:tc>
          <w:tcPr>
            <w:tcW w:w="514" w:type="pct"/>
            <w:tcBorders>
              <w:top w:val="nil"/>
              <w:left w:val="nil"/>
              <w:bottom w:val="nil"/>
              <w:right w:val="nil"/>
            </w:tcBorders>
            <w:shd w:val="clear" w:color="000000" w:fill="F2F2F2"/>
            <w:hideMark/>
          </w:tcPr>
          <w:p w14:paraId="473009F7" w14:textId="77777777" w:rsidR="00CB4A37" w:rsidRPr="00CB4A37" w:rsidRDefault="00CB4A37" w:rsidP="00CB4A37">
            <w:pPr>
              <w:spacing w:before="0" w:after="20"/>
              <w:ind w:left="57"/>
              <w:rPr>
                <w:b/>
                <w:bCs/>
                <w:color w:val="265A9A"/>
                <w:sz w:val="18"/>
              </w:rPr>
            </w:pPr>
            <w:r w:rsidRPr="00CB4A37">
              <w:rPr>
                <w:b/>
                <w:bCs/>
                <w:color w:val="265A9A"/>
                <w:sz w:val="18"/>
              </w:rPr>
              <w:t>29</w:t>
            </w:r>
          </w:p>
        </w:tc>
        <w:tc>
          <w:tcPr>
            <w:tcW w:w="1985" w:type="pct"/>
            <w:tcBorders>
              <w:top w:val="nil"/>
              <w:left w:val="nil"/>
              <w:bottom w:val="nil"/>
              <w:right w:val="nil"/>
            </w:tcBorders>
            <w:shd w:val="clear" w:color="000000" w:fill="F2F2F2"/>
            <w:hideMark/>
          </w:tcPr>
          <w:p w14:paraId="18FB2618" w14:textId="77777777" w:rsidR="00CB4A37" w:rsidRPr="00CB4A37" w:rsidRDefault="00CB4A37" w:rsidP="00CB4A37">
            <w:pPr>
              <w:spacing w:before="0" w:after="20"/>
              <w:ind w:left="57"/>
              <w:rPr>
                <w:sz w:val="18"/>
              </w:rPr>
            </w:pPr>
            <w:r w:rsidRPr="00CB4A37">
              <w:rPr>
                <w:sz w:val="18"/>
              </w:rPr>
              <w:t>Rest of America (ROM)</w:t>
            </w:r>
          </w:p>
        </w:tc>
      </w:tr>
      <w:tr w:rsidR="00CB4A37" w:rsidRPr="00CB4A37" w14:paraId="0F1F0F82" w14:textId="77777777" w:rsidTr="00074CE0">
        <w:trPr>
          <w:trHeight w:val="260"/>
        </w:trPr>
        <w:tc>
          <w:tcPr>
            <w:tcW w:w="515" w:type="pct"/>
            <w:tcBorders>
              <w:top w:val="nil"/>
              <w:left w:val="nil"/>
              <w:bottom w:val="nil"/>
              <w:right w:val="nil"/>
            </w:tcBorders>
            <w:hideMark/>
          </w:tcPr>
          <w:p w14:paraId="3F63EC5E" w14:textId="77777777" w:rsidR="00CB4A37" w:rsidRPr="00CB4A37" w:rsidRDefault="00CB4A37" w:rsidP="00CB4A37">
            <w:pPr>
              <w:spacing w:before="0" w:after="20"/>
              <w:ind w:left="57"/>
              <w:rPr>
                <w:b/>
                <w:bCs/>
                <w:color w:val="265A9A"/>
                <w:sz w:val="18"/>
              </w:rPr>
            </w:pPr>
            <w:r w:rsidRPr="00CB4A37">
              <w:rPr>
                <w:b/>
                <w:bCs/>
                <w:color w:val="265A9A"/>
                <w:sz w:val="18"/>
              </w:rPr>
              <w:t>12</w:t>
            </w:r>
          </w:p>
        </w:tc>
        <w:tc>
          <w:tcPr>
            <w:tcW w:w="1986" w:type="pct"/>
            <w:tcBorders>
              <w:top w:val="nil"/>
              <w:left w:val="nil"/>
              <w:bottom w:val="nil"/>
              <w:right w:val="nil"/>
            </w:tcBorders>
            <w:hideMark/>
          </w:tcPr>
          <w:p w14:paraId="776FB1FB" w14:textId="77777777" w:rsidR="00CB4A37" w:rsidRPr="00CB4A37" w:rsidRDefault="00CB4A37" w:rsidP="00CB4A37">
            <w:pPr>
              <w:spacing w:before="0" w:after="20"/>
              <w:ind w:left="57"/>
              <w:rPr>
                <w:sz w:val="18"/>
              </w:rPr>
            </w:pPr>
            <w:r w:rsidRPr="00CB4A37">
              <w:rPr>
                <w:sz w:val="18"/>
              </w:rPr>
              <w:t>Malaysia (MYS)</w:t>
            </w:r>
          </w:p>
        </w:tc>
        <w:tc>
          <w:tcPr>
            <w:tcW w:w="514" w:type="pct"/>
            <w:tcBorders>
              <w:top w:val="nil"/>
              <w:left w:val="nil"/>
              <w:bottom w:val="nil"/>
              <w:right w:val="nil"/>
            </w:tcBorders>
            <w:hideMark/>
          </w:tcPr>
          <w:p w14:paraId="130BD03D" w14:textId="77777777" w:rsidR="00CB4A37" w:rsidRPr="00CB4A37" w:rsidRDefault="00CB4A37" w:rsidP="00CB4A37">
            <w:pPr>
              <w:spacing w:before="0" w:after="20"/>
              <w:ind w:left="57"/>
              <w:rPr>
                <w:b/>
                <w:bCs/>
                <w:color w:val="265A9A"/>
                <w:sz w:val="18"/>
              </w:rPr>
            </w:pPr>
            <w:r w:rsidRPr="00CB4A37">
              <w:rPr>
                <w:b/>
                <w:bCs/>
                <w:color w:val="265A9A"/>
                <w:sz w:val="18"/>
              </w:rPr>
              <w:t>30</w:t>
            </w:r>
          </w:p>
        </w:tc>
        <w:tc>
          <w:tcPr>
            <w:tcW w:w="1985" w:type="pct"/>
            <w:tcBorders>
              <w:top w:val="nil"/>
              <w:left w:val="nil"/>
              <w:bottom w:val="nil"/>
              <w:right w:val="nil"/>
            </w:tcBorders>
            <w:hideMark/>
          </w:tcPr>
          <w:p w14:paraId="474076EC" w14:textId="77777777" w:rsidR="00CB4A37" w:rsidRPr="00CB4A37" w:rsidRDefault="00CB4A37" w:rsidP="00CB4A37">
            <w:pPr>
              <w:spacing w:before="0" w:after="20"/>
              <w:ind w:left="57"/>
              <w:rPr>
                <w:sz w:val="18"/>
              </w:rPr>
            </w:pPr>
            <w:r w:rsidRPr="00CB4A37">
              <w:rPr>
                <w:sz w:val="18"/>
              </w:rPr>
              <w:t>European Union (EU)</w:t>
            </w:r>
          </w:p>
        </w:tc>
      </w:tr>
      <w:tr w:rsidR="00CB4A37" w:rsidRPr="00CB4A37" w14:paraId="4589B6AC" w14:textId="77777777" w:rsidTr="00074CE0">
        <w:trPr>
          <w:trHeight w:val="260"/>
        </w:trPr>
        <w:tc>
          <w:tcPr>
            <w:tcW w:w="515" w:type="pct"/>
            <w:tcBorders>
              <w:top w:val="nil"/>
              <w:left w:val="nil"/>
              <w:bottom w:val="nil"/>
              <w:right w:val="nil"/>
            </w:tcBorders>
            <w:shd w:val="clear" w:color="000000" w:fill="F2F2F2"/>
            <w:hideMark/>
          </w:tcPr>
          <w:p w14:paraId="35A2A48D" w14:textId="77777777" w:rsidR="00CB4A37" w:rsidRPr="00CB4A37" w:rsidRDefault="00CB4A37" w:rsidP="00CB4A37">
            <w:pPr>
              <w:spacing w:before="0" w:after="20"/>
              <w:ind w:left="57"/>
              <w:rPr>
                <w:b/>
                <w:bCs/>
                <w:color w:val="265A9A"/>
                <w:sz w:val="18"/>
              </w:rPr>
            </w:pPr>
            <w:r w:rsidRPr="00CB4A37">
              <w:rPr>
                <w:b/>
                <w:bCs/>
                <w:color w:val="265A9A"/>
                <w:sz w:val="18"/>
              </w:rPr>
              <w:t>13</w:t>
            </w:r>
          </w:p>
        </w:tc>
        <w:tc>
          <w:tcPr>
            <w:tcW w:w="1986" w:type="pct"/>
            <w:tcBorders>
              <w:top w:val="nil"/>
              <w:left w:val="nil"/>
              <w:bottom w:val="nil"/>
              <w:right w:val="nil"/>
            </w:tcBorders>
            <w:shd w:val="clear" w:color="000000" w:fill="F2F2F2"/>
            <w:hideMark/>
          </w:tcPr>
          <w:p w14:paraId="3B8F8326" w14:textId="77777777" w:rsidR="00CB4A37" w:rsidRPr="00CB4A37" w:rsidRDefault="00CB4A37" w:rsidP="00CB4A37">
            <w:pPr>
              <w:spacing w:before="0" w:after="20"/>
              <w:ind w:left="57"/>
              <w:rPr>
                <w:sz w:val="18"/>
              </w:rPr>
            </w:pPr>
            <w:r w:rsidRPr="00CB4A37">
              <w:rPr>
                <w:sz w:val="18"/>
              </w:rPr>
              <w:t>Philippines (PHL)</w:t>
            </w:r>
          </w:p>
        </w:tc>
        <w:tc>
          <w:tcPr>
            <w:tcW w:w="514" w:type="pct"/>
            <w:tcBorders>
              <w:top w:val="nil"/>
              <w:left w:val="nil"/>
              <w:bottom w:val="nil"/>
              <w:right w:val="nil"/>
            </w:tcBorders>
            <w:shd w:val="clear" w:color="000000" w:fill="F2F2F2"/>
            <w:hideMark/>
          </w:tcPr>
          <w:p w14:paraId="0BA71F0D" w14:textId="77777777" w:rsidR="00CB4A37" w:rsidRPr="00CB4A37" w:rsidRDefault="00CB4A37" w:rsidP="00CB4A37">
            <w:pPr>
              <w:spacing w:before="0" w:after="20"/>
              <w:ind w:left="57"/>
              <w:rPr>
                <w:b/>
                <w:bCs/>
                <w:color w:val="265A9A"/>
                <w:sz w:val="18"/>
              </w:rPr>
            </w:pPr>
            <w:r w:rsidRPr="00CB4A37">
              <w:rPr>
                <w:b/>
                <w:bCs/>
                <w:color w:val="265A9A"/>
                <w:sz w:val="18"/>
              </w:rPr>
              <w:t>31</w:t>
            </w:r>
          </w:p>
        </w:tc>
        <w:tc>
          <w:tcPr>
            <w:tcW w:w="1985" w:type="pct"/>
            <w:tcBorders>
              <w:top w:val="nil"/>
              <w:left w:val="nil"/>
              <w:bottom w:val="nil"/>
              <w:right w:val="nil"/>
            </w:tcBorders>
            <w:shd w:val="clear" w:color="000000" w:fill="F2F2F2"/>
            <w:hideMark/>
          </w:tcPr>
          <w:p w14:paraId="255EEBD3" w14:textId="77777777" w:rsidR="00CB4A37" w:rsidRPr="00CB4A37" w:rsidRDefault="00CB4A37" w:rsidP="00CB4A37">
            <w:pPr>
              <w:spacing w:before="0" w:after="20"/>
              <w:ind w:left="57"/>
              <w:rPr>
                <w:sz w:val="18"/>
              </w:rPr>
            </w:pPr>
            <w:r w:rsidRPr="00CB4A37">
              <w:rPr>
                <w:sz w:val="18"/>
              </w:rPr>
              <w:t>United Kingdom (UK)</w:t>
            </w:r>
          </w:p>
        </w:tc>
      </w:tr>
      <w:tr w:rsidR="00CB4A37" w:rsidRPr="00CB4A37" w14:paraId="0EE683A3" w14:textId="77777777" w:rsidTr="00074CE0">
        <w:trPr>
          <w:trHeight w:val="260"/>
        </w:trPr>
        <w:tc>
          <w:tcPr>
            <w:tcW w:w="515" w:type="pct"/>
            <w:tcBorders>
              <w:top w:val="nil"/>
              <w:left w:val="nil"/>
              <w:bottom w:val="nil"/>
              <w:right w:val="nil"/>
            </w:tcBorders>
            <w:hideMark/>
          </w:tcPr>
          <w:p w14:paraId="4F31C717" w14:textId="77777777" w:rsidR="00CB4A37" w:rsidRPr="00CB4A37" w:rsidRDefault="00CB4A37" w:rsidP="00CB4A37">
            <w:pPr>
              <w:spacing w:before="0" w:after="20"/>
              <w:ind w:left="57"/>
              <w:rPr>
                <w:b/>
                <w:bCs/>
                <w:color w:val="265A9A"/>
                <w:sz w:val="18"/>
              </w:rPr>
            </w:pPr>
            <w:r w:rsidRPr="00CB4A37">
              <w:rPr>
                <w:b/>
                <w:bCs/>
                <w:color w:val="265A9A"/>
                <w:sz w:val="18"/>
              </w:rPr>
              <w:t>14</w:t>
            </w:r>
          </w:p>
        </w:tc>
        <w:tc>
          <w:tcPr>
            <w:tcW w:w="1986" w:type="pct"/>
            <w:tcBorders>
              <w:top w:val="nil"/>
              <w:left w:val="nil"/>
              <w:bottom w:val="nil"/>
              <w:right w:val="nil"/>
            </w:tcBorders>
            <w:hideMark/>
          </w:tcPr>
          <w:p w14:paraId="43AF98B1" w14:textId="77777777" w:rsidR="00CB4A37" w:rsidRPr="00CB4A37" w:rsidRDefault="00CB4A37" w:rsidP="00CB4A37">
            <w:pPr>
              <w:spacing w:before="0" w:after="20"/>
              <w:ind w:left="57"/>
              <w:rPr>
                <w:sz w:val="18"/>
              </w:rPr>
            </w:pPr>
            <w:r w:rsidRPr="00CB4A37">
              <w:rPr>
                <w:sz w:val="18"/>
              </w:rPr>
              <w:t>Singapore (SGP)</w:t>
            </w:r>
          </w:p>
        </w:tc>
        <w:tc>
          <w:tcPr>
            <w:tcW w:w="514" w:type="pct"/>
            <w:tcBorders>
              <w:top w:val="nil"/>
              <w:left w:val="nil"/>
              <w:bottom w:val="nil"/>
              <w:right w:val="nil"/>
            </w:tcBorders>
            <w:hideMark/>
          </w:tcPr>
          <w:p w14:paraId="4281A840" w14:textId="77777777" w:rsidR="00CB4A37" w:rsidRPr="00CB4A37" w:rsidRDefault="00CB4A37" w:rsidP="00CB4A37">
            <w:pPr>
              <w:spacing w:before="0" w:after="20"/>
              <w:ind w:left="57"/>
              <w:rPr>
                <w:b/>
                <w:bCs/>
                <w:color w:val="265A9A"/>
                <w:sz w:val="18"/>
              </w:rPr>
            </w:pPr>
            <w:r w:rsidRPr="00CB4A37">
              <w:rPr>
                <w:b/>
                <w:bCs/>
                <w:color w:val="265A9A"/>
                <w:sz w:val="18"/>
              </w:rPr>
              <w:t>32</w:t>
            </w:r>
          </w:p>
        </w:tc>
        <w:tc>
          <w:tcPr>
            <w:tcW w:w="1985" w:type="pct"/>
            <w:tcBorders>
              <w:top w:val="nil"/>
              <w:left w:val="nil"/>
              <w:bottom w:val="nil"/>
              <w:right w:val="nil"/>
            </w:tcBorders>
            <w:hideMark/>
          </w:tcPr>
          <w:p w14:paraId="032072F3" w14:textId="77777777" w:rsidR="00CB4A37" w:rsidRPr="00CB4A37" w:rsidRDefault="00CB4A37" w:rsidP="00CB4A37">
            <w:pPr>
              <w:spacing w:before="0" w:after="20"/>
              <w:ind w:left="57"/>
              <w:rPr>
                <w:sz w:val="18"/>
              </w:rPr>
            </w:pPr>
            <w:r w:rsidRPr="00CB4A37">
              <w:rPr>
                <w:sz w:val="18"/>
              </w:rPr>
              <w:t>Russian Federation (RUS)</w:t>
            </w:r>
          </w:p>
        </w:tc>
      </w:tr>
      <w:tr w:rsidR="00CB4A37" w:rsidRPr="00CB4A37" w14:paraId="21332D27" w14:textId="77777777" w:rsidTr="00074CE0">
        <w:trPr>
          <w:trHeight w:val="260"/>
        </w:trPr>
        <w:tc>
          <w:tcPr>
            <w:tcW w:w="515" w:type="pct"/>
            <w:tcBorders>
              <w:top w:val="nil"/>
              <w:left w:val="nil"/>
              <w:bottom w:val="nil"/>
              <w:right w:val="nil"/>
            </w:tcBorders>
            <w:shd w:val="clear" w:color="000000" w:fill="F2F2F2"/>
            <w:hideMark/>
          </w:tcPr>
          <w:p w14:paraId="3C54AFE7" w14:textId="77777777" w:rsidR="00CB4A37" w:rsidRPr="00CB4A37" w:rsidRDefault="00CB4A37" w:rsidP="00CB4A37">
            <w:pPr>
              <w:spacing w:before="0" w:after="20"/>
              <w:ind w:left="57"/>
              <w:rPr>
                <w:b/>
                <w:bCs/>
                <w:color w:val="265A9A"/>
                <w:sz w:val="18"/>
              </w:rPr>
            </w:pPr>
            <w:r w:rsidRPr="00CB4A37">
              <w:rPr>
                <w:b/>
                <w:bCs/>
                <w:color w:val="265A9A"/>
                <w:sz w:val="18"/>
              </w:rPr>
              <w:t>15</w:t>
            </w:r>
          </w:p>
        </w:tc>
        <w:tc>
          <w:tcPr>
            <w:tcW w:w="1986" w:type="pct"/>
            <w:tcBorders>
              <w:top w:val="nil"/>
              <w:left w:val="nil"/>
              <w:bottom w:val="nil"/>
              <w:right w:val="nil"/>
            </w:tcBorders>
            <w:shd w:val="clear" w:color="000000" w:fill="F2F2F2"/>
            <w:hideMark/>
          </w:tcPr>
          <w:p w14:paraId="17ECF76E" w14:textId="77777777" w:rsidR="00CB4A37" w:rsidRPr="00CB4A37" w:rsidRDefault="00CB4A37" w:rsidP="00CB4A37">
            <w:pPr>
              <w:spacing w:before="0" w:after="20"/>
              <w:ind w:left="57"/>
              <w:rPr>
                <w:sz w:val="18"/>
              </w:rPr>
            </w:pPr>
            <w:r w:rsidRPr="00CB4A37">
              <w:rPr>
                <w:sz w:val="18"/>
              </w:rPr>
              <w:t>Thailand (THA)</w:t>
            </w:r>
          </w:p>
        </w:tc>
        <w:tc>
          <w:tcPr>
            <w:tcW w:w="514" w:type="pct"/>
            <w:tcBorders>
              <w:top w:val="nil"/>
              <w:left w:val="nil"/>
              <w:bottom w:val="nil"/>
              <w:right w:val="nil"/>
            </w:tcBorders>
            <w:shd w:val="clear" w:color="000000" w:fill="F2F2F2"/>
            <w:hideMark/>
          </w:tcPr>
          <w:p w14:paraId="78DCE783" w14:textId="77777777" w:rsidR="00CB4A37" w:rsidRPr="00CB4A37" w:rsidRDefault="00CB4A37" w:rsidP="00CB4A37">
            <w:pPr>
              <w:spacing w:before="0" w:after="20"/>
              <w:ind w:left="57"/>
              <w:rPr>
                <w:b/>
                <w:bCs/>
                <w:color w:val="265A9A"/>
                <w:sz w:val="18"/>
              </w:rPr>
            </w:pPr>
            <w:r w:rsidRPr="00CB4A37">
              <w:rPr>
                <w:b/>
                <w:bCs/>
                <w:color w:val="265A9A"/>
                <w:sz w:val="18"/>
              </w:rPr>
              <w:t>33</w:t>
            </w:r>
          </w:p>
        </w:tc>
        <w:tc>
          <w:tcPr>
            <w:tcW w:w="1985" w:type="pct"/>
            <w:tcBorders>
              <w:top w:val="nil"/>
              <w:left w:val="nil"/>
              <w:bottom w:val="nil"/>
              <w:right w:val="nil"/>
            </w:tcBorders>
            <w:shd w:val="clear" w:color="000000" w:fill="F2F2F2"/>
            <w:hideMark/>
          </w:tcPr>
          <w:p w14:paraId="4DAA8167" w14:textId="77777777" w:rsidR="00CB4A37" w:rsidRPr="00CB4A37" w:rsidRDefault="00CB4A37" w:rsidP="00CB4A37">
            <w:pPr>
              <w:spacing w:before="0" w:after="20"/>
              <w:ind w:left="57"/>
              <w:rPr>
                <w:sz w:val="18"/>
              </w:rPr>
            </w:pPr>
            <w:r w:rsidRPr="00CB4A37">
              <w:rPr>
                <w:sz w:val="18"/>
              </w:rPr>
              <w:t>Rest of Europe (ROE)</w:t>
            </w:r>
          </w:p>
        </w:tc>
      </w:tr>
      <w:tr w:rsidR="00CB4A37" w:rsidRPr="00CB4A37" w14:paraId="716AE37F" w14:textId="77777777" w:rsidTr="00074CE0">
        <w:trPr>
          <w:trHeight w:val="260"/>
        </w:trPr>
        <w:tc>
          <w:tcPr>
            <w:tcW w:w="515" w:type="pct"/>
            <w:tcBorders>
              <w:top w:val="nil"/>
              <w:left w:val="nil"/>
              <w:bottom w:val="nil"/>
              <w:right w:val="nil"/>
            </w:tcBorders>
            <w:hideMark/>
          </w:tcPr>
          <w:p w14:paraId="4357F7C0" w14:textId="77777777" w:rsidR="00CB4A37" w:rsidRPr="00CB4A37" w:rsidRDefault="00CB4A37" w:rsidP="00CB4A37">
            <w:pPr>
              <w:spacing w:before="0" w:after="20"/>
              <w:ind w:left="57"/>
              <w:rPr>
                <w:b/>
                <w:bCs/>
                <w:color w:val="265A9A"/>
                <w:sz w:val="18"/>
              </w:rPr>
            </w:pPr>
            <w:r w:rsidRPr="00CB4A37">
              <w:rPr>
                <w:b/>
                <w:bCs/>
                <w:color w:val="265A9A"/>
                <w:sz w:val="18"/>
              </w:rPr>
              <w:t>16</w:t>
            </w:r>
          </w:p>
        </w:tc>
        <w:tc>
          <w:tcPr>
            <w:tcW w:w="1986" w:type="pct"/>
            <w:tcBorders>
              <w:top w:val="nil"/>
              <w:left w:val="nil"/>
              <w:bottom w:val="nil"/>
              <w:right w:val="nil"/>
            </w:tcBorders>
            <w:hideMark/>
          </w:tcPr>
          <w:p w14:paraId="20C85EA3" w14:textId="77777777" w:rsidR="00CB4A37" w:rsidRPr="00CB4A37" w:rsidRDefault="00CB4A37" w:rsidP="00CB4A37">
            <w:pPr>
              <w:spacing w:before="0" w:after="20"/>
              <w:ind w:left="57"/>
              <w:rPr>
                <w:sz w:val="18"/>
              </w:rPr>
            </w:pPr>
            <w:r w:rsidRPr="00CB4A37">
              <w:rPr>
                <w:sz w:val="18"/>
              </w:rPr>
              <w:t>Vietnam (VNM)</w:t>
            </w:r>
          </w:p>
        </w:tc>
        <w:tc>
          <w:tcPr>
            <w:tcW w:w="514" w:type="pct"/>
            <w:tcBorders>
              <w:top w:val="nil"/>
              <w:left w:val="nil"/>
              <w:bottom w:val="nil"/>
              <w:right w:val="nil"/>
            </w:tcBorders>
            <w:hideMark/>
          </w:tcPr>
          <w:p w14:paraId="41E35D8B" w14:textId="77777777" w:rsidR="00CB4A37" w:rsidRPr="00CB4A37" w:rsidRDefault="00CB4A37" w:rsidP="00CB4A37">
            <w:pPr>
              <w:spacing w:before="0" w:after="20"/>
              <w:ind w:left="57"/>
              <w:rPr>
                <w:b/>
                <w:bCs/>
                <w:color w:val="265A9A"/>
                <w:sz w:val="18"/>
              </w:rPr>
            </w:pPr>
            <w:r w:rsidRPr="00CB4A37">
              <w:rPr>
                <w:b/>
                <w:bCs/>
                <w:color w:val="265A9A"/>
                <w:sz w:val="18"/>
              </w:rPr>
              <w:t>34</w:t>
            </w:r>
          </w:p>
        </w:tc>
        <w:tc>
          <w:tcPr>
            <w:tcW w:w="1985" w:type="pct"/>
            <w:tcBorders>
              <w:top w:val="nil"/>
              <w:left w:val="nil"/>
              <w:bottom w:val="nil"/>
              <w:right w:val="nil"/>
            </w:tcBorders>
            <w:hideMark/>
          </w:tcPr>
          <w:p w14:paraId="4A887E87" w14:textId="77777777" w:rsidR="00CB4A37" w:rsidRPr="00CB4A37" w:rsidRDefault="00CB4A37" w:rsidP="00CB4A37">
            <w:pPr>
              <w:spacing w:before="0" w:after="20"/>
              <w:ind w:left="57"/>
              <w:rPr>
                <w:sz w:val="18"/>
              </w:rPr>
            </w:pPr>
            <w:r w:rsidRPr="00CB4A37">
              <w:rPr>
                <w:sz w:val="18"/>
              </w:rPr>
              <w:t>South Africa (ZAF)</w:t>
            </w:r>
          </w:p>
        </w:tc>
      </w:tr>
      <w:tr w:rsidR="00CB4A37" w:rsidRPr="00CB4A37" w14:paraId="06DEEEAE" w14:textId="77777777" w:rsidTr="00074CE0">
        <w:trPr>
          <w:trHeight w:val="260"/>
        </w:trPr>
        <w:tc>
          <w:tcPr>
            <w:tcW w:w="515" w:type="pct"/>
            <w:tcBorders>
              <w:top w:val="nil"/>
              <w:left w:val="nil"/>
              <w:right w:val="nil"/>
            </w:tcBorders>
            <w:shd w:val="clear" w:color="000000" w:fill="F2F2F2"/>
            <w:hideMark/>
          </w:tcPr>
          <w:p w14:paraId="2CA672E7" w14:textId="77777777" w:rsidR="00CB4A37" w:rsidRPr="00CB4A37" w:rsidRDefault="00CB4A37" w:rsidP="00CB4A37">
            <w:pPr>
              <w:spacing w:before="0" w:after="20"/>
              <w:ind w:left="57"/>
              <w:rPr>
                <w:b/>
                <w:bCs/>
                <w:color w:val="265A9A"/>
                <w:sz w:val="18"/>
              </w:rPr>
            </w:pPr>
            <w:r w:rsidRPr="00CB4A37">
              <w:rPr>
                <w:b/>
                <w:bCs/>
                <w:color w:val="265A9A"/>
                <w:sz w:val="18"/>
              </w:rPr>
              <w:t>17</w:t>
            </w:r>
          </w:p>
        </w:tc>
        <w:tc>
          <w:tcPr>
            <w:tcW w:w="1986" w:type="pct"/>
            <w:tcBorders>
              <w:top w:val="nil"/>
              <w:left w:val="nil"/>
              <w:right w:val="nil"/>
            </w:tcBorders>
            <w:shd w:val="clear" w:color="000000" w:fill="F2F2F2"/>
            <w:hideMark/>
          </w:tcPr>
          <w:p w14:paraId="0892D3D3" w14:textId="77777777" w:rsidR="00CB4A37" w:rsidRPr="00CB4A37" w:rsidRDefault="00CB4A37" w:rsidP="00CB4A37">
            <w:pPr>
              <w:spacing w:before="0" w:after="20"/>
              <w:ind w:left="57"/>
              <w:rPr>
                <w:sz w:val="18"/>
              </w:rPr>
            </w:pPr>
            <w:r w:rsidRPr="00CB4A37">
              <w:rPr>
                <w:sz w:val="18"/>
              </w:rPr>
              <w:t>Rest of South</w:t>
            </w:r>
            <w:r w:rsidRPr="00CB4A37">
              <w:rPr>
                <w:sz w:val="18"/>
              </w:rPr>
              <w:noBreakHyphen/>
              <w:t>East Asia (XSE)</w:t>
            </w:r>
          </w:p>
        </w:tc>
        <w:tc>
          <w:tcPr>
            <w:tcW w:w="514" w:type="pct"/>
            <w:tcBorders>
              <w:top w:val="nil"/>
              <w:left w:val="nil"/>
              <w:right w:val="nil"/>
            </w:tcBorders>
            <w:shd w:val="clear" w:color="000000" w:fill="F2F2F2"/>
            <w:hideMark/>
          </w:tcPr>
          <w:p w14:paraId="03D4F935" w14:textId="77777777" w:rsidR="00CB4A37" w:rsidRPr="00CB4A37" w:rsidRDefault="00CB4A37" w:rsidP="00CB4A37">
            <w:pPr>
              <w:spacing w:before="0" w:after="20"/>
              <w:ind w:left="57"/>
              <w:rPr>
                <w:b/>
                <w:bCs/>
                <w:color w:val="265A9A"/>
                <w:sz w:val="18"/>
              </w:rPr>
            </w:pPr>
            <w:r w:rsidRPr="00CB4A37">
              <w:rPr>
                <w:b/>
                <w:bCs/>
                <w:color w:val="265A9A"/>
                <w:sz w:val="18"/>
              </w:rPr>
              <w:t>35</w:t>
            </w:r>
          </w:p>
        </w:tc>
        <w:tc>
          <w:tcPr>
            <w:tcW w:w="1985" w:type="pct"/>
            <w:tcBorders>
              <w:top w:val="nil"/>
              <w:left w:val="nil"/>
              <w:right w:val="nil"/>
            </w:tcBorders>
            <w:shd w:val="clear" w:color="000000" w:fill="F2F2F2"/>
            <w:hideMark/>
          </w:tcPr>
          <w:p w14:paraId="1C691889" w14:textId="77777777" w:rsidR="00CB4A37" w:rsidRPr="00CB4A37" w:rsidRDefault="00CB4A37" w:rsidP="00CB4A37">
            <w:pPr>
              <w:spacing w:before="0" w:after="20"/>
              <w:ind w:left="57"/>
              <w:rPr>
                <w:sz w:val="18"/>
              </w:rPr>
            </w:pPr>
            <w:r w:rsidRPr="00CB4A37">
              <w:rPr>
                <w:sz w:val="18"/>
              </w:rPr>
              <w:t>Rest of Africa (ROF)</w:t>
            </w:r>
          </w:p>
        </w:tc>
      </w:tr>
      <w:tr w:rsidR="00CB4A37" w:rsidRPr="00CB4A37" w14:paraId="07D9790A" w14:textId="77777777" w:rsidTr="00074CE0">
        <w:trPr>
          <w:trHeight w:val="260"/>
        </w:trPr>
        <w:tc>
          <w:tcPr>
            <w:tcW w:w="515" w:type="pct"/>
            <w:tcBorders>
              <w:top w:val="nil"/>
              <w:left w:val="nil"/>
              <w:bottom w:val="single" w:sz="4" w:space="0" w:color="B3B3B3"/>
              <w:right w:val="nil"/>
            </w:tcBorders>
            <w:hideMark/>
          </w:tcPr>
          <w:p w14:paraId="31773173" w14:textId="77777777" w:rsidR="00CB4A37" w:rsidRPr="00CB4A37" w:rsidRDefault="00CB4A37" w:rsidP="00CB4A37">
            <w:pPr>
              <w:spacing w:before="0" w:after="20"/>
              <w:ind w:left="57"/>
              <w:rPr>
                <w:b/>
                <w:bCs/>
                <w:color w:val="265A9A"/>
                <w:sz w:val="18"/>
              </w:rPr>
            </w:pPr>
            <w:r w:rsidRPr="00CB4A37">
              <w:rPr>
                <w:b/>
                <w:bCs/>
                <w:color w:val="265A9A"/>
                <w:sz w:val="18"/>
              </w:rPr>
              <w:t>18</w:t>
            </w:r>
          </w:p>
        </w:tc>
        <w:tc>
          <w:tcPr>
            <w:tcW w:w="1986" w:type="pct"/>
            <w:tcBorders>
              <w:top w:val="nil"/>
              <w:left w:val="nil"/>
              <w:bottom w:val="single" w:sz="4" w:space="0" w:color="B3B3B3"/>
              <w:right w:val="nil"/>
            </w:tcBorders>
            <w:hideMark/>
          </w:tcPr>
          <w:p w14:paraId="44B0D102" w14:textId="77777777" w:rsidR="00CB4A37" w:rsidRPr="00CB4A37" w:rsidRDefault="00CB4A37" w:rsidP="00CB4A37">
            <w:pPr>
              <w:spacing w:before="0" w:after="20"/>
              <w:ind w:left="57"/>
              <w:rPr>
                <w:sz w:val="18"/>
              </w:rPr>
            </w:pPr>
            <w:r w:rsidRPr="00CB4A37">
              <w:rPr>
                <w:sz w:val="18"/>
              </w:rPr>
              <w:t>Bangladesh (BGD)</w:t>
            </w:r>
          </w:p>
        </w:tc>
        <w:tc>
          <w:tcPr>
            <w:tcW w:w="514" w:type="pct"/>
            <w:tcBorders>
              <w:top w:val="nil"/>
              <w:left w:val="nil"/>
              <w:bottom w:val="single" w:sz="4" w:space="0" w:color="B3B3B3"/>
              <w:right w:val="nil"/>
            </w:tcBorders>
            <w:hideMark/>
          </w:tcPr>
          <w:p w14:paraId="4E4F1776" w14:textId="77777777" w:rsidR="00CB4A37" w:rsidRPr="00CB4A37" w:rsidRDefault="00CB4A37" w:rsidP="00CB4A37">
            <w:pPr>
              <w:spacing w:before="0" w:after="20"/>
              <w:ind w:left="57"/>
              <w:rPr>
                <w:sz w:val="18"/>
              </w:rPr>
            </w:pPr>
          </w:p>
        </w:tc>
        <w:tc>
          <w:tcPr>
            <w:tcW w:w="1985" w:type="pct"/>
            <w:tcBorders>
              <w:top w:val="nil"/>
              <w:left w:val="nil"/>
              <w:bottom w:val="single" w:sz="4" w:space="0" w:color="B3B3B3"/>
              <w:right w:val="nil"/>
            </w:tcBorders>
            <w:hideMark/>
          </w:tcPr>
          <w:p w14:paraId="4B43EC9F" w14:textId="77777777" w:rsidR="00CB4A37" w:rsidRPr="00CB4A37" w:rsidRDefault="00CB4A37" w:rsidP="00CB4A37">
            <w:pPr>
              <w:spacing w:before="0" w:after="20"/>
              <w:ind w:left="57"/>
              <w:rPr>
                <w:sz w:val="18"/>
              </w:rPr>
            </w:pPr>
          </w:p>
        </w:tc>
      </w:tr>
    </w:tbl>
    <w:p w14:paraId="3D052FFA" w14:textId="77777777" w:rsidR="00CB4A37" w:rsidRPr="00CB4A37" w:rsidRDefault="00CB4A37" w:rsidP="00CB4A37">
      <w:pPr>
        <w:rPr>
          <w:lang w:eastAsia="en-AU"/>
        </w:rPr>
      </w:pPr>
    </w:p>
    <w:p w14:paraId="0B0E5E45" w14:textId="77777777" w:rsidR="00CB4A37" w:rsidRPr="00CB4A37" w:rsidRDefault="00CB4A37" w:rsidP="00CB4A37">
      <w:r w:rsidRPr="00CB4A37">
        <w:br w:type="page"/>
      </w:r>
    </w:p>
    <w:p w14:paraId="41432561" w14:textId="77777777" w:rsidR="00CB4A37" w:rsidRPr="00CB4A37" w:rsidRDefault="00CB4A37" w:rsidP="00CB4A37">
      <w:pPr>
        <w:keepNext/>
        <w:spacing w:before="240" w:after="40"/>
        <w:rPr>
          <w:rFonts w:asciiTheme="majorHAnsi" w:hAnsiTheme="majorHAnsi"/>
          <w:iCs/>
          <w:color w:val="000000" w:themeColor="text1"/>
          <w:szCs w:val="18"/>
        </w:rPr>
      </w:pPr>
      <w:r w:rsidRPr="00CB4A37">
        <w:rPr>
          <w:rFonts w:asciiTheme="majorHAnsi" w:hAnsiTheme="majorHAnsi"/>
          <w:iCs/>
          <w:color w:val="000000" w:themeColor="text1"/>
          <w:szCs w:val="18"/>
        </w:rPr>
        <w:lastRenderedPageBreak/>
        <w:t>Table A.5</w:t>
      </w:r>
      <w:r w:rsidRPr="00CB4A37">
        <w:rPr>
          <w:rFonts w:asciiTheme="majorHAnsi" w:hAnsiTheme="majorHAnsi"/>
          <w:iCs/>
          <w:noProof/>
          <w:color w:val="000000" w:themeColor="text1"/>
          <w:szCs w:val="18"/>
        </w:rPr>
        <w:t xml:space="preserve"> – </w:t>
      </w:r>
      <w:r w:rsidRPr="00CB4A37">
        <w:rPr>
          <w:rFonts w:asciiTheme="majorHAnsi" w:hAnsiTheme="majorHAnsi"/>
          <w:iCs/>
          <w:color w:val="000000" w:themeColor="text1"/>
          <w:szCs w:val="18"/>
        </w:rPr>
        <w:t>Industries in the PC Global database</w:t>
      </w:r>
      <w:r w:rsidRPr="00CB4A37">
        <w:rPr>
          <w:rFonts w:asciiTheme="majorHAnsi" w:hAnsiTheme="majorHAnsi"/>
          <w:b/>
          <w:bCs/>
          <w:iCs/>
          <w:color w:val="000000" w:themeColor="text1"/>
          <w:szCs w:val="18"/>
          <w:vertAlign w:val="superscript"/>
        </w:rPr>
        <w:t>a</w:t>
      </w:r>
      <w:r w:rsidRPr="00CB4A37">
        <w:rPr>
          <w:rFonts w:asciiTheme="majorHAnsi" w:hAnsiTheme="majorHAnsi"/>
          <w:iCs/>
          <w:color w:val="000000" w:themeColor="text1"/>
          <w:szCs w:val="18"/>
          <w:vertAlign w:val="superscript"/>
        </w:rPr>
        <w:t>,b</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4"/>
        <w:gridCol w:w="3855"/>
        <w:gridCol w:w="964"/>
        <w:gridCol w:w="3855"/>
      </w:tblGrid>
      <w:tr w:rsidR="00CB4A37" w:rsidRPr="00CB4A37" w14:paraId="462DE880" w14:textId="77777777" w:rsidTr="00074CE0">
        <w:trPr>
          <w:trHeight w:val="250"/>
          <w:tblHeader/>
        </w:trPr>
        <w:tc>
          <w:tcPr>
            <w:tcW w:w="500" w:type="pct"/>
            <w:tcBorders>
              <w:bottom w:val="single" w:sz="4" w:space="0" w:color="B3B3B3"/>
            </w:tcBorders>
            <w:shd w:val="clear" w:color="000000" w:fill="auto"/>
            <w:vAlign w:val="bottom"/>
            <w:hideMark/>
          </w:tcPr>
          <w:p w14:paraId="47FDC970" w14:textId="77777777" w:rsidR="00CB4A37" w:rsidRPr="00CB4A37" w:rsidRDefault="00CB4A37" w:rsidP="00CB4A37">
            <w:pPr>
              <w:spacing w:before="0" w:after="20"/>
              <w:ind w:left="57"/>
              <w:rPr>
                <w:b/>
                <w:color w:val="265A9A" w:themeColor="background2"/>
                <w:sz w:val="18"/>
                <w:lang w:eastAsia="en-AU"/>
              </w:rPr>
            </w:pPr>
            <w:bookmarkStart w:id="105" w:name="RANGE!A7:D40"/>
            <w:r w:rsidRPr="00CB4A37">
              <w:rPr>
                <w:b/>
                <w:color w:val="265A9A" w:themeColor="background2"/>
                <w:sz w:val="18"/>
                <w:lang w:eastAsia="en-AU"/>
              </w:rPr>
              <w:t>Number</w:t>
            </w:r>
            <w:bookmarkEnd w:id="105"/>
          </w:p>
        </w:tc>
        <w:tc>
          <w:tcPr>
            <w:tcW w:w="2000" w:type="pct"/>
            <w:tcBorders>
              <w:bottom w:val="single" w:sz="4" w:space="0" w:color="B3B3B3"/>
            </w:tcBorders>
            <w:shd w:val="clear" w:color="000000" w:fill="auto"/>
            <w:vAlign w:val="bottom"/>
            <w:hideMark/>
          </w:tcPr>
          <w:p w14:paraId="6E25A74D" w14:textId="77777777" w:rsidR="00CB4A37" w:rsidRPr="00CB4A37" w:rsidRDefault="00CB4A37" w:rsidP="00CB4A37">
            <w:pPr>
              <w:spacing w:before="0" w:after="20"/>
              <w:ind w:left="57"/>
              <w:rPr>
                <w:b/>
                <w:color w:val="265A9A" w:themeColor="background2"/>
                <w:sz w:val="18"/>
                <w:lang w:eastAsia="en-AU"/>
              </w:rPr>
            </w:pPr>
            <w:r w:rsidRPr="00CB4A37">
              <w:rPr>
                <w:b/>
                <w:color w:val="265A9A" w:themeColor="background2"/>
                <w:sz w:val="18"/>
                <w:lang w:eastAsia="en-AU"/>
              </w:rPr>
              <w:t>Industry</w:t>
            </w:r>
          </w:p>
        </w:tc>
        <w:tc>
          <w:tcPr>
            <w:tcW w:w="500" w:type="pct"/>
            <w:tcBorders>
              <w:bottom w:val="single" w:sz="4" w:space="0" w:color="B3B3B3"/>
            </w:tcBorders>
            <w:shd w:val="clear" w:color="000000" w:fill="auto"/>
            <w:vAlign w:val="bottom"/>
            <w:hideMark/>
          </w:tcPr>
          <w:p w14:paraId="3590181B" w14:textId="77777777" w:rsidR="00CB4A37" w:rsidRPr="00CB4A37" w:rsidRDefault="00CB4A37" w:rsidP="00CB4A37">
            <w:pPr>
              <w:spacing w:before="0" w:after="20"/>
              <w:ind w:left="57"/>
              <w:rPr>
                <w:b/>
                <w:color w:val="265A9A" w:themeColor="background2"/>
                <w:sz w:val="18"/>
                <w:lang w:eastAsia="en-AU"/>
              </w:rPr>
            </w:pPr>
            <w:r w:rsidRPr="00CB4A37">
              <w:rPr>
                <w:b/>
                <w:color w:val="265A9A" w:themeColor="background2"/>
                <w:sz w:val="18"/>
                <w:lang w:eastAsia="en-AU"/>
              </w:rPr>
              <w:t>Number</w:t>
            </w:r>
          </w:p>
        </w:tc>
        <w:tc>
          <w:tcPr>
            <w:tcW w:w="2000" w:type="pct"/>
            <w:tcBorders>
              <w:bottom w:val="single" w:sz="4" w:space="0" w:color="B3B3B3"/>
            </w:tcBorders>
            <w:shd w:val="clear" w:color="000000" w:fill="auto"/>
            <w:vAlign w:val="bottom"/>
            <w:hideMark/>
          </w:tcPr>
          <w:p w14:paraId="73F98345" w14:textId="77777777" w:rsidR="00CB4A37" w:rsidRPr="00CB4A37" w:rsidRDefault="00CB4A37" w:rsidP="00CB4A37">
            <w:pPr>
              <w:spacing w:before="0" w:after="20"/>
              <w:ind w:left="57"/>
              <w:rPr>
                <w:b/>
                <w:color w:val="265A9A" w:themeColor="background2"/>
                <w:sz w:val="18"/>
                <w:lang w:eastAsia="en-AU"/>
              </w:rPr>
            </w:pPr>
            <w:r w:rsidRPr="00CB4A37">
              <w:rPr>
                <w:b/>
                <w:color w:val="265A9A" w:themeColor="background2"/>
                <w:sz w:val="18"/>
                <w:lang w:eastAsia="en-AU"/>
              </w:rPr>
              <w:t>Industry</w:t>
            </w:r>
          </w:p>
        </w:tc>
      </w:tr>
      <w:tr w:rsidR="00CB4A37" w:rsidRPr="00CB4A37" w14:paraId="4F41C5D3" w14:textId="77777777" w:rsidTr="00074CE0">
        <w:trPr>
          <w:trHeight w:val="300"/>
        </w:trPr>
        <w:tc>
          <w:tcPr>
            <w:tcW w:w="500" w:type="pct"/>
            <w:tcBorders>
              <w:top w:val="single" w:sz="4" w:space="0" w:color="B3B3B3"/>
              <w:bottom w:val="nil"/>
            </w:tcBorders>
            <w:shd w:val="clear" w:color="000000" w:fill="F2F2F2"/>
            <w:hideMark/>
          </w:tcPr>
          <w:p w14:paraId="6A3D48D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w:t>
            </w:r>
          </w:p>
        </w:tc>
        <w:tc>
          <w:tcPr>
            <w:tcW w:w="2000" w:type="pct"/>
            <w:tcBorders>
              <w:top w:val="single" w:sz="4" w:space="0" w:color="B3B3B3"/>
              <w:bottom w:val="nil"/>
            </w:tcBorders>
            <w:shd w:val="clear" w:color="000000" w:fill="F2F2F2"/>
            <w:hideMark/>
          </w:tcPr>
          <w:p w14:paraId="4C207836" w14:textId="77777777" w:rsidR="00CB4A37" w:rsidRPr="00CB4A37" w:rsidRDefault="00CB4A37" w:rsidP="00CB4A37">
            <w:pPr>
              <w:spacing w:before="0" w:after="20"/>
              <w:ind w:left="57"/>
              <w:rPr>
                <w:color w:val="000000"/>
                <w:sz w:val="18"/>
                <w:lang w:eastAsia="en-AU"/>
              </w:rPr>
            </w:pPr>
            <w:r w:rsidRPr="00CB4A37">
              <w:rPr>
                <w:color w:val="000000"/>
                <w:sz w:val="18"/>
                <w:lang w:eastAsia="en-AU"/>
              </w:rPr>
              <w:t>Paddy rice</w:t>
            </w:r>
          </w:p>
        </w:tc>
        <w:tc>
          <w:tcPr>
            <w:tcW w:w="500" w:type="pct"/>
            <w:tcBorders>
              <w:top w:val="single" w:sz="4" w:space="0" w:color="B3B3B3"/>
              <w:bottom w:val="nil"/>
            </w:tcBorders>
            <w:shd w:val="clear" w:color="000000" w:fill="F2F2F2"/>
            <w:hideMark/>
          </w:tcPr>
          <w:p w14:paraId="14B07F1E"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34</w:t>
            </w:r>
          </w:p>
        </w:tc>
        <w:tc>
          <w:tcPr>
            <w:tcW w:w="2000" w:type="pct"/>
            <w:tcBorders>
              <w:top w:val="single" w:sz="4" w:space="0" w:color="B3B3B3"/>
              <w:bottom w:val="nil"/>
            </w:tcBorders>
            <w:shd w:val="clear" w:color="000000" w:fill="F2F2F2"/>
            <w:hideMark/>
          </w:tcPr>
          <w:p w14:paraId="52097106" w14:textId="77777777" w:rsidR="00CB4A37" w:rsidRPr="00CB4A37" w:rsidRDefault="00CB4A37" w:rsidP="00CB4A37">
            <w:pPr>
              <w:spacing w:before="0" w:after="20"/>
              <w:ind w:left="57"/>
              <w:rPr>
                <w:color w:val="000000"/>
                <w:sz w:val="18"/>
                <w:lang w:eastAsia="en-AU"/>
              </w:rPr>
            </w:pPr>
            <w:r w:rsidRPr="00CB4A37">
              <w:rPr>
                <w:color w:val="000000"/>
                <w:sz w:val="18"/>
                <w:lang w:eastAsia="en-AU"/>
              </w:rPr>
              <w:t>Basic pharmaceutical products</w:t>
            </w:r>
          </w:p>
        </w:tc>
      </w:tr>
      <w:tr w:rsidR="00CB4A37" w:rsidRPr="00CB4A37" w14:paraId="07E3579E" w14:textId="77777777" w:rsidTr="00074CE0">
        <w:trPr>
          <w:trHeight w:val="300"/>
        </w:trPr>
        <w:tc>
          <w:tcPr>
            <w:tcW w:w="500" w:type="pct"/>
            <w:tcBorders>
              <w:top w:val="nil"/>
              <w:bottom w:val="nil"/>
            </w:tcBorders>
            <w:shd w:val="clear" w:color="000000" w:fill="auto"/>
            <w:hideMark/>
          </w:tcPr>
          <w:p w14:paraId="294F16E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w:t>
            </w:r>
          </w:p>
        </w:tc>
        <w:tc>
          <w:tcPr>
            <w:tcW w:w="2000" w:type="pct"/>
            <w:tcBorders>
              <w:top w:val="nil"/>
              <w:bottom w:val="nil"/>
            </w:tcBorders>
            <w:shd w:val="clear" w:color="000000" w:fill="auto"/>
            <w:hideMark/>
          </w:tcPr>
          <w:p w14:paraId="5A2E814B" w14:textId="77777777" w:rsidR="00CB4A37" w:rsidRPr="00CB4A37" w:rsidRDefault="00CB4A37" w:rsidP="00CB4A37">
            <w:pPr>
              <w:spacing w:before="0" w:after="20"/>
              <w:ind w:left="57"/>
              <w:rPr>
                <w:color w:val="000000"/>
                <w:sz w:val="18"/>
                <w:lang w:eastAsia="en-AU"/>
              </w:rPr>
            </w:pPr>
            <w:r w:rsidRPr="00CB4A37">
              <w:rPr>
                <w:color w:val="000000"/>
                <w:sz w:val="18"/>
                <w:lang w:eastAsia="en-AU"/>
              </w:rPr>
              <w:t>Wheat</w:t>
            </w:r>
          </w:p>
        </w:tc>
        <w:tc>
          <w:tcPr>
            <w:tcW w:w="500" w:type="pct"/>
            <w:tcBorders>
              <w:top w:val="nil"/>
              <w:bottom w:val="nil"/>
            </w:tcBorders>
            <w:shd w:val="clear" w:color="000000" w:fill="auto"/>
            <w:hideMark/>
          </w:tcPr>
          <w:p w14:paraId="4523113B"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35</w:t>
            </w:r>
          </w:p>
        </w:tc>
        <w:tc>
          <w:tcPr>
            <w:tcW w:w="2000" w:type="pct"/>
            <w:tcBorders>
              <w:top w:val="nil"/>
              <w:bottom w:val="nil"/>
            </w:tcBorders>
            <w:shd w:val="clear" w:color="000000" w:fill="auto"/>
            <w:hideMark/>
          </w:tcPr>
          <w:p w14:paraId="6D58EF5B" w14:textId="77777777" w:rsidR="00CB4A37" w:rsidRPr="00CB4A37" w:rsidRDefault="00CB4A37" w:rsidP="00CB4A37">
            <w:pPr>
              <w:spacing w:before="0" w:after="20"/>
              <w:ind w:left="57"/>
              <w:rPr>
                <w:color w:val="000000"/>
                <w:sz w:val="18"/>
                <w:lang w:eastAsia="en-AU"/>
              </w:rPr>
            </w:pPr>
            <w:r w:rsidRPr="00CB4A37">
              <w:rPr>
                <w:color w:val="000000"/>
                <w:sz w:val="18"/>
                <w:lang w:eastAsia="en-AU"/>
              </w:rPr>
              <w:t>Rubber and plastic products</w:t>
            </w:r>
          </w:p>
        </w:tc>
      </w:tr>
      <w:tr w:rsidR="00CB4A37" w:rsidRPr="00CB4A37" w14:paraId="7C346F08" w14:textId="77777777" w:rsidTr="00074CE0">
        <w:trPr>
          <w:trHeight w:val="260"/>
        </w:trPr>
        <w:tc>
          <w:tcPr>
            <w:tcW w:w="500" w:type="pct"/>
            <w:tcBorders>
              <w:bottom w:val="nil"/>
            </w:tcBorders>
            <w:shd w:val="clear" w:color="000000" w:fill="F2F2F2"/>
            <w:hideMark/>
          </w:tcPr>
          <w:p w14:paraId="37A50F0F"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w:t>
            </w:r>
          </w:p>
        </w:tc>
        <w:tc>
          <w:tcPr>
            <w:tcW w:w="2000" w:type="pct"/>
            <w:tcBorders>
              <w:bottom w:val="nil"/>
            </w:tcBorders>
            <w:shd w:val="clear" w:color="000000" w:fill="F2F2F2"/>
            <w:hideMark/>
          </w:tcPr>
          <w:p w14:paraId="523F70F0" w14:textId="77777777" w:rsidR="00CB4A37" w:rsidRPr="00CB4A37" w:rsidRDefault="00CB4A37" w:rsidP="00CB4A37">
            <w:pPr>
              <w:spacing w:before="0" w:after="20"/>
              <w:ind w:left="57"/>
              <w:rPr>
                <w:color w:val="000000"/>
                <w:sz w:val="18"/>
                <w:lang w:eastAsia="en-AU"/>
              </w:rPr>
            </w:pPr>
            <w:r w:rsidRPr="00CB4A37">
              <w:rPr>
                <w:color w:val="000000"/>
                <w:sz w:val="18"/>
                <w:lang w:eastAsia="en-AU"/>
              </w:rPr>
              <w:t>Cereal grains nec</w:t>
            </w:r>
          </w:p>
        </w:tc>
        <w:tc>
          <w:tcPr>
            <w:tcW w:w="500" w:type="pct"/>
            <w:tcBorders>
              <w:bottom w:val="nil"/>
            </w:tcBorders>
            <w:shd w:val="clear" w:color="000000" w:fill="F2F2F2"/>
            <w:hideMark/>
          </w:tcPr>
          <w:p w14:paraId="66DC93C2"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36</w:t>
            </w:r>
          </w:p>
        </w:tc>
        <w:tc>
          <w:tcPr>
            <w:tcW w:w="2000" w:type="pct"/>
            <w:tcBorders>
              <w:bottom w:val="nil"/>
            </w:tcBorders>
            <w:shd w:val="clear" w:color="000000" w:fill="F2F2F2"/>
            <w:hideMark/>
          </w:tcPr>
          <w:p w14:paraId="371D5AE2" w14:textId="77777777" w:rsidR="00CB4A37" w:rsidRPr="00CB4A37" w:rsidRDefault="00CB4A37" w:rsidP="00CB4A37">
            <w:pPr>
              <w:spacing w:before="0" w:after="20"/>
              <w:ind w:left="57"/>
              <w:rPr>
                <w:color w:val="000000"/>
                <w:sz w:val="18"/>
                <w:lang w:eastAsia="en-AU"/>
              </w:rPr>
            </w:pPr>
            <w:r w:rsidRPr="00CB4A37">
              <w:rPr>
                <w:color w:val="000000"/>
                <w:sz w:val="18"/>
                <w:lang w:eastAsia="en-AU"/>
              </w:rPr>
              <w:t>Mineral products nec</w:t>
            </w:r>
          </w:p>
        </w:tc>
      </w:tr>
      <w:tr w:rsidR="00CB4A37" w:rsidRPr="00CB4A37" w14:paraId="4FB1E375" w14:textId="77777777" w:rsidTr="00074CE0">
        <w:trPr>
          <w:trHeight w:val="260"/>
        </w:trPr>
        <w:tc>
          <w:tcPr>
            <w:tcW w:w="500" w:type="pct"/>
            <w:tcBorders>
              <w:top w:val="nil"/>
              <w:bottom w:val="nil"/>
            </w:tcBorders>
            <w:shd w:val="clear" w:color="000000" w:fill="auto"/>
            <w:hideMark/>
          </w:tcPr>
          <w:p w14:paraId="02948B6F"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w:t>
            </w:r>
          </w:p>
        </w:tc>
        <w:tc>
          <w:tcPr>
            <w:tcW w:w="2000" w:type="pct"/>
            <w:tcBorders>
              <w:top w:val="nil"/>
              <w:bottom w:val="nil"/>
            </w:tcBorders>
            <w:shd w:val="clear" w:color="000000" w:fill="auto"/>
            <w:hideMark/>
          </w:tcPr>
          <w:p w14:paraId="17B5C8D0" w14:textId="77777777" w:rsidR="00CB4A37" w:rsidRPr="00CB4A37" w:rsidRDefault="00CB4A37" w:rsidP="00CB4A37">
            <w:pPr>
              <w:spacing w:before="0" w:after="20"/>
              <w:ind w:left="57"/>
              <w:rPr>
                <w:color w:val="000000"/>
                <w:sz w:val="18"/>
                <w:lang w:eastAsia="en-AU"/>
              </w:rPr>
            </w:pPr>
            <w:r w:rsidRPr="00CB4A37">
              <w:rPr>
                <w:color w:val="000000"/>
                <w:sz w:val="18"/>
                <w:lang w:eastAsia="en-AU"/>
              </w:rPr>
              <w:t>Vegetables, fruit, nuts</w:t>
            </w:r>
          </w:p>
        </w:tc>
        <w:tc>
          <w:tcPr>
            <w:tcW w:w="500" w:type="pct"/>
            <w:tcBorders>
              <w:top w:val="nil"/>
              <w:bottom w:val="nil"/>
            </w:tcBorders>
            <w:shd w:val="clear" w:color="000000" w:fill="auto"/>
            <w:hideMark/>
          </w:tcPr>
          <w:p w14:paraId="33E5A2D7"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37</w:t>
            </w:r>
          </w:p>
        </w:tc>
        <w:tc>
          <w:tcPr>
            <w:tcW w:w="2000" w:type="pct"/>
            <w:tcBorders>
              <w:top w:val="nil"/>
              <w:bottom w:val="nil"/>
            </w:tcBorders>
            <w:shd w:val="clear" w:color="000000" w:fill="auto"/>
            <w:hideMark/>
          </w:tcPr>
          <w:p w14:paraId="0BA4E355" w14:textId="77777777" w:rsidR="00CB4A37" w:rsidRPr="00CB4A37" w:rsidRDefault="00CB4A37" w:rsidP="00CB4A37">
            <w:pPr>
              <w:spacing w:before="0" w:after="20"/>
              <w:ind w:left="57"/>
              <w:rPr>
                <w:color w:val="000000"/>
                <w:sz w:val="18"/>
                <w:lang w:eastAsia="en-AU"/>
              </w:rPr>
            </w:pPr>
            <w:r w:rsidRPr="00CB4A37">
              <w:rPr>
                <w:color w:val="000000"/>
                <w:sz w:val="18"/>
                <w:lang w:eastAsia="en-AU"/>
              </w:rPr>
              <w:t>Ferrous metals</w:t>
            </w:r>
          </w:p>
        </w:tc>
      </w:tr>
      <w:tr w:rsidR="00CB4A37" w:rsidRPr="00CB4A37" w14:paraId="5F50CB01" w14:textId="77777777" w:rsidTr="00074CE0">
        <w:trPr>
          <w:trHeight w:val="260"/>
        </w:trPr>
        <w:tc>
          <w:tcPr>
            <w:tcW w:w="500" w:type="pct"/>
            <w:tcBorders>
              <w:bottom w:val="nil"/>
            </w:tcBorders>
            <w:shd w:val="clear" w:color="000000" w:fill="F2F2F2"/>
            <w:hideMark/>
          </w:tcPr>
          <w:p w14:paraId="766FE67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w:t>
            </w:r>
          </w:p>
        </w:tc>
        <w:tc>
          <w:tcPr>
            <w:tcW w:w="2000" w:type="pct"/>
            <w:tcBorders>
              <w:bottom w:val="nil"/>
            </w:tcBorders>
            <w:shd w:val="clear" w:color="000000" w:fill="F2F2F2"/>
            <w:hideMark/>
          </w:tcPr>
          <w:p w14:paraId="3DE8E002" w14:textId="77777777" w:rsidR="00CB4A37" w:rsidRPr="00CB4A37" w:rsidRDefault="00CB4A37" w:rsidP="00CB4A37">
            <w:pPr>
              <w:spacing w:before="0" w:after="20"/>
              <w:ind w:left="57"/>
              <w:rPr>
                <w:color w:val="000000"/>
                <w:sz w:val="18"/>
                <w:lang w:eastAsia="en-AU"/>
              </w:rPr>
            </w:pPr>
            <w:r w:rsidRPr="00CB4A37">
              <w:rPr>
                <w:color w:val="000000"/>
                <w:sz w:val="18"/>
                <w:lang w:eastAsia="en-AU"/>
              </w:rPr>
              <w:t>Oil seeds</w:t>
            </w:r>
          </w:p>
        </w:tc>
        <w:tc>
          <w:tcPr>
            <w:tcW w:w="500" w:type="pct"/>
            <w:tcBorders>
              <w:bottom w:val="nil"/>
            </w:tcBorders>
            <w:shd w:val="clear" w:color="000000" w:fill="F2F2F2"/>
            <w:hideMark/>
          </w:tcPr>
          <w:p w14:paraId="29E68DE9"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38</w:t>
            </w:r>
          </w:p>
        </w:tc>
        <w:tc>
          <w:tcPr>
            <w:tcW w:w="2000" w:type="pct"/>
            <w:tcBorders>
              <w:bottom w:val="nil"/>
            </w:tcBorders>
            <w:shd w:val="clear" w:color="000000" w:fill="F2F2F2"/>
            <w:hideMark/>
          </w:tcPr>
          <w:p w14:paraId="0CDEEDAD" w14:textId="77777777" w:rsidR="00CB4A37" w:rsidRPr="00CB4A37" w:rsidRDefault="00CB4A37" w:rsidP="00CB4A37">
            <w:pPr>
              <w:spacing w:before="0" w:after="20"/>
              <w:ind w:left="57"/>
              <w:rPr>
                <w:color w:val="000000"/>
                <w:sz w:val="18"/>
                <w:lang w:eastAsia="en-AU"/>
              </w:rPr>
            </w:pPr>
            <w:r w:rsidRPr="00CB4A37">
              <w:rPr>
                <w:color w:val="000000"/>
                <w:sz w:val="18"/>
                <w:lang w:eastAsia="en-AU"/>
              </w:rPr>
              <w:t>Metals nec</w:t>
            </w:r>
          </w:p>
        </w:tc>
      </w:tr>
      <w:tr w:rsidR="00CB4A37" w:rsidRPr="00CB4A37" w14:paraId="2AE028D7" w14:textId="77777777" w:rsidTr="00074CE0">
        <w:trPr>
          <w:trHeight w:val="260"/>
        </w:trPr>
        <w:tc>
          <w:tcPr>
            <w:tcW w:w="500" w:type="pct"/>
            <w:tcBorders>
              <w:top w:val="nil"/>
              <w:bottom w:val="nil"/>
            </w:tcBorders>
            <w:shd w:val="clear" w:color="000000" w:fill="auto"/>
            <w:hideMark/>
          </w:tcPr>
          <w:p w14:paraId="3988D84E"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w:t>
            </w:r>
          </w:p>
        </w:tc>
        <w:tc>
          <w:tcPr>
            <w:tcW w:w="2000" w:type="pct"/>
            <w:tcBorders>
              <w:top w:val="nil"/>
              <w:bottom w:val="nil"/>
            </w:tcBorders>
            <w:shd w:val="clear" w:color="000000" w:fill="auto"/>
            <w:hideMark/>
          </w:tcPr>
          <w:p w14:paraId="51DEF43D" w14:textId="77777777" w:rsidR="00CB4A37" w:rsidRPr="00CB4A37" w:rsidRDefault="00CB4A37" w:rsidP="00CB4A37">
            <w:pPr>
              <w:spacing w:before="0" w:after="20"/>
              <w:ind w:left="57"/>
              <w:rPr>
                <w:color w:val="000000"/>
                <w:sz w:val="18"/>
                <w:lang w:eastAsia="en-AU"/>
              </w:rPr>
            </w:pPr>
            <w:r w:rsidRPr="00CB4A37">
              <w:rPr>
                <w:color w:val="000000"/>
                <w:sz w:val="18"/>
                <w:lang w:eastAsia="en-AU"/>
              </w:rPr>
              <w:t>Sugar cane, sugar beet</w:t>
            </w:r>
          </w:p>
        </w:tc>
        <w:tc>
          <w:tcPr>
            <w:tcW w:w="500" w:type="pct"/>
            <w:tcBorders>
              <w:top w:val="nil"/>
              <w:bottom w:val="nil"/>
            </w:tcBorders>
            <w:shd w:val="clear" w:color="000000" w:fill="auto"/>
            <w:hideMark/>
          </w:tcPr>
          <w:p w14:paraId="714CA212"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39</w:t>
            </w:r>
          </w:p>
        </w:tc>
        <w:tc>
          <w:tcPr>
            <w:tcW w:w="2000" w:type="pct"/>
            <w:tcBorders>
              <w:top w:val="nil"/>
              <w:bottom w:val="nil"/>
            </w:tcBorders>
            <w:shd w:val="clear" w:color="000000" w:fill="auto"/>
            <w:hideMark/>
          </w:tcPr>
          <w:p w14:paraId="23F28B8B" w14:textId="77777777" w:rsidR="00CB4A37" w:rsidRPr="00CB4A37" w:rsidRDefault="00CB4A37" w:rsidP="00CB4A37">
            <w:pPr>
              <w:spacing w:before="0" w:after="20"/>
              <w:ind w:left="57"/>
              <w:rPr>
                <w:color w:val="000000"/>
                <w:sz w:val="18"/>
                <w:lang w:eastAsia="en-AU"/>
              </w:rPr>
            </w:pPr>
            <w:r w:rsidRPr="00CB4A37">
              <w:rPr>
                <w:color w:val="000000"/>
                <w:sz w:val="18"/>
                <w:lang w:eastAsia="en-AU"/>
              </w:rPr>
              <w:t>Metal products</w:t>
            </w:r>
          </w:p>
        </w:tc>
      </w:tr>
      <w:tr w:rsidR="00CB4A37" w:rsidRPr="00CB4A37" w14:paraId="4CF3D120" w14:textId="77777777" w:rsidTr="00074CE0">
        <w:trPr>
          <w:trHeight w:val="300"/>
        </w:trPr>
        <w:tc>
          <w:tcPr>
            <w:tcW w:w="500" w:type="pct"/>
            <w:tcBorders>
              <w:bottom w:val="nil"/>
            </w:tcBorders>
            <w:shd w:val="clear" w:color="000000" w:fill="F2F2F2"/>
            <w:hideMark/>
          </w:tcPr>
          <w:p w14:paraId="748B95AC"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7</w:t>
            </w:r>
          </w:p>
        </w:tc>
        <w:tc>
          <w:tcPr>
            <w:tcW w:w="2000" w:type="pct"/>
            <w:tcBorders>
              <w:bottom w:val="nil"/>
            </w:tcBorders>
            <w:shd w:val="clear" w:color="000000" w:fill="F2F2F2"/>
            <w:hideMark/>
          </w:tcPr>
          <w:p w14:paraId="29F9D1F6" w14:textId="77777777" w:rsidR="00CB4A37" w:rsidRPr="00CB4A37" w:rsidRDefault="00CB4A37" w:rsidP="00CB4A37">
            <w:pPr>
              <w:spacing w:before="0" w:after="20"/>
              <w:ind w:left="57"/>
              <w:rPr>
                <w:color w:val="000000"/>
                <w:sz w:val="18"/>
                <w:lang w:eastAsia="en-AU"/>
              </w:rPr>
            </w:pPr>
            <w:r w:rsidRPr="00CB4A37">
              <w:rPr>
                <w:color w:val="000000"/>
                <w:sz w:val="18"/>
                <w:lang w:eastAsia="en-AU"/>
              </w:rPr>
              <w:t>Plant</w:t>
            </w:r>
            <w:r w:rsidRPr="00CB4A37">
              <w:rPr>
                <w:color w:val="000000"/>
                <w:sz w:val="18"/>
                <w:lang w:eastAsia="en-AU"/>
              </w:rPr>
              <w:noBreakHyphen/>
              <w:t>based fibres</w:t>
            </w:r>
          </w:p>
        </w:tc>
        <w:tc>
          <w:tcPr>
            <w:tcW w:w="500" w:type="pct"/>
            <w:tcBorders>
              <w:bottom w:val="nil"/>
            </w:tcBorders>
            <w:shd w:val="clear" w:color="000000" w:fill="F2F2F2"/>
            <w:hideMark/>
          </w:tcPr>
          <w:p w14:paraId="6FF88230"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40</w:t>
            </w:r>
          </w:p>
        </w:tc>
        <w:tc>
          <w:tcPr>
            <w:tcW w:w="2000" w:type="pct"/>
            <w:tcBorders>
              <w:bottom w:val="nil"/>
            </w:tcBorders>
            <w:shd w:val="clear" w:color="000000" w:fill="F2F2F2"/>
            <w:hideMark/>
          </w:tcPr>
          <w:p w14:paraId="2BA751A4" w14:textId="77777777" w:rsidR="00CB4A37" w:rsidRPr="00CB4A37" w:rsidRDefault="00CB4A37" w:rsidP="00CB4A37">
            <w:pPr>
              <w:spacing w:before="0" w:after="20"/>
              <w:ind w:left="57"/>
              <w:rPr>
                <w:color w:val="000000"/>
                <w:sz w:val="18"/>
                <w:lang w:eastAsia="en-AU"/>
              </w:rPr>
            </w:pPr>
            <w:r w:rsidRPr="00CB4A37">
              <w:rPr>
                <w:color w:val="000000"/>
                <w:sz w:val="18"/>
                <w:lang w:eastAsia="en-AU"/>
              </w:rPr>
              <w:t>Computer, electronic and optical products</w:t>
            </w:r>
          </w:p>
        </w:tc>
      </w:tr>
      <w:tr w:rsidR="00CB4A37" w:rsidRPr="00CB4A37" w14:paraId="3DB555AA" w14:textId="77777777" w:rsidTr="00074CE0">
        <w:trPr>
          <w:trHeight w:val="260"/>
        </w:trPr>
        <w:tc>
          <w:tcPr>
            <w:tcW w:w="500" w:type="pct"/>
            <w:tcBorders>
              <w:top w:val="nil"/>
              <w:bottom w:val="nil"/>
            </w:tcBorders>
            <w:shd w:val="clear" w:color="000000" w:fill="auto"/>
            <w:hideMark/>
          </w:tcPr>
          <w:p w14:paraId="40AA9C9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8</w:t>
            </w:r>
          </w:p>
        </w:tc>
        <w:tc>
          <w:tcPr>
            <w:tcW w:w="2000" w:type="pct"/>
            <w:tcBorders>
              <w:top w:val="nil"/>
              <w:bottom w:val="nil"/>
            </w:tcBorders>
            <w:shd w:val="clear" w:color="000000" w:fill="auto"/>
            <w:hideMark/>
          </w:tcPr>
          <w:p w14:paraId="6C45BF71" w14:textId="77777777" w:rsidR="00CB4A37" w:rsidRPr="00CB4A37" w:rsidRDefault="00CB4A37" w:rsidP="00CB4A37">
            <w:pPr>
              <w:spacing w:before="0" w:after="20"/>
              <w:ind w:left="57"/>
              <w:rPr>
                <w:color w:val="000000"/>
                <w:sz w:val="18"/>
                <w:lang w:eastAsia="en-AU"/>
              </w:rPr>
            </w:pPr>
            <w:r w:rsidRPr="00CB4A37">
              <w:rPr>
                <w:color w:val="000000"/>
                <w:sz w:val="18"/>
                <w:lang w:eastAsia="en-AU"/>
              </w:rPr>
              <w:t>Crops nec</w:t>
            </w:r>
          </w:p>
        </w:tc>
        <w:tc>
          <w:tcPr>
            <w:tcW w:w="500" w:type="pct"/>
            <w:tcBorders>
              <w:top w:val="nil"/>
              <w:bottom w:val="nil"/>
            </w:tcBorders>
            <w:shd w:val="clear" w:color="000000" w:fill="auto"/>
            <w:hideMark/>
          </w:tcPr>
          <w:p w14:paraId="4ACE3E8C"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41</w:t>
            </w:r>
          </w:p>
        </w:tc>
        <w:tc>
          <w:tcPr>
            <w:tcW w:w="2000" w:type="pct"/>
            <w:tcBorders>
              <w:top w:val="nil"/>
              <w:bottom w:val="nil"/>
            </w:tcBorders>
            <w:shd w:val="clear" w:color="000000" w:fill="auto"/>
            <w:hideMark/>
          </w:tcPr>
          <w:p w14:paraId="65425B4C" w14:textId="77777777" w:rsidR="00CB4A37" w:rsidRPr="00CB4A37" w:rsidRDefault="00CB4A37" w:rsidP="00CB4A37">
            <w:pPr>
              <w:spacing w:before="0" w:after="20"/>
              <w:ind w:left="57"/>
              <w:rPr>
                <w:color w:val="000000"/>
                <w:sz w:val="18"/>
                <w:lang w:eastAsia="en-AU"/>
              </w:rPr>
            </w:pPr>
            <w:r w:rsidRPr="00CB4A37">
              <w:rPr>
                <w:color w:val="000000"/>
                <w:sz w:val="18"/>
                <w:lang w:eastAsia="en-AU"/>
              </w:rPr>
              <w:t>Electrical equipment</w:t>
            </w:r>
          </w:p>
        </w:tc>
      </w:tr>
      <w:tr w:rsidR="00CB4A37" w:rsidRPr="00CB4A37" w14:paraId="14A454F7" w14:textId="77777777" w:rsidTr="00074CE0">
        <w:trPr>
          <w:trHeight w:val="300"/>
        </w:trPr>
        <w:tc>
          <w:tcPr>
            <w:tcW w:w="500" w:type="pct"/>
            <w:tcBorders>
              <w:bottom w:val="nil"/>
            </w:tcBorders>
            <w:shd w:val="clear" w:color="000000" w:fill="F2F2F2"/>
            <w:hideMark/>
          </w:tcPr>
          <w:p w14:paraId="70A4398A"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9</w:t>
            </w:r>
          </w:p>
        </w:tc>
        <w:tc>
          <w:tcPr>
            <w:tcW w:w="2000" w:type="pct"/>
            <w:tcBorders>
              <w:bottom w:val="nil"/>
            </w:tcBorders>
            <w:shd w:val="clear" w:color="000000" w:fill="F2F2F2"/>
            <w:hideMark/>
          </w:tcPr>
          <w:p w14:paraId="67405AB7" w14:textId="77777777" w:rsidR="00CB4A37" w:rsidRPr="00CB4A37" w:rsidRDefault="00CB4A37" w:rsidP="00CB4A37">
            <w:pPr>
              <w:spacing w:before="0" w:after="20"/>
              <w:ind w:left="57"/>
              <w:rPr>
                <w:color w:val="000000"/>
                <w:sz w:val="18"/>
                <w:lang w:eastAsia="en-AU"/>
              </w:rPr>
            </w:pPr>
            <w:r w:rsidRPr="00CB4A37">
              <w:rPr>
                <w:color w:val="000000"/>
                <w:sz w:val="18"/>
                <w:lang w:eastAsia="en-AU"/>
              </w:rPr>
              <w:t>Bovine cattle, sheep and goats, horses</w:t>
            </w:r>
          </w:p>
        </w:tc>
        <w:tc>
          <w:tcPr>
            <w:tcW w:w="500" w:type="pct"/>
            <w:tcBorders>
              <w:bottom w:val="nil"/>
            </w:tcBorders>
            <w:shd w:val="clear" w:color="000000" w:fill="F2F2F2"/>
            <w:hideMark/>
          </w:tcPr>
          <w:p w14:paraId="2AE51ACA"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42</w:t>
            </w:r>
          </w:p>
        </w:tc>
        <w:tc>
          <w:tcPr>
            <w:tcW w:w="2000" w:type="pct"/>
            <w:tcBorders>
              <w:bottom w:val="nil"/>
            </w:tcBorders>
            <w:shd w:val="clear" w:color="000000" w:fill="F2F2F2"/>
            <w:hideMark/>
          </w:tcPr>
          <w:p w14:paraId="324177F9" w14:textId="77777777" w:rsidR="00CB4A37" w:rsidRPr="00CB4A37" w:rsidRDefault="00CB4A37" w:rsidP="00CB4A37">
            <w:pPr>
              <w:spacing w:before="0" w:after="20"/>
              <w:ind w:left="57"/>
              <w:rPr>
                <w:color w:val="000000"/>
                <w:sz w:val="18"/>
                <w:lang w:eastAsia="en-AU"/>
              </w:rPr>
            </w:pPr>
            <w:r w:rsidRPr="00CB4A37">
              <w:rPr>
                <w:color w:val="000000"/>
                <w:sz w:val="18"/>
                <w:lang w:eastAsia="en-AU"/>
              </w:rPr>
              <w:t>Machinery and equipment nec</w:t>
            </w:r>
          </w:p>
        </w:tc>
      </w:tr>
      <w:tr w:rsidR="00CB4A37" w:rsidRPr="00CB4A37" w14:paraId="20CAFCCD" w14:textId="77777777" w:rsidTr="00074CE0">
        <w:trPr>
          <w:trHeight w:val="260"/>
        </w:trPr>
        <w:tc>
          <w:tcPr>
            <w:tcW w:w="500" w:type="pct"/>
            <w:tcBorders>
              <w:top w:val="nil"/>
              <w:bottom w:val="nil"/>
            </w:tcBorders>
            <w:shd w:val="clear" w:color="000000" w:fill="auto"/>
            <w:hideMark/>
          </w:tcPr>
          <w:p w14:paraId="7F5C4279"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10</w:t>
            </w:r>
          </w:p>
        </w:tc>
        <w:tc>
          <w:tcPr>
            <w:tcW w:w="2000" w:type="pct"/>
            <w:tcBorders>
              <w:top w:val="nil"/>
              <w:bottom w:val="nil"/>
            </w:tcBorders>
            <w:shd w:val="clear" w:color="000000" w:fill="auto"/>
            <w:hideMark/>
          </w:tcPr>
          <w:p w14:paraId="116F0562" w14:textId="77777777" w:rsidR="00CB4A37" w:rsidRPr="00CB4A37" w:rsidRDefault="00CB4A37" w:rsidP="00CB4A37">
            <w:pPr>
              <w:spacing w:before="0" w:after="20"/>
              <w:ind w:left="57"/>
              <w:rPr>
                <w:color w:val="000000"/>
                <w:sz w:val="18"/>
                <w:lang w:eastAsia="en-AU"/>
              </w:rPr>
            </w:pPr>
            <w:r w:rsidRPr="00CB4A37">
              <w:rPr>
                <w:color w:val="000000"/>
                <w:sz w:val="18"/>
                <w:lang w:eastAsia="en-AU"/>
              </w:rPr>
              <w:t>Animal products nec</w:t>
            </w:r>
          </w:p>
        </w:tc>
        <w:tc>
          <w:tcPr>
            <w:tcW w:w="500" w:type="pct"/>
            <w:tcBorders>
              <w:top w:val="nil"/>
              <w:bottom w:val="nil"/>
            </w:tcBorders>
            <w:shd w:val="clear" w:color="000000" w:fill="auto"/>
            <w:hideMark/>
          </w:tcPr>
          <w:p w14:paraId="6B2E49F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43</w:t>
            </w:r>
          </w:p>
        </w:tc>
        <w:tc>
          <w:tcPr>
            <w:tcW w:w="2000" w:type="pct"/>
            <w:tcBorders>
              <w:top w:val="nil"/>
              <w:bottom w:val="nil"/>
            </w:tcBorders>
            <w:shd w:val="clear" w:color="000000" w:fill="auto"/>
            <w:hideMark/>
          </w:tcPr>
          <w:p w14:paraId="69D80F2C" w14:textId="77777777" w:rsidR="00CB4A37" w:rsidRPr="00CB4A37" w:rsidRDefault="00CB4A37" w:rsidP="00CB4A37">
            <w:pPr>
              <w:spacing w:before="0" w:after="20"/>
              <w:ind w:left="57"/>
              <w:rPr>
                <w:color w:val="000000"/>
                <w:sz w:val="18"/>
                <w:lang w:eastAsia="en-AU"/>
              </w:rPr>
            </w:pPr>
            <w:r w:rsidRPr="00CB4A37">
              <w:rPr>
                <w:color w:val="000000"/>
                <w:sz w:val="18"/>
                <w:lang w:eastAsia="en-AU"/>
              </w:rPr>
              <w:t>Motor vehicles and parts</w:t>
            </w:r>
          </w:p>
        </w:tc>
      </w:tr>
      <w:tr w:rsidR="00CB4A37" w:rsidRPr="00CB4A37" w14:paraId="537A6268" w14:textId="77777777" w:rsidTr="00074CE0">
        <w:trPr>
          <w:trHeight w:val="260"/>
        </w:trPr>
        <w:tc>
          <w:tcPr>
            <w:tcW w:w="500" w:type="pct"/>
            <w:tcBorders>
              <w:bottom w:val="nil"/>
            </w:tcBorders>
            <w:shd w:val="clear" w:color="000000" w:fill="F2F2F2"/>
            <w:hideMark/>
          </w:tcPr>
          <w:p w14:paraId="26511AF1"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11</w:t>
            </w:r>
          </w:p>
        </w:tc>
        <w:tc>
          <w:tcPr>
            <w:tcW w:w="2000" w:type="pct"/>
            <w:tcBorders>
              <w:bottom w:val="nil"/>
            </w:tcBorders>
            <w:shd w:val="clear" w:color="000000" w:fill="F2F2F2"/>
            <w:hideMark/>
          </w:tcPr>
          <w:p w14:paraId="10835A8F" w14:textId="77777777" w:rsidR="00CB4A37" w:rsidRPr="00CB4A37" w:rsidRDefault="00CB4A37" w:rsidP="00CB4A37">
            <w:pPr>
              <w:spacing w:before="0" w:after="20"/>
              <w:ind w:left="57"/>
              <w:rPr>
                <w:color w:val="000000"/>
                <w:sz w:val="18"/>
                <w:lang w:eastAsia="en-AU"/>
              </w:rPr>
            </w:pPr>
            <w:r w:rsidRPr="00CB4A37">
              <w:rPr>
                <w:color w:val="000000"/>
                <w:sz w:val="18"/>
                <w:lang w:eastAsia="en-AU"/>
              </w:rPr>
              <w:t>Raw milk</w:t>
            </w:r>
          </w:p>
        </w:tc>
        <w:tc>
          <w:tcPr>
            <w:tcW w:w="500" w:type="pct"/>
            <w:tcBorders>
              <w:bottom w:val="nil"/>
            </w:tcBorders>
            <w:shd w:val="clear" w:color="000000" w:fill="F2F2F2"/>
            <w:hideMark/>
          </w:tcPr>
          <w:p w14:paraId="1A35CC9C"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44</w:t>
            </w:r>
          </w:p>
        </w:tc>
        <w:tc>
          <w:tcPr>
            <w:tcW w:w="2000" w:type="pct"/>
            <w:tcBorders>
              <w:bottom w:val="nil"/>
            </w:tcBorders>
            <w:shd w:val="clear" w:color="000000" w:fill="F2F2F2"/>
            <w:hideMark/>
          </w:tcPr>
          <w:p w14:paraId="1CF73A0A" w14:textId="77777777" w:rsidR="00CB4A37" w:rsidRPr="00CB4A37" w:rsidRDefault="00CB4A37" w:rsidP="00CB4A37">
            <w:pPr>
              <w:spacing w:before="0" w:after="20"/>
              <w:ind w:left="57"/>
              <w:rPr>
                <w:color w:val="000000"/>
                <w:sz w:val="18"/>
                <w:lang w:eastAsia="en-AU"/>
              </w:rPr>
            </w:pPr>
            <w:r w:rsidRPr="00CB4A37">
              <w:rPr>
                <w:color w:val="000000"/>
                <w:sz w:val="18"/>
                <w:lang w:eastAsia="en-AU"/>
              </w:rPr>
              <w:t>Transport equipment nec</w:t>
            </w:r>
          </w:p>
        </w:tc>
      </w:tr>
      <w:tr w:rsidR="00CB4A37" w:rsidRPr="00CB4A37" w14:paraId="1986B059" w14:textId="77777777" w:rsidTr="00074CE0">
        <w:trPr>
          <w:trHeight w:val="260"/>
        </w:trPr>
        <w:tc>
          <w:tcPr>
            <w:tcW w:w="500" w:type="pct"/>
            <w:tcBorders>
              <w:top w:val="nil"/>
              <w:bottom w:val="nil"/>
            </w:tcBorders>
            <w:shd w:val="clear" w:color="000000" w:fill="auto"/>
            <w:hideMark/>
          </w:tcPr>
          <w:p w14:paraId="191E024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12</w:t>
            </w:r>
          </w:p>
        </w:tc>
        <w:tc>
          <w:tcPr>
            <w:tcW w:w="2000" w:type="pct"/>
            <w:tcBorders>
              <w:top w:val="nil"/>
              <w:bottom w:val="nil"/>
            </w:tcBorders>
            <w:shd w:val="clear" w:color="000000" w:fill="auto"/>
            <w:hideMark/>
          </w:tcPr>
          <w:p w14:paraId="2F4A371C" w14:textId="77777777" w:rsidR="00CB4A37" w:rsidRPr="00CB4A37" w:rsidRDefault="00CB4A37" w:rsidP="00CB4A37">
            <w:pPr>
              <w:spacing w:before="0" w:after="20"/>
              <w:ind w:left="57"/>
              <w:rPr>
                <w:color w:val="000000"/>
                <w:sz w:val="18"/>
                <w:lang w:eastAsia="en-AU"/>
              </w:rPr>
            </w:pPr>
            <w:r w:rsidRPr="00CB4A37">
              <w:rPr>
                <w:color w:val="000000"/>
                <w:sz w:val="18"/>
                <w:lang w:eastAsia="en-AU"/>
              </w:rPr>
              <w:t>Wool, silk</w:t>
            </w:r>
            <w:r w:rsidRPr="00CB4A37">
              <w:rPr>
                <w:color w:val="000000"/>
                <w:sz w:val="18"/>
                <w:lang w:eastAsia="en-AU"/>
              </w:rPr>
              <w:noBreakHyphen/>
              <w:t>worm cocoons</w:t>
            </w:r>
          </w:p>
        </w:tc>
        <w:tc>
          <w:tcPr>
            <w:tcW w:w="500" w:type="pct"/>
            <w:tcBorders>
              <w:top w:val="nil"/>
              <w:bottom w:val="nil"/>
            </w:tcBorders>
            <w:shd w:val="clear" w:color="000000" w:fill="auto"/>
            <w:hideMark/>
          </w:tcPr>
          <w:p w14:paraId="4D30F46E"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45</w:t>
            </w:r>
          </w:p>
        </w:tc>
        <w:tc>
          <w:tcPr>
            <w:tcW w:w="2000" w:type="pct"/>
            <w:tcBorders>
              <w:top w:val="nil"/>
              <w:bottom w:val="nil"/>
            </w:tcBorders>
            <w:shd w:val="clear" w:color="000000" w:fill="auto"/>
            <w:hideMark/>
          </w:tcPr>
          <w:p w14:paraId="6A1DEFD5" w14:textId="77777777" w:rsidR="00CB4A37" w:rsidRPr="00CB4A37" w:rsidRDefault="00CB4A37" w:rsidP="00CB4A37">
            <w:pPr>
              <w:spacing w:before="0" w:after="20"/>
              <w:ind w:left="57"/>
              <w:rPr>
                <w:color w:val="000000"/>
                <w:sz w:val="18"/>
                <w:lang w:eastAsia="en-AU"/>
              </w:rPr>
            </w:pPr>
            <w:r w:rsidRPr="00CB4A37">
              <w:rPr>
                <w:color w:val="000000"/>
                <w:sz w:val="18"/>
                <w:lang w:eastAsia="en-AU"/>
              </w:rPr>
              <w:t>Manufactures nec</w:t>
            </w:r>
          </w:p>
        </w:tc>
      </w:tr>
      <w:tr w:rsidR="00CB4A37" w:rsidRPr="00CB4A37" w14:paraId="157028BA" w14:textId="77777777" w:rsidTr="00074CE0">
        <w:trPr>
          <w:trHeight w:val="260"/>
        </w:trPr>
        <w:tc>
          <w:tcPr>
            <w:tcW w:w="500" w:type="pct"/>
            <w:tcBorders>
              <w:bottom w:val="nil"/>
            </w:tcBorders>
            <w:shd w:val="clear" w:color="000000" w:fill="F2F2F2"/>
            <w:hideMark/>
          </w:tcPr>
          <w:p w14:paraId="5F28045F"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13</w:t>
            </w:r>
          </w:p>
        </w:tc>
        <w:tc>
          <w:tcPr>
            <w:tcW w:w="2000" w:type="pct"/>
            <w:tcBorders>
              <w:bottom w:val="nil"/>
            </w:tcBorders>
            <w:shd w:val="clear" w:color="000000" w:fill="F2F2F2"/>
            <w:hideMark/>
          </w:tcPr>
          <w:p w14:paraId="1D3C99A3" w14:textId="77777777" w:rsidR="00CB4A37" w:rsidRPr="00CB4A37" w:rsidRDefault="00CB4A37" w:rsidP="00CB4A37">
            <w:pPr>
              <w:spacing w:before="0" w:after="20"/>
              <w:ind w:left="57"/>
              <w:rPr>
                <w:color w:val="000000"/>
                <w:sz w:val="18"/>
                <w:lang w:eastAsia="en-AU"/>
              </w:rPr>
            </w:pPr>
            <w:r w:rsidRPr="00CB4A37">
              <w:rPr>
                <w:color w:val="000000"/>
                <w:sz w:val="18"/>
                <w:lang w:eastAsia="en-AU"/>
              </w:rPr>
              <w:t>Forestry</w:t>
            </w:r>
          </w:p>
        </w:tc>
        <w:tc>
          <w:tcPr>
            <w:tcW w:w="500" w:type="pct"/>
            <w:tcBorders>
              <w:bottom w:val="nil"/>
            </w:tcBorders>
            <w:shd w:val="clear" w:color="000000" w:fill="F2F2F2"/>
            <w:hideMark/>
          </w:tcPr>
          <w:p w14:paraId="38DED5FC"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46</w:t>
            </w:r>
          </w:p>
        </w:tc>
        <w:tc>
          <w:tcPr>
            <w:tcW w:w="2000" w:type="pct"/>
            <w:tcBorders>
              <w:bottom w:val="nil"/>
            </w:tcBorders>
            <w:shd w:val="clear" w:color="000000" w:fill="F2F2F2"/>
            <w:hideMark/>
          </w:tcPr>
          <w:p w14:paraId="57C4013B" w14:textId="77777777" w:rsidR="00CB4A37" w:rsidRPr="00CB4A37" w:rsidRDefault="00CB4A37" w:rsidP="00CB4A37">
            <w:pPr>
              <w:spacing w:before="0" w:after="20"/>
              <w:ind w:left="57"/>
              <w:rPr>
                <w:color w:val="000000"/>
                <w:sz w:val="18"/>
                <w:lang w:eastAsia="en-AU"/>
              </w:rPr>
            </w:pPr>
            <w:r w:rsidRPr="00CB4A37">
              <w:rPr>
                <w:color w:val="000000"/>
                <w:sz w:val="18"/>
                <w:lang w:eastAsia="en-AU"/>
              </w:rPr>
              <w:t>Electricity</w:t>
            </w:r>
          </w:p>
        </w:tc>
      </w:tr>
      <w:tr w:rsidR="00CB4A37" w:rsidRPr="00CB4A37" w14:paraId="4F2DB5A7" w14:textId="77777777" w:rsidTr="00074CE0">
        <w:trPr>
          <w:trHeight w:val="260"/>
        </w:trPr>
        <w:tc>
          <w:tcPr>
            <w:tcW w:w="500" w:type="pct"/>
            <w:tcBorders>
              <w:top w:val="nil"/>
              <w:bottom w:val="nil"/>
            </w:tcBorders>
            <w:shd w:val="clear" w:color="000000" w:fill="auto"/>
            <w:hideMark/>
          </w:tcPr>
          <w:p w14:paraId="0AD7177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14</w:t>
            </w:r>
          </w:p>
        </w:tc>
        <w:tc>
          <w:tcPr>
            <w:tcW w:w="2000" w:type="pct"/>
            <w:tcBorders>
              <w:top w:val="nil"/>
              <w:bottom w:val="nil"/>
            </w:tcBorders>
            <w:shd w:val="clear" w:color="000000" w:fill="auto"/>
            <w:hideMark/>
          </w:tcPr>
          <w:p w14:paraId="78AB733C" w14:textId="77777777" w:rsidR="00CB4A37" w:rsidRPr="00CB4A37" w:rsidRDefault="00CB4A37" w:rsidP="00CB4A37">
            <w:pPr>
              <w:spacing w:before="0" w:after="20"/>
              <w:ind w:left="57"/>
              <w:rPr>
                <w:color w:val="000000"/>
                <w:sz w:val="18"/>
                <w:lang w:eastAsia="en-AU"/>
              </w:rPr>
            </w:pPr>
            <w:r w:rsidRPr="00CB4A37">
              <w:rPr>
                <w:color w:val="000000"/>
                <w:sz w:val="18"/>
                <w:lang w:eastAsia="en-AU"/>
              </w:rPr>
              <w:t>Fishing</w:t>
            </w:r>
          </w:p>
        </w:tc>
        <w:tc>
          <w:tcPr>
            <w:tcW w:w="500" w:type="pct"/>
            <w:tcBorders>
              <w:top w:val="nil"/>
              <w:bottom w:val="nil"/>
            </w:tcBorders>
            <w:shd w:val="clear" w:color="000000" w:fill="auto"/>
            <w:hideMark/>
          </w:tcPr>
          <w:p w14:paraId="6470CA8B"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47</w:t>
            </w:r>
          </w:p>
        </w:tc>
        <w:tc>
          <w:tcPr>
            <w:tcW w:w="2000" w:type="pct"/>
            <w:tcBorders>
              <w:top w:val="nil"/>
              <w:bottom w:val="nil"/>
            </w:tcBorders>
            <w:shd w:val="clear" w:color="000000" w:fill="auto"/>
            <w:hideMark/>
          </w:tcPr>
          <w:p w14:paraId="5617192D" w14:textId="77777777" w:rsidR="00CB4A37" w:rsidRPr="00CB4A37" w:rsidRDefault="00CB4A37" w:rsidP="00CB4A37">
            <w:pPr>
              <w:spacing w:before="0" w:after="20"/>
              <w:ind w:left="57"/>
              <w:rPr>
                <w:color w:val="000000"/>
                <w:sz w:val="18"/>
                <w:lang w:eastAsia="en-AU"/>
              </w:rPr>
            </w:pPr>
            <w:r w:rsidRPr="00CB4A37">
              <w:rPr>
                <w:color w:val="000000"/>
                <w:sz w:val="18"/>
                <w:lang w:eastAsia="en-AU"/>
              </w:rPr>
              <w:t>Gas manufacture, distribution</w:t>
            </w:r>
          </w:p>
        </w:tc>
      </w:tr>
      <w:tr w:rsidR="00CB4A37" w:rsidRPr="00CB4A37" w14:paraId="119812E0" w14:textId="77777777" w:rsidTr="00074CE0">
        <w:trPr>
          <w:trHeight w:val="260"/>
        </w:trPr>
        <w:tc>
          <w:tcPr>
            <w:tcW w:w="500" w:type="pct"/>
            <w:tcBorders>
              <w:bottom w:val="nil"/>
            </w:tcBorders>
            <w:shd w:val="clear" w:color="000000" w:fill="F2F2F2"/>
            <w:hideMark/>
          </w:tcPr>
          <w:p w14:paraId="279EAD7F"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15</w:t>
            </w:r>
          </w:p>
        </w:tc>
        <w:tc>
          <w:tcPr>
            <w:tcW w:w="2000" w:type="pct"/>
            <w:tcBorders>
              <w:bottom w:val="nil"/>
            </w:tcBorders>
            <w:shd w:val="clear" w:color="000000" w:fill="F2F2F2"/>
            <w:hideMark/>
          </w:tcPr>
          <w:p w14:paraId="0D72B536" w14:textId="77777777" w:rsidR="00CB4A37" w:rsidRPr="00CB4A37" w:rsidRDefault="00CB4A37" w:rsidP="00CB4A37">
            <w:pPr>
              <w:spacing w:before="0" w:after="20"/>
              <w:ind w:left="57"/>
              <w:rPr>
                <w:color w:val="000000"/>
                <w:sz w:val="18"/>
                <w:lang w:eastAsia="en-AU"/>
              </w:rPr>
            </w:pPr>
            <w:r w:rsidRPr="00CB4A37">
              <w:rPr>
                <w:color w:val="000000"/>
                <w:sz w:val="18"/>
                <w:lang w:eastAsia="en-AU"/>
              </w:rPr>
              <w:t>Coal</w:t>
            </w:r>
          </w:p>
        </w:tc>
        <w:tc>
          <w:tcPr>
            <w:tcW w:w="500" w:type="pct"/>
            <w:tcBorders>
              <w:bottom w:val="nil"/>
            </w:tcBorders>
            <w:shd w:val="clear" w:color="000000" w:fill="F2F2F2"/>
            <w:hideMark/>
          </w:tcPr>
          <w:p w14:paraId="049E847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48</w:t>
            </w:r>
          </w:p>
        </w:tc>
        <w:tc>
          <w:tcPr>
            <w:tcW w:w="2000" w:type="pct"/>
            <w:tcBorders>
              <w:bottom w:val="nil"/>
            </w:tcBorders>
            <w:shd w:val="clear" w:color="000000" w:fill="F2F2F2"/>
            <w:hideMark/>
          </w:tcPr>
          <w:p w14:paraId="504C1395" w14:textId="77777777" w:rsidR="00CB4A37" w:rsidRPr="00CB4A37" w:rsidRDefault="00CB4A37" w:rsidP="00CB4A37">
            <w:pPr>
              <w:spacing w:before="0" w:after="20"/>
              <w:ind w:left="57"/>
              <w:rPr>
                <w:color w:val="000000"/>
                <w:sz w:val="18"/>
                <w:lang w:eastAsia="en-AU"/>
              </w:rPr>
            </w:pPr>
            <w:r w:rsidRPr="00CB4A37">
              <w:rPr>
                <w:color w:val="000000"/>
                <w:sz w:val="18"/>
                <w:lang w:eastAsia="en-AU"/>
              </w:rPr>
              <w:t>Water</w:t>
            </w:r>
          </w:p>
        </w:tc>
      </w:tr>
      <w:tr w:rsidR="00CB4A37" w:rsidRPr="00CB4A37" w14:paraId="23EE2D38" w14:textId="77777777" w:rsidTr="00074CE0">
        <w:trPr>
          <w:trHeight w:val="260"/>
        </w:trPr>
        <w:tc>
          <w:tcPr>
            <w:tcW w:w="500" w:type="pct"/>
            <w:tcBorders>
              <w:top w:val="nil"/>
              <w:bottom w:val="nil"/>
            </w:tcBorders>
            <w:shd w:val="clear" w:color="000000" w:fill="auto"/>
            <w:hideMark/>
          </w:tcPr>
          <w:p w14:paraId="1218C36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16</w:t>
            </w:r>
          </w:p>
        </w:tc>
        <w:tc>
          <w:tcPr>
            <w:tcW w:w="2000" w:type="pct"/>
            <w:tcBorders>
              <w:top w:val="nil"/>
              <w:bottom w:val="nil"/>
            </w:tcBorders>
            <w:shd w:val="clear" w:color="000000" w:fill="auto"/>
            <w:hideMark/>
          </w:tcPr>
          <w:p w14:paraId="5B0C86A7" w14:textId="77777777" w:rsidR="00CB4A37" w:rsidRPr="00CB4A37" w:rsidRDefault="00CB4A37" w:rsidP="00CB4A37">
            <w:pPr>
              <w:spacing w:before="0" w:after="20"/>
              <w:ind w:left="57"/>
              <w:rPr>
                <w:color w:val="000000"/>
                <w:sz w:val="18"/>
                <w:lang w:eastAsia="en-AU"/>
              </w:rPr>
            </w:pPr>
            <w:r w:rsidRPr="00CB4A37">
              <w:rPr>
                <w:color w:val="000000"/>
                <w:sz w:val="18"/>
                <w:lang w:eastAsia="en-AU"/>
              </w:rPr>
              <w:t>Oil</w:t>
            </w:r>
          </w:p>
        </w:tc>
        <w:tc>
          <w:tcPr>
            <w:tcW w:w="500" w:type="pct"/>
            <w:tcBorders>
              <w:top w:val="nil"/>
              <w:bottom w:val="nil"/>
            </w:tcBorders>
            <w:shd w:val="clear" w:color="000000" w:fill="auto"/>
            <w:hideMark/>
          </w:tcPr>
          <w:p w14:paraId="0A969EC5"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49</w:t>
            </w:r>
          </w:p>
        </w:tc>
        <w:tc>
          <w:tcPr>
            <w:tcW w:w="2000" w:type="pct"/>
            <w:tcBorders>
              <w:top w:val="nil"/>
              <w:bottom w:val="nil"/>
            </w:tcBorders>
            <w:shd w:val="clear" w:color="000000" w:fill="auto"/>
            <w:hideMark/>
          </w:tcPr>
          <w:p w14:paraId="4F55A6D6" w14:textId="77777777" w:rsidR="00CB4A37" w:rsidRPr="00CB4A37" w:rsidRDefault="00CB4A37" w:rsidP="00CB4A37">
            <w:pPr>
              <w:spacing w:before="0" w:after="20"/>
              <w:ind w:left="57"/>
              <w:rPr>
                <w:color w:val="000000"/>
                <w:sz w:val="18"/>
                <w:lang w:eastAsia="en-AU"/>
              </w:rPr>
            </w:pPr>
            <w:r w:rsidRPr="00CB4A37">
              <w:rPr>
                <w:color w:val="000000"/>
                <w:sz w:val="18"/>
                <w:lang w:eastAsia="en-AU"/>
              </w:rPr>
              <w:t>Construction</w:t>
            </w:r>
          </w:p>
        </w:tc>
      </w:tr>
      <w:tr w:rsidR="00CB4A37" w:rsidRPr="00CB4A37" w14:paraId="650008C1" w14:textId="77777777" w:rsidTr="00074CE0">
        <w:trPr>
          <w:trHeight w:val="260"/>
        </w:trPr>
        <w:tc>
          <w:tcPr>
            <w:tcW w:w="500" w:type="pct"/>
            <w:tcBorders>
              <w:bottom w:val="nil"/>
            </w:tcBorders>
            <w:shd w:val="clear" w:color="000000" w:fill="F2F2F2"/>
            <w:hideMark/>
          </w:tcPr>
          <w:p w14:paraId="03499025"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17</w:t>
            </w:r>
          </w:p>
        </w:tc>
        <w:tc>
          <w:tcPr>
            <w:tcW w:w="2000" w:type="pct"/>
            <w:tcBorders>
              <w:bottom w:val="nil"/>
            </w:tcBorders>
            <w:shd w:val="clear" w:color="000000" w:fill="F2F2F2"/>
            <w:hideMark/>
          </w:tcPr>
          <w:p w14:paraId="382B83E7" w14:textId="77777777" w:rsidR="00CB4A37" w:rsidRPr="00CB4A37" w:rsidRDefault="00CB4A37" w:rsidP="00CB4A37">
            <w:pPr>
              <w:spacing w:before="0" w:after="20"/>
              <w:ind w:left="57"/>
              <w:rPr>
                <w:color w:val="000000"/>
                <w:sz w:val="18"/>
                <w:lang w:eastAsia="en-AU"/>
              </w:rPr>
            </w:pPr>
            <w:r w:rsidRPr="00CB4A37">
              <w:rPr>
                <w:color w:val="000000"/>
                <w:sz w:val="18"/>
                <w:lang w:eastAsia="en-AU"/>
              </w:rPr>
              <w:t>Gas</w:t>
            </w:r>
          </w:p>
        </w:tc>
        <w:tc>
          <w:tcPr>
            <w:tcW w:w="500" w:type="pct"/>
            <w:tcBorders>
              <w:bottom w:val="nil"/>
            </w:tcBorders>
            <w:shd w:val="clear" w:color="000000" w:fill="F2F2F2"/>
            <w:hideMark/>
          </w:tcPr>
          <w:p w14:paraId="7870120E"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50</w:t>
            </w:r>
          </w:p>
        </w:tc>
        <w:tc>
          <w:tcPr>
            <w:tcW w:w="2000" w:type="pct"/>
            <w:tcBorders>
              <w:bottom w:val="nil"/>
            </w:tcBorders>
            <w:shd w:val="clear" w:color="000000" w:fill="F2F2F2"/>
            <w:hideMark/>
          </w:tcPr>
          <w:p w14:paraId="7E718B75" w14:textId="77777777" w:rsidR="00CB4A37" w:rsidRPr="00CB4A37" w:rsidRDefault="00CB4A37" w:rsidP="00CB4A37">
            <w:pPr>
              <w:spacing w:before="0" w:after="20"/>
              <w:ind w:left="57"/>
              <w:rPr>
                <w:color w:val="000000"/>
                <w:sz w:val="18"/>
                <w:lang w:eastAsia="en-AU"/>
              </w:rPr>
            </w:pPr>
            <w:r w:rsidRPr="00CB4A37">
              <w:rPr>
                <w:color w:val="000000"/>
                <w:sz w:val="18"/>
                <w:lang w:eastAsia="en-AU"/>
              </w:rPr>
              <w:t>Trade</w:t>
            </w:r>
          </w:p>
        </w:tc>
      </w:tr>
      <w:tr w:rsidR="00CB4A37" w:rsidRPr="00CB4A37" w14:paraId="124D6381" w14:textId="77777777" w:rsidTr="00074CE0">
        <w:trPr>
          <w:trHeight w:val="300"/>
        </w:trPr>
        <w:tc>
          <w:tcPr>
            <w:tcW w:w="500" w:type="pct"/>
            <w:tcBorders>
              <w:top w:val="nil"/>
              <w:bottom w:val="nil"/>
            </w:tcBorders>
            <w:shd w:val="clear" w:color="000000" w:fill="auto"/>
            <w:hideMark/>
          </w:tcPr>
          <w:p w14:paraId="4D5CBAB1"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18</w:t>
            </w:r>
          </w:p>
        </w:tc>
        <w:tc>
          <w:tcPr>
            <w:tcW w:w="2000" w:type="pct"/>
            <w:tcBorders>
              <w:top w:val="nil"/>
              <w:bottom w:val="nil"/>
            </w:tcBorders>
            <w:shd w:val="clear" w:color="000000" w:fill="auto"/>
            <w:hideMark/>
          </w:tcPr>
          <w:p w14:paraId="7972E553" w14:textId="77777777" w:rsidR="00CB4A37" w:rsidRPr="00CB4A37" w:rsidRDefault="00CB4A37" w:rsidP="00CB4A37">
            <w:pPr>
              <w:spacing w:before="0" w:after="20"/>
              <w:ind w:left="57"/>
              <w:rPr>
                <w:color w:val="000000"/>
                <w:sz w:val="18"/>
                <w:lang w:eastAsia="en-AU"/>
              </w:rPr>
            </w:pPr>
            <w:r w:rsidRPr="00CB4A37">
              <w:rPr>
                <w:color w:val="000000"/>
                <w:sz w:val="18"/>
                <w:lang w:eastAsia="en-AU"/>
              </w:rPr>
              <w:t>Other extraction</w:t>
            </w:r>
          </w:p>
        </w:tc>
        <w:tc>
          <w:tcPr>
            <w:tcW w:w="500" w:type="pct"/>
            <w:tcBorders>
              <w:top w:val="nil"/>
              <w:bottom w:val="nil"/>
            </w:tcBorders>
            <w:shd w:val="clear" w:color="000000" w:fill="auto"/>
            <w:hideMark/>
          </w:tcPr>
          <w:p w14:paraId="47D496DD"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51</w:t>
            </w:r>
          </w:p>
        </w:tc>
        <w:tc>
          <w:tcPr>
            <w:tcW w:w="2000" w:type="pct"/>
            <w:tcBorders>
              <w:top w:val="nil"/>
              <w:bottom w:val="nil"/>
            </w:tcBorders>
            <w:shd w:val="clear" w:color="000000" w:fill="auto"/>
            <w:hideMark/>
          </w:tcPr>
          <w:p w14:paraId="41AC83E9" w14:textId="77777777" w:rsidR="00CB4A37" w:rsidRPr="00CB4A37" w:rsidRDefault="00CB4A37" w:rsidP="00CB4A37">
            <w:pPr>
              <w:spacing w:before="0" w:after="20"/>
              <w:ind w:left="57"/>
              <w:rPr>
                <w:color w:val="000000"/>
                <w:sz w:val="18"/>
                <w:lang w:eastAsia="en-AU"/>
              </w:rPr>
            </w:pPr>
            <w:r w:rsidRPr="00CB4A37">
              <w:rPr>
                <w:color w:val="000000"/>
                <w:sz w:val="18"/>
                <w:lang w:eastAsia="en-AU"/>
              </w:rPr>
              <w:t>Accommodation, food and service activities</w:t>
            </w:r>
          </w:p>
        </w:tc>
      </w:tr>
      <w:tr w:rsidR="00CB4A37" w:rsidRPr="00CB4A37" w14:paraId="0B2EADCB" w14:textId="77777777" w:rsidTr="00074CE0">
        <w:trPr>
          <w:trHeight w:val="260"/>
        </w:trPr>
        <w:tc>
          <w:tcPr>
            <w:tcW w:w="500" w:type="pct"/>
            <w:tcBorders>
              <w:bottom w:val="nil"/>
            </w:tcBorders>
            <w:shd w:val="clear" w:color="000000" w:fill="F2F2F2"/>
            <w:hideMark/>
          </w:tcPr>
          <w:p w14:paraId="3DEF07E2"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19</w:t>
            </w:r>
          </w:p>
        </w:tc>
        <w:tc>
          <w:tcPr>
            <w:tcW w:w="2000" w:type="pct"/>
            <w:tcBorders>
              <w:bottom w:val="nil"/>
            </w:tcBorders>
            <w:shd w:val="clear" w:color="000000" w:fill="F2F2F2"/>
            <w:hideMark/>
          </w:tcPr>
          <w:p w14:paraId="160E2F89" w14:textId="77777777" w:rsidR="00CB4A37" w:rsidRPr="00CB4A37" w:rsidRDefault="00CB4A37" w:rsidP="00CB4A37">
            <w:pPr>
              <w:spacing w:before="0" w:after="20"/>
              <w:ind w:left="57"/>
              <w:rPr>
                <w:color w:val="000000"/>
                <w:sz w:val="18"/>
                <w:lang w:eastAsia="en-AU"/>
              </w:rPr>
            </w:pPr>
            <w:r w:rsidRPr="00CB4A37">
              <w:rPr>
                <w:color w:val="000000"/>
                <w:sz w:val="18"/>
                <w:lang w:eastAsia="en-AU"/>
              </w:rPr>
              <w:t>Bovine meat products</w:t>
            </w:r>
          </w:p>
        </w:tc>
        <w:tc>
          <w:tcPr>
            <w:tcW w:w="500" w:type="pct"/>
            <w:tcBorders>
              <w:bottom w:val="nil"/>
            </w:tcBorders>
            <w:shd w:val="clear" w:color="000000" w:fill="F2F2F2"/>
            <w:hideMark/>
          </w:tcPr>
          <w:p w14:paraId="39426AB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52</w:t>
            </w:r>
          </w:p>
        </w:tc>
        <w:tc>
          <w:tcPr>
            <w:tcW w:w="2000" w:type="pct"/>
            <w:tcBorders>
              <w:bottom w:val="nil"/>
            </w:tcBorders>
            <w:shd w:val="clear" w:color="000000" w:fill="F2F2F2"/>
            <w:hideMark/>
          </w:tcPr>
          <w:p w14:paraId="4404E76A" w14:textId="77777777" w:rsidR="00CB4A37" w:rsidRPr="00CB4A37" w:rsidRDefault="00CB4A37" w:rsidP="00CB4A37">
            <w:pPr>
              <w:spacing w:before="0" w:after="20"/>
              <w:ind w:left="57"/>
              <w:rPr>
                <w:color w:val="000000"/>
                <w:sz w:val="18"/>
                <w:lang w:eastAsia="en-AU"/>
              </w:rPr>
            </w:pPr>
            <w:r w:rsidRPr="00CB4A37">
              <w:rPr>
                <w:color w:val="000000"/>
                <w:sz w:val="18"/>
                <w:lang w:eastAsia="en-AU"/>
              </w:rPr>
              <w:t>Transport nec</w:t>
            </w:r>
          </w:p>
        </w:tc>
      </w:tr>
      <w:tr w:rsidR="00CB4A37" w:rsidRPr="00CB4A37" w14:paraId="244AB85B" w14:textId="77777777" w:rsidTr="00074CE0">
        <w:trPr>
          <w:trHeight w:val="260"/>
        </w:trPr>
        <w:tc>
          <w:tcPr>
            <w:tcW w:w="500" w:type="pct"/>
            <w:tcBorders>
              <w:top w:val="nil"/>
              <w:bottom w:val="nil"/>
            </w:tcBorders>
            <w:shd w:val="clear" w:color="000000" w:fill="auto"/>
            <w:hideMark/>
          </w:tcPr>
          <w:p w14:paraId="18CE07E2"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20</w:t>
            </w:r>
          </w:p>
        </w:tc>
        <w:tc>
          <w:tcPr>
            <w:tcW w:w="2000" w:type="pct"/>
            <w:tcBorders>
              <w:top w:val="nil"/>
              <w:bottom w:val="nil"/>
            </w:tcBorders>
            <w:shd w:val="clear" w:color="000000" w:fill="auto"/>
            <w:hideMark/>
          </w:tcPr>
          <w:p w14:paraId="3311395A" w14:textId="77777777" w:rsidR="00CB4A37" w:rsidRPr="00CB4A37" w:rsidRDefault="00CB4A37" w:rsidP="00CB4A37">
            <w:pPr>
              <w:spacing w:before="0" w:after="20"/>
              <w:ind w:left="57"/>
              <w:rPr>
                <w:color w:val="000000"/>
                <w:sz w:val="18"/>
                <w:lang w:eastAsia="en-AU"/>
              </w:rPr>
            </w:pPr>
            <w:r w:rsidRPr="00CB4A37">
              <w:rPr>
                <w:color w:val="000000"/>
                <w:sz w:val="18"/>
                <w:lang w:eastAsia="en-AU"/>
              </w:rPr>
              <w:t>Meat products nec</w:t>
            </w:r>
          </w:p>
        </w:tc>
        <w:tc>
          <w:tcPr>
            <w:tcW w:w="500" w:type="pct"/>
            <w:tcBorders>
              <w:top w:val="nil"/>
              <w:bottom w:val="nil"/>
            </w:tcBorders>
            <w:shd w:val="clear" w:color="000000" w:fill="auto"/>
            <w:hideMark/>
          </w:tcPr>
          <w:p w14:paraId="36D1F9C7"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53</w:t>
            </w:r>
          </w:p>
        </w:tc>
        <w:tc>
          <w:tcPr>
            <w:tcW w:w="2000" w:type="pct"/>
            <w:tcBorders>
              <w:top w:val="nil"/>
              <w:bottom w:val="nil"/>
            </w:tcBorders>
            <w:shd w:val="clear" w:color="000000" w:fill="auto"/>
            <w:hideMark/>
          </w:tcPr>
          <w:p w14:paraId="30681718" w14:textId="77777777" w:rsidR="00CB4A37" w:rsidRPr="00CB4A37" w:rsidRDefault="00CB4A37" w:rsidP="00CB4A37">
            <w:pPr>
              <w:spacing w:before="0" w:after="20"/>
              <w:ind w:left="57"/>
              <w:rPr>
                <w:color w:val="000000"/>
                <w:sz w:val="18"/>
                <w:lang w:eastAsia="en-AU"/>
              </w:rPr>
            </w:pPr>
            <w:r w:rsidRPr="00CB4A37">
              <w:rPr>
                <w:color w:val="000000"/>
                <w:sz w:val="18"/>
                <w:lang w:eastAsia="en-AU"/>
              </w:rPr>
              <w:t>Water transport</w:t>
            </w:r>
          </w:p>
        </w:tc>
      </w:tr>
      <w:tr w:rsidR="00CB4A37" w:rsidRPr="00CB4A37" w14:paraId="62B74FDE" w14:textId="77777777" w:rsidTr="00074CE0">
        <w:trPr>
          <w:trHeight w:val="260"/>
        </w:trPr>
        <w:tc>
          <w:tcPr>
            <w:tcW w:w="500" w:type="pct"/>
            <w:tcBorders>
              <w:bottom w:val="nil"/>
            </w:tcBorders>
            <w:shd w:val="clear" w:color="000000" w:fill="F2F2F2"/>
            <w:hideMark/>
          </w:tcPr>
          <w:p w14:paraId="618F3D3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21</w:t>
            </w:r>
          </w:p>
        </w:tc>
        <w:tc>
          <w:tcPr>
            <w:tcW w:w="2000" w:type="pct"/>
            <w:tcBorders>
              <w:bottom w:val="nil"/>
            </w:tcBorders>
            <w:shd w:val="clear" w:color="000000" w:fill="F2F2F2"/>
            <w:hideMark/>
          </w:tcPr>
          <w:p w14:paraId="4F2C7618" w14:textId="77777777" w:rsidR="00CB4A37" w:rsidRPr="00CB4A37" w:rsidRDefault="00CB4A37" w:rsidP="00CB4A37">
            <w:pPr>
              <w:spacing w:before="0" w:after="20"/>
              <w:ind w:left="57"/>
              <w:rPr>
                <w:color w:val="000000"/>
                <w:sz w:val="18"/>
                <w:lang w:eastAsia="en-AU"/>
              </w:rPr>
            </w:pPr>
            <w:r w:rsidRPr="00CB4A37">
              <w:rPr>
                <w:color w:val="000000"/>
                <w:sz w:val="18"/>
                <w:lang w:eastAsia="en-AU"/>
              </w:rPr>
              <w:t>Vegetable oils and fats</w:t>
            </w:r>
          </w:p>
        </w:tc>
        <w:tc>
          <w:tcPr>
            <w:tcW w:w="500" w:type="pct"/>
            <w:tcBorders>
              <w:bottom w:val="nil"/>
            </w:tcBorders>
            <w:shd w:val="clear" w:color="000000" w:fill="F2F2F2"/>
            <w:hideMark/>
          </w:tcPr>
          <w:p w14:paraId="77BB4E02"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54</w:t>
            </w:r>
          </w:p>
        </w:tc>
        <w:tc>
          <w:tcPr>
            <w:tcW w:w="2000" w:type="pct"/>
            <w:tcBorders>
              <w:bottom w:val="nil"/>
            </w:tcBorders>
            <w:shd w:val="clear" w:color="000000" w:fill="F2F2F2"/>
            <w:hideMark/>
          </w:tcPr>
          <w:p w14:paraId="67AC9404" w14:textId="77777777" w:rsidR="00CB4A37" w:rsidRPr="00CB4A37" w:rsidRDefault="00CB4A37" w:rsidP="00CB4A37">
            <w:pPr>
              <w:spacing w:before="0" w:after="20"/>
              <w:ind w:left="57"/>
              <w:rPr>
                <w:color w:val="000000"/>
                <w:sz w:val="18"/>
                <w:lang w:eastAsia="en-AU"/>
              </w:rPr>
            </w:pPr>
            <w:r w:rsidRPr="00CB4A37">
              <w:rPr>
                <w:color w:val="000000"/>
                <w:sz w:val="18"/>
                <w:lang w:eastAsia="en-AU"/>
              </w:rPr>
              <w:t>Air transport</w:t>
            </w:r>
          </w:p>
        </w:tc>
      </w:tr>
      <w:tr w:rsidR="00CB4A37" w:rsidRPr="00CB4A37" w14:paraId="3094F2C1" w14:textId="77777777" w:rsidTr="00074CE0">
        <w:trPr>
          <w:trHeight w:val="300"/>
        </w:trPr>
        <w:tc>
          <w:tcPr>
            <w:tcW w:w="500" w:type="pct"/>
            <w:tcBorders>
              <w:top w:val="nil"/>
              <w:bottom w:val="nil"/>
            </w:tcBorders>
            <w:shd w:val="clear" w:color="000000" w:fill="auto"/>
            <w:hideMark/>
          </w:tcPr>
          <w:p w14:paraId="2D7FDF80"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22</w:t>
            </w:r>
          </w:p>
        </w:tc>
        <w:tc>
          <w:tcPr>
            <w:tcW w:w="2000" w:type="pct"/>
            <w:tcBorders>
              <w:top w:val="nil"/>
              <w:bottom w:val="nil"/>
            </w:tcBorders>
            <w:shd w:val="clear" w:color="000000" w:fill="auto"/>
            <w:hideMark/>
          </w:tcPr>
          <w:p w14:paraId="1DAE01E7" w14:textId="77777777" w:rsidR="00CB4A37" w:rsidRPr="00CB4A37" w:rsidRDefault="00CB4A37" w:rsidP="00CB4A37">
            <w:pPr>
              <w:spacing w:before="0" w:after="20"/>
              <w:ind w:left="57"/>
              <w:rPr>
                <w:color w:val="000000"/>
                <w:sz w:val="18"/>
                <w:lang w:eastAsia="en-AU"/>
              </w:rPr>
            </w:pPr>
            <w:r w:rsidRPr="00CB4A37">
              <w:rPr>
                <w:color w:val="000000"/>
                <w:sz w:val="18"/>
                <w:lang w:eastAsia="en-AU"/>
              </w:rPr>
              <w:t>Dairy products</w:t>
            </w:r>
          </w:p>
        </w:tc>
        <w:tc>
          <w:tcPr>
            <w:tcW w:w="500" w:type="pct"/>
            <w:tcBorders>
              <w:top w:val="nil"/>
              <w:bottom w:val="nil"/>
            </w:tcBorders>
            <w:shd w:val="clear" w:color="000000" w:fill="auto"/>
            <w:hideMark/>
          </w:tcPr>
          <w:p w14:paraId="378BAA93"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55</w:t>
            </w:r>
          </w:p>
        </w:tc>
        <w:tc>
          <w:tcPr>
            <w:tcW w:w="2000" w:type="pct"/>
            <w:tcBorders>
              <w:top w:val="nil"/>
              <w:bottom w:val="nil"/>
            </w:tcBorders>
            <w:shd w:val="clear" w:color="000000" w:fill="auto"/>
            <w:hideMark/>
          </w:tcPr>
          <w:p w14:paraId="041B90F6" w14:textId="77777777" w:rsidR="00CB4A37" w:rsidRPr="00CB4A37" w:rsidRDefault="00CB4A37" w:rsidP="00CB4A37">
            <w:pPr>
              <w:spacing w:before="0" w:after="20"/>
              <w:ind w:left="57"/>
              <w:rPr>
                <w:color w:val="000000"/>
                <w:sz w:val="18"/>
                <w:lang w:eastAsia="en-AU"/>
              </w:rPr>
            </w:pPr>
            <w:r w:rsidRPr="00CB4A37">
              <w:rPr>
                <w:color w:val="000000"/>
                <w:sz w:val="18"/>
                <w:lang w:eastAsia="en-AU"/>
              </w:rPr>
              <w:t>Warehousing and support activities</w:t>
            </w:r>
          </w:p>
        </w:tc>
      </w:tr>
      <w:tr w:rsidR="00CB4A37" w:rsidRPr="00CB4A37" w14:paraId="6E97339C" w14:textId="77777777" w:rsidTr="00074CE0">
        <w:trPr>
          <w:trHeight w:val="260"/>
        </w:trPr>
        <w:tc>
          <w:tcPr>
            <w:tcW w:w="500" w:type="pct"/>
            <w:tcBorders>
              <w:bottom w:val="nil"/>
            </w:tcBorders>
            <w:shd w:val="clear" w:color="000000" w:fill="F2F2F2"/>
            <w:hideMark/>
          </w:tcPr>
          <w:p w14:paraId="5D31913B"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23</w:t>
            </w:r>
          </w:p>
        </w:tc>
        <w:tc>
          <w:tcPr>
            <w:tcW w:w="2000" w:type="pct"/>
            <w:tcBorders>
              <w:bottom w:val="nil"/>
            </w:tcBorders>
            <w:shd w:val="clear" w:color="000000" w:fill="F2F2F2"/>
            <w:hideMark/>
          </w:tcPr>
          <w:p w14:paraId="519D6A56" w14:textId="77777777" w:rsidR="00CB4A37" w:rsidRPr="00CB4A37" w:rsidRDefault="00CB4A37" w:rsidP="00CB4A37">
            <w:pPr>
              <w:spacing w:before="0" w:after="20"/>
              <w:ind w:left="57"/>
              <w:rPr>
                <w:color w:val="000000"/>
                <w:sz w:val="18"/>
                <w:lang w:eastAsia="en-AU"/>
              </w:rPr>
            </w:pPr>
            <w:r w:rsidRPr="00CB4A37">
              <w:rPr>
                <w:color w:val="000000"/>
                <w:sz w:val="18"/>
                <w:lang w:eastAsia="en-AU"/>
              </w:rPr>
              <w:t>Processed rice</w:t>
            </w:r>
          </w:p>
        </w:tc>
        <w:tc>
          <w:tcPr>
            <w:tcW w:w="500" w:type="pct"/>
            <w:tcBorders>
              <w:bottom w:val="nil"/>
            </w:tcBorders>
            <w:shd w:val="clear" w:color="000000" w:fill="F2F2F2"/>
            <w:hideMark/>
          </w:tcPr>
          <w:p w14:paraId="1F05404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56</w:t>
            </w:r>
          </w:p>
        </w:tc>
        <w:tc>
          <w:tcPr>
            <w:tcW w:w="2000" w:type="pct"/>
            <w:tcBorders>
              <w:bottom w:val="nil"/>
            </w:tcBorders>
            <w:shd w:val="clear" w:color="000000" w:fill="F2F2F2"/>
            <w:hideMark/>
          </w:tcPr>
          <w:p w14:paraId="277FD83C" w14:textId="77777777" w:rsidR="00CB4A37" w:rsidRPr="00CB4A37" w:rsidRDefault="00CB4A37" w:rsidP="00CB4A37">
            <w:pPr>
              <w:spacing w:before="0" w:after="20"/>
              <w:ind w:left="57"/>
              <w:rPr>
                <w:color w:val="000000"/>
                <w:sz w:val="18"/>
                <w:lang w:eastAsia="en-AU"/>
              </w:rPr>
            </w:pPr>
            <w:r w:rsidRPr="00CB4A37">
              <w:rPr>
                <w:color w:val="000000"/>
                <w:sz w:val="18"/>
                <w:lang w:eastAsia="en-AU"/>
              </w:rPr>
              <w:t>Communication</w:t>
            </w:r>
          </w:p>
        </w:tc>
      </w:tr>
      <w:tr w:rsidR="00CB4A37" w:rsidRPr="00CB4A37" w14:paraId="1C50A3E7" w14:textId="77777777" w:rsidTr="00074CE0">
        <w:trPr>
          <w:trHeight w:val="260"/>
        </w:trPr>
        <w:tc>
          <w:tcPr>
            <w:tcW w:w="500" w:type="pct"/>
            <w:tcBorders>
              <w:top w:val="nil"/>
              <w:bottom w:val="nil"/>
            </w:tcBorders>
            <w:shd w:val="clear" w:color="000000" w:fill="auto"/>
            <w:hideMark/>
          </w:tcPr>
          <w:p w14:paraId="39A3E241"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24</w:t>
            </w:r>
          </w:p>
        </w:tc>
        <w:tc>
          <w:tcPr>
            <w:tcW w:w="2000" w:type="pct"/>
            <w:tcBorders>
              <w:top w:val="nil"/>
              <w:bottom w:val="nil"/>
            </w:tcBorders>
            <w:shd w:val="clear" w:color="000000" w:fill="auto"/>
            <w:hideMark/>
          </w:tcPr>
          <w:p w14:paraId="5F2BB7BF" w14:textId="77777777" w:rsidR="00CB4A37" w:rsidRPr="00CB4A37" w:rsidRDefault="00CB4A37" w:rsidP="00CB4A37">
            <w:pPr>
              <w:spacing w:before="0" w:after="20"/>
              <w:ind w:left="57"/>
              <w:rPr>
                <w:color w:val="000000"/>
                <w:sz w:val="18"/>
                <w:lang w:eastAsia="en-AU"/>
              </w:rPr>
            </w:pPr>
            <w:r w:rsidRPr="00CB4A37">
              <w:rPr>
                <w:color w:val="000000"/>
                <w:sz w:val="18"/>
                <w:lang w:eastAsia="en-AU"/>
              </w:rPr>
              <w:t>Sugar</w:t>
            </w:r>
          </w:p>
        </w:tc>
        <w:tc>
          <w:tcPr>
            <w:tcW w:w="500" w:type="pct"/>
            <w:tcBorders>
              <w:top w:val="nil"/>
              <w:bottom w:val="nil"/>
            </w:tcBorders>
            <w:shd w:val="clear" w:color="000000" w:fill="auto"/>
            <w:hideMark/>
          </w:tcPr>
          <w:p w14:paraId="2B34F5F3"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57</w:t>
            </w:r>
          </w:p>
        </w:tc>
        <w:tc>
          <w:tcPr>
            <w:tcW w:w="2000" w:type="pct"/>
            <w:tcBorders>
              <w:top w:val="nil"/>
              <w:bottom w:val="nil"/>
            </w:tcBorders>
            <w:shd w:val="clear" w:color="000000" w:fill="auto"/>
            <w:hideMark/>
          </w:tcPr>
          <w:p w14:paraId="29CC43C5" w14:textId="77777777" w:rsidR="00CB4A37" w:rsidRPr="00CB4A37" w:rsidRDefault="00CB4A37" w:rsidP="00CB4A37">
            <w:pPr>
              <w:spacing w:before="0" w:after="20"/>
              <w:ind w:left="57"/>
              <w:rPr>
                <w:color w:val="000000"/>
                <w:sz w:val="18"/>
                <w:lang w:eastAsia="en-AU"/>
              </w:rPr>
            </w:pPr>
            <w:r w:rsidRPr="00CB4A37">
              <w:rPr>
                <w:color w:val="000000"/>
                <w:sz w:val="18"/>
                <w:lang w:eastAsia="en-AU"/>
              </w:rPr>
              <w:t>Financial services nec</w:t>
            </w:r>
          </w:p>
        </w:tc>
      </w:tr>
      <w:tr w:rsidR="00CB4A37" w:rsidRPr="00CB4A37" w14:paraId="620EA565" w14:textId="77777777" w:rsidTr="00074CE0">
        <w:trPr>
          <w:trHeight w:val="260"/>
        </w:trPr>
        <w:tc>
          <w:tcPr>
            <w:tcW w:w="500" w:type="pct"/>
            <w:tcBorders>
              <w:bottom w:val="nil"/>
            </w:tcBorders>
            <w:shd w:val="clear" w:color="000000" w:fill="F2F2F2"/>
            <w:hideMark/>
          </w:tcPr>
          <w:p w14:paraId="5CAC8565"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25</w:t>
            </w:r>
          </w:p>
        </w:tc>
        <w:tc>
          <w:tcPr>
            <w:tcW w:w="2000" w:type="pct"/>
            <w:tcBorders>
              <w:bottom w:val="nil"/>
            </w:tcBorders>
            <w:shd w:val="clear" w:color="000000" w:fill="F2F2F2"/>
            <w:hideMark/>
          </w:tcPr>
          <w:p w14:paraId="61866189" w14:textId="77777777" w:rsidR="00CB4A37" w:rsidRPr="00CB4A37" w:rsidRDefault="00CB4A37" w:rsidP="00CB4A37">
            <w:pPr>
              <w:spacing w:before="0" w:after="20"/>
              <w:ind w:left="57"/>
              <w:rPr>
                <w:color w:val="000000"/>
                <w:sz w:val="18"/>
                <w:lang w:eastAsia="en-AU"/>
              </w:rPr>
            </w:pPr>
            <w:r w:rsidRPr="00CB4A37">
              <w:rPr>
                <w:color w:val="000000"/>
                <w:sz w:val="18"/>
                <w:lang w:eastAsia="en-AU"/>
              </w:rPr>
              <w:t>Food products nec</w:t>
            </w:r>
          </w:p>
        </w:tc>
        <w:tc>
          <w:tcPr>
            <w:tcW w:w="500" w:type="pct"/>
            <w:tcBorders>
              <w:bottom w:val="nil"/>
            </w:tcBorders>
            <w:shd w:val="clear" w:color="000000" w:fill="F2F2F2"/>
            <w:hideMark/>
          </w:tcPr>
          <w:p w14:paraId="7B58A98B"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58</w:t>
            </w:r>
          </w:p>
        </w:tc>
        <w:tc>
          <w:tcPr>
            <w:tcW w:w="2000" w:type="pct"/>
            <w:tcBorders>
              <w:bottom w:val="nil"/>
            </w:tcBorders>
            <w:shd w:val="clear" w:color="000000" w:fill="F2F2F2"/>
            <w:hideMark/>
          </w:tcPr>
          <w:p w14:paraId="136D4577" w14:textId="77777777" w:rsidR="00CB4A37" w:rsidRPr="00CB4A37" w:rsidRDefault="00CB4A37" w:rsidP="00CB4A37">
            <w:pPr>
              <w:spacing w:before="0" w:after="20"/>
              <w:ind w:left="57"/>
              <w:rPr>
                <w:color w:val="000000"/>
                <w:sz w:val="18"/>
                <w:lang w:eastAsia="en-AU"/>
              </w:rPr>
            </w:pPr>
            <w:r w:rsidRPr="00CB4A37">
              <w:rPr>
                <w:color w:val="000000"/>
                <w:sz w:val="18"/>
                <w:lang w:eastAsia="en-AU"/>
              </w:rPr>
              <w:t>Insurance</w:t>
            </w:r>
          </w:p>
        </w:tc>
      </w:tr>
      <w:tr w:rsidR="00CB4A37" w:rsidRPr="00CB4A37" w14:paraId="6A17F2F9" w14:textId="77777777" w:rsidTr="00074CE0">
        <w:trPr>
          <w:trHeight w:val="300"/>
        </w:trPr>
        <w:tc>
          <w:tcPr>
            <w:tcW w:w="500" w:type="pct"/>
            <w:tcBorders>
              <w:top w:val="nil"/>
              <w:bottom w:val="nil"/>
            </w:tcBorders>
            <w:shd w:val="clear" w:color="000000" w:fill="auto"/>
            <w:hideMark/>
          </w:tcPr>
          <w:p w14:paraId="66EBF240"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26</w:t>
            </w:r>
          </w:p>
        </w:tc>
        <w:tc>
          <w:tcPr>
            <w:tcW w:w="2000" w:type="pct"/>
            <w:tcBorders>
              <w:top w:val="nil"/>
              <w:bottom w:val="nil"/>
            </w:tcBorders>
            <w:shd w:val="clear" w:color="000000" w:fill="auto"/>
            <w:hideMark/>
          </w:tcPr>
          <w:p w14:paraId="04B963EF" w14:textId="77777777" w:rsidR="00CB4A37" w:rsidRPr="00CB4A37" w:rsidRDefault="00CB4A37" w:rsidP="00CB4A37">
            <w:pPr>
              <w:spacing w:before="0" w:after="20"/>
              <w:ind w:left="57"/>
              <w:rPr>
                <w:color w:val="000000"/>
                <w:sz w:val="18"/>
                <w:lang w:eastAsia="en-AU"/>
              </w:rPr>
            </w:pPr>
            <w:r w:rsidRPr="00CB4A37">
              <w:rPr>
                <w:color w:val="000000"/>
                <w:sz w:val="18"/>
                <w:lang w:eastAsia="en-AU"/>
              </w:rPr>
              <w:t>Beverages and tobacco products</w:t>
            </w:r>
          </w:p>
        </w:tc>
        <w:tc>
          <w:tcPr>
            <w:tcW w:w="500" w:type="pct"/>
            <w:tcBorders>
              <w:top w:val="nil"/>
              <w:bottom w:val="nil"/>
            </w:tcBorders>
            <w:shd w:val="clear" w:color="000000" w:fill="auto"/>
            <w:hideMark/>
          </w:tcPr>
          <w:p w14:paraId="573B83C4"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59</w:t>
            </w:r>
          </w:p>
        </w:tc>
        <w:tc>
          <w:tcPr>
            <w:tcW w:w="2000" w:type="pct"/>
            <w:tcBorders>
              <w:top w:val="nil"/>
              <w:bottom w:val="nil"/>
            </w:tcBorders>
            <w:shd w:val="clear" w:color="000000" w:fill="auto"/>
            <w:hideMark/>
          </w:tcPr>
          <w:p w14:paraId="213ADC08" w14:textId="77777777" w:rsidR="00CB4A37" w:rsidRPr="00CB4A37" w:rsidRDefault="00CB4A37" w:rsidP="00CB4A37">
            <w:pPr>
              <w:spacing w:before="0" w:after="20"/>
              <w:ind w:left="57"/>
              <w:rPr>
                <w:color w:val="000000"/>
                <w:sz w:val="18"/>
                <w:lang w:eastAsia="en-AU"/>
              </w:rPr>
            </w:pPr>
            <w:r w:rsidRPr="00CB4A37">
              <w:rPr>
                <w:color w:val="000000"/>
                <w:sz w:val="18"/>
                <w:lang w:eastAsia="en-AU"/>
              </w:rPr>
              <w:t>Real estate activities</w:t>
            </w:r>
          </w:p>
        </w:tc>
      </w:tr>
      <w:tr w:rsidR="00CB4A37" w:rsidRPr="00CB4A37" w14:paraId="7A4C41E6" w14:textId="77777777" w:rsidTr="00074CE0">
        <w:trPr>
          <w:trHeight w:val="260"/>
        </w:trPr>
        <w:tc>
          <w:tcPr>
            <w:tcW w:w="500" w:type="pct"/>
            <w:tcBorders>
              <w:bottom w:val="nil"/>
            </w:tcBorders>
            <w:shd w:val="clear" w:color="000000" w:fill="F2F2F2"/>
            <w:hideMark/>
          </w:tcPr>
          <w:p w14:paraId="33D13305"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27</w:t>
            </w:r>
          </w:p>
        </w:tc>
        <w:tc>
          <w:tcPr>
            <w:tcW w:w="2000" w:type="pct"/>
            <w:tcBorders>
              <w:bottom w:val="nil"/>
            </w:tcBorders>
            <w:shd w:val="clear" w:color="000000" w:fill="F2F2F2"/>
            <w:hideMark/>
          </w:tcPr>
          <w:p w14:paraId="7B9F0441" w14:textId="77777777" w:rsidR="00CB4A37" w:rsidRPr="00CB4A37" w:rsidRDefault="00CB4A37" w:rsidP="00CB4A37">
            <w:pPr>
              <w:spacing w:before="0" w:after="20"/>
              <w:ind w:left="57"/>
              <w:rPr>
                <w:color w:val="000000"/>
                <w:sz w:val="18"/>
                <w:lang w:eastAsia="en-AU"/>
              </w:rPr>
            </w:pPr>
            <w:r w:rsidRPr="00CB4A37">
              <w:rPr>
                <w:color w:val="000000"/>
                <w:sz w:val="18"/>
                <w:lang w:eastAsia="en-AU"/>
              </w:rPr>
              <w:t>Textiles</w:t>
            </w:r>
          </w:p>
        </w:tc>
        <w:tc>
          <w:tcPr>
            <w:tcW w:w="500" w:type="pct"/>
            <w:tcBorders>
              <w:bottom w:val="nil"/>
            </w:tcBorders>
            <w:shd w:val="clear" w:color="000000" w:fill="F2F2F2"/>
            <w:hideMark/>
          </w:tcPr>
          <w:p w14:paraId="1E732FB8"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60</w:t>
            </w:r>
          </w:p>
        </w:tc>
        <w:tc>
          <w:tcPr>
            <w:tcW w:w="2000" w:type="pct"/>
            <w:tcBorders>
              <w:bottom w:val="nil"/>
            </w:tcBorders>
            <w:shd w:val="clear" w:color="000000" w:fill="F2F2F2"/>
            <w:hideMark/>
          </w:tcPr>
          <w:p w14:paraId="43FA744B" w14:textId="77777777" w:rsidR="00CB4A37" w:rsidRPr="00CB4A37" w:rsidRDefault="00CB4A37" w:rsidP="00CB4A37">
            <w:pPr>
              <w:spacing w:before="0" w:after="20"/>
              <w:ind w:left="57"/>
              <w:rPr>
                <w:color w:val="000000"/>
                <w:sz w:val="18"/>
                <w:lang w:eastAsia="en-AU"/>
              </w:rPr>
            </w:pPr>
            <w:r w:rsidRPr="00CB4A37">
              <w:rPr>
                <w:color w:val="000000"/>
                <w:sz w:val="18"/>
                <w:lang w:eastAsia="en-AU"/>
              </w:rPr>
              <w:t>Business services nec</w:t>
            </w:r>
          </w:p>
        </w:tc>
      </w:tr>
      <w:tr w:rsidR="00CB4A37" w:rsidRPr="00CB4A37" w14:paraId="0FECE910" w14:textId="77777777" w:rsidTr="00074CE0">
        <w:trPr>
          <w:trHeight w:val="260"/>
        </w:trPr>
        <w:tc>
          <w:tcPr>
            <w:tcW w:w="500" w:type="pct"/>
            <w:tcBorders>
              <w:top w:val="nil"/>
              <w:bottom w:val="nil"/>
            </w:tcBorders>
            <w:shd w:val="clear" w:color="000000" w:fill="auto"/>
            <w:hideMark/>
          </w:tcPr>
          <w:p w14:paraId="5A8920E5"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28</w:t>
            </w:r>
          </w:p>
        </w:tc>
        <w:tc>
          <w:tcPr>
            <w:tcW w:w="2000" w:type="pct"/>
            <w:tcBorders>
              <w:top w:val="nil"/>
              <w:bottom w:val="nil"/>
            </w:tcBorders>
            <w:shd w:val="clear" w:color="000000" w:fill="auto"/>
            <w:hideMark/>
          </w:tcPr>
          <w:p w14:paraId="59BFD345" w14:textId="77777777" w:rsidR="00CB4A37" w:rsidRPr="00CB4A37" w:rsidRDefault="00CB4A37" w:rsidP="00CB4A37">
            <w:pPr>
              <w:spacing w:before="0" w:after="20"/>
              <w:ind w:left="57"/>
              <w:rPr>
                <w:color w:val="000000"/>
                <w:sz w:val="18"/>
                <w:lang w:eastAsia="en-AU"/>
              </w:rPr>
            </w:pPr>
            <w:r w:rsidRPr="00CB4A37">
              <w:rPr>
                <w:color w:val="000000"/>
                <w:sz w:val="18"/>
                <w:lang w:eastAsia="en-AU"/>
              </w:rPr>
              <w:t>Wearing apparel</w:t>
            </w:r>
          </w:p>
        </w:tc>
        <w:tc>
          <w:tcPr>
            <w:tcW w:w="500" w:type="pct"/>
            <w:tcBorders>
              <w:top w:val="nil"/>
              <w:bottom w:val="nil"/>
            </w:tcBorders>
            <w:shd w:val="clear" w:color="000000" w:fill="auto"/>
            <w:hideMark/>
          </w:tcPr>
          <w:p w14:paraId="2F18F55B"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61</w:t>
            </w:r>
          </w:p>
        </w:tc>
        <w:tc>
          <w:tcPr>
            <w:tcW w:w="2000" w:type="pct"/>
            <w:tcBorders>
              <w:top w:val="nil"/>
              <w:bottom w:val="nil"/>
            </w:tcBorders>
            <w:shd w:val="clear" w:color="000000" w:fill="auto"/>
            <w:hideMark/>
          </w:tcPr>
          <w:p w14:paraId="6B895E20" w14:textId="77777777" w:rsidR="00CB4A37" w:rsidRPr="00CB4A37" w:rsidRDefault="00CB4A37" w:rsidP="00CB4A37">
            <w:pPr>
              <w:spacing w:before="0" w:after="20"/>
              <w:ind w:left="57"/>
              <w:rPr>
                <w:color w:val="000000"/>
                <w:sz w:val="18"/>
                <w:lang w:eastAsia="en-AU"/>
              </w:rPr>
            </w:pPr>
            <w:r w:rsidRPr="00CB4A37">
              <w:rPr>
                <w:color w:val="000000"/>
                <w:sz w:val="18"/>
                <w:lang w:eastAsia="en-AU"/>
              </w:rPr>
              <w:t>Recreational and other services</w:t>
            </w:r>
          </w:p>
        </w:tc>
      </w:tr>
      <w:tr w:rsidR="00CB4A37" w:rsidRPr="00CB4A37" w14:paraId="45EF80D3" w14:textId="77777777" w:rsidTr="00074CE0">
        <w:trPr>
          <w:trHeight w:val="300"/>
        </w:trPr>
        <w:tc>
          <w:tcPr>
            <w:tcW w:w="500" w:type="pct"/>
            <w:tcBorders>
              <w:bottom w:val="nil"/>
            </w:tcBorders>
            <w:shd w:val="clear" w:color="000000" w:fill="F2F2F2"/>
            <w:hideMark/>
          </w:tcPr>
          <w:p w14:paraId="0EB5D2F9"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29</w:t>
            </w:r>
          </w:p>
        </w:tc>
        <w:tc>
          <w:tcPr>
            <w:tcW w:w="2000" w:type="pct"/>
            <w:tcBorders>
              <w:bottom w:val="nil"/>
            </w:tcBorders>
            <w:shd w:val="clear" w:color="000000" w:fill="F2F2F2"/>
            <w:hideMark/>
          </w:tcPr>
          <w:p w14:paraId="706B4ADC" w14:textId="77777777" w:rsidR="00CB4A37" w:rsidRPr="00CB4A37" w:rsidRDefault="00CB4A37" w:rsidP="00CB4A37">
            <w:pPr>
              <w:spacing w:before="0" w:after="20"/>
              <w:ind w:left="57"/>
              <w:rPr>
                <w:color w:val="000000"/>
                <w:sz w:val="18"/>
                <w:lang w:eastAsia="en-AU"/>
              </w:rPr>
            </w:pPr>
            <w:r w:rsidRPr="00CB4A37">
              <w:rPr>
                <w:color w:val="000000"/>
                <w:sz w:val="18"/>
                <w:lang w:eastAsia="en-AU"/>
              </w:rPr>
              <w:t>Leather products</w:t>
            </w:r>
          </w:p>
        </w:tc>
        <w:tc>
          <w:tcPr>
            <w:tcW w:w="500" w:type="pct"/>
            <w:tcBorders>
              <w:bottom w:val="nil"/>
            </w:tcBorders>
            <w:shd w:val="clear" w:color="000000" w:fill="F2F2F2"/>
            <w:hideMark/>
          </w:tcPr>
          <w:p w14:paraId="5F23C0CC"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62</w:t>
            </w:r>
          </w:p>
        </w:tc>
        <w:tc>
          <w:tcPr>
            <w:tcW w:w="2000" w:type="pct"/>
            <w:tcBorders>
              <w:bottom w:val="nil"/>
            </w:tcBorders>
            <w:shd w:val="clear" w:color="000000" w:fill="F2F2F2"/>
            <w:hideMark/>
          </w:tcPr>
          <w:p w14:paraId="79A83B15" w14:textId="77777777" w:rsidR="00CB4A37" w:rsidRPr="00CB4A37" w:rsidRDefault="00CB4A37" w:rsidP="00CB4A37">
            <w:pPr>
              <w:spacing w:before="0" w:after="20"/>
              <w:ind w:left="57"/>
              <w:rPr>
                <w:color w:val="000000"/>
                <w:sz w:val="18"/>
                <w:lang w:eastAsia="en-AU"/>
              </w:rPr>
            </w:pPr>
            <w:r w:rsidRPr="00CB4A37">
              <w:rPr>
                <w:color w:val="000000"/>
                <w:sz w:val="18"/>
                <w:lang w:eastAsia="en-AU"/>
              </w:rPr>
              <w:t>Public administration and defence</w:t>
            </w:r>
          </w:p>
        </w:tc>
      </w:tr>
      <w:tr w:rsidR="00CB4A37" w:rsidRPr="00CB4A37" w14:paraId="4893622D" w14:textId="77777777" w:rsidTr="00074CE0">
        <w:trPr>
          <w:trHeight w:val="260"/>
        </w:trPr>
        <w:tc>
          <w:tcPr>
            <w:tcW w:w="500" w:type="pct"/>
            <w:tcBorders>
              <w:top w:val="nil"/>
              <w:bottom w:val="nil"/>
            </w:tcBorders>
            <w:shd w:val="clear" w:color="000000" w:fill="auto"/>
            <w:hideMark/>
          </w:tcPr>
          <w:p w14:paraId="102E0396"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30</w:t>
            </w:r>
          </w:p>
        </w:tc>
        <w:tc>
          <w:tcPr>
            <w:tcW w:w="2000" w:type="pct"/>
            <w:tcBorders>
              <w:top w:val="nil"/>
              <w:bottom w:val="nil"/>
            </w:tcBorders>
            <w:shd w:val="clear" w:color="000000" w:fill="auto"/>
            <w:hideMark/>
          </w:tcPr>
          <w:p w14:paraId="504C384E" w14:textId="77777777" w:rsidR="00CB4A37" w:rsidRPr="00CB4A37" w:rsidRDefault="00CB4A37" w:rsidP="00CB4A37">
            <w:pPr>
              <w:spacing w:before="0" w:after="20"/>
              <w:ind w:left="57"/>
              <w:rPr>
                <w:color w:val="000000"/>
                <w:sz w:val="18"/>
                <w:lang w:eastAsia="en-AU"/>
              </w:rPr>
            </w:pPr>
            <w:r w:rsidRPr="00CB4A37">
              <w:rPr>
                <w:color w:val="000000"/>
                <w:sz w:val="18"/>
                <w:lang w:eastAsia="en-AU"/>
              </w:rPr>
              <w:t>Wood products</w:t>
            </w:r>
          </w:p>
        </w:tc>
        <w:tc>
          <w:tcPr>
            <w:tcW w:w="500" w:type="pct"/>
            <w:tcBorders>
              <w:top w:val="nil"/>
              <w:bottom w:val="nil"/>
            </w:tcBorders>
            <w:shd w:val="clear" w:color="000000" w:fill="auto"/>
            <w:hideMark/>
          </w:tcPr>
          <w:p w14:paraId="1718E5A0"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63</w:t>
            </w:r>
          </w:p>
        </w:tc>
        <w:tc>
          <w:tcPr>
            <w:tcW w:w="2000" w:type="pct"/>
            <w:tcBorders>
              <w:top w:val="nil"/>
              <w:bottom w:val="nil"/>
            </w:tcBorders>
            <w:shd w:val="clear" w:color="000000" w:fill="auto"/>
            <w:hideMark/>
          </w:tcPr>
          <w:p w14:paraId="312DE412" w14:textId="77777777" w:rsidR="00CB4A37" w:rsidRPr="00CB4A37" w:rsidRDefault="00CB4A37" w:rsidP="00CB4A37">
            <w:pPr>
              <w:spacing w:before="0" w:after="20"/>
              <w:ind w:left="57"/>
              <w:rPr>
                <w:color w:val="000000"/>
                <w:sz w:val="18"/>
                <w:lang w:eastAsia="en-AU"/>
              </w:rPr>
            </w:pPr>
            <w:r w:rsidRPr="00CB4A37">
              <w:rPr>
                <w:color w:val="000000"/>
                <w:sz w:val="18"/>
                <w:lang w:eastAsia="en-AU"/>
              </w:rPr>
              <w:t>Education</w:t>
            </w:r>
          </w:p>
        </w:tc>
      </w:tr>
      <w:tr w:rsidR="00CB4A37" w:rsidRPr="00CB4A37" w14:paraId="3517B090" w14:textId="77777777" w:rsidTr="00074CE0">
        <w:trPr>
          <w:trHeight w:val="260"/>
        </w:trPr>
        <w:tc>
          <w:tcPr>
            <w:tcW w:w="500" w:type="pct"/>
            <w:tcBorders>
              <w:bottom w:val="nil"/>
            </w:tcBorders>
            <w:shd w:val="clear" w:color="000000" w:fill="F2F2F2"/>
            <w:hideMark/>
          </w:tcPr>
          <w:p w14:paraId="592A37CE"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31</w:t>
            </w:r>
          </w:p>
        </w:tc>
        <w:tc>
          <w:tcPr>
            <w:tcW w:w="2000" w:type="pct"/>
            <w:tcBorders>
              <w:bottom w:val="nil"/>
            </w:tcBorders>
            <w:shd w:val="clear" w:color="000000" w:fill="F2F2F2"/>
            <w:hideMark/>
          </w:tcPr>
          <w:p w14:paraId="43ABC369" w14:textId="77777777" w:rsidR="00CB4A37" w:rsidRPr="00CB4A37" w:rsidRDefault="00CB4A37" w:rsidP="00CB4A37">
            <w:pPr>
              <w:spacing w:before="0" w:after="20"/>
              <w:ind w:left="57"/>
              <w:rPr>
                <w:color w:val="000000"/>
                <w:sz w:val="18"/>
                <w:lang w:eastAsia="en-AU"/>
              </w:rPr>
            </w:pPr>
            <w:r w:rsidRPr="00CB4A37">
              <w:rPr>
                <w:color w:val="000000"/>
                <w:sz w:val="18"/>
                <w:lang w:eastAsia="en-AU"/>
              </w:rPr>
              <w:t>Paper products, publishing</w:t>
            </w:r>
          </w:p>
        </w:tc>
        <w:tc>
          <w:tcPr>
            <w:tcW w:w="500" w:type="pct"/>
            <w:tcBorders>
              <w:bottom w:val="nil"/>
            </w:tcBorders>
            <w:shd w:val="clear" w:color="000000" w:fill="F2F2F2"/>
            <w:hideMark/>
          </w:tcPr>
          <w:p w14:paraId="2F746A5D"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64</w:t>
            </w:r>
          </w:p>
        </w:tc>
        <w:tc>
          <w:tcPr>
            <w:tcW w:w="2000" w:type="pct"/>
            <w:tcBorders>
              <w:bottom w:val="nil"/>
            </w:tcBorders>
            <w:shd w:val="clear" w:color="000000" w:fill="F2F2F2"/>
            <w:hideMark/>
          </w:tcPr>
          <w:p w14:paraId="202135BF" w14:textId="77777777" w:rsidR="00CB4A37" w:rsidRPr="00CB4A37" w:rsidRDefault="00CB4A37" w:rsidP="00CB4A37">
            <w:pPr>
              <w:spacing w:before="0" w:after="20"/>
              <w:ind w:left="57"/>
              <w:rPr>
                <w:color w:val="000000"/>
                <w:sz w:val="18"/>
                <w:lang w:eastAsia="en-AU"/>
              </w:rPr>
            </w:pPr>
            <w:r w:rsidRPr="00CB4A37">
              <w:rPr>
                <w:color w:val="000000"/>
                <w:sz w:val="18"/>
                <w:lang w:eastAsia="en-AU"/>
              </w:rPr>
              <w:t>Human health and social work activities</w:t>
            </w:r>
          </w:p>
        </w:tc>
      </w:tr>
      <w:tr w:rsidR="00CB4A37" w:rsidRPr="00CB4A37" w14:paraId="42FA3DEB" w14:textId="77777777" w:rsidTr="00074CE0">
        <w:trPr>
          <w:trHeight w:val="260"/>
        </w:trPr>
        <w:tc>
          <w:tcPr>
            <w:tcW w:w="500" w:type="pct"/>
            <w:tcBorders>
              <w:top w:val="nil"/>
              <w:bottom w:val="nil"/>
            </w:tcBorders>
            <w:shd w:val="clear" w:color="000000" w:fill="auto"/>
            <w:hideMark/>
          </w:tcPr>
          <w:p w14:paraId="68DD456C"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32</w:t>
            </w:r>
          </w:p>
        </w:tc>
        <w:tc>
          <w:tcPr>
            <w:tcW w:w="2000" w:type="pct"/>
            <w:tcBorders>
              <w:top w:val="nil"/>
              <w:bottom w:val="nil"/>
            </w:tcBorders>
            <w:shd w:val="clear" w:color="000000" w:fill="auto"/>
            <w:hideMark/>
          </w:tcPr>
          <w:p w14:paraId="0BBD3A85" w14:textId="77777777" w:rsidR="00CB4A37" w:rsidRPr="00CB4A37" w:rsidRDefault="00CB4A37" w:rsidP="00CB4A37">
            <w:pPr>
              <w:spacing w:before="0" w:after="20"/>
              <w:ind w:left="57"/>
              <w:rPr>
                <w:color w:val="000000"/>
                <w:sz w:val="18"/>
                <w:lang w:eastAsia="en-AU"/>
              </w:rPr>
            </w:pPr>
            <w:r w:rsidRPr="00CB4A37">
              <w:rPr>
                <w:color w:val="000000"/>
                <w:sz w:val="18"/>
                <w:lang w:eastAsia="en-AU"/>
              </w:rPr>
              <w:t>Petroleum, coal products</w:t>
            </w:r>
          </w:p>
        </w:tc>
        <w:tc>
          <w:tcPr>
            <w:tcW w:w="500" w:type="pct"/>
            <w:tcBorders>
              <w:top w:val="nil"/>
              <w:bottom w:val="nil"/>
            </w:tcBorders>
            <w:shd w:val="clear" w:color="000000" w:fill="auto"/>
            <w:hideMark/>
          </w:tcPr>
          <w:p w14:paraId="757AC493"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65</w:t>
            </w:r>
          </w:p>
        </w:tc>
        <w:tc>
          <w:tcPr>
            <w:tcW w:w="2000" w:type="pct"/>
            <w:tcBorders>
              <w:top w:val="nil"/>
              <w:bottom w:val="nil"/>
            </w:tcBorders>
            <w:shd w:val="clear" w:color="000000" w:fill="auto"/>
            <w:hideMark/>
          </w:tcPr>
          <w:p w14:paraId="01D42774" w14:textId="77777777" w:rsidR="00CB4A37" w:rsidRPr="00CB4A37" w:rsidRDefault="00CB4A37" w:rsidP="00CB4A37">
            <w:pPr>
              <w:spacing w:before="0" w:after="20"/>
              <w:ind w:left="57"/>
              <w:rPr>
                <w:color w:val="000000"/>
                <w:sz w:val="18"/>
                <w:lang w:eastAsia="en-AU"/>
              </w:rPr>
            </w:pPr>
            <w:r w:rsidRPr="00CB4A37">
              <w:rPr>
                <w:color w:val="000000"/>
                <w:sz w:val="18"/>
                <w:lang w:eastAsia="en-AU"/>
              </w:rPr>
              <w:t>Dwellings</w:t>
            </w:r>
          </w:p>
        </w:tc>
      </w:tr>
      <w:tr w:rsidR="00CB4A37" w:rsidRPr="00CB4A37" w14:paraId="760774C3" w14:textId="77777777" w:rsidTr="00074CE0">
        <w:trPr>
          <w:trHeight w:val="260"/>
        </w:trPr>
        <w:tc>
          <w:tcPr>
            <w:tcW w:w="500" w:type="pct"/>
            <w:tcBorders>
              <w:bottom w:val="single" w:sz="4" w:space="0" w:color="B3B3B3"/>
            </w:tcBorders>
            <w:shd w:val="clear" w:color="000000" w:fill="F2F2F2"/>
            <w:hideMark/>
          </w:tcPr>
          <w:p w14:paraId="152643BB" w14:textId="77777777" w:rsidR="00CB4A37" w:rsidRPr="00CB4A37" w:rsidRDefault="00CB4A37" w:rsidP="00CB4A37">
            <w:pPr>
              <w:spacing w:before="0" w:after="20"/>
              <w:ind w:left="57"/>
              <w:rPr>
                <w:b/>
                <w:bCs/>
                <w:color w:val="265A9A"/>
                <w:sz w:val="18"/>
                <w:lang w:eastAsia="en-AU"/>
              </w:rPr>
            </w:pPr>
            <w:r w:rsidRPr="00CB4A37">
              <w:rPr>
                <w:b/>
                <w:bCs/>
                <w:color w:val="265A9A"/>
                <w:sz w:val="18"/>
                <w:lang w:eastAsia="en-AU"/>
              </w:rPr>
              <w:t>33</w:t>
            </w:r>
          </w:p>
        </w:tc>
        <w:tc>
          <w:tcPr>
            <w:tcW w:w="2000" w:type="pct"/>
            <w:tcBorders>
              <w:bottom w:val="single" w:sz="4" w:space="0" w:color="B3B3B3"/>
            </w:tcBorders>
            <w:shd w:val="clear" w:color="000000" w:fill="F2F2F2"/>
            <w:hideMark/>
          </w:tcPr>
          <w:p w14:paraId="780121DD" w14:textId="77777777" w:rsidR="00CB4A37" w:rsidRPr="00CB4A37" w:rsidRDefault="00CB4A37" w:rsidP="00CB4A37">
            <w:pPr>
              <w:spacing w:before="0" w:after="20"/>
              <w:ind w:left="57"/>
              <w:rPr>
                <w:color w:val="000000"/>
                <w:sz w:val="18"/>
                <w:lang w:eastAsia="en-AU"/>
              </w:rPr>
            </w:pPr>
            <w:r w:rsidRPr="00CB4A37">
              <w:rPr>
                <w:color w:val="000000"/>
                <w:sz w:val="18"/>
                <w:lang w:eastAsia="en-AU"/>
              </w:rPr>
              <w:t>Chemical products</w:t>
            </w:r>
          </w:p>
        </w:tc>
        <w:tc>
          <w:tcPr>
            <w:tcW w:w="500" w:type="pct"/>
            <w:tcBorders>
              <w:bottom w:val="single" w:sz="4" w:space="0" w:color="B3B3B3"/>
            </w:tcBorders>
            <w:shd w:val="clear" w:color="000000" w:fill="F2F2F2"/>
            <w:hideMark/>
          </w:tcPr>
          <w:p w14:paraId="5E7D1FAF" w14:textId="77777777" w:rsidR="00CB4A37" w:rsidRPr="00CB4A37" w:rsidRDefault="00CB4A37" w:rsidP="00CB4A37">
            <w:pPr>
              <w:spacing w:before="0" w:after="20"/>
              <w:ind w:left="57"/>
              <w:rPr>
                <w:color w:val="000000"/>
                <w:sz w:val="18"/>
                <w:lang w:eastAsia="en-AU"/>
              </w:rPr>
            </w:pPr>
          </w:p>
        </w:tc>
        <w:tc>
          <w:tcPr>
            <w:tcW w:w="2000" w:type="pct"/>
            <w:tcBorders>
              <w:bottom w:val="single" w:sz="4" w:space="0" w:color="B3B3B3"/>
            </w:tcBorders>
            <w:shd w:val="clear" w:color="000000" w:fill="F2F2F2"/>
            <w:hideMark/>
          </w:tcPr>
          <w:p w14:paraId="013554EB" w14:textId="77777777" w:rsidR="00CB4A37" w:rsidRPr="00CB4A37" w:rsidRDefault="00CB4A37" w:rsidP="00CB4A37">
            <w:pPr>
              <w:spacing w:before="0" w:after="20"/>
              <w:ind w:left="57"/>
              <w:rPr>
                <w:color w:val="000000"/>
                <w:sz w:val="18"/>
                <w:lang w:eastAsia="en-AU"/>
              </w:rPr>
            </w:pPr>
            <w:r w:rsidRPr="00CB4A37">
              <w:rPr>
                <w:color w:val="000000"/>
                <w:sz w:val="18"/>
                <w:lang w:eastAsia="en-AU"/>
              </w:rPr>
              <w:t> </w:t>
            </w:r>
          </w:p>
        </w:tc>
      </w:tr>
    </w:tbl>
    <w:p w14:paraId="7722833A" w14:textId="13B63CDA" w:rsidR="00CB4A37" w:rsidRPr="00CB4A37" w:rsidRDefault="00CB4A37" w:rsidP="00E43D35">
      <w:pPr>
        <w:pStyle w:val="Note"/>
      </w:pPr>
      <w:r w:rsidRPr="00CB4A37">
        <w:rPr>
          <w:b/>
          <w:bCs/>
        </w:rPr>
        <w:t xml:space="preserve">a. </w:t>
      </w:r>
      <w:r w:rsidRPr="00CB4A37">
        <w:t xml:space="preserve">Industries 1 to 14 form the agricultural sector, 15 to 18 the mining sector, 19 to 45 the manufacturing sector and 46 to 65 the services sector. </w:t>
      </w:r>
      <w:r w:rsidRPr="00CB4A37">
        <w:rPr>
          <w:b/>
          <w:bCs/>
        </w:rPr>
        <w:t>b.</w:t>
      </w:r>
      <w:r w:rsidRPr="00CB4A37">
        <w:t xml:space="preserve"> nec: not elsewhere classified.</w:t>
      </w:r>
    </w:p>
    <w:p w14:paraId="38116789" w14:textId="77777777" w:rsidR="00CE5C15" w:rsidRDefault="00CE5C15" w:rsidP="00CC1067">
      <w:pPr>
        <w:pStyle w:val="BodyText"/>
        <w:sectPr w:rsidR="00CE5C15" w:rsidSect="00823C91">
          <w:headerReference w:type="even" r:id="rId108"/>
          <w:headerReference w:type="default" r:id="rId109"/>
          <w:type w:val="oddPage"/>
          <w:pgSz w:w="11906" w:h="16838" w:code="9"/>
          <w:pgMar w:top="1134" w:right="1134" w:bottom="1134" w:left="1134" w:header="794" w:footer="510" w:gutter="0"/>
          <w:cols w:space="708"/>
          <w:docGrid w:linePitch="360"/>
        </w:sectPr>
      </w:pPr>
    </w:p>
    <w:p w14:paraId="7E30F870" w14:textId="66C3309E" w:rsidR="00AE273B" w:rsidRDefault="00AE273B" w:rsidP="009E11CE">
      <w:pPr>
        <w:pStyle w:val="Heading-Appendix"/>
      </w:pPr>
      <w:bookmarkStart w:id="106" w:name="_Toc202477865"/>
      <w:r w:rsidRPr="00AE273B">
        <w:lastRenderedPageBreak/>
        <w:t>Assistance estimates</w:t>
      </w:r>
      <w:bookmarkEnd w:id="106"/>
    </w:p>
    <w:p w14:paraId="6894D1F3" w14:textId="71D51289" w:rsidR="00CC1067" w:rsidRPr="009E11CE" w:rsidRDefault="00AE273B" w:rsidP="009E11CE">
      <w:pPr>
        <w:pStyle w:val="BodyText"/>
      </w:pPr>
      <w:r w:rsidRPr="009E11CE">
        <w:t xml:space="preserve">A spreadsheet with the assistance estimates data is available online at: </w:t>
      </w:r>
      <w:hyperlink r:id="rId110" w:history="1">
        <w:r w:rsidR="00B376BD" w:rsidRPr="00D00A36">
          <w:rPr>
            <w:rStyle w:val="Hyperlink"/>
          </w:rPr>
          <w:t>www.pc.gov.au/ongoing/trade-assistance/2023-24</w:t>
        </w:r>
      </w:hyperlink>
      <w:r w:rsidR="009E11CE">
        <w:t xml:space="preserve"> </w:t>
      </w:r>
    </w:p>
    <w:p w14:paraId="2FAE4C92" w14:textId="77777777" w:rsidR="00EE7815" w:rsidRDefault="00EE7815" w:rsidP="00CC1067">
      <w:pPr>
        <w:pStyle w:val="BodyText"/>
        <w:sectPr w:rsidR="00EE7815" w:rsidSect="00823C91">
          <w:type w:val="oddPage"/>
          <w:pgSz w:w="11906" w:h="16838" w:code="9"/>
          <w:pgMar w:top="1134" w:right="1134" w:bottom="1134" w:left="1134" w:header="794" w:footer="510" w:gutter="0"/>
          <w:cols w:space="708"/>
          <w:docGrid w:linePitch="360"/>
        </w:sectPr>
      </w:pPr>
    </w:p>
    <w:p w14:paraId="36702326" w14:textId="77777777" w:rsidR="00571A17" w:rsidRPr="00CC1067" w:rsidRDefault="00571A17" w:rsidP="00CC1067">
      <w:pPr>
        <w:pStyle w:val="BodyText"/>
      </w:pPr>
    </w:p>
    <w:p w14:paraId="2900BA5C" w14:textId="77777777" w:rsidR="00B376BD" w:rsidRDefault="00B376BD" w:rsidP="00CC1067">
      <w:pPr>
        <w:pStyle w:val="BodyText"/>
        <w:sectPr w:rsidR="00B376BD" w:rsidSect="00EE7815">
          <w:headerReference w:type="even" r:id="rId111"/>
          <w:pgSz w:w="11906" w:h="16838" w:code="9"/>
          <w:pgMar w:top="1134" w:right="1134" w:bottom="1134" w:left="1134" w:header="794" w:footer="510" w:gutter="0"/>
          <w:cols w:space="708"/>
          <w:docGrid w:linePitch="360"/>
        </w:sectPr>
      </w:pPr>
    </w:p>
    <w:p w14:paraId="76E9F6AC" w14:textId="77777777" w:rsidR="00D007A2" w:rsidRPr="00D007A2" w:rsidRDefault="00D007A2" w:rsidP="005E244A">
      <w:pPr>
        <w:pStyle w:val="Heading-Appendix"/>
      </w:pPr>
      <w:bookmarkStart w:id="107" w:name="_Toc201909209"/>
      <w:bookmarkStart w:id="108" w:name="_Toc202477866"/>
      <w:r w:rsidRPr="00D007A2">
        <w:lastRenderedPageBreak/>
        <w:t>Literature review on trade agreement compliance costs</w:t>
      </w:r>
      <w:bookmarkEnd w:id="107"/>
      <w:bookmarkEnd w:id="108"/>
    </w:p>
    <w:p w14:paraId="08A91B2D" w14:textId="77777777" w:rsidR="00D007A2" w:rsidRPr="00D007A2" w:rsidRDefault="00D007A2" w:rsidP="00AB7E13">
      <w:pPr>
        <w:pStyle w:val="Heading2-Appendix"/>
      </w:pPr>
      <w:bookmarkStart w:id="109" w:name="_Toc202477867"/>
      <w:r w:rsidRPr="00D007A2">
        <w:t>How our model compares with other studies of compliance costs</w:t>
      </w:r>
      <w:bookmarkEnd w:id="109"/>
    </w:p>
    <w:p w14:paraId="5A843608" w14:textId="77777777" w:rsidR="00D007A2" w:rsidRPr="00D007A2" w:rsidRDefault="00D007A2" w:rsidP="00E054BD">
      <w:pPr>
        <w:pStyle w:val="BodyText"/>
      </w:pPr>
      <w:r w:rsidRPr="00D007A2">
        <w:t xml:space="preserve">The Productivity Commission is not the first organisation to estimate compliance costs. The same intuition </w:t>
      </w:r>
      <w:r w:rsidRPr="00D007A2">
        <w:rPr>
          <w:rStyle w:val="BodyTextChar"/>
        </w:rPr>
        <w:t>that</w:t>
      </w:r>
      <w:r w:rsidRPr="00D007A2">
        <w:t xml:space="preserve"> underpins our model also underpins many of the existing studies of preferential trade agreement (PTA) related compliance costs. This section compares our model with the wider literature.</w:t>
      </w:r>
    </w:p>
    <w:p w14:paraId="1D19C2F3" w14:textId="77777777" w:rsidR="00D007A2" w:rsidRPr="00D007A2" w:rsidRDefault="00D007A2" w:rsidP="007F7E75">
      <w:pPr>
        <w:pStyle w:val="Heading3"/>
      </w:pPr>
      <w:r w:rsidRPr="00D007A2">
        <w:t>There are two common approaches in the literature</w:t>
      </w:r>
    </w:p>
    <w:p w14:paraId="0058A94A" w14:textId="77777777" w:rsidR="00D007A2" w:rsidRPr="00D007A2" w:rsidRDefault="00D007A2" w:rsidP="00D007A2">
      <w:r w:rsidRPr="00D007A2">
        <w:t xml:space="preserve">Much of the literature uses either a revealed preference approach or a threshold regression approach. While there are other methodologies available to researchers (for example, Bureau et al. </w:t>
      </w:r>
      <w:r w:rsidRPr="00D007A2">
        <w:rPr>
          <w:rFonts w:ascii="Arial" w:hAnsi="Arial" w:cs="Arial"/>
        </w:rPr>
        <w:t>(2007)</w:t>
      </w:r>
      <w:r w:rsidRPr="00D007A2">
        <w:t xml:space="preserve"> provides an investigation of European Union and United States agricultural imports using a probit model), these two approaches are common for studies looking at country level import data.</w:t>
      </w:r>
    </w:p>
    <w:p w14:paraId="64633A85" w14:textId="77777777" w:rsidR="00D007A2" w:rsidRPr="00D007A2" w:rsidRDefault="00D007A2" w:rsidP="00D007A2">
      <w:r w:rsidRPr="00D007A2">
        <w:t>Many studies use aggregate (that is country</w:t>
      </w:r>
      <w:r w:rsidRPr="00D007A2">
        <w:noBreakHyphen/>
        <w:t>to</w:t>
      </w:r>
      <w:r w:rsidRPr="00D007A2">
        <w:noBreakHyphen/>
        <w:t>country level) import data, including the PC. Studies that use individual shipment, or ‘transaction’</w:t>
      </w:r>
      <w:r w:rsidRPr="00D007A2">
        <w:noBreakHyphen/>
        <w:t xml:space="preserve">level data are less common (though recent studies do including Albert and Nilsson </w:t>
      </w:r>
      <w:r w:rsidRPr="00D007A2">
        <w:rPr>
          <w:rFonts w:ascii="Arial" w:hAnsi="Arial" w:cs="Arial"/>
        </w:rPr>
        <w:t>(2016)</w:t>
      </w:r>
      <w:r w:rsidRPr="00D007A2">
        <w:t xml:space="preserve">; Kasteng et al. </w:t>
      </w:r>
      <w:r w:rsidRPr="00D007A2">
        <w:rPr>
          <w:rFonts w:ascii="Arial" w:hAnsi="Arial" w:cs="Arial"/>
        </w:rPr>
        <w:t>(2021)</w:t>
      </w:r>
      <w:r w:rsidRPr="00D007A2">
        <w:t xml:space="preserve">; and Legge and Lukaszuk </w:t>
      </w:r>
      <w:r w:rsidRPr="00D007A2">
        <w:rPr>
          <w:rFonts w:ascii="Arial" w:hAnsi="Arial" w:cs="Arial"/>
        </w:rPr>
        <w:t>(2024)</w:t>
      </w:r>
      <w:r w:rsidRPr="00D007A2">
        <w:t xml:space="preserve">). </w:t>
      </w:r>
    </w:p>
    <w:p w14:paraId="4DC8FAD3" w14:textId="77777777" w:rsidR="00D007A2" w:rsidRPr="00D007A2" w:rsidRDefault="00D007A2" w:rsidP="007F7E75">
      <w:pPr>
        <w:pStyle w:val="Heading4"/>
      </w:pPr>
      <w:r w:rsidRPr="00D007A2">
        <w:t>Revealed preference approach</w:t>
      </w:r>
    </w:p>
    <w:p w14:paraId="324B5834" w14:textId="77777777" w:rsidR="00D007A2" w:rsidRPr="00D007A2" w:rsidRDefault="00D007A2" w:rsidP="00D007A2">
      <w:r w:rsidRPr="00D007A2">
        <w:t>A revealed preference approach assumes that we can measure importers’ preferences using their observed behaviour when interacting with the tariff system. This assumption has allowed researchers to infer the costs of complying with rules of origin as a proportion of the shipment value. More specifically, it assumes that there is an upper bound and lower bound:</w:t>
      </w:r>
    </w:p>
    <w:p w14:paraId="0F839DC8" w14:textId="77777777" w:rsidR="00D007A2" w:rsidRPr="00D007A2" w:rsidRDefault="00D007A2" w:rsidP="00E054BD">
      <w:pPr>
        <w:pStyle w:val="ListBullet"/>
      </w:pPr>
      <w:r w:rsidRPr="00D007A2">
        <w:rPr>
          <w:b/>
          <w:bCs/>
        </w:rPr>
        <w:t xml:space="preserve">Upper bound: </w:t>
      </w:r>
      <w:r w:rsidRPr="00D007A2">
        <w:t xml:space="preserve">For products with preference utilisation rates at or close to 100%, the cost of compliance is ‘revealed’ to be lower than the preferential margin – otherwise exporters would prefer not to comply and simply pay the MFN tariff. </w:t>
      </w:r>
    </w:p>
    <w:p w14:paraId="4748C1CB" w14:textId="77777777" w:rsidR="00D007A2" w:rsidRPr="00D007A2" w:rsidRDefault="00D007A2" w:rsidP="00E054BD">
      <w:pPr>
        <w:pStyle w:val="ListBullet"/>
      </w:pPr>
      <w:r w:rsidRPr="00D007A2">
        <w:rPr>
          <w:b/>
          <w:bCs/>
        </w:rPr>
        <w:t xml:space="preserve">Lower bound: </w:t>
      </w:r>
      <w:r w:rsidRPr="00D007A2">
        <w:t xml:space="preserve">For products which do not enter using preferential tariffs, the margin is a lower bound for the cost of compliance. </w:t>
      </w:r>
    </w:p>
    <w:p w14:paraId="4D3F752B" w14:textId="77777777" w:rsidR="00D007A2" w:rsidRPr="00D007A2" w:rsidRDefault="00D007A2" w:rsidP="00D007A2">
      <w:r w:rsidRPr="00D007A2">
        <w:t xml:space="preserve">The PC model draws on this same intuition as it infers compliance costs from the observable choices business make when faced with different tariff savings. A logistic function is then used to model the relationship between PTA uptake and tariff savings, identifying the distribution of compliance costs as a share of imports to find average incurred costs. See the appendix C of the </w:t>
      </w:r>
      <w:r w:rsidRPr="00D007A2">
        <w:rPr>
          <w:i/>
          <w:iCs/>
        </w:rPr>
        <w:t>Nuisance Cost of Tariffs</w:t>
      </w:r>
      <w:r w:rsidRPr="00D007A2">
        <w:t xml:space="preserve"> report for further information </w:t>
      </w:r>
      <w:r w:rsidRPr="00D007A2">
        <w:rPr>
          <w:rFonts w:ascii="Arial" w:hAnsi="Arial" w:cs="Arial"/>
        </w:rPr>
        <w:t>(PC 2022)</w:t>
      </w:r>
      <w:r w:rsidRPr="00D007A2">
        <w:t xml:space="preserve">. </w:t>
      </w:r>
    </w:p>
    <w:p w14:paraId="167EC618" w14:textId="77777777" w:rsidR="00D007A2" w:rsidRPr="00D007A2" w:rsidRDefault="00D007A2" w:rsidP="007F7E75">
      <w:pPr>
        <w:pStyle w:val="Heading4"/>
      </w:pPr>
      <w:r w:rsidRPr="00D007A2">
        <w:t>Threshold regression approach</w:t>
      </w:r>
    </w:p>
    <w:p w14:paraId="18824789" w14:textId="77777777" w:rsidR="00D007A2" w:rsidRPr="00D007A2" w:rsidRDefault="00D007A2" w:rsidP="00D007A2">
      <w:r w:rsidRPr="00D007A2">
        <w:t xml:space="preserve">An alternate approach is to apply threshold regression to a model of trade flows such as a gravity equation. </w:t>
      </w:r>
    </w:p>
    <w:p w14:paraId="58FF0AD1" w14:textId="77777777" w:rsidR="00D007A2" w:rsidRPr="00D007A2" w:rsidRDefault="00D007A2" w:rsidP="00D007A2">
      <w:r w:rsidRPr="00D007A2">
        <w:lastRenderedPageBreak/>
        <w:t xml:space="preserve">A threshold regression approach is a type of regression model which assumes that the relationship between variables might change once a certain threshold (for example, a certain preference margin) is reached. Below this threshold the tariff saving is too small to justify the compliance cost; above it claiming the preference becomes worthwhile. </w:t>
      </w:r>
    </w:p>
    <w:p w14:paraId="4B4EC8AB" w14:textId="77777777" w:rsidR="00D007A2" w:rsidRPr="00D007A2" w:rsidRDefault="00D007A2" w:rsidP="00D007A2">
      <w:r w:rsidRPr="00D007A2">
        <w:t xml:space="preserve">While drawing on similar logic, the PC’s model is not a threshold regression as it aims to examine the whole distribution of decisions. In contrast, a threshold regression models an abrupt switch between two different states at a sharp cut of point. </w:t>
      </w:r>
    </w:p>
    <w:p w14:paraId="287532AC" w14:textId="77777777" w:rsidR="00D007A2" w:rsidRPr="00D007A2" w:rsidRDefault="00D007A2" w:rsidP="007F7E75">
      <w:pPr>
        <w:pStyle w:val="Heading3"/>
      </w:pPr>
      <w:r w:rsidRPr="00D007A2">
        <w:t>PC estimates align with the lower end of other studies</w:t>
      </w:r>
    </w:p>
    <w:p w14:paraId="3325AF33" w14:textId="77777777" w:rsidR="00D007A2" w:rsidRPr="00D007A2" w:rsidRDefault="00D007A2" w:rsidP="00D007A2">
      <w:r w:rsidRPr="00D007A2">
        <w:t>Table C.1 reports estimates of average expected PTA</w:t>
      </w:r>
      <w:r w:rsidRPr="00D007A2">
        <w:noBreakHyphen/>
        <w:t xml:space="preserve">related compliance costs from other studies. As noted in appendix C of </w:t>
      </w:r>
      <w:r w:rsidRPr="00D007A2">
        <w:rPr>
          <w:i/>
          <w:iCs/>
        </w:rPr>
        <w:t>The Nuisance Cost of Tariffs</w:t>
      </w:r>
      <w:r w:rsidRPr="00D007A2">
        <w:t xml:space="preserve"> </w:t>
      </w:r>
      <w:r w:rsidRPr="00D007A2">
        <w:rPr>
          <w:rFonts w:ascii="Arial" w:hAnsi="Arial" w:cs="Arial"/>
        </w:rPr>
        <w:t>(2022, pp. 61–67)</w:t>
      </w:r>
      <w:r w:rsidRPr="00D007A2">
        <w:t>, the PC’s estimates (~2% of import value) are aligned with the lower end estimates of existing studies. Most studies observed found higher compliance costs than the PC model. This may be a result of the varying complexities of rules of origin in other PTAs or differences in the data and methodology used.</w:t>
      </w:r>
    </w:p>
    <w:p w14:paraId="47BF12A4" w14:textId="77777777" w:rsidR="00D007A2" w:rsidRPr="00D007A2" w:rsidRDefault="00D007A2" w:rsidP="00D007A2">
      <w:pPr>
        <w:keepNext/>
        <w:spacing w:before="240" w:after="40"/>
        <w:rPr>
          <w:rFonts w:asciiTheme="majorHAnsi" w:hAnsiTheme="majorHAnsi"/>
          <w:iCs/>
          <w:color w:val="000000" w:themeColor="text1"/>
          <w:szCs w:val="18"/>
        </w:rPr>
      </w:pPr>
      <w:r w:rsidRPr="00D007A2">
        <w:rPr>
          <w:rFonts w:asciiTheme="majorHAnsi" w:hAnsiTheme="majorHAnsi"/>
          <w:iCs/>
          <w:color w:val="000000" w:themeColor="text1"/>
          <w:szCs w:val="18"/>
        </w:rPr>
        <w:t>Table C.1</w:t>
      </w:r>
      <w:r w:rsidRPr="00D007A2">
        <w:rPr>
          <w:rFonts w:asciiTheme="majorHAnsi" w:hAnsiTheme="majorHAnsi"/>
          <w:iCs/>
          <w:noProof/>
          <w:color w:val="000000" w:themeColor="text1"/>
          <w:szCs w:val="18"/>
        </w:rPr>
        <w:t xml:space="preserve"> – Studies of average expected PTA</w:t>
      </w:r>
      <w:r w:rsidRPr="00D007A2">
        <w:rPr>
          <w:rFonts w:asciiTheme="majorHAnsi" w:hAnsiTheme="majorHAnsi"/>
          <w:iCs/>
          <w:noProof/>
          <w:color w:val="000000" w:themeColor="text1"/>
          <w:szCs w:val="18"/>
        </w:rPr>
        <w:noBreakHyphen/>
        <w:t>related compliance costs</w:t>
      </w:r>
      <w:r w:rsidRPr="00D007A2">
        <w:rPr>
          <w:rFonts w:asciiTheme="majorHAnsi" w:hAnsiTheme="majorHAnsi"/>
          <w:iCs/>
          <w:color w:val="000000" w:themeColor="text1"/>
          <w:szCs w:val="18"/>
          <w:vertAlign w:val="superscript"/>
        </w:rPr>
        <w:t>a,b,c,d,e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49"/>
        <w:gridCol w:w="2423"/>
        <w:gridCol w:w="1726"/>
        <w:gridCol w:w="2046"/>
        <w:gridCol w:w="1494"/>
      </w:tblGrid>
      <w:tr w:rsidR="00D007A2" w:rsidRPr="00D007A2" w14:paraId="05CEDD0E" w14:textId="77777777" w:rsidTr="00074CE0">
        <w:trPr>
          <w:tblHeader/>
        </w:trPr>
        <w:tc>
          <w:tcPr>
            <w:tcW w:w="1949" w:type="dxa"/>
            <w:tcBorders>
              <w:bottom w:val="single" w:sz="4" w:space="0" w:color="B3B3B3"/>
            </w:tcBorders>
            <w:shd w:val="clear" w:color="000000" w:fill="auto"/>
            <w:vAlign w:val="bottom"/>
          </w:tcPr>
          <w:p w14:paraId="083AF2A0"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Study</w:t>
            </w:r>
          </w:p>
        </w:tc>
        <w:tc>
          <w:tcPr>
            <w:tcW w:w="2423" w:type="dxa"/>
            <w:tcBorders>
              <w:bottom w:val="single" w:sz="4" w:space="0" w:color="B3B3B3"/>
            </w:tcBorders>
            <w:shd w:val="clear" w:color="000000" w:fill="auto"/>
            <w:vAlign w:val="bottom"/>
          </w:tcPr>
          <w:p w14:paraId="587A9DD2"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PTA and/or countries</w:t>
            </w:r>
          </w:p>
        </w:tc>
        <w:tc>
          <w:tcPr>
            <w:tcW w:w="1726" w:type="dxa"/>
            <w:tcBorders>
              <w:bottom w:val="single" w:sz="4" w:space="0" w:color="B3B3B3"/>
            </w:tcBorders>
            <w:shd w:val="clear" w:color="000000" w:fill="auto"/>
            <w:vAlign w:val="bottom"/>
          </w:tcPr>
          <w:p w14:paraId="730555E1" w14:textId="77777777" w:rsidR="00D007A2" w:rsidRPr="00D007A2" w:rsidRDefault="00D007A2" w:rsidP="00E054BD">
            <w:pPr>
              <w:spacing w:before="45" w:after="45"/>
              <w:ind w:left="57" w:right="57"/>
              <w:rPr>
                <w:rFonts w:ascii="Arial (Body)" w:hAnsi="Arial (Body)"/>
                <w:b/>
                <w:color w:val="265A9A"/>
                <w:sz w:val="18"/>
              </w:rPr>
            </w:pPr>
            <w:r w:rsidRPr="00D007A2">
              <w:rPr>
                <w:rFonts w:ascii="Arial (Body)" w:hAnsi="Arial (Body)"/>
                <w:b/>
                <w:color w:val="265A9A"/>
                <w:sz w:val="18"/>
              </w:rPr>
              <w:t>Production</w:t>
            </w:r>
            <w:r w:rsidRPr="00D007A2">
              <w:rPr>
                <w:rFonts w:ascii="Arial (Body)" w:hAnsi="Arial (Body)"/>
                <w:b/>
                <w:color w:val="265A9A"/>
                <w:sz w:val="18"/>
              </w:rPr>
              <w:noBreakHyphen/>
              <w:t>related average compliance cost estimate</w:t>
            </w:r>
          </w:p>
        </w:tc>
        <w:tc>
          <w:tcPr>
            <w:tcW w:w="2046" w:type="dxa"/>
            <w:tcBorders>
              <w:bottom w:val="single" w:sz="4" w:space="0" w:color="B3B3B3"/>
            </w:tcBorders>
            <w:shd w:val="clear" w:color="000000" w:fill="auto"/>
            <w:vAlign w:val="bottom"/>
          </w:tcPr>
          <w:p w14:paraId="2EBC9BB7" w14:textId="77777777" w:rsidR="00D007A2" w:rsidRPr="00D007A2" w:rsidRDefault="00D007A2" w:rsidP="00E054BD">
            <w:pPr>
              <w:spacing w:before="45" w:after="45"/>
              <w:ind w:left="57" w:right="57"/>
              <w:rPr>
                <w:rFonts w:ascii="Arial (Body)" w:hAnsi="Arial (Body)"/>
                <w:b/>
                <w:color w:val="265A9A"/>
                <w:sz w:val="18"/>
              </w:rPr>
            </w:pPr>
            <w:r w:rsidRPr="00D007A2">
              <w:rPr>
                <w:rFonts w:ascii="Arial (Body)" w:hAnsi="Arial (Body)"/>
                <w:b/>
                <w:color w:val="265A9A"/>
                <w:sz w:val="18"/>
              </w:rPr>
              <w:t>Administration</w:t>
            </w:r>
            <w:r w:rsidRPr="00D007A2">
              <w:rPr>
                <w:rFonts w:ascii="Arial (Body)" w:hAnsi="Arial (Body)"/>
                <w:b/>
                <w:color w:val="265A9A"/>
                <w:sz w:val="18"/>
              </w:rPr>
              <w:noBreakHyphen/>
              <w:t>related average compliance cost estimate</w:t>
            </w:r>
          </w:p>
        </w:tc>
        <w:tc>
          <w:tcPr>
            <w:tcW w:w="1494" w:type="dxa"/>
            <w:tcBorders>
              <w:bottom w:val="single" w:sz="4" w:space="0" w:color="B3B3B3"/>
            </w:tcBorders>
            <w:shd w:val="clear" w:color="000000" w:fill="auto"/>
            <w:vAlign w:val="bottom"/>
          </w:tcPr>
          <w:p w14:paraId="14AE8271" w14:textId="77777777" w:rsidR="00D007A2" w:rsidRPr="00D007A2" w:rsidRDefault="00D007A2" w:rsidP="00E054BD">
            <w:pPr>
              <w:spacing w:before="45" w:after="45"/>
              <w:ind w:left="57" w:right="57"/>
              <w:rPr>
                <w:rFonts w:ascii="Arial (Body)" w:hAnsi="Arial (Body)"/>
                <w:b/>
                <w:color w:val="265A9A"/>
                <w:sz w:val="18"/>
              </w:rPr>
            </w:pPr>
            <w:r w:rsidRPr="00D007A2">
              <w:rPr>
                <w:rFonts w:ascii="Arial (Body)" w:hAnsi="Arial (Body)"/>
                <w:b/>
                <w:color w:val="265A9A"/>
                <w:sz w:val="18"/>
              </w:rPr>
              <w:t>Total average compliance cost estimate</w:t>
            </w:r>
          </w:p>
        </w:tc>
      </w:tr>
      <w:tr w:rsidR="00D007A2" w:rsidRPr="00D007A2" w14:paraId="53E88282" w14:textId="77777777" w:rsidTr="00074CE0">
        <w:trPr>
          <w:tblHeader/>
        </w:trPr>
        <w:tc>
          <w:tcPr>
            <w:tcW w:w="1949" w:type="dxa"/>
            <w:tcBorders>
              <w:top w:val="single" w:sz="4" w:space="0" w:color="B3B3B3"/>
              <w:bottom w:val="nil"/>
            </w:tcBorders>
            <w:shd w:val="clear" w:color="000000" w:fill="F2F2F2"/>
          </w:tcPr>
          <w:p w14:paraId="6C0317CF" w14:textId="77777777" w:rsidR="00D007A2" w:rsidRPr="00D007A2" w:rsidRDefault="00D007A2" w:rsidP="00D007A2">
            <w:pPr>
              <w:spacing w:before="45" w:after="45"/>
              <w:ind w:left="57" w:right="108"/>
              <w:rPr>
                <w:rFonts w:ascii="Arial (Body)" w:hAnsi="Arial (Body)"/>
                <w:b/>
                <w:color w:val="265A9A"/>
                <w:sz w:val="18"/>
              </w:rPr>
            </w:pPr>
          </w:p>
        </w:tc>
        <w:tc>
          <w:tcPr>
            <w:tcW w:w="2423" w:type="dxa"/>
            <w:tcBorders>
              <w:top w:val="single" w:sz="4" w:space="0" w:color="B3B3B3"/>
              <w:bottom w:val="nil"/>
            </w:tcBorders>
            <w:shd w:val="clear" w:color="000000" w:fill="F2F2F2"/>
          </w:tcPr>
          <w:p w14:paraId="4DB5431B" w14:textId="77777777" w:rsidR="00D007A2" w:rsidRPr="00D007A2" w:rsidRDefault="00D007A2" w:rsidP="00D007A2">
            <w:pPr>
              <w:spacing w:before="45" w:after="45"/>
              <w:ind w:left="57" w:right="108"/>
              <w:rPr>
                <w:rFonts w:ascii="Arial (Body)" w:hAnsi="Arial (Body)"/>
                <w:color w:val="000000"/>
                <w:sz w:val="18"/>
              </w:rPr>
            </w:pPr>
          </w:p>
        </w:tc>
        <w:tc>
          <w:tcPr>
            <w:tcW w:w="1726" w:type="dxa"/>
            <w:tcBorders>
              <w:top w:val="single" w:sz="4" w:space="0" w:color="B3B3B3"/>
              <w:bottom w:val="nil"/>
            </w:tcBorders>
            <w:shd w:val="clear" w:color="000000" w:fill="F2F2F2"/>
          </w:tcPr>
          <w:p w14:paraId="3DDC33A8"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 of value of imports</w:t>
            </w:r>
            <w:r w:rsidRPr="00D007A2">
              <w:rPr>
                <w:rFonts w:ascii="Arial (Body)" w:hAnsi="Arial (Body)"/>
                <w:color w:val="000000"/>
                <w:sz w:val="18"/>
                <w:vertAlign w:val="superscript"/>
              </w:rPr>
              <w:t>c</w:t>
            </w:r>
          </w:p>
        </w:tc>
        <w:tc>
          <w:tcPr>
            <w:tcW w:w="2046" w:type="dxa"/>
            <w:tcBorders>
              <w:top w:val="single" w:sz="4" w:space="0" w:color="B3B3B3"/>
              <w:bottom w:val="nil"/>
            </w:tcBorders>
            <w:shd w:val="clear" w:color="000000" w:fill="F2F2F2"/>
          </w:tcPr>
          <w:p w14:paraId="43B68D7F"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 of value of imports</w:t>
            </w:r>
            <w:r w:rsidRPr="00D007A2">
              <w:rPr>
                <w:rFonts w:ascii="Arial (Body)" w:hAnsi="Arial (Body)"/>
                <w:color w:val="000000"/>
                <w:sz w:val="18"/>
                <w:vertAlign w:val="superscript"/>
              </w:rPr>
              <w:t>c</w:t>
            </w:r>
          </w:p>
        </w:tc>
        <w:tc>
          <w:tcPr>
            <w:tcW w:w="1494" w:type="dxa"/>
            <w:tcBorders>
              <w:top w:val="single" w:sz="4" w:space="0" w:color="B3B3B3"/>
              <w:bottom w:val="nil"/>
            </w:tcBorders>
            <w:shd w:val="clear" w:color="000000" w:fill="F2F2F2"/>
          </w:tcPr>
          <w:p w14:paraId="4D5F1654"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 of value of imports</w:t>
            </w:r>
            <w:r w:rsidRPr="00D007A2">
              <w:rPr>
                <w:rFonts w:ascii="Arial (Body)" w:hAnsi="Arial (Body)"/>
                <w:color w:val="000000"/>
                <w:sz w:val="18"/>
                <w:vertAlign w:val="superscript"/>
              </w:rPr>
              <w:t>c</w:t>
            </w:r>
          </w:p>
        </w:tc>
      </w:tr>
      <w:tr w:rsidR="00D007A2" w:rsidRPr="00D007A2" w14:paraId="6544A8AE" w14:textId="77777777" w:rsidTr="00074CE0">
        <w:tc>
          <w:tcPr>
            <w:tcW w:w="1949" w:type="dxa"/>
            <w:tcBorders>
              <w:top w:val="nil"/>
              <w:bottom w:val="nil"/>
            </w:tcBorders>
            <w:shd w:val="clear" w:color="000000" w:fill="auto"/>
          </w:tcPr>
          <w:p w14:paraId="19E3A7F2"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Francois, Hoekman and Manchin </w:t>
            </w:r>
            <w:r w:rsidRPr="00D007A2">
              <w:rPr>
                <w:rFonts w:ascii="Arial (Body)" w:hAnsi="Arial (Body)" w:cs="Times New Roman"/>
                <w:b/>
                <w:color w:val="265A9A"/>
                <w:sz w:val="18"/>
              </w:rPr>
              <w:t>(2006, p. 201)</w:t>
            </w:r>
          </w:p>
        </w:tc>
        <w:tc>
          <w:tcPr>
            <w:tcW w:w="2423" w:type="dxa"/>
            <w:tcBorders>
              <w:top w:val="nil"/>
              <w:bottom w:val="nil"/>
            </w:tcBorders>
            <w:shd w:val="clear" w:color="000000" w:fill="auto"/>
          </w:tcPr>
          <w:p w14:paraId="4DAEA5E9"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PANEURO agreements</w:t>
            </w:r>
            <w:r w:rsidRPr="00D007A2">
              <w:rPr>
                <w:rFonts w:ascii="Arial (Body)" w:hAnsi="Arial (Body)"/>
                <w:color w:val="000000"/>
                <w:sz w:val="18"/>
                <w:vertAlign w:val="superscript"/>
              </w:rPr>
              <w:t>a</w:t>
            </w:r>
            <w:r w:rsidRPr="00D007A2">
              <w:rPr>
                <w:rFonts w:ascii="Arial (Body)" w:hAnsi="Arial (Body)"/>
                <w:color w:val="000000"/>
                <w:sz w:val="18"/>
              </w:rPr>
              <w:t>; African, Caribbean and Pacific exports to the European Union</w:t>
            </w:r>
          </w:p>
        </w:tc>
        <w:tc>
          <w:tcPr>
            <w:tcW w:w="1726" w:type="dxa"/>
            <w:tcBorders>
              <w:top w:val="nil"/>
              <w:bottom w:val="nil"/>
            </w:tcBorders>
            <w:shd w:val="clear" w:color="000000" w:fill="auto"/>
          </w:tcPr>
          <w:p w14:paraId="401FC1EC"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2046" w:type="dxa"/>
            <w:tcBorders>
              <w:top w:val="nil"/>
              <w:bottom w:val="nil"/>
            </w:tcBorders>
            <w:shd w:val="clear" w:color="000000" w:fill="auto"/>
          </w:tcPr>
          <w:p w14:paraId="1D5F5241"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1494" w:type="dxa"/>
            <w:tcBorders>
              <w:top w:val="nil"/>
              <w:bottom w:val="nil"/>
            </w:tcBorders>
            <w:shd w:val="clear" w:color="000000" w:fill="auto"/>
          </w:tcPr>
          <w:p w14:paraId="6CE34115"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 xml:space="preserve">4–4.5 </w:t>
            </w:r>
          </w:p>
        </w:tc>
      </w:tr>
      <w:tr w:rsidR="00D007A2" w:rsidRPr="00D007A2" w14:paraId="2802AEF5" w14:textId="77777777" w:rsidTr="00074CE0">
        <w:tc>
          <w:tcPr>
            <w:tcW w:w="1949" w:type="dxa"/>
            <w:tcBorders>
              <w:bottom w:val="nil"/>
            </w:tcBorders>
            <w:shd w:val="clear" w:color="000000" w:fill="F2F2F2"/>
          </w:tcPr>
          <w:p w14:paraId="16080457"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Cadot et al. </w:t>
            </w:r>
            <w:r w:rsidRPr="00D007A2">
              <w:rPr>
                <w:rFonts w:ascii="Arial (Body)" w:hAnsi="Arial (Body)" w:cs="Times New Roman"/>
                <w:b/>
                <w:color w:val="265A9A"/>
                <w:sz w:val="18"/>
              </w:rPr>
              <w:t>(2006, pp. 217–218)</w:t>
            </w:r>
          </w:p>
        </w:tc>
        <w:tc>
          <w:tcPr>
            <w:tcW w:w="2423" w:type="dxa"/>
            <w:tcBorders>
              <w:bottom w:val="nil"/>
            </w:tcBorders>
            <w:shd w:val="clear" w:color="000000" w:fill="F2F2F2"/>
          </w:tcPr>
          <w:p w14:paraId="4C9B2B03"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PANEURO agreements</w:t>
            </w:r>
            <w:r w:rsidRPr="00D007A2">
              <w:rPr>
                <w:rFonts w:ascii="Arial (Body)" w:hAnsi="Arial (Body)"/>
                <w:color w:val="000000"/>
                <w:sz w:val="18"/>
                <w:vertAlign w:val="superscript"/>
              </w:rPr>
              <w:t>a</w:t>
            </w:r>
            <w:r w:rsidRPr="00D007A2">
              <w:rPr>
                <w:rFonts w:ascii="Arial (Body)" w:hAnsi="Arial (Body)"/>
                <w:color w:val="000000"/>
                <w:sz w:val="18"/>
              </w:rPr>
              <w:t>; African, Caribbean and Pacific exports to the European Union; 2002</w:t>
            </w:r>
          </w:p>
        </w:tc>
        <w:tc>
          <w:tcPr>
            <w:tcW w:w="1726" w:type="dxa"/>
            <w:tcBorders>
              <w:bottom w:val="nil"/>
            </w:tcBorders>
            <w:shd w:val="clear" w:color="000000" w:fill="F2F2F2"/>
          </w:tcPr>
          <w:p w14:paraId="77CDEEC6"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1.2</w:t>
            </w:r>
          </w:p>
        </w:tc>
        <w:tc>
          <w:tcPr>
            <w:tcW w:w="2046" w:type="dxa"/>
            <w:tcBorders>
              <w:bottom w:val="nil"/>
            </w:tcBorders>
            <w:shd w:val="clear" w:color="000000" w:fill="F2F2F2"/>
          </w:tcPr>
          <w:p w14:paraId="324E1638"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6.8</w:t>
            </w:r>
          </w:p>
        </w:tc>
        <w:tc>
          <w:tcPr>
            <w:tcW w:w="1494" w:type="dxa"/>
            <w:tcBorders>
              <w:bottom w:val="nil"/>
            </w:tcBorders>
            <w:shd w:val="clear" w:color="000000" w:fill="F2F2F2"/>
          </w:tcPr>
          <w:p w14:paraId="78B73895"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8.0</w:t>
            </w:r>
          </w:p>
        </w:tc>
      </w:tr>
      <w:tr w:rsidR="00D007A2" w:rsidRPr="00D007A2" w14:paraId="68E6B7D7" w14:textId="77777777" w:rsidTr="00074CE0">
        <w:tc>
          <w:tcPr>
            <w:tcW w:w="1949" w:type="dxa"/>
            <w:tcBorders>
              <w:top w:val="nil"/>
              <w:bottom w:val="nil"/>
            </w:tcBorders>
            <w:shd w:val="clear" w:color="000000" w:fill="auto"/>
          </w:tcPr>
          <w:p w14:paraId="09FEA62E"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Cadot et al. </w:t>
            </w:r>
            <w:r w:rsidRPr="00D007A2">
              <w:rPr>
                <w:rFonts w:ascii="Arial (Body)" w:hAnsi="Arial (Body)" w:cs="Times New Roman"/>
                <w:b/>
                <w:color w:val="265A9A"/>
                <w:sz w:val="18"/>
              </w:rPr>
              <w:t>(2006, p. 217)</w:t>
            </w:r>
          </w:p>
        </w:tc>
        <w:tc>
          <w:tcPr>
            <w:tcW w:w="2423" w:type="dxa"/>
            <w:tcBorders>
              <w:top w:val="nil"/>
              <w:bottom w:val="nil"/>
            </w:tcBorders>
            <w:shd w:val="clear" w:color="000000" w:fill="auto"/>
          </w:tcPr>
          <w:p w14:paraId="0939D688"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NAFTA</w:t>
            </w:r>
            <w:r w:rsidRPr="00D007A2">
              <w:rPr>
                <w:rFonts w:ascii="Arial (Body)" w:hAnsi="Arial (Body)"/>
                <w:color w:val="000000"/>
                <w:sz w:val="18"/>
                <w:vertAlign w:val="superscript"/>
              </w:rPr>
              <w:t>b</w:t>
            </w:r>
            <w:r w:rsidRPr="00D007A2">
              <w:rPr>
                <w:rFonts w:ascii="Arial (Body)" w:hAnsi="Arial (Body)"/>
                <w:color w:val="000000"/>
                <w:sz w:val="18"/>
              </w:rPr>
              <w:t>; Mexican exports to the United States; 2000</w:t>
            </w:r>
          </w:p>
        </w:tc>
        <w:tc>
          <w:tcPr>
            <w:tcW w:w="1726" w:type="dxa"/>
            <w:tcBorders>
              <w:top w:val="nil"/>
              <w:bottom w:val="nil"/>
            </w:tcBorders>
            <w:shd w:val="clear" w:color="000000" w:fill="auto"/>
          </w:tcPr>
          <w:p w14:paraId="0AE7CC24"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4.9</w:t>
            </w:r>
          </w:p>
        </w:tc>
        <w:tc>
          <w:tcPr>
            <w:tcW w:w="2046" w:type="dxa"/>
            <w:tcBorders>
              <w:top w:val="nil"/>
              <w:bottom w:val="nil"/>
            </w:tcBorders>
            <w:shd w:val="clear" w:color="000000" w:fill="auto"/>
          </w:tcPr>
          <w:p w14:paraId="798F4569"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1.9</w:t>
            </w:r>
          </w:p>
        </w:tc>
        <w:tc>
          <w:tcPr>
            <w:tcW w:w="1494" w:type="dxa"/>
            <w:tcBorders>
              <w:top w:val="nil"/>
              <w:bottom w:val="nil"/>
            </w:tcBorders>
            <w:shd w:val="clear" w:color="000000" w:fill="auto"/>
          </w:tcPr>
          <w:p w14:paraId="0866C02A"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6.8</w:t>
            </w:r>
          </w:p>
        </w:tc>
      </w:tr>
      <w:tr w:rsidR="00D007A2" w:rsidRPr="00D007A2" w14:paraId="14D7AA9A" w14:textId="77777777" w:rsidTr="00074CE0">
        <w:tc>
          <w:tcPr>
            <w:tcW w:w="1949" w:type="dxa"/>
            <w:tcBorders>
              <w:bottom w:val="nil"/>
            </w:tcBorders>
            <w:shd w:val="clear" w:color="000000" w:fill="F2F2F2"/>
          </w:tcPr>
          <w:p w14:paraId="76278FDD"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Anson et al. </w:t>
            </w:r>
            <w:r w:rsidRPr="00D007A2">
              <w:rPr>
                <w:rFonts w:ascii="Arial (Body)" w:hAnsi="Arial (Body)" w:cs="Times New Roman"/>
                <w:b/>
                <w:color w:val="265A9A"/>
                <w:sz w:val="18"/>
              </w:rPr>
              <w:t>(2005, p. 511)</w:t>
            </w:r>
          </w:p>
        </w:tc>
        <w:tc>
          <w:tcPr>
            <w:tcW w:w="2423" w:type="dxa"/>
            <w:tcBorders>
              <w:bottom w:val="nil"/>
            </w:tcBorders>
            <w:shd w:val="clear" w:color="000000" w:fill="F2F2F2"/>
          </w:tcPr>
          <w:p w14:paraId="66C70C8A"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NAFTA</w:t>
            </w:r>
            <w:r w:rsidRPr="00D007A2">
              <w:rPr>
                <w:rFonts w:ascii="Arial (Body)" w:hAnsi="Arial (Body)"/>
                <w:color w:val="000000"/>
                <w:sz w:val="18"/>
                <w:vertAlign w:val="superscript"/>
              </w:rPr>
              <w:t>b</w:t>
            </w:r>
            <w:r w:rsidRPr="00D007A2">
              <w:rPr>
                <w:rFonts w:ascii="Arial (Body)" w:hAnsi="Arial (Body)"/>
                <w:color w:val="000000"/>
                <w:sz w:val="18"/>
              </w:rPr>
              <w:t>; Mexican exports to the United States; 2000</w:t>
            </w:r>
          </w:p>
        </w:tc>
        <w:tc>
          <w:tcPr>
            <w:tcW w:w="1726" w:type="dxa"/>
            <w:tcBorders>
              <w:bottom w:val="nil"/>
            </w:tcBorders>
            <w:shd w:val="clear" w:color="000000" w:fill="F2F2F2"/>
          </w:tcPr>
          <w:p w14:paraId="7D3902B0"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4.30</w:t>
            </w:r>
          </w:p>
        </w:tc>
        <w:tc>
          <w:tcPr>
            <w:tcW w:w="2046" w:type="dxa"/>
            <w:tcBorders>
              <w:bottom w:val="nil"/>
            </w:tcBorders>
            <w:shd w:val="clear" w:color="000000" w:fill="F2F2F2"/>
          </w:tcPr>
          <w:p w14:paraId="0F29241C"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1.83</w:t>
            </w:r>
          </w:p>
        </w:tc>
        <w:tc>
          <w:tcPr>
            <w:tcW w:w="1494" w:type="dxa"/>
            <w:tcBorders>
              <w:bottom w:val="nil"/>
            </w:tcBorders>
            <w:shd w:val="clear" w:color="000000" w:fill="F2F2F2"/>
          </w:tcPr>
          <w:p w14:paraId="385AF78D"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6.13</w:t>
            </w:r>
          </w:p>
        </w:tc>
      </w:tr>
      <w:tr w:rsidR="00D007A2" w:rsidRPr="00D007A2" w14:paraId="3FB9F82D" w14:textId="77777777" w:rsidTr="00074CE0">
        <w:tc>
          <w:tcPr>
            <w:tcW w:w="1949" w:type="dxa"/>
            <w:tcBorders>
              <w:top w:val="nil"/>
              <w:bottom w:val="nil"/>
            </w:tcBorders>
            <w:shd w:val="clear" w:color="000000" w:fill="auto"/>
          </w:tcPr>
          <w:p w14:paraId="30B88946"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Carrère and de Melo </w:t>
            </w:r>
            <w:r w:rsidRPr="00D007A2">
              <w:rPr>
                <w:rFonts w:ascii="Arial (Body)" w:hAnsi="Arial (Body)" w:cs="Times New Roman"/>
                <w:b/>
                <w:color w:val="265A9A"/>
                <w:sz w:val="18"/>
              </w:rPr>
              <w:t>(2006, p. 197)</w:t>
            </w:r>
          </w:p>
        </w:tc>
        <w:tc>
          <w:tcPr>
            <w:tcW w:w="2423" w:type="dxa"/>
            <w:tcBorders>
              <w:top w:val="nil"/>
              <w:bottom w:val="nil"/>
            </w:tcBorders>
            <w:shd w:val="clear" w:color="000000" w:fill="auto"/>
          </w:tcPr>
          <w:p w14:paraId="3277062B"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NAFTA</w:t>
            </w:r>
            <w:r w:rsidRPr="00D007A2">
              <w:rPr>
                <w:rFonts w:ascii="Arial (Body)" w:hAnsi="Arial (Body)"/>
                <w:color w:val="000000"/>
                <w:sz w:val="18"/>
                <w:vertAlign w:val="superscript"/>
              </w:rPr>
              <w:t>b</w:t>
            </w:r>
            <w:r w:rsidRPr="00D007A2">
              <w:rPr>
                <w:rFonts w:ascii="Arial (Body)" w:hAnsi="Arial (Body)"/>
                <w:color w:val="000000"/>
                <w:sz w:val="18"/>
              </w:rPr>
              <w:t>; Mexican exports to the United States; 2000</w:t>
            </w:r>
          </w:p>
        </w:tc>
        <w:tc>
          <w:tcPr>
            <w:tcW w:w="1726" w:type="dxa"/>
            <w:tcBorders>
              <w:top w:val="nil"/>
              <w:bottom w:val="nil"/>
            </w:tcBorders>
            <w:shd w:val="clear" w:color="000000" w:fill="auto"/>
          </w:tcPr>
          <w:p w14:paraId="1B345AE4"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4.30</w:t>
            </w:r>
          </w:p>
        </w:tc>
        <w:tc>
          <w:tcPr>
            <w:tcW w:w="2046" w:type="dxa"/>
            <w:tcBorders>
              <w:top w:val="nil"/>
              <w:bottom w:val="nil"/>
            </w:tcBorders>
            <w:shd w:val="clear" w:color="000000" w:fill="auto"/>
          </w:tcPr>
          <w:p w14:paraId="428FAA4E"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1.81</w:t>
            </w:r>
          </w:p>
        </w:tc>
        <w:tc>
          <w:tcPr>
            <w:tcW w:w="1494" w:type="dxa"/>
            <w:tcBorders>
              <w:top w:val="nil"/>
              <w:bottom w:val="nil"/>
            </w:tcBorders>
            <w:shd w:val="clear" w:color="000000" w:fill="auto"/>
          </w:tcPr>
          <w:p w14:paraId="1C854522"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6.11</w:t>
            </w:r>
          </w:p>
        </w:tc>
      </w:tr>
      <w:tr w:rsidR="00D007A2" w:rsidRPr="00D007A2" w14:paraId="0F1FD154" w14:textId="77777777" w:rsidTr="00074CE0">
        <w:tc>
          <w:tcPr>
            <w:tcW w:w="1949" w:type="dxa"/>
            <w:tcBorders>
              <w:bottom w:val="nil"/>
            </w:tcBorders>
            <w:shd w:val="clear" w:color="000000" w:fill="F2F2F2"/>
          </w:tcPr>
          <w:p w14:paraId="5C72B37B"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Carrère and de Melo </w:t>
            </w:r>
            <w:r w:rsidRPr="00D007A2">
              <w:rPr>
                <w:rFonts w:ascii="Arial (Body)" w:hAnsi="Arial (Body)" w:cs="Times New Roman"/>
                <w:b/>
                <w:color w:val="265A9A"/>
                <w:sz w:val="18"/>
              </w:rPr>
              <w:t>(2006, p. 197)</w:t>
            </w:r>
          </w:p>
        </w:tc>
        <w:tc>
          <w:tcPr>
            <w:tcW w:w="2423" w:type="dxa"/>
            <w:tcBorders>
              <w:bottom w:val="nil"/>
            </w:tcBorders>
            <w:shd w:val="clear" w:color="000000" w:fill="F2F2F2"/>
          </w:tcPr>
          <w:p w14:paraId="375C6D6B"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NAFTA</w:t>
            </w:r>
            <w:r w:rsidRPr="00D007A2">
              <w:rPr>
                <w:rFonts w:ascii="Arial (Body)" w:hAnsi="Arial (Body)"/>
                <w:color w:val="000000"/>
                <w:sz w:val="18"/>
                <w:vertAlign w:val="superscript"/>
              </w:rPr>
              <w:t>b</w:t>
            </w:r>
            <w:r w:rsidRPr="00D007A2">
              <w:rPr>
                <w:rFonts w:ascii="Arial (Body)" w:hAnsi="Arial (Body)"/>
                <w:color w:val="000000"/>
                <w:sz w:val="18"/>
              </w:rPr>
              <w:t>; Mexican exports to the United States; 2001</w:t>
            </w:r>
          </w:p>
        </w:tc>
        <w:tc>
          <w:tcPr>
            <w:tcW w:w="1726" w:type="dxa"/>
            <w:tcBorders>
              <w:bottom w:val="nil"/>
            </w:tcBorders>
            <w:shd w:val="clear" w:color="000000" w:fill="F2F2F2"/>
          </w:tcPr>
          <w:p w14:paraId="6FDE85BF"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4.44</w:t>
            </w:r>
          </w:p>
        </w:tc>
        <w:tc>
          <w:tcPr>
            <w:tcW w:w="2046" w:type="dxa"/>
            <w:tcBorders>
              <w:bottom w:val="nil"/>
            </w:tcBorders>
            <w:shd w:val="clear" w:color="000000" w:fill="F2F2F2"/>
          </w:tcPr>
          <w:p w14:paraId="46BDF576"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1.72</w:t>
            </w:r>
          </w:p>
        </w:tc>
        <w:tc>
          <w:tcPr>
            <w:tcW w:w="1494" w:type="dxa"/>
            <w:tcBorders>
              <w:bottom w:val="nil"/>
            </w:tcBorders>
            <w:shd w:val="clear" w:color="000000" w:fill="F2F2F2"/>
          </w:tcPr>
          <w:p w14:paraId="007E7A20"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6.16</w:t>
            </w:r>
          </w:p>
        </w:tc>
      </w:tr>
      <w:tr w:rsidR="00D007A2" w:rsidRPr="00D007A2" w14:paraId="06D14797" w14:textId="77777777" w:rsidTr="00074CE0">
        <w:tc>
          <w:tcPr>
            <w:tcW w:w="1949" w:type="dxa"/>
            <w:tcBorders>
              <w:top w:val="nil"/>
              <w:bottom w:val="nil"/>
            </w:tcBorders>
            <w:shd w:val="clear" w:color="000000" w:fill="auto"/>
          </w:tcPr>
          <w:p w14:paraId="52AE43BB"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Carrère and de Melo </w:t>
            </w:r>
            <w:r w:rsidRPr="00D007A2">
              <w:rPr>
                <w:rFonts w:ascii="Arial (Body)" w:hAnsi="Arial (Body)" w:cs="Times New Roman"/>
                <w:b/>
                <w:color w:val="265A9A"/>
                <w:sz w:val="18"/>
              </w:rPr>
              <w:t>(2006, p. 208)</w:t>
            </w:r>
          </w:p>
        </w:tc>
        <w:tc>
          <w:tcPr>
            <w:tcW w:w="2423" w:type="dxa"/>
            <w:tcBorders>
              <w:top w:val="nil"/>
              <w:bottom w:val="nil"/>
            </w:tcBorders>
            <w:shd w:val="clear" w:color="000000" w:fill="auto"/>
          </w:tcPr>
          <w:p w14:paraId="02693577"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NAFTA</w:t>
            </w:r>
            <w:r w:rsidRPr="00D007A2">
              <w:rPr>
                <w:rFonts w:ascii="Arial (Body)" w:hAnsi="Arial (Body)"/>
                <w:color w:val="000000"/>
                <w:sz w:val="18"/>
                <w:vertAlign w:val="superscript"/>
              </w:rPr>
              <w:t>b</w:t>
            </w:r>
            <w:r w:rsidRPr="00D007A2">
              <w:rPr>
                <w:rFonts w:ascii="Arial (Body)" w:hAnsi="Arial (Body)"/>
                <w:color w:val="000000"/>
                <w:sz w:val="18"/>
              </w:rPr>
              <w:t>; Mexican exports to the United States; 2001; alternative methodology</w:t>
            </w:r>
          </w:p>
        </w:tc>
        <w:tc>
          <w:tcPr>
            <w:tcW w:w="1726" w:type="dxa"/>
            <w:tcBorders>
              <w:top w:val="nil"/>
              <w:bottom w:val="nil"/>
            </w:tcBorders>
            <w:shd w:val="clear" w:color="000000" w:fill="auto"/>
          </w:tcPr>
          <w:p w14:paraId="1934CDD4"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3</w:t>
            </w:r>
          </w:p>
        </w:tc>
        <w:tc>
          <w:tcPr>
            <w:tcW w:w="2046" w:type="dxa"/>
            <w:tcBorders>
              <w:top w:val="nil"/>
              <w:bottom w:val="nil"/>
            </w:tcBorders>
            <w:shd w:val="clear" w:color="000000" w:fill="auto"/>
          </w:tcPr>
          <w:p w14:paraId="19C90F51"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1494" w:type="dxa"/>
            <w:tcBorders>
              <w:top w:val="nil"/>
              <w:bottom w:val="nil"/>
            </w:tcBorders>
            <w:shd w:val="clear" w:color="000000" w:fill="auto"/>
          </w:tcPr>
          <w:p w14:paraId="515D63FA"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r>
      <w:tr w:rsidR="00D007A2" w:rsidRPr="00D007A2" w14:paraId="4C3A5756" w14:textId="77777777" w:rsidTr="00074CE0">
        <w:tc>
          <w:tcPr>
            <w:tcW w:w="1949" w:type="dxa"/>
            <w:tcBorders>
              <w:bottom w:val="nil"/>
            </w:tcBorders>
            <w:shd w:val="clear" w:color="000000" w:fill="F2F2F2"/>
          </w:tcPr>
          <w:p w14:paraId="25B41033"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Hayakawa </w:t>
            </w:r>
            <w:r w:rsidRPr="00D007A2">
              <w:rPr>
                <w:rFonts w:ascii="Arial (Body)" w:hAnsi="Arial (Body)" w:cs="Times New Roman"/>
                <w:b/>
                <w:color w:val="265A9A"/>
                <w:sz w:val="18"/>
              </w:rPr>
              <w:t>(2011, pp. 302–303)</w:t>
            </w:r>
          </w:p>
        </w:tc>
        <w:tc>
          <w:tcPr>
            <w:tcW w:w="2423" w:type="dxa"/>
            <w:tcBorders>
              <w:bottom w:val="nil"/>
            </w:tcBorders>
            <w:shd w:val="clear" w:color="000000" w:fill="F2F2F2"/>
          </w:tcPr>
          <w:p w14:paraId="07DE2BAE"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All free trade agreements; 2001–2006</w:t>
            </w:r>
          </w:p>
        </w:tc>
        <w:tc>
          <w:tcPr>
            <w:tcW w:w="1726" w:type="dxa"/>
            <w:tcBorders>
              <w:bottom w:val="nil"/>
            </w:tcBorders>
            <w:shd w:val="clear" w:color="000000" w:fill="F2F2F2"/>
          </w:tcPr>
          <w:p w14:paraId="713E59B2"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2046" w:type="dxa"/>
            <w:tcBorders>
              <w:bottom w:val="nil"/>
            </w:tcBorders>
            <w:shd w:val="clear" w:color="000000" w:fill="F2F2F2"/>
          </w:tcPr>
          <w:p w14:paraId="0003F74E"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1494" w:type="dxa"/>
            <w:tcBorders>
              <w:bottom w:val="nil"/>
            </w:tcBorders>
            <w:shd w:val="clear" w:color="000000" w:fill="F2F2F2"/>
          </w:tcPr>
          <w:p w14:paraId="333325B5"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3.2</w:t>
            </w:r>
          </w:p>
        </w:tc>
      </w:tr>
      <w:tr w:rsidR="00D007A2" w:rsidRPr="00D007A2" w14:paraId="3641766E" w14:textId="77777777" w:rsidTr="00074CE0">
        <w:tc>
          <w:tcPr>
            <w:tcW w:w="1949" w:type="dxa"/>
            <w:tcBorders>
              <w:top w:val="nil"/>
              <w:bottom w:val="nil"/>
            </w:tcBorders>
            <w:shd w:val="clear" w:color="000000" w:fill="auto"/>
          </w:tcPr>
          <w:p w14:paraId="753569F3"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lastRenderedPageBreak/>
              <w:t xml:space="preserve">Cadot and Ing </w:t>
            </w:r>
            <w:r w:rsidRPr="00D007A2">
              <w:rPr>
                <w:rFonts w:ascii="Arial (Body)" w:hAnsi="Arial (Body)" w:cs="Times New Roman"/>
                <w:b/>
                <w:color w:val="265A9A"/>
                <w:sz w:val="18"/>
              </w:rPr>
              <w:t>(2016, p. 129)</w:t>
            </w:r>
          </w:p>
        </w:tc>
        <w:tc>
          <w:tcPr>
            <w:tcW w:w="2423" w:type="dxa"/>
            <w:tcBorders>
              <w:top w:val="nil"/>
              <w:bottom w:val="nil"/>
            </w:tcBorders>
            <w:shd w:val="clear" w:color="000000" w:fill="auto"/>
          </w:tcPr>
          <w:p w14:paraId="1D2E806C"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ASEAN PTA</w:t>
            </w:r>
          </w:p>
        </w:tc>
        <w:tc>
          <w:tcPr>
            <w:tcW w:w="1726" w:type="dxa"/>
            <w:tcBorders>
              <w:top w:val="nil"/>
              <w:bottom w:val="nil"/>
            </w:tcBorders>
            <w:shd w:val="clear" w:color="000000" w:fill="auto"/>
          </w:tcPr>
          <w:p w14:paraId="1C016D81"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2046" w:type="dxa"/>
            <w:tcBorders>
              <w:top w:val="nil"/>
              <w:bottom w:val="nil"/>
            </w:tcBorders>
            <w:shd w:val="clear" w:color="000000" w:fill="auto"/>
          </w:tcPr>
          <w:p w14:paraId="7DD29F2A"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1494" w:type="dxa"/>
            <w:tcBorders>
              <w:top w:val="nil"/>
              <w:bottom w:val="nil"/>
            </w:tcBorders>
            <w:shd w:val="clear" w:color="000000" w:fill="auto"/>
          </w:tcPr>
          <w:p w14:paraId="1430FC08"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2.1</w:t>
            </w:r>
          </w:p>
        </w:tc>
      </w:tr>
      <w:tr w:rsidR="00D007A2" w:rsidRPr="00D007A2" w14:paraId="20715C29" w14:textId="77777777" w:rsidTr="00074CE0">
        <w:tc>
          <w:tcPr>
            <w:tcW w:w="1949" w:type="dxa"/>
            <w:tcBorders>
              <w:bottom w:val="nil"/>
            </w:tcBorders>
            <w:shd w:val="clear" w:color="000000" w:fill="F2F2F2"/>
          </w:tcPr>
          <w:p w14:paraId="0869244B"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Hayakawa et al </w:t>
            </w:r>
            <w:r w:rsidRPr="00D007A2">
              <w:rPr>
                <w:rFonts w:ascii="Arial (Body)" w:hAnsi="Arial (Body)" w:cs="Times New Roman"/>
                <w:b/>
                <w:color w:val="265A9A"/>
                <w:sz w:val="18"/>
              </w:rPr>
              <w:t>(2019, pp. 2, 18)</w:t>
            </w:r>
          </w:p>
        </w:tc>
        <w:tc>
          <w:tcPr>
            <w:tcW w:w="2423" w:type="dxa"/>
            <w:tcBorders>
              <w:bottom w:val="nil"/>
            </w:tcBorders>
            <w:shd w:val="clear" w:color="000000" w:fill="F2F2F2"/>
          </w:tcPr>
          <w:p w14:paraId="44A20BEA"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Japanese trade agreements (study for exporters)</w:t>
            </w:r>
          </w:p>
        </w:tc>
        <w:tc>
          <w:tcPr>
            <w:tcW w:w="1726" w:type="dxa"/>
            <w:tcBorders>
              <w:bottom w:val="nil"/>
            </w:tcBorders>
            <w:shd w:val="clear" w:color="000000" w:fill="F2F2F2"/>
          </w:tcPr>
          <w:p w14:paraId="17AFF277" w14:textId="77777777" w:rsidR="00D007A2" w:rsidRPr="00D007A2" w:rsidRDefault="00D007A2" w:rsidP="00E054BD">
            <w:pPr>
              <w:spacing w:before="45" w:after="45"/>
              <w:ind w:right="57"/>
              <w:rPr>
                <w:rFonts w:ascii="Arial (Body)" w:hAnsi="Arial (Body)"/>
                <w:color w:val="000000"/>
                <w:sz w:val="18"/>
              </w:rPr>
            </w:pPr>
            <w:r w:rsidRPr="00D007A2">
              <w:rPr>
                <w:rFonts w:ascii="Arial (Body)" w:hAnsi="Arial (Body)"/>
                <w:color w:val="000000"/>
                <w:sz w:val="18"/>
              </w:rPr>
              <w:t>2 of production cost</w:t>
            </w:r>
          </w:p>
        </w:tc>
        <w:tc>
          <w:tcPr>
            <w:tcW w:w="2046" w:type="dxa"/>
            <w:tcBorders>
              <w:bottom w:val="nil"/>
            </w:tcBorders>
            <w:shd w:val="clear" w:color="000000" w:fill="F2F2F2"/>
          </w:tcPr>
          <w:p w14:paraId="53F58CA1"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4-8 increase in fixed costs</w:t>
            </w:r>
          </w:p>
        </w:tc>
        <w:tc>
          <w:tcPr>
            <w:tcW w:w="1494" w:type="dxa"/>
            <w:tcBorders>
              <w:bottom w:val="nil"/>
            </w:tcBorders>
            <w:shd w:val="clear" w:color="000000" w:fill="F2F2F2"/>
          </w:tcPr>
          <w:p w14:paraId="0E20EEAF"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r>
      <w:tr w:rsidR="00D007A2" w:rsidRPr="00D007A2" w14:paraId="0DAC3675" w14:textId="77777777" w:rsidTr="00074CE0">
        <w:tc>
          <w:tcPr>
            <w:tcW w:w="1949" w:type="dxa"/>
            <w:tcBorders>
              <w:top w:val="nil"/>
              <w:bottom w:val="nil"/>
            </w:tcBorders>
            <w:shd w:val="clear" w:color="000000" w:fill="auto"/>
          </w:tcPr>
          <w:p w14:paraId="37E9474B" w14:textId="77777777"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 xml:space="preserve">Gillson </w:t>
            </w:r>
            <w:r w:rsidRPr="00D007A2">
              <w:rPr>
                <w:rFonts w:ascii="Arial (Body)" w:hAnsi="Arial (Body)" w:cs="Times New Roman"/>
                <w:b/>
                <w:color w:val="265A9A"/>
                <w:sz w:val="18"/>
              </w:rPr>
              <w:t>(2010, p. 6)</w:t>
            </w:r>
          </w:p>
        </w:tc>
        <w:tc>
          <w:tcPr>
            <w:tcW w:w="2423" w:type="dxa"/>
            <w:tcBorders>
              <w:top w:val="nil"/>
              <w:bottom w:val="nil"/>
            </w:tcBorders>
            <w:shd w:val="clear" w:color="000000" w:fill="auto"/>
          </w:tcPr>
          <w:p w14:paraId="0B60DD25"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A firm case study of Shoprite in South Africa</w:t>
            </w:r>
          </w:p>
        </w:tc>
        <w:tc>
          <w:tcPr>
            <w:tcW w:w="1726" w:type="dxa"/>
            <w:tcBorders>
              <w:top w:val="nil"/>
              <w:bottom w:val="nil"/>
            </w:tcBorders>
            <w:shd w:val="clear" w:color="000000" w:fill="auto"/>
          </w:tcPr>
          <w:p w14:paraId="1E108034"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2046" w:type="dxa"/>
            <w:tcBorders>
              <w:top w:val="nil"/>
              <w:bottom w:val="nil"/>
            </w:tcBorders>
            <w:shd w:val="clear" w:color="000000" w:fill="auto"/>
          </w:tcPr>
          <w:p w14:paraId="7A13015C"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Up to 4.3</w:t>
            </w:r>
          </w:p>
        </w:tc>
        <w:tc>
          <w:tcPr>
            <w:tcW w:w="1494" w:type="dxa"/>
            <w:tcBorders>
              <w:top w:val="nil"/>
              <w:bottom w:val="nil"/>
            </w:tcBorders>
            <w:shd w:val="clear" w:color="000000" w:fill="auto"/>
          </w:tcPr>
          <w:p w14:paraId="462828A6"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 xml:space="preserve">- </w:t>
            </w:r>
          </w:p>
        </w:tc>
      </w:tr>
      <w:tr w:rsidR="00D007A2" w:rsidRPr="00D007A2" w14:paraId="4FFA55A2" w14:textId="77777777" w:rsidTr="00074CE0">
        <w:tc>
          <w:tcPr>
            <w:tcW w:w="1949" w:type="dxa"/>
            <w:tcBorders>
              <w:bottom w:val="single" w:sz="4" w:space="0" w:color="B3B3B3"/>
            </w:tcBorders>
            <w:shd w:val="clear" w:color="000000" w:fill="F2F2F2"/>
          </w:tcPr>
          <w:p w14:paraId="22B1EB4A" w14:textId="433E8879" w:rsidR="00D007A2" w:rsidRPr="00D007A2" w:rsidRDefault="00D007A2" w:rsidP="00D007A2">
            <w:pPr>
              <w:spacing w:before="45" w:after="45"/>
              <w:ind w:left="57" w:right="108"/>
              <w:rPr>
                <w:rFonts w:ascii="Arial (Body)" w:hAnsi="Arial (Body)"/>
                <w:b/>
                <w:color w:val="265A9A"/>
                <w:sz w:val="18"/>
              </w:rPr>
            </w:pPr>
            <w:r w:rsidRPr="00D007A2">
              <w:rPr>
                <w:rFonts w:ascii="Arial (Body)" w:hAnsi="Arial (Body)"/>
                <w:b/>
                <w:color w:val="265A9A"/>
                <w:sz w:val="18"/>
              </w:rPr>
              <w:t>Manchin (2004, p.</w:t>
            </w:r>
            <w:r w:rsidR="00D45731">
              <w:rPr>
                <w:rFonts w:ascii="Arial (Body)" w:hAnsi="Arial (Body)" w:hint="eastAsia"/>
                <w:b/>
                <w:color w:val="265A9A"/>
                <w:sz w:val="18"/>
              </w:rPr>
              <w:t> </w:t>
            </w:r>
            <w:r w:rsidRPr="00D007A2">
              <w:rPr>
                <w:rFonts w:ascii="Arial (Body)" w:hAnsi="Arial (Body)"/>
                <w:b/>
                <w:color w:val="265A9A"/>
                <w:sz w:val="18"/>
              </w:rPr>
              <w:t>17)</w:t>
            </w:r>
          </w:p>
        </w:tc>
        <w:tc>
          <w:tcPr>
            <w:tcW w:w="2423" w:type="dxa"/>
            <w:tcBorders>
              <w:bottom w:val="single" w:sz="4" w:space="0" w:color="B3B3B3"/>
            </w:tcBorders>
            <w:shd w:val="clear" w:color="000000" w:fill="F2F2F2"/>
          </w:tcPr>
          <w:p w14:paraId="1E9C45FC" w14:textId="77777777" w:rsidR="00D007A2" w:rsidRPr="00D007A2" w:rsidRDefault="00D007A2" w:rsidP="00D007A2">
            <w:pPr>
              <w:spacing w:before="45" w:after="45"/>
              <w:ind w:left="57" w:right="108"/>
              <w:rPr>
                <w:rFonts w:ascii="Arial (Body)" w:hAnsi="Arial (Body)"/>
                <w:color w:val="000000"/>
                <w:sz w:val="18"/>
              </w:rPr>
            </w:pPr>
            <w:r w:rsidRPr="00D007A2">
              <w:rPr>
                <w:rFonts w:ascii="Arial (Body)" w:hAnsi="Arial (Body)"/>
                <w:color w:val="000000"/>
                <w:sz w:val="18"/>
              </w:rPr>
              <w:t>EU imports from African, Caribbean and Pacific countries</w:t>
            </w:r>
          </w:p>
        </w:tc>
        <w:tc>
          <w:tcPr>
            <w:tcW w:w="1726" w:type="dxa"/>
            <w:tcBorders>
              <w:bottom w:val="single" w:sz="4" w:space="0" w:color="B3B3B3"/>
            </w:tcBorders>
            <w:shd w:val="clear" w:color="000000" w:fill="F2F2F2"/>
          </w:tcPr>
          <w:p w14:paraId="6C358EB0"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2046" w:type="dxa"/>
            <w:tcBorders>
              <w:bottom w:val="single" w:sz="4" w:space="0" w:color="B3B3B3"/>
            </w:tcBorders>
            <w:shd w:val="clear" w:color="000000" w:fill="F2F2F2"/>
          </w:tcPr>
          <w:p w14:paraId="5DAFF457"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w:t>
            </w:r>
          </w:p>
        </w:tc>
        <w:tc>
          <w:tcPr>
            <w:tcW w:w="1494" w:type="dxa"/>
            <w:tcBorders>
              <w:bottom w:val="single" w:sz="4" w:space="0" w:color="B3B3B3"/>
            </w:tcBorders>
            <w:shd w:val="clear" w:color="000000" w:fill="F2F2F2"/>
          </w:tcPr>
          <w:p w14:paraId="423D97EE" w14:textId="77777777" w:rsidR="00D007A2" w:rsidRPr="00D007A2" w:rsidRDefault="00D007A2" w:rsidP="00E054BD">
            <w:pPr>
              <w:spacing w:before="45" w:after="45"/>
              <w:ind w:left="57" w:right="57"/>
              <w:rPr>
                <w:rFonts w:ascii="Arial (Body)" w:hAnsi="Arial (Body)"/>
                <w:color w:val="000000"/>
                <w:sz w:val="18"/>
              </w:rPr>
            </w:pPr>
            <w:r w:rsidRPr="00D007A2">
              <w:rPr>
                <w:rFonts w:ascii="Arial (Body)" w:hAnsi="Arial (Body)"/>
                <w:color w:val="000000"/>
                <w:sz w:val="18"/>
              </w:rPr>
              <w:t>4.5</w:t>
            </w:r>
          </w:p>
        </w:tc>
      </w:tr>
    </w:tbl>
    <w:p w14:paraId="51B40F54" w14:textId="77777777" w:rsidR="00D007A2" w:rsidRPr="00D45731" w:rsidRDefault="00D007A2" w:rsidP="004D366A">
      <w:pPr>
        <w:pStyle w:val="Note"/>
        <w:rPr>
          <w:spacing w:val="-4"/>
        </w:rPr>
      </w:pPr>
      <w:r w:rsidRPr="00D45731">
        <w:rPr>
          <w:b/>
          <w:bCs/>
          <w:spacing w:val="-4"/>
        </w:rPr>
        <w:t>a.</w:t>
      </w:r>
      <w:r w:rsidRPr="00D45731">
        <w:rPr>
          <w:spacing w:val="-4"/>
        </w:rPr>
        <w:t xml:space="preserve"> ‘PANEURO agreements’ refers to the European Union’s free trade agreements that have common rules of origin requirements. The countries in question accessed preferences under the Cotonou agreement. </w:t>
      </w:r>
      <w:r w:rsidRPr="00D45731">
        <w:rPr>
          <w:b/>
          <w:bCs/>
          <w:spacing w:val="-4"/>
        </w:rPr>
        <w:t>b.</w:t>
      </w:r>
      <w:r w:rsidRPr="00D45731">
        <w:rPr>
          <w:spacing w:val="-4"/>
        </w:rPr>
        <w:t xml:space="preserve"> ‘NAFTA’ is the North American Free Trade Agreement </w:t>
      </w:r>
      <w:r w:rsidRPr="00D45731">
        <w:rPr>
          <w:b/>
          <w:bCs/>
          <w:spacing w:val="-4"/>
        </w:rPr>
        <w:t>c.</w:t>
      </w:r>
      <w:r w:rsidRPr="00D45731">
        <w:rPr>
          <w:spacing w:val="-4"/>
        </w:rPr>
        <w:t xml:space="preserve"> Value free on board. </w:t>
      </w:r>
      <w:r w:rsidRPr="00D45731">
        <w:rPr>
          <w:b/>
          <w:bCs/>
          <w:spacing w:val="-4"/>
        </w:rPr>
        <w:t>d.</w:t>
      </w:r>
      <w:r w:rsidRPr="00D45731">
        <w:rPr>
          <w:spacing w:val="-4"/>
        </w:rPr>
        <w:t xml:space="preserve"> Carrère and de Melo (2013, p. 289) report production-related compliance costs separately for tariff lines with different utilisation rates. The statistic reported here is the average over all utilisation rates, weighted by the number of tariff lines to which that utilisation rate applies. </w:t>
      </w:r>
      <w:r w:rsidRPr="00D45731">
        <w:rPr>
          <w:b/>
          <w:bCs/>
          <w:spacing w:val="-4"/>
        </w:rPr>
        <w:t>e.</w:t>
      </w:r>
      <w:r w:rsidRPr="00D45731">
        <w:rPr>
          <w:spacing w:val="-4"/>
        </w:rPr>
        <w:t xml:space="preserve"> Gillson (2010) is based on case study of South African supermarket Shoprite. They found the company spent US $5.8 million in administrative costs to save US $13.6 million in duty savings under the Southern African Development Community free trade bloc. With South Africa’s statutory rate of 10% </w:t>
      </w:r>
      <w:r w:rsidRPr="00D45731">
        <w:rPr>
          <w:spacing w:val="-4"/>
        </w:rPr>
        <w:fldChar w:fldCharType="begin"/>
      </w:r>
      <w:r w:rsidRPr="00D45731">
        <w:rPr>
          <w:spacing w:val="-4"/>
        </w:rPr>
        <w:instrText xml:space="preserve"> ADDIN ZOTERO_ITEM CSL_CITATION {"citationID":"abWPpFoy","properties":{"formattedCitation":"(South African Revenue Service\\uc0\\u160{}2021)","plainCitation":"(South African Revenue Service 2021)","noteIndex":0},"citationItems":[{"id":4163,"uris":["http://zotero.org/groups/5749450/items/DP7CST9H"],"itemData":{"id":4163,"type":"webpage","abstract":"The Tariff Amendments are made in terms of the Customs and Excise Act, 1964 by Notice in the Gazette. The Notices are arranged according to the publication","language":"en-ZA","title":"Tariff Amendments 2010 | South African Revenue Service","URL":"https://www.sars.gov.za/legal-counsel/secondary-legislation/tariff-amendments/tariff-amendments-2010/","author":[{"family":"South African Revenue Service","given":""}],"accessed":{"date-parts":[["2025",6,18]]},"issued":{"date-parts":[["2021",3,20]]}}}],"schema":"https://github.com/citation-style-language/schema/raw/master/csl-citation.json"} </w:instrText>
      </w:r>
      <w:r w:rsidRPr="00D45731">
        <w:rPr>
          <w:spacing w:val="-4"/>
        </w:rPr>
        <w:fldChar w:fldCharType="separate"/>
      </w:r>
      <w:r w:rsidRPr="00D45731">
        <w:rPr>
          <w:spacing w:val="-4"/>
        </w:rPr>
        <w:t>(South African Revenue Service 2021)</w:t>
      </w:r>
      <w:r w:rsidRPr="00D45731">
        <w:rPr>
          <w:spacing w:val="-4"/>
        </w:rPr>
        <w:fldChar w:fldCharType="end"/>
      </w:r>
      <w:r w:rsidRPr="00D45731">
        <w:rPr>
          <w:spacing w:val="-4"/>
        </w:rPr>
        <w:t xml:space="preserve"> this represents compliance costs of up to approximately 4.3%. </w:t>
      </w:r>
    </w:p>
    <w:p w14:paraId="03BCDD70" w14:textId="77777777" w:rsidR="00D007A2" w:rsidRPr="00D007A2" w:rsidRDefault="00D007A2" w:rsidP="00AB7E13">
      <w:pPr>
        <w:pStyle w:val="Heading2-Appendix"/>
      </w:pPr>
      <w:bookmarkStart w:id="110" w:name="_Toc202477868"/>
      <w:r w:rsidRPr="00D007A2">
        <w:t>What other factors determine PTA utilisation?</w:t>
      </w:r>
      <w:bookmarkEnd w:id="110"/>
    </w:p>
    <w:p w14:paraId="7F87D5F2" w14:textId="77777777" w:rsidR="00D007A2" w:rsidRPr="00D007A2" w:rsidRDefault="00D007A2" w:rsidP="0000401F">
      <w:pPr>
        <w:pStyle w:val="BodyText"/>
      </w:pPr>
      <w:r w:rsidRPr="00D007A2">
        <w:t>Many of the compliance costs models assume that the primary determinate of PTA utilisation are savings they can obtain from accessing an agreement. This assumption is often necessary to estimate compliance costs, but it is an abstraction from reality. A firm’s decision to use a PTA is not solely based on the savings obtained from accessing the agreement. Instead, other factors can augment their decision-making: transport costs, what agreement is being used, and who the importer is.</w:t>
      </w:r>
    </w:p>
    <w:p w14:paraId="192790F7" w14:textId="77777777" w:rsidR="00D007A2" w:rsidRPr="00D007A2" w:rsidRDefault="00D007A2" w:rsidP="0000401F">
      <w:pPr>
        <w:pStyle w:val="BodyText"/>
      </w:pPr>
      <w:r w:rsidRPr="00D007A2">
        <w:t xml:space="preserve">The shipment value of the imported goods is a key determinant of whether a firm uses a PTA </w:t>
      </w:r>
      <w:r w:rsidRPr="00D007A2">
        <w:rPr>
          <w:rFonts w:ascii="Arial" w:hAnsi="Arial" w:cs="Arial"/>
        </w:rPr>
        <w:t>(Albert and Nilsson 2016; Ciuriak and Bienen 2014, p. 8; Kasteng et al. 2021, p. 98)</w:t>
      </w:r>
      <w:r w:rsidRPr="00D007A2">
        <w:t>. Firms tend to use PTAs when their imports are of a higher shipment value.</w:t>
      </w:r>
      <w:r w:rsidRPr="00B464F8">
        <w:rPr>
          <w:rStyle w:val="FootnoteReference"/>
        </w:rPr>
        <w:footnoteReference w:id="57"/>
      </w:r>
      <w:r w:rsidRPr="00D007A2">
        <w:t xml:space="preserve"> One hypothesis is that the PTA utilisation rate might be driven by initial fixed administrative costs, rather than a cost proportional to the value of the imported goods </w:t>
      </w:r>
      <w:r w:rsidRPr="00D007A2">
        <w:rPr>
          <w:rFonts w:ascii="Arial" w:hAnsi="Arial" w:cs="Arial"/>
        </w:rPr>
        <w:t>(Keck and Lendle 2012, pp. 1–5)</w:t>
      </w:r>
      <w:r w:rsidRPr="00D007A2">
        <w:t xml:space="preserve">. Some authors have estimated these fixed administrative costs. Using a kink regression model on Icelandic transaction data, Albert and Nilsson </w:t>
      </w:r>
      <w:r w:rsidRPr="00D007A2">
        <w:rPr>
          <w:rFonts w:ascii="Arial" w:hAnsi="Arial" w:cs="Arial"/>
        </w:rPr>
        <w:t>(2016, p. 16)</w:t>
      </w:r>
      <w:r w:rsidRPr="00D007A2">
        <w:t xml:space="preserve"> find that the utilisation rate picks up at duty savings of roughly EUR 20 and levels off at EUR 260. Due to such costs, utilisation can be high despite low preferential margins if the trade volume is sufficiently large.</w:t>
      </w:r>
    </w:p>
    <w:p w14:paraId="1DF10483" w14:textId="77777777" w:rsidR="00D007A2" w:rsidRPr="00D007A2" w:rsidRDefault="00D007A2" w:rsidP="0000401F">
      <w:pPr>
        <w:pStyle w:val="BodyText"/>
      </w:pPr>
      <w:r w:rsidRPr="00D007A2">
        <w:lastRenderedPageBreak/>
        <w:t xml:space="preserve">The structure of a PTA can affect its utilisation rate. More relaxed rules of origin can encourage utilisation. Diagonal cumulation, for example, allows products from one country of origin to have value added in another. Including this rule can allow an Australian exporter to New Zealand to count Chilean inputs, since both Australia and New Zealand have agreements with Chile. This rule has improved utilisation: Hayakawa </w:t>
      </w:r>
      <w:r w:rsidRPr="00D007A2">
        <w:rPr>
          <w:rFonts w:ascii="Arial" w:hAnsi="Arial" w:cs="Arial"/>
        </w:rPr>
        <w:t>(2014, p. 14)</w:t>
      </w:r>
      <w:r w:rsidRPr="00D007A2">
        <w:t xml:space="preserve"> finds a 4% trade creation effect between Thailand and Japan when comparing uptake of agreements with and without diagonal cumulation between these two countries. On the other hand, more restrictive and complex rules of origin typically reduces utilisation </w:t>
      </w:r>
      <w:r w:rsidRPr="00D007A2">
        <w:rPr>
          <w:rFonts w:ascii="Arial" w:hAnsi="Arial" w:cs="Arial"/>
        </w:rPr>
        <w:t>(Ciuriak and Bienen 2014, pp. 12–13; Hayakawa 2014, pp. 6–9; Kunimoto and Sawchuk 2005, pp. 8–13; Takahashi and Urata 2009)</w:t>
      </w:r>
      <w:r w:rsidRPr="00D007A2">
        <w:t xml:space="preserve">. </w:t>
      </w:r>
    </w:p>
    <w:p w14:paraId="4246D295" w14:textId="77777777" w:rsidR="00D007A2" w:rsidRPr="00D007A2" w:rsidRDefault="00D007A2" w:rsidP="0000401F">
      <w:pPr>
        <w:pStyle w:val="BodyText"/>
      </w:pPr>
      <w:r w:rsidRPr="00D007A2">
        <w:t xml:space="preserve">Firm characteristics can also play a role in determining utilisation. For instance, more experienced firms are more likely to use a PTA </w:t>
      </w:r>
      <w:r w:rsidRPr="00D007A2">
        <w:rPr>
          <w:rFonts w:ascii="Arial" w:hAnsi="Arial" w:cs="Arial"/>
        </w:rPr>
        <w:t>(Krishna et al. 2021; Legge and Lukaszuk 2024; 2014)</w:t>
      </w:r>
      <w:r w:rsidRPr="00D007A2">
        <w:t xml:space="preserve">. This effect makes intuitive sense, as after a firm understands the administration required to comply with rules of origin, they may find it easier to access preferences for future imports. Whether the size of the importing firm affects utilisation is less clear. While it has been put forward that larger firms have the human and financial resources to handle the fixed administration costs, </w:t>
      </w:r>
      <w:r w:rsidRPr="00D007A2">
        <w:rPr>
          <w:rFonts w:ascii="Arial" w:hAnsi="Arial" w:cs="Arial"/>
        </w:rPr>
        <w:t>(Takahashi and Urata 2009; Wignaraja 2014, p. 39)</w:t>
      </w:r>
      <w:r w:rsidRPr="00D007A2">
        <w:t xml:space="preserve"> some research has failed to find evidence in support of this hypothesis </w:t>
      </w:r>
      <w:r w:rsidRPr="00D007A2">
        <w:rPr>
          <w:rFonts w:ascii="Arial" w:hAnsi="Arial" w:cs="Arial"/>
        </w:rPr>
        <w:t>(Kasteng et al. 2021, pp. 101–102; Wignaraja 2014, p. 40)</w:t>
      </w:r>
      <w:r w:rsidRPr="00D007A2">
        <w:t>.</w:t>
      </w:r>
    </w:p>
    <w:p w14:paraId="24F514AD" w14:textId="3209726D" w:rsidR="00CC1067" w:rsidRPr="00CC1067" w:rsidRDefault="00D007A2" w:rsidP="0000401F">
      <w:pPr>
        <w:pStyle w:val="BodyText"/>
        <w:sectPr w:rsidR="00CC1067" w:rsidRPr="00CC1067" w:rsidSect="00823C91">
          <w:headerReference w:type="even" r:id="rId112"/>
          <w:type w:val="oddPage"/>
          <w:pgSz w:w="11906" w:h="16838" w:code="9"/>
          <w:pgMar w:top="1134" w:right="1134" w:bottom="1134" w:left="1134" w:header="794" w:footer="510" w:gutter="0"/>
          <w:cols w:space="708"/>
          <w:docGrid w:linePitch="360"/>
        </w:sectPr>
      </w:pPr>
      <w:r w:rsidRPr="00D007A2">
        <w:t>All these additional factors are not incorporated into the PC’s model. As such, results are reported with a wide range to encourage a cautious interpretation. It is a modelled estimate, not actuals. To incorporate these factors into the PC model, more granular, transaction level data would need to be acquired.</w:t>
      </w:r>
    </w:p>
    <w:p w14:paraId="5AE69D71" w14:textId="77777777" w:rsidR="006B0C5D" w:rsidRPr="00610627" w:rsidRDefault="006B0C5D" w:rsidP="006B0C5D">
      <w:pPr>
        <w:pStyle w:val="Heading1-nobackground"/>
      </w:pPr>
      <w:bookmarkStart w:id="111" w:name="_Toc202477869"/>
      <w:r w:rsidRPr="00610627">
        <w:lastRenderedPageBreak/>
        <w:t>Abbreviations</w:t>
      </w:r>
      <w:bookmarkEnd w:id="95"/>
      <w:bookmarkEnd w:id="96"/>
      <w:bookmarkEnd w:id="111"/>
    </w:p>
    <w:p w14:paraId="131F3FB4" w14:textId="77777777" w:rsidR="009157BE" w:rsidRDefault="009157BE" w:rsidP="00A35631">
      <w:pPr>
        <w:pStyle w:val="TableBody"/>
        <w:spacing w:before="45" w:after="45"/>
        <w:ind w:right="108"/>
        <w:rPr>
          <w:rFonts w:ascii="Arial (Body)" w:hAnsi="Arial (Body)"/>
          <w:b/>
          <w:bCs/>
          <w:color w:val="265A9A"/>
        </w:rPr>
        <w:sectPr w:rsidR="009157BE" w:rsidSect="00BC6D4D">
          <w:type w:val="oddPage"/>
          <w:pgSz w:w="11906" w:h="16838" w:code="9"/>
          <w:pgMar w:top="1134" w:right="1134" w:bottom="1134" w:left="1134" w:header="794" w:footer="510" w:gutter="0"/>
          <w:cols w:num="2" w:space="708"/>
          <w:docGrid w:linePitch="360"/>
        </w:sectPr>
      </w:pP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9669D8" w:rsidRPr="00971F8F" w14:paraId="5952B304" w14:textId="77777777" w:rsidTr="00971F8F">
        <w:trPr>
          <w:tblHeader/>
        </w:trPr>
        <w:tc>
          <w:tcPr>
            <w:tcW w:w="882" w:type="pct"/>
            <w:tcBorders>
              <w:top w:val="single" w:sz="4" w:space="0" w:color="B3B3B3"/>
              <w:bottom w:val="nil"/>
            </w:tcBorders>
            <w:shd w:val="clear" w:color="000000" w:fill="F2F2F2"/>
          </w:tcPr>
          <w:p w14:paraId="6E6351F8" w14:textId="07DE9B48" w:rsidR="009669D8" w:rsidRPr="00971F8F" w:rsidRDefault="008A0CFC" w:rsidP="00971F8F">
            <w:pPr>
              <w:pStyle w:val="TableBody"/>
              <w:spacing w:before="45" w:after="45"/>
              <w:ind w:right="108"/>
              <w:rPr>
                <w:rFonts w:ascii="Arial (Body)" w:hAnsi="Arial (Body)"/>
                <w:b/>
                <w:bCs/>
                <w:color w:val="265A9A"/>
              </w:rPr>
            </w:pPr>
            <w:r w:rsidRPr="00971F8F">
              <w:rPr>
                <w:rFonts w:ascii="Arial (Body)" w:hAnsi="Arial (Body)"/>
                <w:b/>
                <w:bCs/>
                <w:color w:val="265A9A"/>
              </w:rPr>
              <w:t>ABC</w:t>
            </w:r>
          </w:p>
        </w:tc>
        <w:tc>
          <w:tcPr>
            <w:tcW w:w="4118" w:type="pct"/>
            <w:tcBorders>
              <w:top w:val="single" w:sz="4" w:space="0" w:color="B3B3B3"/>
              <w:bottom w:val="nil"/>
            </w:tcBorders>
            <w:shd w:val="clear" w:color="000000" w:fill="F2F2F2"/>
          </w:tcPr>
          <w:p w14:paraId="734C8336" w14:textId="4F9AB5A0" w:rsidR="009669D8" w:rsidRPr="00971F8F" w:rsidRDefault="00644076" w:rsidP="00971F8F">
            <w:pPr>
              <w:pStyle w:val="TableBody"/>
              <w:spacing w:before="45" w:after="45"/>
              <w:ind w:right="108"/>
              <w:rPr>
                <w:rFonts w:ascii="Arial (Body)" w:hAnsi="Arial (Body)"/>
                <w:color w:val="000000"/>
              </w:rPr>
            </w:pPr>
            <w:r w:rsidRPr="00971F8F">
              <w:rPr>
                <w:rFonts w:ascii="Arial (Body)" w:hAnsi="Arial (Body)"/>
                <w:color w:val="000000"/>
              </w:rPr>
              <w:t>Australian Broadcasting Corporation</w:t>
            </w:r>
          </w:p>
        </w:tc>
      </w:tr>
      <w:tr w:rsidR="00644076" w:rsidRPr="00971F8F" w14:paraId="0B3DD0BE" w14:textId="77777777" w:rsidTr="00971F8F">
        <w:tc>
          <w:tcPr>
            <w:tcW w:w="882" w:type="pct"/>
            <w:tcBorders>
              <w:top w:val="nil"/>
              <w:bottom w:val="nil"/>
            </w:tcBorders>
            <w:shd w:val="clear" w:color="000000" w:fill="auto"/>
          </w:tcPr>
          <w:p w14:paraId="6E7C3C14" w14:textId="0A500BD3" w:rsidR="00644076" w:rsidRPr="00971F8F" w:rsidRDefault="001C6465" w:rsidP="00971F8F">
            <w:pPr>
              <w:pStyle w:val="TableBody"/>
              <w:spacing w:before="45" w:after="45"/>
              <w:ind w:right="108"/>
              <w:rPr>
                <w:rFonts w:ascii="Arial (Body)" w:hAnsi="Arial (Body)"/>
                <w:b/>
                <w:bCs/>
                <w:color w:val="265A9A"/>
              </w:rPr>
            </w:pPr>
            <w:r w:rsidRPr="00971F8F">
              <w:rPr>
                <w:rFonts w:ascii="Arial (Body)" w:hAnsi="Arial (Body)"/>
                <w:b/>
                <w:bCs/>
                <w:color w:val="265A9A"/>
              </w:rPr>
              <w:t>ABF</w:t>
            </w:r>
          </w:p>
        </w:tc>
        <w:tc>
          <w:tcPr>
            <w:tcW w:w="4118" w:type="pct"/>
            <w:tcBorders>
              <w:top w:val="nil"/>
              <w:bottom w:val="nil"/>
            </w:tcBorders>
            <w:shd w:val="clear" w:color="000000" w:fill="auto"/>
          </w:tcPr>
          <w:p w14:paraId="2F19C8EC" w14:textId="7C08CE18" w:rsidR="00644076" w:rsidRPr="00971F8F" w:rsidRDefault="00E8505F" w:rsidP="00971F8F">
            <w:pPr>
              <w:pStyle w:val="TableBody"/>
              <w:spacing w:before="45" w:after="45"/>
              <w:ind w:right="108"/>
              <w:rPr>
                <w:rFonts w:ascii="Arial (Body)" w:hAnsi="Arial (Body)"/>
                <w:color w:val="000000"/>
              </w:rPr>
            </w:pPr>
            <w:r w:rsidRPr="00971F8F">
              <w:rPr>
                <w:rFonts w:ascii="Arial (Body)" w:hAnsi="Arial (Body)"/>
                <w:color w:val="000000"/>
              </w:rPr>
              <w:t xml:space="preserve">Australian Border Force </w:t>
            </w:r>
          </w:p>
        </w:tc>
      </w:tr>
      <w:tr w:rsidR="00644076" w:rsidRPr="00971F8F" w14:paraId="27D49B23" w14:textId="77777777" w:rsidTr="00971F8F">
        <w:tc>
          <w:tcPr>
            <w:tcW w:w="882" w:type="pct"/>
            <w:tcBorders>
              <w:bottom w:val="nil"/>
            </w:tcBorders>
            <w:shd w:val="clear" w:color="000000" w:fill="F2F2F2"/>
          </w:tcPr>
          <w:p w14:paraId="7FA6249E" w14:textId="404BE112" w:rsidR="00644076" w:rsidRPr="00971F8F" w:rsidRDefault="001C6465" w:rsidP="00971F8F">
            <w:pPr>
              <w:pStyle w:val="TableBody"/>
              <w:spacing w:before="45" w:after="45"/>
              <w:ind w:right="108"/>
              <w:rPr>
                <w:rFonts w:ascii="Arial (Body)" w:hAnsi="Arial (Body)"/>
                <w:b/>
                <w:bCs/>
                <w:color w:val="265A9A"/>
              </w:rPr>
            </w:pPr>
            <w:r w:rsidRPr="00971F8F">
              <w:rPr>
                <w:rFonts w:ascii="Arial (Body)" w:hAnsi="Arial (Body)"/>
                <w:b/>
                <w:bCs/>
                <w:color w:val="265A9A"/>
              </w:rPr>
              <w:t>ABS</w:t>
            </w:r>
          </w:p>
        </w:tc>
        <w:tc>
          <w:tcPr>
            <w:tcW w:w="4118" w:type="pct"/>
            <w:tcBorders>
              <w:bottom w:val="nil"/>
            </w:tcBorders>
            <w:shd w:val="clear" w:color="000000" w:fill="F2F2F2"/>
          </w:tcPr>
          <w:p w14:paraId="23D7C606" w14:textId="209B00FF" w:rsidR="00644076" w:rsidRPr="00971F8F" w:rsidRDefault="007166B7" w:rsidP="00971F8F">
            <w:pPr>
              <w:pStyle w:val="TableBody"/>
              <w:spacing w:before="45" w:after="45"/>
              <w:ind w:right="108"/>
              <w:rPr>
                <w:rFonts w:ascii="Arial (Body)" w:hAnsi="Arial (Body)"/>
                <w:color w:val="000000"/>
              </w:rPr>
            </w:pPr>
            <w:r w:rsidRPr="00971F8F">
              <w:rPr>
                <w:rFonts w:ascii="Arial (Body)" w:hAnsi="Arial (Body)"/>
                <w:color w:val="000000"/>
              </w:rPr>
              <w:t>Australian Bureau of Statistics</w:t>
            </w:r>
          </w:p>
        </w:tc>
      </w:tr>
      <w:tr w:rsidR="00644076" w:rsidRPr="00971F8F" w14:paraId="6A9BA27F" w14:textId="77777777" w:rsidTr="00971F8F">
        <w:tc>
          <w:tcPr>
            <w:tcW w:w="882" w:type="pct"/>
            <w:tcBorders>
              <w:top w:val="nil"/>
              <w:bottom w:val="nil"/>
            </w:tcBorders>
            <w:shd w:val="clear" w:color="000000" w:fill="auto"/>
          </w:tcPr>
          <w:p w14:paraId="34C8F637" w14:textId="0C4F3977" w:rsidR="00644076" w:rsidRPr="00971F8F" w:rsidRDefault="001C6465" w:rsidP="00971F8F">
            <w:pPr>
              <w:pStyle w:val="TableBody"/>
              <w:spacing w:before="45" w:after="45"/>
              <w:ind w:right="108"/>
              <w:rPr>
                <w:rFonts w:ascii="Arial (Body)" w:hAnsi="Arial (Body)"/>
                <w:b/>
                <w:bCs/>
                <w:color w:val="265A9A"/>
              </w:rPr>
            </w:pPr>
            <w:r w:rsidRPr="00971F8F">
              <w:rPr>
                <w:rFonts w:ascii="Arial (Body)" w:hAnsi="Arial (Body)"/>
                <w:b/>
                <w:bCs/>
                <w:color w:val="265A9A"/>
              </w:rPr>
              <w:t>ACCC</w:t>
            </w:r>
          </w:p>
        </w:tc>
        <w:tc>
          <w:tcPr>
            <w:tcW w:w="4118" w:type="pct"/>
            <w:tcBorders>
              <w:top w:val="nil"/>
              <w:bottom w:val="nil"/>
            </w:tcBorders>
            <w:shd w:val="clear" w:color="000000" w:fill="auto"/>
          </w:tcPr>
          <w:p w14:paraId="1C9A682F" w14:textId="14F13B1B" w:rsidR="00644076" w:rsidRPr="00971F8F" w:rsidRDefault="00E95B84" w:rsidP="00971F8F">
            <w:pPr>
              <w:pStyle w:val="TableBody"/>
              <w:spacing w:before="45" w:after="45"/>
              <w:ind w:right="108"/>
              <w:rPr>
                <w:rFonts w:ascii="Arial (Body)" w:hAnsi="Arial (Body)"/>
                <w:color w:val="000000"/>
              </w:rPr>
            </w:pPr>
            <w:r w:rsidRPr="00971F8F">
              <w:rPr>
                <w:rFonts w:ascii="Arial (Body)" w:hAnsi="Arial (Body)"/>
                <w:color w:val="000000"/>
              </w:rPr>
              <w:t>Australian Competition and Consumer Commission</w:t>
            </w:r>
          </w:p>
        </w:tc>
      </w:tr>
      <w:tr w:rsidR="00644076" w:rsidRPr="00971F8F" w14:paraId="548DD120" w14:textId="77777777" w:rsidTr="00971F8F">
        <w:tc>
          <w:tcPr>
            <w:tcW w:w="882" w:type="pct"/>
            <w:tcBorders>
              <w:bottom w:val="nil"/>
            </w:tcBorders>
            <w:shd w:val="clear" w:color="000000" w:fill="F2F2F2"/>
          </w:tcPr>
          <w:p w14:paraId="7C5F30FF" w14:textId="7B578DA4" w:rsidR="00644076" w:rsidRPr="00971F8F" w:rsidRDefault="001C6465" w:rsidP="00971F8F">
            <w:pPr>
              <w:pStyle w:val="TableBody"/>
              <w:spacing w:before="45" w:after="45"/>
              <w:ind w:right="108"/>
              <w:rPr>
                <w:rFonts w:ascii="Arial (Body)" w:hAnsi="Arial (Body)"/>
                <w:b/>
                <w:bCs/>
                <w:color w:val="265A9A"/>
              </w:rPr>
            </w:pPr>
            <w:r w:rsidRPr="00971F8F">
              <w:rPr>
                <w:rFonts w:ascii="Arial (Body)" w:hAnsi="Arial (Body)"/>
                <w:b/>
                <w:bCs/>
                <w:color w:val="265A9A"/>
              </w:rPr>
              <w:t>AEMO</w:t>
            </w:r>
          </w:p>
        </w:tc>
        <w:tc>
          <w:tcPr>
            <w:tcW w:w="4118" w:type="pct"/>
            <w:tcBorders>
              <w:bottom w:val="nil"/>
            </w:tcBorders>
            <w:shd w:val="clear" w:color="000000" w:fill="F2F2F2"/>
          </w:tcPr>
          <w:p w14:paraId="6AE7AABC" w14:textId="5C0D7FF4" w:rsidR="00644076" w:rsidRPr="00971F8F" w:rsidRDefault="00E95B84" w:rsidP="00971F8F">
            <w:pPr>
              <w:pStyle w:val="TableBody"/>
              <w:spacing w:before="45" w:after="45"/>
              <w:ind w:right="108"/>
              <w:rPr>
                <w:rFonts w:ascii="Arial (Body)" w:hAnsi="Arial (Body)"/>
                <w:color w:val="000000"/>
              </w:rPr>
            </w:pPr>
            <w:r w:rsidRPr="00971F8F">
              <w:rPr>
                <w:rFonts w:ascii="Arial (Body)" w:hAnsi="Arial (Body)"/>
                <w:color w:val="000000"/>
              </w:rPr>
              <w:t>Australian Energy Market Operator</w:t>
            </w:r>
          </w:p>
        </w:tc>
      </w:tr>
      <w:tr w:rsidR="00644076" w:rsidRPr="00971F8F" w14:paraId="3DA8A780" w14:textId="77777777" w:rsidTr="00971F8F">
        <w:tc>
          <w:tcPr>
            <w:tcW w:w="882" w:type="pct"/>
            <w:tcBorders>
              <w:top w:val="nil"/>
              <w:bottom w:val="nil"/>
            </w:tcBorders>
            <w:shd w:val="clear" w:color="000000" w:fill="auto"/>
          </w:tcPr>
          <w:p w14:paraId="3719F283" w14:textId="3079A777" w:rsidR="00644076" w:rsidRPr="00971F8F" w:rsidRDefault="001C6465" w:rsidP="00971F8F">
            <w:pPr>
              <w:pStyle w:val="TableBody"/>
              <w:spacing w:before="45" w:after="45"/>
              <w:ind w:right="108"/>
              <w:rPr>
                <w:rFonts w:ascii="Arial (Body)" w:hAnsi="Arial (Body)"/>
                <w:b/>
                <w:bCs/>
                <w:color w:val="265A9A"/>
              </w:rPr>
            </w:pPr>
            <w:r w:rsidRPr="00971F8F">
              <w:rPr>
                <w:rFonts w:ascii="Arial (Body)" w:hAnsi="Arial (Body)"/>
                <w:b/>
                <w:bCs/>
                <w:color w:val="265A9A"/>
              </w:rPr>
              <w:t>ANZSIC</w:t>
            </w:r>
          </w:p>
        </w:tc>
        <w:tc>
          <w:tcPr>
            <w:tcW w:w="4118" w:type="pct"/>
            <w:tcBorders>
              <w:top w:val="nil"/>
              <w:bottom w:val="nil"/>
            </w:tcBorders>
            <w:shd w:val="clear" w:color="000000" w:fill="auto"/>
          </w:tcPr>
          <w:p w14:paraId="79794DC0" w14:textId="3A87C237" w:rsidR="00644076" w:rsidRPr="00971F8F" w:rsidRDefault="00E95B84" w:rsidP="00971F8F">
            <w:pPr>
              <w:pStyle w:val="TableBody"/>
              <w:spacing w:before="45" w:after="45"/>
              <w:ind w:right="108"/>
              <w:rPr>
                <w:rFonts w:ascii="Arial (Body)" w:hAnsi="Arial (Body)"/>
                <w:color w:val="000000"/>
              </w:rPr>
            </w:pPr>
            <w:r w:rsidRPr="00971F8F">
              <w:rPr>
                <w:rFonts w:ascii="Arial (Body)" w:hAnsi="Arial (Body)"/>
                <w:color w:val="000000"/>
              </w:rPr>
              <w:t xml:space="preserve">Australian and New Zealand </w:t>
            </w:r>
            <w:r w:rsidR="005C40F7" w:rsidRPr="00971F8F">
              <w:rPr>
                <w:rFonts w:ascii="Arial (Body)" w:hAnsi="Arial (Body)"/>
                <w:color w:val="000000"/>
              </w:rPr>
              <w:t>Standard Industrial Classification</w:t>
            </w:r>
          </w:p>
        </w:tc>
      </w:tr>
      <w:tr w:rsidR="00644076" w:rsidRPr="00971F8F" w14:paraId="39B44530" w14:textId="77777777" w:rsidTr="00971F8F">
        <w:tc>
          <w:tcPr>
            <w:tcW w:w="882" w:type="pct"/>
            <w:tcBorders>
              <w:bottom w:val="nil"/>
            </w:tcBorders>
            <w:shd w:val="clear" w:color="000000" w:fill="F2F2F2"/>
          </w:tcPr>
          <w:p w14:paraId="24E1CDEB" w14:textId="53BC8131" w:rsidR="00644076" w:rsidRPr="00971F8F" w:rsidRDefault="005E603F" w:rsidP="00971F8F">
            <w:pPr>
              <w:pStyle w:val="TableBody"/>
              <w:spacing w:before="45" w:after="45"/>
              <w:ind w:right="108"/>
              <w:rPr>
                <w:rFonts w:ascii="Arial (Body)" w:hAnsi="Arial (Body)"/>
                <w:b/>
                <w:bCs/>
                <w:color w:val="265A9A"/>
              </w:rPr>
            </w:pPr>
            <w:r w:rsidRPr="00971F8F">
              <w:rPr>
                <w:rFonts w:ascii="Arial (Body)" w:hAnsi="Arial (Body)"/>
                <w:b/>
                <w:bCs/>
                <w:color w:val="265A9A"/>
              </w:rPr>
              <w:t>ASEAN</w:t>
            </w:r>
          </w:p>
        </w:tc>
        <w:tc>
          <w:tcPr>
            <w:tcW w:w="4118" w:type="pct"/>
            <w:tcBorders>
              <w:bottom w:val="nil"/>
            </w:tcBorders>
            <w:shd w:val="clear" w:color="000000" w:fill="F2F2F2"/>
          </w:tcPr>
          <w:p w14:paraId="05A5838C" w14:textId="5526DDDB" w:rsidR="00644076" w:rsidRPr="00971F8F" w:rsidRDefault="00D6201C" w:rsidP="00971F8F">
            <w:pPr>
              <w:pStyle w:val="TableBody"/>
              <w:spacing w:before="45" w:after="45"/>
              <w:ind w:right="108"/>
              <w:rPr>
                <w:rFonts w:ascii="Arial (Body)" w:hAnsi="Arial (Body)"/>
                <w:color w:val="000000"/>
              </w:rPr>
            </w:pPr>
            <w:r w:rsidRPr="00971F8F">
              <w:rPr>
                <w:rFonts w:ascii="Arial (Body)" w:hAnsi="Arial (Body)"/>
                <w:color w:val="000000"/>
              </w:rPr>
              <w:t>Association of Southeast Asian Nations</w:t>
            </w:r>
          </w:p>
        </w:tc>
      </w:tr>
      <w:tr w:rsidR="00644076" w:rsidRPr="00971F8F" w14:paraId="00467782" w14:textId="77777777" w:rsidTr="00971F8F">
        <w:tc>
          <w:tcPr>
            <w:tcW w:w="882" w:type="pct"/>
            <w:tcBorders>
              <w:top w:val="nil"/>
              <w:bottom w:val="nil"/>
            </w:tcBorders>
            <w:shd w:val="clear" w:color="000000" w:fill="auto"/>
          </w:tcPr>
          <w:p w14:paraId="11D2C7E3" w14:textId="453C064A" w:rsidR="00644076" w:rsidRPr="00971F8F" w:rsidRDefault="005E603F" w:rsidP="00971F8F">
            <w:pPr>
              <w:pStyle w:val="TableBody"/>
              <w:spacing w:before="45" w:after="45"/>
              <w:ind w:right="108"/>
              <w:rPr>
                <w:rFonts w:ascii="Arial (Body)" w:hAnsi="Arial (Body)"/>
                <w:b/>
                <w:bCs/>
                <w:color w:val="265A9A"/>
              </w:rPr>
            </w:pPr>
            <w:r w:rsidRPr="00971F8F">
              <w:rPr>
                <w:rFonts w:ascii="Arial (Body)" w:hAnsi="Arial (Body)"/>
                <w:b/>
                <w:bCs/>
                <w:color w:val="265A9A"/>
              </w:rPr>
              <w:t>ASIC</w:t>
            </w:r>
          </w:p>
        </w:tc>
        <w:tc>
          <w:tcPr>
            <w:tcW w:w="4118" w:type="pct"/>
            <w:tcBorders>
              <w:top w:val="nil"/>
              <w:bottom w:val="nil"/>
            </w:tcBorders>
            <w:shd w:val="clear" w:color="000000" w:fill="auto"/>
          </w:tcPr>
          <w:p w14:paraId="5E4B0D34" w14:textId="4DDAB2A9" w:rsidR="00644076" w:rsidRPr="00971F8F" w:rsidRDefault="003344D1" w:rsidP="00971F8F">
            <w:pPr>
              <w:pStyle w:val="TableBody"/>
              <w:spacing w:before="45" w:after="45"/>
              <w:ind w:right="108"/>
              <w:rPr>
                <w:rFonts w:ascii="Arial (Body)" w:hAnsi="Arial (Body)"/>
                <w:color w:val="000000"/>
              </w:rPr>
            </w:pPr>
            <w:r w:rsidRPr="00971F8F">
              <w:rPr>
                <w:rFonts w:ascii="Arial (Body)" w:hAnsi="Arial (Body)"/>
                <w:color w:val="000000"/>
              </w:rPr>
              <w:t>Australian Securities and Investment Commission</w:t>
            </w:r>
          </w:p>
        </w:tc>
      </w:tr>
      <w:tr w:rsidR="00644076" w:rsidRPr="00971F8F" w14:paraId="3CD47737" w14:textId="77777777" w:rsidTr="00971F8F">
        <w:tc>
          <w:tcPr>
            <w:tcW w:w="882" w:type="pct"/>
            <w:tcBorders>
              <w:bottom w:val="nil"/>
            </w:tcBorders>
            <w:shd w:val="clear" w:color="000000" w:fill="F2F2F2"/>
          </w:tcPr>
          <w:p w14:paraId="79A961F2" w14:textId="596169B8" w:rsidR="00644076" w:rsidRPr="00971F8F" w:rsidRDefault="005E603F" w:rsidP="00971F8F">
            <w:pPr>
              <w:pStyle w:val="TableBody"/>
              <w:spacing w:before="45" w:after="45"/>
              <w:ind w:right="108"/>
              <w:rPr>
                <w:rFonts w:ascii="Arial (Body)" w:hAnsi="Arial (Body)"/>
                <w:b/>
                <w:bCs/>
                <w:color w:val="265A9A"/>
              </w:rPr>
            </w:pPr>
            <w:r w:rsidRPr="00971F8F">
              <w:rPr>
                <w:rFonts w:ascii="Arial (Body)" w:hAnsi="Arial (Body)"/>
                <w:b/>
                <w:bCs/>
                <w:color w:val="265A9A"/>
              </w:rPr>
              <w:t>ATO</w:t>
            </w:r>
          </w:p>
        </w:tc>
        <w:tc>
          <w:tcPr>
            <w:tcW w:w="4118" w:type="pct"/>
            <w:tcBorders>
              <w:bottom w:val="nil"/>
            </w:tcBorders>
            <w:shd w:val="clear" w:color="000000" w:fill="F2F2F2"/>
          </w:tcPr>
          <w:p w14:paraId="721F7B92" w14:textId="58A97F68" w:rsidR="00644076" w:rsidRPr="00971F8F" w:rsidRDefault="003344D1" w:rsidP="00971F8F">
            <w:pPr>
              <w:pStyle w:val="TableBody"/>
              <w:spacing w:before="45" w:after="45"/>
              <w:ind w:right="108"/>
              <w:rPr>
                <w:rFonts w:ascii="Arial (Body)" w:hAnsi="Arial (Body)"/>
                <w:color w:val="000000"/>
              </w:rPr>
            </w:pPr>
            <w:r w:rsidRPr="00971F8F">
              <w:rPr>
                <w:rFonts w:ascii="Arial (Body)" w:hAnsi="Arial (Body)"/>
                <w:color w:val="000000"/>
              </w:rPr>
              <w:t>Australian Taxation Office</w:t>
            </w:r>
          </w:p>
        </w:tc>
      </w:tr>
      <w:tr w:rsidR="005E603F" w:rsidRPr="00971F8F" w14:paraId="290CCE08" w14:textId="77777777" w:rsidTr="00971F8F">
        <w:tc>
          <w:tcPr>
            <w:tcW w:w="882" w:type="pct"/>
            <w:tcBorders>
              <w:top w:val="nil"/>
              <w:bottom w:val="nil"/>
            </w:tcBorders>
            <w:shd w:val="clear" w:color="000000" w:fill="auto"/>
          </w:tcPr>
          <w:p w14:paraId="0BB7E2A8" w14:textId="2EC026AA" w:rsidR="005E603F" w:rsidRPr="00971F8F" w:rsidRDefault="005E603F" w:rsidP="00971F8F">
            <w:pPr>
              <w:pStyle w:val="TableBody"/>
              <w:spacing w:before="45" w:after="45"/>
              <w:ind w:right="108"/>
              <w:rPr>
                <w:rFonts w:ascii="Arial (Body)" w:hAnsi="Arial (Body)"/>
                <w:b/>
                <w:bCs/>
                <w:color w:val="265A9A"/>
              </w:rPr>
            </w:pPr>
            <w:r w:rsidRPr="00971F8F">
              <w:rPr>
                <w:rFonts w:ascii="Arial (Body)" w:hAnsi="Arial (Body)"/>
                <w:b/>
                <w:bCs/>
                <w:color w:val="265A9A"/>
              </w:rPr>
              <w:t>BOP</w:t>
            </w:r>
          </w:p>
        </w:tc>
        <w:tc>
          <w:tcPr>
            <w:tcW w:w="4118" w:type="pct"/>
            <w:tcBorders>
              <w:top w:val="nil"/>
              <w:bottom w:val="nil"/>
            </w:tcBorders>
            <w:shd w:val="clear" w:color="000000" w:fill="auto"/>
          </w:tcPr>
          <w:p w14:paraId="287EF1BE" w14:textId="4939FE3B" w:rsidR="005E603F" w:rsidRPr="00971F8F" w:rsidRDefault="00F531FE" w:rsidP="00971F8F">
            <w:pPr>
              <w:pStyle w:val="TableBody"/>
              <w:spacing w:before="45" w:after="45"/>
              <w:ind w:right="108"/>
              <w:rPr>
                <w:rFonts w:ascii="Arial (Body)" w:hAnsi="Arial (Body)"/>
                <w:color w:val="000000"/>
              </w:rPr>
            </w:pPr>
            <w:r w:rsidRPr="00971F8F">
              <w:rPr>
                <w:rFonts w:ascii="Arial (Body)" w:hAnsi="Arial (Body)"/>
                <w:color w:val="000000"/>
              </w:rPr>
              <w:t xml:space="preserve">Balance of Payments </w:t>
            </w:r>
          </w:p>
        </w:tc>
      </w:tr>
      <w:tr w:rsidR="005E603F" w:rsidRPr="00971F8F" w14:paraId="20E4BC51" w14:textId="77777777" w:rsidTr="00971F8F">
        <w:tc>
          <w:tcPr>
            <w:tcW w:w="882" w:type="pct"/>
            <w:tcBorders>
              <w:bottom w:val="nil"/>
            </w:tcBorders>
            <w:shd w:val="clear" w:color="000000" w:fill="F2F2F2"/>
          </w:tcPr>
          <w:p w14:paraId="6ADEE24C" w14:textId="2DD9385D" w:rsidR="005E603F" w:rsidRPr="00971F8F" w:rsidRDefault="005E603F" w:rsidP="00971F8F">
            <w:pPr>
              <w:pStyle w:val="TableBody"/>
              <w:spacing w:before="45" w:after="45"/>
              <w:ind w:right="108"/>
              <w:rPr>
                <w:rFonts w:ascii="Arial (Body)" w:hAnsi="Arial (Body)"/>
                <w:b/>
                <w:bCs/>
                <w:color w:val="265A9A"/>
              </w:rPr>
            </w:pPr>
            <w:r w:rsidRPr="00971F8F">
              <w:rPr>
                <w:rFonts w:ascii="Arial (Body)" w:hAnsi="Arial (Body)"/>
                <w:b/>
                <w:bCs/>
                <w:color w:val="265A9A"/>
              </w:rPr>
              <w:t>CEFC</w:t>
            </w:r>
          </w:p>
        </w:tc>
        <w:tc>
          <w:tcPr>
            <w:tcW w:w="4118" w:type="pct"/>
            <w:tcBorders>
              <w:bottom w:val="nil"/>
            </w:tcBorders>
            <w:shd w:val="clear" w:color="000000" w:fill="F2F2F2"/>
          </w:tcPr>
          <w:p w14:paraId="039C5E92" w14:textId="35225525" w:rsidR="005E603F" w:rsidRPr="00971F8F" w:rsidRDefault="005202D0" w:rsidP="00971F8F">
            <w:pPr>
              <w:pStyle w:val="TableBody"/>
              <w:spacing w:before="45" w:after="45"/>
              <w:ind w:right="108"/>
              <w:rPr>
                <w:rFonts w:ascii="Arial (Body)" w:hAnsi="Arial (Body)"/>
                <w:color w:val="000000"/>
              </w:rPr>
            </w:pPr>
            <w:r w:rsidRPr="00971F8F">
              <w:rPr>
                <w:rFonts w:ascii="Arial (Body)" w:hAnsi="Arial (Body)"/>
                <w:color w:val="000000"/>
              </w:rPr>
              <w:t>Clean Energy Finance Corporation</w:t>
            </w:r>
          </w:p>
        </w:tc>
      </w:tr>
      <w:tr w:rsidR="005E603F" w:rsidRPr="00971F8F" w14:paraId="063E9AA4" w14:textId="77777777" w:rsidTr="00971F8F">
        <w:tc>
          <w:tcPr>
            <w:tcW w:w="882" w:type="pct"/>
            <w:tcBorders>
              <w:top w:val="nil"/>
              <w:bottom w:val="nil"/>
            </w:tcBorders>
            <w:shd w:val="clear" w:color="000000" w:fill="auto"/>
          </w:tcPr>
          <w:p w14:paraId="60D64F42" w14:textId="0E90E2FF" w:rsidR="005E603F" w:rsidRPr="00971F8F" w:rsidRDefault="005E603F" w:rsidP="00971F8F">
            <w:pPr>
              <w:pStyle w:val="TableBody"/>
              <w:spacing w:before="45" w:after="45"/>
              <w:ind w:right="108"/>
              <w:rPr>
                <w:rFonts w:ascii="Arial (Body)" w:hAnsi="Arial (Body)"/>
                <w:b/>
                <w:bCs/>
                <w:color w:val="265A9A"/>
              </w:rPr>
            </w:pPr>
            <w:r w:rsidRPr="00971F8F">
              <w:rPr>
                <w:rFonts w:ascii="Arial (Body)" w:hAnsi="Arial (Body)"/>
                <w:b/>
                <w:bCs/>
                <w:color w:val="265A9A"/>
              </w:rPr>
              <w:t>CEPA</w:t>
            </w:r>
          </w:p>
        </w:tc>
        <w:tc>
          <w:tcPr>
            <w:tcW w:w="4118" w:type="pct"/>
            <w:tcBorders>
              <w:top w:val="nil"/>
              <w:bottom w:val="nil"/>
            </w:tcBorders>
            <w:shd w:val="clear" w:color="000000" w:fill="auto"/>
          </w:tcPr>
          <w:p w14:paraId="18AB7F48" w14:textId="07930525" w:rsidR="005E603F" w:rsidRPr="00971F8F" w:rsidRDefault="00DD61FC" w:rsidP="00971F8F">
            <w:pPr>
              <w:pStyle w:val="TableBody"/>
              <w:spacing w:before="45" w:after="45"/>
              <w:ind w:right="108"/>
              <w:rPr>
                <w:rFonts w:ascii="Arial (Body)" w:hAnsi="Arial (Body)"/>
                <w:color w:val="000000"/>
              </w:rPr>
            </w:pPr>
            <w:r w:rsidRPr="00971F8F">
              <w:rPr>
                <w:rFonts w:ascii="Arial (Body)" w:hAnsi="Arial (Body)"/>
                <w:color w:val="000000"/>
              </w:rPr>
              <w:t>Comprehensive Economic Partnership Agreement</w:t>
            </w:r>
          </w:p>
        </w:tc>
      </w:tr>
      <w:tr w:rsidR="00D553A5" w:rsidRPr="00971F8F" w14:paraId="080D14D4" w14:textId="77777777" w:rsidTr="00971F8F">
        <w:tc>
          <w:tcPr>
            <w:tcW w:w="882" w:type="pct"/>
            <w:tcBorders>
              <w:bottom w:val="nil"/>
            </w:tcBorders>
            <w:shd w:val="clear" w:color="000000" w:fill="F2F2F2"/>
          </w:tcPr>
          <w:p w14:paraId="1956EF24" w14:textId="00001E49" w:rsidR="00D553A5" w:rsidRPr="00971F8F" w:rsidRDefault="00DC44E7" w:rsidP="00971F8F">
            <w:pPr>
              <w:pStyle w:val="TableBody"/>
              <w:spacing w:before="45" w:after="45"/>
              <w:ind w:right="108"/>
              <w:rPr>
                <w:rFonts w:ascii="Arial (Body)" w:hAnsi="Arial (Body)"/>
                <w:b/>
                <w:bCs/>
                <w:color w:val="265A9A"/>
              </w:rPr>
            </w:pPr>
            <w:r w:rsidRPr="00971F8F">
              <w:rPr>
                <w:rFonts w:ascii="Arial (Body)" w:hAnsi="Arial (Body)"/>
                <w:b/>
                <w:bCs/>
                <w:color w:val="265A9A"/>
              </w:rPr>
              <w:t>CGE</w:t>
            </w:r>
          </w:p>
        </w:tc>
        <w:tc>
          <w:tcPr>
            <w:tcW w:w="4118" w:type="pct"/>
            <w:tcBorders>
              <w:bottom w:val="nil"/>
            </w:tcBorders>
            <w:shd w:val="clear" w:color="000000" w:fill="F2F2F2"/>
          </w:tcPr>
          <w:p w14:paraId="37210016" w14:textId="739E2400" w:rsidR="00D553A5" w:rsidRPr="00971F8F" w:rsidRDefault="00DD55DB" w:rsidP="00971F8F">
            <w:pPr>
              <w:pStyle w:val="TableBody"/>
              <w:spacing w:before="45" w:after="45"/>
              <w:ind w:right="108"/>
              <w:rPr>
                <w:rFonts w:ascii="Arial (Body)" w:hAnsi="Arial (Body)"/>
                <w:color w:val="000000"/>
              </w:rPr>
            </w:pPr>
            <w:r w:rsidRPr="00971F8F">
              <w:rPr>
                <w:rFonts w:ascii="Arial (Body)" w:hAnsi="Arial (Body)"/>
                <w:color w:val="000000"/>
              </w:rPr>
              <w:t>Computable General Equilibrium</w:t>
            </w:r>
          </w:p>
        </w:tc>
      </w:tr>
      <w:tr w:rsidR="00D553A5" w:rsidRPr="00971F8F" w14:paraId="1E4B2493" w14:textId="77777777" w:rsidTr="00971F8F">
        <w:tc>
          <w:tcPr>
            <w:tcW w:w="882" w:type="pct"/>
            <w:tcBorders>
              <w:top w:val="nil"/>
              <w:bottom w:val="nil"/>
            </w:tcBorders>
            <w:shd w:val="clear" w:color="000000" w:fill="auto"/>
          </w:tcPr>
          <w:p w14:paraId="6EF8C716" w14:textId="2D2CBBDA" w:rsidR="00D553A5" w:rsidRPr="00971F8F" w:rsidRDefault="00DC44E7" w:rsidP="00971F8F">
            <w:pPr>
              <w:pStyle w:val="TableBody"/>
              <w:spacing w:before="45" w:after="45"/>
              <w:ind w:right="108"/>
              <w:rPr>
                <w:rFonts w:ascii="Arial (Body)" w:hAnsi="Arial (Body)"/>
                <w:b/>
                <w:bCs/>
                <w:color w:val="265A9A"/>
              </w:rPr>
            </w:pPr>
            <w:r w:rsidRPr="00971F8F">
              <w:rPr>
                <w:rFonts w:ascii="Arial (Body)" w:hAnsi="Arial (Body)"/>
                <w:b/>
                <w:bCs/>
                <w:color w:val="265A9A"/>
              </w:rPr>
              <w:t>CGT</w:t>
            </w:r>
          </w:p>
        </w:tc>
        <w:tc>
          <w:tcPr>
            <w:tcW w:w="4118" w:type="pct"/>
            <w:tcBorders>
              <w:top w:val="nil"/>
              <w:bottom w:val="nil"/>
            </w:tcBorders>
            <w:shd w:val="clear" w:color="000000" w:fill="auto"/>
          </w:tcPr>
          <w:p w14:paraId="58FA8848" w14:textId="6AE585FA" w:rsidR="00D553A5" w:rsidRPr="00971F8F" w:rsidRDefault="003B4588" w:rsidP="00971F8F">
            <w:pPr>
              <w:pStyle w:val="TableBody"/>
              <w:spacing w:before="45" w:after="45"/>
              <w:ind w:right="108"/>
              <w:rPr>
                <w:rFonts w:ascii="Arial (Body)" w:hAnsi="Arial (Body)"/>
                <w:color w:val="000000"/>
              </w:rPr>
            </w:pPr>
            <w:r w:rsidRPr="00971F8F">
              <w:rPr>
                <w:rFonts w:ascii="Arial (Body)" w:hAnsi="Arial (Body)"/>
                <w:color w:val="000000"/>
              </w:rPr>
              <w:t xml:space="preserve">Capital </w:t>
            </w:r>
            <w:r w:rsidR="00A95CE2" w:rsidRPr="00971F8F">
              <w:rPr>
                <w:rFonts w:ascii="Arial (Body)" w:hAnsi="Arial (Body)"/>
                <w:color w:val="000000"/>
              </w:rPr>
              <w:t>Gains Tax</w:t>
            </w:r>
          </w:p>
        </w:tc>
      </w:tr>
      <w:tr w:rsidR="00D553A5" w:rsidRPr="00971F8F" w14:paraId="016728D9" w14:textId="77777777" w:rsidTr="00971F8F">
        <w:tc>
          <w:tcPr>
            <w:tcW w:w="882" w:type="pct"/>
            <w:tcBorders>
              <w:bottom w:val="nil"/>
            </w:tcBorders>
            <w:shd w:val="clear" w:color="000000" w:fill="F2F2F2"/>
          </w:tcPr>
          <w:p w14:paraId="2EFD0D65" w14:textId="0876A6F1" w:rsidR="00D553A5" w:rsidRPr="00971F8F" w:rsidRDefault="00DC44E7" w:rsidP="00971F8F">
            <w:pPr>
              <w:pStyle w:val="TableBody"/>
              <w:spacing w:before="45" w:after="45"/>
              <w:ind w:right="108"/>
              <w:rPr>
                <w:rFonts w:ascii="Arial (Body)" w:hAnsi="Arial (Body)"/>
                <w:b/>
                <w:bCs/>
                <w:color w:val="265A9A"/>
              </w:rPr>
            </w:pPr>
            <w:r w:rsidRPr="00971F8F">
              <w:rPr>
                <w:rFonts w:ascii="Arial (Body)" w:hAnsi="Arial (Body)"/>
                <w:b/>
                <w:bCs/>
                <w:color w:val="265A9A"/>
              </w:rPr>
              <w:t>CHIPS</w:t>
            </w:r>
          </w:p>
        </w:tc>
        <w:tc>
          <w:tcPr>
            <w:tcW w:w="4118" w:type="pct"/>
            <w:tcBorders>
              <w:bottom w:val="nil"/>
            </w:tcBorders>
            <w:shd w:val="clear" w:color="000000" w:fill="F2F2F2"/>
          </w:tcPr>
          <w:p w14:paraId="3CF796F6" w14:textId="279E34C7" w:rsidR="00D553A5" w:rsidRPr="00971F8F" w:rsidRDefault="00401B10" w:rsidP="00971F8F">
            <w:pPr>
              <w:pStyle w:val="TableBody"/>
              <w:spacing w:before="45" w:after="45"/>
              <w:ind w:right="108"/>
              <w:rPr>
                <w:rFonts w:ascii="Arial (Body)" w:hAnsi="Arial (Body)"/>
                <w:color w:val="000000"/>
              </w:rPr>
            </w:pPr>
            <w:r w:rsidRPr="00971F8F">
              <w:rPr>
                <w:rFonts w:ascii="Arial (Body)" w:hAnsi="Arial (Body)"/>
                <w:color w:val="000000"/>
              </w:rPr>
              <w:t>Creating Helpful Incentives to Produce Semiconductors</w:t>
            </w:r>
          </w:p>
        </w:tc>
      </w:tr>
      <w:tr w:rsidR="00D553A5" w:rsidRPr="00971F8F" w14:paraId="6470D6D5" w14:textId="77777777" w:rsidTr="00971F8F">
        <w:tc>
          <w:tcPr>
            <w:tcW w:w="882" w:type="pct"/>
            <w:tcBorders>
              <w:top w:val="nil"/>
              <w:bottom w:val="nil"/>
            </w:tcBorders>
            <w:shd w:val="clear" w:color="000000" w:fill="auto"/>
          </w:tcPr>
          <w:p w14:paraId="44513129" w14:textId="32A80FA4" w:rsidR="00D553A5" w:rsidRPr="00971F8F" w:rsidRDefault="00DC44E7" w:rsidP="00971F8F">
            <w:pPr>
              <w:pStyle w:val="TableBody"/>
              <w:spacing w:before="45" w:after="45"/>
              <w:ind w:right="108"/>
              <w:rPr>
                <w:rFonts w:ascii="Arial (Body)" w:hAnsi="Arial (Body)"/>
                <w:b/>
                <w:bCs/>
                <w:color w:val="265A9A"/>
              </w:rPr>
            </w:pPr>
            <w:r w:rsidRPr="00971F8F">
              <w:rPr>
                <w:rFonts w:ascii="Arial (Body)" w:hAnsi="Arial (Body)"/>
                <w:b/>
                <w:bCs/>
                <w:color w:val="265A9A"/>
              </w:rPr>
              <w:t>CPTPP</w:t>
            </w:r>
          </w:p>
        </w:tc>
        <w:tc>
          <w:tcPr>
            <w:tcW w:w="4118" w:type="pct"/>
            <w:tcBorders>
              <w:top w:val="nil"/>
              <w:bottom w:val="nil"/>
            </w:tcBorders>
            <w:shd w:val="clear" w:color="000000" w:fill="auto"/>
          </w:tcPr>
          <w:p w14:paraId="79D7BCBF" w14:textId="039CD0E2" w:rsidR="00D553A5" w:rsidRPr="00971F8F" w:rsidRDefault="0094567F" w:rsidP="00971F8F">
            <w:pPr>
              <w:pStyle w:val="TableBody"/>
              <w:spacing w:before="45" w:after="45"/>
              <w:ind w:right="108"/>
              <w:rPr>
                <w:rFonts w:ascii="Arial (Body)" w:hAnsi="Arial (Body)"/>
                <w:color w:val="000000"/>
              </w:rPr>
            </w:pPr>
            <w:r w:rsidRPr="00971F8F">
              <w:rPr>
                <w:rFonts w:ascii="Arial (Body)" w:hAnsi="Arial (Body)"/>
                <w:color w:val="000000"/>
              </w:rPr>
              <w:t>Comprehensive and Progressive Agreement for Trans</w:t>
            </w:r>
            <w:r w:rsidRPr="00971F8F">
              <w:rPr>
                <w:rFonts w:ascii="Arial (Body)" w:hAnsi="Arial (Body)"/>
                <w:color w:val="000000"/>
              </w:rPr>
              <w:noBreakHyphen/>
              <w:t>Pacific Partnership</w:t>
            </w:r>
          </w:p>
        </w:tc>
      </w:tr>
      <w:tr w:rsidR="00DC44E7" w:rsidRPr="00971F8F" w14:paraId="0572DD3C" w14:textId="77777777" w:rsidTr="00971F8F">
        <w:tc>
          <w:tcPr>
            <w:tcW w:w="882" w:type="pct"/>
            <w:tcBorders>
              <w:bottom w:val="nil"/>
            </w:tcBorders>
            <w:shd w:val="clear" w:color="000000" w:fill="F2F2F2"/>
          </w:tcPr>
          <w:p w14:paraId="063392D7" w14:textId="0EA935A1" w:rsidR="00DC44E7" w:rsidRPr="00971F8F" w:rsidRDefault="00E14C84" w:rsidP="00971F8F">
            <w:pPr>
              <w:pStyle w:val="TableBody"/>
              <w:spacing w:before="45" w:after="45"/>
              <w:ind w:right="108"/>
              <w:rPr>
                <w:rFonts w:ascii="Arial (Body)" w:hAnsi="Arial (Body)"/>
                <w:b/>
                <w:bCs/>
                <w:color w:val="265A9A"/>
              </w:rPr>
            </w:pPr>
            <w:r w:rsidRPr="00971F8F">
              <w:rPr>
                <w:rFonts w:ascii="Arial (Body)" w:hAnsi="Arial (Body)"/>
                <w:b/>
                <w:bCs/>
                <w:color w:val="265A9A"/>
              </w:rPr>
              <w:t>DAFF</w:t>
            </w:r>
          </w:p>
        </w:tc>
        <w:tc>
          <w:tcPr>
            <w:tcW w:w="4118" w:type="pct"/>
            <w:tcBorders>
              <w:bottom w:val="nil"/>
            </w:tcBorders>
            <w:shd w:val="clear" w:color="000000" w:fill="F2F2F2"/>
          </w:tcPr>
          <w:p w14:paraId="0394FB21" w14:textId="37365221" w:rsidR="00DC44E7" w:rsidRPr="00971F8F" w:rsidRDefault="00BA58D5" w:rsidP="00971F8F">
            <w:pPr>
              <w:pStyle w:val="TableBody"/>
              <w:spacing w:before="45" w:after="45"/>
              <w:ind w:right="108"/>
              <w:rPr>
                <w:rFonts w:ascii="Arial (Body)" w:hAnsi="Arial (Body)"/>
                <w:color w:val="000000"/>
              </w:rPr>
            </w:pPr>
            <w:r w:rsidRPr="00971F8F">
              <w:rPr>
                <w:rFonts w:ascii="Arial (Body)" w:hAnsi="Arial (Body)"/>
                <w:color w:val="000000"/>
              </w:rPr>
              <w:t>Department of Agriculture, Fisheries and Forestry</w:t>
            </w:r>
          </w:p>
        </w:tc>
      </w:tr>
      <w:tr w:rsidR="00DC44E7" w:rsidRPr="00971F8F" w14:paraId="54965C52" w14:textId="77777777" w:rsidTr="00971F8F">
        <w:tc>
          <w:tcPr>
            <w:tcW w:w="882" w:type="pct"/>
            <w:tcBorders>
              <w:top w:val="nil"/>
              <w:bottom w:val="nil"/>
            </w:tcBorders>
            <w:shd w:val="clear" w:color="000000" w:fill="auto"/>
          </w:tcPr>
          <w:p w14:paraId="73509F39" w14:textId="6D6F555B" w:rsidR="00DC44E7" w:rsidRPr="00971F8F" w:rsidRDefault="00E14C84" w:rsidP="00971F8F">
            <w:pPr>
              <w:pStyle w:val="TableBody"/>
              <w:spacing w:before="45" w:after="45"/>
              <w:ind w:right="108"/>
              <w:rPr>
                <w:rFonts w:ascii="Arial (Body)" w:hAnsi="Arial (Body)"/>
                <w:b/>
                <w:bCs/>
                <w:color w:val="265A9A"/>
              </w:rPr>
            </w:pPr>
            <w:r w:rsidRPr="00971F8F">
              <w:rPr>
                <w:rFonts w:ascii="Arial (Body)" w:hAnsi="Arial (Body)"/>
                <w:b/>
                <w:bCs/>
                <w:color w:val="265A9A"/>
              </w:rPr>
              <w:t>DCCEEW</w:t>
            </w:r>
          </w:p>
        </w:tc>
        <w:tc>
          <w:tcPr>
            <w:tcW w:w="4118" w:type="pct"/>
            <w:tcBorders>
              <w:top w:val="nil"/>
              <w:bottom w:val="nil"/>
            </w:tcBorders>
            <w:shd w:val="clear" w:color="000000" w:fill="auto"/>
          </w:tcPr>
          <w:p w14:paraId="76F949EF" w14:textId="2E4A2DE7" w:rsidR="00DC44E7" w:rsidRPr="00971F8F" w:rsidRDefault="00BA58D5" w:rsidP="00971F8F">
            <w:pPr>
              <w:pStyle w:val="TableBody"/>
              <w:spacing w:before="45" w:after="45"/>
              <w:ind w:right="108"/>
              <w:rPr>
                <w:rFonts w:ascii="Arial (Body)" w:hAnsi="Arial (Body)"/>
                <w:color w:val="000000"/>
              </w:rPr>
            </w:pPr>
            <w:r w:rsidRPr="00971F8F">
              <w:rPr>
                <w:rFonts w:ascii="Arial (Body)" w:hAnsi="Arial (Body)"/>
                <w:color w:val="000000"/>
              </w:rPr>
              <w:t>Department of Climate Change</w:t>
            </w:r>
            <w:r w:rsidR="006E0D22" w:rsidRPr="00971F8F">
              <w:rPr>
                <w:rFonts w:ascii="Arial (Body)" w:hAnsi="Arial (Body)"/>
                <w:color w:val="000000"/>
              </w:rPr>
              <w:t>, Energy, the Environment and Water</w:t>
            </w:r>
          </w:p>
        </w:tc>
      </w:tr>
      <w:tr w:rsidR="00DC44E7" w:rsidRPr="00971F8F" w14:paraId="6D8AE2AC" w14:textId="77777777" w:rsidTr="00971F8F">
        <w:tc>
          <w:tcPr>
            <w:tcW w:w="882" w:type="pct"/>
            <w:tcBorders>
              <w:bottom w:val="nil"/>
            </w:tcBorders>
            <w:shd w:val="clear" w:color="000000" w:fill="F2F2F2"/>
          </w:tcPr>
          <w:p w14:paraId="1BA788FF" w14:textId="1E5DC09F" w:rsidR="00DC44E7" w:rsidRPr="00971F8F" w:rsidRDefault="00E14C84" w:rsidP="00971F8F">
            <w:pPr>
              <w:pStyle w:val="TableBody"/>
              <w:spacing w:before="45" w:after="45"/>
              <w:ind w:right="108"/>
              <w:rPr>
                <w:rFonts w:ascii="Arial (Body)" w:hAnsi="Arial (Body)"/>
                <w:b/>
                <w:bCs/>
                <w:color w:val="265A9A"/>
              </w:rPr>
            </w:pPr>
            <w:r w:rsidRPr="00971F8F">
              <w:rPr>
                <w:rFonts w:ascii="Arial (Body)" w:hAnsi="Arial (Body)"/>
                <w:b/>
                <w:bCs/>
                <w:color w:val="265A9A"/>
              </w:rPr>
              <w:t>DFAT</w:t>
            </w:r>
          </w:p>
        </w:tc>
        <w:tc>
          <w:tcPr>
            <w:tcW w:w="4118" w:type="pct"/>
            <w:tcBorders>
              <w:bottom w:val="nil"/>
            </w:tcBorders>
            <w:shd w:val="clear" w:color="000000" w:fill="F2F2F2"/>
          </w:tcPr>
          <w:p w14:paraId="053F6ED0" w14:textId="6CE169B4" w:rsidR="00DC44E7" w:rsidRPr="00971F8F" w:rsidRDefault="006E0D22" w:rsidP="00971F8F">
            <w:pPr>
              <w:pStyle w:val="TableBody"/>
              <w:spacing w:before="45" w:after="45"/>
              <w:ind w:right="108"/>
              <w:rPr>
                <w:rFonts w:ascii="Arial (Body)" w:hAnsi="Arial (Body)"/>
                <w:color w:val="000000"/>
              </w:rPr>
            </w:pPr>
            <w:r w:rsidRPr="00971F8F">
              <w:rPr>
                <w:rFonts w:ascii="Arial (Body)" w:hAnsi="Arial (Body)"/>
                <w:color w:val="000000"/>
              </w:rPr>
              <w:t xml:space="preserve">Department of </w:t>
            </w:r>
            <w:r w:rsidR="00CC519F" w:rsidRPr="00971F8F">
              <w:rPr>
                <w:rFonts w:ascii="Arial (Body)" w:hAnsi="Arial (Body)"/>
                <w:color w:val="000000"/>
              </w:rPr>
              <w:t>Foreign Affairs and Trade</w:t>
            </w:r>
          </w:p>
        </w:tc>
      </w:tr>
      <w:tr w:rsidR="00DC44E7" w:rsidRPr="00971F8F" w14:paraId="2A36AD3C" w14:textId="77777777" w:rsidTr="00971F8F">
        <w:tc>
          <w:tcPr>
            <w:tcW w:w="882" w:type="pct"/>
            <w:tcBorders>
              <w:top w:val="nil"/>
              <w:bottom w:val="nil"/>
            </w:tcBorders>
            <w:shd w:val="clear" w:color="000000" w:fill="auto"/>
          </w:tcPr>
          <w:p w14:paraId="0AD6183D" w14:textId="3A3DAC51" w:rsidR="00DC44E7" w:rsidRPr="00971F8F" w:rsidRDefault="00E14C84" w:rsidP="00971F8F">
            <w:pPr>
              <w:pStyle w:val="TableBody"/>
              <w:spacing w:before="45" w:after="45"/>
              <w:ind w:right="108"/>
              <w:rPr>
                <w:rFonts w:ascii="Arial (Body)" w:hAnsi="Arial (Body)"/>
                <w:b/>
                <w:bCs/>
                <w:color w:val="265A9A"/>
              </w:rPr>
            </w:pPr>
            <w:r w:rsidRPr="00971F8F">
              <w:rPr>
                <w:rFonts w:ascii="Arial (Body)" w:hAnsi="Arial (Body)"/>
                <w:b/>
                <w:bCs/>
                <w:color w:val="265A9A"/>
              </w:rPr>
              <w:t>DITRDCA</w:t>
            </w:r>
          </w:p>
        </w:tc>
        <w:tc>
          <w:tcPr>
            <w:tcW w:w="4118" w:type="pct"/>
            <w:tcBorders>
              <w:top w:val="nil"/>
              <w:bottom w:val="nil"/>
            </w:tcBorders>
            <w:shd w:val="clear" w:color="000000" w:fill="auto"/>
          </w:tcPr>
          <w:p w14:paraId="526C9255" w14:textId="574ECB09" w:rsidR="00DC44E7" w:rsidRPr="00971F8F" w:rsidRDefault="007839ED" w:rsidP="00971F8F">
            <w:pPr>
              <w:pStyle w:val="TableBody"/>
              <w:spacing w:before="45" w:after="45"/>
              <w:ind w:right="108"/>
              <w:rPr>
                <w:rFonts w:ascii="Arial (Body)" w:hAnsi="Arial (Body)"/>
                <w:color w:val="000000"/>
              </w:rPr>
            </w:pPr>
            <w:r w:rsidRPr="00971F8F">
              <w:rPr>
                <w:rFonts w:ascii="Arial (Body)" w:hAnsi="Arial (Body)"/>
                <w:color w:val="000000"/>
              </w:rPr>
              <w:t xml:space="preserve">Department </w:t>
            </w:r>
            <w:r w:rsidR="00BF72A5" w:rsidRPr="00971F8F">
              <w:rPr>
                <w:rFonts w:ascii="Arial (Body)" w:hAnsi="Arial (Body)"/>
                <w:color w:val="000000"/>
              </w:rPr>
              <w:t>of Infrastructure, Transport, Regional Development, Communication and the Arts</w:t>
            </w:r>
          </w:p>
        </w:tc>
      </w:tr>
      <w:tr w:rsidR="00D553A5" w:rsidRPr="00971F8F" w14:paraId="2BE6CEAE" w14:textId="77777777" w:rsidTr="00971F8F">
        <w:tc>
          <w:tcPr>
            <w:tcW w:w="882" w:type="pct"/>
            <w:tcBorders>
              <w:bottom w:val="nil"/>
            </w:tcBorders>
            <w:shd w:val="clear" w:color="000000" w:fill="F2F2F2"/>
          </w:tcPr>
          <w:p w14:paraId="75291D52" w14:textId="5B8E87B0" w:rsidR="00D553A5"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DWL</w:t>
            </w:r>
          </w:p>
        </w:tc>
        <w:tc>
          <w:tcPr>
            <w:tcW w:w="4118" w:type="pct"/>
            <w:tcBorders>
              <w:bottom w:val="nil"/>
            </w:tcBorders>
            <w:shd w:val="clear" w:color="000000" w:fill="F2F2F2"/>
          </w:tcPr>
          <w:p w14:paraId="4556BEE9" w14:textId="3BB03F09" w:rsidR="00D553A5" w:rsidRPr="00971F8F" w:rsidRDefault="00CA0BC8" w:rsidP="00971F8F">
            <w:pPr>
              <w:pStyle w:val="TableBody"/>
              <w:spacing w:before="45" w:after="45"/>
              <w:ind w:right="108"/>
              <w:rPr>
                <w:rFonts w:ascii="Arial (Body)" w:hAnsi="Arial (Body)"/>
                <w:color w:val="000000"/>
              </w:rPr>
            </w:pPr>
            <w:r w:rsidRPr="00971F8F">
              <w:rPr>
                <w:rFonts w:ascii="Arial (Body)" w:hAnsi="Arial (Body)"/>
                <w:color w:val="000000"/>
              </w:rPr>
              <w:t>Deadweight loss</w:t>
            </w:r>
          </w:p>
        </w:tc>
      </w:tr>
      <w:tr w:rsidR="0088478A" w:rsidRPr="00971F8F" w14:paraId="7D55763C" w14:textId="77777777" w:rsidTr="00971F8F">
        <w:tc>
          <w:tcPr>
            <w:tcW w:w="882" w:type="pct"/>
            <w:tcBorders>
              <w:top w:val="nil"/>
              <w:bottom w:val="nil"/>
            </w:tcBorders>
            <w:shd w:val="clear" w:color="000000" w:fill="auto"/>
          </w:tcPr>
          <w:p w14:paraId="559EEFD4" w14:textId="77777777" w:rsidR="0088478A"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EFA</w:t>
            </w:r>
          </w:p>
        </w:tc>
        <w:tc>
          <w:tcPr>
            <w:tcW w:w="4118" w:type="pct"/>
            <w:tcBorders>
              <w:top w:val="nil"/>
              <w:bottom w:val="nil"/>
            </w:tcBorders>
            <w:shd w:val="clear" w:color="000000" w:fill="auto"/>
          </w:tcPr>
          <w:p w14:paraId="4D6380EA" w14:textId="2AC18ECF" w:rsidR="0088478A" w:rsidRPr="00971F8F" w:rsidRDefault="003232BF" w:rsidP="00971F8F">
            <w:pPr>
              <w:pStyle w:val="TableBody"/>
              <w:spacing w:before="45" w:after="45"/>
              <w:ind w:right="108"/>
              <w:rPr>
                <w:rFonts w:ascii="Arial (Body)" w:hAnsi="Arial (Body)"/>
                <w:color w:val="000000"/>
              </w:rPr>
            </w:pPr>
            <w:r w:rsidRPr="00971F8F">
              <w:rPr>
                <w:rFonts w:ascii="Arial (Body)" w:hAnsi="Arial (Body)"/>
                <w:color w:val="000000"/>
              </w:rPr>
              <w:t>Export Finance Australia</w:t>
            </w:r>
          </w:p>
        </w:tc>
      </w:tr>
      <w:tr w:rsidR="0088478A" w:rsidRPr="00971F8F" w14:paraId="0921F1F0" w14:textId="77777777" w:rsidTr="00971F8F">
        <w:tc>
          <w:tcPr>
            <w:tcW w:w="882" w:type="pct"/>
            <w:tcBorders>
              <w:bottom w:val="nil"/>
            </w:tcBorders>
            <w:shd w:val="clear" w:color="000000" w:fill="F2F2F2"/>
          </w:tcPr>
          <w:p w14:paraId="629936EF" w14:textId="7E1FFC94" w:rsidR="0088478A"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EU</w:t>
            </w:r>
          </w:p>
        </w:tc>
        <w:tc>
          <w:tcPr>
            <w:tcW w:w="4118" w:type="pct"/>
            <w:tcBorders>
              <w:bottom w:val="nil"/>
            </w:tcBorders>
            <w:shd w:val="clear" w:color="000000" w:fill="F2F2F2"/>
          </w:tcPr>
          <w:p w14:paraId="2ADD5C12" w14:textId="6321DED3" w:rsidR="0088478A" w:rsidRPr="00971F8F" w:rsidRDefault="002763CE" w:rsidP="00971F8F">
            <w:pPr>
              <w:pStyle w:val="TableBody"/>
              <w:spacing w:before="45" w:after="45"/>
              <w:ind w:right="108"/>
              <w:rPr>
                <w:rFonts w:ascii="Arial (Body)" w:hAnsi="Arial (Body)"/>
                <w:color w:val="000000"/>
              </w:rPr>
            </w:pPr>
            <w:r w:rsidRPr="00971F8F">
              <w:rPr>
                <w:rFonts w:ascii="Arial (Body)" w:hAnsi="Arial (Body)"/>
                <w:color w:val="000000"/>
              </w:rPr>
              <w:t>European Union</w:t>
            </w:r>
          </w:p>
        </w:tc>
      </w:tr>
      <w:tr w:rsidR="00A6249C" w:rsidRPr="00971F8F" w14:paraId="7DEA34DB" w14:textId="77777777" w:rsidTr="00971F8F">
        <w:tc>
          <w:tcPr>
            <w:tcW w:w="882" w:type="pct"/>
            <w:tcBorders>
              <w:top w:val="nil"/>
              <w:bottom w:val="nil"/>
            </w:tcBorders>
            <w:shd w:val="clear" w:color="000000" w:fill="auto"/>
          </w:tcPr>
          <w:p w14:paraId="50943CBA" w14:textId="44FD1898" w:rsidR="00A6249C" w:rsidRPr="00971F8F" w:rsidRDefault="00A6249C" w:rsidP="00971F8F">
            <w:pPr>
              <w:pStyle w:val="TableBody"/>
              <w:spacing w:before="45" w:after="45"/>
              <w:ind w:right="108"/>
              <w:rPr>
                <w:rFonts w:ascii="Arial (Body)" w:hAnsi="Arial (Body)"/>
                <w:b/>
                <w:bCs/>
                <w:color w:val="265A9A"/>
              </w:rPr>
            </w:pPr>
            <w:r w:rsidRPr="00971F8F">
              <w:rPr>
                <w:rFonts w:ascii="Arial (Body)" w:hAnsi="Arial (Body)"/>
                <w:b/>
                <w:bCs/>
                <w:color w:val="265A9A"/>
              </w:rPr>
              <w:t>FATA</w:t>
            </w:r>
          </w:p>
        </w:tc>
        <w:tc>
          <w:tcPr>
            <w:tcW w:w="4118" w:type="pct"/>
            <w:tcBorders>
              <w:top w:val="nil"/>
              <w:bottom w:val="nil"/>
            </w:tcBorders>
            <w:shd w:val="clear" w:color="000000" w:fill="auto"/>
          </w:tcPr>
          <w:p w14:paraId="61EA8B2D" w14:textId="5323DCC8" w:rsidR="00A6249C" w:rsidRPr="00971F8F" w:rsidRDefault="00A6249C" w:rsidP="00971F8F">
            <w:pPr>
              <w:pStyle w:val="TableBody"/>
              <w:spacing w:before="45" w:after="45"/>
              <w:ind w:right="108"/>
              <w:rPr>
                <w:rFonts w:ascii="Arial (Body)" w:hAnsi="Arial (Body)"/>
                <w:color w:val="000000"/>
              </w:rPr>
            </w:pPr>
            <w:r w:rsidRPr="00971F8F">
              <w:rPr>
                <w:rFonts w:ascii="Arial (Body)" w:hAnsi="Arial (Body)"/>
                <w:iCs/>
                <w:color w:val="000000"/>
              </w:rPr>
              <w:t>Foreign Acquisition</w:t>
            </w:r>
            <w:r w:rsidR="000B2578" w:rsidRPr="00971F8F">
              <w:rPr>
                <w:rFonts w:ascii="Arial (Body)" w:hAnsi="Arial (Body)"/>
                <w:iCs/>
                <w:color w:val="000000"/>
              </w:rPr>
              <w:t>s</w:t>
            </w:r>
            <w:r w:rsidRPr="00971F8F">
              <w:rPr>
                <w:rFonts w:ascii="Arial (Body)" w:hAnsi="Arial (Body)"/>
                <w:iCs/>
                <w:color w:val="000000"/>
              </w:rPr>
              <w:t xml:space="preserve"> and Takeovers Act </w:t>
            </w:r>
            <w:r w:rsidR="000B2578" w:rsidRPr="00971F8F">
              <w:rPr>
                <w:rFonts w:ascii="Arial (Body)" w:hAnsi="Arial (Body)"/>
                <w:iCs/>
                <w:color w:val="000000"/>
              </w:rPr>
              <w:t xml:space="preserve">1975 </w:t>
            </w:r>
            <w:r w:rsidR="000B2578" w:rsidRPr="00971F8F">
              <w:rPr>
                <w:rFonts w:ascii="Arial (Body)" w:hAnsi="Arial (Body)"/>
                <w:color w:val="000000"/>
              </w:rPr>
              <w:t>(Cth)</w:t>
            </w:r>
          </w:p>
        </w:tc>
      </w:tr>
      <w:tr w:rsidR="0088478A" w:rsidRPr="00971F8F" w14:paraId="093F31C4" w14:textId="77777777" w:rsidTr="00971F8F">
        <w:tc>
          <w:tcPr>
            <w:tcW w:w="882" w:type="pct"/>
            <w:tcBorders>
              <w:bottom w:val="nil"/>
            </w:tcBorders>
            <w:shd w:val="clear" w:color="000000" w:fill="F2F2F2"/>
          </w:tcPr>
          <w:p w14:paraId="63A1E95D" w14:textId="60C5B43A" w:rsidR="0088478A"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FDI</w:t>
            </w:r>
          </w:p>
        </w:tc>
        <w:tc>
          <w:tcPr>
            <w:tcW w:w="4118" w:type="pct"/>
            <w:tcBorders>
              <w:bottom w:val="nil"/>
            </w:tcBorders>
            <w:shd w:val="clear" w:color="000000" w:fill="F2F2F2"/>
          </w:tcPr>
          <w:p w14:paraId="558277EA" w14:textId="320E3A87" w:rsidR="0088478A" w:rsidRPr="00971F8F" w:rsidRDefault="00A50FD6" w:rsidP="00971F8F">
            <w:pPr>
              <w:pStyle w:val="TableBody"/>
              <w:spacing w:before="45" w:after="45"/>
              <w:ind w:right="108"/>
              <w:rPr>
                <w:rFonts w:ascii="Arial (Body)" w:hAnsi="Arial (Body)"/>
                <w:color w:val="000000"/>
              </w:rPr>
            </w:pPr>
            <w:r w:rsidRPr="00971F8F">
              <w:rPr>
                <w:rFonts w:ascii="Arial (Body)" w:hAnsi="Arial (Body)"/>
                <w:color w:val="000000"/>
              </w:rPr>
              <w:t xml:space="preserve">Foreign </w:t>
            </w:r>
            <w:r w:rsidR="00F95AFB" w:rsidRPr="00971F8F">
              <w:rPr>
                <w:rFonts w:ascii="Arial (Body)" w:hAnsi="Arial (Body)"/>
                <w:color w:val="000000"/>
              </w:rPr>
              <w:t>Direct Inves</w:t>
            </w:r>
            <w:r w:rsidR="00D95B77" w:rsidRPr="00971F8F">
              <w:rPr>
                <w:rFonts w:ascii="Arial (Body)" w:hAnsi="Arial (Body)"/>
                <w:color w:val="000000"/>
              </w:rPr>
              <w:t>t</w:t>
            </w:r>
            <w:r w:rsidR="00F95AFB" w:rsidRPr="00971F8F">
              <w:rPr>
                <w:rFonts w:ascii="Arial (Body)" w:hAnsi="Arial (Body)"/>
                <w:color w:val="000000"/>
              </w:rPr>
              <w:t>ment</w:t>
            </w:r>
          </w:p>
        </w:tc>
      </w:tr>
      <w:tr w:rsidR="0088478A" w:rsidRPr="00971F8F" w14:paraId="6508A5FA" w14:textId="77777777" w:rsidTr="00971F8F">
        <w:tc>
          <w:tcPr>
            <w:tcW w:w="882" w:type="pct"/>
            <w:tcBorders>
              <w:top w:val="nil"/>
              <w:bottom w:val="nil"/>
            </w:tcBorders>
            <w:shd w:val="clear" w:color="000000" w:fill="auto"/>
          </w:tcPr>
          <w:p w14:paraId="169EE907" w14:textId="53EAFD5F" w:rsidR="0088478A"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FIRB</w:t>
            </w:r>
          </w:p>
        </w:tc>
        <w:tc>
          <w:tcPr>
            <w:tcW w:w="4118" w:type="pct"/>
            <w:tcBorders>
              <w:top w:val="nil"/>
              <w:bottom w:val="nil"/>
            </w:tcBorders>
            <w:shd w:val="clear" w:color="000000" w:fill="auto"/>
          </w:tcPr>
          <w:p w14:paraId="695E62FE" w14:textId="57C909C0" w:rsidR="0088478A" w:rsidRPr="00971F8F" w:rsidRDefault="00D95B77" w:rsidP="00971F8F">
            <w:pPr>
              <w:pStyle w:val="TableBody"/>
              <w:spacing w:before="45" w:after="45"/>
              <w:ind w:right="108"/>
              <w:rPr>
                <w:rFonts w:ascii="Arial (Body)" w:hAnsi="Arial (Body)"/>
                <w:color w:val="000000"/>
              </w:rPr>
            </w:pPr>
            <w:r w:rsidRPr="00971F8F">
              <w:rPr>
                <w:rFonts w:ascii="Arial (Body)" w:hAnsi="Arial (Body)"/>
                <w:color w:val="000000"/>
              </w:rPr>
              <w:t>Foreign Investment Review Board</w:t>
            </w:r>
          </w:p>
        </w:tc>
      </w:tr>
      <w:tr w:rsidR="0088478A" w:rsidRPr="00971F8F" w14:paraId="7F954806" w14:textId="77777777" w:rsidTr="00971F8F">
        <w:tc>
          <w:tcPr>
            <w:tcW w:w="882" w:type="pct"/>
            <w:tcBorders>
              <w:bottom w:val="nil"/>
            </w:tcBorders>
            <w:shd w:val="clear" w:color="000000" w:fill="F2F2F2"/>
          </w:tcPr>
          <w:p w14:paraId="2487B191" w14:textId="5AF76E9C" w:rsidR="0088478A"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FMIA</w:t>
            </w:r>
          </w:p>
        </w:tc>
        <w:tc>
          <w:tcPr>
            <w:tcW w:w="4118" w:type="pct"/>
            <w:tcBorders>
              <w:bottom w:val="nil"/>
            </w:tcBorders>
            <w:shd w:val="clear" w:color="000000" w:fill="F2F2F2"/>
          </w:tcPr>
          <w:p w14:paraId="04B3C4E5" w14:textId="2EBA77C2" w:rsidR="0088478A" w:rsidRPr="00971F8F" w:rsidRDefault="0060402D" w:rsidP="00971F8F">
            <w:pPr>
              <w:pStyle w:val="TableBody"/>
              <w:spacing w:before="45" w:after="45"/>
              <w:ind w:right="108"/>
              <w:rPr>
                <w:rFonts w:ascii="Arial (Body)" w:hAnsi="Arial (Body)"/>
                <w:color w:val="000000"/>
              </w:rPr>
            </w:pPr>
            <w:r w:rsidRPr="00971F8F">
              <w:rPr>
                <w:rFonts w:ascii="Arial (Body)" w:hAnsi="Arial (Body)"/>
                <w:color w:val="000000"/>
              </w:rPr>
              <w:t>Future Made in Australia</w:t>
            </w:r>
          </w:p>
        </w:tc>
      </w:tr>
      <w:tr w:rsidR="0088478A" w:rsidRPr="00971F8F" w14:paraId="6592F725" w14:textId="77777777" w:rsidTr="00971F8F">
        <w:tc>
          <w:tcPr>
            <w:tcW w:w="882" w:type="pct"/>
            <w:tcBorders>
              <w:top w:val="nil"/>
              <w:bottom w:val="nil"/>
            </w:tcBorders>
            <w:shd w:val="clear" w:color="000000" w:fill="auto"/>
          </w:tcPr>
          <w:p w14:paraId="36F80546" w14:textId="6F3A85ED" w:rsidR="0088478A" w:rsidRPr="00971F8F" w:rsidRDefault="0088478A" w:rsidP="00971F8F">
            <w:pPr>
              <w:pStyle w:val="TableBody"/>
              <w:spacing w:before="45" w:after="45"/>
              <w:ind w:right="108"/>
              <w:rPr>
                <w:rFonts w:ascii="Arial (Body)" w:hAnsi="Arial (Body)"/>
                <w:b/>
                <w:bCs/>
                <w:color w:val="265A9A"/>
              </w:rPr>
            </w:pPr>
            <w:r w:rsidRPr="00971F8F">
              <w:rPr>
                <w:rFonts w:ascii="Arial (Body)" w:hAnsi="Arial (Body)"/>
                <w:b/>
                <w:bCs/>
                <w:color w:val="265A9A"/>
              </w:rPr>
              <w:t>FTA</w:t>
            </w:r>
          </w:p>
        </w:tc>
        <w:tc>
          <w:tcPr>
            <w:tcW w:w="4118" w:type="pct"/>
            <w:tcBorders>
              <w:top w:val="nil"/>
              <w:bottom w:val="nil"/>
            </w:tcBorders>
            <w:shd w:val="clear" w:color="000000" w:fill="auto"/>
          </w:tcPr>
          <w:p w14:paraId="63EF1203" w14:textId="175BCD7E" w:rsidR="0088478A" w:rsidRPr="00971F8F" w:rsidRDefault="007C4F96" w:rsidP="00971F8F">
            <w:pPr>
              <w:pStyle w:val="TableBody"/>
              <w:spacing w:before="45" w:after="45"/>
              <w:ind w:right="108"/>
              <w:rPr>
                <w:rFonts w:ascii="Arial (Body)" w:hAnsi="Arial (Body)"/>
                <w:color w:val="000000"/>
              </w:rPr>
            </w:pPr>
            <w:r w:rsidRPr="00971F8F">
              <w:rPr>
                <w:rFonts w:ascii="Arial (Body)" w:hAnsi="Arial (Body)"/>
                <w:color w:val="000000"/>
              </w:rPr>
              <w:t>Free Trade Agreement</w:t>
            </w:r>
          </w:p>
        </w:tc>
      </w:tr>
      <w:tr w:rsidR="0088478A" w:rsidRPr="00971F8F" w14:paraId="443A8AEB" w14:textId="77777777" w:rsidTr="00971F8F">
        <w:tc>
          <w:tcPr>
            <w:tcW w:w="882" w:type="pct"/>
            <w:tcBorders>
              <w:bottom w:val="nil"/>
            </w:tcBorders>
            <w:shd w:val="clear" w:color="000000" w:fill="F2F2F2"/>
          </w:tcPr>
          <w:p w14:paraId="2613BF2B" w14:textId="0CB9DCB9" w:rsidR="0088478A" w:rsidRPr="00971F8F" w:rsidRDefault="00E13661" w:rsidP="00971F8F">
            <w:pPr>
              <w:pStyle w:val="TableBody"/>
              <w:spacing w:before="45" w:after="45"/>
              <w:ind w:right="108"/>
              <w:rPr>
                <w:rFonts w:ascii="Arial (Body)" w:hAnsi="Arial (Body)"/>
                <w:b/>
                <w:bCs/>
                <w:color w:val="265A9A"/>
              </w:rPr>
            </w:pPr>
            <w:r w:rsidRPr="00971F8F">
              <w:rPr>
                <w:rFonts w:ascii="Arial (Body)" w:hAnsi="Arial (Body)"/>
                <w:b/>
                <w:bCs/>
                <w:color w:val="265A9A"/>
              </w:rPr>
              <w:t>FWC</w:t>
            </w:r>
          </w:p>
        </w:tc>
        <w:tc>
          <w:tcPr>
            <w:tcW w:w="4118" w:type="pct"/>
            <w:tcBorders>
              <w:bottom w:val="nil"/>
            </w:tcBorders>
            <w:shd w:val="clear" w:color="000000" w:fill="F2F2F2"/>
          </w:tcPr>
          <w:p w14:paraId="5E99901D" w14:textId="3DEBEDC7" w:rsidR="0088478A" w:rsidRPr="00971F8F" w:rsidRDefault="00711BFF" w:rsidP="00971F8F">
            <w:pPr>
              <w:pStyle w:val="TableBody"/>
              <w:spacing w:before="45" w:after="45"/>
              <w:ind w:right="108"/>
              <w:rPr>
                <w:rFonts w:ascii="Arial (Body)" w:hAnsi="Arial (Body)"/>
                <w:color w:val="000000"/>
              </w:rPr>
            </w:pPr>
            <w:r w:rsidRPr="00971F8F">
              <w:rPr>
                <w:rFonts w:ascii="Arial (Body)" w:hAnsi="Arial (Body)"/>
                <w:color w:val="000000"/>
              </w:rPr>
              <w:t>Fair Work Commission</w:t>
            </w:r>
          </w:p>
        </w:tc>
      </w:tr>
      <w:tr w:rsidR="0088478A" w:rsidRPr="00971F8F" w14:paraId="7DF38083" w14:textId="77777777" w:rsidTr="00971F8F">
        <w:tc>
          <w:tcPr>
            <w:tcW w:w="882" w:type="pct"/>
            <w:tcBorders>
              <w:top w:val="nil"/>
              <w:bottom w:val="nil"/>
            </w:tcBorders>
            <w:shd w:val="clear" w:color="000000" w:fill="auto"/>
          </w:tcPr>
          <w:p w14:paraId="3A0EF337" w14:textId="209827EC" w:rsidR="0088478A" w:rsidRPr="00971F8F" w:rsidRDefault="00E13661" w:rsidP="00971F8F">
            <w:pPr>
              <w:pStyle w:val="TableBody"/>
              <w:spacing w:before="45" w:after="45"/>
              <w:ind w:right="108"/>
              <w:rPr>
                <w:rFonts w:ascii="Arial (Body)" w:hAnsi="Arial (Body)"/>
                <w:b/>
                <w:bCs/>
                <w:color w:val="265A9A"/>
              </w:rPr>
            </w:pPr>
            <w:r w:rsidRPr="00971F8F">
              <w:rPr>
                <w:rFonts w:ascii="Arial (Body)" w:hAnsi="Arial (Body)"/>
                <w:b/>
                <w:bCs/>
                <w:color w:val="265A9A"/>
              </w:rPr>
              <w:t>GDA</w:t>
            </w:r>
          </w:p>
        </w:tc>
        <w:tc>
          <w:tcPr>
            <w:tcW w:w="4118" w:type="pct"/>
            <w:tcBorders>
              <w:top w:val="nil"/>
              <w:bottom w:val="nil"/>
            </w:tcBorders>
            <w:shd w:val="clear" w:color="000000" w:fill="auto"/>
          </w:tcPr>
          <w:p w14:paraId="6A95553A" w14:textId="1C5A008C" w:rsidR="0088478A" w:rsidRPr="00971F8F" w:rsidRDefault="00CB6816" w:rsidP="00971F8F">
            <w:pPr>
              <w:pStyle w:val="TableBody"/>
              <w:spacing w:before="45" w:after="45"/>
              <w:ind w:right="108"/>
              <w:rPr>
                <w:rFonts w:ascii="Arial (Body)" w:hAnsi="Arial (Body)"/>
                <w:color w:val="000000"/>
              </w:rPr>
            </w:pPr>
            <w:r w:rsidRPr="00971F8F">
              <w:rPr>
                <w:rFonts w:ascii="Arial (Body)" w:hAnsi="Arial (Body)"/>
                <w:color w:val="000000"/>
              </w:rPr>
              <w:t xml:space="preserve">Gross </w:t>
            </w:r>
            <w:r w:rsidR="00891A43">
              <w:rPr>
                <w:rFonts w:ascii="Arial (Body)" w:hAnsi="Arial (Body)"/>
                <w:color w:val="000000"/>
              </w:rPr>
              <w:t>D</w:t>
            </w:r>
            <w:r w:rsidRPr="00971F8F">
              <w:rPr>
                <w:rFonts w:ascii="Arial (Body)" w:hAnsi="Arial (Body)"/>
                <w:color w:val="000000"/>
              </w:rPr>
              <w:t xml:space="preserve">omestic </w:t>
            </w:r>
            <w:r w:rsidR="00891A43">
              <w:rPr>
                <w:rFonts w:ascii="Arial (Body)" w:hAnsi="Arial (Body)"/>
                <w:color w:val="000000"/>
              </w:rPr>
              <w:t>A</w:t>
            </w:r>
            <w:r w:rsidRPr="00971F8F">
              <w:rPr>
                <w:rFonts w:ascii="Arial (Body)" w:hAnsi="Arial (Body)"/>
                <w:color w:val="000000"/>
              </w:rPr>
              <w:t>bsorption</w:t>
            </w:r>
          </w:p>
        </w:tc>
      </w:tr>
      <w:tr w:rsidR="0088478A" w:rsidRPr="00971F8F" w14:paraId="78DA3280" w14:textId="77777777" w:rsidTr="00971F8F">
        <w:tc>
          <w:tcPr>
            <w:tcW w:w="882" w:type="pct"/>
            <w:tcBorders>
              <w:bottom w:val="nil"/>
            </w:tcBorders>
            <w:shd w:val="clear" w:color="000000" w:fill="F2F2F2"/>
          </w:tcPr>
          <w:p w14:paraId="0734D346" w14:textId="17BB1728" w:rsidR="0088478A" w:rsidRPr="00971F8F" w:rsidRDefault="00E13661" w:rsidP="00971F8F">
            <w:pPr>
              <w:pStyle w:val="TableBody"/>
              <w:spacing w:before="45" w:after="45"/>
              <w:ind w:right="108"/>
              <w:rPr>
                <w:rFonts w:ascii="Arial (Body)" w:hAnsi="Arial (Body)"/>
                <w:b/>
                <w:bCs/>
                <w:color w:val="265A9A"/>
              </w:rPr>
            </w:pPr>
            <w:r w:rsidRPr="00971F8F">
              <w:rPr>
                <w:rFonts w:ascii="Arial (Body)" w:hAnsi="Arial (Body)"/>
                <w:b/>
                <w:bCs/>
                <w:color w:val="265A9A"/>
              </w:rPr>
              <w:t>GDP</w:t>
            </w:r>
          </w:p>
        </w:tc>
        <w:tc>
          <w:tcPr>
            <w:tcW w:w="4118" w:type="pct"/>
            <w:tcBorders>
              <w:bottom w:val="nil"/>
            </w:tcBorders>
            <w:shd w:val="clear" w:color="000000" w:fill="F2F2F2"/>
          </w:tcPr>
          <w:p w14:paraId="1099D702" w14:textId="61B69F41" w:rsidR="0088478A" w:rsidRPr="00971F8F" w:rsidRDefault="00561569" w:rsidP="00971F8F">
            <w:pPr>
              <w:pStyle w:val="TableBody"/>
              <w:spacing w:before="45" w:after="45"/>
              <w:ind w:right="108"/>
              <w:rPr>
                <w:rFonts w:ascii="Arial (Body)" w:hAnsi="Arial (Body)"/>
                <w:color w:val="000000"/>
              </w:rPr>
            </w:pPr>
            <w:r w:rsidRPr="00971F8F">
              <w:rPr>
                <w:rFonts w:ascii="Arial (Body)" w:hAnsi="Arial (Body)"/>
                <w:color w:val="000000"/>
              </w:rPr>
              <w:t>Gross Domestic Product</w:t>
            </w:r>
          </w:p>
        </w:tc>
      </w:tr>
      <w:tr w:rsidR="0088478A" w:rsidRPr="00971F8F" w14:paraId="66F1348D" w14:textId="77777777" w:rsidTr="00971F8F">
        <w:tc>
          <w:tcPr>
            <w:tcW w:w="882" w:type="pct"/>
            <w:tcBorders>
              <w:top w:val="nil"/>
              <w:bottom w:val="nil"/>
            </w:tcBorders>
            <w:shd w:val="clear" w:color="000000" w:fill="auto"/>
          </w:tcPr>
          <w:p w14:paraId="1420EC54" w14:textId="4626C448" w:rsidR="0088478A" w:rsidRPr="00971F8F" w:rsidRDefault="00E13661" w:rsidP="00971F8F">
            <w:pPr>
              <w:pStyle w:val="TableBody"/>
              <w:spacing w:before="45" w:after="45"/>
              <w:ind w:right="108"/>
              <w:rPr>
                <w:rFonts w:ascii="Arial (Body)" w:hAnsi="Arial (Body)"/>
                <w:b/>
                <w:bCs/>
                <w:color w:val="265A9A"/>
              </w:rPr>
            </w:pPr>
            <w:r w:rsidRPr="00971F8F">
              <w:rPr>
                <w:rFonts w:ascii="Arial (Body)" w:hAnsi="Arial (Body)"/>
                <w:b/>
                <w:bCs/>
                <w:color w:val="265A9A"/>
              </w:rPr>
              <w:lastRenderedPageBreak/>
              <w:t>GNA</w:t>
            </w:r>
          </w:p>
        </w:tc>
        <w:tc>
          <w:tcPr>
            <w:tcW w:w="4118" w:type="pct"/>
            <w:tcBorders>
              <w:top w:val="nil"/>
              <w:bottom w:val="nil"/>
            </w:tcBorders>
            <w:shd w:val="clear" w:color="000000" w:fill="auto"/>
          </w:tcPr>
          <w:p w14:paraId="4E171799" w14:textId="50D94221" w:rsidR="0088478A" w:rsidRPr="00971F8F" w:rsidRDefault="00121DBF" w:rsidP="00971F8F">
            <w:pPr>
              <w:pStyle w:val="TableBody"/>
              <w:spacing w:before="45" w:after="45"/>
              <w:ind w:right="108"/>
              <w:rPr>
                <w:rFonts w:ascii="Arial (Body)" w:hAnsi="Arial (Body)"/>
                <w:color w:val="000000"/>
              </w:rPr>
            </w:pPr>
            <w:r w:rsidRPr="00971F8F">
              <w:rPr>
                <w:rFonts w:ascii="Arial (Body)" w:hAnsi="Arial (Body)"/>
                <w:color w:val="000000"/>
              </w:rPr>
              <w:t xml:space="preserve">Gross </w:t>
            </w:r>
            <w:r w:rsidR="004C6154">
              <w:rPr>
                <w:rFonts w:ascii="Arial (Body)" w:hAnsi="Arial (Body)"/>
                <w:color w:val="000000"/>
              </w:rPr>
              <w:t>N</w:t>
            </w:r>
            <w:r w:rsidRPr="00971F8F">
              <w:rPr>
                <w:rFonts w:ascii="Arial (Body)" w:hAnsi="Arial (Body)"/>
                <w:color w:val="000000"/>
              </w:rPr>
              <w:t xml:space="preserve">ational </w:t>
            </w:r>
            <w:r w:rsidR="004C6154">
              <w:rPr>
                <w:rFonts w:ascii="Arial (Body)" w:hAnsi="Arial (Body)"/>
                <w:color w:val="000000"/>
              </w:rPr>
              <w:t>A</w:t>
            </w:r>
            <w:r w:rsidRPr="00971F8F">
              <w:rPr>
                <w:rFonts w:ascii="Arial (Body)" w:hAnsi="Arial (Body)"/>
                <w:color w:val="000000"/>
              </w:rPr>
              <w:t>bsorption</w:t>
            </w:r>
          </w:p>
        </w:tc>
      </w:tr>
      <w:tr w:rsidR="0088478A" w:rsidRPr="00971F8F" w14:paraId="2C28CBA9" w14:textId="77777777" w:rsidTr="00971F8F">
        <w:tc>
          <w:tcPr>
            <w:tcW w:w="882" w:type="pct"/>
            <w:tcBorders>
              <w:bottom w:val="nil"/>
            </w:tcBorders>
            <w:shd w:val="clear" w:color="000000" w:fill="F2F2F2"/>
          </w:tcPr>
          <w:p w14:paraId="01F3625A" w14:textId="2012D60F" w:rsidR="0088478A" w:rsidRPr="00971F8F" w:rsidRDefault="00AA5F41" w:rsidP="00971F8F">
            <w:pPr>
              <w:pStyle w:val="TableBody"/>
              <w:spacing w:before="45" w:after="45"/>
              <w:ind w:right="108"/>
              <w:rPr>
                <w:rFonts w:ascii="Arial (Body)" w:hAnsi="Arial (Body)"/>
                <w:b/>
                <w:bCs/>
                <w:color w:val="265A9A"/>
              </w:rPr>
            </w:pPr>
            <w:r w:rsidRPr="00971F8F">
              <w:rPr>
                <w:rFonts w:ascii="Arial (Body)" w:hAnsi="Arial (Body)"/>
                <w:b/>
                <w:bCs/>
                <w:color w:val="265A9A"/>
              </w:rPr>
              <w:t>GNP</w:t>
            </w:r>
          </w:p>
        </w:tc>
        <w:tc>
          <w:tcPr>
            <w:tcW w:w="4118" w:type="pct"/>
            <w:tcBorders>
              <w:bottom w:val="nil"/>
            </w:tcBorders>
            <w:shd w:val="clear" w:color="000000" w:fill="F2F2F2"/>
          </w:tcPr>
          <w:p w14:paraId="7110CA2B" w14:textId="491701A7" w:rsidR="0088478A" w:rsidRPr="00971F8F" w:rsidRDefault="001261DE" w:rsidP="00971F8F">
            <w:pPr>
              <w:pStyle w:val="TableBody"/>
              <w:spacing w:before="45" w:after="45"/>
              <w:ind w:right="108"/>
              <w:rPr>
                <w:rFonts w:ascii="Arial (Body)" w:hAnsi="Arial (Body)"/>
                <w:color w:val="000000"/>
              </w:rPr>
            </w:pPr>
            <w:r w:rsidRPr="00971F8F">
              <w:rPr>
                <w:rFonts w:ascii="Arial (Body)" w:hAnsi="Arial (Body)"/>
                <w:color w:val="000000"/>
              </w:rPr>
              <w:t xml:space="preserve">Gross </w:t>
            </w:r>
            <w:r w:rsidR="00822D71">
              <w:rPr>
                <w:rFonts w:ascii="Arial (Body)" w:hAnsi="Arial (Body)"/>
                <w:color w:val="000000"/>
              </w:rPr>
              <w:t>N</w:t>
            </w:r>
            <w:r w:rsidRPr="00971F8F">
              <w:rPr>
                <w:rFonts w:ascii="Arial (Body)" w:hAnsi="Arial (Body)"/>
                <w:color w:val="000000"/>
              </w:rPr>
              <w:t xml:space="preserve">ational </w:t>
            </w:r>
            <w:r w:rsidR="00822D71">
              <w:rPr>
                <w:rFonts w:ascii="Arial (Body)" w:hAnsi="Arial (Body)"/>
                <w:color w:val="000000"/>
              </w:rPr>
              <w:t>P</w:t>
            </w:r>
            <w:r w:rsidRPr="00971F8F">
              <w:rPr>
                <w:rFonts w:ascii="Arial (Body)" w:hAnsi="Arial (Body)"/>
                <w:color w:val="000000"/>
              </w:rPr>
              <w:t>roduct</w:t>
            </w:r>
          </w:p>
        </w:tc>
      </w:tr>
      <w:tr w:rsidR="0088478A" w:rsidRPr="00971F8F" w14:paraId="1AC10504" w14:textId="77777777" w:rsidTr="00971F8F">
        <w:tc>
          <w:tcPr>
            <w:tcW w:w="882" w:type="pct"/>
            <w:tcBorders>
              <w:top w:val="nil"/>
              <w:bottom w:val="nil"/>
            </w:tcBorders>
            <w:shd w:val="clear" w:color="000000" w:fill="auto"/>
          </w:tcPr>
          <w:p w14:paraId="14763A34" w14:textId="7A2CFC16" w:rsidR="0088478A" w:rsidRPr="00971F8F" w:rsidRDefault="00AA5F41" w:rsidP="00971F8F">
            <w:pPr>
              <w:pStyle w:val="TableBody"/>
              <w:spacing w:before="45" w:after="45"/>
              <w:ind w:right="108"/>
              <w:rPr>
                <w:rFonts w:ascii="Arial (Body)" w:hAnsi="Arial (Body)"/>
                <w:b/>
                <w:bCs/>
                <w:color w:val="265A9A"/>
              </w:rPr>
            </w:pPr>
            <w:r w:rsidRPr="00971F8F">
              <w:rPr>
                <w:rFonts w:ascii="Arial (Body)" w:hAnsi="Arial (Body)"/>
                <w:b/>
                <w:bCs/>
                <w:color w:val="265A9A"/>
              </w:rPr>
              <w:t>GST</w:t>
            </w:r>
          </w:p>
        </w:tc>
        <w:tc>
          <w:tcPr>
            <w:tcW w:w="4118" w:type="pct"/>
            <w:tcBorders>
              <w:top w:val="nil"/>
              <w:bottom w:val="nil"/>
            </w:tcBorders>
            <w:shd w:val="clear" w:color="000000" w:fill="auto"/>
          </w:tcPr>
          <w:p w14:paraId="16A388BA" w14:textId="5EB30483" w:rsidR="0088478A" w:rsidRPr="00971F8F" w:rsidRDefault="00E11B14" w:rsidP="00971F8F">
            <w:pPr>
              <w:pStyle w:val="TableBody"/>
              <w:spacing w:before="45" w:after="45"/>
              <w:ind w:right="108"/>
              <w:rPr>
                <w:rFonts w:ascii="Arial (Body)" w:hAnsi="Arial (Body)"/>
                <w:color w:val="000000"/>
              </w:rPr>
            </w:pPr>
            <w:r w:rsidRPr="00971F8F">
              <w:rPr>
                <w:rFonts w:ascii="Arial (Body)" w:hAnsi="Arial (Body)"/>
                <w:color w:val="000000"/>
              </w:rPr>
              <w:t>Goods and Services Tax</w:t>
            </w:r>
          </w:p>
        </w:tc>
      </w:tr>
      <w:tr w:rsidR="0088478A" w:rsidRPr="00971F8F" w14:paraId="17A3FEE8" w14:textId="77777777" w:rsidTr="00971F8F">
        <w:tc>
          <w:tcPr>
            <w:tcW w:w="882" w:type="pct"/>
            <w:tcBorders>
              <w:bottom w:val="nil"/>
            </w:tcBorders>
            <w:shd w:val="clear" w:color="000000" w:fill="F2F2F2"/>
          </w:tcPr>
          <w:p w14:paraId="0236C575" w14:textId="5D8DF13B" w:rsidR="0088478A" w:rsidRPr="00971F8F" w:rsidRDefault="00AA5F41" w:rsidP="00971F8F">
            <w:pPr>
              <w:pStyle w:val="TableBody"/>
              <w:spacing w:before="45" w:after="45"/>
              <w:ind w:right="108"/>
              <w:rPr>
                <w:rFonts w:ascii="Arial (Body)" w:hAnsi="Arial (Body)"/>
                <w:b/>
                <w:bCs/>
                <w:color w:val="265A9A"/>
              </w:rPr>
            </w:pPr>
            <w:r w:rsidRPr="00971F8F">
              <w:rPr>
                <w:rFonts w:ascii="Arial (Body)" w:hAnsi="Arial (Body)"/>
                <w:b/>
                <w:bCs/>
                <w:color w:val="265A9A"/>
              </w:rPr>
              <w:t>GTAP</w:t>
            </w:r>
          </w:p>
        </w:tc>
        <w:tc>
          <w:tcPr>
            <w:tcW w:w="4118" w:type="pct"/>
            <w:tcBorders>
              <w:bottom w:val="nil"/>
            </w:tcBorders>
            <w:shd w:val="clear" w:color="000000" w:fill="F2F2F2"/>
          </w:tcPr>
          <w:p w14:paraId="0A41C15F" w14:textId="19461E6F" w:rsidR="0088478A" w:rsidRPr="00971F8F" w:rsidRDefault="00903B1C" w:rsidP="00971F8F">
            <w:pPr>
              <w:pStyle w:val="TableBody"/>
              <w:spacing w:before="45" w:after="45"/>
              <w:ind w:right="108"/>
              <w:rPr>
                <w:rFonts w:ascii="Arial (Body)" w:hAnsi="Arial (Body)"/>
                <w:color w:val="000000"/>
              </w:rPr>
            </w:pPr>
            <w:r w:rsidRPr="00971F8F">
              <w:rPr>
                <w:rFonts w:ascii="Arial (Body)" w:hAnsi="Arial (Body)"/>
                <w:color w:val="000000"/>
              </w:rPr>
              <w:t xml:space="preserve">Global Trade Analysis </w:t>
            </w:r>
            <w:r w:rsidR="00676EF4" w:rsidRPr="00971F8F">
              <w:rPr>
                <w:rFonts w:ascii="Arial (Body)" w:hAnsi="Arial (Body)"/>
                <w:color w:val="000000"/>
              </w:rPr>
              <w:t>Project</w:t>
            </w:r>
          </w:p>
        </w:tc>
      </w:tr>
      <w:tr w:rsidR="00AA5F41" w:rsidRPr="00971F8F" w14:paraId="1FF8DC0C" w14:textId="77777777" w:rsidTr="00971F8F">
        <w:tc>
          <w:tcPr>
            <w:tcW w:w="882" w:type="pct"/>
            <w:tcBorders>
              <w:top w:val="nil"/>
              <w:bottom w:val="nil"/>
            </w:tcBorders>
            <w:shd w:val="clear" w:color="000000" w:fill="auto"/>
          </w:tcPr>
          <w:p w14:paraId="3D3A29E7" w14:textId="64B4B2AF" w:rsidR="00AA5F41" w:rsidRPr="00971F8F" w:rsidRDefault="00AA5F41" w:rsidP="00971F8F">
            <w:pPr>
              <w:pStyle w:val="TableBody"/>
              <w:spacing w:before="45" w:after="45"/>
              <w:ind w:right="108"/>
              <w:rPr>
                <w:rFonts w:ascii="Arial (Body)" w:hAnsi="Arial (Body)"/>
                <w:b/>
                <w:bCs/>
                <w:color w:val="265A9A"/>
              </w:rPr>
            </w:pPr>
            <w:r w:rsidRPr="00971F8F">
              <w:rPr>
                <w:rFonts w:ascii="Arial (Body)" w:hAnsi="Arial (Body)"/>
                <w:b/>
                <w:bCs/>
                <w:color w:val="265A9A"/>
              </w:rPr>
              <w:t>IPEF</w:t>
            </w:r>
          </w:p>
        </w:tc>
        <w:tc>
          <w:tcPr>
            <w:tcW w:w="4118" w:type="pct"/>
            <w:tcBorders>
              <w:top w:val="nil"/>
              <w:bottom w:val="nil"/>
            </w:tcBorders>
            <w:shd w:val="clear" w:color="000000" w:fill="auto"/>
          </w:tcPr>
          <w:p w14:paraId="7B6655DC" w14:textId="665992B3" w:rsidR="00AA5F41" w:rsidRPr="00971F8F" w:rsidRDefault="00EE0176" w:rsidP="00971F8F">
            <w:pPr>
              <w:pStyle w:val="TableBody"/>
              <w:spacing w:before="45" w:after="45"/>
              <w:ind w:right="108"/>
              <w:rPr>
                <w:rFonts w:ascii="Arial (Body)" w:hAnsi="Arial (Body)"/>
                <w:color w:val="000000"/>
              </w:rPr>
            </w:pPr>
            <w:r w:rsidRPr="00971F8F">
              <w:rPr>
                <w:rFonts w:ascii="Arial (Body)" w:hAnsi="Arial (Body)"/>
                <w:color w:val="000000"/>
              </w:rPr>
              <w:t xml:space="preserve">Ino-Pacific </w:t>
            </w:r>
            <w:r w:rsidR="00AB2841" w:rsidRPr="00971F8F">
              <w:rPr>
                <w:rFonts w:ascii="Arial (Body)" w:hAnsi="Arial (Body)"/>
                <w:color w:val="000000"/>
              </w:rPr>
              <w:t>Economic Partnership</w:t>
            </w:r>
          </w:p>
        </w:tc>
      </w:tr>
      <w:tr w:rsidR="00AA5F41" w:rsidRPr="00971F8F" w14:paraId="42A71919" w14:textId="77777777" w:rsidTr="00971F8F">
        <w:tc>
          <w:tcPr>
            <w:tcW w:w="882" w:type="pct"/>
            <w:tcBorders>
              <w:bottom w:val="nil"/>
            </w:tcBorders>
            <w:shd w:val="clear" w:color="000000" w:fill="F2F2F2"/>
          </w:tcPr>
          <w:p w14:paraId="5BAE1F38" w14:textId="7D1A0CC6" w:rsidR="00AA5F41" w:rsidRPr="00971F8F" w:rsidRDefault="00AA5F41" w:rsidP="00971F8F">
            <w:pPr>
              <w:pStyle w:val="TableBody"/>
              <w:spacing w:before="45" w:after="45"/>
              <w:ind w:right="108"/>
              <w:rPr>
                <w:rFonts w:ascii="Arial (Body)" w:hAnsi="Arial (Body)"/>
                <w:b/>
                <w:bCs/>
                <w:color w:val="265A9A"/>
              </w:rPr>
            </w:pPr>
            <w:r w:rsidRPr="00971F8F">
              <w:rPr>
                <w:rFonts w:ascii="Arial (Body)" w:hAnsi="Arial (Body)"/>
                <w:b/>
                <w:bCs/>
                <w:color w:val="265A9A"/>
              </w:rPr>
              <w:t>IRA</w:t>
            </w:r>
          </w:p>
        </w:tc>
        <w:tc>
          <w:tcPr>
            <w:tcW w:w="4118" w:type="pct"/>
            <w:tcBorders>
              <w:bottom w:val="nil"/>
            </w:tcBorders>
            <w:shd w:val="clear" w:color="000000" w:fill="F2F2F2"/>
          </w:tcPr>
          <w:p w14:paraId="41F0818F" w14:textId="73556788" w:rsidR="00AA5F41" w:rsidRPr="00971F8F" w:rsidRDefault="007C009E" w:rsidP="00971F8F">
            <w:pPr>
              <w:pStyle w:val="TableBody"/>
              <w:spacing w:before="45" w:after="45"/>
              <w:ind w:right="108"/>
              <w:rPr>
                <w:rFonts w:ascii="Arial (Body)" w:hAnsi="Arial (Body)"/>
                <w:color w:val="000000"/>
              </w:rPr>
            </w:pPr>
            <w:r w:rsidRPr="00971F8F">
              <w:rPr>
                <w:rFonts w:ascii="Arial (Body)" w:hAnsi="Arial (Body)"/>
                <w:color w:val="000000"/>
              </w:rPr>
              <w:t>Inflation Reduction Act</w:t>
            </w:r>
          </w:p>
        </w:tc>
      </w:tr>
      <w:tr w:rsidR="0063478F" w:rsidRPr="00971F8F" w14:paraId="59A3CEF8" w14:textId="77777777" w:rsidTr="00971F8F">
        <w:tc>
          <w:tcPr>
            <w:tcW w:w="882" w:type="pct"/>
            <w:tcBorders>
              <w:top w:val="nil"/>
              <w:bottom w:val="nil"/>
            </w:tcBorders>
            <w:shd w:val="clear" w:color="000000" w:fill="auto"/>
          </w:tcPr>
          <w:p w14:paraId="5DEFA2C7" w14:textId="108BEDA0" w:rsidR="0063478F" w:rsidRPr="00971F8F" w:rsidRDefault="007576E6" w:rsidP="00971F8F">
            <w:pPr>
              <w:pStyle w:val="TableBody"/>
              <w:spacing w:before="45" w:after="45"/>
              <w:ind w:right="108"/>
              <w:rPr>
                <w:rFonts w:ascii="Arial (Body)" w:hAnsi="Arial (Body)"/>
                <w:b/>
                <w:bCs/>
                <w:color w:val="265A9A"/>
              </w:rPr>
            </w:pPr>
            <w:r w:rsidRPr="00971F8F">
              <w:rPr>
                <w:rFonts w:ascii="Arial (Body)" w:hAnsi="Arial (Body)"/>
                <w:b/>
                <w:bCs/>
                <w:color w:val="265A9A"/>
              </w:rPr>
              <w:t>MFN</w:t>
            </w:r>
          </w:p>
        </w:tc>
        <w:tc>
          <w:tcPr>
            <w:tcW w:w="4118" w:type="pct"/>
            <w:tcBorders>
              <w:top w:val="nil"/>
              <w:bottom w:val="nil"/>
            </w:tcBorders>
            <w:shd w:val="clear" w:color="000000" w:fill="auto"/>
          </w:tcPr>
          <w:p w14:paraId="4D448B60" w14:textId="44FD4938" w:rsidR="0063478F" w:rsidRPr="00971F8F" w:rsidRDefault="00594728" w:rsidP="00971F8F">
            <w:pPr>
              <w:pStyle w:val="TableBody"/>
              <w:spacing w:before="45" w:after="45"/>
              <w:ind w:right="108"/>
              <w:rPr>
                <w:rFonts w:ascii="Arial (Body)" w:hAnsi="Arial (Body)"/>
                <w:color w:val="000000"/>
              </w:rPr>
            </w:pPr>
            <w:r w:rsidRPr="00971F8F">
              <w:rPr>
                <w:rFonts w:ascii="Arial (Body)" w:hAnsi="Arial (Body)"/>
                <w:color w:val="000000"/>
              </w:rPr>
              <w:t xml:space="preserve">Most </w:t>
            </w:r>
            <w:r w:rsidR="000D5532">
              <w:rPr>
                <w:rFonts w:ascii="Arial (Body)" w:hAnsi="Arial (Body)"/>
                <w:color w:val="000000"/>
              </w:rPr>
              <w:t>F</w:t>
            </w:r>
            <w:r w:rsidRPr="00971F8F">
              <w:rPr>
                <w:rFonts w:ascii="Arial (Body)" w:hAnsi="Arial (Body)"/>
                <w:color w:val="000000"/>
              </w:rPr>
              <w:t xml:space="preserve">avoured </w:t>
            </w:r>
            <w:r w:rsidR="000D5532">
              <w:rPr>
                <w:rFonts w:ascii="Arial (Body)" w:hAnsi="Arial (Body)"/>
                <w:color w:val="000000"/>
              </w:rPr>
              <w:t>N</w:t>
            </w:r>
            <w:r w:rsidRPr="00971F8F">
              <w:rPr>
                <w:rFonts w:ascii="Arial (Body)" w:hAnsi="Arial (Body)"/>
                <w:color w:val="000000"/>
              </w:rPr>
              <w:t>ation</w:t>
            </w:r>
          </w:p>
        </w:tc>
      </w:tr>
      <w:tr w:rsidR="007576E6" w:rsidRPr="00971F8F" w14:paraId="5F4DEFEA" w14:textId="77777777" w:rsidTr="00971F8F">
        <w:tc>
          <w:tcPr>
            <w:tcW w:w="882" w:type="pct"/>
            <w:tcBorders>
              <w:bottom w:val="nil"/>
            </w:tcBorders>
            <w:shd w:val="clear" w:color="000000" w:fill="F2F2F2"/>
          </w:tcPr>
          <w:p w14:paraId="71AF7AD0" w14:textId="57FF98F7" w:rsidR="007576E6" w:rsidRPr="00971F8F" w:rsidRDefault="002E0588" w:rsidP="00971F8F">
            <w:pPr>
              <w:pStyle w:val="TableBody"/>
              <w:spacing w:before="45" w:after="45"/>
              <w:ind w:right="108"/>
              <w:rPr>
                <w:rFonts w:ascii="Arial (Body)" w:hAnsi="Arial (Body)"/>
                <w:b/>
                <w:bCs/>
                <w:color w:val="265A9A"/>
              </w:rPr>
            </w:pPr>
            <w:r w:rsidRPr="00971F8F">
              <w:rPr>
                <w:rFonts w:ascii="Arial (Body)" w:hAnsi="Arial (Body)"/>
                <w:b/>
                <w:bCs/>
                <w:color w:val="265A9A"/>
              </w:rPr>
              <w:t>NAFTA</w:t>
            </w:r>
          </w:p>
        </w:tc>
        <w:tc>
          <w:tcPr>
            <w:tcW w:w="4118" w:type="pct"/>
            <w:tcBorders>
              <w:bottom w:val="nil"/>
            </w:tcBorders>
            <w:shd w:val="clear" w:color="000000" w:fill="F2F2F2"/>
          </w:tcPr>
          <w:p w14:paraId="74078388" w14:textId="49E61EDB" w:rsidR="007576E6" w:rsidRPr="00971F8F" w:rsidRDefault="00BA1173" w:rsidP="00971F8F">
            <w:pPr>
              <w:pStyle w:val="TableBody"/>
              <w:spacing w:before="45" w:after="45"/>
              <w:ind w:right="108"/>
              <w:rPr>
                <w:rFonts w:ascii="Arial (Body)" w:hAnsi="Arial (Body)"/>
                <w:color w:val="000000"/>
              </w:rPr>
            </w:pPr>
            <w:r w:rsidRPr="00971F8F">
              <w:rPr>
                <w:rFonts w:ascii="Arial (Body)" w:hAnsi="Arial (Body)"/>
                <w:color w:val="000000"/>
              </w:rPr>
              <w:t>North American Free Trade Agreement</w:t>
            </w:r>
          </w:p>
        </w:tc>
      </w:tr>
      <w:tr w:rsidR="007576E6" w:rsidRPr="00971F8F" w14:paraId="0A07BC02" w14:textId="77777777" w:rsidTr="00971F8F">
        <w:tc>
          <w:tcPr>
            <w:tcW w:w="882" w:type="pct"/>
            <w:tcBorders>
              <w:top w:val="nil"/>
              <w:bottom w:val="nil"/>
            </w:tcBorders>
            <w:shd w:val="clear" w:color="000000" w:fill="auto"/>
          </w:tcPr>
          <w:p w14:paraId="46EF161A" w14:textId="79D1A59C" w:rsidR="007576E6" w:rsidRPr="00971F8F" w:rsidRDefault="00F352E5" w:rsidP="00971F8F">
            <w:pPr>
              <w:pStyle w:val="TableBody"/>
              <w:spacing w:before="45" w:after="45"/>
              <w:ind w:right="108"/>
              <w:rPr>
                <w:rFonts w:ascii="Arial (Body)" w:hAnsi="Arial (Body)"/>
                <w:b/>
                <w:bCs/>
                <w:color w:val="265A9A"/>
              </w:rPr>
            </w:pPr>
            <w:r w:rsidRPr="00971F8F">
              <w:rPr>
                <w:rFonts w:ascii="Arial (Body)" w:hAnsi="Arial (Body)"/>
                <w:b/>
                <w:bCs/>
                <w:color w:val="265A9A"/>
              </w:rPr>
              <w:t>NAIF</w:t>
            </w:r>
          </w:p>
        </w:tc>
        <w:tc>
          <w:tcPr>
            <w:tcW w:w="4118" w:type="pct"/>
            <w:tcBorders>
              <w:top w:val="nil"/>
              <w:bottom w:val="nil"/>
            </w:tcBorders>
            <w:shd w:val="clear" w:color="000000" w:fill="auto"/>
          </w:tcPr>
          <w:p w14:paraId="5D2FB38B" w14:textId="57A636C8" w:rsidR="007576E6" w:rsidRPr="00971F8F" w:rsidRDefault="00E97D91" w:rsidP="00971F8F">
            <w:pPr>
              <w:pStyle w:val="TableBody"/>
              <w:spacing w:before="45" w:after="45"/>
              <w:ind w:right="108"/>
              <w:rPr>
                <w:rFonts w:ascii="Arial (Body)" w:hAnsi="Arial (Body)"/>
                <w:color w:val="000000"/>
              </w:rPr>
            </w:pPr>
            <w:r w:rsidRPr="00971F8F">
              <w:rPr>
                <w:rFonts w:ascii="Arial (Body)" w:hAnsi="Arial (Body)"/>
                <w:color w:val="000000"/>
              </w:rPr>
              <w:t xml:space="preserve">Northern Australian Infrastructure </w:t>
            </w:r>
            <w:r w:rsidR="00B9682A" w:rsidRPr="00971F8F">
              <w:rPr>
                <w:rFonts w:ascii="Arial (Body)" w:hAnsi="Arial (Body)"/>
                <w:color w:val="000000"/>
              </w:rPr>
              <w:t>Facility</w:t>
            </w:r>
          </w:p>
        </w:tc>
      </w:tr>
      <w:tr w:rsidR="007576E6" w:rsidRPr="00971F8F" w14:paraId="2BC12D05" w14:textId="77777777" w:rsidTr="00971F8F">
        <w:tc>
          <w:tcPr>
            <w:tcW w:w="882" w:type="pct"/>
            <w:tcBorders>
              <w:bottom w:val="nil"/>
            </w:tcBorders>
            <w:shd w:val="clear" w:color="000000" w:fill="F2F2F2"/>
          </w:tcPr>
          <w:p w14:paraId="2FD7E039" w14:textId="584FB349" w:rsidR="007576E6" w:rsidRPr="00971F8F" w:rsidRDefault="00F352E5" w:rsidP="00971F8F">
            <w:pPr>
              <w:pStyle w:val="TableBody"/>
              <w:spacing w:before="45" w:after="45"/>
              <w:ind w:right="108"/>
              <w:rPr>
                <w:rFonts w:ascii="Arial (Body)" w:hAnsi="Arial (Body)"/>
                <w:b/>
                <w:bCs/>
                <w:color w:val="265A9A"/>
              </w:rPr>
            </w:pPr>
            <w:r w:rsidRPr="00971F8F">
              <w:rPr>
                <w:rFonts w:ascii="Arial (Body)" w:hAnsi="Arial (Body)"/>
                <w:b/>
                <w:bCs/>
                <w:color w:val="265A9A"/>
              </w:rPr>
              <w:t>NEMA</w:t>
            </w:r>
          </w:p>
        </w:tc>
        <w:tc>
          <w:tcPr>
            <w:tcW w:w="4118" w:type="pct"/>
            <w:tcBorders>
              <w:bottom w:val="nil"/>
            </w:tcBorders>
            <w:shd w:val="clear" w:color="000000" w:fill="F2F2F2"/>
          </w:tcPr>
          <w:p w14:paraId="07C1AAC6" w14:textId="3B9E1033" w:rsidR="007576E6" w:rsidRPr="00971F8F" w:rsidRDefault="00BA1173" w:rsidP="00971F8F">
            <w:pPr>
              <w:pStyle w:val="TableBody"/>
              <w:spacing w:before="45" w:after="45"/>
              <w:ind w:right="108"/>
              <w:rPr>
                <w:rFonts w:ascii="Arial (Body)" w:hAnsi="Arial (Body)"/>
                <w:color w:val="000000"/>
              </w:rPr>
            </w:pPr>
            <w:r w:rsidRPr="00971F8F">
              <w:rPr>
                <w:rFonts w:ascii="Arial (Body)" w:hAnsi="Arial (Body)"/>
                <w:color w:val="000000"/>
              </w:rPr>
              <w:t>National Emergency Management Authority</w:t>
            </w:r>
          </w:p>
        </w:tc>
      </w:tr>
      <w:tr w:rsidR="007576E6" w:rsidRPr="00971F8F" w14:paraId="4F19A87E" w14:textId="77777777" w:rsidTr="00971F8F">
        <w:tc>
          <w:tcPr>
            <w:tcW w:w="882" w:type="pct"/>
            <w:tcBorders>
              <w:top w:val="nil"/>
              <w:bottom w:val="nil"/>
            </w:tcBorders>
            <w:shd w:val="clear" w:color="000000" w:fill="auto"/>
          </w:tcPr>
          <w:p w14:paraId="406448A3" w14:textId="43EEBAED" w:rsidR="007576E6" w:rsidRPr="00971F8F" w:rsidRDefault="00F352E5" w:rsidP="00971F8F">
            <w:pPr>
              <w:pStyle w:val="TableBody"/>
              <w:spacing w:before="45" w:after="45"/>
              <w:ind w:right="108"/>
              <w:rPr>
                <w:rFonts w:ascii="Arial (Body)" w:hAnsi="Arial (Body)"/>
                <w:b/>
                <w:bCs/>
                <w:color w:val="265A9A"/>
              </w:rPr>
            </w:pPr>
            <w:r w:rsidRPr="00971F8F">
              <w:rPr>
                <w:rFonts w:ascii="Arial (Body)" w:hAnsi="Arial (Body)"/>
                <w:b/>
                <w:bCs/>
                <w:color w:val="265A9A"/>
              </w:rPr>
              <w:t>NIF</w:t>
            </w:r>
          </w:p>
        </w:tc>
        <w:tc>
          <w:tcPr>
            <w:tcW w:w="4118" w:type="pct"/>
            <w:tcBorders>
              <w:top w:val="nil"/>
              <w:bottom w:val="nil"/>
            </w:tcBorders>
            <w:shd w:val="clear" w:color="000000" w:fill="auto"/>
          </w:tcPr>
          <w:p w14:paraId="624368D5" w14:textId="154EAF38" w:rsidR="007576E6" w:rsidRPr="00971F8F" w:rsidRDefault="000E135B" w:rsidP="00971F8F">
            <w:pPr>
              <w:pStyle w:val="TableBody"/>
              <w:spacing w:before="45" w:after="45"/>
              <w:ind w:right="108"/>
              <w:rPr>
                <w:rFonts w:ascii="Arial (Body)" w:hAnsi="Arial (Body)"/>
                <w:color w:val="000000"/>
              </w:rPr>
            </w:pPr>
            <w:r w:rsidRPr="00971F8F">
              <w:rPr>
                <w:rFonts w:ascii="Arial (Body)" w:hAnsi="Arial (Body)"/>
                <w:color w:val="000000"/>
              </w:rPr>
              <w:t>National Interest Framework</w:t>
            </w:r>
          </w:p>
        </w:tc>
      </w:tr>
      <w:tr w:rsidR="007576E6" w:rsidRPr="00971F8F" w14:paraId="3D9594A1" w14:textId="77777777" w:rsidTr="00971F8F">
        <w:tc>
          <w:tcPr>
            <w:tcW w:w="882" w:type="pct"/>
            <w:tcBorders>
              <w:bottom w:val="nil"/>
            </w:tcBorders>
            <w:shd w:val="clear" w:color="000000" w:fill="F2F2F2"/>
          </w:tcPr>
          <w:p w14:paraId="4D522B6D" w14:textId="5E1BD696" w:rsidR="007576E6" w:rsidRPr="00971F8F" w:rsidRDefault="00E03560" w:rsidP="00971F8F">
            <w:pPr>
              <w:pStyle w:val="TableBody"/>
              <w:spacing w:before="45" w:after="45"/>
              <w:ind w:right="108"/>
              <w:rPr>
                <w:rFonts w:ascii="Arial (Body)" w:hAnsi="Arial (Body)"/>
                <w:b/>
                <w:bCs/>
                <w:color w:val="265A9A"/>
              </w:rPr>
            </w:pPr>
            <w:r w:rsidRPr="00971F8F">
              <w:rPr>
                <w:rFonts w:ascii="Arial (Body)" w:hAnsi="Arial (Body)"/>
                <w:b/>
                <w:bCs/>
                <w:color w:val="265A9A"/>
              </w:rPr>
              <w:t>OECD</w:t>
            </w:r>
          </w:p>
        </w:tc>
        <w:tc>
          <w:tcPr>
            <w:tcW w:w="4118" w:type="pct"/>
            <w:tcBorders>
              <w:bottom w:val="nil"/>
            </w:tcBorders>
            <w:shd w:val="clear" w:color="000000" w:fill="F2F2F2"/>
          </w:tcPr>
          <w:p w14:paraId="6458CBF6" w14:textId="0E04E996" w:rsidR="007576E6" w:rsidRPr="00971F8F" w:rsidRDefault="00F31FFE" w:rsidP="00971F8F">
            <w:pPr>
              <w:pStyle w:val="TableBody"/>
              <w:spacing w:before="45" w:after="45"/>
              <w:ind w:right="108"/>
              <w:rPr>
                <w:rFonts w:ascii="Arial (Body)" w:hAnsi="Arial (Body)"/>
                <w:color w:val="000000"/>
              </w:rPr>
            </w:pPr>
            <w:r w:rsidRPr="00971F8F">
              <w:rPr>
                <w:rFonts w:ascii="Arial (Body)" w:hAnsi="Arial (Body)"/>
                <w:color w:val="000000"/>
              </w:rPr>
              <w:t>Organisation for Economic Co-operation and Development</w:t>
            </w:r>
          </w:p>
        </w:tc>
      </w:tr>
      <w:tr w:rsidR="007576E6" w:rsidRPr="00971F8F" w14:paraId="6F94B571" w14:textId="77777777" w:rsidTr="00971F8F">
        <w:tc>
          <w:tcPr>
            <w:tcW w:w="882" w:type="pct"/>
            <w:tcBorders>
              <w:top w:val="nil"/>
              <w:bottom w:val="nil"/>
            </w:tcBorders>
            <w:shd w:val="clear" w:color="000000" w:fill="auto"/>
          </w:tcPr>
          <w:p w14:paraId="3B1CCEFF" w14:textId="3BE29EB7" w:rsidR="007576E6" w:rsidRPr="00971F8F" w:rsidRDefault="00E03560" w:rsidP="00971F8F">
            <w:pPr>
              <w:pStyle w:val="TableBody"/>
              <w:spacing w:before="45" w:after="45"/>
              <w:ind w:right="108"/>
              <w:rPr>
                <w:rFonts w:ascii="Arial (Body)" w:hAnsi="Arial (Body)"/>
                <w:b/>
                <w:bCs/>
                <w:color w:val="265A9A"/>
              </w:rPr>
            </w:pPr>
            <w:r w:rsidRPr="00971F8F">
              <w:rPr>
                <w:rFonts w:ascii="Arial (Body)" w:hAnsi="Arial (Body)"/>
                <w:b/>
                <w:bCs/>
                <w:color w:val="265A9A"/>
              </w:rPr>
              <w:t>OLRC</w:t>
            </w:r>
          </w:p>
        </w:tc>
        <w:tc>
          <w:tcPr>
            <w:tcW w:w="4118" w:type="pct"/>
            <w:tcBorders>
              <w:top w:val="nil"/>
              <w:bottom w:val="nil"/>
            </w:tcBorders>
            <w:shd w:val="clear" w:color="000000" w:fill="auto"/>
          </w:tcPr>
          <w:p w14:paraId="5B3DDEAF" w14:textId="28CF4F99" w:rsidR="007576E6" w:rsidRPr="00971F8F" w:rsidRDefault="007946D7" w:rsidP="00971F8F">
            <w:pPr>
              <w:pStyle w:val="TableBody"/>
              <w:spacing w:before="45" w:after="45"/>
              <w:ind w:right="108"/>
              <w:rPr>
                <w:rFonts w:ascii="Arial (Body)" w:hAnsi="Arial (Body)"/>
                <w:color w:val="000000"/>
              </w:rPr>
            </w:pPr>
            <w:r w:rsidRPr="00971F8F">
              <w:rPr>
                <w:rFonts w:ascii="Arial (Body)" w:hAnsi="Arial (Body)"/>
                <w:color w:val="000000"/>
              </w:rPr>
              <w:t>Office of the Law Revision Coun</w:t>
            </w:r>
            <w:r w:rsidR="001050B0" w:rsidRPr="00971F8F">
              <w:rPr>
                <w:rFonts w:ascii="Arial (Body)" w:hAnsi="Arial (Body)"/>
                <w:color w:val="000000"/>
              </w:rPr>
              <w:t>c</w:t>
            </w:r>
            <w:r w:rsidRPr="00971F8F">
              <w:rPr>
                <w:rFonts w:ascii="Arial (Body)" w:hAnsi="Arial (Body)"/>
                <w:color w:val="000000"/>
              </w:rPr>
              <w:t>il</w:t>
            </w:r>
          </w:p>
        </w:tc>
      </w:tr>
      <w:tr w:rsidR="007576E6" w:rsidRPr="00971F8F" w14:paraId="6999E8BC" w14:textId="77777777" w:rsidTr="00971F8F">
        <w:tc>
          <w:tcPr>
            <w:tcW w:w="882" w:type="pct"/>
            <w:tcBorders>
              <w:bottom w:val="nil"/>
            </w:tcBorders>
            <w:shd w:val="clear" w:color="000000" w:fill="F2F2F2"/>
          </w:tcPr>
          <w:p w14:paraId="00A31A39" w14:textId="66C40BFB" w:rsidR="007576E6" w:rsidRPr="00971F8F" w:rsidRDefault="00E03560" w:rsidP="00971F8F">
            <w:pPr>
              <w:pStyle w:val="TableBody"/>
              <w:spacing w:before="45" w:after="45"/>
              <w:ind w:right="108"/>
              <w:rPr>
                <w:rFonts w:ascii="Arial (Body)" w:hAnsi="Arial (Body)"/>
                <w:b/>
                <w:bCs/>
                <w:color w:val="265A9A"/>
              </w:rPr>
            </w:pPr>
            <w:r w:rsidRPr="00971F8F">
              <w:rPr>
                <w:rFonts w:ascii="Arial (Body)" w:hAnsi="Arial (Body)"/>
                <w:b/>
                <w:bCs/>
                <w:color w:val="265A9A"/>
              </w:rPr>
              <w:t>PACER</w:t>
            </w:r>
          </w:p>
        </w:tc>
        <w:tc>
          <w:tcPr>
            <w:tcW w:w="4118" w:type="pct"/>
            <w:tcBorders>
              <w:bottom w:val="nil"/>
            </w:tcBorders>
            <w:shd w:val="clear" w:color="000000" w:fill="F2F2F2"/>
          </w:tcPr>
          <w:p w14:paraId="0C31B282" w14:textId="6A5CD328" w:rsidR="007576E6" w:rsidRPr="00971F8F" w:rsidRDefault="0094567F" w:rsidP="00971F8F">
            <w:pPr>
              <w:pStyle w:val="TableBody"/>
              <w:spacing w:before="45" w:after="45"/>
              <w:ind w:right="108"/>
              <w:rPr>
                <w:rFonts w:ascii="Arial (Body)" w:hAnsi="Arial (Body)"/>
                <w:color w:val="000000"/>
              </w:rPr>
            </w:pPr>
            <w:r w:rsidRPr="00971F8F">
              <w:rPr>
                <w:rFonts w:ascii="Arial (Body)" w:hAnsi="Arial (Body)"/>
                <w:color w:val="000000"/>
              </w:rPr>
              <w:t>Pacific Agreement on Closer Economic Relations</w:t>
            </w:r>
          </w:p>
        </w:tc>
      </w:tr>
      <w:tr w:rsidR="00E03560" w:rsidRPr="00971F8F" w14:paraId="5BC0CDB0" w14:textId="77777777" w:rsidTr="00971F8F">
        <w:tc>
          <w:tcPr>
            <w:tcW w:w="882" w:type="pct"/>
            <w:tcBorders>
              <w:top w:val="nil"/>
              <w:bottom w:val="nil"/>
            </w:tcBorders>
            <w:shd w:val="clear" w:color="000000" w:fill="auto"/>
          </w:tcPr>
          <w:p w14:paraId="22A60E66" w14:textId="62F8738D" w:rsidR="00E03560" w:rsidRPr="00971F8F" w:rsidRDefault="00E03560" w:rsidP="00971F8F">
            <w:pPr>
              <w:pStyle w:val="TableBody"/>
              <w:spacing w:before="45" w:after="45"/>
              <w:ind w:right="108"/>
              <w:rPr>
                <w:rFonts w:ascii="Arial (Body)" w:hAnsi="Arial (Body)"/>
                <w:b/>
                <w:bCs/>
                <w:color w:val="265A9A"/>
              </w:rPr>
            </w:pPr>
            <w:r w:rsidRPr="00971F8F">
              <w:rPr>
                <w:rFonts w:ascii="Arial (Body)" w:hAnsi="Arial (Body)"/>
                <w:b/>
                <w:bCs/>
                <w:color w:val="265A9A"/>
              </w:rPr>
              <w:t>PANEURO</w:t>
            </w:r>
            <w:r w:rsidR="00B125E8" w:rsidRPr="00971F8F">
              <w:rPr>
                <w:rFonts w:ascii="Arial (Body)" w:hAnsi="Arial (Body)"/>
                <w:b/>
                <w:bCs/>
                <w:color w:val="265A9A"/>
              </w:rPr>
              <w:t xml:space="preserve"> </w:t>
            </w:r>
          </w:p>
        </w:tc>
        <w:tc>
          <w:tcPr>
            <w:tcW w:w="4118" w:type="pct"/>
            <w:tcBorders>
              <w:top w:val="nil"/>
              <w:bottom w:val="nil"/>
            </w:tcBorders>
            <w:shd w:val="clear" w:color="000000" w:fill="auto"/>
          </w:tcPr>
          <w:p w14:paraId="57831B72" w14:textId="73150525" w:rsidR="00E03560" w:rsidRPr="00971F8F" w:rsidRDefault="00B125E8" w:rsidP="00971F8F">
            <w:pPr>
              <w:pStyle w:val="TableBody"/>
              <w:spacing w:before="45" w:after="45"/>
              <w:ind w:right="108"/>
              <w:rPr>
                <w:rFonts w:ascii="Arial (Body)" w:hAnsi="Arial (Body)"/>
                <w:color w:val="000000"/>
              </w:rPr>
            </w:pPr>
            <w:r w:rsidRPr="00971F8F">
              <w:rPr>
                <w:rFonts w:ascii="Arial (Body)" w:hAnsi="Arial (Body)"/>
                <w:color w:val="000000"/>
              </w:rPr>
              <w:t>European Union’s free trade agreements that have common rules of origin requirements</w:t>
            </w:r>
          </w:p>
        </w:tc>
      </w:tr>
      <w:tr w:rsidR="00E03560" w:rsidRPr="00971F8F" w14:paraId="74AEDC78" w14:textId="77777777" w:rsidTr="00971F8F">
        <w:tc>
          <w:tcPr>
            <w:tcW w:w="882" w:type="pct"/>
            <w:tcBorders>
              <w:bottom w:val="nil"/>
            </w:tcBorders>
            <w:shd w:val="clear" w:color="000000" w:fill="F2F2F2"/>
          </w:tcPr>
          <w:p w14:paraId="0BE1C63E" w14:textId="694378AA" w:rsidR="00E03560" w:rsidRPr="00971F8F" w:rsidRDefault="00E03560" w:rsidP="00971F8F">
            <w:pPr>
              <w:pStyle w:val="TableBody"/>
              <w:spacing w:before="45" w:after="45"/>
              <w:ind w:right="108"/>
              <w:rPr>
                <w:rFonts w:ascii="Arial (Body)" w:hAnsi="Arial (Body)"/>
                <w:b/>
                <w:bCs/>
                <w:color w:val="265A9A"/>
              </w:rPr>
            </w:pPr>
            <w:r w:rsidRPr="00971F8F">
              <w:rPr>
                <w:rFonts w:ascii="Arial (Body)" w:hAnsi="Arial (Body)"/>
                <w:b/>
                <w:bCs/>
                <w:color w:val="265A9A"/>
              </w:rPr>
              <w:t>P</w:t>
            </w:r>
            <w:r w:rsidR="0031518E" w:rsidRPr="00971F8F">
              <w:rPr>
                <w:rFonts w:ascii="Arial (Body)" w:hAnsi="Arial (Body)"/>
                <w:b/>
                <w:bCs/>
                <w:color w:val="265A9A"/>
              </w:rPr>
              <w:t>C</w:t>
            </w:r>
          </w:p>
        </w:tc>
        <w:tc>
          <w:tcPr>
            <w:tcW w:w="4118" w:type="pct"/>
            <w:tcBorders>
              <w:bottom w:val="nil"/>
            </w:tcBorders>
            <w:shd w:val="clear" w:color="000000" w:fill="F2F2F2"/>
          </w:tcPr>
          <w:p w14:paraId="6F7EF5F6" w14:textId="17E1511A" w:rsidR="00E03560" w:rsidRPr="00971F8F" w:rsidRDefault="00362E66" w:rsidP="00971F8F">
            <w:pPr>
              <w:pStyle w:val="TableBody"/>
              <w:spacing w:before="45" w:after="45"/>
              <w:ind w:right="108"/>
              <w:rPr>
                <w:rFonts w:ascii="Arial (Body)" w:hAnsi="Arial (Body)"/>
                <w:color w:val="000000"/>
              </w:rPr>
            </w:pPr>
            <w:r w:rsidRPr="00971F8F">
              <w:rPr>
                <w:rFonts w:ascii="Arial (Body)" w:hAnsi="Arial (Body)"/>
                <w:color w:val="000000"/>
              </w:rPr>
              <w:t>Productivity Commission</w:t>
            </w:r>
          </w:p>
        </w:tc>
      </w:tr>
      <w:tr w:rsidR="00E03560" w:rsidRPr="00971F8F" w14:paraId="71524DCE" w14:textId="77777777" w:rsidTr="00971F8F">
        <w:tc>
          <w:tcPr>
            <w:tcW w:w="882" w:type="pct"/>
            <w:tcBorders>
              <w:top w:val="nil"/>
              <w:bottom w:val="nil"/>
            </w:tcBorders>
            <w:shd w:val="clear" w:color="000000" w:fill="auto"/>
          </w:tcPr>
          <w:p w14:paraId="1612C28E" w14:textId="566D22AB" w:rsidR="00E03560" w:rsidRPr="00971F8F" w:rsidRDefault="0031518E" w:rsidP="00971F8F">
            <w:pPr>
              <w:pStyle w:val="TableBody"/>
              <w:spacing w:before="45" w:after="45"/>
              <w:ind w:right="108"/>
              <w:rPr>
                <w:rFonts w:ascii="Arial (Body)" w:hAnsi="Arial (Body)"/>
                <w:b/>
                <w:bCs/>
                <w:color w:val="265A9A"/>
              </w:rPr>
            </w:pPr>
            <w:r w:rsidRPr="00971F8F">
              <w:rPr>
                <w:rFonts w:ascii="Arial (Body)" w:hAnsi="Arial (Body)"/>
                <w:b/>
                <w:bCs/>
                <w:color w:val="265A9A"/>
              </w:rPr>
              <w:t>PTA</w:t>
            </w:r>
          </w:p>
        </w:tc>
        <w:tc>
          <w:tcPr>
            <w:tcW w:w="4118" w:type="pct"/>
            <w:tcBorders>
              <w:top w:val="nil"/>
              <w:bottom w:val="nil"/>
            </w:tcBorders>
            <w:shd w:val="clear" w:color="000000" w:fill="auto"/>
          </w:tcPr>
          <w:p w14:paraId="68BE8DC9" w14:textId="4379E4FE" w:rsidR="00E03560" w:rsidRPr="00971F8F" w:rsidRDefault="00BC6DBA" w:rsidP="00971F8F">
            <w:pPr>
              <w:pStyle w:val="TableBody"/>
              <w:spacing w:before="45" w:after="45"/>
              <w:ind w:right="108"/>
              <w:rPr>
                <w:rFonts w:ascii="Arial (Body)" w:hAnsi="Arial (Body)"/>
                <w:color w:val="000000"/>
              </w:rPr>
            </w:pPr>
            <w:r w:rsidRPr="00971F8F">
              <w:rPr>
                <w:rFonts w:ascii="Arial (Body)" w:hAnsi="Arial (Body)"/>
                <w:color w:val="000000"/>
              </w:rPr>
              <w:t>Preferential Trade Agreement</w:t>
            </w:r>
          </w:p>
        </w:tc>
      </w:tr>
      <w:tr w:rsidR="00E03560" w:rsidRPr="00971F8F" w14:paraId="6FF0B92B" w14:textId="77777777" w:rsidTr="00971F8F">
        <w:tc>
          <w:tcPr>
            <w:tcW w:w="882" w:type="pct"/>
            <w:tcBorders>
              <w:bottom w:val="nil"/>
            </w:tcBorders>
            <w:shd w:val="clear" w:color="000000" w:fill="F2F2F2"/>
          </w:tcPr>
          <w:p w14:paraId="1C66A04A" w14:textId="3DFDD9A7" w:rsidR="00E03560" w:rsidRPr="00971F8F" w:rsidRDefault="0031518E" w:rsidP="00971F8F">
            <w:pPr>
              <w:pStyle w:val="TableBody"/>
              <w:spacing w:before="45" w:after="45"/>
              <w:ind w:right="108"/>
              <w:rPr>
                <w:rFonts w:ascii="Arial (Body)" w:hAnsi="Arial (Body)"/>
                <w:b/>
                <w:bCs/>
                <w:color w:val="265A9A"/>
              </w:rPr>
            </w:pPr>
            <w:r w:rsidRPr="00971F8F">
              <w:rPr>
                <w:rFonts w:ascii="Arial (Body)" w:hAnsi="Arial (Body)"/>
                <w:b/>
                <w:bCs/>
                <w:color w:val="265A9A"/>
              </w:rPr>
              <w:t>RBA</w:t>
            </w:r>
          </w:p>
        </w:tc>
        <w:tc>
          <w:tcPr>
            <w:tcW w:w="4118" w:type="pct"/>
            <w:tcBorders>
              <w:bottom w:val="nil"/>
            </w:tcBorders>
            <w:shd w:val="clear" w:color="000000" w:fill="F2F2F2"/>
          </w:tcPr>
          <w:p w14:paraId="28200872" w14:textId="38C4DD39" w:rsidR="00E03560" w:rsidRPr="00971F8F" w:rsidRDefault="00F82E0C" w:rsidP="00971F8F">
            <w:pPr>
              <w:pStyle w:val="TableBody"/>
              <w:spacing w:before="45" w:after="45"/>
              <w:ind w:right="108"/>
              <w:rPr>
                <w:rFonts w:ascii="Arial (Body)" w:hAnsi="Arial (Body)"/>
                <w:color w:val="000000"/>
              </w:rPr>
            </w:pPr>
            <w:r w:rsidRPr="00971F8F">
              <w:rPr>
                <w:rFonts w:ascii="Arial (Body)" w:hAnsi="Arial (Body)"/>
                <w:color w:val="000000"/>
              </w:rPr>
              <w:t>Reserve Bank of Australia</w:t>
            </w:r>
          </w:p>
        </w:tc>
      </w:tr>
      <w:tr w:rsidR="00E03560" w:rsidRPr="00971F8F" w14:paraId="48BA02BC" w14:textId="77777777" w:rsidTr="00971F8F">
        <w:tc>
          <w:tcPr>
            <w:tcW w:w="882" w:type="pct"/>
            <w:tcBorders>
              <w:top w:val="nil"/>
              <w:bottom w:val="nil"/>
            </w:tcBorders>
            <w:shd w:val="clear" w:color="000000" w:fill="auto"/>
          </w:tcPr>
          <w:p w14:paraId="40F39983" w14:textId="552C921B" w:rsidR="00E03560" w:rsidRPr="00971F8F" w:rsidRDefault="0031518E" w:rsidP="00971F8F">
            <w:pPr>
              <w:pStyle w:val="TableBody"/>
              <w:spacing w:before="45" w:after="45"/>
              <w:ind w:right="108"/>
              <w:rPr>
                <w:rFonts w:ascii="Arial (Body)" w:hAnsi="Arial (Body)"/>
                <w:b/>
                <w:bCs/>
                <w:color w:val="265A9A"/>
              </w:rPr>
            </w:pPr>
            <w:r w:rsidRPr="00971F8F">
              <w:rPr>
                <w:rFonts w:ascii="Arial (Body)" w:hAnsi="Arial (Body)"/>
                <w:b/>
                <w:bCs/>
                <w:color w:val="265A9A"/>
              </w:rPr>
              <w:t>RCE</w:t>
            </w:r>
            <w:r w:rsidR="0052568F" w:rsidRPr="00971F8F">
              <w:rPr>
                <w:rFonts w:ascii="Arial (Body)" w:hAnsi="Arial (Body)"/>
                <w:b/>
                <w:bCs/>
                <w:color w:val="265A9A"/>
              </w:rPr>
              <w:t>P</w:t>
            </w:r>
          </w:p>
        </w:tc>
        <w:tc>
          <w:tcPr>
            <w:tcW w:w="4118" w:type="pct"/>
            <w:tcBorders>
              <w:top w:val="nil"/>
              <w:bottom w:val="nil"/>
            </w:tcBorders>
            <w:shd w:val="clear" w:color="000000" w:fill="auto"/>
          </w:tcPr>
          <w:p w14:paraId="5C552003" w14:textId="6AB3BCDB" w:rsidR="00E03560" w:rsidRPr="00971F8F" w:rsidRDefault="0043742F" w:rsidP="00971F8F">
            <w:pPr>
              <w:pStyle w:val="TableBody"/>
              <w:spacing w:before="45" w:after="45"/>
              <w:ind w:right="108"/>
              <w:rPr>
                <w:rFonts w:ascii="Arial (Body)" w:hAnsi="Arial (Body)"/>
                <w:color w:val="000000"/>
              </w:rPr>
            </w:pPr>
            <w:r w:rsidRPr="00971F8F">
              <w:rPr>
                <w:rFonts w:ascii="Arial (Body)" w:hAnsi="Arial (Body)"/>
                <w:color w:val="000000"/>
              </w:rPr>
              <w:t xml:space="preserve">Regional </w:t>
            </w:r>
            <w:r w:rsidR="00FD3657" w:rsidRPr="00971F8F">
              <w:rPr>
                <w:rFonts w:ascii="Arial (Body)" w:hAnsi="Arial (Body)"/>
                <w:color w:val="000000"/>
              </w:rPr>
              <w:t xml:space="preserve">Comprehensive Economic </w:t>
            </w:r>
            <w:r w:rsidR="0094567F" w:rsidRPr="00971F8F">
              <w:rPr>
                <w:rFonts w:ascii="Arial (Body)" w:hAnsi="Arial (Body)"/>
                <w:color w:val="000000"/>
              </w:rPr>
              <w:t>Partnership</w:t>
            </w:r>
          </w:p>
        </w:tc>
      </w:tr>
      <w:tr w:rsidR="00E03560" w:rsidRPr="00971F8F" w14:paraId="2675DFA5" w14:textId="77777777" w:rsidTr="00971F8F">
        <w:tc>
          <w:tcPr>
            <w:tcW w:w="882" w:type="pct"/>
            <w:tcBorders>
              <w:bottom w:val="nil"/>
            </w:tcBorders>
            <w:shd w:val="clear" w:color="000000" w:fill="F2F2F2"/>
          </w:tcPr>
          <w:p w14:paraId="6DD74FE6" w14:textId="39BF256A" w:rsidR="00E03560" w:rsidRPr="00971F8F" w:rsidRDefault="00D86467" w:rsidP="00971F8F">
            <w:pPr>
              <w:pStyle w:val="TableBody"/>
              <w:spacing w:before="45" w:after="45"/>
              <w:ind w:right="108"/>
              <w:rPr>
                <w:rFonts w:ascii="Arial (Body)" w:hAnsi="Arial (Body)"/>
                <w:b/>
                <w:bCs/>
                <w:color w:val="265A9A"/>
              </w:rPr>
            </w:pPr>
            <w:r w:rsidRPr="00971F8F">
              <w:rPr>
                <w:rFonts w:ascii="Arial (Body)" w:hAnsi="Arial (Body)"/>
                <w:b/>
                <w:bCs/>
                <w:color w:val="265A9A"/>
              </w:rPr>
              <w:t>RIC</w:t>
            </w:r>
          </w:p>
        </w:tc>
        <w:tc>
          <w:tcPr>
            <w:tcW w:w="4118" w:type="pct"/>
            <w:tcBorders>
              <w:bottom w:val="nil"/>
            </w:tcBorders>
            <w:shd w:val="clear" w:color="000000" w:fill="F2F2F2"/>
          </w:tcPr>
          <w:p w14:paraId="7821097C" w14:textId="2522F909" w:rsidR="00E03560" w:rsidRPr="00971F8F" w:rsidRDefault="00E60C89" w:rsidP="00971F8F">
            <w:pPr>
              <w:pStyle w:val="TableBody"/>
              <w:spacing w:before="45" w:after="45"/>
              <w:ind w:right="108"/>
              <w:rPr>
                <w:rFonts w:ascii="Arial (Body)" w:hAnsi="Arial (Body)"/>
                <w:color w:val="000000"/>
              </w:rPr>
            </w:pPr>
            <w:r w:rsidRPr="00971F8F">
              <w:rPr>
                <w:rFonts w:ascii="Arial (Body)" w:hAnsi="Arial (Body)"/>
                <w:color w:val="000000"/>
              </w:rPr>
              <w:t>Regional Investment Corporation</w:t>
            </w:r>
          </w:p>
        </w:tc>
      </w:tr>
      <w:tr w:rsidR="00E03560" w:rsidRPr="00971F8F" w14:paraId="6CB238CE" w14:textId="77777777" w:rsidTr="00971F8F">
        <w:tc>
          <w:tcPr>
            <w:tcW w:w="882" w:type="pct"/>
            <w:tcBorders>
              <w:top w:val="nil"/>
              <w:bottom w:val="nil"/>
            </w:tcBorders>
            <w:shd w:val="clear" w:color="000000" w:fill="auto"/>
          </w:tcPr>
          <w:p w14:paraId="76D42CBF" w14:textId="4392CCE5" w:rsidR="00E03560" w:rsidRPr="00971F8F" w:rsidRDefault="004F1072" w:rsidP="00971F8F">
            <w:pPr>
              <w:pStyle w:val="TableBody"/>
              <w:spacing w:before="45" w:after="45"/>
              <w:ind w:right="108"/>
              <w:rPr>
                <w:rFonts w:ascii="Arial (Body)" w:hAnsi="Arial (Body)"/>
                <w:b/>
                <w:bCs/>
                <w:color w:val="265A9A"/>
              </w:rPr>
            </w:pPr>
            <w:r w:rsidRPr="00971F8F">
              <w:rPr>
                <w:rFonts w:ascii="Arial (Body)" w:hAnsi="Arial (Body)"/>
                <w:b/>
                <w:bCs/>
                <w:color w:val="265A9A"/>
              </w:rPr>
              <w:t>TAR</w:t>
            </w:r>
          </w:p>
        </w:tc>
        <w:tc>
          <w:tcPr>
            <w:tcW w:w="4118" w:type="pct"/>
            <w:tcBorders>
              <w:top w:val="nil"/>
              <w:bottom w:val="nil"/>
            </w:tcBorders>
            <w:shd w:val="clear" w:color="000000" w:fill="auto"/>
          </w:tcPr>
          <w:p w14:paraId="44C5A0AF" w14:textId="5D0A8659" w:rsidR="00E03560" w:rsidRPr="00971F8F" w:rsidRDefault="00B37DD7" w:rsidP="00971F8F">
            <w:pPr>
              <w:pStyle w:val="TableBody"/>
              <w:spacing w:before="45" w:after="45"/>
              <w:ind w:right="108"/>
              <w:rPr>
                <w:rFonts w:ascii="Arial (Body)" w:hAnsi="Arial (Body)"/>
                <w:color w:val="000000"/>
              </w:rPr>
            </w:pPr>
            <w:r w:rsidRPr="00971F8F">
              <w:rPr>
                <w:rFonts w:ascii="Arial (Body)" w:hAnsi="Arial (Body)"/>
                <w:color w:val="000000"/>
              </w:rPr>
              <w:t>Trade and Assistance Review</w:t>
            </w:r>
          </w:p>
        </w:tc>
      </w:tr>
      <w:tr w:rsidR="00E03560" w:rsidRPr="00971F8F" w14:paraId="2BF407D3" w14:textId="77777777" w:rsidTr="00971F8F">
        <w:tc>
          <w:tcPr>
            <w:tcW w:w="882" w:type="pct"/>
            <w:tcBorders>
              <w:bottom w:val="nil"/>
            </w:tcBorders>
            <w:shd w:val="clear" w:color="000000" w:fill="F2F2F2"/>
          </w:tcPr>
          <w:p w14:paraId="214AF2C0" w14:textId="0B4AB54C" w:rsidR="00E03560" w:rsidRPr="00971F8F" w:rsidRDefault="004F1072" w:rsidP="00971F8F">
            <w:pPr>
              <w:pStyle w:val="TableBody"/>
              <w:spacing w:before="45" w:after="45"/>
              <w:ind w:right="108"/>
              <w:rPr>
                <w:rFonts w:ascii="Arial (Body)" w:hAnsi="Arial (Body)"/>
                <w:b/>
                <w:bCs/>
                <w:color w:val="265A9A"/>
              </w:rPr>
            </w:pPr>
            <w:r w:rsidRPr="00971F8F">
              <w:rPr>
                <w:rFonts w:ascii="Arial (Body)" w:hAnsi="Arial (Body)"/>
                <w:b/>
                <w:bCs/>
                <w:color w:val="265A9A"/>
              </w:rPr>
              <w:t>TGA</w:t>
            </w:r>
          </w:p>
        </w:tc>
        <w:tc>
          <w:tcPr>
            <w:tcW w:w="4118" w:type="pct"/>
            <w:tcBorders>
              <w:bottom w:val="nil"/>
            </w:tcBorders>
            <w:shd w:val="clear" w:color="000000" w:fill="F2F2F2"/>
          </w:tcPr>
          <w:p w14:paraId="534F8026" w14:textId="47A3CFB8" w:rsidR="00E03560" w:rsidRPr="00971F8F" w:rsidRDefault="004D401F" w:rsidP="00971F8F">
            <w:pPr>
              <w:pStyle w:val="TableBody"/>
              <w:spacing w:before="45" w:after="45"/>
              <w:ind w:right="108"/>
              <w:rPr>
                <w:rFonts w:ascii="Arial (Body)" w:hAnsi="Arial (Body)"/>
                <w:color w:val="000000"/>
              </w:rPr>
            </w:pPr>
            <w:r w:rsidRPr="00971F8F">
              <w:rPr>
                <w:rFonts w:ascii="Arial (Body)" w:hAnsi="Arial (Body)"/>
                <w:color w:val="000000"/>
              </w:rPr>
              <w:t>Therapeutic Goods Australia</w:t>
            </w:r>
          </w:p>
        </w:tc>
      </w:tr>
      <w:tr w:rsidR="00E03560" w:rsidRPr="00971F8F" w14:paraId="57892AF1" w14:textId="77777777" w:rsidTr="00971F8F">
        <w:tc>
          <w:tcPr>
            <w:tcW w:w="882" w:type="pct"/>
            <w:tcBorders>
              <w:top w:val="nil"/>
              <w:bottom w:val="nil"/>
            </w:tcBorders>
            <w:shd w:val="clear" w:color="000000" w:fill="auto"/>
          </w:tcPr>
          <w:p w14:paraId="27A582E8" w14:textId="7887324F" w:rsidR="00E03560" w:rsidRPr="00971F8F" w:rsidRDefault="004F1072" w:rsidP="00971F8F">
            <w:pPr>
              <w:pStyle w:val="TableBody"/>
              <w:spacing w:before="45" w:after="45"/>
              <w:ind w:right="108"/>
              <w:rPr>
                <w:rFonts w:ascii="Arial (Body)" w:hAnsi="Arial (Body)"/>
                <w:b/>
                <w:bCs/>
                <w:color w:val="265A9A"/>
              </w:rPr>
            </w:pPr>
            <w:r w:rsidRPr="00971F8F">
              <w:rPr>
                <w:rFonts w:ascii="Arial (Body)" w:hAnsi="Arial (Body)"/>
                <w:b/>
                <w:bCs/>
                <w:color w:val="265A9A"/>
              </w:rPr>
              <w:t>TPU</w:t>
            </w:r>
          </w:p>
        </w:tc>
        <w:tc>
          <w:tcPr>
            <w:tcW w:w="4118" w:type="pct"/>
            <w:tcBorders>
              <w:top w:val="nil"/>
              <w:bottom w:val="nil"/>
            </w:tcBorders>
            <w:shd w:val="clear" w:color="000000" w:fill="auto"/>
          </w:tcPr>
          <w:p w14:paraId="139BB55B" w14:textId="7480CB4C" w:rsidR="00E03560" w:rsidRPr="00971F8F" w:rsidRDefault="00DA6CEA" w:rsidP="00971F8F">
            <w:pPr>
              <w:pStyle w:val="TableBody"/>
              <w:spacing w:before="45" w:after="45"/>
              <w:ind w:right="108"/>
              <w:rPr>
                <w:rFonts w:ascii="Arial (Body)" w:hAnsi="Arial (Body)"/>
                <w:color w:val="000000"/>
              </w:rPr>
            </w:pPr>
            <w:r w:rsidRPr="00971F8F">
              <w:rPr>
                <w:rFonts w:ascii="Arial (Body)" w:hAnsi="Arial (Body)"/>
                <w:color w:val="000000"/>
              </w:rPr>
              <w:t>Trade Policy Uncertainty</w:t>
            </w:r>
          </w:p>
        </w:tc>
      </w:tr>
      <w:tr w:rsidR="00E03560" w:rsidRPr="00971F8F" w14:paraId="0A268A81" w14:textId="77777777" w:rsidTr="00971F8F">
        <w:tc>
          <w:tcPr>
            <w:tcW w:w="882" w:type="pct"/>
            <w:tcBorders>
              <w:bottom w:val="nil"/>
            </w:tcBorders>
            <w:shd w:val="clear" w:color="000000" w:fill="F2F2F2"/>
          </w:tcPr>
          <w:p w14:paraId="027C0637" w14:textId="7A3502CF" w:rsidR="00E03560" w:rsidRPr="00971F8F" w:rsidRDefault="004F1072" w:rsidP="00971F8F">
            <w:pPr>
              <w:pStyle w:val="TableBody"/>
              <w:spacing w:before="45" w:after="45"/>
              <w:ind w:right="108"/>
              <w:rPr>
                <w:rFonts w:ascii="Arial (Body)" w:hAnsi="Arial (Body)"/>
                <w:b/>
                <w:bCs/>
                <w:color w:val="265A9A"/>
              </w:rPr>
            </w:pPr>
            <w:r w:rsidRPr="00971F8F">
              <w:rPr>
                <w:rFonts w:ascii="Arial (Body)" w:hAnsi="Arial (Body)"/>
                <w:b/>
                <w:bCs/>
                <w:color w:val="265A9A"/>
              </w:rPr>
              <w:t>UAE</w:t>
            </w:r>
          </w:p>
        </w:tc>
        <w:tc>
          <w:tcPr>
            <w:tcW w:w="4118" w:type="pct"/>
            <w:tcBorders>
              <w:bottom w:val="nil"/>
            </w:tcBorders>
            <w:shd w:val="clear" w:color="000000" w:fill="F2F2F2"/>
          </w:tcPr>
          <w:p w14:paraId="6B0717BC" w14:textId="3DF38943" w:rsidR="00E03560" w:rsidRPr="00971F8F" w:rsidRDefault="000E184E" w:rsidP="00971F8F">
            <w:pPr>
              <w:pStyle w:val="TableBody"/>
              <w:spacing w:before="45" w:after="45"/>
              <w:ind w:right="108"/>
              <w:rPr>
                <w:rFonts w:ascii="Arial (Body)" w:hAnsi="Arial (Body)"/>
                <w:color w:val="000000"/>
              </w:rPr>
            </w:pPr>
            <w:r w:rsidRPr="00971F8F">
              <w:rPr>
                <w:rFonts w:ascii="Arial (Body)" w:hAnsi="Arial (Body)"/>
                <w:color w:val="000000"/>
              </w:rPr>
              <w:t>United Arab Emirates</w:t>
            </w:r>
          </w:p>
        </w:tc>
      </w:tr>
      <w:tr w:rsidR="004F1072" w:rsidRPr="00971F8F" w14:paraId="709B8780" w14:textId="77777777" w:rsidTr="00971F8F">
        <w:tc>
          <w:tcPr>
            <w:tcW w:w="882" w:type="pct"/>
            <w:tcBorders>
              <w:top w:val="nil"/>
              <w:bottom w:val="nil"/>
            </w:tcBorders>
            <w:shd w:val="clear" w:color="000000" w:fill="auto"/>
          </w:tcPr>
          <w:p w14:paraId="3DBA55FC" w14:textId="7121D882" w:rsidR="004F1072" w:rsidRPr="00971F8F" w:rsidRDefault="004F1072" w:rsidP="00971F8F">
            <w:pPr>
              <w:pStyle w:val="TableBody"/>
              <w:spacing w:before="45" w:after="45"/>
              <w:ind w:right="108"/>
              <w:rPr>
                <w:rFonts w:ascii="Arial (Body)" w:hAnsi="Arial (Body)"/>
                <w:b/>
                <w:bCs/>
                <w:color w:val="265A9A"/>
              </w:rPr>
            </w:pPr>
            <w:r w:rsidRPr="00971F8F">
              <w:rPr>
                <w:rFonts w:ascii="Arial (Body)" w:hAnsi="Arial (Body)"/>
                <w:b/>
                <w:bCs/>
                <w:color w:val="265A9A"/>
              </w:rPr>
              <w:t>VAR</w:t>
            </w:r>
          </w:p>
        </w:tc>
        <w:tc>
          <w:tcPr>
            <w:tcW w:w="4118" w:type="pct"/>
            <w:tcBorders>
              <w:top w:val="nil"/>
              <w:bottom w:val="nil"/>
            </w:tcBorders>
            <w:shd w:val="clear" w:color="000000" w:fill="auto"/>
          </w:tcPr>
          <w:p w14:paraId="30816F67" w14:textId="10970F40" w:rsidR="004F1072" w:rsidRPr="00971F8F" w:rsidRDefault="00A043FB" w:rsidP="00971F8F">
            <w:pPr>
              <w:pStyle w:val="TableBody"/>
              <w:spacing w:before="45" w:after="45"/>
              <w:ind w:right="108"/>
              <w:rPr>
                <w:rFonts w:ascii="Arial (Body)" w:hAnsi="Arial (Body)"/>
                <w:color w:val="000000"/>
              </w:rPr>
            </w:pPr>
            <w:r w:rsidRPr="00971F8F">
              <w:rPr>
                <w:rFonts w:ascii="Arial (Body)" w:hAnsi="Arial (Body)"/>
                <w:color w:val="000000"/>
              </w:rPr>
              <w:t>Vector Auto</w:t>
            </w:r>
            <w:r w:rsidR="003A519F" w:rsidRPr="00971F8F">
              <w:rPr>
                <w:rFonts w:ascii="Arial (Body)" w:hAnsi="Arial (Body)"/>
                <w:color w:val="000000"/>
              </w:rPr>
              <w:t>regression</w:t>
            </w:r>
          </w:p>
        </w:tc>
      </w:tr>
      <w:tr w:rsidR="004F1072" w:rsidRPr="00971F8F" w14:paraId="006A5B98" w14:textId="77777777" w:rsidTr="00971F8F">
        <w:tc>
          <w:tcPr>
            <w:tcW w:w="882" w:type="pct"/>
            <w:tcBorders>
              <w:bottom w:val="single" w:sz="4" w:space="0" w:color="B3B3B3"/>
            </w:tcBorders>
            <w:shd w:val="clear" w:color="000000" w:fill="F2F2F2"/>
          </w:tcPr>
          <w:p w14:paraId="2DE65E82" w14:textId="02C25DA8" w:rsidR="004F1072" w:rsidRPr="00971F8F" w:rsidRDefault="004F1072" w:rsidP="00971F8F">
            <w:pPr>
              <w:pStyle w:val="TableBody"/>
              <w:spacing w:before="45" w:after="45"/>
              <w:ind w:right="108"/>
              <w:rPr>
                <w:rFonts w:ascii="Arial (Body)" w:hAnsi="Arial (Body)"/>
                <w:b/>
                <w:bCs/>
                <w:color w:val="265A9A"/>
              </w:rPr>
            </w:pPr>
            <w:r w:rsidRPr="00971F8F">
              <w:rPr>
                <w:rFonts w:ascii="Arial (Body)" w:hAnsi="Arial (Body)"/>
                <w:b/>
                <w:bCs/>
                <w:color w:val="265A9A"/>
              </w:rPr>
              <w:t>WTO</w:t>
            </w:r>
          </w:p>
        </w:tc>
        <w:tc>
          <w:tcPr>
            <w:tcW w:w="4118" w:type="pct"/>
            <w:tcBorders>
              <w:bottom w:val="single" w:sz="4" w:space="0" w:color="B3B3B3"/>
            </w:tcBorders>
            <w:shd w:val="clear" w:color="000000" w:fill="F2F2F2"/>
          </w:tcPr>
          <w:p w14:paraId="79C47285" w14:textId="4FDDEEB4" w:rsidR="004F1072" w:rsidRPr="00971F8F" w:rsidRDefault="007E27D8" w:rsidP="00971F8F">
            <w:pPr>
              <w:pStyle w:val="TableBody"/>
              <w:spacing w:before="45" w:after="45"/>
              <w:ind w:right="108"/>
              <w:rPr>
                <w:rFonts w:ascii="Arial (Body)" w:hAnsi="Arial (Body)"/>
                <w:color w:val="000000"/>
              </w:rPr>
            </w:pPr>
            <w:r w:rsidRPr="00971F8F">
              <w:rPr>
                <w:rFonts w:ascii="Arial (Body)" w:hAnsi="Arial (Body)"/>
                <w:color w:val="000000"/>
              </w:rPr>
              <w:t>World Trade Organisation</w:t>
            </w:r>
          </w:p>
        </w:tc>
      </w:tr>
    </w:tbl>
    <w:p w14:paraId="4179B1A1" w14:textId="77777777" w:rsidR="00A22387" w:rsidRDefault="00A22387" w:rsidP="003D780E">
      <w:pPr>
        <w:pStyle w:val="Heading1-nobackground"/>
        <w:sectPr w:rsidR="00A22387" w:rsidSect="009157BE">
          <w:headerReference w:type="default" r:id="rId113"/>
          <w:type w:val="continuous"/>
          <w:pgSz w:w="11906" w:h="16838" w:code="9"/>
          <w:pgMar w:top="1134" w:right="1134" w:bottom="1134" w:left="1134" w:header="794" w:footer="510" w:gutter="0"/>
          <w:cols w:space="708"/>
          <w:docGrid w:linePitch="360"/>
        </w:sectPr>
      </w:pPr>
    </w:p>
    <w:p w14:paraId="76136172" w14:textId="77777777" w:rsidR="00F902F0" w:rsidRDefault="00EF4E76" w:rsidP="003D780E">
      <w:pPr>
        <w:pStyle w:val="Heading1-nobackground"/>
        <w:sectPr w:rsidR="00F902F0" w:rsidSect="003E497C">
          <w:type w:val="oddPage"/>
          <w:pgSz w:w="11906" w:h="16838" w:code="9"/>
          <w:pgMar w:top="1134" w:right="1134" w:bottom="1134" w:left="1134" w:header="794" w:footer="510" w:gutter="0"/>
          <w:cols w:num="2" w:space="708"/>
          <w:docGrid w:linePitch="360"/>
        </w:sectPr>
      </w:pPr>
      <w:bookmarkStart w:id="112" w:name="_Toc202477870"/>
      <w:r>
        <w:lastRenderedPageBreak/>
        <w:t>References</w:t>
      </w:r>
      <w:bookmarkEnd w:id="112"/>
    </w:p>
    <w:p w14:paraId="75CBA992" w14:textId="62C65451" w:rsidR="003E497C" w:rsidRPr="003E497C" w:rsidRDefault="003E497C" w:rsidP="00F902F0">
      <w:pPr>
        <w:pStyle w:val="Reference"/>
      </w:pPr>
      <w:r w:rsidRPr="003E497C">
        <w:t xml:space="preserve">ABF (Australian Border Force) 2024, </w:t>
      </w:r>
      <w:r w:rsidRPr="003E497C">
        <w:rPr>
          <w:i/>
          <w:iCs/>
        </w:rPr>
        <w:t>Australian Border Force Website</w:t>
      </w:r>
      <w:r w:rsidRPr="003E497C">
        <w:t>, Australian Border Force Website - Tariff classification, https://www.abf.gov.au/importing-exporting-and-manufacturing/tariff-classification (accessed 16 May 2025).</w:t>
      </w:r>
    </w:p>
    <w:p w14:paraId="21353F80" w14:textId="77777777" w:rsidR="003E497C" w:rsidRPr="003E497C" w:rsidRDefault="003E497C" w:rsidP="00F902F0">
      <w:pPr>
        <w:pStyle w:val="Reference"/>
      </w:pPr>
      <w:r w:rsidRPr="003E497C">
        <w:t xml:space="preserve">ABS (Australian Bureau of Statistics) 2008, </w:t>
      </w:r>
      <w:r w:rsidRPr="003E497C">
        <w:rPr>
          <w:i/>
          <w:iCs/>
        </w:rPr>
        <w:t>Data Source - Characteristics of Small Business Operators</w:t>
      </w:r>
      <w:r w:rsidRPr="003E497C">
        <w:t>, https://www.abs.gov.au/ausstats/abs@.nsf/products/6842F95F5722DAE4CA256D0200821236?OpenDocument (accessed 25 March 2025).</w:t>
      </w:r>
    </w:p>
    <w:p w14:paraId="12D1D5EA" w14:textId="4DAABFB4" w:rsidR="003E497C" w:rsidRPr="003E497C" w:rsidRDefault="003E497C" w:rsidP="00F902F0">
      <w:pPr>
        <w:pStyle w:val="Reference"/>
      </w:pPr>
      <w:r w:rsidRPr="003E497C">
        <w:t>——</w:t>
      </w:r>
      <w:r w:rsidR="00971F8F">
        <w:t> </w:t>
      </w:r>
      <w:r w:rsidRPr="003E497C">
        <w:t xml:space="preserve">2018, </w:t>
      </w:r>
      <w:r w:rsidRPr="003E497C">
        <w:rPr>
          <w:i/>
          <w:iCs/>
        </w:rPr>
        <w:t>International Merchandise Trade, Australia: Concepts, Sources and Methods</w:t>
      </w:r>
      <w:r w:rsidRPr="003E497C">
        <w:t>, https://www.abs.gov.au/statistics/detailed-methodology-information/concepts-sources-methods/international-merchandise-trade-australia-concepts-sources-and-methods/latest-release (accessed 7 March 2025).</w:t>
      </w:r>
    </w:p>
    <w:p w14:paraId="17081F44" w14:textId="1C3896B8" w:rsidR="003E497C" w:rsidRPr="003E497C" w:rsidRDefault="003E497C" w:rsidP="00F902F0">
      <w:pPr>
        <w:pStyle w:val="Reference"/>
      </w:pPr>
      <w:r w:rsidRPr="003E497C">
        <w:t>——</w:t>
      </w:r>
      <w:r w:rsidR="00971F8F">
        <w:t> </w:t>
      </w:r>
      <w:r w:rsidRPr="003E497C">
        <w:t xml:space="preserve">2024a, </w:t>
      </w:r>
      <w:r w:rsidRPr="003E497C">
        <w:rPr>
          <w:i/>
          <w:iCs/>
        </w:rPr>
        <w:t>Australian System of National Accounts, 2023-24 financial year</w:t>
      </w:r>
      <w:r w:rsidRPr="003E497C">
        <w:t>, https://www.abs.gov.au/statistics/economy/</w:t>
      </w:r>
      <w:r w:rsidR="006F0ADB">
        <w:br/>
      </w:r>
      <w:r w:rsidRPr="003E497C">
        <w:t>national-accounts/australian-system-national-accounts/latest-release (accessed 19 June 2025).</w:t>
      </w:r>
    </w:p>
    <w:p w14:paraId="2DA44274" w14:textId="517D3E64" w:rsidR="003E497C" w:rsidRDefault="003E497C" w:rsidP="00F902F0">
      <w:pPr>
        <w:pStyle w:val="Reference"/>
      </w:pPr>
      <w:r w:rsidRPr="003E497C">
        <w:t>——</w:t>
      </w:r>
      <w:r w:rsidR="00971F8F">
        <w:t> </w:t>
      </w:r>
      <w:r w:rsidRPr="003E497C">
        <w:t xml:space="preserve">2024b, </w:t>
      </w:r>
      <w:r w:rsidRPr="003E497C">
        <w:rPr>
          <w:i/>
          <w:iCs/>
        </w:rPr>
        <w:t>Counts of Australian Businesses, including Entries and Exits, July 2020 - June 2024</w:t>
      </w:r>
      <w:r w:rsidRPr="003E497C">
        <w:t>, https://www.abs.gov.au/</w:t>
      </w:r>
      <w:r w:rsidR="006F0ADB">
        <w:br/>
      </w:r>
      <w:r w:rsidRPr="003E497C">
        <w:t>statistics/economy/business-indicators/counts-australian-businesses-including-entries-and-exits/latest-release (accessed 17 February 2025).</w:t>
      </w:r>
    </w:p>
    <w:p w14:paraId="11963250" w14:textId="2564892E" w:rsidR="003E497C" w:rsidRPr="003E497C" w:rsidRDefault="003E497C" w:rsidP="00F902F0">
      <w:pPr>
        <w:pStyle w:val="Reference"/>
      </w:pPr>
      <w:r w:rsidRPr="003E497C">
        <w:t>——</w:t>
      </w:r>
      <w:r w:rsidR="00971F8F">
        <w:t> </w:t>
      </w:r>
      <w:r w:rsidRPr="003E497C">
        <w:t xml:space="preserve">2025a, </w:t>
      </w:r>
      <w:r w:rsidRPr="003E497C">
        <w:rPr>
          <w:i/>
          <w:iCs/>
        </w:rPr>
        <w:t>5368.0 - International Trade in Goods and Services, March 2025</w:t>
      </w:r>
      <w:r w:rsidRPr="003E497C">
        <w:t>, Data release, Australian Government, Canberra.</w:t>
      </w:r>
    </w:p>
    <w:p w14:paraId="4A14D631" w14:textId="1BEFD302" w:rsidR="003E497C" w:rsidRPr="003E497C" w:rsidRDefault="003E497C" w:rsidP="00F902F0">
      <w:pPr>
        <w:pStyle w:val="Reference"/>
      </w:pPr>
      <w:r w:rsidRPr="003E497C">
        <w:t>——</w:t>
      </w:r>
      <w:r w:rsidR="00971F8F">
        <w:t> </w:t>
      </w:r>
      <w:r w:rsidRPr="003E497C">
        <w:t xml:space="preserve">2025b, </w:t>
      </w:r>
      <w:r w:rsidRPr="003E497C">
        <w:rPr>
          <w:i/>
          <w:iCs/>
        </w:rPr>
        <w:t>Australian National Accounts: Finance and Wealth, December 2024</w:t>
      </w:r>
      <w:r w:rsidRPr="003E497C">
        <w:t>, https://www.abs.gov.au/statistics/economy/national-accounts/australian-national-accounts-finance-and-wealth/latest-release (accessed 4 April 2025).</w:t>
      </w:r>
    </w:p>
    <w:p w14:paraId="1C69F94F" w14:textId="434B6424" w:rsidR="003E497C" w:rsidRPr="006F0ADB" w:rsidRDefault="003E497C" w:rsidP="00F902F0">
      <w:pPr>
        <w:pStyle w:val="Reference"/>
        <w:rPr>
          <w:spacing w:val="-4"/>
        </w:rPr>
      </w:pPr>
      <w:r w:rsidRPr="006F0ADB">
        <w:rPr>
          <w:spacing w:val="-4"/>
        </w:rPr>
        <w:t>——</w:t>
      </w:r>
      <w:r w:rsidR="00971F8F" w:rsidRPr="006F0ADB">
        <w:rPr>
          <w:spacing w:val="-4"/>
        </w:rPr>
        <w:t> </w:t>
      </w:r>
      <w:r w:rsidRPr="006F0ADB">
        <w:rPr>
          <w:spacing w:val="-4"/>
        </w:rPr>
        <w:t xml:space="preserve">2025c, </w:t>
      </w:r>
      <w:r w:rsidRPr="006F0ADB">
        <w:rPr>
          <w:i/>
          <w:iCs/>
          <w:spacing w:val="-4"/>
        </w:rPr>
        <w:t>Australian National Accounts: National Income, Expenditure and Product, December 2024</w:t>
      </w:r>
      <w:r w:rsidRPr="006F0ADB">
        <w:rPr>
          <w:spacing w:val="-4"/>
        </w:rPr>
        <w:t>, https://www.abs.gov.au/statistics/economy/national-accounts/australian-national-accounts-national-income-expenditure-and-product/latest-release (accessed 3 April 2025).</w:t>
      </w:r>
    </w:p>
    <w:p w14:paraId="288E0792" w14:textId="1333CD5C" w:rsidR="003E497C" w:rsidRPr="003E497C" w:rsidRDefault="003E497C" w:rsidP="00F902F0">
      <w:pPr>
        <w:pStyle w:val="Reference"/>
      </w:pPr>
      <w:r w:rsidRPr="003E497C">
        <w:t>——</w:t>
      </w:r>
      <w:r w:rsidR="00971F8F">
        <w:t> </w:t>
      </w:r>
      <w:r w:rsidRPr="003E497C">
        <w:t xml:space="preserve">2025d, </w:t>
      </w:r>
      <w:r w:rsidRPr="003E497C">
        <w:rPr>
          <w:i/>
          <w:iCs/>
        </w:rPr>
        <w:t>Balance of Payments and International Investment Position, Australia, December 2024</w:t>
      </w:r>
      <w:r w:rsidRPr="003E497C">
        <w:t>, https://www.abs.gov.au/statistics/economy/international-trade/balance-payments-and-international-investment-position-australia/latest-release (accessed 3 April 2025).</w:t>
      </w:r>
    </w:p>
    <w:p w14:paraId="6BC52488" w14:textId="62923C92" w:rsidR="003E497C" w:rsidRPr="003E497C" w:rsidRDefault="003E497C" w:rsidP="00F902F0">
      <w:pPr>
        <w:pStyle w:val="Reference"/>
      </w:pPr>
      <w:r w:rsidRPr="003E497C">
        <w:t>——</w:t>
      </w:r>
      <w:r w:rsidR="00971F8F">
        <w:t> </w:t>
      </w:r>
      <w:r w:rsidRPr="003E497C">
        <w:t xml:space="preserve">2025e, </w:t>
      </w:r>
      <w:r w:rsidRPr="003E497C">
        <w:rPr>
          <w:i/>
          <w:iCs/>
        </w:rPr>
        <w:t>International Investment Position, Australia: Supplementary Statistics, 2024 | Australian Bureau of Statistics</w:t>
      </w:r>
      <w:r w:rsidRPr="003E497C">
        <w:t>, https://www.abs.gov.au/statistics/economy/international-trade/international-investment-position-australia-supplementary-statistics/latest-release (accessed 13 May 2025).</w:t>
      </w:r>
    </w:p>
    <w:p w14:paraId="051773F7" w14:textId="77777777" w:rsidR="003E497C" w:rsidRPr="003E497C" w:rsidRDefault="003E497C" w:rsidP="00F902F0">
      <w:pPr>
        <w:pStyle w:val="Reference"/>
      </w:pPr>
      <w:r w:rsidRPr="003E497C">
        <w:t xml:space="preserve">ACCC (Australian Competition and Consumer Commission) 2022, </w:t>
      </w:r>
      <w:r w:rsidRPr="003E497C">
        <w:rPr>
          <w:i/>
          <w:iCs/>
        </w:rPr>
        <w:t>Summary of the Australian Competition and Consumer Commission Advice to Government</w:t>
      </w:r>
      <w:r w:rsidRPr="003E497C">
        <w:t>, Treasury.</w:t>
      </w:r>
    </w:p>
    <w:p w14:paraId="6FC87643" w14:textId="77777777" w:rsidR="003E497C" w:rsidRPr="003E497C" w:rsidRDefault="003E497C" w:rsidP="00F902F0">
      <w:pPr>
        <w:pStyle w:val="Reference"/>
      </w:pPr>
      <w:r w:rsidRPr="003E497C">
        <w:t>Adams, N and Atkin, T 2022, ‘The Significant Shift in Australia’s Balance of Payments’.</w:t>
      </w:r>
    </w:p>
    <w:p w14:paraId="786DD6A2" w14:textId="77777777" w:rsidR="003E497C" w:rsidRPr="003E497C" w:rsidRDefault="003E497C" w:rsidP="00F902F0">
      <w:pPr>
        <w:pStyle w:val="Reference"/>
      </w:pPr>
      <w:r w:rsidRPr="003E497C">
        <w:t xml:space="preserve">Ahir, H, Bloom, N and Furceri, D 2022, </w:t>
      </w:r>
      <w:r w:rsidRPr="003E497C">
        <w:rPr>
          <w:i/>
          <w:iCs/>
        </w:rPr>
        <w:t>The World Uncertainty Index</w:t>
      </w:r>
      <w:r w:rsidRPr="003E497C">
        <w:t xml:space="preserve">, 21 February, w29763, National Bureau of Economic </w:t>
      </w:r>
      <w:r w:rsidRPr="003E497C">
        <w:t>Research, https://www.nber.org/papers/w29763 (accessed 20 May 2025).</w:t>
      </w:r>
    </w:p>
    <w:p w14:paraId="28CFED14" w14:textId="77777777" w:rsidR="003E497C" w:rsidRPr="003E497C" w:rsidRDefault="003E497C" w:rsidP="00F902F0">
      <w:pPr>
        <w:pStyle w:val="Reference"/>
      </w:pPr>
      <w:r w:rsidRPr="003E497C">
        <w:t xml:space="preserve">Albanese, A 2024, </w:t>
      </w:r>
      <w:r w:rsidRPr="003E497C">
        <w:rPr>
          <w:i/>
          <w:iCs/>
        </w:rPr>
        <w:t>A future made in Australia</w:t>
      </w:r>
      <w:r w:rsidRPr="003E497C">
        <w:t>, Prime Minister of Australia, https://www.pm.gov.au/media/future-made-australia (accessed 14 May 2025).</w:t>
      </w:r>
    </w:p>
    <w:p w14:paraId="4BC6E537" w14:textId="70E75B8E" w:rsidR="003E497C" w:rsidRPr="003E497C" w:rsidRDefault="003E497C" w:rsidP="00F902F0">
      <w:pPr>
        <w:pStyle w:val="Reference"/>
      </w:pPr>
      <w:r w:rsidRPr="003E497C">
        <w:t>——</w:t>
      </w:r>
      <w:r w:rsidR="00971F8F">
        <w:t> </w:t>
      </w:r>
      <w:r w:rsidRPr="003E497C">
        <w:t xml:space="preserve">2025a, </w:t>
      </w:r>
      <w:r w:rsidRPr="003E497C">
        <w:rPr>
          <w:i/>
          <w:iCs/>
        </w:rPr>
        <w:t>Albanese Government to establish critical minerals strategic reserve</w:t>
      </w:r>
      <w:r w:rsidRPr="003E497C">
        <w:t>, https://anthonyalbanese.com.au/media-centre/albanese-government-to-establish-critical-minerals-strategic-reserve (accessed 2 May 2025).</w:t>
      </w:r>
    </w:p>
    <w:p w14:paraId="28545DBA" w14:textId="259E731A" w:rsidR="003E497C" w:rsidRPr="003E497C" w:rsidRDefault="003E497C" w:rsidP="00F902F0">
      <w:pPr>
        <w:pStyle w:val="Reference"/>
      </w:pPr>
      <w:r w:rsidRPr="003E497C">
        <w:t>——</w:t>
      </w:r>
      <w:r w:rsidR="00971F8F">
        <w:t> </w:t>
      </w:r>
      <w:r w:rsidRPr="003E497C">
        <w:t xml:space="preserve">2025b, </w:t>
      </w:r>
      <w:r w:rsidRPr="003E497C">
        <w:rPr>
          <w:i/>
          <w:iCs/>
        </w:rPr>
        <w:t>Statement on USA tariffs</w:t>
      </w:r>
      <w:r w:rsidRPr="003E497C">
        <w:t>, https://alp.org.au/news/statement-on-usa-tariffs/ (accessed 13 May 2025).</w:t>
      </w:r>
    </w:p>
    <w:p w14:paraId="479C6DE1" w14:textId="77777777" w:rsidR="003E497C" w:rsidRPr="003E497C" w:rsidRDefault="003E497C" w:rsidP="00F902F0">
      <w:pPr>
        <w:pStyle w:val="Reference"/>
      </w:pPr>
      <w:r w:rsidRPr="003E497C">
        <w:t xml:space="preserve">——, Farrell, D and King, M 2024a, </w:t>
      </w:r>
      <w:r w:rsidRPr="003E497C">
        <w:rPr>
          <w:i/>
          <w:iCs/>
        </w:rPr>
        <w:t>Additional support for rare earths refining for a Future Made in Australia</w:t>
      </w:r>
      <w:r w:rsidRPr="003E497C">
        <w:t>, Prime Minister of Australia, https://www.pm.gov.au/media/additional-support-rare-earths-refining-future-made-australia (accessed 13 May 2025).</w:t>
      </w:r>
    </w:p>
    <w:p w14:paraId="57302B40" w14:textId="0A00B846" w:rsidR="003E497C" w:rsidRPr="003E497C" w:rsidRDefault="003E497C" w:rsidP="00F902F0">
      <w:pPr>
        <w:pStyle w:val="Reference"/>
      </w:pPr>
      <w:r w:rsidRPr="003E497C">
        <w:t xml:space="preserve">——, 2024b, </w:t>
      </w:r>
      <w:r w:rsidRPr="003E497C">
        <w:rPr>
          <w:i/>
          <w:iCs/>
        </w:rPr>
        <w:t>Critical minerals funding helps deliver future made in Australia | Prime Minister of Australia</w:t>
      </w:r>
      <w:r w:rsidRPr="003E497C">
        <w:t>, Media Release, The Prime Minister of Australia, https://www.pm.gov.au/media/critical-minerals-funding-helps-deliver-future-made-australia (accessed 13 May 2025).</w:t>
      </w:r>
    </w:p>
    <w:p w14:paraId="6DF82045" w14:textId="4D35FB2A" w:rsidR="003E497C" w:rsidRPr="003E497C" w:rsidRDefault="003E497C" w:rsidP="00F902F0">
      <w:pPr>
        <w:pStyle w:val="Reference"/>
      </w:pPr>
      <w:r w:rsidRPr="003E497C">
        <w:t xml:space="preserve">——, Wong, P and Collins, J 2024c, </w:t>
      </w:r>
      <w:r w:rsidRPr="003E497C">
        <w:rPr>
          <w:i/>
          <w:iCs/>
        </w:rPr>
        <w:t>Effective Immediately - Live Rock Lobster exports to China set to restart</w:t>
      </w:r>
      <w:r w:rsidRPr="003E497C">
        <w:t>, https://www.trademinister.gov.au/minister/don-farrell/media-release/effective-immediately-live-rock-lobster-exports-china-set-restart (accessed 14 June 2025).</w:t>
      </w:r>
    </w:p>
    <w:p w14:paraId="62FAF817" w14:textId="3C49B591" w:rsidR="003E497C" w:rsidRPr="003E497C" w:rsidRDefault="003E497C" w:rsidP="00F902F0">
      <w:pPr>
        <w:pStyle w:val="Reference"/>
      </w:pPr>
      <w:r w:rsidRPr="003E497C">
        <w:t xml:space="preserve">——, and 2024d, </w:t>
      </w:r>
      <w:r w:rsidRPr="003E497C">
        <w:rPr>
          <w:i/>
          <w:iCs/>
        </w:rPr>
        <w:t>Final Chinese trade impediments on red meat establishments lifted</w:t>
      </w:r>
      <w:r w:rsidRPr="003E497C">
        <w:t>, https://www.trademinister.gov.au/minister/don-farrell/media-release/final-chinese-trade-impediments-red-meat-establishments-lifted (accessed 14 June 2025).</w:t>
      </w:r>
    </w:p>
    <w:p w14:paraId="510C8277" w14:textId="77777777" w:rsidR="003E497C" w:rsidRPr="003E497C" w:rsidRDefault="003E497C" w:rsidP="00F902F0">
      <w:pPr>
        <w:pStyle w:val="Reference"/>
      </w:pPr>
      <w:r w:rsidRPr="003E497C">
        <w:t xml:space="preserve">——, Wong, P and Farrell, D 2025, </w:t>
      </w:r>
      <w:r w:rsidRPr="003E497C">
        <w:rPr>
          <w:i/>
          <w:iCs/>
        </w:rPr>
        <w:t>Boosting Australia’s economic ties with India</w:t>
      </w:r>
      <w:r w:rsidRPr="003E497C">
        <w:t>, https://www.trademinister.gov.au/minister/don-farrell/media-release/boosting-australias-economic-ties-india (accessed 14 June 2025).</w:t>
      </w:r>
    </w:p>
    <w:p w14:paraId="67F5EF96" w14:textId="77777777" w:rsidR="003E497C" w:rsidRPr="003E497C" w:rsidRDefault="003E497C" w:rsidP="00F902F0">
      <w:pPr>
        <w:pStyle w:val="Reference"/>
      </w:pPr>
      <w:r w:rsidRPr="003E497C">
        <w:t xml:space="preserve">Albert, C and Nilsson, L 2016, </w:t>
      </w:r>
      <w:r w:rsidRPr="003E497C">
        <w:rPr>
          <w:i/>
          <w:iCs/>
        </w:rPr>
        <w:t>To use, or not to use (trade preferences) that is the question</w:t>
      </w:r>
      <w:r w:rsidRPr="003E497C">
        <w:t>.</w:t>
      </w:r>
    </w:p>
    <w:p w14:paraId="60F53DF5" w14:textId="77777777" w:rsidR="003E497C" w:rsidRPr="003E497C" w:rsidRDefault="003E497C" w:rsidP="00F902F0">
      <w:pPr>
        <w:pStyle w:val="Reference"/>
      </w:pPr>
      <w:r w:rsidRPr="003E497C">
        <w:t xml:space="preserve">AlphaHPA 2024, </w:t>
      </w:r>
      <w:r w:rsidRPr="003E497C">
        <w:rPr>
          <w:i/>
          <w:iCs/>
        </w:rPr>
        <w:t>Alpha HPA Reaches Contractual Close for $400M to Deliver Australia’s First Large-Scale High-Purity Alumina Plant</w:t>
      </w:r>
      <w:r w:rsidRPr="003E497C">
        <w:t xml:space="preserve">, </w:t>
      </w:r>
      <w:r w:rsidRPr="003E497C">
        <w:rPr>
          <w:i/>
          <w:iCs/>
        </w:rPr>
        <w:t>Alpha HPA</w:t>
      </w:r>
      <w:r w:rsidRPr="003E497C">
        <w:t>, 16 December, https://alphahpa.com.au/alpha-hpa-reaches-contractual-close-for-400m-to-deliver-australias-first-large-scale-high-purity-alumina-plant-4531/ (accessed 13 May 2025).</w:t>
      </w:r>
    </w:p>
    <w:p w14:paraId="3B56D27F" w14:textId="77777777" w:rsidR="003E497C" w:rsidRPr="003E497C" w:rsidRDefault="003E497C" w:rsidP="00F902F0">
      <w:pPr>
        <w:pStyle w:val="Reference"/>
      </w:pPr>
      <w:r w:rsidRPr="003E497C">
        <w:t xml:space="preserve">Amiti, M and Konings, J 2007, ‘Trade Liberalization, Intermediate Inputs, and Productivity: Evidence from Indonesia’, </w:t>
      </w:r>
      <w:r w:rsidRPr="003E497C">
        <w:rPr>
          <w:i/>
          <w:iCs/>
        </w:rPr>
        <w:t>American Economic Review</w:t>
      </w:r>
      <w:r w:rsidRPr="003E497C">
        <w:t>, vol. 97, no. 5, pp. 1611–1638.</w:t>
      </w:r>
    </w:p>
    <w:p w14:paraId="0CD61A99" w14:textId="77777777" w:rsidR="003E497C" w:rsidRPr="003E497C" w:rsidRDefault="003E497C" w:rsidP="00F902F0">
      <w:pPr>
        <w:pStyle w:val="Reference"/>
      </w:pPr>
      <w:r w:rsidRPr="003E497C">
        <w:t xml:space="preserve">——, Redding, S and Weinstein, D 2019, </w:t>
      </w:r>
      <w:r w:rsidRPr="003E497C">
        <w:rPr>
          <w:i/>
          <w:iCs/>
        </w:rPr>
        <w:t>The Impact of the 2018 Trade War on U.S. Prices and Welfare</w:t>
      </w:r>
      <w:r w:rsidRPr="003E497C">
        <w:t>, March, w25672, National Bureau of Economic Research, Cambridge, MA, p. w25672, http://www.nber.org/papers/w25672.pdf (accessed 24 April 2025).</w:t>
      </w:r>
    </w:p>
    <w:p w14:paraId="0CC70580" w14:textId="77777777" w:rsidR="003E497C" w:rsidRPr="003E497C" w:rsidRDefault="003E497C" w:rsidP="00F902F0">
      <w:pPr>
        <w:pStyle w:val="Reference"/>
      </w:pPr>
      <w:r w:rsidRPr="003E497C">
        <w:t xml:space="preserve">Anson, J, Cadot, O, Estevadeordal, A, Melo, J de, Suwa-Eisenmann, A and Tumurchudur, B 2005, ‘Rules of Origin in </w:t>
      </w:r>
      <w:r w:rsidRPr="003E497C">
        <w:lastRenderedPageBreak/>
        <w:t xml:space="preserve">North–South Preferential Trading Arrangements with an Application to NAFTA’, John Wiley &amp; Sons, Ltd, </w:t>
      </w:r>
      <w:r w:rsidRPr="003E497C">
        <w:rPr>
          <w:i/>
          <w:iCs/>
        </w:rPr>
        <w:t>Review of International Economics</w:t>
      </w:r>
      <w:r w:rsidRPr="003E497C">
        <w:t>, vol. 13, no. 3, pp. 501–517.</w:t>
      </w:r>
    </w:p>
    <w:p w14:paraId="4A2AAF87" w14:textId="24AAA8D7" w:rsidR="003E497C" w:rsidRPr="003E497C" w:rsidRDefault="003E497C" w:rsidP="00F902F0">
      <w:pPr>
        <w:pStyle w:val="Reference"/>
      </w:pPr>
      <w:r w:rsidRPr="003E497C">
        <w:t xml:space="preserve">ASIC (Australian Securities &amp; Investments Commission) 2014, </w:t>
      </w:r>
      <w:r w:rsidRPr="003E497C">
        <w:rPr>
          <w:i/>
          <w:iCs/>
        </w:rPr>
        <w:t>Are you a large or small proprietary company</w:t>
      </w:r>
      <w:r w:rsidRPr="003E497C">
        <w:t xml:space="preserve">, </w:t>
      </w:r>
      <w:r w:rsidR="00392E52">
        <w:t>h</w:t>
      </w:r>
      <w:r w:rsidRPr="003E497C">
        <w:t>ttps://asic.gov.au/regulatory-resources/financial-reporting-and-audit/preparers-of-financial-reports/are-you-a-large-or-small-proprietary-company/ (accessed 25 March 2025).</w:t>
      </w:r>
    </w:p>
    <w:p w14:paraId="629CB870" w14:textId="71685F0F" w:rsidR="003E497C" w:rsidRPr="003E497C" w:rsidRDefault="003E497C" w:rsidP="00F902F0">
      <w:pPr>
        <w:pStyle w:val="Reference"/>
      </w:pPr>
      <w:r w:rsidRPr="003E497C">
        <w:t xml:space="preserve">ATO (Australian Taxation Office) 2023, </w:t>
      </w:r>
      <w:r w:rsidRPr="003E497C">
        <w:rPr>
          <w:i/>
          <w:iCs/>
        </w:rPr>
        <w:t>CGT small business entity eligibility</w:t>
      </w:r>
      <w:r w:rsidRPr="003E497C">
        <w:t>, Content, scheme=AGLSTERMS.AglsAgent; corporateName= https://www.ato.gov.au/businesses-and-organisations/income-deductions-and-concessions/incentives-and-concessions/small-business-cgt-concessions/small-business-cgt-concessions-eligibility-conditions/cgt-small-business-entity-eligibility (accessed 6 June 2025).</w:t>
      </w:r>
    </w:p>
    <w:p w14:paraId="315C9E32" w14:textId="07AD3FF4" w:rsidR="003E497C" w:rsidRPr="003E497C" w:rsidRDefault="003E497C" w:rsidP="00F902F0">
      <w:pPr>
        <w:pStyle w:val="Reference"/>
      </w:pPr>
      <w:r w:rsidRPr="003E497C">
        <w:t>——</w:t>
      </w:r>
      <w:r w:rsidR="00971F8F">
        <w:t> </w:t>
      </w:r>
      <w:r w:rsidRPr="003E497C">
        <w:t xml:space="preserve">2024a, </w:t>
      </w:r>
      <w:r w:rsidRPr="003E497C">
        <w:rPr>
          <w:i/>
          <w:iCs/>
        </w:rPr>
        <w:t>Register of foreign ownership of residential land: Insights into foreign purchases and sales of residential real estate for the period 1 July 2022 to 30 June 2023</w:t>
      </w:r>
      <w:r w:rsidRPr="003E497C">
        <w:t>, Australian Taxation Office.</w:t>
      </w:r>
    </w:p>
    <w:p w14:paraId="492DA128" w14:textId="3AAFA60C" w:rsidR="003E497C" w:rsidRPr="003E497C" w:rsidRDefault="003E497C" w:rsidP="00F902F0">
      <w:pPr>
        <w:pStyle w:val="Reference"/>
      </w:pPr>
      <w:r w:rsidRPr="003E497C">
        <w:t>——</w:t>
      </w:r>
      <w:r w:rsidR="00971F8F">
        <w:t> </w:t>
      </w:r>
      <w:r w:rsidRPr="003E497C">
        <w:t xml:space="preserve">2024b, </w:t>
      </w:r>
      <w:r w:rsidRPr="003E497C">
        <w:rPr>
          <w:i/>
          <w:iCs/>
        </w:rPr>
        <w:t>Small business entity</w:t>
      </w:r>
      <w:r w:rsidRPr="003E497C">
        <w:t>, https://www.ato.gov.au/forms-and-instructions/capital-gains-tax-concessions-for-small-business-guide-2015/basic-conditions-for-the-small-business-cgt-concessions/small-business-entity (accessed 6 June 2025).</w:t>
      </w:r>
    </w:p>
    <w:p w14:paraId="768C4FD3" w14:textId="35B90EC3" w:rsidR="003E497C" w:rsidRPr="003E497C" w:rsidRDefault="003E497C" w:rsidP="00F902F0">
      <w:pPr>
        <w:pStyle w:val="Reference"/>
      </w:pPr>
      <w:r w:rsidRPr="003E497C">
        <w:t>——</w:t>
      </w:r>
      <w:r w:rsidR="00971F8F">
        <w:t> </w:t>
      </w:r>
      <w:r w:rsidRPr="003E497C">
        <w:t xml:space="preserve">2024c, </w:t>
      </w:r>
      <w:r w:rsidRPr="003E497C">
        <w:rPr>
          <w:i/>
          <w:iCs/>
        </w:rPr>
        <w:t>Small business skills and training boost</w:t>
      </w:r>
      <w:r w:rsidRPr="003E497C">
        <w:t>, https://www.ato.gov.au/businesses-and-organisations/income-deductions-and-concessions/income-and-deductions-for-business/deductions/small-business-skills-and-training-boost (accessed 25 March 2025).</w:t>
      </w:r>
    </w:p>
    <w:p w14:paraId="7FDF38C0" w14:textId="7824E839" w:rsidR="003E497C" w:rsidRPr="003E497C" w:rsidRDefault="003E497C" w:rsidP="00F902F0">
      <w:pPr>
        <w:pStyle w:val="Reference"/>
      </w:pPr>
      <w:r w:rsidRPr="003E497C">
        <w:t>——</w:t>
      </w:r>
      <w:r w:rsidR="00971F8F">
        <w:t> </w:t>
      </w:r>
      <w:r w:rsidRPr="003E497C">
        <w:t xml:space="preserve">2025a, </w:t>
      </w:r>
      <w:r w:rsidRPr="003E497C">
        <w:rPr>
          <w:i/>
          <w:iCs/>
        </w:rPr>
        <w:t>Banning foreign purchases of established dwellings</w:t>
      </w:r>
      <w:r w:rsidRPr="003E497C">
        <w:t>, Content, https://www.ato.gov.au/about-ato/new-legislation/in-detail/international/banning-foreign-purchases-of-established-dwellings (accessed 8 April 2025).</w:t>
      </w:r>
    </w:p>
    <w:p w14:paraId="31911B8E" w14:textId="51733E5F" w:rsidR="003E497C" w:rsidRPr="003E497C" w:rsidRDefault="003E497C" w:rsidP="00F902F0">
      <w:pPr>
        <w:pStyle w:val="Reference"/>
      </w:pPr>
      <w:r w:rsidRPr="003E497C">
        <w:t>——</w:t>
      </w:r>
      <w:r w:rsidR="00971F8F">
        <w:t> </w:t>
      </w:r>
      <w:r w:rsidRPr="003E497C">
        <w:t xml:space="preserve">2025b, </w:t>
      </w:r>
      <w:r w:rsidRPr="003E497C">
        <w:rPr>
          <w:i/>
          <w:iCs/>
        </w:rPr>
        <w:t>Small business energy incentive</w:t>
      </w:r>
      <w:r w:rsidRPr="003E497C">
        <w:t>, Content, https://www.ato.gov.au/businesses-and-organisations/income-deductions-and-concessions/income-and-deductions-for-business/deductions/small-business-energy-incentive (accessed 25 March 2025).</w:t>
      </w:r>
    </w:p>
    <w:p w14:paraId="26DAEF87" w14:textId="4665389D" w:rsidR="003E497C" w:rsidRPr="003E497C" w:rsidRDefault="003E497C" w:rsidP="00F902F0">
      <w:pPr>
        <w:pStyle w:val="Reference"/>
      </w:pPr>
      <w:r w:rsidRPr="003E497C">
        <w:t>——</w:t>
      </w:r>
      <w:r w:rsidR="00971F8F">
        <w:t> </w:t>
      </w:r>
      <w:r w:rsidRPr="003E497C">
        <w:t xml:space="preserve">2025c, </w:t>
      </w:r>
      <w:r w:rsidRPr="003E497C">
        <w:rPr>
          <w:i/>
          <w:iCs/>
        </w:rPr>
        <w:t>Small business income tax offset</w:t>
      </w:r>
      <w:r w:rsidRPr="003E497C">
        <w:t>, https://www.ato.gov.au/businesses-and-organisations/income-deductions-and-concessions/income-and-deductions-for-business/concessions-offsets-and-rebates/small-business-income-tax-offset (accessed 6 June 2025).</w:t>
      </w:r>
    </w:p>
    <w:p w14:paraId="3823D8D2" w14:textId="77777777" w:rsidR="003E497C" w:rsidRPr="003E497C" w:rsidRDefault="003E497C" w:rsidP="00F902F0">
      <w:pPr>
        <w:pStyle w:val="Reference"/>
      </w:pPr>
      <w:r w:rsidRPr="003E497C">
        <w:t xml:space="preserve">Austrade (Australian Trade and Investment Commission) 2024, </w:t>
      </w:r>
      <w:r w:rsidRPr="003E497C">
        <w:rPr>
          <w:i/>
          <w:iCs/>
        </w:rPr>
        <w:t>Eligibility for Export Market Development Grants (EMDG) Tier 1 – ready to export | Austrade</w:t>
      </w:r>
      <w:r w:rsidRPr="003E497C">
        <w:t>, https://www.austrade.gov.au/en/how-we-can-help-you/grants/export-market-development-grants/check-eligibility/criteria/tier-1 (accessed 25 March 2025).</w:t>
      </w:r>
    </w:p>
    <w:p w14:paraId="5241D4C4" w14:textId="77777777" w:rsidR="003E497C" w:rsidRPr="003E497C" w:rsidRDefault="003E497C" w:rsidP="00F902F0">
      <w:pPr>
        <w:pStyle w:val="Reference"/>
      </w:pPr>
      <w:r w:rsidRPr="003E497C">
        <w:t xml:space="preserve">Australian Government 2024a, </w:t>
      </w:r>
      <w:r w:rsidRPr="003E497C">
        <w:rPr>
          <w:i/>
          <w:iCs/>
        </w:rPr>
        <w:t>Future Made in Australia – National Interest Framework</w:t>
      </w:r>
      <w:r w:rsidRPr="003E497C">
        <w:t>.</w:t>
      </w:r>
    </w:p>
    <w:p w14:paraId="428C534C" w14:textId="252E5E48" w:rsidR="003E497C" w:rsidRPr="003E497C" w:rsidRDefault="003E497C" w:rsidP="00F902F0">
      <w:pPr>
        <w:pStyle w:val="Reference"/>
      </w:pPr>
      <w:r w:rsidRPr="003E497C">
        <w:t>——</w:t>
      </w:r>
      <w:r w:rsidR="00971F8F">
        <w:t> </w:t>
      </w:r>
      <w:r w:rsidRPr="003E497C">
        <w:t xml:space="preserve">2024b, </w:t>
      </w:r>
      <w:r w:rsidRPr="003E497C">
        <w:rPr>
          <w:i/>
          <w:iCs/>
        </w:rPr>
        <w:t>Industry Growth Program - program information guidelines</w:t>
      </w:r>
      <w:r w:rsidRPr="003E497C">
        <w:t>, grant page, business.gov.au, https://business.gov.au/grants-and-programs/industry-growth-program (accessed 25 March 2025).</w:t>
      </w:r>
    </w:p>
    <w:p w14:paraId="1C645A43" w14:textId="01E902E9" w:rsidR="003E497C" w:rsidRPr="003E497C" w:rsidRDefault="003E497C" w:rsidP="00F902F0">
      <w:pPr>
        <w:pStyle w:val="Reference"/>
      </w:pPr>
      <w:r w:rsidRPr="003E497C">
        <w:t>——</w:t>
      </w:r>
      <w:r w:rsidR="00971F8F">
        <w:t> </w:t>
      </w:r>
      <w:r w:rsidRPr="003E497C">
        <w:t xml:space="preserve">2025a, </w:t>
      </w:r>
      <w:r w:rsidRPr="003E497C">
        <w:rPr>
          <w:i/>
          <w:iCs/>
        </w:rPr>
        <w:t>CUSTOMS REGULATION 2015 - SCHEDULE 9</w:t>
      </w:r>
      <w:r w:rsidRPr="003E497C">
        <w:t>, Australasian Legal Information Institute (AustLII), https://classic.austlii.edu.au/au/legis/cth/consol_reg/cr2015215/sch9.html (accessed 17 June 2025).</w:t>
      </w:r>
    </w:p>
    <w:p w14:paraId="50E77309" w14:textId="58C8CB4B" w:rsidR="003E497C" w:rsidRPr="003E497C" w:rsidRDefault="003E497C" w:rsidP="00F902F0">
      <w:pPr>
        <w:pStyle w:val="Reference"/>
      </w:pPr>
      <w:r w:rsidRPr="003E497C">
        <w:t>——</w:t>
      </w:r>
      <w:r w:rsidR="00971F8F">
        <w:t> </w:t>
      </w:r>
      <w:r w:rsidRPr="003E497C">
        <w:t xml:space="preserve">2025b, </w:t>
      </w:r>
      <w:r w:rsidRPr="003E497C">
        <w:rPr>
          <w:i/>
          <w:iCs/>
        </w:rPr>
        <w:t>Future Made in Australia</w:t>
      </w:r>
      <w:r w:rsidRPr="003E497C">
        <w:t>, https://futuremadeinaustralia.gov.au</w:t>
      </w:r>
      <w:r w:rsidR="006D5CD4">
        <w:t>/</w:t>
      </w:r>
      <w:r w:rsidRPr="003E497C">
        <w:t xml:space="preserve"> (accessed 27 March 2025).</w:t>
      </w:r>
    </w:p>
    <w:p w14:paraId="5A351109" w14:textId="77777777" w:rsidR="003E497C" w:rsidRPr="003E497C" w:rsidRDefault="003E497C" w:rsidP="00F902F0">
      <w:pPr>
        <w:pStyle w:val="Reference"/>
      </w:pPr>
      <w:r w:rsidRPr="003E497C">
        <w:t xml:space="preserve">Baker, SR, Bloom, N and Davis, SJ 2016, ‘Measuring Economic Policy Uncertainty’, </w:t>
      </w:r>
      <w:r w:rsidRPr="003E497C">
        <w:rPr>
          <w:i/>
          <w:iCs/>
        </w:rPr>
        <w:t>The Quarterly Journal of Economics</w:t>
      </w:r>
      <w:r w:rsidRPr="003E497C">
        <w:t>, vol. 131, no. 4, pp. 1593–1636.</w:t>
      </w:r>
    </w:p>
    <w:p w14:paraId="40DB6E45" w14:textId="77777777" w:rsidR="003E497C" w:rsidRPr="003E497C" w:rsidRDefault="003E497C" w:rsidP="00F902F0">
      <w:pPr>
        <w:pStyle w:val="Reference"/>
      </w:pPr>
      <w:r w:rsidRPr="003E497C">
        <w:t xml:space="preserve">Bas, M and Strauss-Kahn, V 2015, ‘Input-trade liberalization, export prices and quality upgrading’, </w:t>
      </w:r>
      <w:r w:rsidRPr="003E497C">
        <w:rPr>
          <w:i/>
          <w:iCs/>
        </w:rPr>
        <w:t>Journal of International Economics</w:t>
      </w:r>
      <w:r w:rsidRPr="003E497C">
        <w:t>, vol. 95, no. 2, pp. 250–262.</w:t>
      </w:r>
    </w:p>
    <w:p w14:paraId="3D222B67" w14:textId="77777777" w:rsidR="003E497C" w:rsidRPr="003E497C" w:rsidRDefault="003E497C" w:rsidP="00F902F0">
      <w:pPr>
        <w:pStyle w:val="Reference"/>
      </w:pPr>
      <w:r w:rsidRPr="003E497C">
        <w:t xml:space="preserve">Benguria, F, Choi, J, Swenson, DL and Xu, M (Jimmy) 2022, ‘Anxiety or pain? The impact of tariffs and uncertainty on Chinese firms in the trade war’, </w:t>
      </w:r>
      <w:r w:rsidRPr="003E497C">
        <w:rPr>
          <w:i/>
          <w:iCs/>
        </w:rPr>
        <w:t>Journal of International Economics</w:t>
      </w:r>
      <w:r w:rsidRPr="003E497C">
        <w:t>, vol. 137, p. 103608.</w:t>
      </w:r>
    </w:p>
    <w:p w14:paraId="62E7DC31" w14:textId="19A0B335" w:rsidR="003E497C" w:rsidRPr="003E497C" w:rsidRDefault="003E497C" w:rsidP="00F902F0">
      <w:pPr>
        <w:pStyle w:val="Reference"/>
      </w:pPr>
      <w:r w:rsidRPr="003E497C">
        <w:t xml:space="preserve">Bennett, T 2024, </w:t>
      </w:r>
      <w:r w:rsidRPr="003E497C">
        <w:rPr>
          <w:i/>
          <w:iCs/>
        </w:rPr>
        <w:t>Altium soars on $9b takeover offer after ‘torrid ride’</w:t>
      </w:r>
      <w:r w:rsidRPr="003E497C">
        <w:t>, Australian Financial Review, https://www.afr.com/</w:t>
      </w:r>
      <w:r w:rsidR="008F3899">
        <w:br/>
      </w:r>
      <w:r w:rsidRPr="003E497C">
        <w:t>technology/altium-soars-on-9b-takeover-offer-after-torrid-ride-20240215-p5f55h (accessed 13 May 2025).</w:t>
      </w:r>
    </w:p>
    <w:p w14:paraId="73F73278" w14:textId="77777777" w:rsidR="003E497C" w:rsidRPr="003E497C" w:rsidRDefault="003E497C" w:rsidP="00F902F0">
      <w:pPr>
        <w:pStyle w:val="Reference"/>
      </w:pPr>
      <w:r w:rsidRPr="003E497C">
        <w:t xml:space="preserve">Bernanke, BS 1983, ‘Irreversibility, Uncertainty, and Cyclical Investment’, Oxford University Press, </w:t>
      </w:r>
      <w:r w:rsidRPr="003E497C">
        <w:rPr>
          <w:i/>
          <w:iCs/>
        </w:rPr>
        <w:t>The Quarterly Journal of Economics</w:t>
      </w:r>
      <w:r w:rsidRPr="003E497C">
        <w:t>, vol. 98, no. 1, pp. 85–106.</w:t>
      </w:r>
    </w:p>
    <w:p w14:paraId="6D580A4C" w14:textId="77777777" w:rsidR="003E497C" w:rsidRPr="003E497C" w:rsidRDefault="003E497C" w:rsidP="00F902F0">
      <w:pPr>
        <w:pStyle w:val="Reference"/>
      </w:pPr>
      <w:r w:rsidRPr="003E497C">
        <w:t xml:space="preserve">Bistline, J, Mehrotra, N and Wolfram, C 2023, ‘Economic Implications of the Climate Provisions of  the Inflation Reduction Act’, </w:t>
      </w:r>
      <w:r w:rsidRPr="003E497C">
        <w:rPr>
          <w:i/>
          <w:iCs/>
        </w:rPr>
        <w:t>Brookings papers on economic activity</w:t>
      </w:r>
      <w:r w:rsidRPr="003E497C">
        <w:t>.</w:t>
      </w:r>
    </w:p>
    <w:p w14:paraId="658FE43E" w14:textId="77777777" w:rsidR="003E497C" w:rsidRPr="003E497C" w:rsidRDefault="003E497C" w:rsidP="00F902F0">
      <w:pPr>
        <w:pStyle w:val="Reference"/>
      </w:pPr>
      <w:r w:rsidRPr="003E497C">
        <w:t xml:space="preserve">Bowen, C 2024, </w:t>
      </w:r>
      <w:r w:rsidRPr="003E497C">
        <w:rPr>
          <w:i/>
          <w:iCs/>
        </w:rPr>
        <w:t>$330m investment in Australian heavy industry future | Ministers</w:t>
      </w:r>
      <w:r w:rsidRPr="003E497C">
        <w:t>, https://minister.dcceew.gov.au/bowen/media-releases/330m-investment-australian-heavy-industry-future (accessed 7 March 2025).</w:t>
      </w:r>
    </w:p>
    <w:p w14:paraId="5C34083F" w14:textId="26ED0415" w:rsidR="003E497C" w:rsidRPr="003E497C" w:rsidRDefault="003E497C" w:rsidP="00F902F0">
      <w:pPr>
        <w:pStyle w:val="Reference"/>
      </w:pPr>
      <w:r w:rsidRPr="003E497C">
        <w:t>——</w:t>
      </w:r>
      <w:r w:rsidR="00971F8F">
        <w:t> </w:t>
      </w:r>
      <w:r w:rsidRPr="003E497C">
        <w:t xml:space="preserve">2025, </w:t>
      </w:r>
      <w:r w:rsidRPr="003E497C">
        <w:rPr>
          <w:i/>
          <w:iCs/>
        </w:rPr>
        <w:t>Joint media release: Albanese Government builds Australia’s future with new investment in Clean Energy Finance Corporation | Ministers</w:t>
      </w:r>
      <w:r w:rsidRPr="003E497C">
        <w:t>, https://minister.dcceew.gov.au/bowen/media-releases/joint-media-release-albanese-government-builds-australias-future-new-investment-clean-energy-finance-corporation (accessed 14 May 2025).</w:t>
      </w:r>
    </w:p>
    <w:p w14:paraId="532D3E0A" w14:textId="77777777" w:rsidR="003E497C" w:rsidRPr="003E497C" w:rsidRDefault="003E497C" w:rsidP="00F902F0">
      <w:pPr>
        <w:pStyle w:val="Reference"/>
      </w:pPr>
      <w:r w:rsidRPr="003E497C">
        <w:t xml:space="preserve">Buchanan, JM 1965, ‘An Economic Theory of Clubs’, [London School of Economics, Wiley, London School of Economics and Political Science, Suntory and Toyota International Centres for Economics and Related Disciplines], </w:t>
      </w:r>
      <w:r w:rsidRPr="003E497C">
        <w:rPr>
          <w:i/>
          <w:iCs/>
        </w:rPr>
        <w:t>Economica</w:t>
      </w:r>
      <w:r w:rsidRPr="003E497C">
        <w:t>, vol. 32, no. 125, pp. 1–14.</w:t>
      </w:r>
    </w:p>
    <w:p w14:paraId="09B1E7B8" w14:textId="77777777" w:rsidR="003E497C" w:rsidRPr="003E497C" w:rsidRDefault="003E497C" w:rsidP="00F902F0">
      <w:pPr>
        <w:pStyle w:val="Reference"/>
      </w:pPr>
      <w:r w:rsidRPr="003E497C">
        <w:t xml:space="preserve">Bureau, J-C, Chakir, R and Gallezot, J 2007, ‘The Utilisation of Trade Preferences for Developing Countries in the Agri-food Sector’, John Wiley &amp; Sons, Ltd, </w:t>
      </w:r>
      <w:r w:rsidRPr="003E497C">
        <w:rPr>
          <w:i/>
          <w:iCs/>
        </w:rPr>
        <w:t>Journal of Agricultural Economics</w:t>
      </w:r>
      <w:r w:rsidRPr="003E497C">
        <w:t>, vol. 58, no. 2, pp. 175–198.</w:t>
      </w:r>
    </w:p>
    <w:p w14:paraId="09132868" w14:textId="77777777" w:rsidR="003E497C" w:rsidRPr="003E497C" w:rsidRDefault="003E497C" w:rsidP="00F902F0">
      <w:pPr>
        <w:pStyle w:val="Reference"/>
      </w:pPr>
      <w:r w:rsidRPr="003E497C">
        <w:t xml:space="preserve">Burfisher, ME 2021, </w:t>
      </w:r>
      <w:r w:rsidRPr="003E497C">
        <w:rPr>
          <w:i/>
          <w:iCs/>
        </w:rPr>
        <w:t>Introduction to Computable General Equilibrium Models</w:t>
      </w:r>
      <w:r w:rsidRPr="003E497C">
        <w:t>, 3rd edn, Cambridge University Press, Cambridge, https://www.cambridge.org/core/books/introduction-to-computable-general-equilibrium-models/C61E0F4D9C015EB43A5A1843C8C39A58 (accessed 8 October 2024).</w:t>
      </w:r>
    </w:p>
    <w:p w14:paraId="3F01D7DA" w14:textId="77777777" w:rsidR="003E497C" w:rsidRPr="003E497C" w:rsidRDefault="003E497C" w:rsidP="00F902F0">
      <w:pPr>
        <w:pStyle w:val="Reference"/>
      </w:pPr>
      <w:r w:rsidRPr="003E497C">
        <w:t xml:space="preserve">Burke, T 2024, </w:t>
      </w:r>
      <w:r w:rsidRPr="003E497C">
        <w:rPr>
          <w:i/>
          <w:iCs/>
        </w:rPr>
        <w:t>Greater support for the Australian screen industry</w:t>
      </w:r>
      <w:r w:rsidRPr="003E497C">
        <w:t>, Department of Infrastructure, Transport, Regional Development, Communications and the Arts, https://minister.infrastructure.gov.au/burke/media-release/greater-support-australian-screen-industry (accessed 20 March 2025).</w:t>
      </w:r>
    </w:p>
    <w:p w14:paraId="44C29745" w14:textId="77777777" w:rsidR="003E497C" w:rsidRPr="003E497C" w:rsidRDefault="003E497C" w:rsidP="00F902F0">
      <w:pPr>
        <w:pStyle w:val="Reference"/>
      </w:pPr>
      <w:r w:rsidRPr="003E497C">
        <w:t xml:space="preserve">Cadot, O, Carrere, C, De Melo, J and Tumurhudur, B 2006, ‘Product-Specific Rules of Origin in EU and US Preferential Trading Arrangements: An Assessment’, </w:t>
      </w:r>
      <w:r w:rsidRPr="003E497C">
        <w:rPr>
          <w:i/>
          <w:iCs/>
        </w:rPr>
        <w:t>World Trade Revie</w:t>
      </w:r>
      <w:r w:rsidRPr="003E497C">
        <w:t>, vol. 5, no. 2, pp. 199–224.</w:t>
      </w:r>
    </w:p>
    <w:p w14:paraId="7831FA12" w14:textId="77777777" w:rsidR="003E497C" w:rsidRPr="003E497C" w:rsidRDefault="003E497C" w:rsidP="00F902F0">
      <w:pPr>
        <w:pStyle w:val="Reference"/>
      </w:pPr>
      <w:r w:rsidRPr="003E497C">
        <w:t xml:space="preserve">—— and Ing, LY 2016, ‘How restrictive are ASEAN’s rules of origins’, </w:t>
      </w:r>
      <w:r w:rsidRPr="003E497C">
        <w:rPr>
          <w:i/>
          <w:iCs/>
        </w:rPr>
        <w:t>Asian Economic Papers</w:t>
      </w:r>
      <w:r w:rsidRPr="003E497C">
        <w:t>, vol. 15, no. 3, pp. 115–134.</w:t>
      </w:r>
    </w:p>
    <w:p w14:paraId="305373BC" w14:textId="77777777" w:rsidR="003E497C" w:rsidRPr="003E497C" w:rsidRDefault="003E497C" w:rsidP="00F902F0">
      <w:pPr>
        <w:pStyle w:val="Reference"/>
      </w:pPr>
      <w:r w:rsidRPr="003E497C">
        <w:lastRenderedPageBreak/>
        <w:t xml:space="preserve">Caldara, D, Iacoviello, M, Molligo, P, Prestipino, A and Raffo, A 2020, ‘The economic effects of trade policy uncertainty’, </w:t>
      </w:r>
      <w:r w:rsidRPr="003E497C">
        <w:rPr>
          <w:i/>
          <w:iCs/>
        </w:rPr>
        <w:t>Journal of Monetary Economics</w:t>
      </w:r>
      <w:r w:rsidRPr="003E497C">
        <w:t>, vol. 109, pp. 38–59.</w:t>
      </w:r>
    </w:p>
    <w:p w14:paraId="0C8BBC0E" w14:textId="77777777" w:rsidR="003E497C" w:rsidRPr="003E497C" w:rsidRDefault="003E497C" w:rsidP="00F902F0">
      <w:pPr>
        <w:pStyle w:val="Reference"/>
      </w:pPr>
      <w:r w:rsidRPr="003E497C">
        <w:t xml:space="preserve">Carrere, C and De Melo, J 2006, ‘Are different Rules of Origin equally costly? Estimates from NAFTA’, in Cadot, O, Estevadeordal, A, Suwa-Eisenmann, A and Verdier, T (eds), </w:t>
      </w:r>
      <w:r w:rsidRPr="003E497C">
        <w:rPr>
          <w:i/>
          <w:iCs/>
        </w:rPr>
        <w:t>The Origin of Goods: Rules of Origin in Regional Trade Agreements</w:t>
      </w:r>
      <w:r w:rsidRPr="003E497C">
        <w:t>, Oxford University Press, p. 0, https://doi.org/10.1093/0199290482.003.0008 (accessed 17 June 2025).</w:t>
      </w:r>
    </w:p>
    <w:p w14:paraId="67BA26DF" w14:textId="77777777" w:rsidR="003E497C" w:rsidRPr="003E497C" w:rsidRDefault="003E497C" w:rsidP="00F902F0">
      <w:pPr>
        <w:pStyle w:val="Reference"/>
      </w:pPr>
      <w:r w:rsidRPr="003E497C">
        <w:t xml:space="preserve">Cato Institute 2025, </w:t>
      </w:r>
      <w:r w:rsidRPr="003E497C">
        <w:rPr>
          <w:i/>
          <w:iCs/>
        </w:rPr>
        <w:t>The Budgetary Cost of the Inflation Reduction Act’s Energy Subsidies</w:t>
      </w:r>
      <w:r w:rsidRPr="003E497C">
        <w:t>, 11 March, Cato Institute, https://www.cato.org/policy-analysis/budgetary-cost-inflation-reduction-acts-energy-subsidies (accessed 30 April 2025).</w:t>
      </w:r>
    </w:p>
    <w:p w14:paraId="6B722548" w14:textId="77777777" w:rsidR="003E497C" w:rsidRPr="003E497C" w:rsidRDefault="003E497C" w:rsidP="00F902F0">
      <w:pPr>
        <w:pStyle w:val="Reference"/>
      </w:pPr>
      <w:r w:rsidRPr="003E497C">
        <w:t xml:space="preserve">CBP (U.S. Customs and Border Protection) 2025, </w:t>
      </w:r>
      <w:r w:rsidRPr="003E497C">
        <w:rPr>
          <w:i/>
          <w:iCs/>
        </w:rPr>
        <w:t>Column 1 / Column 2 / MFN / NTR - Countries that does business with the United States</w:t>
      </w:r>
      <w:r w:rsidRPr="003E497C">
        <w:t>, https://www.help.cbp.gov/s/article/Article-1117?language=en_US (accessed 2 June 2025).</w:t>
      </w:r>
    </w:p>
    <w:p w14:paraId="150D270E" w14:textId="77777777" w:rsidR="003E497C" w:rsidRPr="003E497C" w:rsidRDefault="003E497C" w:rsidP="00F902F0">
      <w:pPr>
        <w:pStyle w:val="Reference"/>
      </w:pPr>
      <w:r w:rsidRPr="003E497C">
        <w:t xml:space="preserve">CEFC (Clean Energy Finance Corporation) 2023, </w:t>
      </w:r>
      <w:r w:rsidRPr="003E497C">
        <w:rPr>
          <w:i/>
          <w:iCs/>
        </w:rPr>
        <w:t>Annual Report 2022-23</w:t>
      </w:r>
      <w:r w:rsidRPr="003E497C">
        <w:t>, https://www.cefc.com.au/annual-report-2023/ (accessed 6 June 2025).</w:t>
      </w:r>
    </w:p>
    <w:p w14:paraId="34A00D24" w14:textId="0BB3FC01" w:rsidR="003E497C" w:rsidRPr="003E497C" w:rsidRDefault="003E497C" w:rsidP="00F902F0">
      <w:pPr>
        <w:pStyle w:val="Reference"/>
      </w:pPr>
      <w:r w:rsidRPr="003E497C">
        <w:t>——</w:t>
      </w:r>
      <w:r w:rsidR="00971F8F">
        <w:t> </w:t>
      </w:r>
      <w:r w:rsidRPr="003E497C">
        <w:t xml:space="preserve">2024a, </w:t>
      </w:r>
      <w:r w:rsidRPr="003E497C">
        <w:rPr>
          <w:i/>
          <w:iCs/>
        </w:rPr>
        <w:t>Annual report 2023-24</w:t>
      </w:r>
      <w:r w:rsidRPr="003E497C">
        <w:t>, https://www.cefc.com.au/annual-report-2024/ (accessed 6 March 2025).</w:t>
      </w:r>
    </w:p>
    <w:p w14:paraId="7B24FBBC" w14:textId="3C019A01" w:rsidR="003E497C" w:rsidRPr="003E497C" w:rsidRDefault="003E497C" w:rsidP="00F902F0">
      <w:pPr>
        <w:pStyle w:val="Reference"/>
      </w:pPr>
      <w:r w:rsidRPr="003E497C">
        <w:t>——</w:t>
      </w:r>
      <w:r w:rsidR="00971F8F">
        <w:t> </w:t>
      </w:r>
      <w:r w:rsidRPr="003E497C">
        <w:t xml:space="preserve">2024b, </w:t>
      </w:r>
      <w:r w:rsidRPr="003E497C">
        <w:rPr>
          <w:i/>
          <w:iCs/>
        </w:rPr>
        <w:t>Neoen projects provide battery boost for grid - Clean Energy Finance Corporation</w:t>
      </w:r>
      <w:r w:rsidRPr="003E497C">
        <w:t>, https://www.cefc.com.au/case-studies/neoen-projects-provide-battery-boost-for-grid/ (accessed 14 May 2025).</w:t>
      </w:r>
    </w:p>
    <w:p w14:paraId="54DA5D72" w14:textId="77777777" w:rsidR="003E497C" w:rsidRPr="008F3899" w:rsidRDefault="003E497C" w:rsidP="00F902F0">
      <w:pPr>
        <w:pStyle w:val="Reference"/>
        <w:rPr>
          <w:spacing w:val="-4"/>
        </w:rPr>
      </w:pPr>
      <w:r w:rsidRPr="008F3899">
        <w:rPr>
          <w:spacing w:val="-4"/>
        </w:rPr>
        <w:t xml:space="preserve">Centre for International Economics 2017, </w:t>
      </w:r>
      <w:r w:rsidRPr="008F3899">
        <w:rPr>
          <w:i/>
          <w:iCs/>
          <w:spacing w:val="-4"/>
        </w:rPr>
        <w:t>Australian Trade Liberalisation: Analysis of the economic impacts</w:t>
      </w:r>
      <w:r w:rsidRPr="008F3899">
        <w:rPr>
          <w:spacing w:val="-4"/>
        </w:rPr>
        <w:t>, October, Prepared for Australian Department of Foreign Affairs and Trade.</w:t>
      </w:r>
    </w:p>
    <w:p w14:paraId="583FCBE2" w14:textId="7769EC7C" w:rsidR="003E497C" w:rsidRPr="003E497C" w:rsidRDefault="003E497C" w:rsidP="00F902F0">
      <w:pPr>
        <w:pStyle w:val="Reference"/>
      </w:pPr>
      <w:r w:rsidRPr="003E497C">
        <w:t xml:space="preserve">CFRB (Committee for a Responsible Federal Budget) 2024, </w:t>
      </w:r>
      <w:r w:rsidRPr="003E497C">
        <w:rPr>
          <w:i/>
          <w:iCs/>
        </w:rPr>
        <w:t>IRA Energy Provisions Cost Could Double With New Emissions Rule-2024</w:t>
      </w:r>
      <w:r w:rsidR="007D06D1">
        <w:rPr>
          <w:i/>
          <w:iCs/>
        </w:rPr>
        <w:t>–</w:t>
      </w:r>
      <w:r w:rsidRPr="003E497C">
        <w:rPr>
          <w:i/>
          <w:iCs/>
        </w:rPr>
        <w:t>02-13</w:t>
      </w:r>
      <w:r w:rsidRPr="003E497C">
        <w:t>, https://www.crfb.org/blogs/ira-energy-provisions-cost-could-double-new-emissions-rule (accessed 30 April 2025).</w:t>
      </w:r>
    </w:p>
    <w:p w14:paraId="227D8567" w14:textId="77777777" w:rsidR="003E497C" w:rsidRPr="003E497C" w:rsidRDefault="003E497C" w:rsidP="00F902F0">
      <w:pPr>
        <w:pStyle w:val="Reference"/>
      </w:pPr>
      <w:r w:rsidRPr="003E497C">
        <w:t xml:space="preserve">Chalmers, J 2025, </w:t>
      </w:r>
      <w:r w:rsidRPr="003E497C">
        <w:rPr>
          <w:i/>
          <w:iCs/>
        </w:rPr>
        <w:t>Joint press conference, Canberra | Treasury Ministers</w:t>
      </w:r>
      <w:r w:rsidRPr="003E497C">
        <w:t>, Treasury Ministers, https://ministers.treasury.gov.au/ministers/jim-chalmers-2022/transcripts/joint-press-conference-canberra-9 (accessed 18 June 2025).</w:t>
      </w:r>
    </w:p>
    <w:p w14:paraId="44739443" w14:textId="77777777" w:rsidR="003E497C" w:rsidRPr="003E497C" w:rsidRDefault="003E497C" w:rsidP="00F902F0">
      <w:pPr>
        <w:pStyle w:val="Reference"/>
      </w:pPr>
      <w:r w:rsidRPr="003E497C">
        <w:t xml:space="preserve">Chinn, M, Ferrara, L and Giacomini, R 2018, ‘Impact of uncertainty shocks on the global economy’, </w:t>
      </w:r>
      <w:r w:rsidRPr="003E497C">
        <w:rPr>
          <w:i/>
          <w:iCs/>
        </w:rPr>
        <w:t>Journal of International Money and Finance</w:t>
      </w:r>
      <w:r w:rsidRPr="003E497C">
        <w:t>, vol. 88, pp. 209–211.</w:t>
      </w:r>
    </w:p>
    <w:p w14:paraId="210BB1FF" w14:textId="77777777" w:rsidR="003E497C" w:rsidRPr="003E497C" w:rsidRDefault="003E497C" w:rsidP="00F902F0">
      <w:pPr>
        <w:pStyle w:val="Reference"/>
      </w:pPr>
      <w:r w:rsidRPr="003E497C">
        <w:t xml:space="preserve">Ciuriak, D and Bienen, D 2014, ‘Overcoming Low Preference Utilization in PTAs: Presumption of Origin for Small Shipments’, </w:t>
      </w:r>
      <w:r w:rsidRPr="003E497C">
        <w:rPr>
          <w:i/>
          <w:iCs/>
        </w:rPr>
        <w:t>BKP Development Research &amp; Consulting Trade &amp; Development Discussion Paper</w:t>
      </w:r>
      <w:r w:rsidRPr="003E497C">
        <w:t>, no. 2.</w:t>
      </w:r>
    </w:p>
    <w:p w14:paraId="58B84D71" w14:textId="77777777" w:rsidR="003E497C" w:rsidRPr="003E497C" w:rsidRDefault="003E497C" w:rsidP="00F902F0">
      <w:pPr>
        <w:pStyle w:val="Reference"/>
      </w:pPr>
      <w:r w:rsidRPr="003E497C">
        <w:t xml:space="preserve">Coi, G, Soni, P and Gus, C 2025, </w:t>
      </w:r>
      <w:r w:rsidRPr="003E497C">
        <w:rPr>
          <w:i/>
          <w:iCs/>
        </w:rPr>
        <w:t>EU targets Trump’s red states with tariffs on US trucks, cigarettes and ice cream</w:t>
      </w:r>
      <w:r w:rsidRPr="003E497C">
        <w:t>, POLITICO, https://www.politico.eu/article/eu-tariffs-trade-war-donald-trump-republican-states/ (accessed 3 June 2025).</w:t>
      </w:r>
    </w:p>
    <w:p w14:paraId="317FBEAB" w14:textId="77777777" w:rsidR="003E497C" w:rsidRPr="003E497C" w:rsidRDefault="003E497C" w:rsidP="00F902F0">
      <w:pPr>
        <w:pStyle w:val="Reference"/>
      </w:pPr>
      <w:r w:rsidRPr="003E497C">
        <w:t xml:space="preserve">Commonwealth of Australia 2025, </w:t>
      </w:r>
      <w:r w:rsidRPr="003E497C">
        <w:rPr>
          <w:i/>
          <w:iCs/>
        </w:rPr>
        <w:t>Budget 2025-26: Budget Strategy and Outlook</w:t>
      </w:r>
      <w:r w:rsidRPr="003E497C">
        <w:t>, Australian Government.</w:t>
      </w:r>
    </w:p>
    <w:p w14:paraId="0CC27F10" w14:textId="77777777" w:rsidR="003E497C" w:rsidRPr="003E497C" w:rsidRDefault="003E497C" w:rsidP="00F902F0">
      <w:pPr>
        <w:pStyle w:val="Reference"/>
      </w:pPr>
      <w:r w:rsidRPr="003E497C">
        <w:t xml:space="preserve">Cooper, V 2022, </w:t>
      </w:r>
      <w:r w:rsidRPr="003E497C">
        <w:rPr>
          <w:i/>
          <w:iCs/>
        </w:rPr>
        <w:t>Explainer: The CHIPS and Science Act 2022</w:t>
      </w:r>
      <w:r w:rsidRPr="003E497C">
        <w:t>, United States Studies Centre, https://www.ussc.edu.au/explainer-the-chips-and-science-act-2022 (accessed 8 May 2025).</w:t>
      </w:r>
    </w:p>
    <w:p w14:paraId="1C915398" w14:textId="77777777" w:rsidR="003E497C" w:rsidRPr="003E497C" w:rsidRDefault="003E497C" w:rsidP="00F902F0">
      <w:pPr>
        <w:pStyle w:val="Reference"/>
      </w:pPr>
      <w:r w:rsidRPr="003E497C">
        <w:t xml:space="preserve">Corong, E, Hertel, T, McDougall, R, Tsigas, M and Mensbrugghe, D van der 2017, ‘The Standard GTAP Model, version 7’, Center for Global Trade Analysis, Department of </w:t>
      </w:r>
      <w:r w:rsidRPr="003E497C">
        <w:t xml:space="preserve">Agricultural Economics, Purdue University, </w:t>
      </w:r>
      <w:r w:rsidRPr="003E497C">
        <w:rPr>
          <w:i/>
          <w:iCs/>
        </w:rPr>
        <w:t>Journal of Global Economic Analysis</w:t>
      </w:r>
      <w:r w:rsidRPr="003E497C">
        <w:t>, vol. 2, no. 1, pp. 1–119.</w:t>
      </w:r>
    </w:p>
    <w:p w14:paraId="0E40AC56" w14:textId="77777777" w:rsidR="003E497C" w:rsidRPr="003E497C" w:rsidRDefault="003E497C" w:rsidP="00F902F0">
      <w:pPr>
        <w:pStyle w:val="Reference"/>
      </w:pPr>
      <w:r w:rsidRPr="003E497C">
        <w:t xml:space="preserve">Curlett, Cannon &amp; Galbell 2025, </w:t>
      </w:r>
      <w:r w:rsidRPr="003E497C">
        <w:rPr>
          <w:i/>
          <w:iCs/>
        </w:rPr>
        <w:t>Tariff Concession Order</w:t>
      </w:r>
      <w:r w:rsidRPr="003E497C">
        <w:t>, CCGPL, https://ccgpl.com.au/tariff-concession-order/ (accessed 17 June 2025).</w:t>
      </w:r>
    </w:p>
    <w:p w14:paraId="622028F8" w14:textId="77777777" w:rsidR="003E497C" w:rsidRPr="003E497C" w:rsidRDefault="003E497C" w:rsidP="00F902F0">
      <w:pPr>
        <w:pStyle w:val="Reference"/>
      </w:pPr>
      <w:r w:rsidRPr="003E497C">
        <w:t xml:space="preserve">DAFF (Department of Agriculture, Forestry and Fisheries) 2023, </w:t>
      </w:r>
      <w:r w:rsidRPr="003E497C">
        <w:rPr>
          <w:i/>
          <w:iCs/>
        </w:rPr>
        <w:t>Annual Report 2022-23</w:t>
      </w:r>
      <w:r w:rsidRPr="003E497C">
        <w:t>, https://www.transparency.gov.au/publications/agriculture-fisheries-and-forestry/department-of-agriculture-fisheries-and-forestry/department-of-agriculture-fisheries-and-forestry-annual-report-2022-23 (accessed 6 June 2025).</w:t>
      </w:r>
    </w:p>
    <w:p w14:paraId="06D0A81C" w14:textId="1B29A722" w:rsidR="003E497C" w:rsidRPr="003E497C" w:rsidRDefault="003E497C" w:rsidP="00F902F0">
      <w:pPr>
        <w:pStyle w:val="Reference"/>
      </w:pPr>
      <w:r w:rsidRPr="003E497C">
        <w:t>——</w:t>
      </w:r>
      <w:r w:rsidR="00971F8F">
        <w:t> </w:t>
      </w:r>
      <w:r w:rsidRPr="003E497C">
        <w:t xml:space="preserve">2024, </w:t>
      </w:r>
      <w:r w:rsidRPr="003E497C">
        <w:rPr>
          <w:i/>
          <w:iCs/>
        </w:rPr>
        <w:t>Annual report 2023-24</w:t>
      </w:r>
      <w:r w:rsidRPr="003E497C">
        <w:t>.</w:t>
      </w:r>
    </w:p>
    <w:p w14:paraId="0DCDF0DF" w14:textId="77777777" w:rsidR="003E497C" w:rsidRPr="003E497C" w:rsidRDefault="003E497C" w:rsidP="00F902F0">
      <w:pPr>
        <w:pStyle w:val="Reference"/>
      </w:pPr>
      <w:r w:rsidRPr="003E497C">
        <w:t xml:space="preserve">D’Alfonso, A 2021, </w:t>
      </w:r>
      <w:r w:rsidRPr="003E497C">
        <w:rPr>
          <w:i/>
          <w:iCs/>
        </w:rPr>
        <w:t>InvestEU programme: The EU’s new investment support scheme</w:t>
      </w:r>
      <w:r w:rsidRPr="003E497C">
        <w:t>, European Parliamentary Research Service, https://www.europarl.europa.eu/thinktank/en/document/EPRS_BRI(2020)659364 (accessed 8 May 2025).</w:t>
      </w:r>
    </w:p>
    <w:p w14:paraId="309E656B" w14:textId="77777777" w:rsidR="003E497C" w:rsidRPr="003E497C" w:rsidRDefault="003E497C" w:rsidP="00F902F0">
      <w:pPr>
        <w:pStyle w:val="Reference"/>
      </w:pPr>
      <w:r w:rsidRPr="003E497C">
        <w:t xml:space="preserve">Davis, SJ 2016, </w:t>
      </w:r>
      <w:r w:rsidRPr="003E497C">
        <w:rPr>
          <w:i/>
          <w:iCs/>
        </w:rPr>
        <w:t>An Index of Global Economic Policy Uncertainty</w:t>
      </w:r>
      <w:r w:rsidRPr="003E497C">
        <w:t>, 17 October, w22740, National Bureau of Economic Research, https://www.nber.org/papers/w22740 (accessed 20 May 2025).</w:t>
      </w:r>
    </w:p>
    <w:p w14:paraId="47A57B82" w14:textId="77777777" w:rsidR="003E497C" w:rsidRPr="003E497C" w:rsidRDefault="003E497C" w:rsidP="00F902F0">
      <w:pPr>
        <w:pStyle w:val="Reference"/>
      </w:pPr>
      <w:r w:rsidRPr="003E497C">
        <w:t xml:space="preserve">DCCEEW (Department of Climate Change, Energy, the Environment and Water) 2025, </w:t>
      </w:r>
      <w:r w:rsidRPr="003E497C">
        <w:rPr>
          <w:i/>
          <w:iCs/>
        </w:rPr>
        <w:t>Portfolio Budget Statements 2025-26</w:t>
      </w:r>
      <w:r w:rsidRPr="003E497C">
        <w:t>, 25 March.</w:t>
      </w:r>
    </w:p>
    <w:p w14:paraId="32800890" w14:textId="77777777" w:rsidR="003E497C" w:rsidRPr="003E497C" w:rsidRDefault="003E497C" w:rsidP="00F902F0">
      <w:pPr>
        <w:pStyle w:val="Reference"/>
      </w:pPr>
      <w:r w:rsidRPr="003E497C">
        <w:t xml:space="preserve">DFAT 2024a, </w:t>
      </w:r>
      <w:r w:rsidRPr="003E497C">
        <w:rPr>
          <w:i/>
          <w:iCs/>
        </w:rPr>
        <w:t>Statistics on who invests in Australia | Australian Government Department of Foreign Affairs and Trade</w:t>
      </w:r>
      <w:r w:rsidRPr="003E497C">
        <w:t>, https://www.dfat.gov.au/trade/trade-and-investment-data-information-and-publications/foreign-investment-statistics/statistics-on-who-invests-in-australia, https://www.dfat.gov.au/trade/trade-and-investment-data-information-and-publications/foreign-investment-statistics/statistics-on-who-invests-in-australia (accessed 13 May 2025).</w:t>
      </w:r>
    </w:p>
    <w:p w14:paraId="74D54A16" w14:textId="765E6402" w:rsidR="003E497C" w:rsidRPr="003E497C" w:rsidRDefault="003E497C" w:rsidP="00F902F0">
      <w:pPr>
        <w:pStyle w:val="Reference"/>
      </w:pPr>
      <w:r w:rsidRPr="003E497C">
        <w:t>——</w:t>
      </w:r>
      <w:r w:rsidR="00971F8F">
        <w:t> </w:t>
      </w:r>
      <w:r w:rsidRPr="003E497C">
        <w:t xml:space="preserve">2024b, </w:t>
      </w:r>
      <w:r w:rsidRPr="003E497C">
        <w:rPr>
          <w:i/>
          <w:iCs/>
        </w:rPr>
        <w:t>Indo-Pacific Economic Framework | Australian Government Department of Foreign Affairs and Trade</w:t>
      </w:r>
      <w:r w:rsidRPr="003E497C">
        <w:t>, https://www.dfat.gov.au/trade/organisations/wto-g20-oecd-apec/indo-pacific-economic-framework (accessed 14 June 2025).</w:t>
      </w:r>
    </w:p>
    <w:p w14:paraId="35881CAA" w14:textId="45749206" w:rsidR="003E497C" w:rsidRPr="003E497C" w:rsidRDefault="003E497C" w:rsidP="00F902F0">
      <w:pPr>
        <w:pStyle w:val="Reference"/>
      </w:pPr>
      <w:r w:rsidRPr="003E497C">
        <w:t>——</w:t>
      </w:r>
      <w:r w:rsidR="00971F8F">
        <w:t> </w:t>
      </w:r>
      <w:r w:rsidRPr="003E497C">
        <w:t xml:space="preserve">2024c, </w:t>
      </w:r>
      <w:r w:rsidRPr="003E497C">
        <w:rPr>
          <w:i/>
          <w:iCs/>
        </w:rPr>
        <w:t>Luxembourg country brief | Australian Government Department of Foreign Affairs and Trade</w:t>
      </w:r>
      <w:r w:rsidRPr="003E497C">
        <w:t>, https://www.dfat.gov.au/geo/luxembourg/luxembourg-country-brief, https://www.dfat.gov.au/geo/luxembourg/luxembourg-country-brief (accessed 13 May 2025).</w:t>
      </w:r>
    </w:p>
    <w:p w14:paraId="41C0642C" w14:textId="2070B7A4" w:rsidR="003E497C" w:rsidRPr="003E497C" w:rsidRDefault="003E497C" w:rsidP="00F902F0">
      <w:pPr>
        <w:pStyle w:val="Reference"/>
      </w:pPr>
      <w:r w:rsidRPr="003E497C">
        <w:t>——</w:t>
      </w:r>
      <w:r w:rsidR="00971F8F">
        <w:t> </w:t>
      </w:r>
      <w:r w:rsidRPr="003E497C">
        <w:t xml:space="preserve">2025a, </w:t>
      </w:r>
      <w:r w:rsidRPr="003E497C">
        <w:rPr>
          <w:i/>
          <w:iCs/>
        </w:rPr>
        <w:t>Australia’s free trade agreements (FTAs)</w:t>
      </w:r>
      <w:r w:rsidRPr="003E497C">
        <w:t>, https://www.dfat.gov.au/trade/agreements/trade-agreements (accessed 17 June 2025).</w:t>
      </w:r>
    </w:p>
    <w:p w14:paraId="0CCFD197" w14:textId="17494030" w:rsidR="003E497C" w:rsidRPr="003E497C" w:rsidRDefault="003E497C" w:rsidP="00F902F0">
      <w:pPr>
        <w:pStyle w:val="Reference"/>
      </w:pPr>
      <w:r w:rsidRPr="003E497C">
        <w:t>——</w:t>
      </w:r>
      <w:r w:rsidR="00971F8F">
        <w:t> </w:t>
      </w:r>
      <w:r w:rsidRPr="003E497C">
        <w:t xml:space="preserve">2025b, </w:t>
      </w:r>
      <w:r w:rsidRPr="003E497C">
        <w:rPr>
          <w:i/>
          <w:iCs/>
        </w:rPr>
        <w:t>Australia’s trade in goods and services 2023-24</w:t>
      </w:r>
      <w:r w:rsidRPr="003E497C">
        <w:t>, https://www.dfat.gov.au/trade/trade-and-investment-data-information-and-publications/trade-statistics/trade-in-goods-and-services/australias-trade-goods-and-services-2023-24 (accessed 19 June 2025).</w:t>
      </w:r>
    </w:p>
    <w:p w14:paraId="1BA84D06" w14:textId="1ED46870" w:rsidR="003E497C" w:rsidRPr="003E497C" w:rsidRDefault="003E497C" w:rsidP="00F902F0">
      <w:pPr>
        <w:pStyle w:val="Reference"/>
      </w:pPr>
      <w:r w:rsidRPr="003E497C">
        <w:t>——</w:t>
      </w:r>
      <w:r w:rsidR="00971F8F">
        <w:t> </w:t>
      </w:r>
      <w:r w:rsidRPr="003E497C">
        <w:t xml:space="preserve">2025c, </w:t>
      </w:r>
      <w:r w:rsidRPr="003E497C">
        <w:rPr>
          <w:i/>
          <w:iCs/>
        </w:rPr>
        <w:t>Australia’s trade in goods and services by top 15 partners</w:t>
      </w:r>
      <w:r w:rsidRPr="003E497C">
        <w:t>.</w:t>
      </w:r>
    </w:p>
    <w:p w14:paraId="229F9761" w14:textId="65405220" w:rsidR="003E497C" w:rsidRPr="003E497C" w:rsidRDefault="003E497C" w:rsidP="00F902F0">
      <w:pPr>
        <w:pStyle w:val="Reference"/>
      </w:pPr>
      <w:r w:rsidRPr="003E497C">
        <w:t>——</w:t>
      </w:r>
      <w:r w:rsidR="00971F8F">
        <w:t> </w:t>
      </w:r>
      <w:r w:rsidRPr="003E497C">
        <w:t xml:space="preserve">2025d, </w:t>
      </w:r>
      <w:r w:rsidRPr="003E497C">
        <w:rPr>
          <w:i/>
          <w:iCs/>
        </w:rPr>
        <w:t>Australia-UAE CEPA - Steps to entry into force | Australian Government Department of Foreign Affairs and Trade</w:t>
      </w:r>
      <w:r w:rsidRPr="003E497C">
        <w:t>, https://www.dfat.gov.au/trade/agreements/not-yet-in-force/australia-uae-comprehensive-economic-partnership-agreement-cepa/australia-uae-cepa-steps-entry-force (accessed 6 March 2025).</w:t>
      </w:r>
    </w:p>
    <w:p w14:paraId="5F7F208E" w14:textId="6FA85BDC" w:rsidR="003E497C" w:rsidRPr="003E497C" w:rsidRDefault="003E497C" w:rsidP="00F902F0">
      <w:pPr>
        <w:pStyle w:val="Reference"/>
      </w:pPr>
      <w:r w:rsidRPr="003E497C">
        <w:t>——</w:t>
      </w:r>
      <w:r w:rsidR="00971F8F">
        <w:t> </w:t>
      </w:r>
      <w:r w:rsidRPr="003E497C">
        <w:t xml:space="preserve">2025e, </w:t>
      </w:r>
      <w:r w:rsidRPr="003E497C">
        <w:rPr>
          <w:i/>
          <w:iCs/>
        </w:rPr>
        <w:t>Latest on US tariffs</w:t>
      </w:r>
      <w:r w:rsidRPr="003E497C">
        <w:t>, https://www.dfat.gov.au/trade/trade-and-investment/latest-us-tariffs (accessed 18 June 2025).</w:t>
      </w:r>
    </w:p>
    <w:p w14:paraId="2B10C9E5" w14:textId="77777777" w:rsidR="003E497C" w:rsidRPr="003E497C" w:rsidRDefault="003E497C" w:rsidP="00F902F0">
      <w:pPr>
        <w:pStyle w:val="Reference"/>
      </w:pPr>
      <w:r w:rsidRPr="003E497C">
        <w:lastRenderedPageBreak/>
        <w:t xml:space="preserve">DITRDCA (Department of Infrastructure, Transport, Regional Development, Communications and the Arts) 2023, </w:t>
      </w:r>
      <w:r w:rsidRPr="003E497C">
        <w:rPr>
          <w:i/>
          <w:iCs/>
        </w:rPr>
        <w:t>Annual Report 2022-23</w:t>
      </w:r>
      <w:r w:rsidRPr="003E497C">
        <w:t>, Department of Infrastructure, Transport, Regional Development, Communications, Sport and the Arts, https://www.infrastructure.gov.au/about-us/corporate-reporting/annual-reports (accessed 6 June 2025).</w:t>
      </w:r>
    </w:p>
    <w:p w14:paraId="3E1E15A8" w14:textId="5E9A4C76" w:rsidR="003E497C" w:rsidRPr="003E497C" w:rsidRDefault="003E497C" w:rsidP="00F902F0">
      <w:pPr>
        <w:pStyle w:val="Reference"/>
      </w:pPr>
      <w:r w:rsidRPr="003E497C">
        <w:t>——</w:t>
      </w:r>
      <w:r w:rsidR="00971F8F">
        <w:t> </w:t>
      </w:r>
      <w:r w:rsidRPr="003E497C">
        <w:t xml:space="preserve">2024, </w:t>
      </w:r>
      <w:r w:rsidRPr="003E497C">
        <w:rPr>
          <w:i/>
          <w:iCs/>
        </w:rPr>
        <w:t>Annual report 2023-24</w:t>
      </w:r>
      <w:r w:rsidRPr="003E497C">
        <w:t>.</w:t>
      </w:r>
    </w:p>
    <w:p w14:paraId="2331A21A" w14:textId="77777777" w:rsidR="003E497C" w:rsidRPr="003E497C" w:rsidRDefault="003E497C" w:rsidP="00F902F0">
      <w:pPr>
        <w:pStyle w:val="Reference"/>
      </w:pPr>
      <w:r w:rsidRPr="003E497C">
        <w:t xml:space="preserve">Dixit, AK and Pindyck, RS 1994, ‘A New View of Investment’, </w:t>
      </w:r>
      <w:r w:rsidRPr="003E497C">
        <w:rPr>
          <w:i/>
          <w:iCs/>
        </w:rPr>
        <w:t>Investment under Uncertainty</w:t>
      </w:r>
      <w:r w:rsidRPr="003E497C">
        <w:t>, Princeton University Press, pp. 3–25, https://www.jstor.org/stable/j.ctt7sncv.4 (accessed 20 May 2025).</w:t>
      </w:r>
    </w:p>
    <w:p w14:paraId="422491A4" w14:textId="77777777" w:rsidR="003E497C" w:rsidRPr="003E497C" w:rsidRDefault="003E497C" w:rsidP="00F902F0">
      <w:pPr>
        <w:pStyle w:val="Reference"/>
      </w:pPr>
      <w:r w:rsidRPr="003E497C">
        <w:t xml:space="preserve">Djuric, M 2025, </w:t>
      </w:r>
      <w:r w:rsidRPr="003E497C">
        <w:rPr>
          <w:i/>
          <w:iCs/>
        </w:rPr>
        <w:t>Canada’s tariff list targets Republican states, Trump allies</w:t>
      </w:r>
      <w:r w:rsidRPr="003E497C">
        <w:t>, POLITICO, https://www.politico.com/news/2025/02/03/canada-tariff-targets-00202005 (accessed 3 June 2025).</w:t>
      </w:r>
    </w:p>
    <w:p w14:paraId="0FF42463" w14:textId="77777777" w:rsidR="003E497C" w:rsidRPr="003E497C" w:rsidRDefault="003E497C" w:rsidP="00F902F0">
      <w:pPr>
        <w:pStyle w:val="Reference"/>
      </w:pPr>
      <w:r w:rsidRPr="003E497C">
        <w:t xml:space="preserve">DoFC (Department of Finance Canada) 2023, </w:t>
      </w:r>
      <w:r w:rsidRPr="003E497C">
        <w:rPr>
          <w:i/>
          <w:iCs/>
        </w:rPr>
        <w:t>Budget 2023</w:t>
      </w:r>
      <w:r w:rsidRPr="003E497C">
        <w:t>, https://www.budget.canada.ca/2023/home-accueil-en.html (accessed 7 May 2025).</w:t>
      </w:r>
    </w:p>
    <w:p w14:paraId="24249B58" w14:textId="7C9CBF6C" w:rsidR="003E497C" w:rsidRPr="003E497C" w:rsidRDefault="003E497C" w:rsidP="00F902F0">
      <w:pPr>
        <w:pStyle w:val="Reference"/>
      </w:pPr>
      <w:r w:rsidRPr="003E497C">
        <w:t>——</w:t>
      </w:r>
      <w:r w:rsidR="00971F8F">
        <w:t> </w:t>
      </w:r>
      <w:r w:rsidRPr="003E497C">
        <w:t xml:space="preserve">2024, </w:t>
      </w:r>
      <w:r w:rsidRPr="003E497C">
        <w:rPr>
          <w:i/>
          <w:iCs/>
        </w:rPr>
        <w:t>Budget 2024</w:t>
      </w:r>
      <w:r w:rsidRPr="003E497C">
        <w:t>, https://www.budget.canada.ca/2024/img/twitter-card.jpg (accessed 7 May 2025).</w:t>
      </w:r>
    </w:p>
    <w:p w14:paraId="2B684D58" w14:textId="10496D5E" w:rsidR="003E497C" w:rsidRPr="003E497C" w:rsidRDefault="003E497C" w:rsidP="00F902F0">
      <w:pPr>
        <w:pStyle w:val="Reference"/>
      </w:pPr>
      <w:r w:rsidRPr="003E497C">
        <w:t>——</w:t>
      </w:r>
      <w:r w:rsidR="00971F8F">
        <w:t> </w:t>
      </w:r>
      <w:r w:rsidRPr="003E497C">
        <w:t xml:space="preserve">2025, </w:t>
      </w:r>
      <w:r w:rsidRPr="003E497C">
        <w:rPr>
          <w:i/>
          <w:iCs/>
        </w:rPr>
        <w:t>Canada announces $155B tariff package in response to unjustified U.S. tariffs</w:t>
      </w:r>
      <w:r w:rsidRPr="003E497C">
        <w:t>, news releases, https://www.canada.ca/en/department-finance/news/2025/02/</w:t>
      </w:r>
      <w:r w:rsidR="0035558A">
        <w:br/>
      </w:r>
      <w:r w:rsidRPr="003E497C">
        <w:t>canada-announces-155b-tariff-package-in-response-to-unjustified-us-tariffs.html (accessed 3 June 2025).</w:t>
      </w:r>
    </w:p>
    <w:p w14:paraId="5B6C02A8" w14:textId="77777777" w:rsidR="003E497C" w:rsidRPr="003E497C" w:rsidRDefault="003E497C" w:rsidP="00F902F0">
      <w:pPr>
        <w:pStyle w:val="Reference"/>
      </w:pPr>
      <w:r w:rsidRPr="003E497C">
        <w:t xml:space="preserve">EFA (Export Finance Australia) 2023, </w:t>
      </w:r>
      <w:r w:rsidRPr="003E497C">
        <w:rPr>
          <w:i/>
          <w:iCs/>
        </w:rPr>
        <w:t>Annual Report 2022-23</w:t>
      </w:r>
      <w:r w:rsidRPr="003E497C">
        <w:t>, https://www.transparency.gov.au/publications/foreign-affairs-and-trade/export-finance-and-insurance-corporation-efic-export-finance-australia/export-finance-australia-annual-report-2022-2023 (accessed 6 June 2025).</w:t>
      </w:r>
    </w:p>
    <w:p w14:paraId="59AED121" w14:textId="4F7197E9" w:rsidR="003E497C" w:rsidRPr="003E497C" w:rsidRDefault="003E497C" w:rsidP="00F902F0">
      <w:pPr>
        <w:pStyle w:val="Reference"/>
      </w:pPr>
      <w:r w:rsidRPr="003E497C">
        <w:t>——</w:t>
      </w:r>
      <w:r w:rsidR="00971F8F">
        <w:t> </w:t>
      </w:r>
      <w:r w:rsidRPr="003E497C">
        <w:t xml:space="preserve">2024a, </w:t>
      </w:r>
      <w:r w:rsidRPr="003E497C">
        <w:rPr>
          <w:i/>
          <w:iCs/>
        </w:rPr>
        <w:t>Annual report 2023-24</w:t>
      </w:r>
      <w:r w:rsidRPr="003E497C">
        <w:t>.</w:t>
      </w:r>
    </w:p>
    <w:p w14:paraId="2299C09F" w14:textId="249547F2" w:rsidR="003E497C" w:rsidRPr="003E497C" w:rsidRDefault="003E497C" w:rsidP="00F902F0">
      <w:pPr>
        <w:pStyle w:val="Reference"/>
      </w:pPr>
      <w:r w:rsidRPr="003E497C">
        <w:t>——</w:t>
      </w:r>
      <w:r w:rsidR="00971F8F">
        <w:t> </w:t>
      </w:r>
      <w:r w:rsidRPr="003E497C">
        <w:t xml:space="preserve">2024b, </w:t>
      </w:r>
      <w:r w:rsidRPr="003E497C">
        <w:rPr>
          <w:i/>
          <w:iCs/>
        </w:rPr>
        <w:t>Export Finance Australia - 002: Answers to written questions on notice asked by Senator Andrew Bragg on 30 August 2024. (received 2 September 2024)</w:t>
      </w:r>
      <w:r w:rsidRPr="003E497C">
        <w:t>, Parliament of Australia.</w:t>
      </w:r>
    </w:p>
    <w:p w14:paraId="7F7F613C" w14:textId="77777777" w:rsidR="003E497C" w:rsidRPr="003E497C" w:rsidRDefault="003E497C" w:rsidP="00F902F0">
      <w:pPr>
        <w:pStyle w:val="Reference"/>
      </w:pPr>
      <w:r w:rsidRPr="003E497C">
        <w:t xml:space="preserve">European Commission nd, </w:t>
      </w:r>
      <w:r w:rsidRPr="003E497C">
        <w:rPr>
          <w:i/>
          <w:iCs/>
        </w:rPr>
        <w:t>The Just Transition Mechanism</w:t>
      </w:r>
      <w:r w:rsidRPr="003E497C">
        <w:t>, https://commission.europa.eu/strategy-and-policy/priorities-2019-2024/european-green-deal/finance-and-green-deal/just-transition-mechanism_en (accessed 8 May 2025).</w:t>
      </w:r>
    </w:p>
    <w:p w14:paraId="54C233F4" w14:textId="77777777" w:rsidR="003E497C" w:rsidRPr="003E497C" w:rsidRDefault="003E497C" w:rsidP="00F902F0">
      <w:pPr>
        <w:pStyle w:val="Reference"/>
      </w:pPr>
      <w:r w:rsidRPr="003E497C">
        <w:t xml:space="preserve">Evans, T 1999, ‘Ninth Annual Colin Clark Memorial Lecture Economic Nationalism and Performance: Australia from the 1960s to the 1990s’, </w:t>
      </w:r>
      <w:r w:rsidRPr="003E497C">
        <w:rPr>
          <w:i/>
          <w:iCs/>
        </w:rPr>
        <w:t>Economic Analysis and Policy</w:t>
      </w:r>
      <w:r w:rsidRPr="003E497C">
        <w:t>, vol. 29, no. 2, pp. 103–114.</w:t>
      </w:r>
    </w:p>
    <w:p w14:paraId="39500CE7" w14:textId="77777777" w:rsidR="003E497C" w:rsidRPr="003E497C" w:rsidRDefault="003E497C" w:rsidP="00F902F0">
      <w:pPr>
        <w:pStyle w:val="Reference"/>
      </w:pPr>
      <w:r w:rsidRPr="003E497C">
        <w:t xml:space="preserve">Evenett, S and Fritz, J 2025, </w:t>
      </w:r>
      <w:r w:rsidRPr="003E497C">
        <w:rPr>
          <w:i/>
          <w:iCs/>
        </w:rPr>
        <w:t>US reciprocal tariffs: Upending the global trade policy landscape</w:t>
      </w:r>
      <w:r w:rsidRPr="003E497C">
        <w:t>, CEPR, https://cepr.org/voxeu/columns/us-reciprocal-tariffs-upending-global-trade-policy-landscape (accessed 26 May 2025).</w:t>
      </w:r>
    </w:p>
    <w:p w14:paraId="4F0BDE06" w14:textId="77777777" w:rsidR="003E497C" w:rsidRPr="003E497C" w:rsidRDefault="003E497C" w:rsidP="00F902F0">
      <w:pPr>
        <w:pStyle w:val="Reference"/>
      </w:pPr>
      <w:r w:rsidRPr="003E497C">
        <w:t xml:space="preserve">Fair Work Commission 2025, </w:t>
      </w:r>
      <w:r w:rsidRPr="003E497C">
        <w:rPr>
          <w:i/>
          <w:iCs/>
        </w:rPr>
        <w:t>What is a ‘small business’?</w:t>
      </w:r>
      <w:r w:rsidRPr="003E497C">
        <w:t>, https://www.fwc.gov.au/issues-we-help/small-business-hub/what-small-business (accessed 25 March 2025).</w:t>
      </w:r>
    </w:p>
    <w:p w14:paraId="1551596F" w14:textId="77777777" w:rsidR="003E497C" w:rsidRPr="003E497C" w:rsidRDefault="003E497C" w:rsidP="00F902F0">
      <w:pPr>
        <w:pStyle w:val="Reference"/>
      </w:pPr>
      <w:r w:rsidRPr="003E497C">
        <w:t xml:space="preserve">Farrell, D 2024a, </w:t>
      </w:r>
      <w:r w:rsidRPr="003E497C">
        <w:rPr>
          <w:i/>
          <w:iCs/>
        </w:rPr>
        <w:t>$678 million boost for Australian exports to UAE</w:t>
      </w:r>
      <w:r w:rsidRPr="003E497C">
        <w:t>, https://www.trademinister.gov.au/minister/don-farrell/media-release/678-million-boost-australian-exports-uae (accessed 14 June 2025).</w:t>
      </w:r>
    </w:p>
    <w:p w14:paraId="6CE0B536" w14:textId="0A7AC44C" w:rsidR="003E497C" w:rsidRPr="003E497C" w:rsidRDefault="003E497C" w:rsidP="00F902F0">
      <w:pPr>
        <w:pStyle w:val="Reference"/>
      </w:pPr>
      <w:r w:rsidRPr="003E497C">
        <w:t>——</w:t>
      </w:r>
      <w:r w:rsidR="00971F8F">
        <w:t> </w:t>
      </w:r>
      <w:r w:rsidRPr="003E497C">
        <w:t xml:space="preserve">2024b, </w:t>
      </w:r>
      <w:r w:rsidRPr="003E497C">
        <w:rPr>
          <w:i/>
          <w:iCs/>
        </w:rPr>
        <w:t>Trade talks in Adelaide with India’s Minister of Commerce and Industry</w:t>
      </w:r>
      <w:r w:rsidRPr="003E497C">
        <w:t>, https://www.trademinister.gov.au/minister/don-farrell/media-release/trade-talks-adelaide-indias-minister-commerce-and-industry (accessed 14 June 2025).</w:t>
      </w:r>
    </w:p>
    <w:p w14:paraId="0394DA2C" w14:textId="6122C695" w:rsidR="003E497C" w:rsidRPr="003E497C" w:rsidRDefault="003E497C" w:rsidP="00F902F0">
      <w:pPr>
        <w:pStyle w:val="Reference"/>
      </w:pPr>
      <w:r w:rsidRPr="003E497C">
        <w:t>——</w:t>
      </w:r>
      <w:r w:rsidR="00971F8F">
        <w:t> </w:t>
      </w:r>
      <w:r w:rsidRPr="003E497C">
        <w:t xml:space="preserve">2025a, </w:t>
      </w:r>
      <w:r w:rsidRPr="003E497C">
        <w:rPr>
          <w:i/>
          <w:iCs/>
        </w:rPr>
        <w:t>Interview with Kieran Gilbert, Sky News</w:t>
      </w:r>
      <w:r w:rsidRPr="003E497C">
        <w:t>, https://www.trademinister.gov.au/minister/don-</w:t>
      </w:r>
      <w:r w:rsidRPr="003E497C">
        <w:t>farrell/transcript/interview-kieran-gilbert-sky-news-3 (accessed 14 June 2025).</w:t>
      </w:r>
    </w:p>
    <w:p w14:paraId="00827FB6" w14:textId="5BBED610" w:rsidR="003E497C" w:rsidRPr="003E497C" w:rsidRDefault="003E497C" w:rsidP="00F902F0">
      <w:pPr>
        <w:pStyle w:val="Reference"/>
      </w:pPr>
      <w:r w:rsidRPr="003E497C">
        <w:t>——</w:t>
      </w:r>
      <w:r w:rsidR="00971F8F">
        <w:t> </w:t>
      </w:r>
      <w:r w:rsidRPr="003E497C">
        <w:t xml:space="preserve">2025b, </w:t>
      </w:r>
      <w:r w:rsidRPr="003E497C">
        <w:rPr>
          <w:i/>
          <w:iCs/>
        </w:rPr>
        <w:t>Strengthening economic ties with Southeast Asia</w:t>
      </w:r>
      <w:r w:rsidRPr="003E497C">
        <w:t>, https://www.trademinister.gov.au/minister/don-farrell/media-release/strengthening-economic-ties-southeast-asia (accessed 14 June 2025).</w:t>
      </w:r>
    </w:p>
    <w:p w14:paraId="296A25A9" w14:textId="77777777" w:rsidR="003E497C" w:rsidRPr="003E497C" w:rsidRDefault="003E497C" w:rsidP="00F902F0">
      <w:pPr>
        <w:pStyle w:val="Reference"/>
      </w:pPr>
      <w:r w:rsidRPr="003E497C">
        <w:t xml:space="preserve">—— and Collins, J 2024, </w:t>
      </w:r>
      <w:r w:rsidRPr="003E497C">
        <w:rPr>
          <w:i/>
          <w:iCs/>
        </w:rPr>
        <w:t>Plum deal for Australian stone fruit growers</w:t>
      </w:r>
      <w:r w:rsidRPr="003E497C">
        <w:t>, https://www.trademinister.gov.au/minister/don-farrell/media-release/plum-deal-australian-stone-fruit-growers (accessed 14 June 2025).</w:t>
      </w:r>
    </w:p>
    <w:p w14:paraId="6833953E" w14:textId="77777777" w:rsidR="003E497C" w:rsidRPr="003E497C" w:rsidRDefault="003E497C" w:rsidP="00F902F0">
      <w:pPr>
        <w:pStyle w:val="Reference"/>
      </w:pPr>
      <w:r w:rsidRPr="003E497C">
        <w:t xml:space="preserve">Finance (Department of Finance) 2020, </w:t>
      </w:r>
      <w:r w:rsidRPr="003E497C">
        <w:rPr>
          <w:i/>
          <w:iCs/>
        </w:rPr>
        <w:t>Accounting for concessional loans (RMG 115) | Department of Finance</w:t>
      </w:r>
      <w:r w:rsidRPr="003E497C">
        <w:t>, https://www.finance.gov.au/publications/resource-management-guides/accounting-concessional-loans-rmg-115 (accessed 11 March 2025).</w:t>
      </w:r>
    </w:p>
    <w:p w14:paraId="1DF1507E" w14:textId="4726B621" w:rsidR="003E497C" w:rsidRPr="003E497C" w:rsidRDefault="003E497C" w:rsidP="00F902F0">
      <w:pPr>
        <w:pStyle w:val="Reference"/>
      </w:pPr>
      <w:r w:rsidRPr="003E497C">
        <w:t>——</w:t>
      </w:r>
      <w:r w:rsidR="00971F8F">
        <w:t> </w:t>
      </w:r>
      <w:r w:rsidRPr="003E497C">
        <w:t xml:space="preserve">2025a, </w:t>
      </w:r>
      <w:r w:rsidRPr="003E497C">
        <w:rPr>
          <w:i/>
          <w:iCs/>
        </w:rPr>
        <w:t>Clean Energy Finance Corporation | Department of Finance</w:t>
      </w:r>
      <w:r w:rsidRPr="003E497C">
        <w:t>, Clean Energy Finance Corporation, https://www.finance.gov.au/government/specialist-investment-vehicles/clean-energy-finance-corporation (accessed 6 June 2025).</w:t>
      </w:r>
    </w:p>
    <w:p w14:paraId="4DA9AF37" w14:textId="2EB84BE8" w:rsidR="003E497C" w:rsidRPr="003E497C" w:rsidRDefault="003E497C" w:rsidP="00F902F0">
      <w:pPr>
        <w:pStyle w:val="Reference"/>
      </w:pPr>
      <w:r w:rsidRPr="003E497C">
        <w:t>——</w:t>
      </w:r>
      <w:r w:rsidR="00971F8F">
        <w:t> </w:t>
      </w:r>
      <w:r w:rsidRPr="003E497C">
        <w:t xml:space="preserve">2025b, </w:t>
      </w:r>
      <w:r w:rsidRPr="003E497C">
        <w:rPr>
          <w:i/>
          <w:iCs/>
        </w:rPr>
        <w:t>Export Finance Australia | Department of Finance</w:t>
      </w:r>
      <w:r w:rsidRPr="003E497C">
        <w:t>, Export Finance Australia, https://www.finance.gov.au/government/specialist-investment-vehicles/export-finance-australia (accessed 6 June 2025).</w:t>
      </w:r>
    </w:p>
    <w:p w14:paraId="01B3A8BA" w14:textId="2EDE481D" w:rsidR="003E497C" w:rsidRPr="003E497C" w:rsidRDefault="003E497C" w:rsidP="00F902F0">
      <w:pPr>
        <w:pStyle w:val="Reference"/>
      </w:pPr>
      <w:r w:rsidRPr="003E497C">
        <w:t>——</w:t>
      </w:r>
      <w:r w:rsidR="00971F8F">
        <w:t> </w:t>
      </w:r>
      <w:r w:rsidRPr="003E497C">
        <w:t xml:space="preserve">2025c, </w:t>
      </w:r>
      <w:r w:rsidRPr="003E497C">
        <w:rPr>
          <w:i/>
          <w:iCs/>
        </w:rPr>
        <w:t>Housing Australia | Department of Finance</w:t>
      </w:r>
      <w:r w:rsidRPr="003E497C">
        <w:t>, Housing Australia, https://www.finance.gov.au/government/specialist-investment-vehicles/housing-australia (accessed 6 June 2025).</w:t>
      </w:r>
    </w:p>
    <w:p w14:paraId="645C8F95" w14:textId="05BF88F8" w:rsidR="003E497C" w:rsidRPr="003E497C" w:rsidRDefault="003E497C" w:rsidP="00F902F0">
      <w:pPr>
        <w:pStyle w:val="Reference"/>
      </w:pPr>
      <w:r w:rsidRPr="003E497C">
        <w:t>——</w:t>
      </w:r>
      <w:r w:rsidR="00971F8F">
        <w:t> </w:t>
      </w:r>
      <w:r w:rsidRPr="003E497C">
        <w:t xml:space="preserve">2025d, </w:t>
      </w:r>
      <w:r w:rsidRPr="003E497C">
        <w:rPr>
          <w:i/>
          <w:iCs/>
        </w:rPr>
        <w:t>Northern Australia Infrastructure Facility | Department of Finance</w:t>
      </w:r>
      <w:r w:rsidRPr="003E497C">
        <w:t>, Northern Australia Infrastructure Facility, https://www.finance.gov.au/government/specialist-investment-vehicles/northern-australia-infrastructure-facility (accessed 6 June 2025).</w:t>
      </w:r>
    </w:p>
    <w:p w14:paraId="4DFD20D2" w14:textId="5F9C944D" w:rsidR="003E497C" w:rsidRPr="003E497C" w:rsidRDefault="003E497C" w:rsidP="00F902F0">
      <w:pPr>
        <w:pStyle w:val="Reference"/>
      </w:pPr>
      <w:r w:rsidRPr="003E497C">
        <w:t>——</w:t>
      </w:r>
      <w:r w:rsidR="00971F8F">
        <w:t> </w:t>
      </w:r>
      <w:r w:rsidRPr="003E497C">
        <w:t xml:space="preserve">2025e, </w:t>
      </w:r>
      <w:r w:rsidRPr="003E497C">
        <w:rPr>
          <w:i/>
          <w:iCs/>
        </w:rPr>
        <w:t>Regional Investment Corporation | Department of Finance</w:t>
      </w:r>
      <w:r w:rsidRPr="003E497C">
        <w:t>, Regional Investment Corporation, https://www.finance.gov.au/government/specialist-investment-vehicles/regional-investment-corporation (accessed 6 June 2025).</w:t>
      </w:r>
    </w:p>
    <w:p w14:paraId="02E0F308" w14:textId="77777777" w:rsidR="003E497C" w:rsidRPr="003E497C" w:rsidRDefault="003E497C" w:rsidP="00F902F0">
      <w:pPr>
        <w:pStyle w:val="Reference"/>
      </w:pPr>
      <w:r w:rsidRPr="003E497C">
        <w:t xml:space="preserve">FIRB (Foreign Investment Review Board) 1988, </w:t>
      </w:r>
      <w:r w:rsidRPr="003E497C">
        <w:rPr>
          <w:i/>
          <w:iCs/>
        </w:rPr>
        <w:t>Annual report 1986-87</w:t>
      </w:r>
      <w:r w:rsidRPr="003E497C">
        <w:t>.</w:t>
      </w:r>
    </w:p>
    <w:p w14:paraId="0AD82C1D" w14:textId="214E37D8" w:rsidR="003E497C" w:rsidRPr="003E497C" w:rsidRDefault="003E497C" w:rsidP="00F902F0">
      <w:pPr>
        <w:pStyle w:val="Reference"/>
      </w:pPr>
      <w:r w:rsidRPr="003E497C">
        <w:t>——</w:t>
      </w:r>
      <w:r w:rsidR="00971F8F">
        <w:t> </w:t>
      </w:r>
      <w:r w:rsidRPr="003E497C">
        <w:t xml:space="preserve">2008, </w:t>
      </w:r>
      <w:r w:rsidRPr="003E497C">
        <w:rPr>
          <w:i/>
          <w:iCs/>
        </w:rPr>
        <w:t>Annual report 2007-08</w:t>
      </w:r>
      <w:r w:rsidRPr="003E497C">
        <w:t>.</w:t>
      </w:r>
    </w:p>
    <w:p w14:paraId="2220FC7A" w14:textId="53CD4F4F" w:rsidR="003E497C" w:rsidRPr="003E497C" w:rsidRDefault="003E497C" w:rsidP="00F902F0">
      <w:pPr>
        <w:pStyle w:val="Reference"/>
      </w:pPr>
      <w:r w:rsidRPr="003E497C">
        <w:t>——</w:t>
      </w:r>
      <w:r w:rsidR="00971F8F">
        <w:t> </w:t>
      </w:r>
      <w:r w:rsidRPr="003E497C">
        <w:t xml:space="preserve">2019, </w:t>
      </w:r>
      <w:r w:rsidRPr="003E497C">
        <w:rPr>
          <w:i/>
          <w:iCs/>
        </w:rPr>
        <w:t>Annual report 2018-19</w:t>
      </w:r>
      <w:r w:rsidRPr="003E497C">
        <w:t>.</w:t>
      </w:r>
    </w:p>
    <w:p w14:paraId="668297AB" w14:textId="3976BF9A" w:rsidR="003E497C" w:rsidRPr="003E497C" w:rsidRDefault="003E497C" w:rsidP="00F902F0">
      <w:pPr>
        <w:pStyle w:val="Reference"/>
      </w:pPr>
      <w:r w:rsidRPr="003E497C">
        <w:t>——</w:t>
      </w:r>
      <w:r w:rsidR="00971F8F">
        <w:t> </w:t>
      </w:r>
      <w:r w:rsidRPr="003E497C">
        <w:t xml:space="preserve">2020, </w:t>
      </w:r>
      <w:r w:rsidRPr="003E497C">
        <w:rPr>
          <w:i/>
          <w:iCs/>
        </w:rPr>
        <w:t>Annual report 2019-20</w:t>
      </w:r>
      <w:r w:rsidRPr="003E497C">
        <w:t>.</w:t>
      </w:r>
    </w:p>
    <w:p w14:paraId="3B017764" w14:textId="10335CC6" w:rsidR="003E497C" w:rsidRPr="003E497C" w:rsidRDefault="003E497C" w:rsidP="00F902F0">
      <w:pPr>
        <w:pStyle w:val="Reference"/>
      </w:pPr>
      <w:r w:rsidRPr="003E497C">
        <w:t>——</w:t>
      </w:r>
      <w:r w:rsidR="00971F8F">
        <w:t> </w:t>
      </w:r>
      <w:r w:rsidRPr="003E497C">
        <w:t xml:space="preserve">2021, </w:t>
      </w:r>
      <w:r w:rsidRPr="003E497C">
        <w:rPr>
          <w:i/>
          <w:iCs/>
        </w:rPr>
        <w:t>Annual report 2020-21</w:t>
      </w:r>
      <w:r w:rsidRPr="003E497C">
        <w:t>.</w:t>
      </w:r>
    </w:p>
    <w:p w14:paraId="424E07A7" w14:textId="77777777" w:rsidR="003E497C" w:rsidRPr="003E497C" w:rsidRDefault="003E497C" w:rsidP="00F902F0">
      <w:pPr>
        <w:pStyle w:val="Reference"/>
      </w:pPr>
      <w:r w:rsidRPr="003E497C">
        <w:t xml:space="preserve">Folta, TB, Johnson, DR and O’Brien, J 2006, ‘Uncertainty, irreversibility, and the likelihood of entry: An empirical assessment of the option to defer’, </w:t>
      </w:r>
      <w:r w:rsidRPr="003E497C">
        <w:rPr>
          <w:i/>
          <w:iCs/>
        </w:rPr>
        <w:t>Journal of Economic Behavior &amp; Organization</w:t>
      </w:r>
      <w:r w:rsidRPr="003E497C">
        <w:t>, vol. 61, no. 3, pp. 432–452.</w:t>
      </w:r>
    </w:p>
    <w:p w14:paraId="468860B8" w14:textId="77777777" w:rsidR="003E497C" w:rsidRPr="003E497C" w:rsidRDefault="003E497C" w:rsidP="00F902F0">
      <w:pPr>
        <w:pStyle w:val="Reference"/>
      </w:pPr>
      <w:r w:rsidRPr="003E497C">
        <w:t xml:space="preserve">Francois, J, Hoekman, B and Manchin, M 2006, ‘Preference erosion and multilateral trade liberalization’, </w:t>
      </w:r>
      <w:r w:rsidRPr="003E497C">
        <w:rPr>
          <w:i/>
          <w:iCs/>
        </w:rPr>
        <w:t>Oxford University press</w:t>
      </w:r>
      <w:r w:rsidRPr="003E497C">
        <w:t>, vol. 20, no. 2, pp. 197–216.</w:t>
      </w:r>
    </w:p>
    <w:p w14:paraId="78F33E85" w14:textId="77777777" w:rsidR="003E497C" w:rsidRPr="003E497C" w:rsidRDefault="003E497C" w:rsidP="00F902F0">
      <w:pPr>
        <w:pStyle w:val="Reference"/>
      </w:pPr>
      <w:r w:rsidRPr="003E497C">
        <w:t xml:space="preserve">Giswold, J 2023, </w:t>
      </w:r>
      <w:r w:rsidRPr="003E497C">
        <w:rPr>
          <w:i/>
          <w:iCs/>
        </w:rPr>
        <w:t>Break-even Analysis of Production Subsidies for Stellantis-LGES and Volkswagen</w:t>
      </w:r>
      <w:r w:rsidRPr="003E497C">
        <w:t xml:space="preserve">, </w:t>
      </w:r>
      <w:r w:rsidRPr="003E497C">
        <w:rPr>
          <w:i/>
          <w:iCs/>
        </w:rPr>
        <w:t>Office of the Parliamentary Budget Officer</w:t>
      </w:r>
      <w:r w:rsidRPr="003E497C">
        <w:t>, 12 September, Office of the Parliamentary Budget Officer, https://www.pbo-dpb.ca/en/publications/RP-2324-015-S--break-even-analysis-production-subsidies-stellantis-lges-volkswagen--analyse-seuil-rentabilite-subventions-production-accordees-stellantis-lges-volkswagen (accessed 19 June 2025).</w:t>
      </w:r>
    </w:p>
    <w:p w14:paraId="26B25FB1" w14:textId="77777777" w:rsidR="003E497C" w:rsidRPr="003E497C" w:rsidRDefault="003E497C" w:rsidP="00F902F0">
      <w:pPr>
        <w:pStyle w:val="Reference"/>
      </w:pPr>
      <w:r w:rsidRPr="003E497C">
        <w:lastRenderedPageBreak/>
        <w:t xml:space="preserve">Global Trade Alert 2025, </w:t>
      </w:r>
      <w:r w:rsidRPr="003E497C">
        <w:rPr>
          <w:i/>
          <w:iCs/>
        </w:rPr>
        <w:t>Data Center</w:t>
      </w:r>
      <w:r w:rsidRPr="003E497C">
        <w:t>, https://globaltradealert.org/data-center (accessed 14 May 2025).</w:t>
      </w:r>
    </w:p>
    <w:p w14:paraId="240DC805" w14:textId="37CCB9F4" w:rsidR="003E497C" w:rsidRPr="003E497C" w:rsidRDefault="003E497C" w:rsidP="00F902F0">
      <w:pPr>
        <w:pStyle w:val="Reference"/>
      </w:pPr>
      <w:r w:rsidRPr="003E497C">
        <w:t xml:space="preserve">Goldman Sachs 2023, </w:t>
      </w:r>
      <w:r w:rsidRPr="003E497C">
        <w:rPr>
          <w:i/>
          <w:iCs/>
        </w:rPr>
        <w:t>The US is poised for an energy revolution</w:t>
      </w:r>
      <w:r w:rsidRPr="003E497C">
        <w:t>, https://www.goldmansachs.com/insights/</w:t>
      </w:r>
      <w:r w:rsidR="0035558A">
        <w:br/>
      </w:r>
      <w:r w:rsidRPr="003E497C">
        <w:t>articles/the-us-is-poised-for-an-energy-revolution (accessed 30 April 2025).</w:t>
      </w:r>
    </w:p>
    <w:p w14:paraId="3FBF1C91" w14:textId="77777777" w:rsidR="003E497C" w:rsidRPr="003E497C" w:rsidRDefault="003E497C" w:rsidP="00F902F0">
      <w:pPr>
        <w:pStyle w:val="Reference"/>
      </w:pPr>
      <w:r w:rsidRPr="003E497C">
        <w:t xml:space="preserve">Grieger, G 2024, </w:t>
      </w:r>
      <w:r w:rsidRPr="003E497C">
        <w:rPr>
          <w:i/>
          <w:iCs/>
        </w:rPr>
        <w:t>International trade dispute settlement: World trade organisation appellate body crisis and multi-pary interim appeal arbitration arrangement</w:t>
      </w:r>
      <w:r w:rsidRPr="003E497C">
        <w:t>, June, European Parliamentary Research Service.</w:t>
      </w:r>
    </w:p>
    <w:p w14:paraId="21B7BBB9" w14:textId="77777777" w:rsidR="003E497C" w:rsidRPr="003E497C" w:rsidRDefault="003E497C" w:rsidP="00F902F0">
      <w:pPr>
        <w:pStyle w:val="Reference"/>
      </w:pPr>
      <w:r w:rsidRPr="003E497C">
        <w:t xml:space="preserve">HA (Housing Australia) 2023, </w:t>
      </w:r>
      <w:r w:rsidRPr="003E497C">
        <w:rPr>
          <w:i/>
          <w:iCs/>
        </w:rPr>
        <w:t>Annual Report 2022-23</w:t>
      </w:r>
      <w:r w:rsidRPr="003E497C">
        <w:t>, 18 October, https://www.housingaustralia.gov.au/media/housing-australia-annual-report-2022-23-released (accessed 6 June 2025).</w:t>
      </w:r>
    </w:p>
    <w:p w14:paraId="20A961E7" w14:textId="2A83A25F" w:rsidR="003E497C" w:rsidRPr="003E497C" w:rsidRDefault="003E497C" w:rsidP="00F902F0">
      <w:pPr>
        <w:pStyle w:val="Reference"/>
      </w:pPr>
      <w:r w:rsidRPr="003E497C">
        <w:t>——</w:t>
      </w:r>
      <w:r w:rsidR="00971F8F">
        <w:t> </w:t>
      </w:r>
      <w:r w:rsidRPr="003E497C">
        <w:t xml:space="preserve">2024, </w:t>
      </w:r>
      <w:r w:rsidRPr="003E497C">
        <w:rPr>
          <w:i/>
          <w:iCs/>
        </w:rPr>
        <w:t>Annual report 2023-24</w:t>
      </w:r>
      <w:r w:rsidRPr="003E497C">
        <w:t>.</w:t>
      </w:r>
    </w:p>
    <w:p w14:paraId="1D1DAF84" w14:textId="77777777" w:rsidR="003E497C" w:rsidRPr="003E497C" w:rsidRDefault="003E497C" w:rsidP="00F902F0">
      <w:pPr>
        <w:pStyle w:val="Reference"/>
      </w:pPr>
      <w:r w:rsidRPr="003E497C">
        <w:t xml:space="preserve">Handley, K 2014, ‘Exporting under trade policy uncertainty: Theory and evidence’, </w:t>
      </w:r>
      <w:r w:rsidRPr="003E497C">
        <w:rPr>
          <w:i/>
          <w:iCs/>
        </w:rPr>
        <w:t>Journal of International Economics</w:t>
      </w:r>
      <w:r w:rsidRPr="003E497C">
        <w:t>, vol. 94, no. 1, pp. 50–66.</w:t>
      </w:r>
    </w:p>
    <w:p w14:paraId="16E31134" w14:textId="77777777" w:rsidR="003E497C" w:rsidRPr="003E497C" w:rsidRDefault="003E497C" w:rsidP="00F902F0">
      <w:pPr>
        <w:pStyle w:val="Reference"/>
      </w:pPr>
      <w:r w:rsidRPr="003E497C">
        <w:t xml:space="preserve">—— and Limão, N 2012, </w:t>
      </w:r>
      <w:r w:rsidRPr="003E497C">
        <w:rPr>
          <w:i/>
          <w:iCs/>
        </w:rPr>
        <w:t>Trade and Investment Under Policy Uncertainty: Theory and Firm Evidence</w:t>
      </w:r>
      <w:r w:rsidRPr="003E497C">
        <w:t>, SSRN Scholarly Paper, Social Science Research Network, Rochester, NY, https://papers.ssrn.com/abstract=1992826 (accessed 20 May 2025).</w:t>
      </w:r>
    </w:p>
    <w:p w14:paraId="2017BEDA" w14:textId="6376FE4A" w:rsidR="003E497C" w:rsidRPr="003E497C" w:rsidRDefault="003E497C" w:rsidP="00F902F0">
      <w:pPr>
        <w:pStyle w:val="Reference"/>
      </w:pPr>
      <w:r w:rsidRPr="003E497C">
        <w:t xml:space="preserve">—— and 2015, ‘Trade and Investment under Policy Uncertainty: Theory and Firm Evidence’, </w:t>
      </w:r>
      <w:r w:rsidRPr="003E497C">
        <w:rPr>
          <w:i/>
          <w:iCs/>
        </w:rPr>
        <w:t>American Economic Journal: Economic Policy</w:t>
      </w:r>
      <w:r w:rsidRPr="003E497C">
        <w:t>, vol. 7, no. 4, pp. 189–222.</w:t>
      </w:r>
    </w:p>
    <w:p w14:paraId="4A016532" w14:textId="74398D4D" w:rsidR="003E497C" w:rsidRPr="003E497C" w:rsidRDefault="003E497C" w:rsidP="00F902F0">
      <w:pPr>
        <w:pStyle w:val="Reference"/>
      </w:pPr>
      <w:r w:rsidRPr="003E497C">
        <w:t xml:space="preserve">—— and 2017, ‘Policy Uncertainty, Trade, and Welfare: Theory and Evidence for China and the United States’, </w:t>
      </w:r>
      <w:r w:rsidRPr="003E497C">
        <w:rPr>
          <w:i/>
          <w:iCs/>
        </w:rPr>
        <w:t>American Economic Review</w:t>
      </w:r>
      <w:r w:rsidRPr="003E497C">
        <w:t>, vol. 107, no. 9, pp. 2731–2783.</w:t>
      </w:r>
    </w:p>
    <w:p w14:paraId="32940B41" w14:textId="67B9A5C7" w:rsidR="003E497C" w:rsidRPr="003E497C" w:rsidRDefault="003E497C" w:rsidP="00F902F0">
      <w:pPr>
        <w:pStyle w:val="Reference"/>
      </w:pPr>
      <w:r w:rsidRPr="003E497C">
        <w:t>—— and ——</w:t>
      </w:r>
      <w:r w:rsidR="00971F8F">
        <w:t> </w:t>
      </w:r>
      <w:r w:rsidRPr="003E497C">
        <w:t xml:space="preserve">2022, </w:t>
      </w:r>
      <w:r w:rsidRPr="003E497C">
        <w:rPr>
          <w:i/>
          <w:iCs/>
        </w:rPr>
        <w:t>Trade Policy Uncertainty</w:t>
      </w:r>
      <w:r w:rsidRPr="003E497C">
        <w:t>, SSRN Scholarly Paper, Social Science Research Network, Rochester, NY, https://papers.ssrn.com/abstract=4201117 (accessed 20 May 2025).</w:t>
      </w:r>
    </w:p>
    <w:p w14:paraId="74807927" w14:textId="77777777" w:rsidR="003E497C" w:rsidRPr="003E497C" w:rsidRDefault="003E497C" w:rsidP="00F902F0">
      <w:pPr>
        <w:pStyle w:val="Reference"/>
      </w:pPr>
      <w:r w:rsidRPr="003E497C">
        <w:t xml:space="preserve">Hayakawa, K 2011, ‘Measuring fixed costs for firms’ use of a free trade agreement: Threshold regression approach’, </w:t>
      </w:r>
      <w:r w:rsidRPr="003E497C">
        <w:rPr>
          <w:i/>
          <w:iCs/>
        </w:rPr>
        <w:t>Economics Letters</w:t>
      </w:r>
      <w:r w:rsidRPr="003E497C">
        <w:t>, vol. 113, no. 3, pp. 301–303.</w:t>
      </w:r>
    </w:p>
    <w:p w14:paraId="7FB4C460" w14:textId="0063937A" w:rsidR="003E497C" w:rsidRPr="003E497C" w:rsidRDefault="003E497C" w:rsidP="00F902F0">
      <w:pPr>
        <w:pStyle w:val="Reference"/>
      </w:pPr>
      <w:r w:rsidRPr="003E497C">
        <w:t>——</w:t>
      </w:r>
      <w:r w:rsidR="00971F8F">
        <w:t> </w:t>
      </w:r>
      <w:r w:rsidRPr="003E497C">
        <w:t xml:space="preserve">2014, ‘Impact of diagonal cumulation rule on FTA utilization: Evidence from bilateral and multilateral FTAs between Japan and Thailand’, </w:t>
      </w:r>
      <w:r w:rsidRPr="003E497C">
        <w:rPr>
          <w:i/>
          <w:iCs/>
        </w:rPr>
        <w:t>Journal of the Japanese and International Economies</w:t>
      </w:r>
      <w:r w:rsidRPr="003E497C">
        <w:t>, vol. 32, pp. 1–16.</w:t>
      </w:r>
    </w:p>
    <w:p w14:paraId="54DE96C7" w14:textId="77777777" w:rsidR="003E497C" w:rsidRPr="003E497C" w:rsidRDefault="003E497C" w:rsidP="00F902F0">
      <w:pPr>
        <w:pStyle w:val="Reference"/>
      </w:pPr>
      <w:r w:rsidRPr="003E497C">
        <w:t xml:space="preserve">——, Jinji, N, Matsuura, T and Yoshimi, T 2019, ‘Cost of utilising regional trade agreements’, </w:t>
      </w:r>
      <w:r w:rsidRPr="003E497C">
        <w:rPr>
          <w:i/>
          <w:iCs/>
        </w:rPr>
        <w:t>The Research Institute of Trade and Industry</w:t>
      </w:r>
      <w:r w:rsidRPr="003E497C">
        <w:t>, vol. 19, E-054.</w:t>
      </w:r>
    </w:p>
    <w:p w14:paraId="7A4B2C87" w14:textId="339DA823" w:rsidR="003E497C" w:rsidRPr="003E497C" w:rsidRDefault="003E497C" w:rsidP="00F902F0">
      <w:pPr>
        <w:pStyle w:val="Reference"/>
      </w:pPr>
      <w:r w:rsidRPr="003E497C">
        <w:t xml:space="preserve">Herbert Smith Freehills 2024, </w:t>
      </w:r>
      <w:r w:rsidRPr="003E497C">
        <w:rPr>
          <w:i/>
          <w:iCs/>
        </w:rPr>
        <w:t>Japan-Australia Investment Report 2024: Record-Breaking Japanese Investment</w:t>
      </w:r>
      <w:r w:rsidRPr="003E497C">
        <w:t>, Herbert Smith Freehills | Global law firm, https://www.herbertsmithfreehills.com/insights/2025</w:t>
      </w:r>
      <w:r w:rsidR="007D06D1">
        <w:t>–</w:t>
      </w:r>
      <w:r w:rsidRPr="003E497C">
        <w:t>04/japan-australia-investment-report-2024-record-breaking-japanese-investment (accessed 13 May 2025).</w:t>
      </w:r>
    </w:p>
    <w:p w14:paraId="30F827E3" w14:textId="77777777" w:rsidR="003E497C" w:rsidRPr="003E497C" w:rsidRDefault="003E497C" w:rsidP="00F902F0">
      <w:pPr>
        <w:pStyle w:val="Reference"/>
      </w:pPr>
      <w:r w:rsidRPr="003E497C">
        <w:t xml:space="preserve">Husic, E 2025, </w:t>
      </w:r>
      <w:r w:rsidRPr="003E497C">
        <w:rPr>
          <w:i/>
          <w:iCs/>
        </w:rPr>
        <w:t>Press conference announcing $2 Billion Green Aluminium Production Credit | Ministers for the Department of Industry, Science and Resources</w:t>
      </w:r>
      <w:r w:rsidRPr="003E497C">
        <w:t>, https://www.minister.industry.gov.au/ministers/husic/transcripts/press-conference-announcing-2-billion-green-aluminium-production-credit (accessed 17 February 2025).</w:t>
      </w:r>
    </w:p>
    <w:p w14:paraId="3B1EF839" w14:textId="77777777" w:rsidR="003E497C" w:rsidRPr="003E497C" w:rsidRDefault="003E497C" w:rsidP="00F902F0">
      <w:pPr>
        <w:pStyle w:val="Reference"/>
      </w:pPr>
      <w:r w:rsidRPr="003E497C">
        <w:t xml:space="preserve">Ian Gillson 2010, ‘Deepening Regional Integration to Eliminate the Fragmented Goods Market in Southern Africa’, </w:t>
      </w:r>
      <w:r w:rsidRPr="003E497C">
        <w:rPr>
          <w:i/>
          <w:iCs/>
        </w:rPr>
        <w:t>Africa Trade Policy Notes</w:t>
      </w:r>
      <w:r w:rsidRPr="003E497C">
        <w:t>, no. 9.</w:t>
      </w:r>
    </w:p>
    <w:p w14:paraId="2E25647F" w14:textId="15C5CA20" w:rsidR="003E497C" w:rsidRPr="003E497C" w:rsidRDefault="003E497C" w:rsidP="00F902F0">
      <w:pPr>
        <w:pStyle w:val="Reference"/>
      </w:pPr>
      <w:r w:rsidRPr="003E497C">
        <w:t xml:space="preserve">Irwin, DA 1998, </w:t>
      </w:r>
      <w:r w:rsidRPr="003E497C">
        <w:rPr>
          <w:i/>
          <w:iCs/>
        </w:rPr>
        <w:t>The Smoot-Hawley Tariff: A Quantitative Assessment</w:t>
      </w:r>
      <w:r w:rsidRPr="003E497C">
        <w:t>, https://www.jstor.org/stable/2646642?saml_data</w:t>
      </w:r>
      <w:r w:rsidR="0035558A">
        <w:br/>
      </w:r>
      <w:r w:rsidRPr="003E497C">
        <w:t>=eyJlbWFpbCI6ImRpZWdvLm1hY2hpbGxhbmRhZmxlY2hhc0</w:t>
      </w:r>
      <w:r w:rsidRPr="003E497C">
        <w:t>BzdHVkZW50LnVuaW1lbGIuZWR1LmF1IiwiaW5zdGl0dXRpb25JZHMiOlsiMTE0MjMzMzMtNDZiNC00ODFiLWEyMjctMmMwODhlYWZlMTE5Il0sInNhbWxUb2tlbiI6IjkwYzY3ZGVhLTJkYzItNDM1ZS1hN2E2LTk0ZGZlN2M1NGViMyJ9&amp;seq=1 (accessed 2 June 2025).</w:t>
      </w:r>
    </w:p>
    <w:p w14:paraId="6B8D220B" w14:textId="77777777" w:rsidR="003E497C" w:rsidRPr="003E497C" w:rsidRDefault="003E497C" w:rsidP="00F902F0">
      <w:pPr>
        <w:pStyle w:val="Reference"/>
      </w:pPr>
      <w:r w:rsidRPr="003E497C">
        <w:t xml:space="preserve">ITA (International Trade Administration) nd, </w:t>
      </w:r>
      <w:r w:rsidRPr="003E497C">
        <w:rPr>
          <w:i/>
          <w:iCs/>
        </w:rPr>
        <w:t>Russia Sanctions and Export Controls</w:t>
      </w:r>
      <w:r w:rsidRPr="003E497C">
        <w:t>, https://www.trade.gov/russia-sanctions-and-export-controls (accessed 2 June 2025).</w:t>
      </w:r>
    </w:p>
    <w:p w14:paraId="205FEBE5" w14:textId="77777777" w:rsidR="003E497C" w:rsidRPr="003E497C" w:rsidRDefault="003E497C" w:rsidP="00F902F0">
      <w:pPr>
        <w:pStyle w:val="Reference"/>
      </w:pPr>
      <w:r w:rsidRPr="003E497C">
        <w:t xml:space="preserve">Jordan, K 2024, ‘6.3 Comparing an Import Tariff with a Production Subsidy’, </w:t>
      </w:r>
      <w:r w:rsidRPr="003E497C">
        <w:rPr>
          <w:i/>
          <w:iCs/>
        </w:rPr>
        <w:t>International Trade Finance (Part 1)</w:t>
      </w:r>
      <w:r w:rsidRPr="003E497C">
        <w:t>, eCampusOntario, pp. 159–162.</w:t>
      </w:r>
    </w:p>
    <w:p w14:paraId="1AE97940" w14:textId="77777777" w:rsidR="003E497C" w:rsidRPr="003E497C" w:rsidRDefault="003E497C" w:rsidP="00F902F0">
      <w:pPr>
        <w:pStyle w:val="Reference"/>
      </w:pPr>
      <w:r w:rsidRPr="003E497C">
        <w:t xml:space="preserve">Kasteng, J, Kokko, A and Tingvall, P 2021, ‘Who Uses the EU’s Free Trade Agreements? A Transaction-Level Analysis of the EU–South Korea FTA’, </w:t>
      </w:r>
      <w:r w:rsidRPr="003E497C">
        <w:rPr>
          <w:i/>
          <w:iCs/>
        </w:rPr>
        <w:t>World Trade Review</w:t>
      </w:r>
      <w:r w:rsidRPr="003E497C">
        <w:t>, vol. 21, pp. 1–16.</w:t>
      </w:r>
    </w:p>
    <w:p w14:paraId="09DD438D" w14:textId="77777777" w:rsidR="003E497C" w:rsidRPr="003E497C" w:rsidRDefault="003E497C" w:rsidP="00F902F0">
      <w:pPr>
        <w:pStyle w:val="Reference"/>
      </w:pPr>
      <w:r w:rsidRPr="003E497C">
        <w:t xml:space="preserve">Keck, A and Lendle, A 2012, ‘New Evidence on Preference Utilization’, </w:t>
      </w:r>
      <w:r w:rsidRPr="003E497C">
        <w:rPr>
          <w:i/>
          <w:iCs/>
        </w:rPr>
        <w:t>SSRN Electronic Journal</w:t>
      </w:r>
      <w:r w:rsidRPr="003E497C">
        <w:t>.</w:t>
      </w:r>
    </w:p>
    <w:p w14:paraId="08752DA6" w14:textId="77777777" w:rsidR="003E497C" w:rsidRPr="003E497C" w:rsidRDefault="003E497C" w:rsidP="00F902F0">
      <w:pPr>
        <w:pStyle w:val="Reference"/>
      </w:pPr>
      <w:r w:rsidRPr="003E497C">
        <w:t xml:space="preserve">Kinne, B and Kang, S 2023, ‘Free Riding, Network Effects, and Burden Sharing in Defense Cooperation Networks’, </w:t>
      </w:r>
      <w:r w:rsidRPr="003E497C">
        <w:rPr>
          <w:i/>
          <w:iCs/>
        </w:rPr>
        <w:t>International Organization</w:t>
      </w:r>
      <w:r w:rsidRPr="003E497C">
        <w:t>, vol. 77, pp. 1–35.</w:t>
      </w:r>
    </w:p>
    <w:p w14:paraId="12650057" w14:textId="77777777" w:rsidR="003E497C" w:rsidRPr="003E497C" w:rsidRDefault="003E497C" w:rsidP="00F902F0">
      <w:pPr>
        <w:pStyle w:val="Reference"/>
      </w:pPr>
      <w:r w:rsidRPr="003E497C">
        <w:t xml:space="preserve">Krishna, K, Salamanca, C, Suzuki, Y and Volpe Martincus, C 2021, ‘Learning to Use Trade Agreements’, </w:t>
      </w:r>
      <w:r w:rsidRPr="003E497C">
        <w:rPr>
          <w:i/>
          <w:iCs/>
        </w:rPr>
        <w:t>National Bureau of Economic Research Working Paper Series</w:t>
      </w:r>
      <w:r w:rsidRPr="003E497C">
        <w:t>, vol. No. 29319.</w:t>
      </w:r>
    </w:p>
    <w:p w14:paraId="47CAC493" w14:textId="77777777" w:rsidR="003E497C" w:rsidRPr="003E497C" w:rsidRDefault="003E497C" w:rsidP="00F902F0">
      <w:pPr>
        <w:pStyle w:val="Reference"/>
      </w:pPr>
      <w:r w:rsidRPr="003E497C">
        <w:t xml:space="preserve">Krugman, PR, Obstfeld, M and Melitz, MJ 2022, </w:t>
      </w:r>
      <w:r w:rsidRPr="003E497C">
        <w:rPr>
          <w:i/>
          <w:iCs/>
        </w:rPr>
        <w:t>International Economics: Theory and Policy</w:t>
      </w:r>
      <w:r w:rsidRPr="003E497C">
        <w:t>, 12th edn, Pearson Education.</w:t>
      </w:r>
    </w:p>
    <w:p w14:paraId="48E4135E" w14:textId="77777777" w:rsidR="003E497C" w:rsidRPr="003E497C" w:rsidRDefault="003E497C" w:rsidP="00F902F0">
      <w:pPr>
        <w:pStyle w:val="Reference"/>
      </w:pPr>
      <w:r w:rsidRPr="003E497C">
        <w:t xml:space="preserve">Kunimoto, R and Sawchuk, G 2005, </w:t>
      </w:r>
      <w:r w:rsidRPr="003E497C">
        <w:rPr>
          <w:i/>
          <w:iCs/>
        </w:rPr>
        <w:t>NAFTA rules of origin</w:t>
      </w:r>
      <w:r w:rsidRPr="003E497C">
        <w:t>, Government of Canada - Policy Research Initiative.</w:t>
      </w:r>
    </w:p>
    <w:p w14:paraId="70C7E06D" w14:textId="77777777" w:rsidR="003E497C" w:rsidRPr="003E497C" w:rsidRDefault="003E497C" w:rsidP="00F902F0">
      <w:pPr>
        <w:pStyle w:val="Reference"/>
      </w:pPr>
      <w:r w:rsidRPr="003E497C">
        <w:t xml:space="preserve">Kyriazis, NA 2021, ‘Trade Policy Uncertainty Effects on Macro Economy and Financial Markets: An Integrated Survey and Empirical Investigation’, MDPI, </w:t>
      </w:r>
      <w:r w:rsidRPr="003E497C">
        <w:rPr>
          <w:i/>
          <w:iCs/>
        </w:rPr>
        <w:t>JRFM</w:t>
      </w:r>
      <w:r w:rsidRPr="003E497C">
        <w:t>, vol. 14, no. 1, pp. 1–20.</w:t>
      </w:r>
    </w:p>
    <w:p w14:paraId="3EF9A94A" w14:textId="77777777" w:rsidR="003E497C" w:rsidRPr="003E497C" w:rsidRDefault="003E497C" w:rsidP="00F902F0">
      <w:pPr>
        <w:pStyle w:val="Reference"/>
      </w:pPr>
      <w:r w:rsidRPr="003E497C">
        <w:t xml:space="preserve">Legge, S and Lukaszuk, P 2024, ‘The firm-level costs of utilizing free trade agreements’, </w:t>
      </w:r>
      <w:r w:rsidRPr="003E497C">
        <w:rPr>
          <w:i/>
          <w:iCs/>
        </w:rPr>
        <w:t>International Economics</w:t>
      </w:r>
      <w:r w:rsidRPr="003E497C">
        <w:t>, vol. 178, p. 100484.</w:t>
      </w:r>
    </w:p>
    <w:p w14:paraId="0AE040BF" w14:textId="77777777" w:rsidR="003E497C" w:rsidRPr="003E497C" w:rsidRDefault="003E497C" w:rsidP="00F902F0">
      <w:pPr>
        <w:pStyle w:val="Reference"/>
      </w:pPr>
      <w:r w:rsidRPr="003E497C">
        <w:t xml:space="preserve">Library of Congress 2023, </w:t>
      </w:r>
      <w:r w:rsidRPr="003E497C">
        <w:rPr>
          <w:i/>
          <w:iCs/>
        </w:rPr>
        <w:t>Frequently Asked Questions: CHIPS Act of 2022 Provisions and Implementation</w:t>
      </w:r>
      <w:r w:rsidRPr="003E497C">
        <w:t>, legislation, https://www.congress.gov/crs-product/R47523 (accessed 8 May 2025).</w:t>
      </w:r>
    </w:p>
    <w:p w14:paraId="58209017" w14:textId="77777777" w:rsidR="003E497C" w:rsidRPr="003E497C" w:rsidRDefault="003E497C" w:rsidP="00F902F0">
      <w:pPr>
        <w:pStyle w:val="Reference"/>
      </w:pPr>
      <w:r w:rsidRPr="003E497C">
        <w:t xml:space="preserve">Liu, Q and Ma, H 2020, ‘Trade policy uncertainty and innovation: Firm level evidence from China’s WTO accession’, Elsevier, </w:t>
      </w:r>
      <w:r w:rsidRPr="003E497C">
        <w:rPr>
          <w:i/>
          <w:iCs/>
        </w:rPr>
        <w:t>Journal of International Economics</w:t>
      </w:r>
      <w:r w:rsidRPr="003E497C">
        <w:t>, vol. 127, C, https://ideas.repec.org//a/eee/inecon/v127y2020ics0022199620301021.html (accessed 20 May 2025).</w:t>
      </w:r>
    </w:p>
    <w:p w14:paraId="74449EBD" w14:textId="77777777" w:rsidR="003E497C" w:rsidRPr="003E497C" w:rsidRDefault="003E497C" w:rsidP="00F902F0">
      <w:pPr>
        <w:pStyle w:val="Reference"/>
      </w:pPr>
      <w:r w:rsidRPr="003E497C">
        <w:t xml:space="preserve">McKinsey 2022, </w:t>
      </w:r>
      <w:r w:rsidRPr="003E497C">
        <w:rPr>
          <w:i/>
          <w:iCs/>
        </w:rPr>
        <w:t>What is the CHIPS and Science Act?</w:t>
      </w:r>
      <w:r w:rsidRPr="003E497C">
        <w:t>, https://www.mckinsey.com/industries/public-sector/our-insights/the-chips-and-science-act-heres-whats-in-it (accessed 8 May 2025).</w:t>
      </w:r>
    </w:p>
    <w:p w14:paraId="078AB771" w14:textId="77777777" w:rsidR="003E497C" w:rsidRPr="003E497C" w:rsidRDefault="003E497C" w:rsidP="00F902F0">
      <w:pPr>
        <w:pStyle w:val="Reference"/>
      </w:pPr>
      <w:r w:rsidRPr="003E497C">
        <w:t xml:space="preserve">Millmow, A 2023, </w:t>
      </w:r>
      <w:r w:rsidRPr="003E497C">
        <w:rPr>
          <w:i/>
          <w:iCs/>
        </w:rPr>
        <w:t>How a secret plan 50 years ago changed Australia’s economy forever, in just one night</w:t>
      </w:r>
      <w:r w:rsidRPr="003E497C">
        <w:t>, The Conversation, https://theconversation.com/how-a-secret-plan-50-years-ago-changed-australias-economy-forever-in-just-one-night-209378 (accessed 17 June 2025).</w:t>
      </w:r>
    </w:p>
    <w:p w14:paraId="6FAC2A69" w14:textId="77777777" w:rsidR="003E497C" w:rsidRPr="003E497C" w:rsidRDefault="003E497C" w:rsidP="00F902F0">
      <w:pPr>
        <w:pStyle w:val="Reference"/>
      </w:pPr>
      <w:r w:rsidRPr="003E497C">
        <w:t xml:space="preserve">MoF PRC (Ministry of Finance of the People’s Republic of China) 2025, </w:t>
      </w:r>
      <w:r w:rsidRPr="003E497C">
        <w:rPr>
          <w:i/>
          <w:iCs/>
        </w:rPr>
        <w:t>Announcement of the Customs Tariff Commission of the State Council on Imposing Additional Tariffs on Certain Imported Goods Originating in the United States</w:t>
      </w:r>
      <w:r w:rsidRPr="003E497C">
        <w:t>, https://www.mof.gov.cn/zhengwuxinxi/caizhengxinwen/202502/t20250204_3955222.htm (accessed 23 May 2025).</w:t>
      </w:r>
    </w:p>
    <w:p w14:paraId="3AE3FF79" w14:textId="77777777" w:rsidR="003E497C" w:rsidRPr="003E497C" w:rsidRDefault="003E497C" w:rsidP="00F902F0">
      <w:pPr>
        <w:pStyle w:val="Reference"/>
      </w:pPr>
      <w:r w:rsidRPr="003E497C">
        <w:t xml:space="preserve">NEMA (National Emergency Management Agency) 2024, </w:t>
      </w:r>
      <w:r w:rsidRPr="003E497C">
        <w:rPr>
          <w:i/>
          <w:iCs/>
        </w:rPr>
        <w:t>Goods and services ready for emergencies</w:t>
      </w:r>
      <w:r w:rsidRPr="003E497C">
        <w:t>, https://www.nema.gov.au/about-us/media-centre/goods-and-services-ready-emergencies (accessed 2 December 2024).</w:t>
      </w:r>
    </w:p>
    <w:p w14:paraId="57CC8C36" w14:textId="77777777" w:rsidR="003E497C" w:rsidRPr="003E497C" w:rsidRDefault="003E497C" w:rsidP="00F902F0">
      <w:pPr>
        <w:pStyle w:val="Reference"/>
      </w:pPr>
      <w:r w:rsidRPr="003E497C">
        <w:lastRenderedPageBreak/>
        <w:t xml:space="preserve">New Zealand Ministry of Foreign Affairs and Trade 2024, </w:t>
      </w:r>
      <w:r w:rsidRPr="003E497C">
        <w:rPr>
          <w:i/>
          <w:iCs/>
        </w:rPr>
        <w:t>Annex I: Environmental Purposes - Trade in Environmental Goods</w:t>
      </w:r>
      <w:r w:rsidRPr="003E497C">
        <w:t>, Agreement on Climate Change, Trade and Sustainability (ACCTS) text and resources, https://www.mfat.govt.nz/en/trade/free-trade-agreements/free-trade-agreements-concluded-but-not-in-force/agreement-on-climate-change-trade-and-sustainability-accts/accts-text-and-resources (accessed 11 April 2025).</w:t>
      </w:r>
    </w:p>
    <w:p w14:paraId="5D2BE9DA" w14:textId="77777777" w:rsidR="003E497C" w:rsidRPr="003E497C" w:rsidRDefault="003E497C" w:rsidP="00F902F0">
      <w:pPr>
        <w:pStyle w:val="Reference"/>
      </w:pPr>
      <w:r w:rsidRPr="003E497C">
        <w:t xml:space="preserve">Newell, R and Prest, B 2017, </w:t>
      </w:r>
      <w:r w:rsidRPr="003E497C">
        <w:rPr>
          <w:i/>
          <w:iCs/>
        </w:rPr>
        <w:t>Informing SPR Policy through Oil Futures and Inventory Dynamics</w:t>
      </w:r>
      <w:r w:rsidRPr="003E497C">
        <w:t>, 21 October, Resources for the Future.</w:t>
      </w:r>
    </w:p>
    <w:p w14:paraId="78B74228" w14:textId="77777777" w:rsidR="003E497C" w:rsidRPr="003E497C" w:rsidRDefault="003E497C" w:rsidP="00F902F0">
      <w:pPr>
        <w:pStyle w:val="Reference"/>
      </w:pPr>
      <w:r w:rsidRPr="003E497C">
        <w:t xml:space="preserve">NRFC (National Reconstruction Fund Corporation) 2024a, </w:t>
      </w:r>
      <w:r w:rsidRPr="003E497C">
        <w:rPr>
          <w:i/>
          <w:iCs/>
        </w:rPr>
        <w:t>Annual report 2023-24</w:t>
      </w:r>
      <w:r w:rsidRPr="003E497C">
        <w:t>.</w:t>
      </w:r>
    </w:p>
    <w:p w14:paraId="2972034D" w14:textId="43F5006A" w:rsidR="003E497C" w:rsidRPr="003E497C" w:rsidRDefault="003E497C" w:rsidP="00F902F0">
      <w:pPr>
        <w:pStyle w:val="Reference"/>
      </w:pPr>
      <w:r w:rsidRPr="003E497C">
        <w:t>——</w:t>
      </w:r>
      <w:r w:rsidR="00971F8F">
        <w:t> </w:t>
      </w:r>
      <w:r w:rsidRPr="003E497C">
        <w:t xml:space="preserve">2024b, </w:t>
      </w:r>
      <w:r w:rsidRPr="003E497C">
        <w:rPr>
          <w:i/>
          <w:iCs/>
        </w:rPr>
        <w:t>National Reconstruction Fund Corporation announces first investments | National Reconstruction Fund Corporation</w:t>
      </w:r>
      <w:r w:rsidRPr="003E497C">
        <w:t>, https://www.nrf.gov.au/news-and-media-releases/national-reconstruction-fund-corporation-announces-first-investments (accessed 6 June 2025).</w:t>
      </w:r>
    </w:p>
    <w:p w14:paraId="15F563BD" w14:textId="77777777" w:rsidR="003E497C" w:rsidRPr="003E497C" w:rsidRDefault="003E497C" w:rsidP="00F902F0">
      <w:pPr>
        <w:pStyle w:val="Reference"/>
      </w:pPr>
      <w:r w:rsidRPr="003E497C">
        <w:t xml:space="preserve">OECD 2025, </w:t>
      </w:r>
      <w:r w:rsidRPr="003E497C">
        <w:rPr>
          <w:i/>
          <w:iCs/>
        </w:rPr>
        <w:t>OECD Economic Outlook, Interim Report March 2025</w:t>
      </w:r>
      <w:r w:rsidRPr="003E497C">
        <w:t>, OECD, https://www.oecd.org/en/publications/oecd-economic-outlook-interim-report-march-2025_89af4857-en.html (accessed 20 March 2025).</w:t>
      </w:r>
    </w:p>
    <w:p w14:paraId="01FFF712" w14:textId="72FDC8F4" w:rsidR="003E497C" w:rsidRPr="003E497C" w:rsidRDefault="003E497C" w:rsidP="00F902F0">
      <w:pPr>
        <w:pStyle w:val="Reference"/>
      </w:pPr>
      <w:r w:rsidRPr="003E497C">
        <w:t>——</w:t>
      </w:r>
      <w:r w:rsidR="00971F8F">
        <w:t> </w:t>
      </w:r>
      <w:r w:rsidRPr="003E497C">
        <w:t xml:space="preserve">2023, </w:t>
      </w:r>
      <w:r w:rsidRPr="003E497C">
        <w:rPr>
          <w:i/>
          <w:iCs/>
        </w:rPr>
        <w:t>Green industrial policies</w:t>
      </w:r>
      <w:r w:rsidRPr="003E497C">
        <w:t>, OECD, https://www.oecd.org/en/topics/green-industrial-policies.html (accessed 15 May 2025).</w:t>
      </w:r>
    </w:p>
    <w:p w14:paraId="53B623DC" w14:textId="77777777" w:rsidR="003E497C" w:rsidRPr="003E497C" w:rsidRDefault="003E497C" w:rsidP="00F902F0">
      <w:pPr>
        <w:pStyle w:val="Reference"/>
      </w:pPr>
      <w:r w:rsidRPr="003E497C">
        <w:t xml:space="preserve">Oliveira, FS, Zahur, NB and Wu, F 2023, ‘Analysis of the optimal policy for managing strategic petroleum reserves under long-term uncertainty: The ASEAN case’, </w:t>
      </w:r>
      <w:r w:rsidRPr="003E497C">
        <w:rPr>
          <w:i/>
          <w:iCs/>
        </w:rPr>
        <w:t>Computers &amp; Industrial Engineering</w:t>
      </w:r>
      <w:r w:rsidRPr="003E497C">
        <w:t>, vol. 175, p. 108834.</w:t>
      </w:r>
    </w:p>
    <w:p w14:paraId="0D8AA337" w14:textId="7E44A3F6" w:rsidR="003E497C" w:rsidRPr="00963E5A" w:rsidRDefault="003E497C" w:rsidP="00F902F0">
      <w:pPr>
        <w:pStyle w:val="Reference"/>
        <w:rPr>
          <w:spacing w:val="-4"/>
        </w:rPr>
      </w:pPr>
      <w:r w:rsidRPr="00963E5A">
        <w:rPr>
          <w:spacing w:val="-4"/>
        </w:rPr>
        <w:t xml:space="preserve">OLRC (Office of the Law Revision Counsel) 2025a, </w:t>
      </w:r>
      <w:r w:rsidRPr="00963E5A">
        <w:rPr>
          <w:i/>
          <w:iCs/>
          <w:spacing w:val="-4"/>
        </w:rPr>
        <w:t>Title 19 U.S.C. 1321</w:t>
      </w:r>
      <w:r w:rsidRPr="00963E5A">
        <w:rPr>
          <w:spacing w:val="-4"/>
        </w:rPr>
        <w:t>, https://uscode.house.gov/browse/prelim@title19/</w:t>
      </w:r>
      <w:r w:rsidR="00963E5A" w:rsidRPr="00963E5A">
        <w:rPr>
          <w:spacing w:val="-4"/>
        </w:rPr>
        <w:br/>
      </w:r>
      <w:r w:rsidRPr="00963E5A">
        <w:rPr>
          <w:spacing w:val="-4"/>
        </w:rPr>
        <w:t>chapter4/node265/part1&amp;edition=prelim (accessed 28 May 2025).</w:t>
      </w:r>
    </w:p>
    <w:p w14:paraId="1AA43BDE" w14:textId="31F7B091" w:rsidR="003E497C" w:rsidRPr="003E497C" w:rsidRDefault="003E497C" w:rsidP="00F902F0">
      <w:pPr>
        <w:pStyle w:val="Reference"/>
      </w:pPr>
      <w:r w:rsidRPr="003E497C">
        <w:t>——</w:t>
      </w:r>
      <w:r w:rsidR="00971F8F">
        <w:t> </w:t>
      </w:r>
      <w:r w:rsidRPr="003E497C">
        <w:t xml:space="preserve">2025b, </w:t>
      </w:r>
      <w:r w:rsidRPr="003E497C">
        <w:rPr>
          <w:i/>
          <w:iCs/>
        </w:rPr>
        <w:t>Title 50 U.S.C. 1702</w:t>
      </w:r>
      <w:r w:rsidRPr="003E497C">
        <w:t>, https://uscode.house.gov/browse/prelim@title50/chapter35&amp;edition=prelim (accessed 21 May 2025).</w:t>
      </w:r>
    </w:p>
    <w:p w14:paraId="299960AF" w14:textId="77777777" w:rsidR="003E497C" w:rsidRPr="003E497C" w:rsidRDefault="003E497C" w:rsidP="00F902F0">
      <w:pPr>
        <w:pStyle w:val="Reference"/>
      </w:pPr>
      <w:r w:rsidRPr="003E497C">
        <w:t xml:space="preserve">O’Neil, C and Chalmers, J 2025, </w:t>
      </w:r>
      <w:r w:rsidRPr="003E497C">
        <w:rPr>
          <w:i/>
          <w:iCs/>
        </w:rPr>
        <w:t>Albanese Government clamping down on foreign purchase of established homes and land banking | Treasury Ministers</w:t>
      </w:r>
      <w:r w:rsidRPr="003E497C">
        <w:t>, Treasury Ministers, https://ministers.treasury.gov.au/ministers/clare-oneil-2024/media-releases/albanese-government-clamping-down-foreign-purchase (accessed 4 April 2025).</w:t>
      </w:r>
    </w:p>
    <w:p w14:paraId="7C1ED36A" w14:textId="01A9C4CD" w:rsidR="003E497C" w:rsidRPr="003E497C" w:rsidRDefault="003E497C" w:rsidP="00F902F0">
      <w:pPr>
        <w:pStyle w:val="Reference"/>
      </w:pPr>
      <w:r w:rsidRPr="003E497C">
        <w:t xml:space="preserve">Pandergast, J and Jose, L 2022, ‘AdBlue supply fears as clock ticks on Australian production’, </w:t>
      </w:r>
      <w:r w:rsidRPr="003E497C">
        <w:rPr>
          <w:i/>
          <w:iCs/>
        </w:rPr>
        <w:t>ABC News</w:t>
      </w:r>
      <w:r w:rsidRPr="003E497C">
        <w:t>, 3 July, https://www.abc.net.au/news/2022</w:t>
      </w:r>
      <w:r w:rsidR="007D06D1">
        <w:t>–</w:t>
      </w:r>
      <w:r w:rsidRPr="003E497C">
        <w:t>07-04/adblue-fears-with-australian-manufacturing-to-cease/101197454 (accessed 21 May 2025).</w:t>
      </w:r>
    </w:p>
    <w:p w14:paraId="45A19267" w14:textId="77777777" w:rsidR="003E497C" w:rsidRPr="003E497C" w:rsidRDefault="003E497C" w:rsidP="00F902F0">
      <w:pPr>
        <w:pStyle w:val="Reference"/>
      </w:pPr>
      <w:r w:rsidRPr="003E497C">
        <w:t xml:space="preserve">Parliament of Australia 2024, </w:t>
      </w:r>
      <w:r w:rsidRPr="003E497C">
        <w:rPr>
          <w:i/>
          <w:iCs/>
        </w:rPr>
        <w:t>Future Made in Australia Act 2024</w:t>
      </w:r>
      <w:r w:rsidRPr="003E497C">
        <w:t>, text, https://www.legislation.gov.au/C2024A00119/asmade/text (accessed 7 March 2025).</w:t>
      </w:r>
    </w:p>
    <w:p w14:paraId="627A4DDC" w14:textId="3A6CE2C6" w:rsidR="003E497C" w:rsidRPr="003E497C" w:rsidRDefault="003E497C" w:rsidP="00F902F0">
      <w:pPr>
        <w:pStyle w:val="Reference"/>
      </w:pPr>
      <w:r w:rsidRPr="003E497C">
        <w:t>——</w:t>
      </w:r>
      <w:r w:rsidR="00971F8F">
        <w:t> </w:t>
      </w:r>
      <w:r w:rsidRPr="003E497C">
        <w:t xml:space="preserve">2025, </w:t>
      </w:r>
      <w:r w:rsidRPr="003E497C">
        <w:rPr>
          <w:i/>
          <w:iCs/>
        </w:rPr>
        <w:t>Future Made in Australia (Production Tax Credits and Other Measures) Act 2024</w:t>
      </w:r>
      <w:r w:rsidRPr="003E497C">
        <w:t>, text, https://www.aph.gov.au/</w:t>
      </w:r>
      <w:r w:rsidR="00963E5A">
        <w:br/>
      </w:r>
      <w:r w:rsidRPr="003E497C">
        <w:t>Parliamentary_Business/Bills_Legislation/Bills_Search_Results/Result?bId=r7297 (accessed 7 March 2025).</w:t>
      </w:r>
    </w:p>
    <w:p w14:paraId="0909E5F7" w14:textId="77777777" w:rsidR="003E497C" w:rsidRPr="003E497C" w:rsidRDefault="003E497C" w:rsidP="00F902F0">
      <w:pPr>
        <w:pStyle w:val="Reference"/>
      </w:pPr>
      <w:r w:rsidRPr="003E497C">
        <w:t xml:space="preserve">PC (Productivity Commission) 2010a, </w:t>
      </w:r>
      <w:r w:rsidRPr="003E497C">
        <w:rPr>
          <w:i/>
          <w:iCs/>
        </w:rPr>
        <w:t>Australia’s Anti-dumping and Countervailing System</w:t>
      </w:r>
      <w:r w:rsidRPr="003E497C">
        <w:t>, Report no. 48, Canberra.</w:t>
      </w:r>
    </w:p>
    <w:p w14:paraId="5BC7DD91" w14:textId="27FA6B21" w:rsidR="003E497C" w:rsidRPr="003E497C" w:rsidRDefault="003E497C" w:rsidP="00F902F0">
      <w:pPr>
        <w:pStyle w:val="Reference"/>
      </w:pPr>
      <w:r w:rsidRPr="003E497C">
        <w:t>——</w:t>
      </w:r>
      <w:r w:rsidR="00971F8F">
        <w:t> </w:t>
      </w:r>
      <w:r w:rsidRPr="003E497C">
        <w:t xml:space="preserve">2010b, </w:t>
      </w:r>
      <w:r w:rsidRPr="003E497C">
        <w:rPr>
          <w:i/>
          <w:iCs/>
        </w:rPr>
        <w:t>Bilateral and Regional Trade Agreements</w:t>
      </w:r>
      <w:r w:rsidRPr="003E497C">
        <w:t>, Research Report, Canberra.</w:t>
      </w:r>
    </w:p>
    <w:p w14:paraId="1D8BDD4B" w14:textId="335413CD" w:rsidR="003E497C" w:rsidRPr="003E497C" w:rsidRDefault="003E497C" w:rsidP="00F902F0">
      <w:pPr>
        <w:pStyle w:val="Reference"/>
      </w:pPr>
      <w:r w:rsidRPr="003E497C">
        <w:t>——</w:t>
      </w:r>
      <w:r w:rsidR="00971F8F">
        <w:t> </w:t>
      </w:r>
      <w:r w:rsidRPr="003E497C">
        <w:t xml:space="preserve">2016, </w:t>
      </w:r>
      <w:r w:rsidRPr="003E497C">
        <w:rPr>
          <w:i/>
          <w:iCs/>
        </w:rPr>
        <w:t>Developments in Anti-Dumping Arrangements</w:t>
      </w:r>
      <w:r w:rsidRPr="003E497C">
        <w:t>, Commission Research Paper, Canberra.</w:t>
      </w:r>
    </w:p>
    <w:p w14:paraId="19B54304" w14:textId="79DA7385" w:rsidR="003E497C" w:rsidRPr="003E497C" w:rsidRDefault="003E497C" w:rsidP="00F902F0">
      <w:pPr>
        <w:pStyle w:val="Reference"/>
      </w:pPr>
      <w:r w:rsidRPr="003E497C">
        <w:t>——</w:t>
      </w:r>
      <w:r w:rsidR="00971F8F">
        <w:t> </w:t>
      </w:r>
      <w:r w:rsidRPr="003E497C">
        <w:t xml:space="preserve">2017a, </w:t>
      </w:r>
      <w:r w:rsidRPr="003E497C">
        <w:rPr>
          <w:i/>
          <w:iCs/>
        </w:rPr>
        <w:t>Modelling Protectionist Trade Policies</w:t>
      </w:r>
      <w:r w:rsidRPr="003E497C">
        <w:t>, Technical Supplement to the Rising Protectionism Research Paper, July, Productivity Commission.</w:t>
      </w:r>
    </w:p>
    <w:p w14:paraId="59D8AFD7" w14:textId="6933FE36" w:rsidR="003E497C" w:rsidRPr="003E497C" w:rsidRDefault="003E497C" w:rsidP="00F902F0">
      <w:pPr>
        <w:pStyle w:val="Reference"/>
      </w:pPr>
      <w:r w:rsidRPr="003E497C">
        <w:t>——</w:t>
      </w:r>
      <w:r w:rsidR="00971F8F">
        <w:t> </w:t>
      </w:r>
      <w:r w:rsidRPr="003E497C">
        <w:t xml:space="preserve">2017b, </w:t>
      </w:r>
      <w:r w:rsidRPr="003E497C">
        <w:rPr>
          <w:i/>
          <w:iCs/>
        </w:rPr>
        <w:t>Modelling protectionist trade policies</w:t>
      </w:r>
      <w:r w:rsidRPr="003E497C">
        <w:t>, Rising Protectionism Technical Supplement to the Research Paper.</w:t>
      </w:r>
    </w:p>
    <w:p w14:paraId="68DEBE91" w14:textId="37A6E5C4" w:rsidR="003E497C" w:rsidRPr="003E497C" w:rsidRDefault="003E497C" w:rsidP="00F902F0">
      <w:pPr>
        <w:pStyle w:val="Reference"/>
      </w:pPr>
      <w:r w:rsidRPr="003E497C">
        <w:t>——</w:t>
      </w:r>
      <w:r w:rsidR="00971F8F">
        <w:t> </w:t>
      </w:r>
      <w:r w:rsidRPr="003E497C">
        <w:t xml:space="preserve">2017c, </w:t>
      </w:r>
      <w:r w:rsidRPr="003E497C">
        <w:rPr>
          <w:i/>
          <w:iCs/>
        </w:rPr>
        <w:t>Rising Protectionism: Challenges, threats and opportunities for Australia</w:t>
      </w:r>
      <w:r w:rsidRPr="003E497C">
        <w:t>, Commission Research Paper, Canberra.</w:t>
      </w:r>
    </w:p>
    <w:p w14:paraId="4441BD5B" w14:textId="1071D0D4" w:rsidR="003E497C" w:rsidRPr="003E497C" w:rsidRDefault="003E497C" w:rsidP="00F902F0">
      <w:pPr>
        <w:pStyle w:val="Reference"/>
      </w:pPr>
      <w:r w:rsidRPr="003E497C">
        <w:t>——</w:t>
      </w:r>
      <w:r w:rsidR="00971F8F">
        <w:t> </w:t>
      </w:r>
      <w:r w:rsidRPr="003E497C">
        <w:t xml:space="preserve">2020, </w:t>
      </w:r>
      <w:r w:rsidRPr="003E497C">
        <w:rPr>
          <w:i/>
          <w:iCs/>
        </w:rPr>
        <w:t>Foreign Investment in Australia</w:t>
      </w:r>
      <w:r w:rsidRPr="003E497C">
        <w:t>, Commission Research Paper, Canberra.</w:t>
      </w:r>
    </w:p>
    <w:p w14:paraId="290A2F7D" w14:textId="30BF86AE" w:rsidR="003E497C" w:rsidRPr="003E497C" w:rsidRDefault="003E497C" w:rsidP="00F902F0">
      <w:pPr>
        <w:pStyle w:val="Reference"/>
      </w:pPr>
      <w:r w:rsidRPr="003E497C">
        <w:t>——</w:t>
      </w:r>
      <w:r w:rsidR="00971F8F">
        <w:t> </w:t>
      </w:r>
      <w:r w:rsidRPr="003E497C">
        <w:t xml:space="preserve">2022, </w:t>
      </w:r>
      <w:r w:rsidRPr="003E497C">
        <w:rPr>
          <w:i/>
          <w:iCs/>
        </w:rPr>
        <w:t>The nuisance cost of tariffs</w:t>
      </w:r>
      <w:r w:rsidRPr="003E497C">
        <w:t>, Research paper, Canberra.</w:t>
      </w:r>
    </w:p>
    <w:p w14:paraId="06CCA9AD" w14:textId="36216802" w:rsidR="003E497C" w:rsidRPr="003E497C" w:rsidRDefault="003E497C" w:rsidP="00F902F0">
      <w:pPr>
        <w:pStyle w:val="Reference"/>
      </w:pPr>
      <w:r w:rsidRPr="003E497C">
        <w:t>——</w:t>
      </w:r>
      <w:r w:rsidR="00971F8F">
        <w:t> </w:t>
      </w:r>
      <w:r w:rsidRPr="003E497C">
        <w:t xml:space="preserve">2023a, </w:t>
      </w:r>
      <w:r w:rsidRPr="003E497C">
        <w:rPr>
          <w:i/>
          <w:iCs/>
        </w:rPr>
        <w:t>5-year Productivity Inquiry: Advancing Prosperity</w:t>
      </w:r>
      <w:r w:rsidRPr="003E497C">
        <w:t>, Inquiry Report no. 100, Vol. 1, Canberra.</w:t>
      </w:r>
    </w:p>
    <w:p w14:paraId="74960E76" w14:textId="0842666A" w:rsidR="003E497C" w:rsidRPr="003E497C" w:rsidRDefault="003E497C" w:rsidP="00F902F0">
      <w:pPr>
        <w:pStyle w:val="Reference"/>
      </w:pPr>
      <w:r w:rsidRPr="003E497C">
        <w:t>——</w:t>
      </w:r>
      <w:r w:rsidR="00971F8F">
        <w:t> </w:t>
      </w:r>
      <w:r w:rsidRPr="003E497C">
        <w:t xml:space="preserve">2023b, </w:t>
      </w:r>
      <w:r w:rsidRPr="0035558A">
        <w:rPr>
          <w:i/>
          <w:iCs/>
        </w:rPr>
        <w:t>Trade and Assistance Review 2021-22</w:t>
      </w:r>
      <w:r w:rsidRPr="003E497C">
        <w:t>.</w:t>
      </w:r>
    </w:p>
    <w:p w14:paraId="3BB5C30C" w14:textId="4903D195" w:rsidR="003E497C" w:rsidRPr="003E497C" w:rsidRDefault="003E497C" w:rsidP="00F902F0">
      <w:pPr>
        <w:pStyle w:val="Reference"/>
      </w:pPr>
      <w:r w:rsidRPr="003E497C">
        <w:t>——</w:t>
      </w:r>
      <w:r w:rsidR="00971F8F">
        <w:t> </w:t>
      </w:r>
      <w:r w:rsidRPr="003E497C">
        <w:t xml:space="preserve">2024a, </w:t>
      </w:r>
      <w:r w:rsidRPr="003E497C">
        <w:rPr>
          <w:i/>
          <w:iCs/>
        </w:rPr>
        <w:t>Modelling Asian trade integration</w:t>
      </w:r>
      <w:r w:rsidRPr="003E497C">
        <w:t>, Research paper, Canberra.</w:t>
      </w:r>
    </w:p>
    <w:p w14:paraId="470878B4" w14:textId="6CCF369C" w:rsidR="003E497C" w:rsidRPr="003E497C" w:rsidRDefault="003E497C" w:rsidP="00F902F0">
      <w:pPr>
        <w:pStyle w:val="Reference"/>
      </w:pPr>
      <w:r w:rsidRPr="003E497C">
        <w:t>——</w:t>
      </w:r>
      <w:r w:rsidR="00971F8F">
        <w:t> </w:t>
      </w:r>
      <w:r w:rsidRPr="003E497C">
        <w:t xml:space="preserve">2024b, </w:t>
      </w:r>
      <w:r w:rsidRPr="003E497C">
        <w:rPr>
          <w:i/>
          <w:iCs/>
        </w:rPr>
        <w:t>National Competition Policy: modelling proposed reforms</w:t>
      </w:r>
      <w:r w:rsidRPr="003E497C">
        <w:t>, Study report, Canberra.</w:t>
      </w:r>
    </w:p>
    <w:p w14:paraId="2B0B66F6" w14:textId="4BD2A6DC" w:rsidR="003E497C" w:rsidRPr="003E497C" w:rsidRDefault="003E497C" w:rsidP="00F902F0">
      <w:pPr>
        <w:pStyle w:val="Reference"/>
      </w:pPr>
      <w:r w:rsidRPr="003E497C">
        <w:t>——</w:t>
      </w:r>
      <w:r w:rsidR="00971F8F">
        <w:t> </w:t>
      </w:r>
      <w:r w:rsidRPr="003E497C">
        <w:t xml:space="preserve">2024c, </w:t>
      </w:r>
      <w:r w:rsidRPr="0035558A">
        <w:rPr>
          <w:i/>
          <w:iCs/>
        </w:rPr>
        <w:t>Trade and Assistance Review 2022-23</w:t>
      </w:r>
      <w:r w:rsidRPr="003E497C">
        <w:t>.</w:t>
      </w:r>
    </w:p>
    <w:p w14:paraId="6F79AF79" w14:textId="77777777" w:rsidR="003E497C" w:rsidRPr="003E497C" w:rsidRDefault="003E497C" w:rsidP="00F902F0">
      <w:pPr>
        <w:pStyle w:val="Reference"/>
      </w:pPr>
      <w:r w:rsidRPr="003E497C">
        <w:t xml:space="preserve">PIIE (Bown) 2019, </w:t>
      </w:r>
      <w:r w:rsidRPr="003E497C">
        <w:rPr>
          <w:i/>
          <w:iCs/>
        </w:rPr>
        <w:t>US-China Trade War Tariffs: An Up-to-Date Chart</w:t>
      </w:r>
      <w:r w:rsidRPr="003E497C">
        <w:t>, https://www.piie.com/research/piie-charts/2019/us-china-trade-war-tariffs-date-chart (accessed 20 May 2025).</w:t>
      </w:r>
    </w:p>
    <w:p w14:paraId="2A4DB96F" w14:textId="53AA394F" w:rsidR="003E497C" w:rsidRPr="003E497C" w:rsidRDefault="003E497C" w:rsidP="00F902F0">
      <w:pPr>
        <w:pStyle w:val="Reference"/>
      </w:pPr>
      <w:r w:rsidRPr="003E497C">
        <w:t>——</w:t>
      </w:r>
      <w:r w:rsidR="00971F8F">
        <w:t> </w:t>
      </w:r>
      <w:r w:rsidRPr="003E497C">
        <w:t xml:space="preserve">2025, </w:t>
      </w:r>
      <w:r w:rsidRPr="003E497C">
        <w:rPr>
          <w:i/>
          <w:iCs/>
        </w:rPr>
        <w:t>Trump’s trade war timeline 2.0: An up-to-date guide</w:t>
      </w:r>
      <w:r w:rsidRPr="003E497C">
        <w:t>, https://www.piie.com/blogs/realtime-economics/2025/trumps-trade-war-timeline-20-date-guide (accessed 23 May 2025).</w:t>
      </w:r>
    </w:p>
    <w:p w14:paraId="02CF9033" w14:textId="77777777" w:rsidR="003E497C" w:rsidRPr="003E497C" w:rsidRDefault="003E497C" w:rsidP="00F902F0">
      <w:pPr>
        <w:pStyle w:val="Reference"/>
      </w:pPr>
      <w:r w:rsidRPr="003E497C">
        <w:t xml:space="preserve">RBA (Reserve Bank of Australia) 2025, </w:t>
      </w:r>
      <w:r w:rsidRPr="003E497C">
        <w:rPr>
          <w:i/>
          <w:iCs/>
        </w:rPr>
        <w:t>Statement by the Monetary Policy Board: Monetary Policy Decision</w:t>
      </w:r>
      <w:r w:rsidRPr="003E497C">
        <w:t>, https://www.rba.gov.au/media-releases/2025/mr-25-13.html (accessed 21 May 2025).</w:t>
      </w:r>
    </w:p>
    <w:p w14:paraId="6FDBA2D5" w14:textId="296A3BDA" w:rsidR="003E497C" w:rsidRPr="003E497C" w:rsidRDefault="003E497C" w:rsidP="00F902F0">
      <w:pPr>
        <w:pStyle w:val="Reference"/>
      </w:pPr>
      <w:r w:rsidRPr="003E497C">
        <w:t>——</w:t>
      </w:r>
      <w:r w:rsidR="00971F8F">
        <w:t> </w:t>
      </w:r>
      <w:r w:rsidRPr="003E497C">
        <w:t xml:space="preserve">2023, </w:t>
      </w:r>
      <w:r w:rsidRPr="003E497C">
        <w:rPr>
          <w:i/>
          <w:iCs/>
        </w:rPr>
        <w:t>The Extraordinary Decline in Australia’s Net Foreign Liabilities | Speeches</w:t>
      </w:r>
      <w:r w:rsidRPr="003E497C">
        <w:t>, Reserve Bank of Australia, https://www.rba.gov.au/speeches/2023/sp-so-2023</w:t>
      </w:r>
      <w:r w:rsidR="007D06D1">
        <w:t>–</w:t>
      </w:r>
      <w:r w:rsidRPr="003E497C">
        <w:t>10-18.html (accessed 3 April 2025).</w:t>
      </w:r>
    </w:p>
    <w:p w14:paraId="5802A8F6" w14:textId="77777777" w:rsidR="003E497C" w:rsidRPr="003E497C" w:rsidRDefault="003E497C" w:rsidP="00F902F0">
      <w:pPr>
        <w:pStyle w:val="Reference"/>
      </w:pPr>
      <w:r w:rsidRPr="003E497C">
        <w:t xml:space="preserve">Robinson, N and Panagopoulos, J 2024, ‘A shortage of intravenous IV fluid bags is dubbed “the ultimate example of poor procurement policy” as claims of a widespread global shortage is contradicted’, </w:t>
      </w:r>
      <w:r w:rsidRPr="003E497C">
        <w:rPr>
          <w:i/>
          <w:iCs/>
        </w:rPr>
        <w:t>The Australian</w:t>
      </w:r>
      <w:r w:rsidRPr="003E497C">
        <w:t>, 16 August, https://www.theaustralian.com.au/nation/politics/intravenous-scandal-the-excuses-are-fluid/news-story/38999b95d4d630922e7a4cf87492a88f (accessed 16 August 2024).</w:t>
      </w:r>
    </w:p>
    <w:p w14:paraId="7918BF34" w14:textId="77777777" w:rsidR="003E497C" w:rsidRPr="003E497C" w:rsidRDefault="003E497C" w:rsidP="00F902F0">
      <w:pPr>
        <w:pStyle w:val="Reference"/>
      </w:pPr>
      <w:r w:rsidRPr="003E497C">
        <w:t xml:space="preserve">Salazar, P 2023, </w:t>
      </w:r>
      <w:r w:rsidRPr="003E497C">
        <w:rPr>
          <w:i/>
          <w:iCs/>
        </w:rPr>
        <w:t>The Gas Paradox: Australia’s Export Boom Amidst Domestic Shortages</w:t>
      </w:r>
      <w:r w:rsidRPr="003E497C">
        <w:t xml:space="preserve">, </w:t>
      </w:r>
      <w:r w:rsidRPr="003E497C">
        <w:rPr>
          <w:i/>
          <w:iCs/>
        </w:rPr>
        <w:t>Energy Action</w:t>
      </w:r>
      <w:r w:rsidRPr="003E497C">
        <w:t>, 17 July, https://energyaction.com.au/australias-gas-paradox/ (accessed 16 August 2024).</w:t>
      </w:r>
    </w:p>
    <w:p w14:paraId="456C25ED" w14:textId="77777777" w:rsidR="003E497C" w:rsidRPr="003E497C" w:rsidRDefault="003E497C" w:rsidP="00F902F0">
      <w:pPr>
        <w:pStyle w:val="Reference"/>
      </w:pPr>
      <w:r w:rsidRPr="003E497C">
        <w:t xml:space="preserve">Schott, JJ 2016, </w:t>
      </w:r>
      <w:r w:rsidRPr="003E497C">
        <w:rPr>
          <w:i/>
          <w:iCs/>
        </w:rPr>
        <w:t>NAFTA and Autos | PIIE</w:t>
      </w:r>
      <w:r w:rsidRPr="003E497C">
        <w:t>, https://www.piie.com/commentary/testimonies/nafta-and-autos (accessed 11 April 2025).</w:t>
      </w:r>
    </w:p>
    <w:p w14:paraId="60F7CEA3" w14:textId="77777777" w:rsidR="003E497C" w:rsidRPr="003E497C" w:rsidRDefault="003E497C" w:rsidP="00F902F0">
      <w:pPr>
        <w:pStyle w:val="Reference"/>
      </w:pPr>
      <w:r w:rsidRPr="003E497C">
        <w:t xml:space="preserve">Skinner, B 2022, </w:t>
      </w:r>
      <w:r w:rsidRPr="003E497C">
        <w:rPr>
          <w:i/>
          <w:iCs/>
        </w:rPr>
        <w:t>AEMO Market Suspension Report: Anatomy of a Crisis</w:t>
      </w:r>
      <w:r w:rsidRPr="003E497C">
        <w:t>, Australian Energy Council, https://www.energycouncil.com.au/analysis/aemo-market-suspension-report-anatomy-of-a-crisis/ (accessed 20 May 2025).</w:t>
      </w:r>
    </w:p>
    <w:p w14:paraId="1DBF1F61" w14:textId="77777777" w:rsidR="003E497C" w:rsidRPr="003E497C" w:rsidRDefault="003E497C" w:rsidP="00F902F0">
      <w:pPr>
        <w:pStyle w:val="Reference"/>
      </w:pPr>
      <w:r w:rsidRPr="003E497C">
        <w:t xml:space="preserve">Smith, T, Rebolledo, I, Tsoukalis, C, Ellina, D and Sim, M 2025, </w:t>
      </w:r>
      <w:r w:rsidRPr="003E497C">
        <w:rPr>
          <w:i/>
          <w:iCs/>
        </w:rPr>
        <w:t>Making Trade Work Again: Resetting the UK’s Trade Strategy for a Changing World</w:t>
      </w:r>
      <w:r w:rsidRPr="003E497C">
        <w:t>, 22 May, https://institute.global/insights/economic-prosperity/making-trade-work-again-resetting-the-uks-trade-strategy-for-a-changing-world (accessed 14 June 2025).</w:t>
      </w:r>
    </w:p>
    <w:p w14:paraId="48238FC0" w14:textId="77777777" w:rsidR="003E497C" w:rsidRPr="003E497C" w:rsidRDefault="003E497C" w:rsidP="00F902F0">
      <w:pPr>
        <w:pStyle w:val="Reference"/>
      </w:pPr>
      <w:r w:rsidRPr="003E497C">
        <w:lastRenderedPageBreak/>
        <w:t xml:space="preserve">South African Revenue Service 2021, </w:t>
      </w:r>
      <w:r w:rsidRPr="003E497C">
        <w:rPr>
          <w:i/>
          <w:iCs/>
        </w:rPr>
        <w:t>Tariff Amendments 2010 | South African Revenue Service</w:t>
      </w:r>
      <w:r w:rsidRPr="003E497C">
        <w:t>, https://www.sars.gov.za/legal-counsel/secondary-legislation/tariff-amendments/tariff-amendments-2010/ (accessed 18 June 2025).</w:t>
      </w:r>
    </w:p>
    <w:p w14:paraId="174E857B" w14:textId="720B6227" w:rsidR="003E497C" w:rsidRPr="003E497C" w:rsidRDefault="003E497C" w:rsidP="00F902F0">
      <w:pPr>
        <w:pStyle w:val="Reference"/>
      </w:pPr>
      <w:r w:rsidRPr="003E497C">
        <w:t xml:space="preserve">Stein, LCD and Stone, E 2013, </w:t>
      </w:r>
      <w:r w:rsidRPr="003E497C">
        <w:rPr>
          <w:i/>
          <w:iCs/>
        </w:rPr>
        <w:t>The Effect of Uncertainty on Investment, Hiring, and R&amp;D: Causal Evidence from Equity Options</w:t>
      </w:r>
      <w:r w:rsidRPr="003E497C">
        <w:t>, SSRN Scholarly Paper, Social Science Research Network, Rochester, NY, https://papers.ssrn.com/abstract=</w:t>
      </w:r>
      <w:r w:rsidR="00963E5A">
        <w:br/>
      </w:r>
      <w:r w:rsidRPr="003E497C">
        <w:t>1649108 (accessed 26 May 2025).</w:t>
      </w:r>
    </w:p>
    <w:p w14:paraId="3A637329" w14:textId="62B0B4D5" w:rsidR="003E497C" w:rsidRPr="003E497C" w:rsidRDefault="003E497C" w:rsidP="00F902F0">
      <w:pPr>
        <w:pStyle w:val="Reference"/>
      </w:pPr>
      <w:r w:rsidRPr="003E497C">
        <w:t>Stern, N and Stiglitz, Joseph 2021, ‘</w:t>
      </w:r>
      <w:r w:rsidR="005D1385" w:rsidRPr="005D1385">
        <w:t>The Social Cost of Carbon, Risk, Distribution, Market Failures: An alternative approach</w:t>
      </w:r>
      <w:r w:rsidRPr="003E497C">
        <w:t xml:space="preserve">, </w:t>
      </w:r>
      <w:r w:rsidRPr="003E497C">
        <w:rPr>
          <w:i/>
          <w:iCs/>
        </w:rPr>
        <w:t>National Bureau of Economic Research</w:t>
      </w:r>
      <w:r w:rsidRPr="003E497C">
        <w:t>.</w:t>
      </w:r>
    </w:p>
    <w:p w14:paraId="1445BD92" w14:textId="77777777" w:rsidR="003E497C" w:rsidRPr="003E497C" w:rsidRDefault="003E497C" w:rsidP="00F902F0">
      <w:pPr>
        <w:pStyle w:val="Reference"/>
      </w:pPr>
      <w:r w:rsidRPr="003E497C">
        <w:t xml:space="preserve">Suarez, MA 2024, ‘The appellate body impasse: How to make the WTO great again?’, </w:t>
      </w:r>
      <w:r w:rsidRPr="003E497C">
        <w:rPr>
          <w:i/>
          <w:iCs/>
        </w:rPr>
        <w:t>International Law and Politics</w:t>
      </w:r>
      <w:r w:rsidRPr="003E497C">
        <w:t>, vol. 56, p. 965.</w:t>
      </w:r>
    </w:p>
    <w:p w14:paraId="52863D10" w14:textId="6A618F7F" w:rsidR="003E497C" w:rsidRPr="003E497C" w:rsidRDefault="003E497C" w:rsidP="00F902F0">
      <w:pPr>
        <w:pStyle w:val="Reference"/>
      </w:pPr>
      <w:r w:rsidRPr="003E497C">
        <w:t xml:space="preserve">Sui, H, Li ,Xijie, Raza ,Ali and Zhang, S 2022, ‘Impact of trade policy uncertainty on export products quality: new evidence by considering role of social capital’, Routledge, </w:t>
      </w:r>
      <w:r w:rsidRPr="003E497C">
        <w:rPr>
          <w:i/>
          <w:iCs/>
        </w:rPr>
        <w:t>Journal of Applied Economics</w:t>
      </w:r>
      <w:r w:rsidRPr="003E497C">
        <w:t>, vol. 25, no. 1, pp. 997–1024.</w:t>
      </w:r>
    </w:p>
    <w:p w14:paraId="02E18368" w14:textId="77777777" w:rsidR="003E497C" w:rsidRPr="003E497C" w:rsidRDefault="003E497C" w:rsidP="00F902F0">
      <w:pPr>
        <w:pStyle w:val="Reference"/>
      </w:pPr>
      <w:r w:rsidRPr="003E497C">
        <w:t xml:space="preserve">Takahashi, K and Urata, S 2009, ‘On the Use of FTAs by Japanese Firms’, vol 08, presented at the </w:t>
      </w:r>
      <w:r w:rsidRPr="003E497C">
        <w:rPr>
          <w:i/>
          <w:iCs/>
        </w:rPr>
        <w:t>RIETI Discussion Paper Series 08-E-002</w:t>
      </w:r>
      <w:r w:rsidRPr="003E497C">
        <w:t>.</w:t>
      </w:r>
    </w:p>
    <w:p w14:paraId="207AD22C" w14:textId="77777777" w:rsidR="003E497C" w:rsidRPr="003E497C" w:rsidRDefault="003E497C" w:rsidP="00F902F0">
      <w:pPr>
        <w:pStyle w:val="Reference"/>
      </w:pPr>
      <w:r w:rsidRPr="003E497C">
        <w:t xml:space="preserve">Tax Foundation 2024, </w:t>
      </w:r>
      <w:r w:rsidRPr="003E497C">
        <w:rPr>
          <w:i/>
          <w:iCs/>
        </w:rPr>
        <w:t>Major Takeaways from CBO’s Updated Long-Term Outlook</w:t>
      </w:r>
      <w:r w:rsidRPr="003E497C">
        <w:t>, Tax Foundation, https://taxfoundation.org/blog/us-deficit-cbo-budget-economic-outlook/ (accessed 30 April 2025).</w:t>
      </w:r>
    </w:p>
    <w:p w14:paraId="22DDADF7" w14:textId="77777777" w:rsidR="003E497C" w:rsidRPr="003E497C" w:rsidRDefault="003E497C" w:rsidP="00F902F0">
      <w:pPr>
        <w:pStyle w:val="Reference"/>
      </w:pPr>
      <w:r w:rsidRPr="003E497C">
        <w:t xml:space="preserve">TGA (Therapeutic Goods Administration) 2025, </w:t>
      </w:r>
      <w:r w:rsidRPr="003E497C">
        <w:rPr>
          <w:i/>
          <w:iCs/>
        </w:rPr>
        <w:t>About the shortage of intravenous (IV) fluids</w:t>
      </w:r>
      <w:r w:rsidRPr="003E497C">
        <w:t>, https://www.tga.gov.au/safety/shortages/information-about-major-medicine-shortages/about-shortage-intravenous-iv-fluids (accessed 1 June 2025).</w:t>
      </w:r>
    </w:p>
    <w:p w14:paraId="2D67AE41" w14:textId="77777777" w:rsidR="003E497C" w:rsidRPr="003E497C" w:rsidRDefault="003E497C" w:rsidP="00F902F0">
      <w:pPr>
        <w:pStyle w:val="Reference"/>
      </w:pPr>
      <w:r w:rsidRPr="003E497C">
        <w:t xml:space="preserve">The Commonwealth of Australia 2024a, </w:t>
      </w:r>
      <w:r w:rsidRPr="003E497C">
        <w:rPr>
          <w:i/>
          <w:iCs/>
        </w:rPr>
        <w:t>Budget Paper No.1: Budget Strategy and Outlook</w:t>
      </w:r>
      <w:r w:rsidRPr="003E497C">
        <w:t>, https://archive.budget.gov.au/2024-25/bp1/download/bp1_2024-25.pdf (accessed 12 June 2025).</w:t>
      </w:r>
    </w:p>
    <w:p w14:paraId="7D94BF10" w14:textId="33841FA5" w:rsidR="003E497C" w:rsidRPr="003E497C" w:rsidRDefault="003E497C" w:rsidP="00F902F0">
      <w:pPr>
        <w:pStyle w:val="Reference"/>
      </w:pPr>
      <w:r w:rsidRPr="003E497C">
        <w:t>——</w:t>
      </w:r>
      <w:r w:rsidR="00971F8F">
        <w:t> </w:t>
      </w:r>
      <w:r w:rsidRPr="003E497C">
        <w:t xml:space="preserve">2024b, </w:t>
      </w:r>
      <w:r w:rsidRPr="003E497C">
        <w:rPr>
          <w:i/>
          <w:iCs/>
        </w:rPr>
        <w:t>Budget Paper No.2: Budget Measures</w:t>
      </w:r>
      <w:r w:rsidRPr="003E497C">
        <w:t>, https://archive.budget.gov.au/2024-25/bp2/download/bp2_2024-25.pdf (accessed 12 June 2025).</w:t>
      </w:r>
    </w:p>
    <w:p w14:paraId="4E72C5A4" w14:textId="1C8DD271" w:rsidR="003E497C" w:rsidRPr="003E497C" w:rsidRDefault="003E497C" w:rsidP="00F902F0">
      <w:pPr>
        <w:pStyle w:val="Reference"/>
      </w:pPr>
      <w:r w:rsidRPr="003E497C">
        <w:t>——</w:t>
      </w:r>
      <w:r w:rsidR="00971F8F">
        <w:t> </w:t>
      </w:r>
      <w:r w:rsidRPr="003E497C">
        <w:t>2024c, ‘Final Budget Outcome 2023-24’.</w:t>
      </w:r>
    </w:p>
    <w:p w14:paraId="24151619" w14:textId="44669FFA" w:rsidR="003E497C" w:rsidRPr="003E497C" w:rsidRDefault="003E497C" w:rsidP="00F902F0">
      <w:pPr>
        <w:pStyle w:val="Reference"/>
      </w:pPr>
      <w:r w:rsidRPr="003E497C">
        <w:t>——</w:t>
      </w:r>
      <w:r w:rsidR="00971F8F">
        <w:t> </w:t>
      </w:r>
      <w:r w:rsidRPr="003E497C">
        <w:t>2025a, ‘Budget 2025-26 - Budget paper No.2: budget measures’.</w:t>
      </w:r>
    </w:p>
    <w:p w14:paraId="57FD77AD" w14:textId="444B0619" w:rsidR="003E497C" w:rsidRPr="003E497C" w:rsidRDefault="003E497C" w:rsidP="00F902F0">
      <w:pPr>
        <w:pStyle w:val="Reference"/>
      </w:pPr>
      <w:r w:rsidRPr="003E497C">
        <w:t>——</w:t>
      </w:r>
      <w:r w:rsidR="00971F8F">
        <w:t> </w:t>
      </w:r>
      <w:r w:rsidRPr="003E497C">
        <w:t>2025b, ‘Budget 2025-26 - Budget paper No.3’.</w:t>
      </w:r>
    </w:p>
    <w:p w14:paraId="31E50356" w14:textId="77777777" w:rsidR="003E497C" w:rsidRPr="003E497C" w:rsidRDefault="003E497C" w:rsidP="00F902F0">
      <w:pPr>
        <w:pStyle w:val="Reference"/>
      </w:pPr>
      <w:r w:rsidRPr="003E497C">
        <w:t xml:space="preserve">The Parliament of The Commonwealth of Australia 2020, </w:t>
      </w:r>
      <w:r w:rsidRPr="003E497C">
        <w:rPr>
          <w:i/>
          <w:iCs/>
        </w:rPr>
        <w:t>Foreign Investment Reform (Protecting Australia’s National Security) Bill 2020: Foreign Acquisitions and Takeover Fees Imposition Amendment Bill 2020</w:t>
      </w:r>
      <w:r w:rsidRPr="003E497C">
        <w:t>, https://parlinfo.aph.gov.au/parlInfo/search/display/display.w3p;query=Id%3A%22legislation%2Fems%2Fr6614_ems_8e124275-a752-4a63-a028-70ae95c2ff6d%22 (accessed 12 June 2025).</w:t>
      </w:r>
    </w:p>
    <w:p w14:paraId="39BDCBC4" w14:textId="24A76E1B" w:rsidR="003E497C" w:rsidRPr="003E497C" w:rsidRDefault="003E497C" w:rsidP="00F902F0">
      <w:pPr>
        <w:pStyle w:val="Reference"/>
      </w:pPr>
      <w:r w:rsidRPr="003E497C">
        <w:t xml:space="preserve">The Parliament of the Commonwealth of Australia 2024, </w:t>
      </w:r>
      <w:r w:rsidRPr="003E497C">
        <w:rPr>
          <w:i/>
          <w:iCs/>
        </w:rPr>
        <w:t>Explanatory memorandum - Treasury Laws Amendment (Responsible Buy Now Pay Later and Other Measures) Bill 2024</w:t>
      </w:r>
      <w:r w:rsidRPr="003E497C">
        <w:t>, 28 November.</w:t>
      </w:r>
    </w:p>
    <w:p w14:paraId="413EE9A8" w14:textId="04A6C337" w:rsidR="003E497C" w:rsidRPr="003E497C" w:rsidRDefault="003E497C" w:rsidP="00F902F0">
      <w:pPr>
        <w:pStyle w:val="Reference"/>
      </w:pPr>
      <w:r w:rsidRPr="003E497C">
        <w:t xml:space="preserve">The White House 2025a, </w:t>
      </w:r>
      <w:r w:rsidRPr="003E497C">
        <w:rPr>
          <w:i/>
          <w:iCs/>
        </w:rPr>
        <w:t>Adjusting Imports of Aluminum and Steel into the United States</w:t>
      </w:r>
      <w:r w:rsidRPr="003E497C">
        <w:t>, The White House, https://www.whitehouse.gov/presidential-actions/2025</w:t>
      </w:r>
      <w:r w:rsidR="007D06D1">
        <w:t>–</w:t>
      </w:r>
      <w:r w:rsidRPr="003E497C">
        <w:t>06/adjusting-imports-of-aluminum-and-steel-into-the-united-states/ (accessed 10 June 2025).</w:t>
      </w:r>
    </w:p>
    <w:p w14:paraId="2596A880" w14:textId="450E0035" w:rsidR="003E497C" w:rsidRPr="003E497C" w:rsidRDefault="003E497C" w:rsidP="00F902F0">
      <w:pPr>
        <w:pStyle w:val="Reference"/>
      </w:pPr>
      <w:r w:rsidRPr="003E497C">
        <w:t>——</w:t>
      </w:r>
      <w:r w:rsidR="00971F8F">
        <w:t> </w:t>
      </w:r>
      <w:r w:rsidRPr="003E497C">
        <w:t xml:space="preserve">2025b, </w:t>
      </w:r>
      <w:r w:rsidRPr="003E497C">
        <w:rPr>
          <w:i/>
          <w:iCs/>
        </w:rPr>
        <w:t>Adjusting Imports of Aluminum into The United States</w:t>
      </w:r>
      <w:r w:rsidRPr="003E497C">
        <w:t xml:space="preserve">, The White House, </w:t>
      </w:r>
      <w:r w:rsidRPr="003E497C">
        <w:t>https://www.whitehouse.gov/presidential-actions/2025</w:t>
      </w:r>
      <w:r w:rsidR="007D06D1">
        <w:t>–</w:t>
      </w:r>
      <w:r w:rsidRPr="003E497C">
        <w:t>02/adjusting-imports-of-aluminum-into-the-united-states/ (accessed 10 June 2025).</w:t>
      </w:r>
    </w:p>
    <w:p w14:paraId="1FCB0181" w14:textId="265B1521" w:rsidR="003E497C" w:rsidRPr="003E497C" w:rsidRDefault="003E497C" w:rsidP="00F902F0">
      <w:pPr>
        <w:pStyle w:val="Reference"/>
      </w:pPr>
      <w:r w:rsidRPr="003E497C">
        <w:t>——</w:t>
      </w:r>
      <w:r w:rsidR="00971F8F">
        <w:t> </w:t>
      </w:r>
      <w:r w:rsidRPr="003E497C">
        <w:t xml:space="preserve">2025c, </w:t>
      </w:r>
      <w:r w:rsidRPr="003E497C">
        <w:rPr>
          <w:i/>
          <w:iCs/>
        </w:rPr>
        <w:t>Adjusting Imports of Automobiles and Automobile Parts into the United States</w:t>
      </w:r>
      <w:r w:rsidRPr="003E497C">
        <w:t>, The White House, https://www.whitehouse.gov/presidential-actions/2025</w:t>
      </w:r>
      <w:r w:rsidR="007D06D1">
        <w:t>–</w:t>
      </w:r>
      <w:r w:rsidRPr="003E497C">
        <w:t>03/adjusting-imports-of-automobiles-and-autombile-parts-into-the-united-states/ (accessed 10 June 2025).</w:t>
      </w:r>
    </w:p>
    <w:p w14:paraId="4A0584E2" w14:textId="3B45F058" w:rsidR="003E497C" w:rsidRPr="003E497C" w:rsidRDefault="003E497C" w:rsidP="00F902F0">
      <w:pPr>
        <w:pStyle w:val="Reference"/>
      </w:pPr>
      <w:r w:rsidRPr="003E497C">
        <w:t>——</w:t>
      </w:r>
      <w:r w:rsidR="00971F8F">
        <w:t> </w:t>
      </w:r>
      <w:r w:rsidRPr="003E497C">
        <w:t xml:space="preserve">2025d, </w:t>
      </w:r>
      <w:r w:rsidRPr="003E497C">
        <w:rPr>
          <w:i/>
          <w:iCs/>
        </w:rPr>
        <w:t>Adjusting Imports of Steel into The United States</w:t>
      </w:r>
      <w:r w:rsidRPr="003E497C">
        <w:t>, The White House, https://www.whitehouse.gov/presidential-actions/2025/02/adjusting-imports-of-steel-into-the-united-states/ (accessed 19 March 2025).</w:t>
      </w:r>
    </w:p>
    <w:p w14:paraId="50C7B5D5" w14:textId="3DEF6825" w:rsidR="003E497C" w:rsidRPr="003E497C" w:rsidRDefault="003E497C" w:rsidP="00F902F0">
      <w:pPr>
        <w:pStyle w:val="Reference"/>
      </w:pPr>
      <w:r w:rsidRPr="003E497C">
        <w:t>——</w:t>
      </w:r>
      <w:r w:rsidR="00971F8F">
        <w:t> </w:t>
      </w:r>
      <w:r w:rsidRPr="003E497C">
        <w:t xml:space="preserve">2025e, </w:t>
      </w:r>
      <w:r w:rsidRPr="003E497C">
        <w:rPr>
          <w:i/>
          <w:iCs/>
        </w:rPr>
        <w:t>Amendment to Reciprocal Tariffs and Updated Duties as Applied to Low-Value Imports from the People’s Republic of China</w:t>
      </w:r>
      <w:r w:rsidRPr="003E497C">
        <w:t>, The White House, https://www.whitehouse.gov/presidential-actions/2025/04/amendment-to-recipricol-tariffs-and-updated-duties-as-applied-to-low-value-imports-from-the-peoples-republic-of-china/ (accessed 22 May 2025).</w:t>
      </w:r>
    </w:p>
    <w:p w14:paraId="18977D28" w14:textId="0B123096" w:rsidR="003E497C" w:rsidRPr="003E497C" w:rsidRDefault="003E497C" w:rsidP="00F902F0">
      <w:pPr>
        <w:pStyle w:val="Reference"/>
      </w:pPr>
      <w:r w:rsidRPr="003E497C">
        <w:t>——</w:t>
      </w:r>
      <w:r w:rsidR="00971F8F">
        <w:t> </w:t>
      </w:r>
      <w:r w:rsidRPr="003E497C">
        <w:t xml:space="preserve">2025f, </w:t>
      </w:r>
      <w:r w:rsidRPr="003E497C">
        <w:rPr>
          <w:i/>
          <w:iCs/>
        </w:rPr>
        <w:t>Amendments to Adjusting Imports of Automobiles and Automobile Parts Into the United States</w:t>
      </w:r>
      <w:r w:rsidRPr="003E497C">
        <w:t>, The White House, https://www.whitehouse.gov/presidential-actions/2025/04/amendments-to-adjusting-imports-of-automobiles-and-automobile-parts-into-the-united-states/ (accessed 10 June 2025).</w:t>
      </w:r>
    </w:p>
    <w:p w14:paraId="06A913AB" w14:textId="405BF5A8" w:rsidR="003E497C" w:rsidRPr="003E497C" w:rsidRDefault="003E497C" w:rsidP="00F902F0">
      <w:pPr>
        <w:pStyle w:val="Reference"/>
      </w:pPr>
      <w:r w:rsidRPr="003E497C">
        <w:t>——</w:t>
      </w:r>
      <w:r w:rsidR="00971F8F">
        <w:t> </w:t>
      </w:r>
      <w:r w:rsidRPr="003E497C">
        <w:t xml:space="preserve">2025g, </w:t>
      </w:r>
      <w:r w:rsidRPr="003E497C">
        <w:rPr>
          <w:i/>
          <w:iCs/>
        </w:rPr>
        <w:t>Further Amendment to Duties Addressing the Synthetic Opioid Supply Chain in the People’s Republic of China</w:t>
      </w:r>
      <w:r w:rsidRPr="003E497C">
        <w:t>, The White House, https://www.whitehouse.gov/presidential-actions/2025/03/further-amendment-to-duties-addressing-the-synthetic-opioid-supply-chain-in-the-peoples-republic-of-china/ (accessed 22 May 2025).</w:t>
      </w:r>
    </w:p>
    <w:p w14:paraId="1F643A13" w14:textId="184EA056" w:rsidR="003E497C" w:rsidRPr="003E497C" w:rsidRDefault="003E497C" w:rsidP="00F902F0">
      <w:pPr>
        <w:pStyle w:val="Reference"/>
      </w:pPr>
      <w:r w:rsidRPr="003E497C">
        <w:t>——</w:t>
      </w:r>
      <w:r w:rsidR="00971F8F">
        <w:t> </w:t>
      </w:r>
      <w:r w:rsidRPr="003E497C">
        <w:t xml:space="preserve">2025h, </w:t>
      </w:r>
      <w:r w:rsidRPr="003E497C">
        <w:rPr>
          <w:i/>
          <w:iCs/>
        </w:rPr>
        <w:t>Further Amendment to Duties Addressing the Synthetic Opioid Supply Chain in the People’s Republic of China as Applied to Low-Value Imports</w:t>
      </w:r>
      <w:r w:rsidRPr="003E497C">
        <w:t>, The White House, https://www.whitehouse.gov/presidential-actions/2025/04/further-amendment-to-duties-addressing-the-synthetic-opioid-supply-chain-in-the-peoples-republic-of-china-as-applied-to-low-value-imports/ (accessed 22 May 2025).</w:t>
      </w:r>
    </w:p>
    <w:p w14:paraId="6314B228" w14:textId="4F91ABA8" w:rsidR="003E497C" w:rsidRPr="003E497C" w:rsidRDefault="003E497C" w:rsidP="00F902F0">
      <w:pPr>
        <w:pStyle w:val="Reference"/>
      </w:pPr>
      <w:r w:rsidRPr="003E497C">
        <w:t>——</w:t>
      </w:r>
      <w:r w:rsidR="00971F8F">
        <w:t> </w:t>
      </w:r>
      <w:r w:rsidRPr="003E497C">
        <w:t xml:space="preserve">2025i, </w:t>
      </w:r>
      <w:r w:rsidRPr="003E497C">
        <w:rPr>
          <w:i/>
          <w:iCs/>
        </w:rPr>
        <w:t>Imposing Duties to Address the Flow of Illicit Drugs Across Our Northern Border</w:t>
      </w:r>
      <w:r w:rsidRPr="003E497C">
        <w:t>, The White House, https://www.whitehouse.gov/presidential-actions/2025/02/imposing-duties-to-address-the-flow-of-illicit-drugs-across-our-national-border/ (accessed 21 May 2025).</w:t>
      </w:r>
    </w:p>
    <w:p w14:paraId="2C039EC5" w14:textId="4E3B5A7C" w:rsidR="003E497C" w:rsidRPr="003E497C" w:rsidRDefault="003E497C" w:rsidP="00F902F0">
      <w:pPr>
        <w:pStyle w:val="Reference"/>
      </w:pPr>
      <w:r w:rsidRPr="003E497C">
        <w:t>——</w:t>
      </w:r>
      <w:r w:rsidR="00971F8F">
        <w:t> </w:t>
      </w:r>
      <w:r w:rsidRPr="003E497C">
        <w:t xml:space="preserve">2025j, </w:t>
      </w:r>
      <w:r w:rsidRPr="003E497C">
        <w:rPr>
          <w:i/>
          <w:iCs/>
        </w:rPr>
        <w:t>Imposing Duties to Address the Situation at Our Southern Border</w:t>
      </w:r>
      <w:r w:rsidRPr="003E497C">
        <w:t>, The White House, https://www.whitehouse.gov/presidential-actions/2025/02/imposing-duties-to-address-the-situation-at-our-southern-border/ (accessed 21 May 2025).</w:t>
      </w:r>
    </w:p>
    <w:p w14:paraId="21EEB72C" w14:textId="52CA6656" w:rsidR="003E497C" w:rsidRPr="003E497C" w:rsidRDefault="003E497C" w:rsidP="00F902F0">
      <w:pPr>
        <w:pStyle w:val="Reference"/>
      </w:pPr>
      <w:r w:rsidRPr="003E497C">
        <w:t>——</w:t>
      </w:r>
      <w:r w:rsidR="00971F8F">
        <w:t> </w:t>
      </w:r>
      <w:r w:rsidRPr="003E497C">
        <w:t xml:space="preserve">2025k, </w:t>
      </w:r>
      <w:r w:rsidRPr="003E497C">
        <w:rPr>
          <w:i/>
          <w:iCs/>
        </w:rPr>
        <w:t>Imposing Duties to Address the Synthetic Opioid Supply Chain in the People’s Republic of China</w:t>
      </w:r>
      <w:r w:rsidRPr="003E497C">
        <w:t>, The White House, https://www.whitehouse.gov/presidential-actions/2025/02/imposing-duties-to-address-the-synthetic-opioid-supply-chain-in-the-peoples-republic-of-china/ (accessed 22 May 2025).</w:t>
      </w:r>
    </w:p>
    <w:p w14:paraId="5DF5D106" w14:textId="1FFF049E" w:rsidR="003E497C" w:rsidRPr="003E497C" w:rsidRDefault="003E497C" w:rsidP="00F902F0">
      <w:pPr>
        <w:pStyle w:val="Reference"/>
      </w:pPr>
      <w:r w:rsidRPr="003E497C">
        <w:t>——</w:t>
      </w:r>
      <w:r w:rsidR="00971F8F">
        <w:t> </w:t>
      </w:r>
      <w:r w:rsidRPr="003E497C">
        <w:t xml:space="preserve">2025l, </w:t>
      </w:r>
      <w:r w:rsidRPr="003E497C">
        <w:rPr>
          <w:i/>
          <w:iCs/>
        </w:rPr>
        <w:t>Modifying Reciprocal Tariff Rates to Reflect Discussions with the People’s Republic of China</w:t>
      </w:r>
      <w:r w:rsidRPr="003E497C">
        <w:t>, The White House, https://www.whitehouse.gov/presidential-actions/2025/</w:t>
      </w:r>
      <w:r w:rsidR="00963E5A">
        <w:br/>
      </w:r>
      <w:r w:rsidRPr="003E497C">
        <w:t>05/modifying-reciprocal-tariff-rates-to-reflect-discussions-with-the-peoples-republic-of-china/ (accessed 21 May 2025).</w:t>
      </w:r>
    </w:p>
    <w:p w14:paraId="3A60BC4E" w14:textId="2BD3CA14" w:rsidR="003E497C" w:rsidRPr="003E497C" w:rsidRDefault="003E497C" w:rsidP="00F902F0">
      <w:pPr>
        <w:pStyle w:val="Reference"/>
      </w:pPr>
      <w:r w:rsidRPr="003E497C">
        <w:t>——</w:t>
      </w:r>
      <w:r w:rsidR="00971F8F">
        <w:t> </w:t>
      </w:r>
      <w:r w:rsidRPr="003E497C">
        <w:t xml:space="preserve">2025m, </w:t>
      </w:r>
      <w:r w:rsidRPr="003E497C">
        <w:rPr>
          <w:i/>
          <w:iCs/>
        </w:rPr>
        <w:t>Modifying Reciprocal Tariff Rates to Reflect Trading Partner Retaliation and Alignment</w:t>
      </w:r>
      <w:r w:rsidRPr="003E497C">
        <w:t>, The White House, https://www.whitehouse.gov/presidential-actions/2025/04/</w:t>
      </w:r>
      <w:r w:rsidR="00963E5A">
        <w:br/>
      </w:r>
      <w:r w:rsidRPr="003E497C">
        <w:lastRenderedPageBreak/>
        <w:t>modifying-reciprocal-tariff-rates-to-reflect-trading-partner-retaliation-and-alignment/ (accessed 21 May 2025).</w:t>
      </w:r>
    </w:p>
    <w:p w14:paraId="2C24D01B" w14:textId="65D86136" w:rsidR="003E497C" w:rsidRPr="003E497C" w:rsidRDefault="003E497C" w:rsidP="00F902F0">
      <w:pPr>
        <w:pStyle w:val="Reference"/>
      </w:pPr>
      <w:r w:rsidRPr="003E497C">
        <w:t>——</w:t>
      </w:r>
      <w:r w:rsidR="00971F8F">
        <w:t> </w:t>
      </w:r>
      <w:r w:rsidRPr="003E497C">
        <w:t xml:space="preserve">2025n, </w:t>
      </w:r>
      <w:r w:rsidRPr="003E497C">
        <w:rPr>
          <w:i/>
          <w:iCs/>
        </w:rPr>
        <w:t>Progress on the Situation at Our Northern Border</w:t>
      </w:r>
      <w:r w:rsidRPr="003E497C">
        <w:t>, The White House, https://www.whitehouse.gov/presidential-actions/2025/02/progress-on-the-situation-at-our-northern-border/ (accessed 22 May 2025).</w:t>
      </w:r>
    </w:p>
    <w:p w14:paraId="1B50787F" w14:textId="505F2BF2" w:rsidR="003E497C" w:rsidRPr="003E497C" w:rsidRDefault="003E497C" w:rsidP="00F902F0">
      <w:pPr>
        <w:pStyle w:val="Reference"/>
      </w:pPr>
      <w:r w:rsidRPr="003E497C">
        <w:t>——</w:t>
      </w:r>
      <w:r w:rsidR="00971F8F">
        <w:t> </w:t>
      </w:r>
      <w:r w:rsidRPr="003E497C">
        <w:t xml:space="preserve">2025o, </w:t>
      </w:r>
      <w:r w:rsidRPr="003E497C">
        <w:rPr>
          <w:i/>
          <w:iCs/>
        </w:rPr>
        <w:t>Progress on the Situation at Our Southern Border</w:t>
      </w:r>
      <w:r w:rsidRPr="003E497C">
        <w:t>, The White House, https://www.whitehouse.gov/presidential-actions/2025/02/progress-on-the-situation-at-our-southern-border/ (accessed 22 May 2025).</w:t>
      </w:r>
    </w:p>
    <w:p w14:paraId="792B6E0F" w14:textId="7CFBCC99" w:rsidR="003E497C" w:rsidRPr="003E497C" w:rsidRDefault="003E497C" w:rsidP="00F902F0">
      <w:pPr>
        <w:pStyle w:val="Reference"/>
      </w:pPr>
      <w:r w:rsidRPr="003E497C">
        <w:t>——</w:t>
      </w:r>
      <w:r w:rsidR="00971F8F">
        <w:t> </w:t>
      </w:r>
      <w:r w:rsidRPr="003E497C">
        <w:t xml:space="preserve">2025p, </w:t>
      </w:r>
      <w:r w:rsidRPr="003E497C">
        <w:rPr>
          <w:i/>
          <w:iCs/>
        </w:rPr>
        <w:t>Reciprocal Trade and Tariffs</w:t>
      </w:r>
      <w:r w:rsidRPr="003E497C">
        <w:t>, The White House, https://www.whitehouse.gov/articles/2025/02/reciprocal-trade-and-tariffs/ (accessed 19 March 2025).</w:t>
      </w:r>
    </w:p>
    <w:p w14:paraId="122A320F" w14:textId="5F08387B" w:rsidR="003E497C" w:rsidRPr="003E497C" w:rsidRDefault="003E497C" w:rsidP="00F902F0">
      <w:pPr>
        <w:pStyle w:val="Reference"/>
      </w:pPr>
      <w:r w:rsidRPr="003E497C">
        <w:t>——</w:t>
      </w:r>
      <w:r w:rsidR="00971F8F">
        <w:t> </w:t>
      </w:r>
      <w:r w:rsidRPr="003E497C">
        <w:t xml:space="preserve">2025q, </w:t>
      </w:r>
      <w:r w:rsidRPr="003E497C">
        <w:rPr>
          <w:i/>
          <w:iCs/>
        </w:rPr>
        <w:t>Regulating Imports with a Reciprocal Tariff to Rectify Trade Practices that Contribute to Large and Persistent Annual United States Goods Trade Deficits</w:t>
      </w:r>
      <w:r w:rsidRPr="003E497C">
        <w:t>, The White House, https://www.whitehouse.gov/presidential-actions/2025/04/</w:t>
      </w:r>
      <w:r w:rsidR="00971F8F">
        <w:br/>
      </w:r>
      <w:r w:rsidRPr="003E497C">
        <w:t>regulating-imports-with-a-reciprocal-tariff-to-rectify-trade-practices-that-contribute-to-large-and-persistent-annual-united-states-goods-trade-deficits/ (accessed 21 May 2025).</w:t>
      </w:r>
    </w:p>
    <w:p w14:paraId="77CF1F9F" w14:textId="77777777" w:rsidR="003E497C" w:rsidRPr="003E497C" w:rsidRDefault="003E497C" w:rsidP="00F902F0">
      <w:pPr>
        <w:pStyle w:val="Reference"/>
      </w:pPr>
      <w:r w:rsidRPr="003E497C">
        <w:t xml:space="preserve">Treasury 1999, ‘Foreign investment policy in Australia - a brief history and recent developments’, The Treasury, Australian Government, </w:t>
      </w:r>
      <w:r w:rsidRPr="003E497C">
        <w:rPr>
          <w:i/>
          <w:iCs/>
        </w:rPr>
        <w:t>Economic Roundup</w:t>
      </w:r>
      <w:r w:rsidRPr="003E497C">
        <w:t>, no. 4, pp. 63–70.</w:t>
      </w:r>
    </w:p>
    <w:p w14:paraId="5FFCFD1D" w14:textId="44B57994" w:rsidR="003E497C" w:rsidRPr="003E497C" w:rsidRDefault="003E497C" w:rsidP="00F902F0">
      <w:pPr>
        <w:pStyle w:val="Reference"/>
      </w:pPr>
      <w:r w:rsidRPr="003E497C">
        <w:t>——</w:t>
      </w:r>
      <w:r w:rsidR="00971F8F">
        <w:t> </w:t>
      </w:r>
      <w:r w:rsidRPr="003E497C">
        <w:t xml:space="preserve">2017, </w:t>
      </w:r>
      <w:r w:rsidRPr="003E497C">
        <w:rPr>
          <w:i/>
          <w:iCs/>
        </w:rPr>
        <w:t>Annual Report 2016-17</w:t>
      </w:r>
      <w:r w:rsidRPr="003E497C">
        <w:t>.</w:t>
      </w:r>
    </w:p>
    <w:p w14:paraId="0787202C" w14:textId="779B2C8C" w:rsidR="003E497C" w:rsidRPr="003E497C" w:rsidRDefault="003E497C" w:rsidP="00F902F0">
      <w:pPr>
        <w:pStyle w:val="Reference"/>
      </w:pPr>
      <w:r w:rsidRPr="003E497C">
        <w:t>——</w:t>
      </w:r>
      <w:r w:rsidR="00971F8F">
        <w:t> </w:t>
      </w:r>
      <w:r w:rsidRPr="003E497C">
        <w:t xml:space="preserve">2021, </w:t>
      </w:r>
      <w:r w:rsidRPr="003E497C">
        <w:rPr>
          <w:i/>
          <w:iCs/>
        </w:rPr>
        <w:t>Evaluation of the 2021 foreign investment reforms | Final report</w:t>
      </w:r>
      <w:r w:rsidRPr="003E497C">
        <w:t>.</w:t>
      </w:r>
    </w:p>
    <w:p w14:paraId="65E9FB45" w14:textId="2202A212" w:rsidR="003E497C" w:rsidRPr="003E497C" w:rsidRDefault="003E497C" w:rsidP="00F902F0">
      <w:pPr>
        <w:pStyle w:val="Reference"/>
      </w:pPr>
      <w:r w:rsidRPr="003E497C">
        <w:t>——</w:t>
      </w:r>
      <w:r w:rsidR="00971F8F">
        <w:t> </w:t>
      </w:r>
      <w:r w:rsidRPr="003E497C">
        <w:t xml:space="preserve">2023a, </w:t>
      </w:r>
      <w:r w:rsidRPr="003E497C">
        <w:rPr>
          <w:i/>
          <w:iCs/>
        </w:rPr>
        <w:t>Annual report 2022-23</w:t>
      </w:r>
      <w:r w:rsidRPr="003E497C">
        <w:t>.</w:t>
      </w:r>
    </w:p>
    <w:p w14:paraId="5C596440" w14:textId="1D1FB3F2" w:rsidR="003E497C" w:rsidRPr="00971F8F" w:rsidRDefault="003E497C" w:rsidP="00F902F0">
      <w:pPr>
        <w:pStyle w:val="Reference"/>
        <w:rPr>
          <w:spacing w:val="-4"/>
        </w:rPr>
      </w:pPr>
      <w:r w:rsidRPr="00971F8F">
        <w:rPr>
          <w:spacing w:val="-4"/>
        </w:rPr>
        <w:t>——</w:t>
      </w:r>
      <w:r w:rsidR="00971F8F" w:rsidRPr="00971F8F">
        <w:rPr>
          <w:spacing w:val="-4"/>
        </w:rPr>
        <w:t> </w:t>
      </w:r>
      <w:r w:rsidRPr="00971F8F">
        <w:rPr>
          <w:spacing w:val="-4"/>
        </w:rPr>
        <w:t xml:space="preserve">2023b, </w:t>
      </w:r>
      <w:r w:rsidRPr="00971F8F">
        <w:rPr>
          <w:i/>
          <w:iCs/>
          <w:spacing w:val="-4"/>
        </w:rPr>
        <w:t>Guidance Note 11: Protecting the national interest: guiding principles for developing conditions</w:t>
      </w:r>
      <w:r w:rsidRPr="00971F8F">
        <w:rPr>
          <w:spacing w:val="-4"/>
        </w:rPr>
        <w:t>, Text, Department of the Treasury, Foreign investment in Australia, https://foreigninvestment.gov.au/guidance/conditions-and-reporting/principles-developing-conditions (accessed 29 May 2025).</w:t>
      </w:r>
    </w:p>
    <w:p w14:paraId="6C67D173" w14:textId="7D4CC8E8" w:rsidR="003E497C" w:rsidRPr="003E497C" w:rsidRDefault="003E497C" w:rsidP="00F902F0">
      <w:pPr>
        <w:pStyle w:val="Reference"/>
      </w:pPr>
      <w:r w:rsidRPr="003E497C">
        <w:t>——</w:t>
      </w:r>
      <w:r w:rsidR="00971F8F">
        <w:t> </w:t>
      </w:r>
      <w:r w:rsidRPr="003E497C">
        <w:t xml:space="preserve">2023c, </w:t>
      </w:r>
      <w:r w:rsidRPr="003E497C">
        <w:rPr>
          <w:i/>
          <w:iCs/>
        </w:rPr>
        <w:t>Removing the preferential tax treatment for Offshore Banking Units Post-Implementation Review</w:t>
      </w:r>
      <w:r w:rsidRPr="003E497C">
        <w:t>, The Australian Government the Treasury.</w:t>
      </w:r>
    </w:p>
    <w:p w14:paraId="65DB1FB0" w14:textId="4D07ADA5" w:rsidR="003E497C" w:rsidRPr="00971F8F" w:rsidRDefault="003E497C" w:rsidP="00F902F0">
      <w:pPr>
        <w:pStyle w:val="Reference"/>
        <w:rPr>
          <w:spacing w:val="-4"/>
        </w:rPr>
      </w:pPr>
      <w:r w:rsidRPr="00971F8F">
        <w:rPr>
          <w:spacing w:val="-4"/>
        </w:rPr>
        <w:t>——</w:t>
      </w:r>
      <w:r w:rsidR="00971F8F" w:rsidRPr="00971F8F">
        <w:rPr>
          <w:spacing w:val="-4"/>
        </w:rPr>
        <w:t> </w:t>
      </w:r>
      <w:r w:rsidRPr="00971F8F">
        <w:rPr>
          <w:spacing w:val="-4"/>
        </w:rPr>
        <w:t xml:space="preserve">2024a, </w:t>
      </w:r>
      <w:r w:rsidRPr="00971F8F">
        <w:rPr>
          <w:i/>
          <w:iCs/>
          <w:spacing w:val="-4"/>
        </w:rPr>
        <w:t>2023-24 Tax Expenditures and Insights Statement</w:t>
      </w:r>
      <w:r w:rsidRPr="00971F8F">
        <w:rPr>
          <w:spacing w:val="-4"/>
        </w:rPr>
        <w:t>.</w:t>
      </w:r>
    </w:p>
    <w:p w14:paraId="225B86F8" w14:textId="093C39FA" w:rsidR="003E497C" w:rsidRPr="003E497C" w:rsidRDefault="003E497C" w:rsidP="00F902F0">
      <w:pPr>
        <w:pStyle w:val="Reference"/>
      </w:pPr>
      <w:r w:rsidRPr="003E497C">
        <w:t>——</w:t>
      </w:r>
      <w:r w:rsidR="00971F8F">
        <w:t> </w:t>
      </w:r>
      <w:r w:rsidRPr="003E497C">
        <w:t xml:space="preserve">2024b, </w:t>
      </w:r>
      <w:r w:rsidRPr="003E497C">
        <w:rPr>
          <w:i/>
          <w:iCs/>
        </w:rPr>
        <w:t>Annual Report 2023–24</w:t>
      </w:r>
      <w:r w:rsidRPr="003E497C">
        <w:t>.</w:t>
      </w:r>
    </w:p>
    <w:p w14:paraId="2C559E61" w14:textId="3CE27EAC" w:rsidR="003E497C" w:rsidRPr="003E497C" w:rsidRDefault="003E497C" w:rsidP="00F902F0">
      <w:pPr>
        <w:pStyle w:val="Reference"/>
      </w:pPr>
      <w:r w:rsidRPr="003E497C">
        <w:t>——</w:t>
      </w:r>
      <w:r w:rsidR="00971F8F">
        <w:t> </w:t>
      </w:r>
      <w:r w:rsidRPr="003E497C">
        <w:t xml:space="preserve">2024c, </w:t>
      </w:r>
      <w:r w:rsidRPr="003E497C">
        <w:rPr>
          <w:i/>
          <w:iCs/>
        </w:rPr>
        <w:t>Australia’s foreign investment framework</w:t>
      </w:r>
      <w:r w:rsidRPr="003E497C">
        <w:t>, Text, Department of the Treasury, Foreign investment in Australia, https://foreigninvestment.gov.au/investing-in-australia/foreign-investment-framework (accessed 1 May 2024).</w:t>
      </w:r>
    </w:p>
    <w:p w14:paraId="6BA9B13F" w14:textId="037F05BE" w:rsidR="003E497C" w:rsidRPr="003E497C" w:rsidRDefault="003E497C" w:rsidP="00F902F0">
      <w:pPr>
        <w:pStyle w:val="Reference"/>
      </w:pPr>
      <w:r w:rsidRPr="003E497C">
        <w:t>——</w:t>
      </w:r>
      <w:r w:rsidR="00971F8F">
        <w:t> </w:t>
      </w:r>
      <w:r w:rsidRPr="003E497C">
        <w:t xml:space="preserve">2024d, </w:t>
      </w:r>
      <w:r w:rsidRPr="003E497C">
        <w:rPr>
          <w:i/>
          <w:iCs/>
        </w:rPr>
        <w:t>Establishing a ‘Front Door’ for major, transformational projects</w:t>
      </w:r>
      <w:r w:rsidRPr="003E497C">
        <w:t>.</w:t>
      </w:r>
    </w:p>
    <w:p w14:paraId="6801BF10" w14:textId="4206B221" w:rsidR="003E497C" w:rsidRPr="00013130" w:rsidRDefault="003E497C" w:rsidP="00F902F0">
      <w:pPr>
        <w:pStyle w:val="Reference"/>
        <w:rPr>
          <w:lang w:val="pt-PT"/>
        </w:rPr>
      </w:pPr>
      <w:r w:rsidRPr="00013130">
        <w:rPr>
          <w:lang w:val="pt-PT"/>
        </w:rPr>
        <w:t>——</w:t>
      </w:r>
      <w:r w:rsidR="00971F8F">
        <w:rPr>
          <w:lang w:val="pt-PT"/>
        </w:rPr>
        <w:t> </w:t>
      </w:r>
      <w:r w:rsidRPr="00013130">
        <w:rPr>
          <w:lang w:val="pt-PT"/>
        </w:rPr>
        <w:t xml:space="preserve">2024e, </w:t>
      </w:r>
      <w:r w:rsidRPr="00013130">
        <w:rPr>
          <w:i/>
          <w:iCs/>
          <w:lang w:val="pt-PT"/>
        </w:rPr>
        <w:t>Estimates Brief - Psiquantum FOI 3641</w:t>
      </w:r>
      <w:r w:rsidRPr="00013130">
        <w:rPr>
          <w:lang w:val="pt-PT"/>
        </w:rPr>
        <w:t>, https://treasury.gov.au/sites/default/files/2024-07/foi-3641.pdf (accessed 12 June 2025).</w:t>
      </w:r>
    </w:p>
    <w:p w14:paraId="260BA859" w14:textId="389B7FEA" w:rsidR="003E497C" w:rsidRPr="003E497C" w:rsidRDefault="003E497C" w:rsidP="00F902F0">
      <w:pPr>
        <w:pStyle w:val="Reference"/>
      </w:pPr>
      <w:r w:rsidRPr="003E497C">
        <w:t>——</w:t>
      </w:r>
      <w:r w:rsidR="00971F8F">
        <w:t> </w:t>
      </w:r>
      <w:r w:rsidRPr="003E497C">
        <w:t xml:space="preserve">2024f, </w:t>
      </w:r>
      <w:r w:rsidRPr="003E497C">
        <w:rPr>
          <w:i/>
          <w:iCs/>
        </w:rPr>
        <w:t>Tariff reform: removal of nuisance tariffs | Treasury.gov.au</w:t>
      </w:r>
      <w:r w:rsidRPr="003E497C">
        <w:t>, text, Department of the Treasury, https://treasury.gov.au/consultation/c2024-506306 (accessed 17 June 2025).</w:t>
      </w:r>
    </w:p>
    <w:p w14:paraId="28462883" w14:textId="2CE242B4" w:rsidR="003E497C" w:rsidRPr="003E497C" w:rsidRDefault="003E497C" w:rsidP="00F902F0">
      <w:pPr>
        <w:pStyle w:val="Reference"/>
      </w:pPr>
      <w:r w:rsidRPr="003E497C">
        <w:t>——</w:t>
      </w:r>
      <w:r w:rsidR="00971F8F">
        <w:t> </w:t>
      </w:r>
      <w:r w:rsidRPr="003E497C">
        <w:t xml:space="preserve">2025a, </w:t>
      </w:r>
      <w:r w:rsidRPr="003E497C">
        <w:rPr>
          <w:i/>
          <w:iCs/>
        </w:rPr>
        <w:t>Australia’s Foreign Investment Policy</w:t>
      </w:r>
      <w:r w:rsidRPr="003E497C">
        <w:t>.</w:t>
      </w:r>
    </w:p>
    <w:p w14:paraId="268CFCB0" w14:textId="3B50CE7F" w:rsidR="003E497C" w:rsidRPr="003E497C" w:rsidRDefault="003E497C" w:rsidP="00F902F0">
      <w:pPr>
        <w:pStyle w:val="Reference"/>
      </w:pPr>
      <w:r w:rsidRPr="003E497C">
        <w:t>——</w:t>
      </w:r>
      <w:r w:rsidR="00971F8F">
        <w:t> </w:t>
      </w:r>
      <w:r w:rsidRPr="003E497C">
        <w:t xml:space="preserve">2025b, </w:t>
      </w:r>
      <w:r w:rsidRPr="003E497C">
        <w:rPr>
          <w:i/>
          <w:iCs/>
        </w:rPr>
        <w:t>Guidance Note 10: Fees</w:t>
      </w:r>
      <w:r w:rsidRPr="003E497C">
        <w:t>.</w:t>
      </w:r>
    </w:p>
    <w:p w14:paraId="09C6B047" w14:textId="48EADD56" w:rsidR="003E497C" w:rsidRPr="003E497C" w:rsidRDefault="003E497C" w:rsidP="00F902F0">
      <w:pPr>
        <w:pStyle w:val="Reference"/>
      </w:pPr>
      <w:r w:rsidRPr="003E497C">
        <w:t>——</w:t>
      </w:r>
      <w:r w:rsidR="00971F8F">
        <w:t> </w:t>
      </w:r>
      <w:r w:rsidRPr="003E497C">
        <w:t xml:space="preserve">2025c, </w:t>
      </w:r>
      <w:r w:rsidRPr="003E497C">
        <w:rPr>
          <w:i/>
          <w:iCs/>
        </w:rPr>
        <w:t>Monetary thresholds</w:t>
      </w:r>
      <w:r w:rsidRPr="003E497C">
        <w:t>, Text, Department of the Treasury, Foreign investment in Australia, https://foreigninvestment.gov.au/guidance/general/monetary-thresholds (accessed 12 June 2025).</w:t>
      </w:r>
    </w:p>
    <w:p w14:paraId="26653A15" w14:textId="21C58825" w:rsidR="003E497C" w:rsidRPr="003E497C" w:rsidRDefault="003E497C" w:rsidP="00F902F0">
      <w:pPr>
        <w:pStyle w:val="Reference"/>
      </w:pPr>
      <w:r w:rsidRPr="003E497C">
        <w:t>——</w:t>
      </w:r>
      <w:r w:rsidR="00971F8F">
        <w:t> </w:t>
      </w:r>
      <w:r w:rsidRPr="003E497C">
        <w:t xml:space="preserve">2025d, </w:t>
      </w:r>
      <w:r w:rsidRPr="003E497C">
        <w:rPr>
          <w:i/>
          <w:iCs/>
        </w:rPr>
        <w:t>Pre-election Economic and Fiscal Outlook 2025</w:t>
      </w:r>
      <w:r w:rsidRPr="003E497C">
        <w:t>, text, Department of the Treasury, https://treasury.gov.au/</w:t>
      </w:r>
      <w:r w:rsidR="00971F8F">
        <w:br/>
      </w:r>
      <w:r w:rsidRPr="003E497C">
        <w:t>publication/pefo2025 (accessed 20 May 2025).</w:t>
      </w:r>
    </w:p>
    <w:p w14:paraId="14720A81" w14:textId="77777777" w:rsidR="003E497C" w:rsidRPr="003E497C" w:rsidRDefault="003E497C" w:rsidP="00F902F0">
      <w:pPr>
        <w:pStyle w:val="Reference"/>
      </w:pPr>
      <w:r w:rsidRPr="003E497C">
        <w:t xml:space="preserve">UK Department of Business and Trade 2024, </w:t>
      </w:r>
      <w:r w:rsidRPr="003E497C">
        <w:rPr>
          <w:i/>
          <w:iCs/>
        </w:rPr>
        <w:t>Information Note on Costa Rica’s CPTPP Accession Working Group</w:t>
      </w:r>
      <w:r w:rsidRPr="003E497C">
        <w:t>, November.</w:t>
      </w:r>
    </w:p>
    <w:p w14:paraId="7609A64A" w14:textId="77777777" w:rsidR="003E497C" w:rsidRPr="003E497C" w:rsidRDefault="003E497C" w:rsidP="00F902F0">
      <w:pPr>
        <w:pStyle w:val="Reference"/>
      </w:pPr>
      <w:r w:rsidRPr="003E497C">
        <w:t xml:space="preserve">—— and UK Department of International Trade 2024, </w:t>
      </w:r>
      <w:r w:rsidRPr="003E497C">
        <w:rPr>
          <w:i/>
          <w:iCs/>
        </w:rPr>
        <w:t>The UK and the Comprehensive and Progressive Agreement for Trans-Pacific Partnership (CPTPP)</w:t>
      </w:r>
      <w:r w:rsidRPr="003E497C">
        <w:t>, GOV.UK, https://www.gov.uk/government/collections/the-uk-and-the-comprehensive-and-progressive-agreement-for-trans-pacific-partnershipcptpp (accessed 14 June 2025).</w:t>
      </w:r>
    </w:p>
    <w:p w14:paraId="6B3D6442" w14:textId="77777777" w:rsidR="003E497C" w:rsidRPr="003E497C" w:rsidRDefault="003E497C" w:rsidP="00F902F0">
      <w:pPr>
        <w:pStyle w:val="Reference"/>
      </w:pPr>
      <w:r w:rsidRPr="003E497C">
        <w:t xml:space="preserve">United States Department of State 2024, </w:t>
      </w:r>
      <w:r w:rsidRPr="003E497C">
        <w:rPr>
          <w:i/>
          <w:iCs/>
        </w:rPr>
        <w:t>Minerals Security Partnership: Principles for Responsible Critical Mineral Supply Chains</w:t>
      </w:r>
      <w:r w:rsidRPr="003E497C">
        <w:t>, https://www.state.gov/minerals-security-partnership/ (accessed 19 August 2024).</w:t>
      </w:r>
    </w:p>
    <w:p w14:paraId="2D3C3017" w14:textId="77777777" w:rsidR="003E497C" w:rsidRPr="003E497C" w:rsidRDefault="003E497C" w:rsidP="00F902F0">
      <w:pPr>
        <w:pStyle w:val="Reference"/>
      </w:pPr>
      <w:r w:rsidRPr="003E497C">
        <w:t xml:space="preserve">US Treasury 2025, </w:t>
      </w:r>
      <w:r w:rsidRPr="003E497C">
        <w:rPr>
          <w:i/>
          <w:iCs/>
        </w:rPr>
        <w:t>The Inflation Reduction Act’s Benefits and Costs</w:t>
      </w:r>
      <w:r w:rsidRPr="003E497C">
        <w:t>, U.S. Department of the Treasury, https://home.treasury.gov/news/featured-stories/the-inflation-reduction-acts-benefits-and-costs (accessed 30 April 2025).</w:t>
      </w:r>
    </w:p>
    <w:p w14:paraId="790D9C6C" w14:textId="77777777" w:rsidR="003E497C" w:rsidRPr="003E497C" w:rsidRDefault="003E497C" w:rsidP="00F902F0">
      <w:pPr>
        <w:pStyle w:val="Reference"/>
      </w:pPr>
      <w:r w:rsidRPr="003E497C">
        <w:t xml:space="preserve">Wignaraja, G 2014, ‘The determinants of FTA use in Southeast Asia: A firm-level analysis’, </w:t>
      </w:r>
      <w:r w:rsidRPr="003E497C">
        <w:rPr>
          <w:i/>
          <w:iCs/>
        </w:rPr>
        <w:t>Journal of Asian Economics</w:t>
      </w:r>
      <w:r w:rsidRPr="003E497C">
        <w:t>, vol. 35, pp. 32–45.</w:t>
      </w:r>
    </w:p>
    <w:p w14:paraId="1A36D2AC" w14:textId="77777777" w:rsidR="003E497C" w:rsidRPr="003E497C" w:rsidRDefault="003E497C" w:rsidP="00F902F0">
      <w:pPr>
        <w:pStyle w:val="Reference"/>
      </w:pPr>
      <w:r w:rsidRPr="003E497C">
        <w:t xml:space="preserve">World Bank 2022, </w:t>
      </w:r>
      <w:r w:rsidRPr="003E497C">
        <w:rPr>
          <w:i/>
          <w:iCs/>
        </w:rPr>
        <w:t>GDP (current US$) - United States</w:t>
      </w:r>
      <w:r w:rsidRPr="003E497C">
        <w:t>, World Bank Open Data, https://data.worldbank.org (accessed 30 April 2025).</w:t>
      </w:r>
    </w:p>
    <w:p w14:paraId="443CD8A4" w14:textId="77777777" w:rsidR="003E497C" w:rsidRPr="003E497C" w:rsidRDefault="003E497C" w:rsidP="00F902F0">
      <w:pPr>
        <w:pStyle w:val="Reference"/>
      </w:pPr>
      <w:r w:rsidRPr="003E497C">
        <w:t xml:space="preserve">WTO (World Trade Organisation) 2025a, </w:t>
      </w:r>
      <w:r w:rsidRPr="003E497C">
        <w:rPr>
          <w:i/>
          <w:iCs/>
        </w:rPr>
        <w:t>Tariff Download Facility: WTO tariff data base</w:t>
      </w:r>
      <w:r w:rsidRPr="003E497C">
        <w:t>, Tariff Download Facility, http://tariffdata.wto.org/Default.aspx?culture=en-US (accessed 7 March 2025).</w:t>
      </w:r>
    </w:p>
    <w:p w14:paraId="6D4FE258" w14:textId="550A3DE5" w:rsidR="003E497C" w:rsidRPr="003E497C" w:rsidRDefault="003E497C" w:rsidP="00F902F0">
      <w:pPr>
        <w:pStyle w:val="Reference"/>
      </w:pPr>
      <w:r w:rsidRPr="003E497C">
        <w:t>——</w:t>
      </w:r>
      <w:r w:rsidR="00971F8F">
        <w:t> </w:t>
      </w:r>
      <w:r w:rsidRPr="003E497C">
        <w:t xml:space="preserve">2025b, </w:t>
      </w:r>
      <w:r w:rsidRPr="003E497C">
        <w:rPr>
          <w:i/>
          <w:iCs/>
        </w:rPr>
        <w:t>Understanding the WTO - The Uruguay Round</w:t>
      </w:r>
      <w:r w:rsidRPr="003E497C">
        <w:t>, World Trade Organisation, https://www.wto.org/english/thewto_e/whatis_e/tif_e/fact5_e.htm (accessed 17 June 2025).</w:t>
      </w:r>
    </w:p>
    <w:p w14:paraId="2CAB30D9" w14:textId="67050532" w:rsidR="003E497C" w:rsidRPr="003E497C" w:rsidRDefault="003E497C" w:rsidP="00F902F0">
      <w:pPr>
        <w:pStyle w:val="Reference"/>
      </w:pPr>
      <w:r w:rsidRPr="003E497C">
        <w:t>——</w:t>
      </w:r>
      <w:r w:rsidR="00971F8F">
        <w:t> </w:t>
      </w:r>
      <w:r w:rsidRPr="003E497C">
        <w:t xml:space="preserve">nd, </w:t>
      </w:r>
      <w:r w:rsidRPr="003E497C">
        <w:rPr>
          <w:i/>
          <w:iCs/>
        </w:rPr>
        <w:t>Subsidies and Countervailing Measures overview</w:t>
      </w:r>
      <w:r w:rsidRPr="003E497C">
        <w:t>, Agreement on Subsidies and Countervailing Measures (“SCM Agreement”), https://www.wto.org/english/tratop_e/scm_e/subs_e.htm (accessed 12 June 2025).</w:t>
      </w:r>
    </w:p>
    <w:p w14:paraId="3E7DB772" w14:textId="57A3B2CE" w:rsidR="003E497C" w:rsidRPr="003E497C" w:rsidRDefault="003E497C" w:rsidP="00F902F0">
      <w:pPr>
        <w:pStyle w:val="Reference"/>
      </w:pPr>
      <w:r w:rsidRPr="003E497C">
        <w:t>——</w:t>
      </w:r>
      <w:r w:rsidR="00971F8F">
        <w:t> </w:t>
      </w:r>
      <w:r w:rsidRPr="003E497C">
        <w:t xml:space="preserve">1994, </w:t>
      </w:r>
      <w:r w:rsidRPr="003E497C">
        <w:rPr>
          <w:i/>
          <w:iCs/>
        </w:rPr>
        <w:t>Agreement on Implementation of Article VI of the General Agreement on Tariffs and Trade 1994</w:t>
      </w:r>
      <w:r w:rsidRPr="003E497C">
        <w:t>, https://www.wto.org/english/docs_e/legal_e/adp_e.htm (accessed 14 June 2025).</w:t>
      </w:r>
    </w:p>
    <w:p w14:paraId="77F3563F" w14:textId="6D1E9A95" w:rsidR="003E497C" w:rsidRPr="003E497C" w:rsidRDefault="003E497C" w:rsidP="00F902F0">
      <w:pPr>
        <w:pStyle w:val="Reference"/>
      </w:pPr>
      <w:r w:rsidRPr="003E497C">
        <w:t>——</w:t>
      </w:r>
      <w:r w:rsidR="00971F8F">
        <w:t> </w:t>
      </w:r>
      <w:r w:rsidRPr="003E497C">
        <w:t xml:space="preserve">2022, </w:t>
      </w:r>
      <w:r w:rsidRPr="003E497C">
        <w:rPr>
          <w:i/>
          <w:iCs/>
        </w:rPr>
        <w:t>Dispute settlement - DS580: India - Measures Concerning Sugar and Sugarcane</w:t>
      </w:r>
      <w:r w:rsidRPr="003E497C">
        <w:t>, https://www.wto.org/english/tratop_e/dispu_e/cases_e/ds580_e.htm (accessed 14 June 2025).</w:t>
      </w:r>
    </w:p>
    <w:p w14:paraId="4D4093D1" w14:textId="4732C58C" w:rsidR="003E497C" w:rsidRPr="003E497C" w:rsidRDefault="003E497C" w:rsidP="00F902F0">
      <w:pPr>
        <w:pStyle w:val="Reference"/>
      </w:pPr>
      <w:r w:rsidRPr="003E497C">
        <w:t>——</w:t>
      </w:r>
      <w:r w:rsidR="00971F8F">
        <w:t> </w:t>
      </w:r>
      <w:r w:rsidRPr="003E497C">
        <w:t xml:space="preserve">2024, </w:t>
      </w:r>
      <w:r w:rsidRPr="003E497C">
        <w:rPr>
          <w:i/>
          <w:iCs/>
        </w:rPr>
        <w:t>Facilitator briefs members on start of formal dispute settlement reform work</w:t>
      </w:r>
      <w:r w:rsidRPr="003E497C">
        <w:t>, https://www.wto.org/english/news_e/news24_e/disp_20jun24_e.htm (accessed 14 June 2025).</w:t>
      </w:r>
    </w:p>
    <w:p w14:paraId="4173862D" w14:textId="7DF4678D" w:rsidR="003E497C" w:rsidRPr="003E497C" w:rsidRDefault="003E497C" w:rsidP="00F902F0">
      <w:pPr>
        <w:pStyle w:val="Reference"/>
      </w:pPr>
      <w:r w:rsidRPr="003E497C">
        <w:t>——</w:t>
      </w:r>
      <w:r w:rsidR="00971F8F">
        <w:t> </w:t>
      </w:r>
      <w:r w:rsidRPr="003E497C">
        <w:t xml:space="preserve">2025c, </w:t>
      </w:r>
      <w:r w:rsidRPr="003E497C">
        <w:rPr>
          <w:i/>
          <w:iCs/>
        </w:rPr>
        <w:t>Australia - Anit-dumping and counterveiling duty measures on certain products from China. Status report regarding implementati</w:t>
      </w:r>
      <w:r w:rsidR="00F90B0C">
        <w:rPr>
          <w:i/>
          <w:iCs/>
        </w:rPr>
        <w:t>on</w:t>
      </w:r>
      <w:r w:rsidRPr="003E497C">
        <w:rPr>
          <w:i/>
          <w:iCs/>
        </w:rPr>
        <w:t xml:space="preserve"> of the DSB recommendations and rulings by Australia</w:t>
      </w:r>
      <w:r w:rsidRPr="003E497C">
        <w:t>, 17 January.</w:t>
      </w:r>
    </w:p>
    <w:p w14:paraId="374E063B" w14:textId="10CFFF59" w:rsidR="00A972CD" w:rsidRDefault="003E497C" w:rsidP="00F902F0">
      <w:pPr>
        <w:pStyle w:val="Reference"/>
      </w:pPr>
      <w:r w:rsidRPr="003E497C">
        <w:t>——</w:t>
      </w:r>
      <w:r w:rsidR="00971F8F">
        <w:t> </w:t>
      </w:r>
      <w:r w:rsidRPr="003E497C">
        <w:t xml:space="preserve">2025d, </w:t>
      </w:r>
      <w:r w:rsidRPr="003E497C">
        <w:rPr>
          <w:i/>
          <w:iCs/>
        </w:rPr>
        <w:t>Panel to examine measures adopted by Türkiye targeting Chinese electric vehicle imports</w:t>
      </w:r>
      <w:r w:rsidRPr="003E497C">
        <w:t xml:space="preserve">, </w:t>
      </w:r>
      <w:hyperlink r:id="rId114" w:history="1">
        <w:r w:rsidR="00AC12AF" w:rsidRPr="007E0D95">
          <w:rPr>
            <w:rStyle w:val="Hyperlink"/>
            <w:u w:val="none"/>
          </w:rPr>
          <w:t>https://www.wto.org/english/news_e/news25_e/dsb_24feb25</w:t>
        </w:r>
      </w:hyperlink>
      <w:r w:rsidR="00AC12AF">
        <w:t xml:space="preserve"> </w:t>
      </w:r>
      <w:r w:rsidRPr="003E497C">
        <w:t>(accessed 14 June 2025).</w:t>
      </w:r>
    </w:p>
    <w:sectPr w:rsidR="00A972CD" w:rsidSect="00F902F0">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A5DE7" w14:textId="77777777" w:rsidR="00CE741D" w:rsidRDefault="00CE741D" w:rsidP="008017BC">
      <w:r>
        <w:separator/>
      </w:r>
    </w:p>
    <w:p w14:paraId="39B14BB2" w14:textId="77777777" w:rsidR="00CE741D" w:rsidRDefault="00CE741D"/>
  </w:endnote>
  <w:endnote w:type="continuationSeparator" w:id="0">
    <w:p w14:paraId="7DB6033A" w14:textId="77777777" w:rsidR="00CE741D" w:rsidRDefault="00CE741D" w:rsidP="008017BC">
      <w:r>
        <w:continuationSeparator/>
      </w:r>
    </w:p>
    <w:p w14:paraId="4AA6CCFE" w14:textId="77777777" w:rsidR="00CE741D" w:rsidRDefault="00CE741D"/>
  </w:endnote>
  <w:endnote w:type="continuationNotice" w:id="1">
    <w:p w14:paraId="023748B1" w14:textId="77777777" w:rsidR="00CE741D" w:rsidRDefault="00CE741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F52F"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BCD5" w14:textId="77777777" w:rsidR="00D15113" w:rsidRPr="00C21A75" w:rsidRDefault="00F04EA7" w:rsidP="002E3F19">
    <w:pPr>
      <w:pStyle w:val="Footer"/>
    </w:pPr>
    <w:r w:rsidRPr="00C21A75">
      <w:fldChar w:fldCharType="begin"/>
    </w:r>
    <w:r w:rsidRPr="00C21A75">
      <w:instrText xml:space="preserve"> PAGE   \* MERGEFORMAT </w:instrText>
    </w:r>
    <w:r w:rsidRPr="00C21A75">
      <w:fldChar w:fldCharType="separate"/>
    </w:r>
    <w:r w:rsidRPr="00C21A75">
      <w:t>1</w:t>
    </w:r>
    <w:r w:rsidRPr="00C21A7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665593"/>
      <w:docPartObj>
        <w:docPartGallery w:val="Page Numbers (Bottom of Page)"/>
        <w:docPartUnique/>
      </w:docPartObj>
    </w:sdtPr>
    <w:sdtContent>
      <w:p w14:paraId="3C71637A" w14:textId="03E7C680" w:rsidR="0099515A" w:rsidRDefault="0099515A">
        <w:pPr>
          <w:pStyle w:val="Footer"/>
          <w:jc w:val="right"/>
        </w:pPr>
        <w:r>
          <w:fldChar w:fldCharType="begin"/>
        </w:r>
        <w:r>
          <w:instrText xml:space="preserve"> PAGE   \* MERGEFORMAT </w:instrText>
        </w:r>
        <w:r>
          <w:fldChar w:fldCharType="separate"/>
        </w:r>
        <w:r>
          <w:t>2</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341D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735468"/>
      <w:docPartObj>
        <w:docPartGallery w:val="Page Numbers (Bottom of Page)"/>
        <w:docPartUnique/>
      </w:docPartObj>
    </w:sdtPr>
    <w:sdtContent>
      <w:sdt>
        <w:sdtPr>
          <w:id w:val="1766272853"/>
          <w:docPartObj>
            <w:docPartGallery w:val="Page Numbers (Top of Page)"/>
            <w:docPartUnique/>
          </w:docPartObj>
        </w:sdtPr>
        <w:sdtContent>
          <w:p w14:paraId="0CDD9F6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94C6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1489013"/>
      <w:docPartObj>
        <w:docPartGallery w:val="Page Numbers (Bottom of Page)"/>
        <w:docPartUnique/>
      </w:docPartObj>
    </w:sdtPr>
    <w:sdtContent>
      <w:sdt>
        <w:sdtPr>
          <w:id w:val="-1367752326"/>
          <w:docPartObj>
            <w:docPartGallery w:val="Page Numbers (Top of Page)"/>
            <w:docPartUnique/>
          </w:docPartObj>
        </w:sdtPr>
        <w:sdtContent>
          <w:p w14:paraId="6713F32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A4A6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148966"/>
      <w:docPartObj>
        <w:docPartGallery w:val="Page Numbers (Bottom of Page)"/>
        <w:docPartUnique/>
      </w:docPartObj>
    </w:sdtPr>
    <w:sdtContent>
      <w:sdt>
        <w:sdtPr>
          <w:id w:val="-272556521"/>
          <w:docPartObj>
            <w:docPartGallery w:val="Page Numbers (Top of Page)"/>
            <w:docPartUnique/>
          </w:docPartObj>
        </w:sdtPr>
        <w:sdtContent>
          <w:p w14:paraId="4B6C8457"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6C56E" w14:textId="77777777" w:rsidR="00EF4E76" w:rsidRDefault="00EF4E7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19498"/>
      <w:docPartObj>
        <w:docPartGallery w:val="Page Numbers (Bottom of Page)"/>
        <w:docPartUnique/>
      </w:docPartObj>
    </w:sdtPr>
    <w:sdtContent>
      <w:sdt>
        <w:sdtPr>
          <w:id w:val="1594200415"/>
          <w:docPartObj>
            <w:docPartGallery w:val="Page Numbers (Top of Page)"/>
            <w:docPartUnique/>
          </w:docPartObj>
        </w:sdtPr>
        <w:sdtContent>
          <w:p w14:paraId="25876531" w14:textId="77777777" w:rsidR="00EF4E76" w:rsidRDefault="00EF4E7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094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B74D7" w14:textId="77777777" w:rsidR="00EF4E76" w:rsidRDefault="00EF4E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25D9B" w14:textId="4CE3D05D" w:rsidR="00081185" w:rsidRPr="000D6989" w:rsidRDefault="00BA6298" w:rsidP="00081185">
    <w:pPr>
      <w:pStyle w:val="Footer-right"/>
      <w:rPr>
        <w:rFonts w:ascii="Open Sans Semibold" w:hAnsi="Open Sans Semibold" w:cs="Open Sans Semibold"/>
        <w:b/>
        <w:bCs/>
        <w:color w:val="FFFFFF" w:themeColor="background1"/>
        <w:sz w:val="28"/>
        <w:szCs w:val="28"/>
      </w:rPr>
    </w:pPr>
    <w:r w:rsidRPr="000D6989">
      <w:rPr>
        <w:rFonts w:ascii="Open Sans Semibold" w:hAnsi="Open Sans Semibold" w:cs="Open Sans Semibold"/>
        <w:b/>
        <w:bCs/>
        <w:color w:val="FFFFFF" w:themeColor="background1"/>
        <w:sz w:val="28"/>
        <w:szCs w:val="28"/>
      </w:rPr>
      <w:t>Ju</w:t>
    </w:r>
    <w:r w:rsidR="00566C53">
      <w:rPr>
        <w:rFonts w:ascii="Open Sans Semibold" w:hAnsi="Open Sans Semibold" w:cs="Open Sans Semibold"/>
        <w:b/>
        <w:bCs/>
        <w:color w:val="FFFFFF" w:themeColor="background1"/>
        <w:sz w:val="28"/>
        <w:szCs w:val="28"/>
      </w:rPr>
      <w:t>ly</w:t>
    </w:r>
    <w:r w:rsidRPr="000D6989">
      <w:rPr>
        <w:rFonts w:ascii="Open Sans Semibold" w:hAnsi="Open Sans Semibold" w:cs="Open Sans Semibold"/>
        <w:b/>
        <w:bCs/>
        <w:color w:val="FFFFFF" w:themeColor="background1"/>
        <w:sz w:val="28"/>
        <w:szCs w:val="28"/>
      </w:rPr>
      <w:t xml:space="preserve"> 2025</w:t>
    </w:r>
  </w:p>
  <w:p w14:paraId="224319AD" w14:textId="3D39021D" w:rsidR="00F04EA7" w:rsidRPr="00382EFD" w:rsidRDefault="00F04EA7" w:rsidP="00081185">
    <w:pPr>
      <w:pStyle w:val="Footer"/>
      <w:rPr>
        <w:rFonts w:ascii="Open Sans Semibold" w:hAnsi="Open Sans Semibold" w:cs="Open Sans Semibold"/>
        <w:color w:val="FFFFFF" w:themeColor="background1"/>
        <w:sz w:val="28"/>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465237"/>
      <w:docPartObj>
        <w:docPartGallery w:val="Page Numbers (Top of Page)"/>
        <w:docPartUnique/>
      </w:docPartObj>
    </w:sdtPr>
    <w:sdtContent>
      <w:p w14:paraId="546268FE" w14:textId="7410D6B1" w:rsidR="00F04EA7" w:rsidRPr="00081185" w:rsidRDefault="00081185" w:rsidP="00145BD3">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D407E3A"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792315"/>
      <w:docPartObj>
        <w:docPartGallery w:val="Page Numbers (Top of Page)"/>
        <w:docPartUnique/>
      </w:docPartObj>
    </w:sdtPr>
    <w:sdtContent>
      <w:p w14:paraId="23D5A0A4" w14:textId="7844645D" w:rsidR="00D15113" w:rsidRPr="00081185" w:rsidRDefault="00081185" w:rsidP="001A421B">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337086"/>
      <w:docPartObj>
        <w:docPartGallery w:val="Page Numbers (Top of Page)"/>
        <w:docPartUnique/>
      </w:docPartObj>
    </w:sdtPr>
    <w:sdtContent>
      <w:sdt>
        <w:sdtPr>
          <w:id w:val="567086844"/>
          <w:docPartObj>
            <w:docPartGallery w:val="Page Numbers (Top of Page)"/>
            <w:docPartUnique/>
          </w:docPartObj>
        </w:sdtPr>
        <w:sdtContent>
          <w:sdt>
            <w:sdtPr>
              <w:id w:val="-404065200"/>
              <w:docPartObj>
                <w:docPartGallery w:val="Page Numbers (Top of Page)"/>
                <w:docPartUnique/>
              </w:docPartObj>
            </w:sdtPr>
            <w:sdtContent>
              <w:p w14:paraId="3A2C53B0" w14:textId="58496DCA" w:rsidR="00D15113" w:rsidRPr="00E42121" w:rsidRDefault="00145BD3" w:rsidP="00707FB8">
                <w:pPr>
                  <w:pStyle w:val="Footer-right"/>
                </w:pPr>
                <w:r w:rsidRPr="0042508F">
                  <w:rPr>
                    <w:sz w:val="24"/>
                  </w:rPr>
                  <w:fldChar w:fldCharType="begin"/>
                </w:r>
                <w:r w:rsidRPr="0042508F">
                  <w:instrText xml:space="preserve"> PAGE </w:instrText>
                </w:r>
                <w:r w:rsidRPr="0042508F">
                  <w:rPr>
                    <w:sz w:val="24"/>
                  </w:rPr>
                  <w:fldChar w:fldCharType="separate"/>
                </w:r>
                <w:r>
                  <w:rPr>
                    <w:sz w:val="24"/>
                  </w:rPr>
                  <w:t>ii</w:t>
                </w:r>
                <w:r w:rsidRPr="0042508F">
                  <w:rPr>
                    <w:sz w:val="24"/>
                  </w:rPr>
                  <w:fldChar w:fldCharType="end"/>
                </w:r>
              </w:p>
            </w:sdtContent>
          </w:sdt>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423071"/>
      <w:docPartObj>
        <w:docPartGallery w:val="Page Numbers (Bottom of Page)"/>
        <w:docPartUnique/>
      </w:docPartObj>
    </w:sdtPr>
    <w:sdtEndPr>
      <w:rPr>
        <w:noProof/>
      </w:rPr>
    </w:sdtEndPr>
    <w:sdtContent>
      <w:p w14:paraId="4B2A5185" w14:textId="05F6A282" w:rsidR="00B036A0" w:rsidRPr="00BC1FFC" w:rsidRDefault="00BC1FFC" w:rsidP="00BC1FFC">
        <w:pPr>
          <w:pStyle w:val="Footer"/>
        </w:pPr>
        <w:r>
          <w:fldChar w:fldCharType="begin"/>
        </w:r>
        <w:r>
          <w:instrText xml:space="preserve"> PAGE   \* MERGEFORMAT </w:instrText>
        </w:r>
        <w:r>
          <w:fldChar w:fldCharType="separate"/>
        </w:r>
        <w:r>
          <w:t>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2C18" w14:textId="77777777" w:rsidR="00B036A0" w:rsidRDefault="00B03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2B54F" w14:textId="77777777" w:rsidR="00CE741D" w:rsidRPr="00C238D1" w:rsidRDefault="00CE741D" w:rsidP="00273E86">
      <w:pPr>
        <w:spacing w:after="0" w:line="240" w:lineRule="auto"/>
        <w:rPr>
          <w:rStyle w:val="ColourDarkBlue"/>
        </w:rPr>
      </w:pPr>
      <w:r w:rsidRPr="00C238D1">
        <w:rPr>
          <w:rStyle w:val="ColourDarkBlue"/>
        </w:rPr>
        <w:continuationSeparator/>
      </w:r>
    </w:p>
  </w:footnote>
  <w:footnote w:type="continuationSeparator" w:id="0">
    <w:p w14:paraId="3F1C01F1" w14:textId="77777777" w:rsidR="00CE741D" w:rsidRPr="001D7D9B" w:rsidRDefault="00CE741D" w:rsidP="001D7D9B">
      <w:pPr>
        <w:spacing w:after="0" w:line="240" w:lineRule="auto"/>
        <w:rPr>
          <w:color w:val="265A9A" w:themeColor="background2"/>
        </w:rPr>
      </w:pPr>
      <w:r w:rsidRPr="00C238D1">
        <w:rPr>
          <w:rStyle w:val="ColourDarkBlue"/>
        </w:rPr>
        <w:continuationSeparator/>
      </w:r>
    </w:p>
  </w:footnote>
  <w:footnote w:type="continuationNotice" w:id="1">
    <w:p w14:paraId="39159454" w14:textId="77777777" w:rsidR="00CE741D" w:rsidRDefault="00CE741D"/>
  </w:footnote>
  <w:footnote w:id="2">
    <w:p w14:paraId="40576BE6" w14:textId="3262CB9B" w:rsidR="00164792" w:rsidRPr="00164792" w:rsidRDefault="00164792">
      <w:pPr>
        <w:pStyle w:val="FootnoteText"/>
        <w:rPr>
          <w:lang w:val="en-US"/>
        </w:rPr>
      </w:pPr>
      <w:r>
        <w:rPr>
          <w:rStyle w:val="FootnoteReference"/>
        </w:rPr>
        <w:footnoteRef/>
      </w:r>
      <w:r>
        <w:t xml:space="preserve"> </w:t>
      </w:r>
      <w:r>
        <w:rPr>
          <w:lang w:val="en-US"/>
        </w:rPr>
        <w:t>This scenario consists of the US levying tariffs of 50% on all imported ferrous metals and non-ferrous metals products, of 25% on imported motor vehicles and parts, and between 10% to 59% on all other goods imports from different US trading partners as per the Liberation Day announcements (appendix A). Tariffs on ferrous metals and non-ferrous metals are intended to approximate tariffs on steel and aluminium, which are not disaggregated from the broader metals sectors in PC Global. The shocks applied to aggregate regions (</w:t>
      </w:r>
      <w:r w:rsidR="00A142F2">
        <w:rPr>
          <w:lang w:val="en-US"/>
        </w:rPr>
        <w:t>such as the rest of Europe)</w:t>
      </w:r>
      <w:r w:rsidR="008F5E98">
        <w:rPr>
          <w:lang w:val="en-US"/>
        </w:rPr>
        <w:t xml:space="preserve"> were calculated as </w:t>
      </w:r>
      <w:r w:rsidR="00491F56">
        <w:rPr>
          <w:lang w:val="en-US"/>
        </w:rPr>
        <w:t xml:space="preserve">the weighted average of the Liberation Day tariffs levied on each </w:t>
      </w:r>
      <w:r w:rsidR="0034346C">
        <w:rPr>
          <w:lang w:val="en-US"/>
        </w:rPr>
        <w:t>country in that region, where the weight used reflects each country</w:t>
      </w:r>
      <w:r w:rsidR="00FA655F">
        <w:rPr>
          <w:lang w:val="en-US"/>
        </w:rPr>
        <w:t>’s</w:t>
      </w:r>
      <w:r w:rsidR="0034346C">
        <w:rPr>
          <w:lang w:val="en-US"/>
        </w:rPr>
        <w:t xml:space="preserve"> share of imports from that region into the US in 2024 </w:t>
      </w:r>
      <w:r w:rsidR="003C42E9" w:rsidRPr="003C42E9">
        <w:rPr>
          <w:rFonts w:ascii="Arial" w:hAnsi="Arial" w:cs="Arial"/>
        </w:rPr>
        <w:t>(US Census Bureau nd)</w:t>
      </w:r>
      <w:r w:rsidR="0034346C">
        <w:rPr>
          <w:lang w:val="en-US"/>
        </w:rPr>
        <w:t>.</w:t>
      </w:r>
    </w:p>
  </w:footnote>
  <w:footnote w:id="3">
    <w:p w14:paraId="1F7CCFF9" w14:textId="750017A7" w:rsidR="00250591" w:rsidRDefault="00250591">
      <w:pPr>
        <w:pStyle w:val="FootnoteText"/>
      </w:pPr>
      <w:r w:rsidRPr="003553DC">
        <w:rPr>
          <w:rStyle w:val="FootnoteReference"/>
        </w:rPr>
        <w:footnoteRef/>
      </w:r>
      <w:r>
        <w:t xml:space="preserve"> The PC originally sought to model a flat 145</w:t>
      </w:r>
      <w:r w:rsidR="00832EAF">
        <w:t>%</w:t>
      </w:r>
      <w:r>
        <w:t xml:space="preserve"> tariff on all goods imports to the US from China, based on US Executive Order</w:t>
      </w:r>
      <w:r w:rsidR="0069519A">
        <w:t>s</w:t>
      </w:r>
      <w:r>
        <w:t xml:space="preserve"> 14266</w:t>
      </w:r>
      <w:r w:rsidR="0069519A">
        <w:t xml:space="preserve"> and </w:t>
      </w:r>
      <w:r w:rsidR="00831764">
        <w:t>14228</w:t>
      </w:r>
      <w:r>
        <w:t xml:space="preserve"> </w:t>
      </w:r>
      <w:r w:rsidR="00CC12E9" w:rsidRPr="00CC12E9">
        <w:rPr>
          <w:rFonts w:ascii="Arial" w:hAnsi="Arial" w:cs="Arial"/>
        </w:rPr>
        <w:t>(The White House 2025m, 2025g)</w:t>
      </w:r>
      <w:r>
        <w:t xml:space="preserve">. However, PC Global is unable to accommodate </w:t>
      </w:r>
      <w:r w:rsidR="00832EAF">
        <w:t>the long-run effects of</w:t>
      </w:r>
      <w:r>
        <w:t xml:space="preserve"> tariffs of this magnitude </w:t>
      </w:r>
      <w:r w:rsidR="00832EAF">
        <w:t xml:space="preserve">levied on a single country </w:t>
      </w:r>
      <w:r>
        <w:t xml:space="preserve">(appendix </w:t>
      </w:r>
      <w:r w:rsidR="009F0D24">
        <w:t>A</w:t>
      </w:r>
      <w:r>
        <w:t xml:space="preserve">). CGE models are designed to estimate the effect of small changes, whereas such high tariffs prevent the model from solving accurately, if at all. The scenario we have modelled serves only as an indicative estimate of the potential effects from large tariffs levied on China by the US. </w:t>
      </w:r>
    </w:p>
  </w:footnote>
  <w:footnote w:id="4">
    <w:p w14:paraId="1243513C" w14:textId="0E715D63" w:rsidR="00250591" w:rsidRDefault="00250591" w:rsidP="001C79A3">
      <w:pPr>
        <w:pStyle w:val="FootnoteText"/>
      </w:pPr>
      <w:r w:rsidRPr="003553DC">
        <w:rPr>
          <w:rStyle w:val="FootnoteReference"/>
        </w:rPr>
        <w:footnoteRef/>
      </w:r>
      <w:r>
        <w:t xml:space="preserve"> These scenarios abstract from the retaliatory strategies that countries have implemented in practice in response to US tariffs. For example, Canada and China have imposed tariffs on imports of several American farm products</w:t>
      </w:r>
      <w:r w:rsidR="00A06653">
        <w:t xml:space="preserve"> and machinery</w:t>
      </w:r>
      <w:r>
        <w:t xml:space="preserve"> </w:t>
      </w:r>
      <w:r w:rsidR="00CC12E9" w:rsidRPr="00CC12E9">
        <w:rPr>
          <w:rFonts w:ascii="Arial" w:hAnsi="Arial" w:cs="Arial"/>
        </w:rPr>
        <w:t>(DoFC 2025; MoF PRC 2025)</w:t>
      </w:r>
      <w:r>
        <w:t xml:space="preserve">, which have been interpreted as targeting Republican </w:t>
      </w:r>
      <w:r w:rsidR="000B4E1F">
        <w:t xml:space="preserve">voting </w:t>
      </w:r>
      <w:r>
        <w:t xml:space="preserve">states </w:t>
      </w:r>
      <w:r w:rsidR="00410539" w:rsidRPr="00410539">
        <w:rPr>
          <w:rFonts w:ascii="Arial" w:hAnsi="Arial" w:cs="Arial"/>
        </w:rPr>
        <w:t>(Djuric 2025; Maxim et al. 2025)</w:t>
      </w:r>
      <w:r>
        <w:t xml:space="preserve">. </w:t>
      </w:r>
    </w:p>
  </w:footnote>
  <w:footnote w:id="5">
    <w:p w14:paraId="66A2A655" w14:textId="556B8D63" w:rsidR="00274F77" w:rsidRPr="00C21A75" w:rsidRDefault="00274F77" w:rsidP="00274F77">
      <w:pPr>
        <w:pStyle w:val="FootnoteText"/>
      </w:pPr>
      <w:r w:rsidRPr="003553DC">
        <w:rPr>
          <w:rStyle w:val="FootnoteReference"/>
        </w:rPr>
        <w:footnoteRef/>
      </w:r>
      <w:r w:rsidRPr="00C21A75">
        <w:t xml:space="preserve"> The PC Global model is documented in the technical paper that accompanied the 2017 study </w:t>
      </w:r>
      <w:r w:rsidR="00410539" w:rsidRPr="00410539">
        <w:rPr>
          <w:rFonts w:ascii="Arial" w:hAnsi="Arial" w:cs="Arial"/>
        </w:rPr>
        <w:t>(PC 2017b)</w:t>
      </w:r>
      <w:r w:rsidRPr="00C21A75">
        <w:t xml:space="preserve">. The version of the model and database used in this paper was most recently used to examine the implications of potential trade liberalisation in the Asian region </w:t>
      </w:r>
      <w:r w:rsidRPr="00EC178E">
        <w:rPr>
          <w:rFonts w:ascii="Arial" w:hAnsi="Arial" w:cs="Arial"/>
        </w:rPr>
        <w:t>(PC 2024a)</w:t>
      </w:r>
      <w:r w:rsidRPr="00C21A75">
        <w:t>.</w:t>
      </w:r>
    </w:p>
  </w:footnote>
  <w:footnote w:id="6">
    <w:p w14:paraId="7E1E250E" w14:textId="01B68568" w:rsidR="0097030D" w:rsidRPr="0097030D" w:rsidRDefault="00FF307C">
      <w:pPr>
        <w:pStyle w:val="FootnoteText"/>
      </w:pPr>
      <w:r>
        <w:rPr>
          <w:rStyle w:val="FootnoteReference"/>
        </w:rPr>
        <w:footnoteRef/>
      </w:r>
      <w:r>
        <w:t xml:space="preserve"> </w:t>
      </w:r>
      <w:r w:rsidR="006F1646">
        <w:t xml:space="preserve">Global </w:t>
      </w:r>
      <w:r w:rsidR="00170445">
        <w:t xml:space="preserve">CGE models typically do not </w:t>
      </w:r>
      <w:r w:rsidR="003268D0">
        <w:t xml:space="preserve">identify </w:t>
      </w:r>
      <w:r w:rsidR="0014248B">
        <w:t xml:space="preserve">nominal </w:t>
      </w:r>
      <w:r w:rsidR="003268D0">
        <w:t xml:space="preserve">exchange rates </w:t>
      </w:r>
      <w:r w:rsidR="0014248B">
        <w:t xml:space="preserve">because they have no impact on the </w:t>
      </w:r>
      <w:r w:rsidR="007A2D82">
        <w:t xml:space="preserve">real results </w:t>
      </w:r>
      <w:r w:rsidR="003C42E9" w:rsidRPr="003C42E9">
        <w:rPr>
          <w:rFonts w:ascii="Arial" w:hAnsi="Arial" w:cs="Arial"/>
        </w:rPr>
        <w:t>(Zhang 2018)</w:t>
      </w:r>
      <w:r w:rsidR="00F472D4">
        <w:t xml:space="preserve">. In the long run, </w:t>
      </w:r>
      <w:r w:rsidR="00AC64E8">
        <w:t xml:space="preserve">all prices are fully adjustable such that exchange rates are consistent with price parity. </w:t>
      </w:r>
      <w:r w:rsidR="00A672F5">
        <w:t xml:space="preserve">Nonetheless, their inclusion </w:t>
      </w:r>
      <w:r w:rsidR="001252AD">
        <w:t>could make it easier to explain how international relative prices adjust to balance external accounts for all countries.</w:t>
      </w:r>
    </w:p>
  </w:footnote>
  <w:footnote w:id="7">
    <w:p w14:paraId="08D3FD39" w14:textId="7FCB3EE9" w:rsidR="00274F77" w:rsidRDefault="00274F77" w:rsidP="00274F77">
      <w:pPr>
        <w:pStyle w:val="FootnoteText"/>
      </w:pPr>
      <w:r>
        <w:rPr>
          <w:rStyle w:val="FootnoteReference"/>
        </w:rPr>
        <w:footnoteRef/>
      </w:r>
      <w:r>
        <w:t xml:space="preserve"> The database includes the effects of the Regional Comprehensive Economic Partnership (RCEP) and Comprehensive and Progressive Agreement for Trans-Pacific Partnership (CPTPP) trade agreements, and the Australian tariff data was adjusted for consistency with the </w:t>
      </w:r>
      <w:r w:rsidR="0033752B">
        <w:t>data reported by the</w:t>
      </w:r>
      <w:r>
        <w:t xml:space="preserve"> </w:t>
      </w:r>
      <w:r w:rsidR="00685CC0">
        <w:t>ABS</w:t>
      </w:r>
      <w:r>
        <w:t xml:space="preserve"> </w:t>
      </w:r>
      <w:r w:rsidR="00410539" w:rsidRPr="00410539">
        <w:rPr>
          <w:rFonts w:ascii="Arial" w:hAnsi="Arial" w:cs="Arial"/>
        </w:rPr>
        <w:t>(PC 2024a, p. 79)</w:t>
      </w:r>
      <w:r>
        <w:t>.</w:t>
      </w:r>
    </w:p>
  </w:footnote>
  <w:footnote w:id="8">
    <w:p w14:paraId="3B90331A" w14:textId="76CE503F" w:rsidR="00250591" w:rsidRDefault="00250591">
      <w:pPr>
        <w:pStyle w:val="FootnoteText"/>
      </w:pPr>
      <w:r w:rsidRPr="003553DC">
        <w:rPr>
          <w:rStyle w:val="FootnoteReference"/>
        </w:rPr>
        <w:footnoteRef/>
      </w:r>
      <w:r>
        <w:t xml:space="preserve"> GDP </w:t>
      </w:r>
      <w:r w:rsidR="003E41A5">
        <w:t xml:space="preserve">measures </w:t>
      </w:r>
      <w:r>
        <w:t>production activity, calculated as the sum of the value added of domestic industries</w:t>
      </w:r>
      <w:r w:rsidR="003E41A5">
        <w:t xml:space="preserve"> plus other taxes on production</w:t>
      </w:r>
      <w:r>
        <w:t xml:space="preserve">. GNP </w:t>
      </w:r>
      <w:r w:rsidR="003E41A5">
        <w:t xml:space="preserve">measures the income that a country earns. It accounts </w:t>
      </w:r>
      <w:r>
        <w:t>for all income that accrues to the economy, including net income transfers from abroad such as to owners of capital.</w:t>
      </w:r>
    </w:p>
  </w:footnote>
  <w:footnote w:id="9">
    <w:p w14:paraId="3C9D17F5" w14:textId="77777777" w:rsidR="003D168C" w:rsidRDefault="003D168C" w:rsidP="003D168C">
      <w:pPr>
        <w:pStyle w:val="FootnoteText"/>
      </w:pPr>
      <w:r>
        <w:rPr>
          <w:rStyle w:val="FootnoteReference"/>
        </w:rPr>
        <w:footnoteRef/>
      </w:r>
      <w:r>
        <w:t xml:space="preserve"> PC Global contains more products than some international models (such as G-Cubed). This additional product detail means that production and trade in PC Global are more differentiated, and less standardised, than in other models. Nonetheless, the aggregated nature of the 65 products in PC Global means that some products may be more substitutable for the same product produced by other countries in the model than would actually be the case. For example, the types and mix of metal ores that make up the composite product ‘non-ferrous metal ores’ in the model database may differ materially across countries. The consequence is that non-ferrous metal ores from a country such as Australia may not be particularly substitutable for those from, say, Canada. The substitution parameters in the model database control for such differences, but only to a limited extent.</w:t>
      </w:r>
    </w:p>
  </w:footnote>
  <w:footnote w:id="10">
    <w:p w14:paraId="3506FD71" w14:textId="06592924" w:rsidR="00250591" w:rsidRDefault="00250591">
      <w:pPr>
        <w:pStyle w:val="FootnoteText"/>
      </w:pPr>
      <w:r w:rsidRPr="003553DC">
        <w:rPr>
          <w:rStyle w:val="FootnoteReference"/>
        </w:rPr>
        <w:footnoteRef/>
      </w:r>
      <w:r>
        <w:t xml:space="preserve"> </w:t>
      </w:r>
      <w:r w:rsidRPr="00C21A75">
        <w:t xml:space="preserve">Economic uncertainty </w:t>
      </w:r>
      <w:r>
        <w:t xml:space="preserve">can be </w:t>
      </w:r>
      <w:r w:rsidRPr="00C21A75">
        <w:t>measured through specially constructed indices, which reflect the frequency of terms relating to the economy, trade or uncertainty in settings like domestic newspapers and earnings calls for public</w:t>
      </w:r>
      <w:r w:rsidR="007F5968">
        <w:t>ly</w:t>
      </w:r>
      <w:r w:rsidRPr="00C21A75">
        <w:t xml:space="preserve"> listed companies</w:t>
      </w:r>
      <w:r>
        <w:t xml:space="preserve"> </w:t>
      </w:r>
      <w:r w:rsidRPr="00172EE7">
        <w:rPr>
          <w:rFonts w:ascii="Arial" w:hAnsi="Arial" w:cs="Arial"/>
        </w:rPr>
        <w:t>(Baker et al. 2016; Caldara et al. 2020)</w:t>
      </w:r>
      <w:r w:rsidRPr="00C21A75">
        <w:t xml:space="preserve">. Global uncertainty indices have also been constructed by applying similar text analysis or by aggregating national indices </w:t>
      </w:r>
      <w:r w:rsidR="00CC12E9" w:rsidRPr="00CC12E9">
        <w:rPr>
          <w:rFonts w:ascii="Arial" w:hAnsi="Arial" w:cs="Arial"/>
        </w:rPr>
        <w:t>(Ahir et al. 2022; Davis 2016)</w:t>
      </w:r>
      <w:r w:rsidRPr="00C21A75">
        <w:t>. Rising indices indicate more frequent mentions of uncertainty and its related topics throughout the global and Australian economies.</w:t>
      </w:r>
    </w:p>
  </w:footnote>
  <w:footnote w:id="11">
    <w:p w14:paraId="6A4FC683" w14:textId="77777777" w:rsidR="00075B46" w:rsidRDefault="00075B46" w:rsidP="00075B46">
      <w:pPr>
        <w:pStyle w:val="FootnoteText"/>
      </w:pPr>
      <w:r w:rsidRPr="00D23D7D">
        <w:rPr>
          <w:rStyle w:val="FootnoteReference"/>
        </w:rPr>
        <w:footnoteRef/>
      </w:r>
      <w:r w:rsidRPr="00C21A75">
        <w:t xml:space="preserve"> </w:t>
      </w:r>
      <w:r>
        <w:t>Irreversible decisions are sensitive to ‘downside’ uncertainty – the potential for regret over sunk costs and worse outcomes than agents would have accepted under perfect information</w:t>
      </w:r>
      <w:r w:rsidRPr="00C21A75">
        <w:t xml:space="preserve"> </w:t>
      </w:r>
      <w:r w:rsidRPr="00F030C4">
        <w:rPr>
          <w:rFonts w:ascii="Arial" w:hAnsi="Arial" w:cs="Arial"/>
        </w:rPr>
        <w:t>(</w:t>
      </w:r>
      <w:r w:rsidRPr="00F80287">
        <w:t>Bernanke</w:t>
      </w:r>
      <w:r w:rsidRPr="00F030C4">
        <w:rPr>
          <w:rFonts w:ascii="Arial" w:hAnsi="Arial" w:cs="Arial"/>
        </w:rPr>
        <w:t> 1983, pp. 91–92)</w:t>
      </w:r>
      <w:r>
        <w:t xml:space="preserve">. </w:t>
      </w:r>
      <w:r w:rsidRPr="00C21A75">
        <w:t xml:space="preserve">This is the </w:t>
      </w:r>
      <w:r>
        <w:t>‘</w:t>
      </w:r>
      <w:r w:rsidRPr="00C21A75">
        <w:t>Bad News Principle of Irreversible Investments</w:t>
      </w:r>
      <w:r>
        <w:t>’</w:t>
      </w:r>
      <w:r w:rsidRPr="00C21A75">
        <w:t xml:space="preserve">: that of the possible future outcomes of </w:t>
      </w:r>
      <w:r>
        <w:t>a particular investment</w:t>
      </w:r>
      <w:r w:rsidRPr="00C21A75">
        <w:t xml:space="preserve">, only the unfavourable </w:t>
      </w:r>
      <w:r>
        <w:t>outcomes</w:t>
      </w:r>
      <w:r w:rsidRPr="00C21A75">
        <w:t xml:space="preserve"> affect the current propensity of undertaking </w:t>
      </w:r>
      <w:r>
        <w:t>the investment</w:t>
      </w:r>
      <w:r w:rsidRPr="00C21A75">
        <w:t xml:space="preserve">. </w:t>
      </w:r>
    </w:p>
  </w:footnote>
  <w:footnote w:id="12">
    <w:p w14:paraId="716985D4" w14:textId="0AE3C843" w:rsidR="00013727" w:rsidRDefault="00013727" w:rsidP="00013727">
      <w:pPr>
        <w:pStyle w:val="FootnoteText"/>
      </w:pPr>
      <w:r w:rsidRPr="00D23D7D">
        <w:rPr>
          <w:rStyle w:val="FootnoteReference"/>
        </w:rPr>
        <w:footnoteRef/>
      </w:r>
      <w:r>
        <w:t xml:space="preserve"> Handley and Limao </w:t>
      </w:r>
      <w:r w:rsidRPr="00E4115C">
        <w:rPr>
          <w:rFonts w:ascii="Arial" w:hAnsi="Arial" w:cs="Arial"/>
        </w:rPr>
        <w:t>(2015)</w:t>
      </w:r>
      <w:r>
        <w:t xml:space="preserve"> model TPU as part of a stochastic process for tariff policies, which affects heterogenous firms’ future profit flows and export market entry decisions. They model tariffs as a Poisson point process, where trade policy shocks occur at a rate of </w:t>
      </w:r>
      <m:oMath>
        <m:r>
          <w:rPr>
            <w:rFonts w:ascii="Cambria Math" w:hAnsi="Cambria Math"/>
          </w:rPr>
          <m:t>γ</m:t>
        </m:r>
      </m:oMath>
      <w:r>
        <w:rPr>
          <w:rFonts w:eastAsiaTheme="minorEastAsia"/>
        </w:rPr>
        <w:t xml:space="preserve"> and result in a tariff, </w:t>
      </w:r>
      <m:oMath>
        <m:r>
          <w:rPr>
            <w:rFonts w:ascii="Cambria Math" w:eastAsiaTheme="minorEastAsia" w:hAnsi="Cambria Math"/>
          </w:rPr>
          <m:t>τ∈</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τ</m:t>
                </m:r>
              </m:e>
              <m:sup>
                <m:r>
                  <w:rPr>
                    <w:rFonts w:ascii="Cambria Math" w:eastAsiaTheme="minorEastAsia" w:hAnsi="Cambria Math"/>
                  </w:rPr>
                  <m:t>H</m:t>
                </m:r>
              </m:sup>
            </m:sSup>
          </m:e>
        </m:d>
      </m:oMath>
      <w:r>
        <w:rPr>
          <w:rFonts w:eastAsiaTheme="minorEastAsia"/>
        </w:rPr>
        <w:t xml:space="preserve">, drawn from a probability distribution of tariff outcomes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τ</m:t>
            </m:r>
          </m:e>
        </m:d>
        <m:r>
          <w:rPr>
            <w:rFonts w:ascii="Cambria Math" w:eastAsiaTheme="minorEastAsia" w:hAnsi="Cambria Math"/>
          </w:rPr>
          <m:t>.</m:t>
        </m:r>
      </m:oMath>
      <w:r>
        <w:rPr>
          <w:rFonts w:eastAsiaTheme="minorEastAsia"/>
        </w:rPr>
        <w:t xml:space="preserve"> A rise in TPU can be modelled as an increase in the arrival rate </w:t>
      </w:r>
      <m:oMath>
        <m:r>
          <w:rPr>
            <w:rFonts w:ascii="Cambria Math" w:eastAsiaTheme="minorEastAsia" w:hAnsi="Cambria Math"/>
          </w:rPr>
          <m:t>γ</m:t>
        </m:r>
      </m:oMath>
      <w:r>
        <w:rPr>
          <w:rFonts w:eastAsiaTheme="minorEastAsia"/>
        </w:rPr>
        <w:t xml:space="preserve"> or as a change in the distribution of possible outcomes </w:t>
      </w:r>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τ</m:t>
            </m:r>
          </m:e>
        </m:d>
      </m:oMath>
      <w:r>
        <w:rPr>
          <w:rFonts w:eastAsiaTheme="minorEastAsia"/>
        </w:rPr>
        <w:t>, depending on the context.</w:t>
      </w:r>
    </w:p>
  </w:footnote>
  <w:footnote w:id="13">
    <w:p w14:paraId="783FF8FE" w14:textId="395E06E6" w:rsidR="00013727" w:rsidRPr="00300B44" w:rsidRDefault="00013727" w:rsidP="00013727">
      <w:pPr>
        <w:pStyle w:val="FootnoteText"/>
        <w:rPr>
          <w:lang w:val="en-GB"/>
        </w:rPr>
      </w:pPr>
      <w:r w:rsidRPr="00D23D7D">
        <w:rPr>
          <w:rStyle w:val="FootnoteReference"/>
        </w:rPr>
        <w:footnoteRef/>
      </w:r>
      <w:r>
        <w:t xml:space="preserve"> </w:t>
      </w:r>
      <w:r>
        <w:rPr>
          <w:lang w:val="en-GB"/>
        </w:rPr>
        <w:t xml:space="preserve">Handley </w:t>
      </w:r>
      <w:r w:rsidR="00820F85" w:rsidRPr="00820F85">
        <w:rPr>
          <w:rFonts w:ascii="Arial" w:hAnsi="Arial" w:cs="Arial"/>
        </w:rPr>
        <w:t>(2014)</w:t>
      </w:r>
      <w:r>
        <w:rPr>
          <w:lang w:val="en-GB"/>
        </w:rPr>
        <w:t xml:space="preserve"> </w:t>
      </w:r>
      <w:r>
        <w:t xml:space="preserve">extends Handley and Limao’s </w:t>
      </w:r>
      <w:r w:rsidRPr="00BD4DF9">
        <w:rPr>
          <w:rFonts w:ascii="Arial" w:hAnsi="Arial" w:cs="Arial"/>
        </w:rPr>
        <w:t>(2012)</w:t>
      </w:r>
      <w:r>
        <w:t xml:space="preserve"> general equilibrium model to incorporate binding tariff rates. </w:t>
      </w:r>
      <w:r w:rsidR="00616C76">
        <w:t>Handley</w:t>
      </w:r>
      <w:r>
        <w:t xml:space="preserve"> uses a latent variable specification for a firm’s value of export market entry to estimate a structural probability model for observing imports of a particular product. </w:t>
      </w:r>
      <w:r w:rsidR="00616C76">
        <w:t>The</w:t>
      </w:r>
      <w:r>
        <w:t xml:space="preserve"> model is identified using time-product variation in Australia’s applied and binding tariff rates from 1991 to 2001.</w:t>
      </w:r>
    </w:p>
  </w:footnote>
  <w:footnote w:id="14">
    <w:p w14:paraId="49402687" w14:textId="0DE86A30" w:rsidR="00013727" w:rsidRDefault="00013727" w:rsidP="00013727">
      <w:pPr>
        <w:pStyle w:val="FootnoteText"/>
      </w:pPr>
      <w:r w:rsidRPr="00D23D7D">
        <w:rPr>
          <w:rStyle w:val="FootnoteReference"/>
        </w:rPr>
        <w:footnoteRef/>
      </w:r>
      <w:r>
        <w:t xml:space="preserve"> Prior to China’s accession to the WTO, the US granted China ‘Normal Trade Relations’ status (i.e. MFN) subject to annual reviews by congress. Handley and Limao </w:t>
      </w:r>
      <w:r w:rsidRPr="00BD4DF9">
        <w:rPr>
          <w:rFonts w:ascii="Arial" w:hAnsi="Arial" w:cs="Arial"/>
        </w:rPr>
        <w:t>(2017)</w:t>
      </w:r>
      <w:r>
        <w:t xml:space="preserve"> exploit variation in tariff risk across industries (</w:t>
      </w:r>
      <w:r w:rsidR="00616C76">
        <w:t>that is,</w:t>
      </w:r>
      <w:r>
        <w:t xml:space="preserve"> by how much tariffs would rise if Normal Trade Relations ceased) to estimate a TPU-augmented gravity equation.</w:t>
      </w:r>
    </w:p>
  </w:footnote>
  <w:footnote w:id="15">
    <w:p w14:paraId="3D12E56E" w14:textId="59A2F1FE" w:rsidR="00013727" w:rsidRPr="00C47B2B" w:rsidRDefault="00013727" w:rsidP="00013727">
      <w:pPr>
        <w:pStyle w:val="FootnoteText"/>
        <w:rPr>
          <w:lang w:val="en-GB"/>
        </w:rPr>
      </w:pPr>
      <w:r w:rsidRPr="00D23D7D">
        <w:rPr>
          <w:rStyle w:val="FootnoteReference"/>
        </w:rPr>
        <w:footnoteRef/>
      </w:r>
      <w:r>
        <w:t xml:space="preserve"> </w:t>
      </w:r>
      <w:r>
        <w:rPr>
          <w:lang w:val="en-GB"/>
        </w:rPr>
        <w:t xml:space="preserve">Benguria et al. </w:t>
      </w:r>
      <w:r w:rsidRPr="004A1C91">
        <w:t>(2022)</w:t>
      </w:r>
      <w:r>
        <w:rPr>
          <w:lang w:val="en-GB"/>
        </w:rPr>
        <w:t xml:space="preserve"> </w:t>
      </w:r>
      <w:r>
        <w:t>constructed firm</w:t>
      </w:r>
      <w:r>
        <w:noBreakHyphen/>
        <w:t>specific measures of TPU using Chinese firms’ annual company reports and link these to firm</w:t>
      </w:r>
      <w:r>
        <w:noBreakHyphen/>
        <w:t>level customs data in a series of first-differences regressions.</w:t>
      </w:r>
    </w:p>
  </w:footnote>
  <w:footnote w:id="16">
    <w:p w14:paraId="6E0AB764" w14:textId="3FAECAE2" w:rsidR="00755E70" w:rsidRPr="00A35036" w:rsidRDefault="00755E70" w:rsidP="00755E70">
      <w:pPr>
        <w:pStyle w:val="FootnoteText"/>
        <w:rPr>
          <w:lang w:val="en-US"/>
        </w:rPr>
      </w:pPr>
      <w:r>
        <w:rPr>
          <w:rStyle w:val="FootnoteReference"/>
        </w:rPr>
        <w:footnoteRef/>
      </w:r>
      <w:r>
        <w:t xml:space="preserve"> </w:t>
      </w:r>
      <w:r>
        <w:rPr>
          <w:lang w:val="en-US"/>
        </w:rPr>
        <w:t>As at 1</w:t>
      </w:r>
      <w:r w:rsidR="00176855">
        <w:rPr>
          <w:lang w:val="en-US"/>
        </w:rPr>
        <w:t>9</w:t>
      </w:r>
      <w:r>
        <w:rPr>
          <w:lang w:val="en-US"/>
        </w:rPr>
        <w:t xml:space="preserve"> June 2025.</w:t>
      </w:r>
    </w:p>
  </w:footnote>
  <w:footnote w:id="17">
    <w:p w14:paraId="4F13E223" w14:textId="00A9BB71" w:rsidR="00A972CD" w:rsidRDefault="00A972CD" w:rsidP="00A972CD">
      <w:pPr>
        <w:pStyle w:val="FootnoteText"/>
      </w:pPr>
      <w:r w:rsidRPr="00D23D7D">
        <w:rPr>
          <w:rStyle w:val="FootnoteReference"/>
        </w:rPr>
        <w:footnoteRef/>
      </w:r>
      <w:r w:rsidR="001124E7">
        <w:t xml:space="preserve"> All</w:t>
      </w:r>
      <w:r w:rsidR="001124E7" w:rsidRPr="00AE5EDA">
        <w:t xml:space="preserve"> goods imported into Australia </w:t>
      </w:r>
      <w:r w:rsidR="001124E7">
        <w:t xml:space="preserve">under a full customs declaration </w:t>
      </w:r>
      <w:r w:rsidR="001124E7" w:rsidRPr="00AE5EDA">
        <w:t>are classified using a ten-digit Harmonized Tariff Item Statistical Code (HTISC). The first six digits come from the international</w:t>
      </w:r>
      <w:r w:rsidR="001124E7">
        <w:t>ly standardised</w:t>
      </w:r>
      <w:r w:rsidR="001124E7" w:rsidRPr="00AE5EDA">
        <w:t xml:space="preserve"> Harmonised System (HS). The Department of Home Affairs adds the seventh and eighth digits for duty rates</w:t>
      </w:r>
      <w:r w:rsidR="001124E7">
        <w:t xml:space="preserve"> (Customs Tariff code)</w:t>
      </w:r>
      <w:r w:rsidR="001124E7" w:rsidRPr="00AE5EDA">
        <w:t>, and the Australian Bureau of Statistics (ABS) adds the ninth and tenth digits for statistical purposes</w:t>
      </w:r>
      <w:r w:rsidR="001124E7">
        <w:t xml:space="preserve"> </w:t>
      </w:r>
      <w:r w:rsidR="001124E7" w:rsidRPr="009A3414">
        <w:rPr>
          <w:rFonts w:ascii="Arial" w:hAnsi="Arial" w:cs="Arial"/>
        </w:rPr>
        <w:t>(ABS 2018)</w:t>
      </w:r>
      <w:r w:rsidR="001124E7" w:rsidRPr="00AE5EDA">
        <w:t>.</w:t>
      </w:r>
    </w:p>
  </w:footnote>
  <w:footnote w:id="18">
    <w:p w14:paraId="73CE2FD8" w14:textId="1372A052" w:rsidR="00A82BCC" w:rsidRDefault="00A82BCC" w:rsidP="00A82BCC">
      <w:pPr>
        <w:pStyle w:val="FootnoteText"/>
      </w:pPr>
      <w:r>
        <w:rPr>
          <w:rStyle w:val="FootnoteReference"/>
        </w:rPr>
        <w:footnoteRef/>
      </w:r>
      <w:r>
        <w:t xml:space="preserve"> Using the lower bound average incurred compliance costs as a share of import value from the PC model as a rough estimate (1% of import value under PTA). </w:t>
      </w:r>
      <w:r w:rsidR="00E15655">
        <w:t xml:space="preserve">Products with high compliance costs will be those with high PTA use relative to imports under normal duties. </w:t>
      </w:r>
      <w:r w:rsidR="00B62530">
        <w:t xml:space="preserve">This means they are ‘friction points’ in the trading system </w:t>
      </w:r>
      <w:r w:rsidR="001F6672">
        <w:t>to consider for removal.</w:t>
      </w:r>
    </w:p>
  </w:footnote>
  <w:footnote w:id="19">
    <w:p w14:paraId="55682441" w14:textId="58232DE8" w:rsidR="0053002A" w:rsidRDefault="0053002A" w:rsidP="00FD3AD3">
      <w:pPr>
        <w:pStyle w:val="FootnoteText"/>
        <w:spacing w:before="0" w:line="200" w:lineRule="exact"/>
      </w:pPr>
      <w:r w:rsidRPr="00D23D7D">
        <w:rPr>
          <w:rStyle w:val="FootnoteReference"/>
        </w:rPr>
        <w:footnoteRef/>
      </w:r>
      <w:r w:rsidR="006A640A">
        <w:t xml:space="preserve"> </w:t>
      </w:r>
      <w:r>
        <w:t xml:space="preserve">This represents a 10-digit HTISC code, the first 8-digits represent the customs tariff code while the last two specify the item. See ABF </w:t>
      </w:r>
      <w:r w:rsidRPr="00C53AB9">
        <w:rPr>
          <w:rFonts w:ascii="Arial" w:hAnsi="Arial" w:cs="Arial"/>
        </w:rPr>
        <w:t>(2024)</w:t>
      </w:r>
      <w:r>
        <w:t xml:space="preserve"> for a full list.</w:t>
      </w:r>
    </w:p>
  </w:footnote>
  <w:footnote w:id="20">
    <w:p w14:paraId="3D921917" w14:textId="55FA999D" w:rsidR="00DC1AC9" w:rsidRDefault="00DC1AC9" w:rsidP="007472DD">
      <w:pPr>
        <w:pStyle w:val="FootnoteText"/>
        <w:spacing w:line="200" w:lineRule="exact"/>
      </w:pPr>
      <w:r>
        <w:rPr>
          <w:rStyle w:val="FootnoteReference"/>
        </w:rPr>
        <w:footnoteRef/>
      </w:r>
      <w:r>
        <w:t xml:space="preserve"> </w:t>
      </w:r>
      <w:r w:rsidR="00367B2B">
        <w:t xml:space="preserve">Note that </w:t>
      </w:r>
      <w:r w:rsidR="00035504">
        <w:t>compliance costs stem from two sources</w:t>
      </w:r>
      <w:r w:rsidR="006A3B44">
        <w:t>:</w:t>
      </w:r>
      <w:r w:rsidR="00035504">
        <w:t xml:space="preserve"> </w:t>
      </w:r>
      <w:r w:rsidR="00D26D8E">
        <w:t>paperwork</w:t>
      </w:r>
      <w:r w:rsidR="00035504">
        <w:t xml:space="preserve"> and adapted production to meet rules of origin</w:t>
      </w:r>
      <w:r w:rsidR="002B67A7">
        <w:t xml:space="preserve">. Removing a </w:t>
      </w:r>
      <w:r w:rsidR="00367B2B">
        <w:t>tariff always</w:t>
      </w:r>
      <w:r w:rsidR="00D41794">
        <w:t xml:space="preserve"> eliminate</w:t>
      </w:r>
      <w:r w:rsidR="00367B2B">
        <w:t>s</w:t>
      </w:r>
      <w:r w:rsidR="00D41794">
        <w:t xml:space="preserve"> the direct administrative costs but not always the indirect production costs. </w:t>
      </w:r>
      <w:r w:rsidR="00FF6339">
        <w:t xml:space="preserve">This may </w:t>
      </w:r>
      <w:r w:rsidR="00D534C5">
        <w:t xml:space="preserve">be </w:t>
      </w:r>
      <w:r w:rsidR="00FF6339" w:rsidRPr="001517D7">
        <w:t xml:space="preserve">especially true for </w:t>
      </w:r>
      <w:r w:rsidR="00D534C5" w:rsidRPr="001517D7">
        <w:t xml:space="preserve">complex products like </w:t>
      </w:r>
      <w:r w:rsidR="00FF6339" w:rsidRPr="001517D7">
        <w:t>vehicles which are</w:t>
      </w:r>
      <w:r w:rsidR="009718E7" w:rsidRPr="001517D7">
        <w:t xml:space="preserve"> mostly</w:t>
      </w:r>
      <w:r w:rsidR="00FF6339" w:rsidRPr="001517D7">
        <w:t xml:space="preserve"> manufactured</w:t>
      </w:r>
      <w:r w:rsidR="00D534C5" w:rsidRPr="001517D7">
        <w:t xml:space="preserve"> by large</w:t>
      </w:r>
      <w:r w:rsidR="00FF6339" w:rsidRPr="001517D7">
        <w:t xml:space="preserve"> </w:t>
      </w:r>
      <w:r w:rsidR="00805BAA" w:rsidRPr="001517D7">
        <w:t xml:space="preserve">multinational </w:t>
      </w:r>
      <w:r w:rsidR="00746980" w:rsidRPr="001517D7">
        <w:t xml:space="preserve">corporations </w:t>
      </w:r>
      <w:r w:rsidR="00805BAA" w:rsidRPr="001517D7">
        <w:t>with complex supply chains</w:t>
      </w:r>
      <w:r w:rsidR="00190CFD" w:rsidRPr="001517D7">
        <w:t xml:space="preserve"> which could </w:t>
      </w:r>
      <w:r w:rsidR="00805BAA" w:rsidRPr="001517D7">
        <w:t>‘bake</w:t>
      </w:r>
      <w:r w:rsidR="00190CFD" w:rsidRPr="001517D7">
        <w:t xml:space="preserve"> </w:t>
      </w:r>
      <w:r w:rsidR="00805BAA" w:rsidRPr="001517D7">
        <w:t xml:space="preserve">in’ </w:t>
      </w:r>
      <w:r w:rsidR="00190CFD">
        <w:t xml:space="preserve">processes to meet many </w:t>
      </w:r>
      <w:r w:rsidR="00064FCD">
        <w:t>types of rules of origin</w:t>
      </w:r>
      <w:r w:rsidR="00367B2B">
        <w:t>.</w:t>
      </w:r>
      <w:r w:rsidR="00621855">
        <w:t xml:space="preserve"> </w:t>
      </w:r>
      <w:r w:rsidR="00A45839">
        <w:t xml:space="preserve">But tariff elimination would give importers greater choice if they </w:t>
      </w:r>
      <w:r w:rsidR="00C367BE">
        <w:t>are</w:t>
      </w:r>
      <w:r w:rsidR="00A45839">
        <w:t xml:space="preserve"> products which do not meet the rules of origin.</w:t>
      </w:r>
    </w:p>
  </w:footnote>
  <w:footnote w:id="21">
    <w:p w14:paraId="1743AAC8" w14:textId="5D997D25" w:rsidR="0053002A" w:rsidRPr="001517D7" w:rsidRDefault="0053002A" w:rsidP="001517D7">
      <w:pPr>
        <w:pStyle w:val="FootnoteText"/>
      </w:pPr>
      <w:r w:rsidRPr="00FD5EF0">
        <w:rPr>
          <w:rStyle w:val="FootnoteReference"/>
          <w:szCs w:val="22"/>
        </w:rPr>
        <w:footnoteRef/>
      </w:r>
      <w:r w:rsidRPr="00FD5EF0">
        <w:t xml:space="preserve"> </w:t>
      </w:r>
      <w:r w:rsidRPr="001517D7">
        <w:t>Removal of these tariffs could result in Australia importing from other countries out of Australia’s current PTA system. Given the low rate of tariffs and high coverage of trade agreements this would likely only be true for products with a highly elastic import demand. This might hold especially true for expensive products</w:t>
      </w:r>
      <w:r w:rsidR="005A2657" w:rsidRPr="001517D7">
        <w:t>.</w:t>
      </w:r>
    </w:p>
  </w:footnote>
  <w:footnote w:id="22">
    <w:p w14:paraId="19FB73FB" w14:textId="68B0FD4E" w:rsidR="0053002A" w:rsidRPr="001517D7" w:rsidRDefault="0053002A" w:rsidP="001517D7">
      <w:pPr>
        <w:pStyle w:val="FootnoteText"/>
      </w:pPr>
      <w:r w:rsidRPr="001517D7">
        <w:rPr>
          <w:rStyle w:val="FootnoteReference"/>
        </w:rPr>
        <w:footnoteRef/>
      </w:r>
      <w:r w:rsidRPr="001517D7">
        <w:t xml:space="preserve"> While some argue such tariffs could still provide negotiating leverage, their low rates, high </w:t>
      </w:r>
      <w:r w:rsidR="0087189C" w:rsidRPr="001517D7">
        <w:t>compliance</w:t>
      </w:r>
      <w:r w:rsidRPr="001517D7">
        <w:t xml:space="preserve"> costs and the fact that most Australian trade is already covered by PTAs </w:t>
      </w:r>
      <w:r w:rsidR="0087189C" w:rsidRPr="001517D7">
        <w:t>could</w:t>
      </w:r>
      <w:r w:rsidRPr="001517D7">
        <w:t xml:space="preserve"> negate much of this potential benefit.</w:t>
      </w:r>
    </w:p>
  </w:footnote>
  <w:footnote w:id="23">
    <w:p w14:paraId="1D388151" w14:textId="77777777" w:rsidR="00A11AE1" w:rsidRDefault="00A11AE1" w:rsidP="00A11AE1">
      <w:pPr>
        <w:pStyle w:val="FootnoteText"/>
      </w:pPr>
      <w:r>
        <w:rPr>
          <w:rStyle w:val="FootnoteReference"/>
        </w:rPr>
        <w:footnoteRef/>
      </w:r>
      <w:r>
        <w:t xml:space="preserve"> The </w:t>
      </w:r>
      <w:r w:rsidRPr="00435661">
        <w:t>OECD (2023)</w:t>
      </w:r>
      <w:r>
        <w:t xml:space="preserve"> also </w:t>
      </w:r>
      <w:r w:rsidRPr="00435661">
        <w:t xml:space="preserve">found that green </w:t>
      </w:r>
      <w:r>
        <w:t>industry</w:t>
      </w:r>
      <w:r w:rsidRPr="00435661">
        <w:t xml:space="preserve"> policy spending announced during the pandemic across Australia was equivalent to 1.5% of GDP</w:t>
      </w:r>
      <w:r>
        <w:t xml:space="preserve"> (including state and territory measures)</w:t>
      </w:r>
      <w:r w:rsidRPr="00435661">
        <w:t>. However, this was before FMIA was announced.</w:t>
      </w:r>
    </w:p>
  </w:footnote>
  <w:footnote w:id="24">
    <w:p w14:paraId="52A4ECBA" w14:textId="77777777" w:rsidR="00877164" w:rsidRPr="001704C2" w:rsidRDefault="00877164" w:rsidP="001704C2">
      <w:pPr>
        <w:pStyle w:val="FootnoteText"/>
        <w:rPr>
          <w:rStyle w:val="FootnoteTextChar"/>
        </w:rPr>
      </w:pPr>
      <w:r w:rsidRPr="001704C2">
        <w:rPr>
          <w:rStyle w:val="FootnoteReference"/>
        </w:rPr>
        <w:footnoteRef/>
      </w:r>
      <w:r>
        <w:t xml:space="preserve"> </w:t>
      </w:r>
      <w:r w:rsidRPr="001704C2">
        <w:rPr>
          <w:rStyle w:val="FootnoteTextChar"/>
        </w:rPr>
        <w:t>In the PC’s submission to the Senate inquiry on the Future Made in Australia Bill 2024 (Cth), the PC recommended that sector assessments should be mandatory to better understand the economic effects of industry policy and ensure that spending is aligned with Australia's industrial and strategic objectives.</w:t>
      </w:r>
    </w:p>
  </w:footnote>
  <w:footnote w:id="25">
    <w:p w14:paraId="7BA46328" w14:textId="74E86CAA" w:rsidR="00503B34" w:rsidRPr="00320741" w:rsidRDefault="00503B34">
      <w:pPr>
        <w:pStyle w:val="FootnoteText"/>
        <w:rPr>
          <w:szCs w:val="18"/>
        </w:rPr>
      </w:pPr>
      <w:r>
        <w:rPr>
          <w:rStyle w:val="FootnoteReference"/>
        </w:rPr>
        <w:footnoteRef/>
      </w:r>
      <w:r>
        <w:t xml:space="preserve"> Official sources include the ‘Future Made in Australia’ websites list of measures and the Budget paper </w:t>
      </w:r>
      <w:r w:rsidR="00A25D9F">
        <w:t>announcements</w:t>
      </w:r>
      <w:r>
        <w:t xml:space="preserve"> explicitly labelled as Future Made in </w:t>
      </w:r>
      <w:r w:rsidRPr="00320741">
        <w:rPr>
          <w:szCs w:val="18"/>
        </w:rPr>
        <w:t xml:space="preserve">Australia </w:t>
      </w:r>
      <w:r w:rsidRPr="005C00D1">
        <w:rPr>
          <w:rFonts w:ascii="Arial" w:hAnsi="Arial" w:cs="Arial"/>
        </w:rPr>
        <w:t>(Australian Government 2025b; The Commonwealth of Australia 2024b)</w:t>
      </w:r>
      <w:r w:rsidR="00FE58E9">
        <w:rPr>
          <w:rFonts w:ascii="Arial" w:hAnsi="Arial" w:cs="Arial"/>
        </w:rPr>
        <w:t>.</w:t>
      </w:r>
    </w:p>
  </w:footnote>
  <w:footnote w:id="26">
    <w:p w14:paraId="0AB6E0C9" w14:textId="77777777" w:rsidR="00D7305F" w:rsidRDefault="00D7305F" w:rsidP="00D7305F">
      <w:pPr>
        <w:pStyle w:val="FootnoteText"/>
      </w:pPr>
      <w:r w:rsidRPr="00D23D7D">
        <w:rPr>
          <w:rStyle w:val="FootnoteReference"/>
        </w:rPr>
        <w:footnoteRef/>
      </w:r>
      <w:r>
        <w:t xml:space="preserve"> Budgetary assistance estimates from the TAR prior to 1996-97 are not directly comparable. </w:t>
      </w:r>
    </w:p>
  </w:footnote>
  <w:footnote w:id="27">
    <w:p w14:paraId="630675D7" w14:textId="2CA58CF8" w:rsidR="00D7305F" w:rsidRDefault="00D7305F" w:rsidP="00D7305F">
      <w:pPr>
        <w:pStyle w:val="FootnoteText"/>
      </w:pPr>
      <w:r w:rsidRPr="00D23D7D">
        <w:rPr>
          <w:rStyle w:val="FootnoteReference"/>
        </w:rPr>
        <w:footnoteRef/>
      </w:r>
      <w:r>
        <w:t xml:space="preserve"> T</w:t>
      </w:r>
      <w:r w:rsidRPr="00581EA6">
        <w:t>he location offset rebate increased from 16.5% to 30%, and the producer offset now allows drama series that meet a spending per season threshold to qualify for the rebate even if they do not meet the pre-existing spending per hour threshold</w:t>
      </w:r>
      <w:r>
        <w:t xml:space="preserve"> </w:t>
      </w:r>
      <w:r w:rsidRPr="00194D1A">
        <w:rPr>
          <w:rFonts w:ascii="Arial" w:hAnsi="Arial" w:cs="Arial"/>
        </w:rPr>
        <w:t>(Burke 2024)</w:t>
      </w:r>
      <w:r w:rsidRPr="00581EA6">
        <w:t xml:space="preserve">. </w:t>
      </w:r>
    </w:p>
  </w:footnote>
  <w:footnote w:id="28">
    <w:p w14:paraId="09E3A1C9" w14:textId="58B6AE6B" w:rsidR="00D7305F" w:rsidRDefault="00D7305F" w:rsidP="00D7305F">
      <w:pPr>
        <w:pStyle w:val="FootnoteText"/>
      </w:pPr>
      <w:r w:rsidRPr="00D23D7D">
        <w:rPr>
          <w:rStyle w:val="FootnoteReference"/>
        </w:rPr>
        <w:footnoteRef/>
      </w:r>
      <w:r>
        <w:t xml:space="preserve"> Non-market services refers to services where </w:t>
      </w:r>
      <w:r w:rsidR="00FA5E53">
        <w:t>g</w:t>
      </w:r>
      <w:r>
        <w:t>overnment provision is the primary driver of activity</w:t>
      </w:r>
      <w:r w:rsidR="00FA5E53">
        <w:t>, for example</w:t>
      </w:r>
      <w:r>
        <w:t xml:space="preserve"> education and training, healthcare and social assistance and public administration</w:t>
      </w:r>
      <w:r w:rsidR="004326EE">
        <w:t xml:space="preserve"> services</w:t>
      </w:r>
      <w:r>
        <w:t>. Government provision of services is excluded from budgetary assistance estimates in the TAR.</w:t>
      </w:r>
      <w:r w:rsidRPr="00E51F73">
        <w:t xml:space="preserve"> </w:t>
      </w:r>
      <w:r>
        <w:t>For example, funding for schools, universities, government agencies and hospitals is out of the TAR</w:t>
      </w:r>
      <w:r w:rsidR="00D11831">
        <w:t>’</w:t>
      </w:r>
      <w:r>
        <w:t>s scope as they support a broader public purpose and are involved in non-market service delivery.</w:t>
      </w:r>
    </w:p>
  </w:footnote>
  <w:footnote w:id="29">
    <w:p w14:paraId="7CC245FA" w14:textId="77777777" w:rsidR="00D7305F" w:rsidRDefault="00D7305F" w:rsidP="00D7305F">
      <w:pPr>
        <w:pStyle w:val="FootnoteText"/>
      </w:pPr>
      <w:r w:rsidRPr="00D23D7D">
        <w:rPr>
          <w:rStyle w:val="FootnoteReference"/>
        </w:rPr>
        <w:footnoteRef/>
      </w:r>
      <w:r>
        <w:t xml:space="preserve"> See previous footnote or the TAR methodological annex for further information. </w:t>
      </w:r>
    </w:p>
  </w:footnote>
  <w:footnote w:id="30">
    <w:p w14:paraId="44037D3C" w14:textId="76840677" w:rsidR="00D7305F" w:rsidRPr="0069102C" w:rsidRDefault="00D7305F" w:rsidP="00D7305F">
      <w:pPr>
        <w:pStyle w:val="Source"/>
        <w:spacing w:before="0" w:after="0"/>
      </w:pPr>
      <w:r w:rsidRPr="00D23D7D">
        <w:rPr>
          <w:rStyle w:val="FootnoteReference"/>
        </w:rPr>
        <w:footnoteRef/>
      </w:r>
      <w:r>
        <w:t xml:space="preserve"> The extent to which HA loans act as industry assistance is unclear because community housing providers often partner with private developers. Loan</w:t>
      </w:r>
      <w:r w:rsidR="00696FB6">
        <w:t>-</w:t>
      </w:r>
      <w:r>
        <w:t>by</w:t>
      </w:r>
      <w:r w:rsidR="00696FB6">
        <w:t>-</w:t>
      </w:r>
      <w:r>
        <w:t>loan data would be needed for a more thorough assessment. In the absence of this these loans are included in the TAR for transparency.</w:t>
      </w:r>
    </w:p>
  </w:footnote>
  <w:footnote w:id="31">
    <w:p w14:paraId="3B375CDC" w14:textId="57847E5A" w:rsidR="00A972CD" w:rsidRDefault="00A972CD">
      <w:pPr>
        <w:pStyle w:val="FootnoteText"/>
      </w:pPr>
      <w:r w:rsidRPr="00D23D7D">
        <w:rPr>
          <w:rStyle w:val="FootnoteReference"/>
        </w:rPr>
        <w:footnoteRef/>
      </w:r>
      <w:r>
        <w:t xml:space="preserve"> Prior to this Act</w:t>
      </w:r>
      <w:r w:rsidR="00E12E46">
        <w:t>,</w:t>
      </w:r>
      <w:r>
        <w:t xml:space="preserve"> </w:t>
      </w:r>
      <w:r w:rsidRPr="0081594F">
        <w:t xml:space="preserve">foreign investment flows were largely regulated through the foreign exchange control mechanism, with the Australian Government directly intervening on proposals on an ad hoc basis </w:t>
      </w:r>
      <w:r w:rsidRPr="0028338B">
        <w:rPr>
          <w:rFonts w:ascii="Arial" w:hAnsi="Arial" w:cs="Arial"/>
        </w:rPr>
        <w:t>(Treasury 1999, p. 64)</w:t>
      </w:r>
      <w:r>
        <w:t>.</w:t>
      </w:r>
    </w:p>
  </w:footnote>
  <w:footnote w:id="32">
    <w:p w14:paraId="55F23059" w14:textId="0DB97A71" w:rsidR="00016A41" w:rsidRPr="005C3F28" w:rsidRDefault="00016A41">
      <w:pPr>
        <w:pStyle w:val="FootnoteText"/>
        <w:rPr>
          <w:spacing w:val="-2"/>
        </w:rPr>
      </w:pPr>
      <w:r w:rsidRPr="005C3F28">
        <w:rPr>
          <w:rStyle w:val="FootnoteReference"/>
          <w:spacing w:val="-2"/>
        </w:rPr>
        <w:footnoteRef/>
      </w:r>
      <w:r w:rsidRPr="005C3F28">
        <w:rPr>
          <w:spacing w:val="-2"/>
        </w:rPr>
        <w:t xml:space="preserve"> Specialist Investment Vehicles include the National Reconstruction Fund Corporation, Clean Energy Finance Corporation, Export Finance Australia, the Future Fund and the Australian Renewable Energy Agency </w:t>
      </w:r>
      <w:r w:rsidR="0028392B" w:rsidRPr="005C3F28">
        <w:rPr>
          <w:rFonts w:cs="Arial"/>
          <w:spacing w:val="-2"/>
        </w:rPr>
        <w:t>(Treasury 2024d, p. 4)</w:t>
      </w:r>
      <w:r w:rsidRPr="005C3F28">
        <w:rPr>
          <w:spacing w:val="-2"/>
        </w:rPr>
        <w:t>.</w:t>
      </w:r>
    </w:p>
  </w:footnote>
  <w:footnote w:id="33">
    <w:p w14:paraId="64BB28A6" w14:textId="62679A59" w:rsidR="009F4181" w:rsidRDefault="009F4181" w:rsidP="009F4181">
      <w:pPr>
        <w:pStyle w:val="FootnoteText"/>
      </w:pPr>
      <w:r w:rsidRPr="00D23D7D">
        <w:rPr>
          <w:rStyle w:val="FootnoteReference"/>
        </w:rPr>
        <w:footnoteRef/>
      </w:r>
      <w:r>
        <w:t xml:space="preserve"> </w:t>
      </w:r>
      <w:r w:rsidRPr="009A251F">
        <w:t>Specifically,</w:t>
      </w:r>
      <w:r>
        <w:t xml:space="preserve"> the effect of the</w:t>
      </w:r>
      <w:r w:rsidRPr="009A251F">
        <w:t xml:space="preserve"> </w:t>
      </w:r>
      <w:r w:rsidRPr="009A251F">
        <w:rPr>
          <w:i/>
        </w:rPr>
        <w:t>Foreign Investment Reform (Protecting Australia’s National Security) Act 2020</w:t>
      </w:r>
      <w:r w:rsidRPr="009A251F">
        <w:t xml:space="preserve"> (Cth) which took effect on 1 January 2021</w:t>
      </w:r>
      <w:r>
        <w:t xml:space="preserve"> </w:t>
      </w:r>
      <w:r w:rsidRPr="00351761">
        <w:rPr>
          <w:rFonts w:ascii="Arial" w:hAnsi="Arial" w:cs="Arial"/>
        </w:rPr>
        <w:t>(The Parliament of The Commonwealth of Australia 2020, p. 3)</w:t>
      </w:r>
      <w:r w:rsidRPr="009A251F">
        <w:rPr>
          <w:i/>
          <w:iCs/>
        </w:rPr>
        <w:t>.</w:t>
      </w:r>
    </w:p>
  </w:footnote>
  <w:footnote w:id="34">
    <w:p w14:paraId="70E0F78C" w14:textId="096F1D59" w:rsidR="00A972CD" w:rsidRDefault="00A972CD">
      <w:pPr>
        <w:pStyle w:val="FootnoteText"/>
      </w:pPr>
      <w:r w:rsidRPr="00D23D7D">
        <w:rPr>
          <w:rStyle w:val="FootnoteReference"/>
        </w:rPr>
        <w:footnoteRef/>
      </w:r>
      <w:r w:rsidR="00016A41">
        <w:t xml:space="preserve"> For instance, FIRB’s monetary thresholds for investment in agricultural land are significantly higher for Chile, New Zealand and the United States </w:t>
      </w:r>
      <w:r w:rsidR="00410539" w:rsidRPr="00410539">
        <w:rPr>
          <w:rFonts w:ascii="Arial" w:hAnsi="Arial" w:cs="Arial"/>
        </w:rPr>
        <w:t>(Treasury 2025c)</w:t>
      </w:r>
      <w:r w:rsidR="00016A41" w:rsidRPr="009A251F">
        <w:t>.</w:t>
      </w:r>
      <w:r w:rsidR="00016A41">
        <w:t xml:space="preserve"> This indicates that investments from these countries in agriculture may be considered ‘low risk’ and thus would be unaffected by the new policy regime. </w:t>
      </w:r>
    </w:p>
  </w:footnote>
  <w:footnote w:id="35">
    <w:p w14:paraId="0185B41E" w14:textId="22E663BE" w:rsidR="00A972CD" w:rsidRDefault="00A972CD">
      <w:pPr>
        <w:pStyle w:val="FootnoteText"/>
      </w:pPr>
      <w:r w:rsidRPr="00D23D7D">
        <w:rPr>
          <w:rStyle w:val="FootnoteReference"/>
        </w:rPr>
        <w:footnoteRef/>
      </w:r>
      <w:r>
        <w:t xml:space="preserve"> Data is reported quarterly and is in calendar years</w:t>
      </w:r>
      <w:r w:rsidRPr="00272E3E">
        <w:t>.</w:t>
      </w:r>
      <w:r>
        <w:t xml:space="preserve"> Note that this represents flows in foreign investment and does not correspond with foreign investment approvals data in </w:t>
      </w:r>
      <w:r w:rsidR="00860228">
        <w:t>c</w:t>
      </w:r>
      <w:r>
        <w:t xml:space="preserve">hapter </w:t>
      </w:r>
      <w:r w:rsidR="00860228">
        <w:t>5</w:t>
      </w:r>
      <w:r>
        <w:t xml:space="preserve">.2. </w:t>
      </w:r>
    </w:p>
  </w:footnote>
  <w:footnote w:id="36">
    <w:p w14:paraId="015B98ED" w14:textId="0BC596E9" w:rsidR="00A972CD" w:rsidRDefault="00A972CD" w:rsidP="00837C7A">
      <w:pPr>
        <w:pStyle w:val="FootnoteText"/>
      </w:pPr>
      <w:r w:rsidRPr="00560E11">
        <w:rPr>
          <w:rStyle w:val="FootnoteReference"/>
        </w:rPr>
        <w:footnoteRef/>
      </w:r>
      <w:r w:rsidR="006A640A">
        <w:t xml:space="preserve"> </w:t>
      </w:r>
      <w:r w:rsidRPr="006313CD">
        <w:t xml:space="preserve">Debt refers to loans, bonds and other interest-bearing obligations, while equities </w:t>
      </w:r>
      <w:r w:rsidR="00232651" w:rsidRPr="006313CD">
        <w:t>refer</w:t>
      </w:r>
      <w:r w:rsidRPr="006313CD">
        <w:t xml:space="preserve"> to financial instruments such as stocks or shares which represent an ownership stake in a company.</w:t>
      </w:r>
    </w:p>
  </w:footnote>
  <w:footnote w:id="37">
    <w:p w14:paraId="2BA50201" w14:textId="1C747F55" w:rsidR="00C73731" w:rsidRDefault="00C73731" w:rsidP="00C73731">
      <w:pPr>
        <w:pStyle w:val="FootnoteText"/>
      </w:pPr>
      <w:r w:rsidRPr="00D23D7D">
        <w:rPr>
          <w:rStyle w:val="FootnoteReference"/>
        </w:rPr>
        <w:footnoteRef/>
      </w:r>
      <w:r w:rsidRPr="00BC428E">
        <w:t xml:space="preserve"> The two other components of net debt </w:t>
      </w:r>
      <w:r w:rsidR="000D4D0C">
        <w:t>–</w:t>
      </w:r>
      <w:r w:rsidRPr="00BC428E">
        <w:t xml:space="preserve"> net reserve assets and other investment </w:t>
      </w:r>
      <w:r w:rsidR="00B669D0">
        <w:t xml:space="preserve">– </w:t>
      </w:r>
      <w:r>
        <w:t>have</w:t>
      </w:r>
      <w:r w:rsidRPr="00BC428E">
        <w:t xml:space="preserve"> been excluded from this figure for readability. They were relatively stable year</w:t>
      </w:r>
      <w:r>
        <w:t>-</w:t>
      </w:r>
      <w:r w:rsidRPr="00BC428E">
        <w:t>on</w:t>
      </w:r>
      <w:r>
        <w:t>-</w:t>
      </w:r>
      <w:r w:rsidRPr="00BC428E">
        <w:t>year and did not drive the headline result.</w:t>
      </w:r>
    </w:p>
  </w:footnote>
  <w:footnote w:id="38">
    <w:p w14:paraId="13C7A037" w14:textId="49C3DCC6" w:rsidR="00B72D6A" w:rsidRPr="002141FF" w:rsidRDefault="00B72D6A">
      <w:pPr>
        <w:pStyle w:val="FootnoteText"/>
        <w:rPr>
          <w:lang w:val="en-US"/>
        </w:rPr>
      </w:pPr>
      <w:r>
        <w:rPr>
          <w:rStyle w:val="FootnoteReference"/>
        </w:rPr>
        <w:footnoteRef/>
      </w:r>
      <w:r w:rsidR="001A7BEF">
        <w:t xml:space="preserve"> </w:t>
      </w:r>
      <w:r w:rsidR="00D366C6" w:rsidRPr="009A251F">
        <w:t xml:space="preserve">Belgium (14% of GDP) hosts Euroclear, one of Europe's biggest clearing houses and depositories for bonds and securities </w:t>
      </w:r>
      <w:r w:rsidR="00D366C6" w:rsidRPr="006750D8">
        <w:rPr>
          <w:rFonts w:ascii="Arial" w:hAnsi="Arial" w:cs="Arial"/>
        </w:rPr>
        <w:t>(DFAT 2024a)</w:t>
      </w:r>
      <w:r w:rsidR="00D366C6" w:rsidRPr="009A251F">
        <w:t xml:space="preserve">. Similarly, Luxembourg (3.8% of GDP) hosts the European Investment Bank </w:t>
      </w:r>
      <w:r w:rsidR="00D366C6" w:rsidRPr="006750D8">
        <w:rPr>
          <w:rFonts w:ascii="Arial" w:hAnsi="Arial" w:cs="Arial"/>
        </w:rPr>
        <w:t>(DFAT 2024c)</w:t>
      </w:r>
      <w:r w:rsidR="00D366C6" w:rsidRPr="009A251F">
        <w:t>.</w:t>
      </w:r>
    </w:p>
  </w:footnote>
  <w:footnote w:id="39">
    <w:p w14:paraId="2E3D65A7" w14:textId="77777777" w:rsidR="00CB4A37" w:rsidRDefault="00CB4A37" w:rsidP="00CB4A37">
      <w:pPr>
        <w:pStyle w:val="FootnoteText"/>
        <w:rPr>
          <w:rFonts w:cs="Times New Roman"/>
        </w:rPr>
      </w:pPr>
      <w:r>
        <w:rPr>
          <w:rStyle w:val="FootnoteReference"/>
        </w:rPr>
        <w:footnoteRef/>
      </w:r>
      <w:r>
        <w:t xml:space="preserve"> The GTAP Model was introduced in 1997 and is maintained by the GTAP network </w:t>
      </w:r>
      <w:r>
        <w:fldChar w:fldCharType="begin"/>
      </w:r>
      <w:r>
        <w:instrText xml:space="preserve"> ADDIN ZOTERO_ITEM CSL_CITATION {"citationID":"sgOmsFJm","properties":{"formattedCitation":"(Corong et al.\\uc0\\u160{}2017)","plainCitation":"(Corong et al. 2017)","noteIndex":1},"citationItems":[{"id":1804,"uris":["http://zotero.org/groups/5749450/items/H4GRA6Y4"],"itemData":{"id":1804,"type":"article-journal","abstract":"This paper provides complete documentation for version 7 of the 'standard' Global Trade Analysis Project (GTAP) model. This is the first comprehensive documentation of the model since the 1997 'GTAP book' and this updated version includes some important new features. On a substantive level, commodities and activities are separated, allowing for multi-product sectors, as well as multiple sectors producing the same commodity. Additional flexibility is provided for modeling of production and consumption behavior, and the valuation and naming conventions have been modified. In addition, this paper folds in important advances since the 1997 publication, including the revised treatment of non-homotheticity in final demand, the welfare decomposition and multi-modal international transportation. The paper opens with an overview which puts this widely used model in broader context. The model exposition is comprehensive and includes a bridging table linking the original, 'classic' model with the current version. This is followed by a section discussing the major extensions of the standard model and how they are being used. The paper closes with an overall assessment and a discussion of future research directions.","container-title":"Journal of Global Economic Analysis","issue":"1","language":"en","note":"publisher: Center for Global Trade Analysis, Department of Agricultural Economics, Purdue University","page":"1-119","source":"ideas.repec.org","title":"The Standard GTAP Model, version 7","volume":"2","author":[{"family":"Corong","given":"Erwin"},{"family":"Hertel","given":"Thomas"},{"family":"McDougall","given":"Robert"},{"family":"Tsigas","given":"Marinos"},{"family":"Mensbrugghe","given":"Dominique","dropping-particle":"van der"}],"issued":{"date-parts":[["2017"]]}}}],"schema":"https://github.com/citation-style-language/schema/raw/master/csl-citation.json"} </w:instrText>
      </w:r>
      <w:r>
        <w:fldChar w:fldCharType="separate"/>
      </w:r>
      <w:r>
        <w:rPr>
          <w:rFonts w:cs="Arial"/>
        </w:rPr>
        <w:t>(Corong et al. 2017)</w:t>
      </w:r>
      <w:r>
        <w:fldChar w:fldCharType="end"/>
      </w:r>
      <w:r>
        <w:t xml:space="preserve">. </w:t>
      </w:r>
    </w:p>
  </w:footnote>
  <w:footnote w:id="40">
    <w:p w14:paraId="04717B2F" w14:textId="77777777" w:rsidR="00CB4A37" w:rsidRDefault="00CB4A37" w:rsidP="00CB4A37">
      <w:pPr>
        <w:pStyle w:val="FootnoteText"/>
      </w:pPr>
      <w:r>
        <w:rPr>
          <w:rStyle w:val="FootnoteReference"/>
        </w:rPr>
        <w:footnoteRef/>
      </w:r>
      <w:r>
        <w:t xml:space="preserve"> PC Global includes bilateral capital stocks, capital income, investment data and mechanisms for their reallocation across regions </w:t>
      </w:r>
      <w:r>
        <w:fldChar w:fldCharType="begin"/>
      </w:r>
      <w:r>
        <w:instrText xml:space="preserve"> ADDIN ZOTERO_ITEM CSL_CITATION {"citationID":"IOg50w9S","properties":{"formattedCitation":"(PC\\uc0\\u160{}2024, p.\\uc0\\u160{}78)","plainCitation":"(PC 2024, p. 78)","noteIndex":2},"citationItems":[{"id":"wQs11WP7/1NxUxwwV","uris":["http://zotero.org/groups/164861/items/Y8LWN29R"],"itemData":{"id":1253,"type":"report","event-place":"Canberra","genre":"Research paper","publisher-place":"Canberra","title":"Modelling Asian trade integration","author":[{"family":"Productivity Commission","given":""}],"translator":[{"family":"PC","given":""}],"issued":{"date-parts":[["2024"]]}},"locator":"78","label":"page"}],"schema":"https://github.com/citation-style-language/schema/raw/master/csl-citation.json"} </w:instrText>
      </w:r>
      <w:r>
        <w:fldChar w:fldCharType="separate"/>
      </w:r>
      <w:r w:rsidRPr="00664E8D">
        <w:rPr>
          <w:rFonts w:ascii="Arial" w:hAnsi="Arial" w:cs="Arial"/>
        </w:rPr>
        <w:t>(PC 2024, p. 78)</w:t>
      </w:r>
      <w:r>
        <w:fldChar w:fldCharType="end"/>
      </w:r>
      <w:r>
        <w:t>.</w:t>
      </w:r>
    </w:p>
  </w:footnote>
  <w:footnote w:id="41">
    <w:p w14:paraId="108F6071" w14:textId="77777777" w:rsidR="00CB4A37" w:rsidRDefault="00CB4A37" w:rsidP="00CB4A37">
      <w:pPr>
        <w:pStyle w:val="FootnoteText"/>
      </w:pPr>
      <w:r>
        <w:rPr>
          <w:rStyle w:val="FootnoteReference"/>
        </w:rPr>
        <w:footnoteRef/>
      </w:r>
      <w:r>
        <w:t xml:space="preserve"> The database does include the Regional Comprehensive Economic Partnership (RCEP) and Comprehensive and Progressive Agreement for Trans-Pacific Partnership </w:t>
      </w:r>
      <w:r>
        <w:fldChar w:fldCharType="begin"/>
      </w:r>
      <w:r>
        <w:instrText xml:space="preserve"> ADDIN ZOTERO_ITEM CSL_CITATION {"citationID":"cnVG8OqG","properties":{"formattedCitation":"(PC\\uc0\\u160{}2024, p.\\uc0\\u160{}12)","plainCitation":"(PC 2024, p. 12)","noteIndex":4},"citationItems":[{"id":"wQs11WP7/1NxUxwwV","uris":["http://zotero.org/groups/164861/items/Y8LWN29R"],"itemData":{"id":1253,"type":"report","event-place":"Canberra","genre":"Research paper","publisher-place":"Canberra","title":"Modelling Asian trade integration","author":[{"family":"Productivity Commission","given":""}],"translator":[{"family":"PC","given":""}],"issued":{"date-parts":[["2024"]]}},"locator":"12","label":"page"}],"schema":"https://github.com/citation-style-language/schema/raw/master/csl-citation.json"} </w:instrText>
      </w:r>
      <w:r>
        <w:fldChar w:fldCharType="separate"/>
      </w:r>
      <w:r w:rsidRPr="005D447F">
        <w:rPr>
          <w:rFonts w:ascii="Arial" w:hAnsi="Arial" w:cs="Arial"/>
        </w:rPr>
        <w:t>(PC 2024, p. 12)</w:t>
      </w:r>
      <w:r>
        <w:fldChar w:fldCharType="end"/>
      </w:r>
      <w:r>
        <w:t xml:space="preserve">. The modelling assumes that the US trade policies being examined do not cause the non-US members of these agreements to backslide on their efforts to date or to renege on their future commitments. </w:t>
      </w:r>
    </w:p>
  </w:footnote>
  <w:footnote w:id="42">
    <w:p w14:paraId="67738286" w14:textId="77777777" w:rsidR="00CB4A37" w:rsidRDefault="00CB4A37" w:rsidP="00CB4A37">
      <w:pPr>
        <w:pStyle w:val="FootnoteText"/>
      </w:pPr>
      <w:r>
        <w:rPr>
          <w:rStyle w:val="FootnoteReference"/>
        </w:rPr>
        <w:footnoteRef/>
      </w:r>
      <w:r>
        <w:t xml:space="preserve"> The modelling assumption that foreign capital is mobile drives many of the differences between our results and those of other studies. Namely, this assumption explains the positive effects on Australian production due to greater foreign investment – without it, we would expect more detrimental effects in Australia. Our assumption reflects the long</w:t>
      </w:r>
      <w:r>
        <w:noBreakHyphen/>
        <w:t>run nature of the modelling environment, in which foreign capital ought to be mobile between investment destinations.</w:t>
      </w:r>
    </w:p>
  </w:footnote>
  <w:footnote w:id="43">
    <w:p w14:paraId="556346B7" w14:textId="77777777" w:rsidR="00CB4A37" w:rsidRDefault="00CB4A37" w:rsidP="00CB4A37">
      <w:pPr>
        <w:pStyle w:val="FootnoteText"/>
      </w:pPr>
      <w:r>
        <w:rPr>
          <w:rStyle w:val="FootnoteReference"/>
        </w:rPr>
        <w:footnoteRef/>
      </w:r>
      <w:r>
        <w:t xml:space="preserve"> The model assumes that there are no restrictions on the movement of capital between economies, which may exist in some countries. </w:t>
      </w:r>
    </w:p>
  </w:footnote>
  <w:footnote w:id="44">
    <w:p w14:paraId="5C9CB3DE" w14:textId="77777777" w:rsidR="00CB4A37" w:rsidRPr="006A2226" w:rsidRDefault="00CB4A37" w:rsidP="00CB4A37">
      <w:pPr>
        <w:pStyle w:val="FootnoteText"/>
        <w:rPr>
          <w:spacing w:val="-2"/>
        </w:rPr>
      </w:pPr>
      <w:r w:rsidRPr="006A2226">
        <w:rPr>
          <w:rStyle w:val="FootnoteReference"/>
          <w:spacing w:val="-2"/>
        </w:rPr>
        <w:footnoteRef/>
      </w:r>
      <w:r w:rsidRPr="006A2226">
        <w:rPr>
          <w:spacing w:val="-2"/>
        </w:rPr>
        <w:t xml:space="preserve"> CGE models include more variables than equations, so they tend to be under-identified. The equations do not provide sufficient information to solve all variables. To overcome this, the model closure specifies variables to be determined outside of the model (‘exogenous’ variables), which affects the nature and interpretation of the results produced </w:t>
      </w:r>
      <w:r w:rsidRPr="006A2226">
        <w:rPr>
          <w:spacing w:val="-2"/>
        </w:rPr>
        <w:fldChar w:fldCharType="begin"/>
      </w:r>
      <w:r w:rsidRPr="006A2226">
        <w:rPr>
          <w:spacing w:val="-2"/>
        </w:rPr>
        <w:instrText xml:space="preserve"> ADDIN ZOTERO_ITEM CSL_CITATION {"citationID":"tEcLgxoU","properties":{"formattedCitation":"(PC\\uc0\\u160{}2024, pp.\\uc0\\u160{}81\\uc0\\u8211{}82)","plainCitation":"(PC 2024, pp. 81–82)","noteIndex":7},"citationItems":[{"id":"wQs11WP7/1NxUxwwV","uris":["http://zotero.org/groups/164861/items/Y8LWN29R"],"itemData":{"id":1253,"type":"report","event-place":"Canberra","genre":"Research paper","publisher-place":"Canberra","title":"Modelling Asian trade integration","author":[{"family":"Productivity Commission","given":""}],"translator":[{"family":"PC","given":""}],"issued":{"date-parts":[["2024"]]}},"locator":"81-2","label":"page"}],"schema":"https://github.com/citation-style-language/schema/raw/master/csl-citation.json"} </w:instrText>
      </w:r>
      <w:r w:rsidRPr="006A2226">
        <w:rPr>
          <w:spacing w:val="-2"/>
        </w:rPr>
        <w:fldChar w:fldCharType="separate"/>
      </w:r>
      <w:r w:rsidRPr="006A2226">
        <w:rPr>
          <w:rFonts w:cs="Arial"/>
          <w:spacing w:val="-2"/>
        </w:rPr>
        <w:t>(PC 2024, pp. 81–82)</w:t>
      </w:r>
      <w:r w:rsidRPr="006A2226">
        <w:rPr>
          <w:spacing w:val="-2"/>
        </w:rPr>
        <w:fldChar w:fldCharType="end"/>
      </w:r>
      <w:r w:rsidRPr="006A2226">
        <w:rPr>
          <w:spacing w:val="-2"/>
        </w:rPr>
        <w:t>. Generally, there are more rigidities in a short</w:t>
      </w:r>
      <w:r w:rsidRPr="006A2226">
        <w:rPr>
          <w:spacing w:val="-2"/>
        </w:rPr>
        <w:noBreakHyphen/>
        <w:t>run closure that prevent the economy from fully adjusting to a shock compared to a long</w:t>
      </w:r>
      <w:r w:rsidRPr="006A2226">
        <w:rPr>
          <w:spacing w:val="-2"/>
        </w:rPr>
        <w:noBreakHyphen/>
        <w:t xml:space="preserve">run closure. The closure used in this analysis is the same as was used in PC </w:t>
      </w:r>
      <w:r w:rsidRPr="006A2226">
        <w:rPr>
          <w:spacing w:val="-2"/>
        </w:rPr>
        <w:fldChar w:fldCharType="begin"/>
      </w:r>
      <w:r w:rsidRPr="006A2226">
        <w:rPr>
          <w:spacing w:val="-2"/>
        </w:rPr>
        <w:instrText xml:space="preserve"> ADDIN ZOTERO_ITEM CSL_CITATION {"citationID":"X4uDVMDb","properties":{"formattedCitation":"(2024)","plainCitation":"(2024)","noteIndex":7},"citationItems":[{"id":"wQs11WP7/1NxUxwwV","uris":["http://zotero.org/groups/164861/items/Y8LWN29R"],"itemData":{"id":1253,"type":"report","event-place":"Canberra","genre":"Research paper","publisher-place":"Canberra","title":"Modelling Asian trade integration","author":[{"family":"Productivity Commission","given":""}],"translator":[{"family":"PC","given":""}],"issued":{"date-parts":[["2024"]]}},"suppress-author":true}],"schema":"https://github.com/citation-style-language/schema/raw/master/csl-citation.json"} </w:instrText>
      </w:r>
      <w:r w:rsidRPr="006A2226">
        <w:rPr>
          <w:spacing w:val="-2"/>
        </w:rPr>
        <w:fldChar w:fldCharType="separate"/>
      </w:r>
      <w:r w:rsidRPr="006A2226">
        <w:rPr>
          <w:rFonts w:cs="Arial"/>
          <w:spacing w:val="-2"/>
        </w:rPr>
        <w:t>(2024)</w:t>
      </w:r>
      <w:r w:rsidRPr="006A2226">
        <w:rPr>
          <w:spacing w:val="-2"/>
        </w:rPr>
        <w:fldChar w:fldCharType="end"/>
      </w:r>
      <w:r w:rsidRPr="006A2226">
        <w:rPr>
          <w:spacing w:val="-2"/>
        </w:rPr>
        <w:t>.</w:t>
      </w:r>
    </w:p>
  </w:footnote>
  <w:footnote w:id="45">
    <w:p w14:paraId="02AD403E" w14:textId="77777777" w:rsidR="00CB4A37" w:rsidRDefault="00CB4A37" w:rsidP="00CB4A37">
      <w:pPr>
        <w:pStyle w:val="FootnoteText"/>
      </w:pPr>
      <w:r>
        <w:rPr>
          <w:rStyle w:val="FootnoteReference"/>
        </w:rPr>
        <w:footnoteRef/>
      </w:r>
      <w:r>
        <w:t xml:space="preserve"> The balance of payments is an international accounting convention that records transactions between each country and the rest of the world </w:t>
      </w:r>
      <w:r>
        <w:fldChar w:fldCharType="begin"/>
      </w:r>
      <w:r>
        <w:instrText xml:space="preserve"> ADDIN ZOTERO_ITEM CSL_CITATION {"citationID":"vf20U9LI","properties":{"formattedCitation":"(RBA\\uc0\\u160{}nd)","plainCitation":"(RBA nd)","noteIndex":8},"citationItems":[{"id":2244,"uris":["http://zotero.org/groups/5749450/items/I25KZHD8"],"itemData":{"id":2244,"type":"webpage","abstract":"This series provides short, concise explanations for various economics topics.","container-title":"Reserve Bank of Australia","language":"en-au","title":"The Balance of Payments","URL":"https://www.rba.gov.au/education/resources/explainers/the-balance-of-payments.html","author":[{"literal":"Reserve Bank of Australia"}],"translator":[{"literal":"RBA"}],"accessed":{"date-parts":[["2025",6,29]]}}}],"schema":"https://github.com/citation-style-language/schema/raw/master/csl-citation.json"} </w:instrText>
      </w:r>
      <w:r>
        <w:fldChar w:fldCharType="separate"/>
      </w:r>
      <w:r w:rsidRPr="00664E8D">
        <w:rPr>
          <w:rFonts w:ascii="Arial" w:hAnsi="Arial" w:cs="Arial"/>
        </w:rPr>
        <w:t>(RBA nd)</w:t>
      </w:r>
      <w:r>
        <w:fldChar w:fldCharType="end"/>
      </w:r>
      <w:r>
        <w:t>. By definition, the balance of payments is zero.</w:t>
      </w:r>
    </w:p>
  </w:footnote>
  <w:footnote w:id="46">
    <w:p w14:paraId="4B862FEA" w14:textId="77777777" w:rsidR="00CB4A37" w:rsidRPr="00BE3CA8" w:rsidRDefault="00CB4A37" w:rsidP="00CB4A37">
      <w:pPr>
        <w:pStyle w:val="FootnoteText"/>
        <w:rPr>
          <w:spacing w:val="-2"/>
        </w:rPr>
      </w:pPr>
      <w:r w:rsidRPr="00BE3CA8">
        <w:rPr>
          <w:rStyle w:val="FootnoteReference"/>
          <w:spacing w:val="-2"/>
        </w:rPr>
        <w:footnoteRef/>
      </w:r>
      <w:r w:rsidRPr="00BE3CA8">
        <w:rPr>
          <w:spacing w:val="-2"/>
        </w:rPr>
        <w:t xml:space="preserve"> Tariffs are only applied to the 45 goods sectors and two service sectors: electricity and gas manufacturing and distribution.</w:t>
      </w:r>
    </w:p>
  </w:footnote>
  <w:footnote w:id="47">
    <w:p w14:paraId="75E8EFFC" w14:textId="77777777" w:rsidR="00CB4A37" w:rsidRDefault="00CB4A37" w:rsidP="00CB4A37">
      <w:pPr>
        <w:pStyle w:val="FootnoteText"/>
      </w:pPr>
      <w:r>
        <w:rPr>
          <w:rStyle w:val="FootnoteReference"/>
        </w:rPr>
        <w:footnoteRef/>
      </w:r>
      <w:r>
        <w:t xml:space="preserve"> The retaliation version of each scenario does not include any further retaliatory action undertaken by the US.</w:t>
      </w:r>
    </w:p>
  </w:footnote>
  <w:footnote w:id="48">
    <w:p w14:paraId="044B8E70" w14:textId="77777777" w:rsidR="00CB4A37" w:rsidRDefault="00CB4A37" w:rsidP="00CB4A37">
      <w:pPr>
        <w:pStyle w:val="FootnoteText"/>
      </w:pPr>
      <w:r>
        <w:rPr>
          <w:rStyle w:val="FootnoteReference"/>
        </w:rPr>
        <w:footnoteRef/>
      </w:r>
      <w:r>
        <w:t xml:space="preserve"> Tariffs levied on goods of Canada and Mexico are covered by other Executive Orders </w:t>
      </w:r>
      <w:r>
        <w:fldChar w:fldCharType="begin"/>
      </w:r>
      <w:r>
        <w:instrText xml:space="preserve"> ADDIN ZOTERO_ITEM CSL_CITATION {"citationID":"WciCIhT9","properties":{"formattedCitation":"(The White House\\uc0\\u160{}2025l, 2025m)","plainCitation":"(The White House 2025l, 2025m)","noteIndex":9},"citationItems":[{"id":1750,"uris":["http://zotero.org/groups/5749450/items/9IRDRUGU"],"itemData":{"id":1750,"type":"webpage","abstract":"By the authority vested in me as President by the Constitution and the laws of the United States of America, including the","container-title":"The White House","language":"en-US","title":"Imposing Duties to Address the Flow of Illicit Drugs Across Our Northern Border","URL":"https://www.whitehouse.gov/presidential-actions/2025/02/imposing-duties-to-address-the-flow-of-illicit-drugs-across-our-national-border/","author":[{"literal":"The White House"}],"accessed":{"date-parts":[["2025",5,21]]},"issued":{"date-parts":[["2025",2,2]]}}},{"id":1748,"uris":["http://zotero.org/groups/5749450/items/4CL29UEL"],"itemData":{"id":1748,"type":"webpage","container-title":"The White House","language":"en-US","title":"Imposing Duties to Address the Situation at Our Southern Border","URL":"https://www.whitehouse.gov/presidential-actions/2025/02/imposing-duties-to-address-the-situation-at-our-southern-border/","author":[{"literal":"The White House"}],"accessed":{"date-parts":[["2025",5,21]]},"issued":{"date-parts":[["2025",2,1]]}}}],"schema":"https://github.com/citation-style-language/schema/raw/master/csl-citation.json"} </w:instrText>
      </w:r>
      <w:r>
        <w:fldChar w:fldCharType="separate"/>
      </w:r>
      <w:r w:rsidRPr="00F108B2">
        <w:rPr>
          <w:rFonts w:ascii="Arial" w:hAnsi="Arial" w:cs="Arial"/>
        </w:rPr>
        <w:t>(The White House 2025l, 2025m)</w:t>
      </w:r>
      <w:r>
        <w:fldChar w:fldCharType="end"/>
      </w:r>
      <w:r>
        <w:t xml:space="preserve">. Countries with which the US does not have Normal Trade Relations status – Cuba, North Korea, Russia and Belarus – are also exempt, with their rates of duty specified under Column 2 of the Harmonised Tariff Schedule </w:t>
      </w:r>
      <w:r>
        <w:fldChar w:fldCharType="begin"/>
      </w:r>
      <w:r>
        <w:instrText xml:space="preserve"> ADDIN ZOTERO_ITEM CSL_CITATION {"citationID":"YkQJ2MsJ","properties":{"formattedCitation":"(CBP\\uc0\\u160{}2025)","plainCitation":"(CBP 2025)","noteIndex":9},"citationItems":[{"id":1935,"uris":["http://zotero.org/groups/5749450/items/G3D6GXJU"],"itemData":{"id":1935,"type":"webpage","title":"Column 1 / Column 2 / MFN / NTR - Countries that does business with the United States","URL":"https://www.help.cbp.gov/s/article/Article-1117?language=en_US","author":[{"literal":"U.S. Customs and Border Protection"}],"translator":[{"literal":"CBP"}],"accessed":{"date-parts":[["2025",6,2]]},"issued":{"date-parts":[["2025",5]]}}}],"schema":"https://github.com/citation-style-language/schema/raw/master/csl-citation.json"} </w:instrText>
      </w:r>
      <w:r>
        <w:fldChar w:fldCharType="separate"/>
      </w:r>
      <w:r w:rsidRPr="00C2244F">
        <w:rPr>
          <w:rFonts w:ascii="Arial" w:hAnsi="Arial" w:cs="Arial"/>
        </w:rPr>
        <w:t>(CBP 2025)</w:t>
      </w:r>
      <w:r>
        <w:fldChar w:fldCharType="end"/>
      </w:r>
      <w:r>
        <w:t xml:space="preserve">. Column 2 rates were set by the Smoot-Hawley Tariff Act and estimated conservatively at 47.1% of dutiable imports </w:t>
      </w:r>
      <w:r>
        <w:fldChar w:fldCharType="begin"/>
      </w:r>
      <w:r>
        <w:instrText xml:space="preserve"> ADDIN ZOTERO_ITEM CSL_CITATION {"citationID":"Ga93oTJT","properties":{"formattedCitation":"(Irwin\\uc0\\u160{}1998, p.\\uc0\\u160{}327)","plainCitation":"(Irwin 1998, p. 327)","noteIndex":9},"citationItems":[{"id":1933,"uris":["http://zotero.org/groups/5749450/items/GRY2PSQN"],"itemData":{"id":1933,"type":"webpage","title":"The Smoot-Hawley Tariff: A Quantitative Assessment","URL":"https://www.jstor.org/stable/2646642?saml_data=eyJlbWFpbCI6ImRpZWdvLm1hY2hpbGxhbmRhZmxlY2hhc0BzdHVkZW50LnVuaW1lbGIuZWR1LmF1IiwiaW5zdGl0dXRpb25JZHMiOlsiMTE0MjMzMzMtNDZiNC00ODFiLWEyMjctMmMwODhlYWZlMTE5Il0sInNhbWxUb2tlbiI6IjkwYzY3ZGVhLTJkYzItNDM1ZS1hN2E2LTk0ZGZlN2M1NGViMyJ9&amp;seq=1","author":[{"family":"Irwin","given":"Douglas A."}],"accessed":{"date-parts":[["2025",6,2]]},"issued":{"date-parts":[["1998",5]]}},"locator":"327","label":"page"}],"schema":"https://github.com/citation-style-language/schema/raw/master/csl-citation.json"} </w:instrText>
      </w:r>
      <w:r>
        <w:fldChar w:fldCharType="separate"/>
      </w:r>
      <w:r w:rsidRPr="007D61A8">
        <w:rPr>
          <w:rFonts w:ascii="Arial" w:hAnsi="Arial" w:cs="Arial"/>
        </w:rPr>
        <w:t>(Irwin 1998, p. 327)</w:t>
      </w:r>
      <w:r>
        <w:fldChar w:fldCharType="end"/>
      </w:r>
      <w:r>
        <w:t xml:space="preserve">. In our analysis, US tariffs on imports from Russia (the only Column 2 region modelled separately in PC Global) are increased by an additional 60 percentage points relative to the GTAP database to avoid trade diversion and represent stylistically US sanctions on the Russian Federation </w:t>
      </w:r>
      <w:r>
        <w:fldChar w:fldCharType="begin"/>
      </w:r>
      <w:r>
        <w:instrText xml:space="preserve"> ADDIN ZOTERO_ITEM CSL_CITATION {"citationID":"8cKQZDlu","properties":{"formattedCitation":"(ITA\\uc0\\u160{}nd)","plainCitation":"(ITA nd)","noteIndex":9},"citationItems":[{"id":1932,"uris":["http://zotero.org/groups/5749450/items/IXVHV9XA"],"itemData":{"id":1932,"type":"webpage","abstract":"Since Russia invaded Ukraine, the scope and severity of U.S. sanctions and export controls imposed on Russia have expanded significantly.","language":"en","title":"Russia Sanctions and Export Controls","URL":"https://www.trade.gov/russia-sanctions-and-export-controls","author":[{"literal":"International Trade Administration"}],"translator":[{"literal":"ITA"}],"accessed":{"date-parts":[["2025",6,2]]}}}],"schema":"https://github.com/citation-style-language/schema/raw/master/csl-citation.json"} </w:instrText>
      </w:r>
      <w:r>
        <w:fldChar w:fldCharType="separate"/>
      </w:r>
      <w:r w:rsidRPr="00E84BAE">
        <w:rPr>
          <w:rFonts w:ascii="Arial" w:hAnsi="Arial" w:cs="Arial"/>
        </w:rPr>
        <w:t>(ITA nd)</w:t>
      </w:r>
      <w:r>
        <w:fldChar w:fldCharType="end"/>
      </w:r>
      <w:r>
        <w:t>.</w:t>
      </w:r>
    </w:p>
  </w:footnote>
  <w:footnote w:id="49">
    <w:p w14:paraId="61A403C6" w14:textId="77777777" w:rsidR="00CB4A37" w:rsidRDefault="00CB4A37" w:rsidP="00CB4A37">
      <w:pPr>
        <w:pStyle w:val="FootnoteText"/>
      </w:pPr>
      <w:r w:rsidRPr="00811ADF">
        <w:rPr>
          <w:rStyle w:val="FootnoteReference"/>
        </w:rPr>
        <w:footnoteRef/>
      </w:r>
      <w:r>
        <w:t xml:space="preserve"> Ad valorem tariffs refer to where the amount of duty payable is specified as a proportion of the value of imports (e.g. a 2% tariff applied to a product’s total customs value). This contrasts with specific tariffs, where the amount of duty payable is based on the quantity or weight of imported products (for example, $12,000 per car or $1 per kilo of cheese), irrespective of the total value of goods being imported. </w:t>
      </w:r>
    </w:p>
  </w:footnote>
  <w:footnote w:id="50">
    <w:p w14:paraId="6C31BFC2" w14:textId="77777777" w:rsidR="00CB4A37" w:rsidRDefault="00CB4A37" w:rsidP="00CB4A37">
      <w:pPr>
        <w:pStyle w:val="FootnoteText"/>
      </w:pPr>
      <w:r>
        <w:rPr>
          <w:rStyle w:val="FootnoteReference"/>
        </w:rPr>
        <w:footnoteRef/>
      </w:r>
      <w:r>
        <w:t xml:space="preserve"> This scenario abstracts from US policy by omitting the specific exemptions outlined in Executive Order 14257, which may overestimate the effects of the policy. Executive Order 14257 excludes several goods, including information or informational materials </w:t>
      </w:r>
      <w:r>
        <w:fldChar w:fldCharType="begin"/>
      </w:r>
      <w:r>
        <w:instrText xml:space="preserve"> ADDIN ZOTERO_ITEM CSL_CITATION {"citationID":"8XtRdo5P","properties":{"formattedCitation":"(Cornell Law School\\uc0\\u160{}nd)","plainCitation":"(Cornell Law School nd)","noteIndex":11},"citationItems":[{"id":2255,"uris":["http://zotero.org/groups/5749450/items/XZASPA7J"],"itemData":{"id":2255,"type":"webpage","container-title":"LII / Legal Information Institute","language":"en","title":"50 U.S.C. § 1702 - Presidential authorities","URL":"https://www.law.cornell.edu/uscode/text/50/1702","author":[{"family":"Cornell Law School","given":""}],"accessed":{"date-parts":[["2025",7,1]]}}}],"schema":"https://github.com/citation-style-language/schema/raw/master/csl-citation.json"} </w:instrText>
      </w:r>
      <w:r>
        <w:fldChar w:fldCharType="separate"/>
      </w:r>
      <w:r w:rsidRPr="00373A1B">
        <w:rPr>
          <w:rFonts w:ascii="Arial" w:hAnsi="Arial" w:cs="Arial"/>
        </w:rPr>
        <w:t>(Cornell Law School nd)</w:t>
      </w:r>
      <w:r>
        <w:fldChar w:fldCharType="end"/>
      </w:r>
      <w:r>
        <w:t xml:space="preserve">, minerals and mineral by-products, pharmaceuticals, semiconductors, lumber articles, and energy and energy products </w:t>
      </w:r>
      <w:r>
        <w:fldChar w:fldCharType="begin"/>
      </w:r>
      <w:r>
        <w:instrText xml:space="preserve"> ADDIN ZOTERO_ITEM CSL_CITATION {"citationID":"JXyWSXuB","properties":{"formattedCitation":"(The White House\\uc0\\u160{}2025s)","plainCitation":"(The White House 2025s)","noteIndex":11},"citationItems":[{"id":1744,"uris":["http://zotero.org/groups/5749450/items/DSPKDWKX"],"itemData":{"id":1744,"type":"webpage","abstract":"By the authority vested in me as President by the Constitution and the laws of the United States of America, including the International Emergency","container-title":"The White House","language":"en-US","title":"Regulating Imports with a Reciprocal Tariff to Rectify Trade Practices that Contribute to Large and Persistent Annual United States Goods Trade Deficits","URL":"https://www.whitehouse.gov/presidential-actions/2025/04/regulating-imports-with-a-reciprocal-tariff-to-rectify-trade-practices-that-contribute-to-large-and-persistent-annual-united-states-goods-trade-deficits/","author":[{"literal":"The White House"}],"accessed":{"date-parts":[["2025",5,21]]},"issued":{"date-parts":[["2025",4,2]]}}}],"schema":"https://github.com/citation-style-language/schema/raw/master/csl-citation.json"} </w:instrText>
      </w:r>
      <w:r>
        <w:fldChar w:fldCharType="separate"/>
      </w:r>
      <w:r w:rsidRPr="00F108B2">
        <w:rPr>
          <w:rFonts w:ascii="Arial" w:hAnsi="Arial" w:cs="Arial"/>
        </w:rPr>
        <w:t>(The White House 2025s)</w:t>
      </w:r>
      <w:r>
        <w:fldChar w:fldCharType="end"/>
      </w:r>
      <w:r>
        <w:t>. This scenario also abstracts from other US Executive Orders that may affect final import tariff rates.</w:t>
      </w:r>
    </w:p>
  </w:footnote>
  <w:footnote w:id="51">
    <w:p w14:paraId="4B9666D8" w14:textId="77777777" w:rsidR="00CB4A37" w:rsidRDefault="00CB4A37" w:rsidP="00CB4A37">
      <w:pPr>
        <w:pStyle w:val="FootnoteText"/>
      </w:pPr>
      <w:r>
        <w:rPr>
          <w:rStyle w:val="FootnoteReference"/>
        </w:rPr>
        <w:footnoteRef/>
      </w:r>
      <w:r>
        <w:t xml:space="preserve"> Tariffs of 50% are levied on all imported ferrous metals and non-ferrous metals products, as PC Global does not disaggregate metals sufficiently to target aluminium and steel exclusively. Hence, the results are likely to overestimate the effects of US tariffs on aluminium and steel.</w:t>
      </w:r>
    </w:p>
  </w:footnote>
  <w:footnote w:id="52">
    <w:p w14:paraId="63F43F90" w14:textId="77777777" w:rsidR="00CB4A37" w:rsidRDefault="00CB4A37" w:rsidP="00CB4A37">
      <w:pPr>
        <w:pStyle w:val="FootnoteText"/>
      </w:pPr>
      <w:r w:rsidRPr="00811ADF">
        <w:rPr>
          <w:rStyle w:val="FootnoteReference"/>
        </w:rPr>
        <w:footnoteRef/>
      </w:r>
      <w:r>
        <w:t xml:space="preserve"> Executive Orders affecting imports from the People’s Republic of China also include the Special Administrative Regions of Hong Kong and Macau </w:t>
      </w:r>
      <w:r>
        <w:fldChar w:fldCharType="begin"/>
      </w:r>
      <w:r>
        <w:instrText xml:space="preserve"> ADDIN ZOTERO_ITEM CSL_CITATION {"citationID":"NzT6Rrn8","properties":{"formattedCitation":"(The White House\\uc0\\u160{}2025o, 2025s)","plainCitation":"(The White House 2025o, 2025s)","noteIndex":13},"citationItems":[{"id":1752,"uris":["http://zotero.org/groups/5749450/items/YBIRL4BL"],"itemData":{"id":1752,"type":"webpage","abstract":"By the authority vested in me as President by the Constitution and the laws of the United States of America, including the International Emergency","container-title":"The White House","language":"en-US","title":"Modifying Reciprocal Tariff Rates to Reflect Discussions with the People's Republic of China","URL":"https://www.whitehouse.gov/presidential-actions/2025/05/modifying-reciprocal-tariff-rates-to-reflect-discussions-with-the-peoples-republic-of-china/","author":[{"literal":"The White House"}],"accessed":{"date-parts":[["2025",5,21]]},"issued":{"date-parts":[["2025",5,12]]}}},{"id":1744,"uris":["http://zotero.org/groups/5749450/items/DSPKDWKX"],"itemData":{"id":1744,"type":"webpage","abstract":"By the authority vested in me as President by the Constitution and the laws of the United States of America, including the International Emergency","container-title":"The White House","language":"en-US","title":"Regulating Imports with a Reciprocal Tariff to Rectify Trade Practices that Contribute to Large and Persistent Annual United States Goods Trade Deficits","URL":"https://www.whitehouse.gov/presidential-actions/2025/04/regulating-imports-with-a-reciprocal-tariff-to-rectify-trade-practices-that-contribute-to-large-and-persistent-annual-united-states-goods-trade-deficits/","author":[{"literal":"The White House"}],"accessed":{"date-parts":[["2025",5,21]]},"issued":{"date-parts":[["2025",4,2]]}}}],"schema":"https://github.com/citation-style-language/schema/raw/master/csl-citation.json"} </w:instrText>
      </w:r>
      <w:r>
        <w:fldChar w:fldCharType="separate"/>
      </w:r>
      <w:r w:rsidRPr="00F108B2">
        <w:rPr>
          <w:rFonts w:ascii="Arial" w:hAnsi="Arial" w:cs="Arial"/>
        </w:rPr>
        <w:t>(The White House 2025o, 2025s)</w:t>
      </w:r>
      <w:r>
        <w:fldChar w:fldCharType="end"/>
      </w:r>
      <w:r>
        <w:t>.</w:t>
      </w:r>
    </w:p>
  </w:footnote>
  <w:footnote w:id="53">
    <w:p w14:paraId="2C376203" w14:textId="77777777" w:rsidR="00CB4A37" w:rsidRDefault="00CB4A37" w:rsidP="00CB4A37">
      <w:pPr>
        <w:pStyle w:val="FootnoteText"/>
      </w:pPr>
      <w:r>
        <w:rPr>
          <w:rStyle w:val="FootnoteReference"/>
        </w:rPr>
        <w:footnoteRef/>
      </w:r>
      <w:r>
        <w:t xml:space="preserve"> De minimis treatment refers to the practice of admitting imports into a country free of duty, up to a threshold value. The maximum value is US$800 for the United States </w:t>
      </w:r>
      <w:r>
        <w:fldChar w:fldCharType="begin"/>
      </w:r>
      <w:r>
        <w:instrText xml:space="preserve"> ADDIN ZOTERO_ITEM CSL_CITATION {"citationID":"7NKB0f1g","properties":{"formattedCitation":"(OLRC\\uc0\\u160{}2025)","plainCitation":"(OLRC 2025)","noteIndex":15},"citationItems":[{"id":1803,"uris":["http://zotero.org/groups/5749450/items/SPD24LGN"],"itemData":{"id":1803,"type":"webpage","title":"Title 19 U.S.C. 1321","URL":"https://uscode.house.gov/browse/prelim@title19/chapter4/node265/part1&amp;edition=prelim","author":[{"literal":"Office of the Law Revision Counsel"}],"translator":[{"literal":"OLRC"}],"accessed":{"date-parts":[["2025",5,28]]},"issued":{"date-parts":[["2025",3]]}}}],"schema":"https://github.com/citation-style-language/schema/raw/master/csl-citation.json"} </w:instrText>
      </w:r>
      <w:r>
        <w:fldChar w:fldCharType="separate"/>
      </w:r>
      <w:r w:rsidRPr="006652C3">
        <w:rPr>
          <w:rFonts w:ascii="Arial" w:hAnsi="Arial" w:cs="Arial"/>
        </w:rPr>
        <w:t>(OLRC 2025)</w:t>
      </w:r>
      <w:r>
        <w:fldChar w:fldCharType="end"/>
      </w:r>
      <w:r>
        <w:t>.</w:t>
      </w:r>
    </w:p>
  </w:footnote>
  <w:footnote w:id="54">
    <w:p w14:paraId="63B7D9BD" w14:textId="77777777" w:rsidR="00CB4A37" w:rsidRDefault="00CB4A37" w:rsidP="00CB4A37">
      <w:pPr>
        <w:pStyle w:val="FootnoteText"/>
      </w:pPr>
      <w:r>
        <w:rPr>
          <w:rStyle w:val="FootnoteReference"/>
        </w:rPr>
        <w:footnoteRef/>
      </w:r>
      <w:r>
        <w:t xml:space="preserve"> The modelling does not levy the additional tariffs on Macau as it is not a standalone region in PC Global.</w:t>
      </w:r>
    </w:p>
  </w:footnote>
  <w:footnote w:id="55">
    <w:p w14:paraId="1F2920E5" w14:textId="77777777" w:rsidR="00CB4A37" w:rsidRDefault="00CB4A37" w:rsidP="00CB4A37">
      <w:pPr>
        <w:pStyle w:val="FootnoteText"/>
      </w:pPr>
      <w:r>
        <w:rPr>
          <w:rStyle w:val="FootnoteReference"/>
        </w:rPr>
        <w:footnoteRef/>
      </w:r>
      <w:r>
        <w:t xml:space="preserve"> This scenario involves Australia unilaterally removing all its remaining tariffs other than the excise-duty equivalent tariffs on tobacco and alcohol, which are assumed to remain unchanged.</w:t>
      </w:r>
    </w:p>
  </w:footnote>
  <w:footnote w:id="56">
    <w:p w14:paraId="07DFC6FD" w14:textId="77777777" w:rsidR="00CB4A37" w:rsidRDefault="00CB4A37" w:rsidP="00CB4A37">
      <w:pPr>
        <w:pStyle w:val="FootnoteText"/>
      </w:pPr>
      <w:r>
        <w:rPr>
          <w:rStyle w:val="FootnoteReference"/>
        </w:rPr>
        <w:footnoteRef/>
      </w:r>
      <w:r>
        <w:t xml:space="preserve"> </w:t>
      </w:r>
      <w:r w:rsidRPr="00F664C4">
        <w:t>Th</w:t>
      </w:r>
      <w:r>
        <w:t xml:space="preserve">e fact that Australia imports and exports the same product </w:t>
      </w:r>
      <w:r w:rsidRPr="00F664C4">
        <w:t>may appear counterintuitive, but reflect</w:t>
      </w:r>
      <w:r>
        <w:t>s trade diversion that flows from the different price signals</w:t>
      </w:r>
      <w:r w:rsidRPr="00F664C4">
        <w:t xml:space="preserve"> </w:t>
      </w:r>
      <w:r>
        <w:t>faced by</w:t>
      </w:r>
      <w:r w:rsidRPr="00F664C4">
        <w:t xml:space="preserve"> American </w:t>
      </w:r>
      <w:r>
        <w:t xml:space="preserve">and Australian </w:t>
      </w:r>
      <w:r w:rsidRPr="00F664C4">
        <w:t>consumers</w:t>
      </w:r>
      <w:r>
        <w:t xml:space="preserve"> in the model. The much higher additional US tariff on, say, Chinese electronic goods, makes Australian</w:t>
      </w:r>
      <w:r>
        <w:noBreakHyphen/>
        <w:t>made electronic goods relatively cheaper in the US than those from China. US consumers respond by increasing their consumption of Australian</w:t>
      </w:r>
      <w:r>
        <w:noBreakHyphen/>
        <w:t>made electronic goods and decreasing their consumption of Chinese</w:t>
      </w:r>
      <w:r>
        <w:noBreakHyphen/>
        <w:t>made electronic goods. In contrast, Australian consumers benefit from access to cheaper Chinese electronic goods that would have been exported to the US. As these Chinese imports are now relatively cheaper than their Australian</w:t>
      </w:r>
      <w:r>
        <w:noBreakHyphen/>
        <w:t>made counterparts, Australian consumers respond by increasing their consumption of imported Chinese electronic goods and decreasing their consumption of the locally made product. This means that Australia simultaneously increases its exports and imports of electronic goods. In practice, we may also expect the re-exporting of Chinese</w:t>
      </w:r>
      <w:r>
        <w:noBreakHyphen/>
        <w:t>made electronic goods into the US by diverting them through Australia to avoid the higher additional US tariffs on Chinese products.</w:t>
      </w:r>
    </w:p>
  </w:footnote>
  <w:footnote w:id="57">
    <w:p w14:paraId="2F778056" w14:textId="77777777" w:rsidR="00D007A2" w:rsidRPr="005A7B94" w:rsidRDefault="00D007A2" w:rsidP="00D007A2">
      <w:pPr>
        <w:pStyle w:val="FootnoteText"/>
        <w:rPr>
          <w:lang w:val="en-US"/>
        </w:rPr>
      </w:pPr>
      <w:r w:rsidRPr="00AB1954">
        <w:rPr>
          <w:rStyle w:val="FootnoteReference"/>
        </w:rPr>
        <w:footnoteRef/>
      </w:r>
      <w:r w:rsidRPr="005A7B94">
        <w:t xml:space="preserve"> Interestingly, this relationship appears to be weaker in the United States compared to other countries</w:t>
      </w:r>
      <w:r>
        <w:t>, and stronger in Australia</w:t>
      </w:r>
      <w:r w:rsidRPr="005A7B94">
        <w:t xml:space="preserve">. Keck and Lendle </w:t>
      </w:r>
      <w:r w:rsidRPr="00EC1A40">
        <w:rPr>
          <w:rFonts w:ascii="Arial" w:hAnsi="Arial" w:cs="Arial"/>
        </w:rPr>
        <w:t>(2012, pp. 15–17)</w:t>
      </w:r>
      <w:r>
        <w:t xml:space="preserve"> found that average utilisation rates in the US tend to be very high for all ranges of preferential margins, while they tend to be lower for small margins in other countries especially Australia. However, Australia’s result was noted as potentially being influenced by a small sample size of low value import transactions in their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172F" w14:textId="1443CE1B" w:rsidR="00F04EA7" w:rsidRPr="007215EF" w:rsidRDefault="00255404" w:rsidP="007215EF">
    <w:r>
      <w:rPr>
        <w:noProof/>
      </w:rPr>
      <w:drawing>
        <wp:anchor distT="0" distB="0" distL="114300" distR="114300" simplePos="0" relativeHeight="251658240" behindDoc="1" locked="0" layoutInCell="1" allowOverlap="1" wp14:anchorId="023644A6" wp14:editId="7D8B3B04">
          <wp:simplePos x="0" y="0"/>
          <wp:positionH relativeFrom="page">
            <wp:align>left</wp:align>
          </wp:positionH>
          <wp:positionV relativeFrom="paragraph">
            <wp:posOffset>-396596</wp:posOffset>
          </wp:positionV>
          <wp:extent cx="7559842" cy="10693519"/>
          <wp:effectExtent l="0" t="0" r="3175" b="0"/>
          <wp:wrapNone/>
          <wp:docPr id="85045117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5117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842" cy="10693519"/>
                  </a:xfrm>
                  <a:prstGeom prst="rect">
                    <a:avLst/>
                  </a:prstGeom>
                </pic:spPr>
              </pic:pic>
            </a:graphicData>
          </a:graphic>
          <wp14:sizeRelH relativeFrom="page">
            <wp14:pctWidth>0</wp14:pctWidth>
          </wp14:sizeRelH>
          <wp14:sizeRelV relativeFrom="page">
            <wp14:pctHeight>0</wp14:pctHeight>
          </wp14:sizeRelV>
        </wp:anchor>
      </w:drawing>
    </w:r>
  </w:p>
  <w:p w14:paraId="71FD1401" w14:textId="3A005579"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E45A" w14:textId="245B97A2" w:rsidR="00B036A0" w:rsidRDefault="00B67560" w:rsidP="00DD7735">
    <w:pPr>
      <w:pStyle w:val="Header-Keyline"/>
    </w:pPr>
    <w:r>
      <w:rPr>
        <w:rStyle w:val="Strong"/>
      </w:rPr>
      <w:t>Trade and Assistance Review 2023-24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865B" w14:textId="6528448F" w:rsidR="00B036A0" w:rsidRDefault="00355F9B" w:rsidP="00005E06">
    <w:pPr>
      <w:pStyle w:val="Header-KeylineRight"/>
    </w:pPr>
    <w:fldSimple w:instr=" STYLEREF  &quot;Heading 1-no number&quot;  \* MERGEFORMAT ">
      <w:r w:rsidR="004A080B">
        <w:rPr>
          <w:noProof/>
        </w:rPr>
        <w:t>Executive summary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E793" w14:textId="4E66BEB7" w:rsidR="00B036A0" w:rsidRDefault="00B036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CDC9" w14:textId="57832891" w:rsidR="008C76AF" w:rsidRDefault="008C76AF" w:rsidP="00DD7735">
    <w:pPr>
      <w:pStyle w:val="Header-Keyline"/>
    </w:pPr>
    <w:r>
      <w:rPr>
        <w:noProof/>
      </w:rPr>
      <w:drawing>
        <wp:anchor distT="0" distB="0" distL="114300" distR="114300" simplePos="0" relativeHeight="251658243" behindDoc="1" locked="0" layoutInCell="1" allowOverlap="1" wp14:anchorId="5DB8214F" wp14:editId="63A471AF">
          <wp:simplePos x="0" y="0"/>
          <wp:positionH relativeFrom="page">
            <wp:align>left</wp:align>
          </wp:positionH>
          <wp:positionV relativeFrom="paragraph">
            <wp:posOffset>-494121</wp:posOffset>
          </wp:positionV>
          <wp:extent cx="7559188" cy="10680700"/>
          <wp:effectExtent l="0" t="0" r="3810" b="6350"/>
          <wp:wrapNone/>
          <wp:docPr id="156840375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Trade and Assistance Review 2023-24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69942" w14:textId="4276C6EC" w:rsidR="001F5BBB" w:rsidRDefault="001F5BBB" w:rsidP="00005E06">
    <w:pPr>
      <w:pStyle w:val="Header-KeylineRight"/>
    </w:pPr>
    <w:r>
      <w:rPr>
        <w:noProof/>
      </w:rPr>
      <w:drawing>
        <wp:anchor distT="0" distB="0" distL="114300" distR="114300" simplePos="0" relativeHeight="251658241" behindDoc="1" locked="0" layoutInCell="1" allowOverlap="1" wp14:anchorId="25BBD115" wp14:editId="625CDC1D">
          <wp:simplePos x="0" y="0"/>
          <wp:positionH relativeFrom="page">
            <wp:align>left</wp:align>
          </wp:positionH>
          <wp:positionV relativeFrom="paragraph">
            <wp:posOffset>-508635</wp:posOffset>
          </wp:positionV>
          <wp:extent cx="7559188" cy="10680700"/>
          <wp:effectExtent l="0" t="0" r="3810" b="6350"/>
          <wp:wrapNone/>
          <wp:docPr id="213779935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fldSimple w:instr=" STYLEREF  &quot;Heading 1-no number&quot;  \* MERGEFORMAT ">
      <w:r w:rsidR="004A080B">
        <w:rPr>
          <w:noProof/>
        </w:rPr>
        <w:t>Executive summary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535D" w14:textId="53204772" w:rsidR="00B036A0" w:rsidRPr="00C21A75" w:rsidRDefault="00A972CD" w:rsidP="00837C7A">
    <w:pPr>
      <w:pStyle w:val="Header-Keyline"/>
    </w:pPr>
    <w:r>
      <w:rPr>
        <w:rStyle w:val="Strong"/>
      </w:rPr>
      <w:t>Trade and Assistance Review 2023-24</w:t>
    </w:r>
    <w:r w:rsidR="00B036A0" w:rsidRPr="00C21A75">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5731" w14:textId="7E384C02" w:rsidR="00DD7735" w:rsidRDefault="00355F9B" w:rsidP="00005E06">
    <w:pPr>
      <w:pStyle w:val="Header-KeylineRight"/>
    </w:pPr>
    <w:fldSimple w:instr=" STYLEREF  &quot;Heading 1&quot;  \* MERGEFORMAT ">
      <w:r w:rsidR="004A080B">
        <w:rPr>
          <w:noProof/>
        </w:rPr>
        <w:t>International trade policy developments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D6D8" w14:textId="03DA884D" w:rsidR="00B036A0" w:rsidRPr="00C21A75" w:rsidRDefault="00B036A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51532" w14:textId="287A1A36" w:rsidR="00B036A0" w:rsidRDefault="00B036A0" w:rsidP="00837C7A">
    <w:pPr>
      <w:pStyle w:val="Header-Keyline"/>
    </w:pPr>
    <w:r>
      <w:rPr>
        <w:rStyle w:val="Strong"/>
      </w:rPr>
      <w:t>Trade and Assistance Review 2023-24</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B53D" w14:textId="41D9ECAD" w:rsidR="00B036A0" w:rsidRDefault="00355F9B" w:rsidP="00837C7A">
    <w:pPr>
      <w:pStyle w:val="Header-KeylineRight"/>
    </w:pPr>
    <w:fldSimple w:instr="STYLEREF  &quot;Heading 1&quot;  \* MERGEFORMAT">
      <w:r w:rsidR="004A080B">
        <w:rPr>
          <w:noProof/>
        </w:rPr>
        <w:t>Australian trade policy developments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FA481" w14:textId="18AFA3B0" w:rsidR="001D7D9B" w:rsidRDefault="00A972CD" w:rsidP="001D7D9B">
    <w:pPr>
      <w:pStyle w:val="Header-Keyline"/>
    </w:pPr>
    <w:r>
      <w:rPr>
        <w:rStyle w:val="Strong"/>
      </w:rPr>
      <w:t>Trade and Assistance Review 2023-24</w:t>
    </w:r>
    <w:r w:rsidR="001D7D9B">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45A1" w14:textId="015AF109" w:rsidR="00B036A0" w:rsidRDefault="00B036A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69D0B" w14:textId="5385CAB9" w:rsidR="00B036A0" w:rsidRDefault="00B036A0" w:rsidP="00837C7A">
    <w:pPr>
      <w:pStyle w:val="Header-Keyline"/>
    </w:pPr>
    <w:r>
      <w:rPr>
        <w:rStyle w:val="Strong"/>
      </w:rPr>
      <w:t>Trade and Assistance Review 2023-24</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541F" w14:textId="5AD38B78" w:rsidR="00B036A0" w:rsidRDefault="00355F9B" w:rsidP="00837C7A">
    <w:pPr>
      <w:pStyle w:val="Header-KeylineRight"/>
    </w:pPr>
    <w:fldSimple w:instr="STYLEREF  &quot;Heading 1&quot;  \* MERGEFORMAT">
      <w:r w:rsidR="004A080B">
        <w:rPr>
          <w:noProof/>
        </w:rPr>
        <w:t>Australian industry assistance estimates for 2023-24</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B22F1" w14:textId="10A277A7" w:rsidR="00B036A0" w:rsidRDefault="00B036A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5394" w14:textId="247B999C" w:rsidR="00D05F5B" w:rsidRDefault="00D05F5B" w:rsidP="001C79A3">
    <w:pPr>
      <w:pStyle w:val="Header-Keyline"/>
    </w:pPr>
    <w:r>
      <w:rPr>
        <w:rStyle w:val="Strong"/>
      </w:rPr>
      <w:t>Trade and Assistance Review 2023-24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DFED5" w14:textId="780E1A71" w:rsidR="00D05F5B" w:rsidRDefault="00355F9B" w:rsidP="001C79A3">
    <w:pPr>
      <w:pStyle w:val="Header-KeylineRight"/>
    </w:pPr>
    <w:fldSimple w:instr=" STYLEREF  &quot;Heading 1&quot;  \* MERGEFORMAT ">
      <w:r w:rsidR="004A080B">
        <w:rPr>
          <w:noProof/>
        </w:rPr>
        <w:t>Australian foreign investment policy developments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40D9" w14:textId="2B6F026D" w:rsidR="00D05F5B" w:rsidRDefault="00D05F5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FBB57" w14:textId="591DBCF5" w:rsidR="001E1EA1" w:rsidRDefault="001E1EA1" w:rsidP="001C79A3">
    <w:pPr>
      <w:pStyle w:val="Header-Keyline"/>
    </w:pPr>
    <w:r>
      <w:rPr>
        <w:noProof/>
      </w:rPr>
      <w:drawing>
        <wp:anchor distT="0" distB="0" distL="114300" distR="114300" simplePos="0" relativeHeight="251658244" behindDoc="1" locked="0" layoutInCell="1" allowOverlap="1" wp14:anchorId="64E6F891" wp14:editId="5E719D72">
          <wp:simplePos x="0" y="0"/>
          <wp:positionH relativeFrom="page">
            <wp:posOffset>8890</wp:posOffset>
          </wp:positionH>
          <wp:positionV relativeFrom="paragraph">
            <wp:posOffset>-508635</wp:posOffset>
          </wp:positionV>
          <wp:extent cx="7559188" cy="10680700"/>
          <wp:effectExtent l="0" t="0" r="3810" b="6350"/>
          <wp:wrapNone/>
          <wp:docPr id="98739724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Trade and Assistance Review 2023-24</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3AF7" w14:textId="7B54AB06" w:rsidR="00EF4E76" w:rsidRDefault="00EF4E76" w:rsidP="003D780E">
    <w:pPr>
      <w:pStyle w:val="Header-Keyline"/>
    </w:pPr>
    <w:r>
      <w:rPr>
        <w:rStyle w:val="Strong"/>
      </w:rPr>
      <w:t>Trade and Assistance Review 2023-24</w:t>
    </w: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B2B8F" w14:textId="162D748C" w:rsidR="00EF4E76" w:rsidRDefault="00122B51" w:rsidP="003D780E">
    <w:pPr>
      <w:pStyle w:val="Header-KeylineRight"/>
    </w:pPr>
    <w:fldSimple w:instr=" STYLEREF  &quot;Heading 1-Section-full page&quot;  \* MERGEFORMAT ">
      <w:r w:rsidR="004A080B">
        <w:rPr>
          <w:noProof/>
        </w:rPr>
        <w:t>Appendices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EA298" w14:textId="6199B445"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4A080B">
      <w:rPr>
        <w:rStyle w:val="Strong"/>
        <w:b w:val="0"/>
        <w:bCs w:val="0"/>
        <w:noProof/>
      </w:rPr>
      <w:t>Foreword</w:t>
    </w:r>
    <w:r>
      <w:rPr>
        <w:rStyle w:val="Strong"/>
        <w:b w:val="0"/>
        <w:bCs w:val="0"/>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21273" w14:textId="7395F60C" w:rsidR="00EF4E76" w:rsidRDefault="00EF4E7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7A03" w14:textId="7D5B52C9" w:rsidR="001E1EA1" w:rsidRDefault="001E1EA1" w:rsidP="003D780E">
    <w:pPr>
      <w:pStyle w:val="Header-Keyline"/>
    </w:pPr>
    <w:r>
      <w:rPr>
        <w:noProof/>
      </w:rPr>
      <w:drawing>
        <wp:anchor distT="0" distB="0" distL="114300" distR="114300" simplePos="0" relativeHeight="251658245" behindDoc="1" locked="0" layoutInCell="1" allowOverlap="1" wp14:anchorId="44EADBD3" wp14:editId="110DB76F">
          <wp:simplePos x="0" y="0"/>
          <wp:positionH relativeFrom="page">
            <wp:align>left</wp:align>
          </wp:positionH>
          <wp:positionV relativeFrom="paragraph">
            <wp:posOffset>-508635</wp:posOffset>
          </wp:positionV>
          <wp:extent cx="7559188" cy="10680700"/>
          <wp:effectExtent l="0" t="0" r="3810" b="6350"/>
          <wp:wrapNone/>
          <wp:docPr id="162995536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flipH="1">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Trade and Assistance Review 2023-24</w:t>
    </w: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77B7" w14:textId="288A6E0B" w:rsidR="00D42E1D" w:rsidRDefault="00D42E1D" w:rsidP="003D780E">
    <w:pPr>
      <w:pStyle w:val="Header-Keyline"/>
    </w:pPr>
    <w:r>
      <w:rPr>
        <w:rStyle w:val="Strong"/>
      </w:rPr>
      <w:t>Trade and Assistance Review 2023-24</w:t>
    </w: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750D8" w14:textId="56FDF7FD" w:rsidR="006C49BC" w:rsidRDefault="00355F9B" w:rsidP="003D780E">
    <w:pPr>
      <w:pStyle w:val="Header-KeylineRight"/>
    </w:pPr>
    <w:fldSimple w:instr=" STYLEREF  Heading-Appendix  \* MERGEFORMAT ">
      <w:r w:rsidR="004A080B">
        <w:rPr>
          <w:noProof/>
        </w:rPr>
        <w:t>Literature review on trade agreement compliance costs</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8969" w14:textId="434BA7DB" w:rsidR="00EE7815" w:rsidRDefault="00EE7815" w:rsidP="003D780E">
    <w:pPr>
      <w:pStyle w:val="Header-Keyline"/>
    </w:pPr>
    <w:r>
      <w:rPr>
        <w:noProof/>
      </w:rPr>
      <w:drawing>
        <wp:anchor distT="0" distB="0" distL="114300" distR="114300" simplePos="0" relativeHeight="251658246" behindDoc="1" locked="0" layoutInCell="1" allowOverlap="1" wp14:anchorId="487342C4" wp14:editId="2D9F3B9F">
          <wp:simplePos x="0" y="0"/>
          <wp:positionH relativeFrom="page">
            <wp:posOffset>8346</wp:posOffset>
          </wp:positionH>
          <wp:positionV relativeFrom="paragraph">
            <wp:posOffset>-508635</wp:posOffset>
          </wp:positionV>
          <wp:extent cx="7559188" cy="10680700"/>
          <wp:effectExtent l="0" t="0" r="3810" b="6350"/>
          <wp:wrapNone/>
          <wp:docPr id="147224309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Trade and Assistance Review 2023-24</w:t>
    </w: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E3B8" w14:textId="0A1CD5D6" w:rsidR="00EE7815" w:rsidRDefault="00EE7815" w:rsidP="003D780E">
    <w:pPr>
      <w:pStyle w:val="Header-Keyline"/>
    </w:pPr>
    <w:r>
      <w:rPr>
        <w:rStyle w:val="Strong"/>
      </w:rPr>
      <w:t>Trade and Assistance Review 2023-24</w:t>
    </w: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4D27" w14:textId="590ABD89" w:rsidR="001A6004" w:rsidRDefault="00355F9B" w:rsidP="003D780E">
    <w:pPr>
      <w:pStyle w:val="Header-KeylineRight"/>
    </w:pPr>
    <w:fldSimple w:instr=" STYLEREF  &quot;Heading 1-no background&quot;  \* MERGEFORMAT ">
      <w:r w:rsidR="004A080B">
        <w:rPr>
          <w:noProof/>
        </w:rPr>
        <w:t>References</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2F2F" w14:textId="71FEE68D" w:rsidR="00A05BA2" w:rsidRDefault="00A05BA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1048" w14:textId="7081961F" w:rsidR="00A05BA2" w:rsidRDefault="00A972CD" w:rsidP="004D6855">
    <w:pPr>
      <w:pStyle w:val="Header-Keyline"/>
    </w:pPr>
    <w:r>
      <w:rPr>
        <w:rStyle w:val="Strong"/>
      </w:rPr>
      <w:t>Trade and Assistance Review 2023-24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96CB" w14:textId="45B9DBC5" w:rsidR="00A05BA2" w:rsidRDefault="00355F9B" w:rsidP="004D6855">
    <w:pPr>
      <w:pStyle w:val="Header-KeylineRight"/>
    </w:pPr>
    <w:fldSimple w:instr="STYLEREF  &quot;Heading 1-no background&quot;  \* MERGEFORMAT">
      <w:r w:rsidR="004A080B">
        <w:rPr>
          <w:noProof/>
        </w:rPr>
        <w:t>Contents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5DECA" w14:textId="53C8B92B" w:rsidR="00A05BA2" w:rsidRDefault="00A05BA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C54A" w14:textId="33F74FA7" w:rsidR="001F5BBB" w:rsidRDefault="001F5BBB" w:rsidP="004D6855">
    <w:pPr>
      <w:pStyle w:val="Header-Keyline"/>
    </w:pPr>
    <w:r>
      <w:rPr>
        <w:noProof/>
      </w:rPr>
      <w:drawing>
        <wp:anchor distT="0" distB="0" distL="114300" distR="114300" simplePos="0" relativeHeight="251658242" behindDoc="1" locked="0" layoutInCell="1" allowOverlap="1" wp14:anchorId="16FC6FD6" wp14:editId="603010A6">
          <wp:simplePos x="0" y="0"/>
          <wp:positionH relativeFrom="page">
            <wp:align>left</wp:align>
          </wp:positionH>
          <wp:positionV relativeFrom="paragraph">
            <wp:posOffset>-508635</wp:posOffset>
          </wp:positionV>
          <wp:extent cx="7559188" cy="10680700"/>
          <wp:effectExtent l="0" t="0" r="3810" b="6350"/>
          <wp:wrapNone/>
          <wp:docPr id="18093392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1777"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 b="1"/>
                  <a:stretch/>
                </pic:blipFill>
                <pic:spPr bwMode="auto">
                  <a:xfrm>
                    <a:off x="0" y="0"/>
                    <a:ext cx="7559188" cy="1068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Strong"/>
      </w:rPr>
      <w:t>Trade and Assistance Review 2023-24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649D" w14:textId="75B2E6C3" w:rsidR="00863AC8" w:rsidRDefault="00863AC8" w:rsidP="004D6855">
    <w:pPr>
      <w:pStyle w:val="Header-Keyline"/>
    </w:pPr>
    <w:r>
      <w:rPr>
        <w:rStyle w:val="Strong"/>
      </w:rPr>
      <w:t>Trade and Assistance Review 2023-24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3268F7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F31B7"/>
    <w:multiLevelType w:val="hybridMultilevel"/>
    <w:tmpl w:val="760E7BB4"/>
    <w:lvl w:ilvl="0" w:tplc="F466B3A0">
      <w:start w:val="3"/>
      <w:numFmt w:val="upp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4A6380"/>
    <w:multiLevelType w:val="multilevel"/>
    <w:tmpl w:val="C47EA3E6"/>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2F6F4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30B57EA"/>
    <w:multiLevelType w:val="hybridMultilevel"/>
    <w:tmpl w:val="33164E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7B562B"/>
    <w:multiLevelType w:val="hybridMultilevel"/>
    <w:tmpl w:val="DF046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90F7D41"/>
    <w:multiLevelType w:val="hybridMultilevel"/>
    <w:tmpl w:val="33164E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D80214"/>
    <w:multiLevelType w:val="multilevel"/>
    <w:tmpl w:val="C47EA3E6"/>
    <w:styleLink w:val="TableList"/>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5B704B5"/>
    <w:multiLevelType w:val="singleLevel"/>
    <w:tmpl w:val="F29E37DA"/>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7564486"/>
    <w:multiLevelType w:val="multilevel"/>
    <w:tmpl w:val="1B0E4F74"/>
    <w:lvl w:ilvl="0">
      <w:start w:val="2"/>
      <w:numFmt w:val="decimal"/>
      <w:lvlText w:val="%1"/>
      <w:lvlJc w:val="left"/>
      <w:pPr>
        <w:ind w:left="500" w:hanging="5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582142B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6" w15:restartNumberingAfterBreak="0">
    <w:nsid w:val="6134636A"/>
    <w:multiLevelType w:val="multilevel"/>
    <w:tmpl w:val="1FA8DC2A"/>
    <w:numStyleLink w:val="Numbering"/>
  </w:abstractNum>
  <w:abstractNum w:abstractNumId="27" w15:restartNumberingAfterBreak="0">
    <w:nsid w:val="72C40F8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61B4A1B"/>
    <w:multiLevelType w:val="multilevel"/>
    <w:tmpl w:val="4F48000A"/>
    <w:numStyleLink w:val="Alphalist"/>
  </w:abstractNum>
  <w:abstractNum w:abstractNumId="29" w15:restartNumberingAfterBreak="0">
    <w:nsid w:val="7F67566D"/>
    <w:multiLevelType w:val="hybridMultilevel"/>
    <w:tmpl w:val="401C04FE"/>
    <w:lvl w:ilvl="0" w:tplc="9AD0A61E">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4133809">
    <w:abstractNumId w:val="4"/>
  </w:num>
  <w:num w:numId="2" w16cid:durableId="307517532">
    <w:abstractNumId w:val="6"/>
    <w:lvlOverride w:ilvl="0">
      <w:lvl w:ilvl="0">
        <w:start w:val="1"/>
        <w:numFmt w:val="bullet"/>
        <w:pStyle w:val="ListBullet"/>
        <w:lvlText w:val="•"/>
        <w:lvlJc w:val="left"/>
        <w:pPr>
          <w:ind w:left="227" w:hanging="227"/>
        </w:pPr>
        <w:rPr>
          <w:rFonts w:ascii="Times New Roman" w:hAnsi="Times New Roman" w:cs="Times New Roman" w:hint="default"/>
          <w:color w:val="auto"/>
          <w:lang w:val="fr-FR"/>
        </w:rPr>
      </w:lvl>
    </w:lvlOverride>
  </w:num>
  <w:num w:numId="3" w16cid:durableId="58403385">
    <w:abstractNumId w:val="19"/>
  </w:num>
  <w:num w:numId="4" w16cid:durableId="710612014">
    <w:abstractNumId w:val="20"/>
  </w:num>
  <w:num w:numId="5" w16cid:durableId="1536116598">
    <w:abstractNumId w:val="18"/>
  </w:num>
  <w:num w:numId="6" w16cid:durableId="1927810915">
    <w:abstractNumId w:val="8"/>
  </w:num>
  <w:num w:numId="7" w16cid:durableId="525606724">
    <w:abstractNumId w:val="11"/>
  </w:num>
  <w:num w:numId="8" w16cid:durableId="406730921">
    <w:abstractNumId w:val="24"/>
  </w:num>
  <w:num w:numId="9" w16cid:durableId="1472477195">
    <w:abstractNumId w:val="25"/>
  </w:num>
  <w:num w:numId="10" w16cid:durableId="1214611050">
    <w:abstractNumId w:val="17"/>
  </w:num>
  <w:num w:numId="11" w16cid:durableId="694577476">
    <w:abstractNumId w:val="9"/>
  </w:num>
  <w:num w:numId="12" w16cid:durableId="1138494996">
    <w:abstractNumId w:val="5"/>
  </w:num>
  <w:num w:numId="13" w16cid:durableId="531574487">
    <w:abstractNumId w:val="7"/>
  </w:num>
  <w:num w:numId="14" w16cid:durableId="1266615315">
    <w:abstractNumId w:val="16"/>
  </w:num>
  <w:num w:numId="15" w16cid:durableId="1723362947">
    <w:abstractNumId w:val="6"/>
    <w:lvlOverride w:ilvl="0">
      <w:startOverride w:val="1"/>
      <w:lvl w:ilvl="0">
        <w:start w:val="1"/>
        <w:numFmt w:val="bullet"/>
        <w:pStyle w:val="ListBullet"/>
        <w:lvlText w:val="•"/>
        <w:lvlJc w:val="left"/>
        <w:pPr>
          <w:ind w:left="227" w:hanging="227"/>
        </w:pPr>
        <w:rPr>
          <w:rFonts w:ascii="Times New Roman" w:hAnsi="Times New Roman" w:cs="Times New Roman" w:hint="default"/>
          <w:color w:val="auto"/>
          <w:lang w:val="fr-FR"/>
        </w:rPr>
      </w:lvl>
    </w:lvlOverride>
    <w:lvlOverride w:ilvl="1">
      <w:startOverride w:val="1"/>
      <w:lvl w:ilvl="1">
        <w:start w:val="1"/>
        <w:numFmt w:val="decimal"/>
        <w:pStyle w:val="ListBullet2"/>
        <w:lvlText w:val=""/>
        <w:lvlJc w:val="left"/>
      </w:lvl>
    </w:lvlOverride>
    <w:lvlOverride w:ilvl="2">
      <w:startOverride w:val="1"/>
      <w:lvl w:ilvl="2">
        <w:start w:val="1"/>
        <w:numFmt w:val="decimal"/>
        <w:pStyle w:val="ListBullet3"/>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2"/>
      <w:lvl w:ilvl="5">
        <w:start w:val="2"/>
        <w:numFmt w:val="decimal"/>
        <w:lvlText w:val=""/>
        <w:lvlJc w:val="left"/>
      </w:lvl>
    </w:lvlOverride>
  </w:num>
  <w:num w:numId="16" w16cid:durableId="635377976">
    <w:abstractNumId w:val="14"/>
  </w:num>
  <w:num w:numId="17" w16cid:durableId="1766729428">
    <w:abstractNumId w:val="13"/>
  </w:num>
  <w:num w:numId="18" w16cid:durableId="2897165">
    <w:abstractNumId w:val="28"/>
    <w:lvlOverride w:ilvl="0">
      <w:lvl w:ilvl="0">
        <w:start w:val="1"/>
        <w:numFmt w:val="lowerLetter"/>
        <w:pStyle w:val="ListAlpha1"/>
        <w:lvlText w:val="%1."/>
        <w:lvlJc w:val="left"/>
        <w:pPr>
          <w:ind w:left="227" w:hanging="227"/>
        </w:pPr>
        <w:rPr>
          <w:rFonts w:hint="default"/>
        </w:rPr>
      </w:lvl>
    </w:lvlOverride>
  </w:num>
  <w:num w:numId="19" w16cid:durableId="1640956334">
    <w:abstractNumId w:val="0"/>
  </w:num>
  <w:num w:numId="20" w16cid:durableId="1758987384">
    <w:abstractNumId w:val="26"/>
  </w:num>
  <w:num w:numId="21" w16cid:durableId="924417224">
    <w:abstractNumId w:val="10"/>
  </w:num>
  <w:num w:numId="22" w16cid:durableId="1079402982">
    <w:abstractNumId w:val="6"/>
  </w:num>
  <w:num w:numId="23" w16cid:durableId="2006204888">
    <w:abstractNumId w:val="3"/>
  </w:num>
  <w:num w:numId="24" w16cid:durableId="8155319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6646655">
    <w:abstractNumId w:val="29"/>
  </w:num>
  <w:num w:numId="26" w16cid:durableId="266893125">
    <w:abstractNumId w:val="21"/>
  </w:num>
  <w:num w:numId="27" w16cid:durableId="939873719">
    <w:abstractNumId w:val="22"/>
  </w:num>
  <w:num w:numId="28" w16cid:durableId="1968971883">
    <w:abstractNumId w:val="15"/>
  </w:num>
  <w:num w:numId="29" w16cid:durableId="90123064">
    <w:abstractNumId w:val="1"/>
  </w:num>
  <w:num w:numId="30" w16cid:durableId="1411002747">
    <w:abstractNumId w:val="12"/>
  </w:num>
  <w:num w:numId="31" w16cid:durableId="2063020228">
    <w:abstractNumId w:val="23"/>
  </w:num>
  <w:num w:numId="32" w16cid:durableId="686561324">
    <w:abstractNumId w:val="27"/>
  </w:num>
  <w:num w:numId="33" w16cid:durableId="2060930340">
    <w:abstractNumId w:val="6"/>
  </w:num>
  <w:num w:numId="34" w16cid:durableId="2023432934">
    <w:abstractNumId w:val="14"/>
    <w:lvlOverride w:ilvl="0">
      <w:lvl w:ilvl="0">
        <w:start w:val="1"/>
        <w:numFmt w:val="upperLetter"/>
        <w:pStyle w:val="Heading-Appendix"/>
        <w:lvlText w:val="%1."/>
        <w:lvlJc w:val="left"/>
        <w:pPr>
          <w:ind w:left="1418" w:hanging="851"/>
        </w:pPr>
        <w:rPr>
          <w:rFonts w:hint="default"/>
        </w:rPr>
      </w:lvl>
    </w:lvlOverride>
    <w:lvlOverride w:ilvl="1">
      <w:lvl w:ilvl="1">
        <w:start w:val="1"/>
        <w:numFmt w:val="decimal"/>
        <w:pStyle w:val="Heading2-Appendix"/>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15913091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6906249">
    <w:abstractNumId w:val="14"/>
    <w:lvlOverride w:ilvl="0">
      <w:lvl w:ilvl="0">
        <w:start w:val="1"/>
        <w:numFmt w:val="upperLetter"/>
        <w:pStyle w:val="Heading-Appendix"/>
        <w:lvlText w:val="%1."/>
        <w:lvlJc w:val="left"/>
        <w:pPr>
          <w:ind w:left="1418" w:hanging="851"/>
        </w:pPr>
        <w:rPr>
          <w:rFonts w:hint="default"/>
        </w:rPr>
      </w:lvl>
    </w:lvlOverride>
    <w:lvlOverride w:ilvl="1">
      <w:lvl w:ilvl="1">
        <w:start w:val="1"/>
        <w:numFmt w:val="decimal"/>
        <w:pStyle w:val="Heading2-Appendix"/>
        <w:lvlText w:val="%1.%2"/>
        <w:lvlJc w:val="left"/>
        <w:pPr>
          <w:ind w:left="851"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1365639170">
    <w:abstractNumId w:val="2"/>
  </w:num>
  <w:num w:numId="38" w16cid:durableId="265430242">
    <w:abstractNumId w:val="14"/>
  </w:num>
  <w:num w:numId="39" w16cid:durableId="1372222490">
    <w:abstractNumId w:val="14"/>
  </w:num>
  <w:num w:numId="40" w16cid:durableId="1549761191">
    <w:abstractNumId w:val="14"/>
  </w:num>
  <w:num w:numId="41" w16cid:durableId="785664612">
    <w:abstractNumId w:val="14"/>
  </w:num>
  <w:num w:numId="42" w16cid:durableId="998770520">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32DB08A-2E62-4717-9711-63CE0DC61642}"/>
    <w:docVar w:name="dgnword-eventsink" w:val="2339986285696"/>
  </w:docVars>
  <w:rsids>
    <w:rsidRoot w:val="003A15EC"/>
    <w:rsid w:val="0000001B"/>
    <w:rsid w:val="00000039"/>
    <w:rsid w:val="00000075"/>
    <w:rsid w:val="00000097"/>
    <w:rsid w:val="0000020C"/>
    <w:rsid w:val="0000075D"/>
    <w:rsid w:val="00000B05"/>
    <w:rsid w:val="00000BE6"/>
    <w:rsid w:val="00000C32"/>
    <w:rsid w:val="00000D46"/>
    <w:rsid w:val="00000E95"/>
    <w:rsid w:val="00000F3C"/>
    <w:rsid w:val="00001179"/>
    <w:rsid w:val="0000144A"/>
    <w:rsid w:val="000017ED"/>
    <w:rsid w:val="000018B2"/>
    <w:rsid w:val="0000194C"/>
    <w:rsid w:val="000019EB"/>
    <w:rsid w:val="0000203C"/>
    <w:rsid w:val="0000207A"/>
    <w:rsid w:val="0000216E"/>
    <w:rsid w:val="0000216F"/>
    <w:rsid w:val="000021CD"/>
    <w:rsid w:val="0000235D"/>
    <w:rsid w:val="0000260B"/>
    <w:rsid w:val="0000287C"/>
    <w:rsid w:val="000028D3"/>
    <w:rsid w:val="0000293D"/>
    <w:rsid w:val="00002991"/>
    <w:rsid w:val="00002C80"/>
    <w:rsid w:val="00002DD1"/>
    <w:rsid w:val="00002EDB"/>
    <w:rsid w:val="00002FF2"/>
    <w:rsid w:val="00003001"/>
    <w:rsid w:val="000032CF"/>
    <w:rsid w:val="000035D1"/>
    <w:rsid w:val="0000373E"/>
    <w:rsid w:val="000038B2"/>
    <w:rsid w:val="00003CA9"/>
    <w:rsid w:val="00003DB4"/>
    <w:rsid w:val="00003EB0"/>
    <w:rsid w:val="0000401F"/>
    <w:rsid w:val="00004048"/>
    <w:rsid w:val="000040FB"/>
    <w:rsid w:val="00004111"/>
    <w:rsid w:val="000042E5"/>
    <w:rsid w:val="000043C4"/>
    <w:rsid w:val="000043D0"/>
    <w:rsid w:val="00004489"/>
    <w:rsid w:val="00004584"/>
    <w:rsid w:val="000046A1"/>
    <w:rsid w:val="00004703"/>
    <w:rsid w:val="00004D88"/>
    <w:rsid w:val="00004E55"/>
    <w:rsid w:val="00005270"/>
    <w:rsid w:val="00005361"/>
    <w:rsid w:val="000053A5"/>
    <w:rsid w:val="000053F4"/>
    <w:rsid w:val="00005430"/>
    <w:rsid w:val="00005C79"/>
    <w:rsid w:val="00005C7D"/>
    <w:rsid w:val="00005E06"/>
    <w:rsid w:val="000064DC"/>
    <w:rsid w:val="00006503"/>
    <w:rsid w:val="000066C8"/>
    <w:rsid w:val="00006758"/>
    <w:rsid w:val="0000689A"/>
    <w:rsid w:val="000068B5"/>
    <w:rsid w:val="00006A76"/>
    <w:rsid w:val="00006F86"/>
    <w:rsid w:val="00007156"/>
    <w:rsid w:val="00007668"/>
    <w:rsid w:val="000078BA"/>
    <w:rsid w:val="00007913"/>
    <w:rsid w:val="00007973"/>
    <w:rsid w:val="00007AA3"/>
    <w:rsid w:val="00007AEB"/>
    <w:rsid w:val="00007CFF"/>
    <w:rsid w:val="00010075"/>
    <w:rsid w:val="0001026F"/>
    <w:rsid w:val="00010317"/>
    <w:rsid w:val="00010592"/>
    <w:rsid w:val="00010675"/>
    <w:rsid w:val="00010905"/>
    <w:rsid w:val="00010A9C"/>
    <w:rsid w:val="00010C2C"/>
    <w:rsid w:val="00010FDE"/>
    <w:rsid w:val="000117B1"/>
    <w:rsid w:val="000117D2"/>
    <w:rsid w:val="000119F1"/>
    <w:rsid w:val="00011A21"/>
    <w:rsid w:val="00011AE9"/>
    <w:rsid w:val="00011E16"/>
    <w:rsid w:val="00011E5B"/>
    <w:rsid w:val="00011F88"/>
    <w:rsid w:val="000121E5"/>
    <w:rsid w:val="00012734"/>
    <w:rsid w:val="0001279E"/>
    <w:rsid w:val="000127BD"/>
    <w:rsid w:val="00012A81"/>
    <w:rsid w:val="00012AD7"/>
    <w:rsid w:val="00012C04"/>
    <w:rsid w:val="00012CAB"/>
    <w:rsid w:val="00012CB9"/>
    <w:rsid w:val="00012E17"/>
    <w:rsid w:val="00012F46"/>
    <w:rsid w:val="00013130"/>
    <w:rsid w:val="00013510"/>
    <w:rsid w:val="00013727"/>
    <w:rsid w:val="00013845"/>
    <w:rsid w:val="00013985"/>
    <w:rsid w:val="00013B2B"/>
    <w:rsid w:val="00013B69"/>
    <w:rsid w:val="00013FA3"/>
    <w:rsid w:val="00013FB9"/>
    <w:rsid w:val="00014182"/>
    <w:rsid w:val="00014365"/>
    <w:rsid w:val="0001445D"/>
    <w:rsid w:val="00014835"/>
    <w:rsid w:val="000149D3"/>
    <w:rsid w:val="00014B9C"/>
    <w:rsid w:val="00014D01"/>
    <w:rsid w:val="00014D90"/>
    <w:rsid w:val="00014EAB"/>
    <w:rsid w:val="0001518F"/>
    <w:rsid w:val="000155A0"/>
    <w:rsid w:val="0001577D"/>
    <w:rsid w:val="00016082"/>
    <w:rsid w:val="000160D2"/>
    <w:rsid w:val="0001630A"/>
    <w:rsid w:val="0001630D"/>
    <w:rsid w:val="0001636E"/>
    <w:rsid w:val="000165F1"/>
    <w:rsid w:val="00016855"/>
    <w:rsid w:val="00016A3F"/>
    <w:rsid w:val="00016A41"/>
    <w:rsid w:val="00016AA3"/>
    <w:rsid w:val="0001710F"/>
    <w:rsid w:val="00017165"/>
    <w:rsid w:val="000173D4"/>
    <w:rsid w:val="000173F3"/>
    <w:rsid w:val="000176AE"/>
    <w:rsid w:val="000179E5"/>
    <w:rsid w:val="00017B67"/>
    <w:rsid w:val="00017B83"/>
    <w:rsid w:val="00017C5A"/>
    <w:rsid w:val="00017EFF"/>
    <w:rsid w:val="00020155"/>
    <w:rsid w:val="0002085C"/>
    <w:rsid w:val="0002097D"/>
    <w:rsid w:val="00020D1C"/>
    <w:rsid w:val="00020D25"/>
    <w:rsid w:val="00020E13"/>
    <w:rsid w:val="00020F37"/>
    <w:rsid w:val="00021377"/>
    <w:rsid w:val="000216A4"/>
    <w:rsid w:val="00021A38"/>
    <w:rsid w:val="00021A63"/>
    <w:rsid w:val="00021A85"/>
    <w:rsid w:val="00021AB7"/>
    <w:rsid w:val="00021C88"/>
    <w:rsid w:val="00021CA2"/>
    <w:rsid w:val="00021DA8"/>
    <w:rsid w:val="00022487"/>
    <w:rsid w:val="00022501"/>
    <w:rsid w:val="0002274E"/>
    <w:rsid w:val="000228B9"/>
    <w:rsid w:val="00022D3D"/>
    <w:rsid w:val="0002326C"/>
    <w:rsid w:val="00023571"/>
    <w:rsid w:val="000238F3"/>
    <w:rsid w:val="00023A45"/>
    <w:rsid w:val="00023D38"/>
    <w:rsid w:val="00024679"/>
    <w:rsid w:val="000247B0"/>
    <w:rsid w:val="000249EB"/>
    <w:rsid w:val="00024D9D"/>
    <w:rsid w:val="00024DF0"/>
    <w:rsid w:val="00024EB0"/>
    <w:rsid w:val="00024F5C"/>
    <w:rsid w:val="00025166"/>
    <w:rsid w:val="000251FA"/>
    <w:rsid w:val="0002540F"/>
    <w:rsid w:val="00025476"/>
    <w:rsid w:val="00025483"/>
    <w:rsid w:val="000254DA"/>
    <w:rsid w:val="00025514"/>
    <w:rsid w:val="0002554E"/>
    <w:rsid w:val="000255C7"/>
    <w:rsid w:val="000255EA"/>
    <w:rsid w:val="0002577E"/>
    <w:rsid w:val="00025D1E"/>
    <w:rsid w:val="00025D21"/>
    <w:rsid w:val="00025EB2"/>
    <w:rsid w:val="00026153"/>
    <w:rsid w:val="00026591"/>
    <w:rsid w:val="00026933"/>
    <w:rsid w:val="00026AA3"/>
    <w:rsid w:val="00026B13"/>
    <w:rsid w:val="00026C04"/>
    <w:rsid w:val="00026C9E"/>
    <w:rsid w:val="00026E52"/>
    <w:rsid w:val="000272E1"/>
    <w:rsid w:val="0002774C"/>
    <w:rsid w:val="00027B14"/>
    <w:rsid w:val="00027B61"/>
    <w:rsid w:val="00027E74"/>
    <w:rsid w:val="00027FC0"/>
    <w:rsid w:val="00027FEA"/>
    <w:rsid w:val="000300AF"/>
    <w:rsid w:val="00030253"/>
    <w:rsid w:val="00030509"/>
    <w:rsid w:val="0003091B"/>
    <w:rsid w:val="00030920"/>
    <w:rsid w:val="00030973"/>
    <w:rsid w:val="000309B9"/>
    <w:rsid w:val="00030D3F"/>
    <w:rsid w:val="00031536"/>
    <w:rsid w:val="0003156E"/>
    <w:rsid w:val="00031C88"/>
    <w:rsid w:val="00032164"/>
    <w:rsid w:val="00032302"/>
    <w:rsid w:val="0003236E"/>
    <w:rsid w:val="00032404"/>
    <w:rsid w:val="0003241A"/>
    <w:rsid w:val="0003257C"/>
    <w:rsid w:val="00032651"/>
    <w:rsid w:val="00032790"/>
    <w:rsid w:val="00032903"/>
    <w:rsid w:val="00032985"/>
    <w:rsid w:val="000329EC"/>
    <w:rsid w:val="00032B2F"/>
    <w:rsid w:val="00032C6E"/>
    <w:rsid w:val="00032EB1"/>
    <w:rsid w:val="00033121"/>
    <w:rsid w:val="000331DE"/>
    <w:rsid w:val="000331E4"/>
    <w:rsid w:val="00033209"/>
    <w:rsid w:val="0003329E"/>
    <w:rsid w:val="00033349"/>
    <w:rsid w:val="0003338D"/>
    <w:rsid w:val="0003345D"/>
    <w:rsid w:val="00033619"/>
    <w:rsid w:val="00033732"/>
    <w:rsid w:val="00033847"/>
    <w:rsid w:val="00033A37"/>
    <w:rsid w:val="00033AC7"/>
    <w:rsid w:val="00033EEE"/>
    <w:rsid w:val="00033FAC"/>
    <w:rsid w:val="00034435"/>
    <w:rsid w:val="000345AD"/>
    <w:rsid w:val="000346E6"/>
    <w:rsid w:val="0003481A"/>
    <w:rsid w:val="00034871"/>
    <w:rsid w:val="00034CE5"/>
    <w:rsid w:val="00034E33"/>
    <w:rsid w:val="00035020"/>
    <w:rsid w:val="000351D6"/>
    <w:rsid w:val="0003531C"/>
    <w:rsid w:val="0003539F"/>
    <w:rsid w:val="000353F9"/>
    <w:rsid w:val="00035504"/>
    <w:rsid w:val="00035520"/>
    <w:rsid w:val="00035527"/>
    <w:rsid w:val="000355C8"/>
    <w:rsid w:val="000355DA"/>
    <w:rsid w:val="00035E2C"/>
    <w:rsid w:val="00035FDC"/>
    <w:rsid w:val="00036418"/>
    <w:rsid w:val="0003651D"/>
    <w:rsid w:val="00036E2C"/>
    <w:rsid w:val="0003707A"/>
    <w:rsid w:val="000371A3"/>
    <w:rsid w:val="0003731F"/>
    <w:rsid w:val="000373BA"/>
    <w:rsid w:val="00037833"/>
    <w:rsid w:val="0003794B"/>
    <w:rsid w:val="000379DB"/>
    <w:rsid w:val="00037B01"/>
    <w:rsid w:val="00037C69"/>
    <w:rsid w:val="00037CE9"/>
    <w:rsid w:val="00037D27"/>
    <w:rsid w:val="00037E2B"/>
    <w:rsid w:val="0004004C"/>
    <w:rsid w:val="00040339"/>
    <w:rsid w:val="00040452"/>
    <w:rsid w:val="00040638"/>
    <w:rsid w:val="000406CD"/>
    <w:rsid w:val="00040726"/>
    <w:rsid w:val="0004084F"/>
    <w:rsid w:val="0004091D"/>
    <w:rsid w:val="00040A7A"/>
    <w:rsid w:val="00040F6E"/>
    <w:rsid w:val="00040FB2"/>
    <w:rsid w:val="00040FF7"/>
    <w:rsid w:val="000410E6"/>
    <w:rsid w:val="0004152D"/>
    <w:rsid w:val="00041947"/>
    <w:rsid w:val="00041BB3"/>
    <w:rsid w:val="00041C10"/>
    <w:rsid w:val="00041E20"/>
    <w:rsid w:val="00041ECB"/>
    <w:rsid w:val="00042269"/>
    <w:rsid w:val="00042759"/>
    <w:rsid w:val="00042A9C"/>
    <w:rsid w:val="00042CAD"/>
    <w:rsid w:val="00042D1F"/>
    <w:rsid w:val="00042D70"/>
    <w:rsid w:val="00042DB0"/>
    <w:rsid w:val="0004312D"/>
    <w:rsid w:val="0004325D"/>
    <w:rsid w:val="00043507"/>
    <w:rsid w:val="0004356D"/>
    <w:rsid w:val="000435A2"/>
    <w:rsid w:val="0004385C"/>
    <w:rsid w:val="000438E4"/>
    <w:rsid w:val="00043946"/>
    <w:rsid w:val="00043A81"/>
    <w:rsid w:val="00043E53"/>
    <w:rsid w:val="00044005"/>
    <w:rsid w:val="0004402C"/>
    <w:rsid w:val="000441FD"/>
    <w:rsid w:val="00044267"/>
    <w:rsid w:val="00044288"/>
    <w:rsid w:val="000442F4"/>
    <w:rsid w:val="00044584"/>
    <w:rsid w:val="00044814"/>
    <w:rsid w:val="0004490F"/>
    <w:rsid w:val="00044C2A"/>
    <w:rsid w:val="00044CFD"/>
    <w:rsid w:val="00044E6A"/>
    <w:rsid w:val="00045246"/>
    <w:rsid w:val="0004555A"/>
    <w:rsid w:val="000457DD"/>
    <w:rsid w:val="0004588E"/>
    <w:rsid w:val="000459CC"/>
    <w:rsid w:val="00045D2B"/>
    <w:rsid w:val="00045FAF"/>
    <w:rsid w:val="0004621E"/>
    <w:rsid w:val="00046274"/>
    <w:rsid w:val="000462DF"/>
    <w:rsid w:val="0004646B"/>
    <w:rsid w:val="00046597"/>
    <w:rsid w:val="00046975"/>
    <w:rsid w:val="00046DE4"/>
    <w:rsid w:val="00046E61"/>
    <w:rsid w:val="000473E5"/>
    <w:rsid w:val="00047468"/>
    <w:rsid w:val="00047621"/>
    <w:rsid w:val="000476F3"/>
    <w:rsid w:val="00047789"/>
    <w:rsid w:val="0004779D"/>
    <w:rsid w:val="00047894"/>
    <w:rsid w:val="000479A2"/>
    <w:rsid w:val="00047D35"/>
    <w:rsid w:val="00047D85"/>
    <w:rsid w:val="00047EC1"/>
    <w:rsid w:val="00047EF9"/>
    <w:rsid w:val="00050122"/>
    <w:rsid w:val="0005018E"/>
    <w:rsid w:val="00050369"/>
    <w:rsid w:val="0005049D"/>
    <w:rsid w:val="0005054B"/>
    <w:rsid w:val="00050A07"/>
    <w:rsid w:val="00050AE4"/>
    <w:rsid w:val="00050BE1"/>
    <w:rsid w:val="00050E86"/>
    <w:rsid w:val="0005106A"/>
    <w:rsid w:val="00051478"/>
    <w:rsid w:val="000514BA"/>
    <w:rsid w:val="000514F2"/>
    <w:rsid w:val="0005151B"/>
    <w:rsid w:val="00051585"/>
    <w:rsid w:val="00051630"/>
    <w:rsid w:val="00051770"/>
    <w:rsid w:val="00051B32"/>
    <w:rsid w:val="00051C83"/>
    <w:rsid w:val="00051EE8"/>
    <w:rsid w:val="0005208A"/>
    <w:rsid w:val="00052253"/>
    <w:rsid w:val="000522D0"/>
    <w:rsid w:val="0005232B"/>
    <w:rsid w:val="000523A0"/>
    <w:rsid w:val="0005246F"/>
    <w:rsid w:val="0005262C"/>
    <w:rsid w:val="000528DA"/>
    <w:rsid w:val="00052C53"/>
    <w:rsid w:val="00052D92"/>
    <w:rsid w:val="00052ED8"/>
    <w:rsid w:val="00052FB6"/>
    <w:rsid w:val="0005316C"/>
    <w:rsid w:val="00053187"/>
    <w:rsid w:val="000532A3"/>
    <w:rsid w:val="0005332A"/>
    <w:rsid w:val="00053371"/>
    <w:rsid w:val="0005349F"/>
    <w:rsid w:val="00053649"/>
    <w:rsid w:val="0005389C"/>
    <w:rsid w:val="00053B5A"/>
    <w:rsid w:val="00053CCA"/>
    <w:rsid w:val="00053DD3"/>
    <w:rsid w:val="000540A2"/>
    <w:rsid w:val="0005428F"/>
    <w:rsid w:val="000542E1"/>
    <w:rsid w:val="000543F2"/>
    <w:rsid w:val="0005447E"/>
    <w:rsid w:val="00054528"/>
    <w:rsid w:val="000545A7"/>
    <w:rsid w:val="00054678"/>
    <w:rsid w:val="000547EB"/>
    <w:rsid w:val="00054877"/>
    <w:rsid w:val="000548B0"/>
    <w:rsid w:val="00054AAB"/>
    <w:rsid w:val="00054AE1"/>
    <w:rsid w:val="00054C32"/>
    <w:rsid w:val="00054C95"/>
    <w:rsid w:val="00054E7D"/>
    <w:rsid w:val="00055007"/>
    <w:rsid w:val="000552B2"/>
    <w:rsid w:val="000554B5"/>
    <w:rsid w:val="00055706"/>
    <w:rsid w:val="00055814"/>
    <w:rsid w:val="00055A81"/>
    <w:rsid w:val="00055BCF"/>
    <w:rsid w:val="00055D46"/>
    <w:rsid w:val="00055E34"/>
    <w:rsid w:val="00055FCB"/>
    <w:rsid w:val="000561CF"/>
    <w:rsid w:val="00056389"/>
    <w:rsid w:val="00056604"/>
    <w:rsid w:val="000569C6"/>
    <w:rsid w:val="00056A19"/>
    <w:rsid w:val="00056D59"/>
    <w:rsid w:val="00057251"/>
    <w:rsid w:val="0005774F"/>
    <w:rsid w:val="000577A3"/>
    <w:rsid w:val="00057993"/>
    <w:rsid w:val="00057A1C"/>
    <w:rsid w:val="00057BD6"/>
    <w:rsid w:val="00057F0B"/>
    <w:rsid w:val="00057F29"/>
    <w:rsid w:val="000603FB"/>
    <w:rsid w:val="00060763"/>
    <w:rsid w:val="000607E3"/>
    <w:rsid w:val="00060913"/>
    <w:rsid w:val="00060954"/>
    <w:rsid w:val="00060A99"/>
    <w:rsid w:val="00060AB9"/>
    <w:rsid w:val="00060BCD"/>
    <w:rsid w:val="00060E02"/>
    <w:rsid w:val="000610C2"/>
    <w:rsid w:val="00061266"/>
    <w:rsid w:val="000612C9"/>
    <w:rsid w:val="000615AE"/>
    <w:rsid w:val="000616B2"/>
    <w:rsid w:val="00061719"/>
    <w:rsid w:val="00061A6E"/>
    <w:rsid w:val="00061BB9"/>
    <w:rsid w:val="00061C67"/>
    <w:rsid w:val="00061DF6"/>
    <w:rsid w:val="00061E83"/>
    <w:rsid w:val="00062A2C"/>
    <w:rsid w:val="00062A44"/>
    <w:rsid w:val="00062CB4"/>
    <w:rsid w:val="00063010"/>
    <w:rsid w:val="00063069"/>
    <w:rsid w:val="00063562"/>
    <w:rsid w:val="00063645"/>
    <w:rsid w:val="00063812"/>
    <w:rsid w:val="00063892"/>
    <w:rsid w:val="000638F2"/>
    <w:rsid w:val="00063964"/>
    <w:rsid w:val="00063CE2"/>
    <w:rsid w:val="0006401C"/>
    <w:rsid w:val="000643FF"/>
    <w:rsid w:val="000647AF"/>
    <w:rsid w:val="00064888"/>
    <w:rsid w:val="00064AA3"/>
    <w:rsid w:val="00064AFC"/>
    <w:rsid w:val="00064C12"/>
    <w:rsid w:val="00064FCD"/>
    <w:rsid w:val="00065176"/>
    <w:rsid w:val="000651BD"/>
    <w:rsid w:val="00065216"/>
    <w:rsid w:val="00065326"/>
    <w:rsid w:val="000657C1"/>
    <w:rsid w:val="00065EDC"/>
    <w:rsid w:val="00066096"/>
    <w:rsid w:val="000660BE"/>
    <w:rsid w:val="00066645"/>
    <w:rsid w:val="000667E1"/>
    <w:rsid w:val="00066ABB"/>
    <w:rsid w:val="00066ADA"/>
    <w:rsid w:val="00066C79"/>
    <w:rsid w:val="00066C9D"/>
    <w:rsid w:val="00066ECC"/>
    <w:rsid w:val="0006724E"/>
    <w:rsid w:val="000672AB"/>
    <w:rsid w:val="000672D8"/>
    <w:rsid w:val="00067530"/>
    <w:rsid w:val="00067544"/>
    <w:rsid w:val="00067766"/>
    <w:rsid w:val="00067AC2"/>
    <w:rsid w:val="00067AFE"/>
    <w:rsid w:val="00067DB8"/>
    <w:rsid w:val="00067DF5"/>
    <w:rsid w:val="00070048"/>
    <w:rsid w:val="00070170"/>
    <w:rsid w:val="000703FA"/>
    <w:rsid w:val="00070451"/>
    <w:rsid w:val="000704B6"/>
    <w:rsid w:val="00070558"/>
    <w:rsid w:val="000705E7"/>
    <w:rsid w:val="00070616"/>
    <w:rsid w:val="00070748"/>
    <w:rsid w:val="00070AF4"/>
    <w:rsid w:val="00070B0F"/>
    <w:rsid w:val="000710C1"/>
    <w:rsid w:val="000713AC"/>
    <w:rsid w:val="000714C6"/>
    <w:rsid w:val="00071524"/>
    <w:rsid w:val="00071783"/>
    <w:rsid w:val="00071E84"/>
    <w:rsid w:val="00071E90"/>
    <w:rsid w:val="000721EB"/>
    <w:rsid w:val="00072268"/>
    <w:rsid w:val="000722AE"/>
    <w:rsid w:val="000724AE"/>
    <w:rsid w:val="000725DC"/>
    <w:rsid w:val="00072626"/>
    <w:rsid w:val="00072B48"/>
    <w:rsid w:val="00072F8C"/>
    <w:rsid w:val="00073048"/>
    <w:rsid w:val="00073417"/>
    <w:rsid w:val="0007355D"/>
    <w:rsid w:val="00073778"/>
    <w:rsid w:val="000737F1"/>
    <w:rsid w:val="00073D15"/>
    <w:rsid w:val="000740CF"/>
    <w:rsid w:val="000741C8"/>
    <w:rsid w:val="00074478"/>
    <w:rsid w:val="00074B55"/>
    <w:rsid w:val="00074BB2"/>
    <w:rsid w:val="00074E9F"/>
    <w:rsid w:val="00074EB7"/>
    <w:rsid w:val="000752A5"/>
    <w:rsid w:val="0007585B"/>
    <w:rsid w:val="000758A7"/>
    <w:rsid w:val="00075A0B"/>
    <w:rsid w:val="00075A37"/>
    <w:rsid w:val="00075AA8"/>
    <w:rsid w:val="00075B22"/>
    <w:rsid w:val="00075B46"/>
    <w:rsid w:val="00075DEB"/>
    <w:rsid w:val="00075FE1"/>
    <w:rsid w:val="000760CC"/>
    <w:rsid w:val="00076102"/>
    <w:rsid w:val="0007615A"/>
    <w:rsid w:val="00076251"/>
    <w:rsid w:val="00076280"/>
    <w:rsid w:val="000766E9"/>
    <w:rsid w:val="0007673D"/>
    <w:rsid w:val="00076816"/>
    <w:rsid w:val="00076900"/>
    <w:rsid w:val="00076E2C"/>
    <w:rsid w:val="00076E3C"/>
    <w:rsid w:val="00076EDC"/>
    <w:rsid w:val="00076FAB"/>
    <w:rsid w:val="00077020"/>
    <w:rsid w:val="00077067"/>
    <w:rsid w:val="0007721E"/>
    <w:rsid w:val="0007724E"/>
    <w:rsid w:val="000773FC"/>
    <w:rsid w:val="00077474"/>
    <w:rsid w:val="000774D2"/>
    <w:rsid w:val="000774DB"/>
    <w:rsid w:val="0007774A"/>
    <w:rsid w:val="0007776A"/>
    <w:rsid w:val="000778C5"/>
    <w:rsid w:val="00077A76"/>
    <w:rsid w:val="00077B65"/>
    <w:rsid w:val="00077BE2"/>
    <w:rsid w:val="00077F9A"/>
    <w:rsid w:val="00077F9F"/>
    <w:rsid w:val="0008032B"/>
    <w:rsid w:val="0008037D"/>
    <w:rsid w:val="000803E1"/>
    <w:rsid w:val="0008047F"/>
    <w:rsid w:val="00080561"/>
    <w:rsid w:val="00080671"/>
    <w:rsid w:val="00080979"/>
    <w:rsid w:val="00080FF2"/>
    <w:rsid w:val="00080FFE"/>
    <w:rsid w:val="00081014"/>
    <w:rsid w:val="000810BF"/>
    <w:rsid w:val="0008114F"/>
    <w:rsid w:val="00081185"/>
    <w:rsid w:val="0008145B"/>
    <w:rsid w:val="000814D9"/>
    <w:rsid w:val="000817E1"/>
    <w:rsid w:val="00081947"/>
    <w:rsid w:val="000819BD"/>
    <w:rsid w:val="00081F46"/>
    <w:rsid w:val="00082115"/>
    <w:rsid w:val="000824E7"/>
    <w:rsid w:val="00082511"/>
    <w:rsid w:val="00082684"/>
    <w:rsid w:val="0008272E"/>
    <w:rsid w:val="00082739"/>
    <w:rsid w:val="00082870"/>
    <w:rsid w:val="000828C4"/>
    <w:rsid w:val="000828FB"/>
    <w:rsid w:val="00082C16"/>
    <w:rsid w:val="00082CD8"/>
    <w:rsid w:val="00082D16"/>
    <w:rsid w:val="00082FC6"/>
    <w:rsid w:val="000831C0"/>
    <w:rsid w:val="00083375"/>
    <w:rsid w:val="00083705"/>
    <w:rsid w:val="00083817"/>
    <w:rsid w:val="00083BC2"/>
    <w:rsid w:val="00083CA5"/>
    <w:rsid w:val="00083DF1"/>
    <w:rsid w:val="00084123"/>
    <w:rsid w:val="0008430F"/>
    <w:rsid w:val="00084582"/>
    <w:rsid w:val="00084660"/>
    <w:rsid w:val="0008495A"/>
    <w:rsid w:val="00084B55"/>
    <w:rsid w:val="00084BA3"/>
    <w:rsid w:val="00084CC1"/>
    <w:rsid w:val="00084DA6"/>
    <w:rsid w:val="00084DD4"/>
    <w:rsid w:val="00085011"/>
    <w:rsid w:val="0008504F"/>
    <w:rsid w:val="00085251"/>
    <w:rsid w:val="00085355"/>
    <w:rsid w:val="0008559E"/>
    <w:rsid w:val="000858BA"/>
    <w:rsid w:val="00085FB9"/>
    <w:rsid w:val="000860FF"/>
    <w:rsid w:val="0008668C"/>
    <w:rsid w:val="000866CD"/>
    <w:rsid w:val="000868CE"/>
    <w:rsid w:val="00086908"/>
    <w:rsid w:val="00086A34"/>
    <w:rsid w:val="00086B69"/>
    <w:rsid w:val="00086D4B"/>
    <w:rsid w:val="00086D4D"/>
    <w:rsid w:val="00086DF8"/>
    <w:rsid w:val="00086F50"/>
    <w:rsid w:val="00086FF4"/>
    <w:rsid w:val="00087030"/>
    <w:rsid w:val="00087422"/>
    <w:rsid w:val="000875E7"/>
    <w:rsid w:val="0008774A"/>
    <w:rsid w:val="000877E8"/>
    <w:rsid w:val="00087CCF"/>
    <w:rsid w:val="00087D2D"/>
    <w:rsid w:val="00087F46"/>
    <w:rsid w:val="00090362"/>
    <w:rsid w:val="000907B8"/>
    <w:rsid w:val="00090AC6"/>
    <w:rsid w:val="00090C87"/>
    <w:rsid w:val="00090F1A"/>
    <w:rsid w:val="00091124"/>
    <w:rsid w:val="00091286"/>
    <w:rsid w:val="0009140F"/>
    <w:rsid w:val="00091B98"/>
    <w:rsid w:val="00091E3E"/>
    <w:rsid w:val="000920B3"/>
    <w:rsid w:val="000923E7"/>
    <w:rsid w:val="0009242C"/>
    <w:rsid w:val="0009264E"/>
    <w:rsid w:val="000927A7"/>
    <w:rsid w:val="00092858"/>
    <w:rsid w:val="00092944"/>
    <w:rsid w:val="00092A60"/>
    <w:rsid w:val="00092A81"/>
    <w:rsid w:val="00092BD0"/>
    <w:rsid w:val="00092C6D"/>
    <w:rsid w:val="00092CFC"/>
    <w:rsid w:val="00092F49"/>
    <w:rsid w:val="0009312E"/>
    <w:rsid w:val="00093296"/>
    <w:rsid w:val="000934CE"/>
    <w:rsid w:val="000937D9"/>
    <w:rsid w:val="000939C3"/>
    <w:rsid w:val="000939FA"/>
    <w:rsid w:val="00093A77"/>
    <w:rsid w:val="00093CFC"/>
    <w:rsid w:val="00093D98"/>
    <w:rsid w:val="000942C8"/>
    <w:rsid w:val="000942D7"/>
    <w:rsid w:val="00094434"/>
    <w:rsid w:val="000945C2"/>
    <w:rsid w:val="000948C6"/>
    <w:rsid w:val="00094ACA"/>
    <w:rsid w:val="00094C06"/>
    <w:rsid w:val="00094C7E"/>
    <w:rsid w:val="00094CB3"/>
    <w:rsid w:val="00094D62"/>
    <w:rsid w:val="00094E98"/>
    <w:rsid w:val="00094FC8"/>
    <w:rsid w:val="00094FE8"/>
    <w:rsid w:val="00095217"/>
    <w:rsid w:val="00095701"/>
    <w:rsid w:val="00095815"/>
    <w:rsid w:val="000958AE"/>
    <w:rsid w:val="00095CCA"/>
    <w:rsid w:val="00095EFD"/>
    <w:rsid w:val="0009629B"/>
    <w:rsid w:val="000962BA"/>
    <w:rsid w:val="00096546"/>
    <w:rsid w:val="0009682C"/>
    <w:rsid w:val="00096890"/>
    <w:rsid w:val="000969A7"/>
    <w:rsid w:val="000969B2"/>
    <w:rsid w:val="00096AB8"/>
    <w:rsid w:val="00096AD3"/>
    <w:rsid w:val="00096C4E"/>
    <w:rsid w:val="00096E7E"/>
    <w:rsid w:val="00096ED6"/>
    <w:rsid w:val="00096F67"/>
    <w:rsid w:val="00097085"/>
    <w:rsid w:val="00097186"/>
    <w:rsid w:val="00097472"/>
    <w:rsid w:val="0009758E"/>
    <w:rsid w:val="00097749"/>
    <w:rsid w:val="0009774C"/>
    <w:rsid w:val="00097751"/>
    <w:rsid w:val="0009797C"/>
    <w:rsid w:val="00097D47"/>
    <w:rsid w:val="000A0146"/>
    <w:rsid w:val="000A0565"/>
    <w:rsid w:val="000A06C3"/>
    <w:rsid w:val="000A083F"/>
    <w:rsid w:val="000A0936"/>
    <w:rsid w:val="000A0BA5"/>
    <w:rsid w:val="000A0F08"/>
    <w:rsid w:val="000A0F42"/>
    <w:rsid w:val="000A107E"/>
    <w:rsid w:val="000A1263"/>
    <w:rsid w:val="000A12E4"/>
    <w:rsid w:val="000A14DE"/>
    <w:rsid w:val="000A14FE"/>
    <w:rsid w:val="000A157C"/>
    <w:rsid w:val="000A194B"/>
    <w:rsid w:val="000A1ABA"/>
    <w:rsid w:val="000A1BA5"/>
    <w:rsid w:val="000A1CCC"/>
    <w:rsid w:val="000A2241"/>
    <w:rsid w:val="000A2592"/>
    <w:rsid w:val="000A2723"/>
    <w:rsid w:val="000A2763"/>
    <w:rsid w:val="000A296C"/>
    <w:rsid w:val="000A29D7"/>
    <w:rsid w:val="000A2FE2"/>
    <w:rsid w:val="000A30E0"/>
    <w:rsid w:val="000A32D9"/>
    <w:rsid w:val="000A34D9"/>
    <w:rsid w:val="000A35CE"/>
    <w:rsid w:val="000A3848"/>
    <w:rsid w:val="000A38AA"/>
    <w:rsid w:val="000A39C5"/>
    <w:rsid w:val="000A3D74"/>
    <w:rsid w:val="000A3E29"/>
    <w:rsid w:val="000A4204"/>
    <w:rsid w:val="000A4301"/>
    <w:rsid w:val="000A456C"/>
    <w:rsid w:val="000A461A"/>
    <w:rsid w:val="000A4FD8"/>
    <w:rsid w:val="000A50D3"/>
    <w:rsid w:val="000A5213"/>
    <w:rsid w:val="000A5281"/>
    <w:rsid w:val="000A52F9"/>
    <w:rsid w:val="000A55A1"/>
    <w:rsid w:val="000A566C"/>
    <w:rsid w:val="000A59A7"/>
    <w:rsid w:val="000A5DBE"/>
    <w:rsid w:val="000A5FBD"/>
    <w:rsid w:val="000A5FEA"/>
    <w:rsid w:val="000A6005"/>
    <w:rsid w:val="000A603E"/>
    <w:rsid w:val="000A60C5"/>
    <w:rsid w:val="000A64B2"/>
    <w:rsid w:val="000A6780"/>
    <w:rsid w:val="000A6862"/>
    <w:rsid w:val="000A69E0"/>
    <w:rsid w:val="000A69EC"/>
    <w:rsid w:val="000A6A30"/>
    <w:rsid w:val="000A6BA3"/>
    <w:rsid w:val="000A6C8E"/>
    <w:rsid w:val="000A6E9A"/>
    <w:rsid w:val="000A71EE"/>
    <w:rsid w:val="000A74A1"/>
    <w:rsid w:val="000A75CB"/>
    <w:rsid w:val="000A7895"/>
    <w:rsid w:val="000A7963"/>
    <w:rsid w:val="000A798B"/>
    <w:rsid w:val="000A7A94"/>
    <w:rsid w:val="000A7AA0"/>
    <w:rsid w:val="000A7AF4"/>
    <w:rsid w:val="000B005F"/>
    <w:rsid w:val="000B0321"/>
    <w:rsid w:val="000B0B1B"/>
    <w:rsid w:val="000B0BA3"/>
    <w:rsid w:val="000B0FFE"/>
    <w:rsid w:val="000B125E"/>
    <w:rsid w:val="000B1279"/>
    <w:rsid w:val="000B145D"/>
    <w:rsid w:val="000B15B9"/>
    <w:rsid w:val="000B163E"/>
    <w:rsid w:val="000B1C74"/>
    <w:rsid w:val="000B2019"/>
    <w:rsid w:val="000B2067"/>
    <w:rsid w:val="000B2392"/>
    <w:rsid w:val="000B2547"/>
    <w:rsid w:val="000B2578"/>
    <w:rsid w:val="000B2797"/>
    <w:rsid w:val="000B2822"/>
    <w:rsid w:val="000B2B9D"/>
    <w:rsid w:val="000B2CC9"/>
    <w:rsid w:val="000B2DAF"/>
    <w:rsid w:val="000B3663"/>
    <w:rsid w:val="000B3810"/>
    <w:rsid w:val="000B390D"/>
    <w:rsid w:val="000B3A08"/>
    <w:rsid w:val="000B3AAF"/>
    <w:rsid w:val="000B3DF4"/>
    <w:rsid w:val="000B3E42"/>
    <w:rsid w:val="000B40AF"/>
    <w:rsid w:val="000B4298"/>
    <w:rsid w:val="000B4625"/>
    <w:rsid w:val="000B477F"/>
    <w:rsid w:val="000B497F"/>
    <w:rsid w:val="000B4A72"/>
    <w:rsid w:val="000B4AAC"/>
    <w:rsid w:val="000B4E04"/>
    <w:rsid w:val="000B4E1F"/>
    <w:rsid w:val="000B5105"/>
    <w:rsid w:val="000B5130"/>
    <w:rsid w:val="000B55E2"/>
    <w:rsid w:val="000B5773"/>
    <w:rsid w:val="000B5AE8"/>
    <w:rsid w:val="000B5AE9"/>
    <w:rsid w:val="000B5BB5"/>
    <w:rsid w:val="000B5F39"/>
    <w:rsid w:val="000B6144"/>
    <w:rsid w:val="000B6271"/>
    <w:rsid w:val="000B651C"/>
    <w:rsid w:val="000B65CD"/>
    <w:rsid w:val="000B67FD"/>
    <w:rsid w:val="000B6832"/>
    <w:rsid w:val="000B6BE9"/>
    <w:rsid w:val="000B6C4A"/>
    <w:rsid w:val="000B6DAC"/>
    <w:rsid w:val="000B6E4A"/>
    <w:rsid w:val="000B6FE0"/>
    <w:rsid w:val="000B6FEC"/>
    <w:rsid w:val="000B7033"/>
    <w:rsid w:val="000B719E"/>
    <w:rsid w:val="000B7258"/>
    <w:rsid w:val="000B74BF"/>
    <w:rsid w:val="000B7BE6"/>
    <w:rsid w:val="000B7D69"/>
    <w:rsid w:val="000B7EA9"/>
    <w:rsid w:val="000B7F09"/>
    <w:rsid w:val="000B7FB7"/>
    <w:rsid w:val="000C00A3"/>
    <w:rsid w:val="000C0614"/>
    <w:rsid w:val="000C0640"/>
    <w:rsid w:val="000C0B97"/>
    <w:rsid w:val="000C0BEC"/>
    <w:rsid w:val="000C0D49"/>
    <w:rsid w:val="000C0EAD"/>
    <w:rsid w:val="000C134F"/>
    <w:rsid w:val="000C1687"/>
    <w:rsid w:val="000C194A"/>
    <w:rsid w:val="000C1ACF"/>
    <w:rsid w:val="000C1ADA"/>
    <w:rsid w:val="000C1BF4"/>
    <w:rsid w:val="000C2177"/>
    <w:rsid w:val="000C22DB"/>
    <w:rsid w:val="000C23E7"/>
    <w:rsid w:val="000C2478"/>
    <w:rsid w:val="000C2508"/>
    <w:rsid w:val="000C25C3"/>
    <w:rsid w:val="000C260D"/>
    <w:rsid w:val="000C26B0"/>
    <w:rsid w:val="000C2738"/>
    <w:rsid w:val="000C281E"/>
    <w:rsid w:val="000C283C"/>
    <w:rsid w:val="000C2A59"/>
    <w:rsid w:val="000C2BB0"/>
    <w:rsid w:val="000C2DC0"/>
    <w:rsid w:val="000C2ED8"/>
    <w:rsid w:val="000C2F4D"/>
    <w:rsid w:val="000C3152"/>
    <w:rsid w:val="000C32D9"/>
    <w:rsid w:val="000C3697"/>
    <w:rsid w:val="000C3830"/>
    <w:rsid w:val="000C3A2C"/>
    <w:rsid w:val="000C3A6C"/>
    <w:rsid w:val="000C3ADA"/>
    <w:rsid w:val="000C3B76"/>
    <w:rsid w:val="000C3EB9"/>
    <w:rsid w:val="000C3FAB"/>
    <w:rsid w:val="000C41AF"/>
    <w:rsid w:val="000C41F8"/>
    <w:rsid w:val="000C4530"/>
    <w:rsid w:val="000C4674"/>
    <w:rsid w:val="000C4720"/>
    <w:rsid w:val="000C4877"/>
    <w:rsid w:val="000C4897"/>
    <w:rsid w:val="000C491C"/>
    <w:rsid w:val="000C5476"/>
    <w:rsid w:val="000C5614"/>
    <w:rsid w:val="000C561C"/>
    <w:rsid w:val="000C5E5A"/>
    <w:rsid w:val="000C68E9"/>
    <w:rsid w:val="000C69E5"/>
    <w:rsid w:val="000C6A4D"/>
    <w:rsid w:val="000C6B77"/>
    <w:rsid w:val="000C6C31"/>
    <w:rsid w:val="000C6C8A"/>
    <w:rsid w:val="000C6D68"/>
    <w:rsid w:val="000C71DC"/>
    <w:rsid w:val="000C738F"/>
    <w:rsid w:val="000C747B"/>
    <w:rsid w:val="000C7540"/>
    <w:rsid w:val="000C79E7"/>
    <w:rsid w:val="000C7B79"/>
    <w:rsid w:val="000C7D97"/>
    <w:rsid w:val="000C7E36"/>
    <w:rsid w:val="000C7EDF"/>
    <w:rsid w:val="000C7F15"/>
    <w:rsid w:val="000C7F5D"/>
    <w:rsid w:val="000D01DA"/>
    <w:rsid w:val="000D07B3"/>
    <w:rsid w:val="000D0C0D"/>
    <w:rsid w:val="000D0E5D"/>
    <w:rsid w:val="000D0E9F"/>
    <w:rsid w:val="000D117D"/>
    <w:rsid w:val="000D1196"/>
    <w:rsid w:val="000D1301"/>
    <w:rsid w:val="000D1363"/>
    <w:rsid w:val="000D17DD"/>
    <w:rsid w:val="000D18CF"/>
    <w:rsid w:val="000D1AC6"/>
    <w:rsid w:val="000D1E7D"/>
    <w:rsid w:val="000D1EC7"/>
    <w:rsid w:val="000D2128"/>
    <w:rsid w:val="000D243B"/>
    <w:rsid w:val="000D26FA"/>
    <w:rsid w:val="000D2709"/>
    <w:rsid w:val="000D27AC"/>
    <w:rsid w:val="000D280F"/>
    <w:rsid w:val="000D2876"/>
    <w:rsid w:val="000D2956"/>
    <w:rsid w:val="000D29CB"/>
    <w:rsid w:val="000D2AAC"/>
    <w:rsid w:val="000D2B61"/>
    <w:rsid w:val="000D31AB"/>
    <w:rsid w:val="000D324D"/>
    <w:rsid w:val="000D326E"/>
    <w:rsid w:val="000D32CA"/>
    <w:rsid w:val="000D32D1"/>
    <w:rsid w:val="000D3742"/>
    <w:rsid w:val="000D39E9"/>
    <w:rsid w:val="000D3A94"/>
    <w:rsid w:val="000D3B51"/>
    <w:rsid w:val="000D3D08"/>
    <w:rsid w:val="000D3DA6"/>
    <w:rsid w:val="000D41D4"/>
    <w:rsid w:val="000D45D1"/>
    <w:rsid w:val="000D4851"/>
    <w:rsid w:val="000D4CD3"/>
    <w:rsid w:val="000D4D0C"/>
    <w:rsid w:val="000D4FEA"/>
    <w:rsid w:val="000D50D7"/>
    <w:rsid w:val="000D51A3"/>
    <w:rsid w:val="000D525E"/>
    <w:rsid w:val="000D53FC"/>
    <w:rsid w:val="000D5532"/>
    <w:rsid w:val="000D55A5"/>
    <w:rsid w:val="000D5825"/>
    <w:rsid w:val="000D593F"/>
    <w:rsid w:val="000D59CB"/>
    <w:rsid w:val="000D59ED"/>
    <w:rsid w:val="000D5C83"/>
    <w:rsid w:val="000D5E30"/>
    <w:rsid w:val="000D60E5"/>
    <w:rsid w:val="000D62AD"/>
    <w:rsid w:val="000D642B"/>
    <w:rsid w:val="000D6578"/>
    <w:rsid w:val="000D68A0"/>
    <w:rsid w:val="000D6977"/>
    <w:rsid w:val="000D6989"/>
    <w:rsid w:val="000D6BC1"/>
    <w:rsid w:val="000D6C16"/>
    <w:rsid w:val="000D6F2E"/>
    <w:rsid w:val="000D7263"/>
    <w:rsid w:val="000D7275"/>
    <w:rsid w:val="000D75DB"/>
    <w:rsid w:val="000D77D0"/>
    <w:rsid w:val="000D7C8D"/>
    <w:rsid w:val="000E07CD"/>
    <w:rsid w:val="000E07E9"/>
    <w:rsid w:val="000E090A"/>
    <w:rsid w:val="000E0B61"/>
    <w:rsid w:val="000E0D24"/>
    <w:rsid w:val="000E0DBA"/>
    <w:rsid w:val="000E0FDA"/>
    <w:rsid w:val="000E1073"/>
    <w:rsid w:val="000E10EB"/>
    <w:rsid w:val="000E1240"/>
    <w:rsid w:val="000E135B"/>
    <w:rsid w:val="000E141E"/>
    <w:rsid w:val="000E17D3"/>
    <w:rsid w:val="000E184E"/>
    <w:rsid w:val="000E1A8D"/>
    <w:rsid w:val="000E1BB3"/>
    <w:rsid w:val="000E1BE1"/>
    <w:rsid w:val="000E1C51"/>
    <w:rsid w:val="000E1CB6"/>
    <w:rsid w:val="000E1D1C"/>
    <w:rsid w:val="000E209E"/>
    <w:rsid w:val="000E22F8"/>
    <w:rsid w:val="000E2751"/>
    <w:rsid w:val="000E2CB4"/>
    <w:rsid w:val="000E2DE0"/>
    <w:rsid w:val="000E31AE"/>
    <w:rsid w:val="000E384F"/>
    <w:rsid w:val="000E3910"/>
    <w:rsid w:val="000E3D4D"/>
    <w:rsid w:val="000E3F05"/>
    <w:rsid w:val="000E3FBF"/>
    <w:rsid w:val="000E404B"/>
    <w:rsid w:val="000E430C"/>
    <w:rsid w:val="000E43B0"/>
    <w:rsid w:val="000E4513"/>
    <w:rsid w:val="000E488A"/>
    <w:rsid w:val="000E4AC7"/>
    <w:rsid w:val="000E4D44"/>
    <w:rsid w:val="000E500E"/>
    <w:rsid w:val="000E56AA"/>
    <w:rsid w:val="000E56C4"/>
    <w:rsid w:val="000E577F"/>
    <w:rsid w:val="000E5803"/>
    <w:rsid w:val="000E5A2D"/>
    <w:rsid w:val="000E5D15"/>
    <w:rsid w:val="000E5ECC"/>
    <w:rsid w:val="000E6090"/>
    <w:rsid w:val="000E63C5"/>
    <w:rsid w:val="000E64ED"/>
    <w:rsid w:val="000E65CD"/>
    <w:rsid w:val="000E689E"/>
    <w:rsid w:val="000E6E79"/>
    <w:rsid w:val="000E7331"/>
    <w:rsid w:val="000E740A"/>
    <w:rsid w:val="000E7477"/>
    <w:rsid w:val="000E77BB"/>
    <w:rsid w:val="000E7E6C"/>
    <w:rsid w:val="000E7F0B"/>
    <w:rsid w:val="000F00EC"/>
    <w:rsid w:val="000F0204"/>
    <w:rsid w:val="000F08B8"/>
    <w:rsid w:val="000F0943"/>
    <w:rsid w:val="000F0E89"/>
    <w:rsid w:val="000F0F33"/>
    <w:rsid w:val="000F0FCB"/>
    <w:rsid w:val="000F11E2"/>
    <w:rsid w:val="000F1564"/>
    <w:rsid w:val="000F1597"/>
    <w:rsid w:val="000F15AA"/>
    <w:rsid w:val="000F15DB"/>
    <w:rsid w:val="000F1689"/>
    <w:rsid w:val="000F1794"/>
    <w:rsid w:val="000F18AD"/>
    <w:rsid w:val="000F1C42"/>
    <w:rsid w:val="000F1C59"/>
    <w:rsid w:val="000F1D9D"/>
    <w:rsid w:val="000F1EC4"/>
    <w:rsid w:val="000F22E1"/>
    <w:rsid w:val="000F256B"/>
    <w:rsid w:val="000F2718"/>
    <w:rsid w:val="000F29BC"/>
    <w:rsid w:val="000F2A1C"/>
    <w:rsid w:val="000F2C46"/>
    <w:rsid w:val="000F2D7B"/>
    <w:rsid w:val="000F3005"/>
    <w:rsid w:val="000F3347"/>
    <w:rsid w:val="000F338A"/>
    <w:rsid w:val="000F35AD"/>
    <w:rsid w:val="000F35E0"/>
    <w:rsid w:val="000F3796"/>
    <w:rsid w:val="000F3E95"/>
    <w:rsid w:val="000F3EFA"/>
    <w:rsid w:val="000F417F"/>
    <w:rsid w:val="000F4290"/>
    <w:rsid w:val="000F4488"/>
    <w:rsid w:val="000F459F"/>
    <w:rsid w:val="000F4633"/>
    <w:rsid w:val="000F4654"/>
    <w:rsid w:val="000F4A1F"/>
    <w:rsid w:val="000F4B62"/>
    <w:rsid w:val="000F4BD6"/>
    <w:rsid w:val="000F5124"/>
    <w:rsid w:val="000F5472"/>
    <w:rsid w:val="000F5687"/>
    <w:rsid w:val="000F5696"/>
    <w:rsid w:val="000F5781"/>
    <w:rsid w:val="000F592D"/>
    <w:rsid w:val="000F5C4B"/>
    <w:rsid w:val="000F5FB9"/>
    <w:rsid w:val="000F602A"/>
    <w:rsid w:val="000F61B7"/>
    <w:rsid w:val="000F660E"/>
    <w:rsid w:val="000F676A"/>
    <w:rsid w:val="000F690F"/>
    <w:rsid w:val="000F6B4D"/>
    <w:rsid w:val="000F6B52"/>
    <w:rsid w:val="000F6E3E"/>
    <w:rsid w:val="000F7081"/>
    <w:rsid w:val="000F727E"/>
    <w:rsid w:val="000F7293"/>
    <w:rsid w:val="000F760C"/>
    <w:rsid w:val="000F7615"/>
    <w:rsid w:val="000F780F"/>
    <w:rsid w:val="000F79CE"/>
    <w:rsid w:val="000F7A44"/>
    <w:rsid w:val="000F7A67"/>
    <w:rsid w:val="000F7DDF"/>
    <w:rsid w:val="000F7EE2"/>
    <w:rsid w:val="001001DE"/>
    <w:rsid w:val="0010031C"/>
    <w:rsid w:val="00100839"/>
    <w:rsid w:val="001008C2"/>
    <w:rsid w:val="001008EF"/>
    <w:rsid w:val="0010091B"/>
    <w:rsid w:val="00100AEB"/>
    <w:rsid w:val="00100AF4"/>
    <w:rsid w:val="00100FAB"/>
    <w:rsid w:val="001010AF"/>
    <w:rsid w:val="001011BC"/>
    <w:rsid w:val="001018AA"/>
    <w:rsid w:val="001018AF"/>
    <w:rsid w:val="00101C1C"/>
    <w:rsid w:val="00101DD0"/>
    <w:rsid w:val="001020CD"/>
    <w:rsid w:val="001022F8"/>
    <w:rsid w:val="00102336"/>
    <w:rsid w:val="001024EC"/>
    <w:rsid w:val="0010252B"/>
    <w:rsid w:val="001026D6"/>
    <w:rsid w:val="001027F7"/>
    <w:rsid w:val="00102847"/>
    <w:rsid w:val="00102A13"/>
    <w:rsid w:val="00102A83"/>
    <w:rsid w:val="00102D45"/>
    <w:rsid w:val="00102FB7"/>
    <w:rsid w:val="0010326A"/>
    <w:rsid w:val="001033A9"/>
    <w:rsid w:val="00103626"/>
    <w:rsid w:val="00103B04"/>
    <w:rsid w:val="00103BB7"/>
    <w:rsid w:val="00103CC0"/>
    <w:rsid w:val="00103EAF"/>
    <w:rsid w:val="0010432F"/>
    <w:rsid w:val="001045EC"/>
    <w:rsid w:val="001046C0"/>
    <w:rsid w:val="001046C6"/>
    <w:rsid w:val="00104B68"/>
    <w:rsid w:val="00104BEC"/>
    <w:rsid w:val="00104F04"/>
    <w:rsid w:val="001050B0"/>
    <w:rsid w:val="0010531B"/>
    <w:rsid w:val="0010554B"/>
    <w:rsid w:val="0010557C"/>
    <w:rsid w:val="00105670"/>
    <w:rsid w:val="001056F2"/>
    <w:rsid w:val="0010576E"/>
    <w:rsid w:val="001059B9"/>
    <w:rsid w:val="00105A75"/>
    <w:rsid w:val="00105D19"/>
    <w:rsid w:val="00105E86"/>
    <w:rsid w:val="00105EC5"/>
    <w:rsid w:val="00105EDF"/>
    <w:rsid w:val="0010623A"/>
    <w:rsid w:val="00106319"/>
    <w:rsid w:val="001063F5"/>
    <w:rsid w:val="0010645D"/>
    <w:rsid w:val="0010656D"/>
    <w:rsid w:val="001067DE"/>
    <w:rsid w:val="00106C7E"/>
    <w:rsid w:val="00106ED9"/>
    <w:rsid w:val="00106F34"/>
    <w:rsid w:val="00106F4E"/>
    <w:rsid w:val="0010731C"/>
    <w:rsid w:val="001076CA"/>
    <w:rsid w:val="0010799C"/>
    <w:rsid w:val="00107E78"/>
    <w:rsid w:val="00110026"/>
    <w:rsid w:val="0011005D"/>
    <w:rsid w:val="0011045C"/>
    <w:rsid w:val="001104F8"/>
    <w:rsid w:val="00110562"/>
    <w:rsid w:val="00110677"/>
    <w:rsid w:val="001107C6"/>
    <w:rsid w:val="0011097E"/>
    <w:rsid w:val="001109B6"/>
    <w:rsid w:val="0011113A"/>
    <w:rsid w:val="0011121F"/>
    <w:rsid w:val="0011185D"/>
    <w:rsid w:val="00111954"/>
    <w:rsid w:val="00111F0D"/>
    <w:rsid w:val="00111F15"/>
    <w:rsid w:val="00111FF7"/>
    <w:rsid w:val="0011217E"/>
    <w:rsid w:val="0011223B"/>
    <w:rsid w:val="0011223E"/>
    <w:rsid w:val="00112368"/>
    <w:rsid w:val="001124D2"/>
    <w:rsid w:val="001124E7"/>
    <w:rsid w:val="00112761"/>
    <w:rsid w:val="00112794"/>
    <w:rsid w:val="00112B27"/>
    <w:rsid w:val="00112C52"/>
    <w:rsid w:val="00112CB5"/>
    <w:rsid w:val="00112D6B"/>
    <w:rsid w:val="00112E8F"/>
    <w:rsid w:val="0011319E"/>
    <w:rsid w:val="001131C5"/>
    <w:rsid w:val="0011326B"/>
    <w:rsid w:val="00113336"/>
    <w:rsid w:val="001133B5"/>
    <w:rsid w:val="0011347F"/>
    <w:rsid w:val="00113891"/>
    <w:rsid w:val="001138E4"/>
    <w:rsid w:val="0011398E"/>
    <w:rsid w:val="00113AFC"/>
    <w:rsid w:val="00113BDA"/>
    <w:rsid w:val="00113E0F"/>
    <w:rsid w:val="00113F9F"/>
    <w:rsid w:val="00114016"/>
    <w:rsid w:val="00114206"/>
    <w:rsid w:val="00114271"/>
    <w:rsid w:val="0011427A"/>
    <w:rsid w:val="001147F2"/>
    <w:rsid w:val="00114807"/>
    <w:rsid w:val="0011480C"/>
    <w:rsid w:val="00115283"/>
    <w:rsid w:val="001152FD"/>
    <w:rsid w:val="00115364"/>
    <w:rsid w:val="001153DB"/>
    <w:rsid w:val="0011551F"/>
    <w:rsid w:val="001158BC"/>
    <w:rsid w:val="00115A28"/>
    <w:rsid w:val="00115C05"/>
    <w:rsid w:val="00115D6E"/>
    <w:rsid w:val="00116199"/>
    <w:rsid w:val="001163D8"/>
    <w:rsid w:val="00116457"/>
    <w:rsid w:val="00116621"/>
    <w:rsid w:val="001166F9"/>
    <w:rsid w:val="0011696A"/>
    <w:rsid w:val="001169B5"/>
    <w:rsid w:val="001169D8"/>
    <w:rsid w:val="00116AA6"/>
    <w:rsid w:val="00116B27"/>
    <w:rsid w:val="00116C2C"/>
    <w:rsid w:val="00116E45"/>
    <w:rsid w:val="00116E46"/>
    <w:rsid w:val="00117388"/>
    <w:rsid w:val="001175E2"/>
    <w:rsid w:val="0011762F"/>
    <w:rsid w:val="0011780D"/>
    <w:rsid w:val="00117C4B"/>
    <w:rsid w:val="00117C8C"/>
    <w:rsid w:val="00117DB1"/>
    <w:rsid w:val="00117F2B"/>
    <w:rsid w:val="00117F45"/>
    <w:rsid w:val="001200B9"/>
    <w:rsid w:val="0012029C"/>
    <w:rsid w:val="001202DC"/>
    <w:rsid w:val="0012048F"/>
    <w:rsid w:val="00120792"/>
    <w:rsid w:val="0012096B"/>
    <w:rsid w:val="001209BE"/>
    <w:rsid w:val="00120A75"/>
    <w:rsid w:val="00120B0C"/>
    <w:rsid w:val="00120B8D"/>
    <w:rsid w:val="00120CD0"/>
    <w:rsid w:val="001210D2"/>
    <w:rsid w:val="001211FD"/>
    <w:rsid w:val="00121221"/>
    <w:rsid w:val="001216F8"/>
    <w:rsid w:val="00121844"/>
    <w:rsid w:val="001219CC"/>
    <w:rsid w:val="00121CB5"/>
    <w:rsid w:val="00121D7E"/>
    <w:rsid w:val="00121D80"/>
    <w:rsid w:val="00121DBF"/>
    <w:rsid w:val="00122384"/>
    <w:rsid w:val="0012250F"/>
    <w:rsid w:val="0012251F"/>
    <w:rsid w:val="001225D0"/>
    <w:rsid w:val="00122654"/>
    <w:rsid w:val="001227C5"/>
    <w:rsid w:val="00122A25"/>
    <w:rsid w:val="00122B51"/>
    <w:rsid w:val="00122C23"/>
    <w:rsid w:val="00122C31"/>
    <w:rsid w:val="00122C7D"/>
    <w:rsid w:val="00122D8D"/>
    <w:rsid w:val="00123D82"/>
    <w:rsid w:val="00123DC2"/>
    <w:rsid w:val="00123FC5"/>
    <w:rsid w:val="001241C5"/>
    <w:rsid w:val="001243B6"/>
    <w:rsid w:val="001244BC"/>
    <w:rsid w:val="00124AD5"/>
    <w:rsid w:val="00124B4C"/>
    <w:rsid w:val="00124C3B"/>
    <w:rsid w:val="00124CEE"/>
    <w:rsid w:val="00124D1E"/>
    <w:rsid w:val="00124E73"/>
    <w:rsid w:val="00124E9B"/>
    <w:rsid w:val="00124F88"/>
    <w:rsid w:val="001252AD"/>
    <w:rsid w:val="001253AF"/>
    <w:rsid w:val="00125532"/>
    <w:rsid w:val="00125682"/>
    <w:rsid w:val="001259DD"/>
    <w:rsid w:val="00125D07"/>
    <w:rsid w:val="0012601B"/>
    <w:rsid w:val="00126053"/>
    <w:rsid w:val="00126181"/>
    <w:rsid w:val="001261AC"/>
    <w:rsid w:val="001261DE"/>
    <w:rsid w:val="00126255"/>
    <w:rsid w:val="001264EC"/>
    <w:rsid w:val="00126736"/>
    <w:rsid w:val="001267D7"/>
    <w:rsid w:val="001268BC"/>
    <w:rsid w:val="001269A2"/>
    <w:rsid w:val="001269DF"/>
    <w:rsid w:val="00126A38"/>
    <w:rsid w:val="00126A5B"/>
    <w:rsid w:val="00126D05"/>
    <w:rsid w:val="00126DF8"/>
    <w:rsid w:val="00126EA2"/>
    <w:rsid w:val="001270D6"/>
    <w:rsid w:val="001273B1"/>
    <w:rsid w:val="0012741E"/>
    <w:rsid w:val="0012746F"/>
    <w:rsid w:val="001274FD"/>
    <w:rsid w:val="0012758F"/>
    <w:rsid w:val="00127590"/>
    <w:rsid w:val="00127804"/>
    <w:rsid w:val="00127814"/>
    <w:rsid w:val="00127827"/>
    <w:rsid w:val="00127919"/>
    <w:rsid w:val="00127984"/>
    <w:rsid w:val="00127E2F"/>
    <w:rsid w:val="00127F8F"/>
    <w:rsid w:val="0013011C"/>
    <w:rsid w:val="001302A3"/>
    <w:rsid w:val="001304E7"/>
    <w:rsid w:val="001308D8"/>
    <w:rsid w:val="00130CE0"/>
    <w:rsid w:val="00131133"/>
    <w:rsid w:val="0013119C"/>
    <w:rsid w:val="001313E8"/>
    <w:rsid w:val="001313F7"/>
    <w:rsid w:val="00131626"/>
    <w:rsid w:val="00131B70"/>
    <w:rsid w:val="00131E8B"/>
    <w:rsid w:val="001323DF"/>
    <w:rsid w:val="0013246F"/>
    <w:rsid w:val="0013259C"/>
    <w:rsid w:val="001329C3"/>
    <w:rsid w:val="001329DD"/>
    <w:rsid w:val="00132A2F"/>
    <w:rsid w:val="00132C3E"/>
    <w:rsid w:val="00132DB3"/>
    <w:rsid w:val="00133139"/>
    <w:rsid w:val="00133168"/>
    <w:rsid w:val="001331FC"/>
    <w:rsid w:val="00133378"/>
    <w:rsid w:val="001333CB"/>
    <w:rsid w:val="001334B7"/>
    <w:rsid w:val="001337BC"/>
    <w:rsid w:val="00133833"/>
    <w:rsid w:val="00133B94"/>
    <w:rsid w:val="00133C6E"/>
    <w:rsid w:val="00133DE3"/>
    <w:rsid w:val="00133EC6"/>
    <w:rsid w:val="00134061"/>
    <w:rsid w:val="00134213"/>
    <w:rsid w:val="00134227"/>
    <w:rsid w:val="00134617"/>
    <w:rsid w:val="0013472A"/>
    <w:rsid w:val="0013490D"/>
    <w:rsid w:val="00134A38"/>
    <w:rsid w:val="00134B9A"/>
    <w:rsid w:val="00134C3C"/>
    <w:rsid w:val="00134D9F"/>
    <w:rsid w:val="0013533C"/>
    <w:rsid w:val="00135737"/>
    <w:rsid w:val="00135BDF"/>
    <w:rsid w:val="00135C25"/>
    <w:rsid w:val="00135C46"/>
    <w:rsid w:val="00135E43"/>
    <w:rsid w:val="00136413"/>
    <w:rsid w:val="00136505"/>
    <w:rsid w:val="0013693B"/>
    <w:rsid w:val="00136B6E"/>
    <w:rsid w:val="00136BF6"/>
    <w:rsid w:val="00136C97"/>
    <w:rsid w:val="00136DDF"/>
    <w:rsid w:val="001371F0"/>
    <w:rsid w:val="0013722E"/>
    <w:rsid w:val="0013734C"/>
    <w:rsid w:val="00137480"/>
    <w:rsid w:val="0013792D"/>
    <w:rsid w:val="00137963"/>
    <w:rsid w:val="00137B5E"/>
    <w:rsid w:val="00137B86"/>
    <w:rsid w:val="00137E05"/>
    <w:rsid w:val="00137F51"/>
    <w:rsid w:val="00137F61"/>
    <w:rsid w:val="00137FAB"/>
    <w:rsid w:val="00140367"/>
    <w:rsid w:val="00140460"/>
    <w:rsid w:val="00140464"/>
    <w:rsid w:val="001405D2"/>
    <w:rsid w:val="0014083E"/>
    <w:rsid w:val="00140928"/>
    <w:rsid w:val="00140AA4"/>
    <w:rsid w:val="00140F2F"/>
    <w:rsid w:val="001412F7"/>
    <w:rsid w:val="00141861"/>
    <w:rsid w:val="00141870"/>
    <w:rsid w:val="00141A9C"/>
    <w:rsid w:val="00141C28"/>
    <w:rsid w:val="00141DF2"/>
    <w:rsid w:val="00141E6A"/>
    <w:rsid w:val="0014215C"/>
    <w:rsid w:val="001421D6"/>
    <w:rsid w:val="0014248B"/>
    <w:rsid w:val="00142708"/>
    <w:rsid w:val="00142790"/>
    <w:rsid w:val="00142878"/>
    <w:rsid w:val="001428F2"/>
    <w:rsid w:val="00142A90"/>
    <w:rsid w:val="00142BF9"/>
    <w:rsid w:val="00142DFC"/>
    <w:rsid w:val="00142EBB"/>
    <w:rsid w:val="00143309"/>
    <w:rsid w:val="00143320"/>
    <w:rsid w:val="00143540"/>
    <w:rsid w:val="00143632"/>
    <w:rsid w:val="001439CB"/>
    <w:rsid w:val="00143A34"/>
    <w:rsid w:val="00143B04"/>
    <w:rsid w:val="00143D31"/>
    <w:rsid w:val="00143DB0"/>
    <w:rsid w:val="001440AC"/>
    <w:rsid w:val="001440CD"/>
    <w:rsid w:val="00144126"/>
    <w:rsid w:val="00144498"/>
    <w:rsid w:val="0014463A"/>
    <w:rsid w:val="001447F3"/>
    <w:rsid w:val="00144856"/>
    <w:rsid w:val="00144E87"/>
    <w:rsid w:val="00144F33"/>
    <w:rsid w:val="00145027"/>
    <w:rsid w:val="00145148"/>
    <w:rsid w:val="0014533A"/>
    <w:rsid w:val="00145409"/>
    <w:rsid w:val="00145644"/>
    <w:rsid w:val="00145689"/>
    <w:rsid w:val="0014576B"/>
    <w:rsid w:val="00145AE4"/>
    <w:rsid w:val="00145B91"/>
    <w:rsid w:val="00145BD3"/>
    <w:rsid w:val="00145D19"/>
    <w:rsid w:val="00145DAA"/>
    <w:rsid w:val="00145F49"/>
    <w:rsid w:val="0014679F"/>
    <w:rsid w:val="00146AB1"/>
    <w:rsid w:val="00146B5A"/>
    <w:rsid w:val="00146B8C"/>
    <w:rsid w:val="00146CA3"/>
    <w:rsid w:val="00146EF3"/>
    <w:rsid w:val="00147446"/>
    <w:rsid w:val="00147600"/>
    <w:rsid w:val="001478A6"/>
    <w:rsid w:val="00147B85"/>
    <w:rsid w:val="00147C85"/>
    <w:rsid w:val="00147C8F"/>
    <w:rsid w:val="00147E1C"/>
    <w:rsid w:val="00147F1B"/>
    <w:rsid w:val="001501A8"/>
    <w:rsid w:val="00150226"/>
    <w:rsid w:val="001504EE"/>
    <w:rsid w:val="00150598"/>
    <w:rsid w:val="001507EA"/>
    <w:rsid w:val="00150AC8"/>
    <w:rsid w:val="00150BE2"/>
    <w:rsid w:val="00150D64"/>
    <w:rsid w:val="0015108D"/>
    <w:rsid w:val="0015160D"/>
    <w:rsid w:val="001517D7"/>
    <w:rsid w:val="0015200E"/>
    <w:rsid w:val="0015209C"/>
    <w:rsid w:val="0015218A"/>
    <w:rsid w:val="0015237F"/>
    <w:rsid w:val="0015250A"/>
    <w:rsid w:val="001525C4"/>
    <w:rsid w:val="001525D6"/>
    <w:rsid w:val="00152819"/>
    <w:rsid w:val="00152C86"/>
    <w:rsid w:val="00152E87"/>
    <w:rsid w:val="00152F93"/>
    <w:rsid w:val="001537D1"/>
    <w:rsid w:val="001537E8"/>
    <w:rsid w:val="00153858"/>
    <w:rsid w:val="00153A1F"/>
    <w:rsid w:val="00153ADB"/>
    <w:rsid w:val="00153D95"/>
    <w:rsid w:val="00153F72"/>
    <w:rsid w:val="00154520"/>
    <w:rsid w:val="0015481D"/>
    <w:rsid w:val="00154972"/>
    <w:rsid w:val="00154D07"/>
    <w:rsid w:val="00154D98"/>
    <w:rsid w:val="00154E0D"/>
    <w:rsid w:val="00154F46"/>
    <w:rsid w:val="00154FBF"/>
    <w:rsid w:val="00155356"/>
    <w:rsid w:val="00155527"/>
    <w:rsid w:val="001556AE"/>
    <w:rsid w:val="001556E4"/>
    <w:rsid w:val="00155816"/>
    <w:rsid w:val="00155E34"/>
    <w:rsid w:val="00156020"/>
    <w:rsid w:val="001560F2"/>
    <w:rsid w:val="001561E5"/>
    <w:rsid w:val="00156934"/>
    <w:rsid w:val="00156974"/>
    <w:rsid w:val="00156FB3"/>
    <w:rsid w:val="001579D7"/>
    <w:rsid w:val="00157C62"/>
    <w:rsid w:val="00157CC9"/>
    <w:rsid w:val="00157ECD"/>
    <w:rsid w:val="00157FF6"/>
    <w:rsid w:val="001600C9"/>
    <w:rsid w:val="001600E9"/>
    <w:rsid w:val="0016014B"/>
    <w:rsid w:val="001601B2"/>
    <w:rsid w:val="00160278"/>
    <w:rsid w:val="0016029D"/>
    <w:rsid w:val="0016041A"/>
    <w:rsid w:val="00160A10"/>
    <w:rsid w:val="00160A9D"/>
    <w:rsid w:val="00160C91"/>
    <w:rsid w:val="00160FEC"/>
    <w:rsid w:val="001610E5"/>
    <w:rsid w:val="001610EB"/>
    <w:rsid w:val="001610F3"/>
    <w:rsid w:val="0016119A"/>
    <w:rsid w:val="00161274"/>
    <w:rsid w:val="001613AA"/>
    <w:rsid w:val="00161840"/>
    <w:rsid w:val="0016194F"/>
    <w:rsid w:val="00161A57"/>
    <w:rsid w:val="00161AC0"/>
    <w:rsid w:val="00161BC8"/>
    <w:rsid w:val="00161C16"/>
    <w:rsid w:val="00161CF1"/>
    <w:rsid w:val="00162082"/>
    <w:rsid w:val="00162128"/>
    <w:rsid w:val="00162283"/>
    <w:rsid w:val="00162645"/>
    <w:rsid w:val="00162673"/>
    <w:rsid w:val="001627AD"/>
    <w:rsid w:val="00162B5A"/>
    <w:rsid w:val="00162DAC"/>
    <w:rsid w:val="00162EAB"/>
    <w:rsid w:val="00163128"/>
    <w:rsid w:val="0016313B"/>
    <w:rsid w:val="00163619"/>
    <w:rsid w:val="001637BD"/>
    <w:rsid w:val="001638F4"/>
    <w:rsid w:val="00163B6B"/>
    <w:rsid w:val="00163F2E"/>
    <w:rsid w:val="001643D9"/>
    <w:rsid w:val="001644F9"/>
    <w:rsid w:val="00164792"/>
    <w:rsid w:val="00164964"/>
    <w:rsid w:val="00164C6C"/>
    <w:rsid w:val="00164C8B"/>
    <w:rsid w:val="00165055"/>
    <w:rsid w:val="00165262"/>
    <w:rsid w:val="001653F9"/>
    <w:rsid w:val="0016584C"/>
    <w:rsid w:val="0016590F"/>
    <w:rsid w:val="00165EFA"/>
    <w:rsid w:val="00165F14"/>
    <w:rsid w:val="00166454"/>
    <w:rsid w:val="001667DA"/>
    <w:rsid w:val="00166C0F"/>
    <w:rsid w:val="00166C50"/>
    <w:rsid w:val="00166E2E"/>
    <w:rsid w:val="00166FCF"/>
    <w:rsid w:val="001672D6"/>
    <w:rsid w:val="001673E1"/>
    <w:rsid w:val="001677C9"/>
    <w:rsid w:val="001677D2"/>
    <w:rsid w:val="0016788D"/>
    <w:rsid w:val="001678DE"/>
    <w:rsid w:val="00167960"/>
    <w:rsid w:val="00167A4D"/>
    <w:rsid w:val="001703AE"/>
    <w:rsid w:val="001703CA"/>
    <w:rsid w:val="00170445"/>
    <w:rsid w:val="001704C2"/>
    <w:rsid w:val="00170525"/>
    <w:rsid w:val="001706D8"/>
    <w:rsid w:val="001708E3"/>
    <w:rsid w:val="00170B15"/>
    <w:rsid w:val="00170C3E"/>
    <w:rsid w:val="00171033"/>
    <w:rsid w:val="001711A9"/>
    <w:rsid w:val="001714F3"/>
    <w:rsid w:val="00171885"/>
    <w:rsid w:val="00171920"/>
    <w:rsid w:val="00171B56"/>
    <w:rsid w:val="00171C3B"/>
    <w:rsid w:val="00171C6E"/>
    <w:rsid w:val="00171E43"/>
    <w:rsid w:val="0017252F"/>
    <w:rsid w:val="00172A0C"/>
    <w:rsid w:val="00172C05"/>
    <w:rsid w:val="00172CC1"/>
    <w:rsid w:val="00172D53"/>
    <w:rsid w:val="00172D78"/>
    <w:rsid w:val="00172EB5"/>
    <w:rsid w:val="00173024"/>
    <w:rsid w:val="00173098"/>
    <w:rsid w:val="00173204"/>
    <w:rsid w:val="00173458"/>
    <w:rsid w:val="001736D8"/>
    <w:rsid w:val="0017372F"/>
    <w:rsid w:val="001738DA"/>
    <w:rsid w:val="00173981"/>
    <w:rsid w:val="00173CB9"/>
    <w:rsid w:val="00173EB7"/>
    <w:rsid w:val="00173F06"/>
    <w:rsid w:val="00173F41"/>
    <w:rsid w:val="00173F5E"/>
    <w:rsid w:val="001743E7"/>
    <w:rsid w:val="0017441E"/>
    <w:rsid w:val="00174429"/>
    <w:rsid w:val="00174628"/>
    <w:rsid w:val="00174713"/>
    <w:rsid w:val="0017475B"/>
    <w:rsid w:val="00174862"/>
    <w:rsid w:val="00174BCA"/>
    <w:rsid w:val="00174E03"/>
    <w:rsid w:val="00174FAC"/>
    <w:rsid w:val="00174FB0"/>
    <w:rsid w:val="0017547A"/>
    <w:rsid w:val="00175505"/>
    <w:rsid w:val="00175562"/>
    <w:rsid w:val="00175597"/>
    <w:rsid w:val="001755DC"/>
    <w:rsid w:val="00175603"/>
    <w:rsid w:val="0017589E"/>
    <w:rsid w:val="001758AB"/>
    <w:rsid w:val="00175B26"/>
    <w:rsid w:val="00175BA8"/>
    <w:rsid w:val="00175CA4"/>
    <w:rsid w:val="00175DF8"/>
    <w:rsid w:val="00175F4F"/>
    <w:rsid w:val="00176101"/>
    <w:rsid w:val="0017617B"/>
    <w:rsid w:val="00176240"/>
    <w:rsid w:val="001764A0"/>
    <w:rsid w:val="001765CA"/>
    <w:rsid w:val="00176855"/>
    <w:rsid w:val="00176895"/>
    <w:rsid w:val="001768D8"/>
    <w:rsid w:val="0017696A"/>
    <w:rsid w:val="00176A86"/>
    <w:rsid w:val="00176B63"/>
    <w:rsid w:val="00177082"/>
    <w:rsid w:val="0017758D"/>
    <w:rsid w:val="0017775C"/>
    <w:rsid w:val="00177A20"/>
    <w:rsid w:val="00177AFD"/>
    <w:rsid w:val="00177C6C"/>
    <w:rsid w:val="00177D03"/>
    <w:rsid w:val="00177D57"/>
    <w:rsid w:val="00180015"/>
    <w:rsid w:val="00180072"/>
    <w:rsid w:val="001803C7"/>
    <w:rsid w:val="001803C9"/>
    <w:rsid w:val="001808E3"/>
    <w:rsid w:val="00180D39"/>
    <w:rsid w:val="00181187"/>
    <w:rsid w:val="0018130B"/>
    <w:rsid w:val="00181379"/>
    <w:rsid w:val="00181445"/>
    <w:rsid w:val="00181448"/>
    <w:rsid w:val="001814F3"/>
    <w:rsid w:val="00181716"/>
    <w:rsid w:val="001817DF"/>
    <w:rsid w:val="00181BDC"/>
    <w:rsid w:val="00181EE6"/>
    <w:rsid w:val="00181F91"/>
    <w:rsid w:val="0018201E"/>
    <w:rsid w:val="001822E2"/>
    <w:rsid w:val="00182377"/>
    <w:rsid w:val="00182620"/>
    <w:rsid w:val="00182A5C"/>
    <w:rsid w:val="00182AA5"/>
    <w:rsid w:val="00182BBA"/>
    <w:rsid w:val="00182F27"/>
    <w:rsid w:val="0018349F"/>
    <w:rsid w:val="00183824"/>
    <w:rsid w:val="00183924"/>
    <w:rsid w:val="00183DED"/>
    <w:rsid w:val="00183E44"/>
    <w:rsid w:val="00183EB7"/>
    <w:rsid w:val="001840AF"/>
    <w:rsid w:val="00184661"/>
    <w:rsid w:val="0018482A"/>
    <w:rsid w:val="00184AAA"/>
    <w:rsid w:val="00184C23"/>
    <w:rsid w:val="00185151"/>
    <w:rsid w:val="00185428"/>
    <w:rsid w:val="00185504"/>
    <w:rsid w:val="00185677"/>
    <w:rsid w:val="001859EF"/>
    <w:rsid w:val="00185DD5"/>
    <w:rsid w:val="00185E36"/>
    <w:rsid w:val="00185FFB"/>
    <w:rsid w:val="001861E8"/>
    <w:rsid w:val="00186297"/>
    <w:rsid w:val="001865A0"/>
    <w:rsid w:val="001866D6"/>
    <w:rsid w:val="001868F6"/>
    <w:rsid w:val="001869DD"/>
    <w:rsid w:val="001869F7"/>
    <w:rsid w:val="00186AB1"/>
    <w:rsid w:val="00186FCA"/>
    <w:rsid w:val="00186FD5"/>
    <w:rsid w:val="001871B6"/>
    <w:rsid w:val="00187546"/>
    <w:rsid w:val="00187605"/>
    <w:rsid w:val="0018791E"/>
    <w:rsid w:val="00187985"/>
    <w:rsid w:val="00187994"/>
    <w:rsid w:val="00187AF9"/>
    <w:rsid w:val="00187EA5"/>
    <w:rsid w:val="00187F05"/>
    <w:rsid w:val="00187F12"/>
    <w:rsid w:val="001905C0"/>
    <w:rsid w:val="001905DA"/>
    <w:rsid w:val="001906F7"/>
    <w:rsid w:val="00190712"/>
    <w:rsid w:val="00190A04"/>
    <w:rsid w:val="00190B53"/>
    <w:rsid w:val="00190C45"/>
    <w:rsid w:val="00190CFD"/>
    <w:rsid w:val="00190D73"/>
    <w:rsid w:val="00190E5F"/>
    <w:rsid w:val="00190EE2"/>
    <w:rsid w:val="00190F4E"/>
    <w:rsid w:val="00190F69"/>
    <w:rsid w:val="0019129A"/>
    <w:rsid w:val="001912D9"/>
    <w:rsid w:val="0019148B"/>
    <w:rsid w:val="0019151D"/>
    <w:rsid w:val="00191854"/>
    <w:rsid w:val="0019197B"/>
    <w:rsid w:val="00191BA6"/>
    <w:rsid w:val="00191BEB"/>
    <w:rsid w:val="00191E41"/>
    <w:rsid w:val="00191E95"/>
    <w:rsid w:val="00192C20"/>
    <w:rsid w:val="00192C86"/>
    <w:rsid w:val="00192FDF"/>
    <w:rsid w:val="00193046"/>
    <w:rsid w:val="00193123"/>
    <w:rsid w:val="00193405"/>
    <w:rsid w:val="0019365E"/>
    <w:rsid w:val="001936FC"/>
    <w:rsid w:val="00193702"/>
    <w:rsid w:val="00193714"/>
    <w:rsid w:val="001939E9"/>
    <w:rsid w:val="001939FF"/>
    <w:rsid w:val="00193DFD"/>
    <w:rsid w:val="00193EBD"/>
    <w:rsid w:val="00194242"/>
    <w:rsid w:val="001942AD"/>
    <w:rsid w:val="00194318"/>
    <w:rsid w:val="0019433F"/>
    <w:rsid w:val="001944DF"/>
    <w:rsid w:val="00194533"/>
    <w:rsid w:val="00194715"/>
    <w:rsid w:val="0019483E"/>
    <w:rsid w:val="00194916"/>
    <w:rsid w:val="001949BA"/>
    <w:rsid w:val="001949D7"/>
    <w:rsid w:val="00194A9D"/>
    <w:rsid w:val="00194E0F"/>
    <w:rsid w:val="00194E9F"/>
    <w:rsid w:val="00194F6A"/>
    <w:rsid w:val="00194FFD"/>
    <w:rsid w:val="00195236"/>
    <w:rsid w:val="001952CD"/>
    <w:rsid w:val="0019531B"/>
    <w:rsid w:val="00195682"/>
    <w:rsid w:val="001957BF"/>
    <w:rsid w:val="001958DF"/>
    <w:rsid w:val="001959AD"/>
    <w:rsid w:val="00195A20"/>
    <w:rsid w:val="00195BA5"/>
    <w:rsid w:val="001961C9"/>
    <w:rsid w:val="00196298"/>
    <w:rsid w:val="001963FB"/>
    <w:rsid w:val="001964CC"/>
    <w:rsid w:val="001965F7"/>
    <w:rsid w:val="0019663C"/>
    <w:rsid w:val="001966D4"/>
    <w:rsid w:val="001967F6"/>
    <w:rsid w:val="00196960"/>
    <w:rsid w:val="00196CBF"/>
    <w:rsid w:val="00196F9C"/>
    <w:rsid w:val="00196FA8"/>
    <w:rsid w:val="0019702C"/>
    <w:rsid w:val="0019706B"/>
    <w:rsid w:val="00197104"/>
    <w:rsid w:val="00197173"/>
    <w:rsid w:val="001971EC"/>
    <w:rsid w:val="00197293"/>
    <w:rsid w:val="00197AA7"/>
    <w:rsid w:val="00197B95"/>
    <w:rsid w:val="00197D11"/>
    <w:rsid w:val="00197DB9"/>
    <w:rsid w:val="00197F3D"/>
    <w:rsid w:val="00197F74"/>
    <w:rsid w:val="001A026F"/>
    <w:rsid w:val="001A06D1"/>
    <w:rsid w:val="001A078C"/>
    <w:rsid w:val="001A0828"/>
    <w:rsid w:val="001A0B1B"/>
    <w:rsid w:val="001A0BFE"/>
    <w:rsid w:val="001A0D77"/>
    <w:rsid w:val="001A0F83"/>
    <w:rsid w:val="001A1174"/>
    <w:rsid w:val="001A11AB"/>
    <w:rsid w:val="001A1391"/>
    <w:rsid w:val="001A1571"/>
    <w:rsid w:val="001A1935"/>
    <w:rsid w:val="001A196A"/>
    <w:rsid w:val="001A1D95"/>
    <w:rsid w:val="001A1ED7"/>
    <w:rsid w:val="001A1FA0"/>
    <w:rsid w:val="001A1FF5"/>
    <w:rsid w:val="001A2408"/>
    <w:rsid w:val="001A24E9"/>
    <w:rsid w:val="001A2565"/>
    <w:rsid w:val="001A256C"/>
    <w:rsid w:val="001A2A59"/>
    <w:rsid w:val="001A2A7D"/>
    <w:rsid w:val="001A2D27"/>
    <w:rsid w:val="001A2E7B"/>
    <w:rsid w:val="001A3238"/>
    <w:rsid w:val="001A3709"/>
    <w:rsid w:val="001A3789"/>
    <w:rsid w:val="001A38DB"/>
    <w:rsid w:val="001A3D21"/>
    <w:rsid w:val="001A3F1E"/>
    <w:rsid w:val="001A3FD5"/>
    <w:rsid w:val="001A419C"/>
    <w:rsid w:val="001A421B"/>
    <w:rsid w:val="001A43D2"/>
    <w:rsid w:val="001A44C0"/>
    <w:rsid w:val="001A49CE"/>
    <w:rsid w:val="001A4A69"/>
    <w:rsid w:val="001A4C1B"/>
    <w:rsid w:val="001A4DAB"/>
    <w:rsid w:val="001A4E1D"/>
    <w:rsid w:val="001A4EC5"/>
    <w:rsid w:val="001A4F32"/>
    <w:rsid w:val="001A5201"/>
    <w:rsid w:val="001A52F1"/>
    <w:rsid w:val="001A5545"/>
    <w:rsid w:val="001A5646"/>
    <w:rsid w:val="001A5C1A"/>
    <w:rsid w:val="001A6004"/>
    <w:rsid w:val="001A61A9"/>
    <w:rsid w:val="001A64F3"/>
    <w:rsid w:val="001A651A"/>
    <w:rsid w:val="001A679B"/>
    <w:rsid w:val="001A67B5"/>
    <w:rsid w:val="001A67B9"/>
    <w:rsid w:val="001A68CD"/>
    <w:rsid w:val="001A7028"/>
    <w:rsid w:val="001A706D"/>
    <w:rsid w:val="001A7232"/>
    <w:rsid w:val="001A72BF"/>
    <w:rsid w:val="001A7490"/>
    <w:rsid w:val="001A7970"/>
    <w:rsid w:val="001A7A3B"/>
    <w:rsid w:val="001A7A9E"/>
    <w:rsid w:val="001A7B70"/>
    <w:rsid w:val="001A7BEF"/>
    <w:rsid w:val="001A7C32"/>
    <w:rsid w:val="001A7CE7"/>
    <w:rsid w:val="001B049C"/>
    <w:rsid w:val="001B04A0"/>
    <w:rsid w:val="001B07FF"/>
    <w:rsid w:val="001B0A26"/>
    <w:rsid w:val="001B0BD9"/>
    <w:rsid w:val="001B0BF1"/>
    <w:rsid w:val="001B0FD3"/>
    <w:rsid w:val="001B12D7"/>
    <w:rsid w:val="001B132F"/>
    <w:rsid w:val="001B136C"/>
    <w:rsid w:val="001B15E3"/>
    <w:rsid w:val="001B1661"/>
    <w:rsid w:val="001B1762"/>
    <w:rsid w:val="001B17AC"/>
    <w:rsid w:val="001B1AB9"/>
    <w:rsid w:val="001B1B38"/>
    <w:rsid w:val="001B1B43"/>
    <w:rsid w:val="001B1C06"/>
    <w:rsid w:val="001B1C0E"/>
    <w:rsid w:val="001B1E17"/>
    <w:rsid w:val="001B1EBA"/>
    <w:rsid w:val="001B2705"/>
    <w:rsid w:val="001B2803"/>
    <w:rsid w:val="001B292A"/>
    <w:rsid w:val="001B2961"/>
    <w:rsid w:val="001B2B16"/>
    <w:rsid w:val="001B2CC9"/>
    <w:rsid w:val="001B2CD7"/>
    <w:rsid w:val="001B2E01"/>
    <w:rsid w:val="001B30DD"/>
    <w:rsid w:val="001B34AF"/>
    <w:rsid w:val="001B3C3C"/>
    <w:rsid w:val="001B3CD8"/>
    <w:rsid w:val="001B401B"/>
    <w:rsid w:val="001B475D"/>
    <w:rsid w:val="001B4783"/>
    <w:rsid w:val="001B4D60"/>
    <w:rsid w:val="001B4DB9"/>
    <w:rsid w:val="001B4E65"/>
    <w:rsid w:val="001B4FC0"/>
    <w:rsid w:val="001B52F2"/>
    <w:rsid w:val="001B53F3"/>
    <w:rsid w:val="001B54BA"/>
    <w:rsid w:val="001B56D4"/>
    <w:rsid w:val="001B56EE"/>
    <w:rsid w:val="001B579C"/>
    <w:rsid w:val="001B588D"/>
    <w:rsid w:val="001B5CE3"/>
    <w:rsid w:val="001B5FA7"/>
    <w:rsid w:val="001B61FF"/>
    <w:rsid w:val="001B62EB"/>
    <w:rsid w:val="001B6607"/>
    <w:rsid w:val="001B6A6B"/>
    <w:rsid w:val="001B6D55"/>
    <w:rsid w:val="001B70BC"/>
    <w:rsid w:val="001B71D1"/>
    <w:rsid w:val="001B7282"/>
    <w:rsid w:val="001B73B6"/>
    <w:rsid w:val="001B745D"/>
    <w:rsid w:val="001B76B1"/>
    <w:rsid w:val="001B7AE2"/>
    <w:rsid w:val="001B7B11"/>
    <w:rsid w:val="001B7B5E"/>
    <w:rsid w:val="001B7D02"/>
    <w:rsid w:val="001B7F75"/>
    <w:rsid w:val="001C0120"/>
    <w:rsid w:val="001C0138"/>
    <w:rsid w:val="001C013B"/>
    <w:rsid w:val="001C0194"/>
    <w:rsid w:val="001C033F"/>
    <w:rsid w:val="001C0398"/>
    <w:rsid w:val="001C03A4"/>
    <w:rsid w:val="001C0460"/>
    <w:rsid w:val="001C06DF"/>
    <w:rsid w:val="001C0A0D"/>
    <w:rsid w:val="001C0E24"/>
    <w:rsid w:val="001C0E51"/>
    <w:rsid w:val="001C0FD9"/>
    <w:rsid w:val="001C118A"/>
    <w:rsid w:val="001C11DF"/>
    <w:rsid w:val="001C154A"/>
    <w:rsid w:val="001C1581"/>
    <w:rsid w:val="001C17E4"/>
    <w:rsid w:val="001C1855"/>
    <w:rsid w:val="001C1953"/>
    <w:rsid w:val="001C1A10"/>
    <w:rsid w:val="001C1AB1"/>
    <w:rsid w:val="001C1C6A"/>
    <w:rsid w:val="001C1D2F"/>
    <w:rsid w:val="001C1D43"/>
    <w:rsid w:val="001C1F00"/>
    <w:rsid w:val="001C20C6"/>
    <w:rsid w:val="001C2343"/>
    <w:rsid w:val="001C2714"/>
    <w:rsid w:val="001C27A3"/>
    <w:rsid w:val="001C283B"/>
    <w:rsid w:val="001C2AED"/>
    <w:rsid w:val="001C2B38"/>
    <w:rsid w:val="001C2B56"/>
    <w:rsid w:val="001C2CB3"/>
    <w:rsid w:val="001C3076"/>
    <w:rsid w:val="001C31C6"/>
    <w:rsid w:val="001C31EE"/>
    <w:rsid w:val="001C364F"/>
    <w:rsid w:val="001C3703"/>
    <w:rsid w:val="001C3C60"/>
    <w:rsid w:val="001C3DEB"/>
    <w:rsid w:val="001C40D1"/>
    <w:rsid w:val="001C451D"/>
    <w:rsid w:val="001C45E1"/>
    <w:rsid w:val="001C46F3"/>
    <w:rsid w:val="001C4736"/>
    <w:rsid w:val="001C483C"/>
    <w:rsid w:val="001C4BD0"/>
    <w:rsid w:val="001C504F"/>
    <w:rsid w:val="001C509C"/>
    <w:rsid w:val="001C5655"/>
    <w:rsid w:val="001C566D"/>
    <w:rsid w:val="001C5B18"/>
    <w:rsid w:val="001C6097"/>
    <w:rsid w:val="001C6465"/>
    <w:rsid w:val="001C654F"/>
    <w:rsid w:val="001C6585"/>
    <w:rsid w:val="001C66DB"/>
    <w:rsid w:val="001C6775"/>
    <w:rsid w:val="001C6B8C"/>
    <w:rsid w:val="001C6C17"/>
    <w:rsid w:val="001C6C99"/>
    <w:rsid w:val="001C6D1E"/>
    <w:rsid w:val="001C6FC7"/>
    <w:rsid w:val="001C7065"/>
    <w:rsid w:val="001C717A"/>
    <w:rsid w:val="001C7270"/>
    <w:rsid w:val="001C72E7"/>
    <w:rsid w:val="001C7835"/>
    <w:rsid w:val="001C79A3"/>
    <w:rsid w:val="001C7E4A"/>
    <w:rsid w:val="001C7ED7"/>
    <w:rsid w:val="001D002B"/>
    <w:rsid w:val="001D0084"/>
    <w:rsid w:val="001D01F3"/>
    <w:rsid w:val="001D02A2"/>
    <w:rsid w:val="001D02BE"/>
    <w:rsid w:val="001D031F"/>
    <w:rsid w:val="001D04F9"/>
    <w:rsid w:val="001D0543"/>
    <w:rsid w:val="001D08B7"/>
    <w:rsid w:val="001D0D82"/>
    <w:rsid w:val="001D0E74"/>
    <w:rsid w:val="001D0EC4"/>
    <w:rsid w:val="001D0F50"/>
    <w:rsid w:val="001D0F61"/>
    <w:rsid w:val="001D117A"/>
    <w:rsid w:val="001D130D"/>
    <w:rsid w:val="001D138A"/>
    <w:rsid w:val="001D140F"/>
    <w:rsid w:val="001D176B"/>
    <w:rsid w:val="001D181F"/>
    <w:rsid w:val="001D2228"/>
    <w:rsid w:val="001D2273"/>
    <w:rsid w:val="001D257E"/>
    <w:rsid w:val="001D270F"/>
    <w:rsid w:val="001D27D9"/>
    <w:rsid w:val="001D27E7"/>
    <w:rsid w:val="001D2847"/>
    <w:rsid w:val="001D28D1"/>
    <w:rsid w:val="001D2908"/>
    <w:rsid w:val="001D295A"/>
    <w:rsid w:val="001D2A89"/>
    <w:rsid w:val="001D2B59"/>
    <w:rsid w:val="001D2E7B"/>
    <w:rsid w:val="001D3370"/>
    <w:rsid w:val="001D3644"/>
    <w:rsid w:val="001D3757"/>
    <w:rsid w:val="001D3CF8"/>
    <w:rsid w:val="001D3D23"/>
    <w:rsid w:val="001D3EE3"/>
    <w:rsid w:val="001D3FBE"/>
    <w:rsid w:val="001D4050"/>
    <w:rsid w:val="001D4393"/>
    <w:rsid w:val="001D453B"/>
    <w:rsid w:val="001D48E3"/>
    <w:rsid w:val="001D4B37"/>
    <w:rsid w:val="001D4BE5"/>
    <w:rsid w:val="001D4D44"/>
    <w:rsid w:val="001D4DB3"/>
    <w:rsid w:val="001D4DDB"/>
    <w:rsid w:val="001D4EEB"/>
    <w:rsid w:val="001D54AC"/>
    <w:rsid w:val="001D556E"/>
    <w:rsid w:val="001D586D"/>
    <w:rsid w:val="001D58E5"/>
    <w:rsid w:val="001D5A97"/>
    <w:rsid w:val="001D5C3C"/>
    <w:rsid w:val="001D5C59"/>
    <w:rsid w:val="001D5DA3"/>
    <w:rsid w:val="001D6137"/>
    <w:rsid w:val="001D6210"/>
    <w:rsid w:val="001D6228"/>
    <w:rsid w:val="001D6296"/>
    <w:rsid w:val="001D632C"/>
    <w:rsid w:val="001D6451"/>
    <w:rsid w:val="001D65E2"/>
    <w:rsid w:val="001D74B5"/>
    <w:rsid w:val="001D750E"/>
    <w:rsid w:val="001D759F"/>
    <w:rsid w:val="001D75C0"/>
    <w:rsid w:val="001D76ED"/>
    <w:rsid w:val="001D7710"/>
    <w:rsid w:val="001D77F0"/>
    <w:rsid w:val="001D7899"/>
    <w:rsid w:val="001D7A48"/>
    <w:rsid w:val="001D7A5E"/>
    <w:rsid w:val="001D7C27"/>
    <w:rsid w:val="001D7D9B"/>
    <w:rsid w:val="001E0067"/>
    <w:rsid w:val="001E03ED"/>
    <w:rsid w:val="001E040B"/>
    <w:rsid w:val="001E0502"/>
    <w:rsid w:val="001E058A"/>
    <w:rsid w:val="001E0640"/>
    <w:rsid w:val="001E077F"/>
    <w:rsid w:val="001E0830"/>
    <w:rsid w:val="001E0E24"/>
    <w:rsid w:val="001E0E74"/>
    <w:rsid w:val="001E10CB"/>
    <w:rsid w:val="001E118D"/>
    <w:rsid w:val="001E1578"/>
    <w:rsid w:val="001E15E4"/>
    <w:rsid w:val="001E1686"/>
    <w:rsid w:val="001E1AF7"/>
    <w:rsid w:val="001E1B42"/>
    <w:rsid w:val="001E1C34"/>
    <w:rsid w:val="001E1E32"/>
    <w:rsid w:val="001E1EA1"/>
    <w:rsid w:val="001E1F26"/>
    <w:rsid w:val="001E227D"/>
    <w:rsid w:val="001E249B"/>
    <w:rsid w:val="001E25F6"/>
    <w:rsid w:val="001E2653"/>
    <w:rsid w:val="001E2751"/>
    <w:rsid w:val="001E27D1"/>
    <w:rsid w:val="001E2DAC"/>
    <w:rsid w:val="001E3079"/>
    <w:rsid w:val="001E31D4"/>
    <w:rsid w:val="001E3415"/>
    <w:rsid w:val="001E37FD"/>
    <w:rsid w:val="001E38B4"/>
    <w:rsid w:val="001E38DE"/>
    <w:rsid w:val="001E3BD7"/>
    <w:rsid w:val="001E3C58"/>
    <w:rsid w:val="001E3DA7"/>
    <w:rsid w:val="001E3DBE"/>
    <w:rsid w:val="001E3DE4"/>
    <w:rsid w:val="001E4075"/>
    <w:rsid w:val="001E4231"/>
    <w:rsid w:val="001E42A4"/>
    <w:rsid w:val="001E42F7"/>
    <w:rsid w:val="001E4721"/>
    <w:rsid w:val="001E47FA"/>
    <w:rsid w:val="001E4C0F"/>
    <w:rsid w:val="001E4C20"/>
    <w:rsid w:val="001E4CF7"/>
    <w:rsid w:val="001E4D9E"/>
    <w:rsid w:val="001E51D3"/>
    <w:rsid w:val="001E5319"/>
    <w:rsid w:val="001E54D0"/>
    <w:rsid w:val="001E5930"/>
    <w:rsid w:val="001E59BE"/>
    <w:rsid w:val="001E5ADD"/>
    <w:rsid w:val="001E5F66"/>
    <w:rsid w:val="001E6377"/>
    <w:rsid w:val="001E6D85"/>
    <w:rsid w:val="001E6EA0"/>
    <w:rsid w:val="001E775A"/>
    <w:rsid w:val="001E77C5"/>
    <w:rsid w:val="001E7E3D"/>
    <w:rsid w:val="001F0016"/>
    <w:rsid w:val="001F003C"/>
    <w:rsid w:val="001F04E0"/>
    <w:rsid w:val="001F055C"/>
    <w:rsid w:val="001F05C0"/>
    <w:rsid w:val="001F0794"/>
    <w:rsid w:val="001F07A0"/>
    <w:rsid w:val="001F07D7"/>
    <w:rsid w:val="001F09F0"/>
    <w:rsid w:val="001F0A16"/>
    <w:rsid w:val="001F0A77"/>
    <w:rsid w:val="001F0C59"/>
    <w:rsid w:val="001F0F9F"/>
    <w:rsid w:val="001F1068"/>
    <w:rsid w:val="001F112B"/>
    <w:rsid w:val="001F11BB"/>
    <w:rsid w:val="001F13C1"/>
    <w:rsid w:val="001F1426"/>
    <w:rsid w:val="001F1728"/>
    <w:rsid w:val="001F182D"/>
    <w:rsid w:val="001F18D5"/>
    <w:rsid w:val="001F195D"/>
    <w:rsid w:val="001F1DCA"/>
    <w:rsid w:val="001F1E9A"/>
    <w:rsid w:val="001F1F34"/>
    <w:rsid w:val="001F1FFA"/>
    <w:rsid w:val="001F223D"/>
    <w:rsid w:val="001F2344"/>
    <w:rsid w:val="001F23C6"/>
    <w:rsid w:val="001F249C"/>
    <w:rsid w:val="001F24CE"/>
    <w:rsid w:val="001F25AE"/>
    <w:rsid w:val="001F274A"/>
    <w:rsid w:val="001F279E"/>
    <w:rsid w:val="001F2A45"/>
    <w:rsid w:val="001F2E48"/>
    <w:rsid w:val="001F2EC6"/>
    <w:rsid w:val="001F304A"/>
    <w:rsid w:val="001F30C2"/>
    <w:rsid w:val="001F35A2"/>
    <w:rsid w:val="001F3AB0"/>
    <w:rsid w:val="001F3D10"/>
    <w:rsid w:val="001F3F6E"/>
    <w:rsid w:val="001F40A6"/>
    <w:rsid w:val="001F4146"/>
    <w:rsid w:val="001F41C0"/>
    <w:rsid w:val="001F42F4"/>
    <w:rsid w:val="001F4335"/>
    <w:rsid w:val="001F43A5"/>
    <w:rsid w:val="001F43A8"/>
    <w:rsid w:val="001F446D"/>
    <w:rsid w:val="001F447D"/>
    <w:rsid w:val="001F44D0"/>
    <w:rsid w:val="001F45A4"/>
    <w:rsid w:val="001F4645"/>
    <w:rsid w:val="001F48AC"/>
    <w:rsid w:val="001F49EB"/>
    <w:rsid w:val="001F4A31"/>
    <w:rsid w:val="001F4B65"/>
    <w:rsid w:val="001F4F15"/>
    <w:rsid w:val="001F5158"/>
    <w:rsid w:val="001F532A"/>
    <w:rsid w:val="001F539F"/>
    <w:rsid w:val="001F5468"/>
    <w:rsid w:val="001F557F"/>
    <w:rsid w:val="001F56DF"/>
    <w:rsid w:val="001F5707"/>
    <w:rsid w:val="001F5730"/>
    <w:rsid w:val="001F5A86"/>
    <w:rsid w:val="001F5A98"/>
    <w:rsid w:val="001F5AD7"/>
    <w:rsid w:val="001F5BBB"/>
    <w:rsid w:val="001F5C4F"/>
    <w:rsid w:val="001F6063"/>
    <w:rsid w:val="001F638D"/>
    <w:rsid w:val="001F6585"/>
    <w:rsid w:val="001F6606"/>
    <w:rsid w:val="001F664A"/>
    <w:rsid w:val="001F6672"/>
    <w:rsid w:val="001F67A8"/>
    <w:rsid w:val="001F6841"/>
    <w:rsid w:val="001F69DF"/>
    <w:rsid w:val="001F6A10"/>
    <w:rsid w:val="001F6AAE"/>
    <w:rsid w:val="001F6AF1"/>
    <w:rsid w:val="001F6B0A"/>
    <w:rsid w:val="001F6CFD"/>
    <w:rsid w:val="001F6D58"/>
    <w:rsid w:val="001F6F7C"/>
    <w:rsid w:val="001F711A"/>
    <w:rsid w:val="001F713F"/>
    <w:rsid w:val="001F71AA"/>
    <w:rsid w:val="001F71C6"/>
    <w:rsid w:val="001F7455"/>
    <w:rsid w:val="001F78C3"/>
    <w:rsid w:val="001F7980"/>
    <w:rsid w:val="001F7B1E"/>
    <w:rsid w:val="001F7BDD"/>
    <w:rsid w:val="002000D4"/>
    <w:rsid w:val="002002A1"/>
    <w:rsid w:val="002004FA"/>
    <w:rsid w:val="002006BB"/>
    <w:rsid w:val="00200708"/>
    <w:rsid w:val="00200862"/>
    <w:rsid w:val="002008BB"/>
    <w:rsid w:val="002008CB"/>
    <w:rsid w:val="00200B89"/>
    <w:rsid w:val="00200B8D"/>
    <w:rsid w:val="00200C1F"/>
    <w:rsid w:val="00201066"/>
    <w:rsid w:val="00201069"/>
    <w:rsid w:val="00201320"/>
    <w:rsid w:val="002018DB"/>
    <w:rsid w:val="00201B2C"/>
    <w:rsid w:val="00201D0E"/>
    <w:rsid w:val="00201DC3"/>
    <w:rsid w:val="00201E6B"/>
    <w:rsid w:val="00201F2B"/>
    <w:rsid w:val="0020204A"/>
    <w:rsid w:val="002021C9"/>
    <w:rsid w:val="002023EC"/>
    <w:rsid w:val="00202DC8"/>
    <w:rsid w:val="00202FA2"/>
    <w:rsid w:val="0020301C"/>
    <w:rsid w:val="002030B0"/>
    <w:rsid w:val="002033B4"/>
    <w:rsid w:val="00203719"/>
    <w:rsid w:val="0020371B"/>
    <w:rsid w:val="0020372C"/>
    <w:rsid w:val="002039D4"/>
    <w:rsid w:val="00203F43"/>
    <w:rsid w:val="00204551"/>
    <w:rsid w:val="002045CD"/>
    <w:rsid w:val="002049D3"/>
    <w:rsid w:val="00204CEC"/>
    <w:rsid w:val="00204E78"/>
    <w:rsid w:val="00204F31"/>
    <w:rsid w:val="00205485"/>
    <w:rsid w:val="002056AD"/>
    <w:rsid w:val="002057BB"/>
    <w:rsid w:val="002059FE"/>
    <w:rsid w:val="00205A29"/>
    <w:rsid w:val="00205D96"/>
    <w:rsid w:val="00205DF7"/>
    <w:rsid w:val="00205FAF"/>
    <w:rsid w:val="0020604B"/>
    <w:rsid w:val="00206055"/>
    <w:rsid w:val="00206317"/>
    <w:rsid w:val="0020636B"/>
    <w:rsid w:val="002063FC"/>
    <w:rsid w:val="002066E5"/>
    <w:rsid w:val="0020672A"/>
    <w:rsid w:val="00206A40"/>
    <w:rsid w:val="00206C5C"/>
    <w:rsid w:val="00206D27"/>
    <w:rsid w:val="00206FF4"/>
    <w:rsid w:val="002071AE"/>
    <w:rsid w:val="0020747D"/>
    <w:rsid w:val="002076D0"/>
    <w:rsid w:val="002076F2"/>
    <w:rsid w:val="00207999"/>
    <w:rsid w:val="00207A1F"/>
    <w:rsid w:val="00207BC2"/>
    <w:rsid w:val="00207F99"/>
    <w:rsid w:val="002100D2"/>
    <w:rsid w:val="002106A0"/>
    <w:rsid w:val="002108C0"/>
    <w:rsid w:val="0021092A"/>
    <w:rsid w:val="00210C08"/>
    <w:rsid w:val="00210F3B"/>
    <w:rsid w:val="00210F8D"/>
    <w:rsid w:val="00211039"/>
    <w:rsid w:val="00211063"/>
    <w:rsid w:val="002112EC"/>
    <w:rsid w:val="00211718"/>
    <w:rsid w:val="00211791"/>
    <w:rsid w:val="002117F1"/>
    <w:rsid w:val="0021180E"/>
    <w:rsid w:val="002119B9"/>
    <w:rsid w:val="00211B8D"/>
    <w:rsid w:val="0021224B"/>
    <w:rsid w:val="002123B8"/>
    <w:rsid w:val="002123E8"/>
    <w:rsid w:val="002123EF"/>
    <w:rsid w:val="00212445"/>
    <w:rsid w:val="0021253E"/>
    <w:rsid w:val="002129C6"/>
    <w:rsid w:val="002129E9"/>
    <w:rsid w:val="00212B12"/>
    <w:rsid w:val="00212BA9"/>
    <w:rsid w:val="00212D30"/>
    <w:rsid w:val="00212D33"/>
    <w:rsid w:val="00212E86"/>
    <w:rsid w:val="00213438"/>
    <w:rsid w:val="00213693"/>
    <w:rsid w:val="002138D1"/>
    <w:rsid w:val="00213A77"/>
    <w:rsid w:val="00213C4F"/>
    <w:rsid w:val="00213DAB"/>
    <w:rsid w:val="00213F9A"/>
    <w:rsid w:val="00214154"/>
    <w:rsid w:val="002141FF"/>
    <w:rsid w:val="00214229"/>
    <w:rsid w:val="002142EA"/>
    <w:rsid w:val="00214518"/>
    <w:rsid w:val="00214AD7"/>
    <w:rsid w:val="00214E56"/>
    <w:rsid w:val="002150FE"/>
    <w:rsid w:val="00215193"/>
    <w:rsid w:val="002151DE"/>
    <w:rsid w:val="00215234"/>
    <w:rsid w:val="00215243"/>
    <w:rsid w:val="002156C9"/>
    <w:rsid w:val="00215BEB"/>
    <w:rsid w:val="00215E9D"/>
    <w:rsid w:val="00216043"/>
    <w:rsid w:val="002162B1"/>
    <w:rsid w:val="0021653E"/>
    <w:rsid w:val="00216583"/>
    <w:rsid w:val="00216666"/>
    <w:rsid w:val="002168A2"/>
    <w:rsid w:val="002168D7"/>
    <w:rsid w:val="002169F1"/>
    <w:rsid w:val="00216A5B"/>
    <w:rsid w:val="00216A64"/>
    <w:rsid w:val="00216A6E"/>
    <w:rsid w:val="00216A8C"/>
    <w:rsid w:val="00216BAB"/>
    <w:rsid w:val="00216BF8"/>
    <w:rsid w:val="00216C3E"/>
    <w:rsid w:val="00216EAB"/>
    <w:rsid w:val="00217348"/>
    <w:rsid w:val="00217619"/>
    <w:rsid w:val="002176CE"/>
    <w:rsid w:val="0021798E"/>
    <w:rsid w:val="00217B73"/>
    <w:rsid w:val="00217F88"/>
    <w:rsid w:val="00217FB8"/>
    <w:rsid w:val="0022004B"/>
    <w:rsid w:val="002204AD"/>
    <w:rsid w:val="002205C3"/>
    <w:rsid w:val="00220673"/>
    <w:rsid w:val="002209A1"/>
    <w:rsid w:val="00220AC0"/>
    <w:rsid w:val="00220CDE"/>
    <w:rsid w:val="00220F57"/>
    <w:rsid w:val="00220F68"/>
    <w:rsid w:val="00220F94"/>
    <w:rsid w:val="00221105"/>
    <w:rsid w:val="00221174"/>
    <w:rsid w:val="002212BE"/>
    <w:rsid w:val="002215D7"/>
    <w:rsid w:val="00221609"/>
    <w:rsid w:val="00221612"/>
    <w:rsid w:val="00221800"/>
    <w:rsid w:val="00221966"/>
    <w:rsid w:val="002219C1"/>
    <w:rsid w:val="00221AB7"/>
    <w:rsid w:val="00221B1B"/>
    <w:rsid w:val="00221B2F"/>
    <w:rsid w:val="00221B46"/>
    <w:rsid w:val="00221C74"/>
    <w:rsid w:val="00221D50"/>
    <w:rsid w:val="0022219A"/>
    <w:rsid w:val="0022225F"/>
    <w:rsid w:val="002222F8"/>
    <w:rsid w:val="0022250E"/>
    <w:rsid w:val="00222549"/>
    <w:rsid w:val="00222593"/>
    <w:rsid w:val="00222771"/>
    <w:rsid w:val="00222B37"/>
    <w:rsid w:val="00222EAB"/>
    <w:rsid w:val="00223164"/>
    <w:rsid w:val="00223423"/>
    <w:rsid w:val="00223502"/>
    <w:rsid w:val="0022393A"/>
    <w:rsid w:val="00223AA0"/>
    <w:rsid w:val="00223B15"/>
    <w:rsid w:val="00223CFD"/>
    <w:rsid w:val="002244AE"/>
    <w:rsid w:val="00224A33"/>
    <w:rsid w:val="00224B17"/>
    <w:rsid w:val="00224C8D"/>
    <w:rsid w:val="00224CBA"/>
    <w:rsid w:val="00224CFB"/>
    <w:rsid w:val="002251CB"/>
    <w:rsid w:val="002259C0"/>
    <w:rsid w:val="00225FD7"/>
    <w:rsid w:val="00225FE7"/>
    <w:rsid w:val="0022623A"/>
    <w:rsid w:val="0022663A"/>
    <w:rsid w:val="002268A3"/>
    <w:rsid w:val="00226E6D"/>
    <w:rsid w:val="00227509"/>
    <w:rsid w:val="002275BF"/>
    <w:rsid w:val="00227604"/>
    <w:rsid w:val="002276DE"/>
    <w:rsid w:val="00227712"/>
    <w:rsid w:val="00227AD2"/>
    <w:rsid w:val="00227E8B"/>
    <w:rsid w:val="00227F93"/>
    <w:rsid w:val="00227FB2"/>
    <w:rsid w:val="00230183"/>
    <w:rsid w:val="00230209"/>
    <w:rsid w:val="00230341"/>
    <w:rsid w:val="002304FA"/>
    <w:rsid w:val="0023052A"/>
    <w:rsid w:val="00230A2D"/>
    <w:rsid w:val="00230C91"/>
    <w:rsid w:val="00230ED7"/>
    <w:rsid w:val="002316BA"/>
    <w:rsid w:val="002317B7"/>
    <w:rsid w:val="00231D97"/>
    <w:rsid w:val="00231E91"/>
    <w:rsid w:val="00231F17"/>
    <w:rsid w:val="00231FBF"/>
    <w:rsid w:val="00231FDE"/>
    <w:rsid w:val="00232541"/>
    <w:rsid w:val="002325FB"/>
    <w:rsid w:val="00232601"/>
    <w:rsid w:val="00232605"/>
    <w:rsid w:val="00232651"/>
    <w:rsid w:val="00232697"/>
    <w:rsid w:val="002328A2"/>
    <w:rsid w:val="00232989"/>
    <w:rsid w:val="00232A89"/>
    <w:rsid w:val="00232C33"/>
    <w:rsid w:val="00232D43"/>
    <w:rsid w:val="00232D56"/>
    <w:rsid w:val="002332A6"/>
    <w:rsid w:val="002333A3"/>
    <w:rsid w:val="002334A0"/>
    <w:rsid w:val="00233668"/>
    <w:rsid w:val="002339B2"/>
    <w:rsid w:val="00233D93"/>
    <w:rsid w:val="00234013"/>
    <w:rsid w:val="0023422B"/>
    <w:rsid w:val="0023444F"/>
    <w:rsid w:val="002345AF"/>
    <w:rsid w:val="00234654"/>
    <w:rsid w:val="00234781"/>
    <w:rsid w:val="00234824"/>
    <w:rsid w:val="00234886"/>
    <w:rsid w:val="00234A96"/>
    <w:rsid w:val="00234A9E"/>
    <w:rsid w:val="00234B10"/>
    <w:rsid w:val="00234B4C"/>
    <w:rsid w:val="00234D1E"/>
    <w:rsid w:val="00234D46"/>
    <w:rsid w:val="00234E93"/>
    <w:rsid w:val="00235078"/>
    <w:rsid w:val="002350E9"/>
    <w:rsid w:val="0023520F"/>
    <w:rsid w:val="002353C2"/>
    <w:rsid w:val="00235490"/>
    <w:rsid w:val="002356A4"/>
    <w:rsid w:val="002356E7"/>
    <w:rsid w:val="0023573A"/>
    <w:rsid w:val="002357B2"/>
    <w:rsid w:val="00235AA4"/>
    <w:rsid w:val="00235B3B"/>
    <w:rsid w:val="0023608C"/>
    <w:rsid w:val="00236143"/>
    <w:rsid w:val="00236198"/>
    <w:rsid w:val="002361B2"/>
    <w:rsid w:val="002361D9"/>
    <w:rsid w:val="00236380"/>
    <w:rsid w:val="002364D4"/>
    <w:rsid w:val="002365C2"/>
    <w:rsid w:val="002367B8"/>
    <w:rsid w:val="00236846"/>
    <w:rsid w:val="00236962"/>
    <w:rsid w:val="00236D06"/>
    <w:rsid w:val="00236E23"/>
    <w:rsid w:val="00236E2C"/>
    <w:rsid w:val="00236E54"/>
    <w:rsid w:val="00236EE2"/>
    <w:rsid w:val="002370E6"/>
    <w:rsid w:val="00237180"/>
    <w:rsid w:val="0023731D"/>
    <w:rsid w:val="0023733B"/>
    <w:rsid w:val="002376B9"/>
    <w:rsid w:val="0023774A"/>
    <w:rsid w:val="00237894"/>
    <w:rsid w:val="002378B2"/>
    <w:rsid w:val="00237B8F"/>
    <w:rsid w:val="00237E6E"/>
    <w:rsid w:val="00237FD6"/>
    <w:rsid w:val="00240192"/>
    <w:rsid w:val="0024027D"/>
    <w:rsid w:val="002406CA"/>
    <w:rsid w:val="0024093A"/>
    <w:rsid w:val="00240B76"/>
    <w:rsid w:val="00240BAC"/>
    <w:rsid w:val="00240C07"/>
    <w:rsid w:val="00240C5F"/>
    <w:rsid w:val="00240CBD"/>
    <w:rsid w:val="002410D9"/>
    <w:rsid w:val="002413E2"/>
    <w:rsid w:val="00241760"/>
    <w:rsid w:val="002417AF"/>
    <w:rsid w:val="002419D0"/>
    <w:rsid w:val="00241D0F"/>
    <w:rsid w:val="00241D82"/>
    <w:rsid w:val="00242354"/>
    <w:rsid w:val="002423FA"/>
    <w:rsid w:val="0024260B"/>
    <w:rsid w:val="00242783"/>
    <w:rsid w:val="002427EC"/>
    <w:rsid w:val="00242B2E"/>
    <w:rsid w:val="00242C4B"/>
    <w:rsid w:val="00242EB2"/>
    <w:rsid w:val="00242ED1"/>
    <w:rsid w:val="00242F3D"/>
    <w:rsid w:val="00243188"/>
    <w:rsid w:val="00243319"/>
    <w:rsid w:val="00243765"/>
    <w:rsid w:val="00243986"/>
    <w:rsid w:val="0024399D"/>
    <w:rsid w:val="00243D9E"/>
    <w:rsid w:val="00244456"/>
    <w:rsid w:val="002444FE"/>
    <w:rsid w:val="0024457E"/>
    <w:rsid w:val="0024463B"/>
    <w:rsid w:val="002446B9"/>
    <w:rsid w:val="002449A0"/>
    <w:rsid w:val="00244F91"/>
    <w:rsid w:val="002450D7"/>
    <w:rsid w:val="0024510B"/>
    <w:rsid w:val="00245288"/>
    <w:rsid w:val="00245356"/>
    <w:rsid w:val="002454CD"/>
    <w:rsid w:val="00245629"/>
    <w:rsid w:val="002457DE"/>
    <w:rsid w:val="002457E9"/>
    <w:rsid w:val="002458C2"/>
    <w:rsid w:val="00245E0E"/>
    <w:rsid w:val="00245FEF"/>
    <w:rsid w:val="00246075"/>
    <w:rsid w:val="00246435"/>
    <w:rsid w:val="0024643A"/>
    <w:rsid w:val="00246832"/>
    <w:rsid w:val="00246A95"/>
    <w:rsid w:val="00246B11"/>
    <w:rsid w:val="00246BCF"/>
    <w:rsid w:val="00246BD6"/>
    <w:rsid w:val="00246DE1"/>
    <w:rsid w:val="00246EDC"/>
    <w:rsid w:val="0024705D"/>
    <w:rsid w:val="0024712D"/>
    <w:rsid w:val="002475A0"/>
    <w:rsid w:val="00247A21"/>
    <w:rsid w:val="00247B92"/>
    <w:rsid w:val="00247CCA"/>
    <w:rsid w:val="00247D34"/>
    <w:rsid w:val="00250293"/>
    <w:rsid w:val="0025029E"/>
    <w:rsid w:val="002502D3"/>
    <w:rsid w:val="002502E4"/>
    <w:rsid w:val="00250365"/>
    <w:rsid w:val="00250591"/>
    <w:rsid w:val="00250666"/>
    <w:rsid w:val="0025084F"/>
    <w:rsid w:val="002508C3"/>
    <w:rsid w:val="002508D9"/>
    <w:rsid w:val="002509BA"/>
    <w:rsid w:val="002509C3"/>
    <w:rsid w:val="00250E70"/>
    <w:rsid w:val="00250E92"/>
    <w:rsid w:val="0025113C"/>
    <w:rsid w:val="00251245"/>
    <w:rsid w:val="00251348"/>
    <w:rsid w:val="002513DA"/>
    <w:rsid w:val="00251577"/>
    <w:rsid w:val="00251A2B"/>
    <w:rsid w:val="00251A46"/>
    <w:rsid w:val="00251AED"/>
    <w:rsid w:val="00251CA2"/>
    <w:rsid w:val="00251D73"/>
    <w:rsid w:val="00251F6E"/>
    <w:rsid w:val="00251FDE"/>
    <w:rsid w:val="002525DF"/>
    <w:rsid w:val="00252806"/>
    <w:rsid w:val="00252C1E"/>
    <w:rsid w:val="00252E54"/>
    <w:rsid w:val="00252E67"/>
    <w:rsid w:val="00252EC3"/>
    <w:rsid w:val="00252F90"/>
    <w:rsid w:val="0025316B"/>
    <w:rsid w:val="00253293"/>
    <w:rsid w:val="00253508"/>
    <w:rsid w:val="002536A9"/>
    <w:rsid w:val="0025378C"/>
    <w:rsid w:val="002539AD"/>
    <w:rsid w:val="002539E9"/>
    <w:rsid w:val="00253AB8"/>
    <w:rsid w:val="00253C7B"/>
    <w:rsid w:val="002541DC"/>
    <w:rsid w:val="0025424B"/>
    <w:rsid w:val="00254292"/>
    <w:rsid w:val="002543C3"/>
    <w:rsid w:val="0025456C"/>
    <w:rsid w:val="002548F0"/>
    <w:rsid w:val="00254EBD"/>
    <w:rsid w:val="00254F96"/>
    <w:rsid w:val="002550EF"/>
    <w:rsid w:val="00255145"/>
    <w:rsid w:val="0025525B"/>
    <w:rsid w:val="00255404"/>
    <w:rsid w:val="00255599"/>
    <w:rsid w:val="0025565B"/>
    <w:rsid w:val="002556D6"/>
    <w:rsid w:val="00255853"/>
    <w:rsid w:val="0025588C"/>
    <w:rsid w:val="002558AC"/>
    <w:rsid w:val="00255F16"/>
    <w:rsid w:val="00255F40"/>
    <w:rsid w:val="0025619F"/>
    <w:rsid w:val="00256261"/>
    <w:rsid w:val="0025630B"/>
    <w:rsid w:val="00256395"/>
    <w:rsid w:val="00256629"/>
    <w:rsid w:val="00256E05"/>
    <w:rsid w:val="00256E66"/>
    <w:rsid w:val="00256FF2"/>
    <w:rsid w:val="0025720C"/>
    <w:rsid w:val="00257255"/>
    <w:rsid w:val="00257331"/>
    <w:rsid w:val="002574DE"/>
    <w:rsid w:val="0025763E"/>
    <w:rsid w:val="00257BF6"/>
    <w:rsid w:val="00257FD9"/>
    <w:rsid w:val="0026011F"/>
    <w:rsid w:val="002601BB"/>
    <w:rsid w:val="00260559"/>
    <w:rsid w:val="0026056A"/>
    <w:rsid w:val="00260617"/>
    <w:rsid w:val="00260D20"/>
    <w:rsid w:val="00260F3E"/>
    <w:rsid w:val="002610FA"/>
    <w:rsid w:val="00261245"/>
    <w:rsid w:val="0026151F"/>
    <w:rsid w:val="0026158E"/>
    <w:rsid w:val="002617ED"/>
    <w:rsid w:val="00261843"/>
    <w:rsid w:val="00261A65"/>
    <w:rsid w:val="00261C79"/>
    <w:rsid w:val="00261D85"/>
    <w:rsid w:val="00261FEE"/>
    <w:rsid w:val="00262056"/>
    <w:rsid w:val="002621F2"/>
    <w:rsid w:val="0026242E"/>
    <w:rsid w:val="00262536"/>
    <w:rsid w:val="0026269E"/>
    <w:rsid w:val="0026279D"/>
    <w:rsid w:val="002628D6"/>
    <w:rsid w:val="00262D0C"/>
    <w:rsid w:val="00262DA1"/>
    <w:rsid w:val="00262DBC"/>
    <w:rsid w:val="00262EC3"/>
    <w:rsid w:val="00262FAA"/>
    <w:rsid w:val="00263073"/>
    <w:rsid w:val="0026343E"/>
    <w:rsid w:val="00263619"/>
    <w:rsid w:val="002636EB"/>
    <w:rsid w:val="0026384E"/>
    <w:rsid w:val="00263853"/>
    <w:rsid w:val="0026385B"/>
    <w:rsid w:val="00263866"/>
    <w:rsid w:val="00263B49"/>
    <w:rsid w:val="002644DA"/>
    <w:rsid w:val="00264573"/>
    <w:rsid w:val="002645E6"/>
    <w:rsid w:val="00264887"/>
    <w:rsid w:val="00264CC9"/>
    <w:rsid w:val="00264E4A"/>
    <w:rsid w:val="00264F2A"/>
    <w:rsid w:val="00265070"/>
    <w:rsid w:val="002650E0"/>
    <w:rsid w:val="00265131"/>
    <w:rsid w:val="002652ED"/>
    <w:rsid w:val="00265430"/>
    <w:rsid w:val="002655AE"/>
    <w:rsid w:val="00265918"/>
    <w:rsid w:val="002661BB"/>
    <w:rsid w:val="00266271"/>
    <w:rsid w:val="00266303"/>
    <w:rsid w:val="002663DC"/>
    <w:rsid w:val="002663FF"/>
    <w:rsid w:val="00266469"/>
    <w:rsid w:val="0026653E"/>
    <w:rsid w:val="0026663F"/>
    <w:rsid w:val="002666BF"/>
    <w:rsid w:val="002667A8"/>
    <w:rsid w:val="002667D7"/>
    <w:rsid w:val="002667F0"/>
    <w:rsid w:val="0026680F"/>
    <w:rsid w:val="002669A5"/>
    <w:rsid w:val="00266A2F"/>
    <w:rsid w:val="00266BFB"/>
    <w:rsid w:val="0026700D"/>
    <w:rsid w:val="002671C9"/>
    <w:rsid w:val="00267438"/>
    <w:rsid w:val="002674BD"/>
    <w:rsid w:val="002674C6"/>
    <w:rsid w:val="00267695"/>
    <w:rsid w:val="00267755"/>
    <w:rsid w:val="0026795E"/>
    <w:rsid w:val="00267C5C"/>
    <w:rsid w:val="00270006"/>
    <w:rsid w:val="002700F5"/>
    <w:rsid w:val="0027034E"/>
    <w:rsid w:val="002703CF"/>
    <w:rsid w:val="002704ED"/>
    <w:rsid w:val="0027050C"/>
    <w:rsid w:val="00270834"/>
    <w:rsid w:val="00270853"/>
    <w:rsid w:val="00270871"/>
    <w:rsid w:val="002709B9"/>
    <w:rsid w:val="00270A1B"/>
    <w:rsid w:val="00270A86"/>
    <w:rsid w:val="00270B57"/>
    <w:rsid w:val="00270B61"/>
    <w:rsid w:val="00270B9C"/>
    <w:rsid w:val="00270C71"/>
    <w:rsid w:val="00270F3C"/>
    <w:rsid w:val="002711A4"/>
    <w:rsid w:val="00271204"/>
    <w:rsid w:val="00271414"/>
    <w:rsid w:val="002715B8"/>
    <w:rsid w:val="00271934"/>
    <w:rsid w:val="00271F33"/>
    <w:rsid w:val="002721C1"/>
    <w:rsid w:val="0027228C"/>
    <w:rsid w:val="002723A6"/>
    <w:rsid w:val="0027249E"/>
    <w:rsid w:val="00272646"/>
    <w:rsid w:val="00272787"/>
    <w:rsid w:val="0027299E"/>
    <w:rsid w:val="00272E25"/>
    <w:rsid w:val="00272F0D"/>
    <w:rsid w:val="00273229"/>
    <w:rsid w:val="00273272"/>
    <w:rsid w:val="002733B1"/>
    <w:rsid w:val="002734C7"/>
    <w:rsid w:val="0027350F"/>
    <w:rsid w:val="00273555"/>
    <w:rsid w:val="002735AF"/>
    <w:rsid w:val="00273621"/>
    <w:rsid w:val="00273637"/>
    <w:rsid w:val="002736A2"/>
    <w:rsid w:val="00273708"/>
    <w:rsid w:val="0027389D"/>
    <w:rsid w:val="002738F8"/>
    <w:rsid w:val="00273974"/>
    <w:rsid w:val="002739CC"/>
    <w:rsid w:val="00273C75"/>
    <w:rsid w:val="00273CA8"/>
    <w:rsid w:val="00273D47"/>
    <w:rsid w:val="00273E86"/>
    <w:rsid w:val="00273ECC"/>
    <w:rsid w:val="00274041"/>
    <w:rsid w:val="002743A0"/>
    <w:rsid w:val="002746C7"/>
    <w:rsid w:val="00274801"/>
    <w:rsid w:val="00274932"/>
    <w:rsid w:val="002749BC"/>
    <w:rsid w:val="00274F77"/>
    <w:rsid w:val="00274FB0"/>
    <w:rsid w:val="002751A2"/>
    <w:rsid w:val="00275304"/>
    <w:rsid w:val="00275384"/>
    <w:rsid w:val="002755D0"/>
    <w:rsid w:val="002756A2"/>
    <w:rsid w:val="00275820"/>
    <w:rsid w:val="002758F9"/>
    <w:rsid w:val="002759B6"/>
    <w:rsid w:val="00275A8A"/>
    <w:rsid w:val="00275B9D"/>
    <w:rsid w:val="00275CF7"/>
    <w:rsid w:val="00276203"/>
    <w:rsid w:val="002763CE"/>
    <w:rsid w:val="002766A9"/>
    <w:rsid w:val="00276897"/>
    <w:rsid w:val="00276B0C"/>
    <w:rsid w:val="00276D9C"/>
    <w:rsid w:val="00276EF1"/>
    <w:rsid w:val="00276F81"/>
    <w:rsid w:val="002770E6"/>
    <w:rsid w:val="0027712F"/>
    <w:rsid w:val="0027750D"/>
    <w:rsid w:val="0027767D"/>
    <w:rsid w:val="002800B0"/>
    <w:rsid w:val="00280195"/>
    <w:rsid w:val="0028047C"/>
    <w:rsid w:val="0028065B"/>
    <w:rsid w:val="0028069C"/>
    <w:rsid w:val="002806CC"/>
    <w:rsid w:val="002809F0"/>
    <w:rsid w:val="00280D74"/>
    <w:rsid w:val="00280E98"/>
    <w:rsid w:val="00280F85"/>
    <w:rsid w:val="002814E6"/>
    <w:rsid w:val="002815F6"/>
    <w:rsid w:val="002817DB"/>
    <w:rsid w:val="002819B1"/>
    <w:rsid w:val="00281A54"/>
    <w:rsid w:val="00281CD1"/>
    <w:rsid w:val="00281D06"/>
    <w:rsid w:val="002820DD"/>
    <w:rsid w:val="00282209"/>
    <w:rsid w:val="00282364"/>
    <w:rsid w:val="00282A75"/>
    <w:rsid w:val="00282AE5"/>
    <w:rsid w:val="0028313C"/>
    <w:rsid w:val="0028313D"/>
    <w:rsid w:val="002832F2"/>
    <w:rsid w:val="00283307"/>
    <w:rsid w:val="002833AA"/>
    <w:rsid w:val="002833FB"/>
    <w:rsid w:val="0028353C"/>
    <w:rsid w:val="00283925"/>
    <w:rsid w:val="0028392B"/>
    <w:rsid w:val="00283948"/>
    <w:rsid w:val="00283E9F"/>
    <w:rsid w:val="00284082"/>
    <w:rsid w:val="0028417F"/>
    <w:rsid w:val="0028425B"/>
    <w:rsid w:val="002846B9"/>
    <w:rsid w:val="00284844"/>
    <w:rsid w:val="00284ED9"/>
    <w:rsid w:val="00284F15"/>
    <w:rsid w:val="00285181"/>
    <w:rsid w:val="0028532D"/>
    <w:rsid w:val="002855BB"/>
    <w:rsid w:val="00285602"/>
    <w:rsid w:val="00285648"/>
    <w:rsid w:val="002857C0"/>
    <w:rsid w:val="002858BE"/>
    <w:rsid w:val="00285937"/>
    <w:rsid w:val="00285ADB"/>
    <w:rsid w:val="00286172"/>
    <w:rsid w:val="00286718"/>
    <w:rsid w:val="00286798"/>
    <w:rsid w:val="00286983"/>
    <w:rsid w:val="00286FB1"/>
    <w:rsid w:val="00287114"/>
    <w:rsid w:val="00287208"/>
    <w:rsid w:val="002873EA"/>
    <w:rsid w:val="00287626"/>
    <w:rsid w:val="002877BD"/>
    <w:rsid w:val="002878C9"/>
    <w:rsid w:val="002878D9"/>
    <w:rsid w:val="002879F1"/>
    <w:rsid w:val="00287AE0"/>
    <w:rsid w:val="00287C52"/>
    <w:rsid w:val="00287D71"/>
    <w:rsid w:val="002904F6"/>
    <w:rsid w:val="0029054A"/>
    <w:rsid w:val="002907EA"/>
    <w:rsid w:val="00290892"/>
    <w:rsid w:val="00290C70"/>
    <w:rsid w:val="00290E0D"/>
    <w:rsid w:val="00290E59"/>
    <w:rsid w:val="00290E7F"/>
    <w:rsid w:val="00290E96"/>
    <w:rsid w:val="00290EF1"/>
    <w:rsid w:val="00290FAC"/>
    <w:rsid w:val="00291211"/>
    <w:rsid w:val="00291348"/>
    <w:rsid w:val="002913DC"/>
    <w:rsid w:val="002913E7"/>
    <w:rsid w:val="0029142F"/>
    <w:rsid w:val="002915CA"/>
    <w:rsid w:val="0029162C"/>
    <w:rsid w:val="00291721"/>
    <w:rsid w:val="00291774"/>
    <w:rsid w:val="00291BEE"/>
    <w:rsid w:val="00291C0E"/>
    <w:rsid w:val="00291C7C"/>
    <w:rsid w:val="00291F1F"/>
    <w:rsid w:val="00291FE5"/>
    <w:rsid w:val="00292164"/>
    <w:rsid w:val="0029218F"/>
    <w:rsid w:val="0029227F"/>
    <w:rsid w:val="00292405"/>
    <w:rsid w:val="00292531"/>
    <w:rsid w:val="00292545"/>
    <w:rsid w:val="0029268A"/>
    <w:rsid w:val="00292808"/>
    <w:rsid w:val="002928B0"/>
    <w:rsid w:val="00292905"/>
    <w:rsid w:val="00292942"/>
    <w:rsid w:val="00292BC2"/>
    <w:rsid w:val="00292D8F"/>
    <w:rsid w:val="00292E13"/>
    <w:rsid w:val="002930C2"/>
    <w:rsid w:val="0029316A"/>
    <w:rsid w:val="0029317B"/>
    <w:rsid w:val="002931E9"/>
    <w:rsid w:val="002935E9"/>
    <w:rsid w:val="002936B4"/>
    <w:rsid w:val="00293C66"/>
    <w:rsid w:val="00293D3F"/>
    <w:rsid w:val="00293E2A"/>
    <w:rsid w:val="00294210"/>
    <w:rsid w:val="00294545"/>
    <w:rsid w:val="00294728"/>
    <w:rsid w:val="0029477B"/>
    <w:rsid w:val="00294A66"/>
    <w:rsid w:val="00294C18"/>
    <w:rsid w:val="00294CFC"/>
    <w:rsid w:val="00294ED9"/>
    <w:rsid w:val="0029510C"/>
    <w:rsid w:val="0029514F"/>
    <w:rsid w:val="002951D8"/>
    <w:rsid w:val="002951E6"/>
    <w:rsid w:val="00295330"/>
    <w:rsid w:val="002955C6"/>
    <w:rsid w:val="002957B2"/>
    <w:rsid w:val="002958B6"/>
    <w:rsid w:val="00295B12"/>
    <w:rsid w:val="00295BD4"/>
    <w:rsid w:val="00295E0D"/>
    <w:rsid w:val="00295F5C"/>
    <w:rsid w:val="00295FBF"/>
    <w:rsid w:val="00296117"/>
    <w:rsid w:val="002966AC"/>
    <w:rsid w:val="00296A3E"/>
    <w:rsid w:val="00296DF2"/>
    <w:rsid w:val="00296E61"/>
    <w:rsid w:val="00297026"/>
    <w:rsid w:val="0029716A"/>
    <w:rsid w:val="002976DC"/>
    <w:rsid w:val="002979A6"/>
    <w:rsid w:val="00297B15"/>
    <w:rsid w:val="00297B64"/>
    <w:rsid w:val="00297C05"/>
    <w:rsid w:val="00297CC0"/>
    <w:rsid w:val="00297D46"/>
    <w:rsid w:val="00297E84"/>
    <w:rsid w:val="00297F58"/>
    <w:rsid w:val="00297F81"/>
    <w:rsid w:val="002A0092"/>
    <w:rsid w:val="002A00B4"/>
    <w:rsid w:val="002A0349"/>
    <w:rsid w:val="002A0463"/>
    <w:rsid w:val="002A065F"/>
    <w:rsid w:val="002A0743"/>
    <w:rsid w:val="002A0818"/>
    <w:rsid w:val="002A0B7C"/>
    <w:rsid w:val="002A0C7B"/>
    <w:rsid w:val="002A0D74"/>
    <w:rsid w:val="002A0EE8"/>
    <w:rsid w:val="002A1549"/>
    <w:rsid w:val="002A166D"/>
    <w:rsid w:val="002A17DD"/>
    <w:rsid w:val="002A18BD"/>
    <w:rsid w:val="002A1AD9"/>
    <w:rsid w:val="002A1BFA"/>
    <w:rsid w:val="002A1C2B"/>
    <w:rsid w:val="002A1F9D"/>
    <w:rsid w:val="002A224E"/>
    <w:rsid w:val="002A23C0"/>
    <w:rsid w:val="002A241A"/>
    <w:rsid w:val="002A2636"/>
    <w:rsid w:val="002A28FE"/>
    <w:rsid w:val="002A2AF9"/>
    <w:rsid w:val="002A2C46"/>
    <w:rsid w:val="002A321D"/>
    <w:rsid w:val="002A32A6"/>
    <w:rsid w:val="002A32BD"/>
    <w:rsid w:val="002A35F9"/>
    <w:rsid w:val="002A39BB"/>
    <w:rsid w:val="002A3AF8"/>
    <w:rsid w:val="002A3D5C"/>
    <w:rsid w:val="002A3F5B"/>
    <w:rsid w:val="002A3F89"/>
    <w:rsid w:val="002A4189"/>
    <w:rsid w:val="002A41CD"/>
    <w:rsid w:val="002A4749"/>
    <w:rsid w:val="002A47DE"/>
    <w:rsid w:val="002A48BD"/>
    <w:rsid w:val="002A4995"/>
    <w:rsid w:val="002A4BA6"/>
    <w:rsid w:val="002A4D98"/>
    <w:rsid w:val="002A4DBD"/>
    <w:rsid w:val="002A4F32"/>
    <w:rsid w:val="002A53AD"/>
    <w:rsid w:val="002A53E0"/>
    <w:rsid w:val="002A566C"/>
    <w:rsid w:val="002A58F1"/>
    <w:rsid w:val="002A5CA1"/>
    <w:rsid w:val="002A5FE1"/>
    <w:rsid w:val="002A61FC"/>
    <w:rsid w:val="002A6446"/>
    <w:rsid w:val="002A64F9"/>
    <w:rsid w:val="002A6762"/>
    <w:rsid w:val="002A6970"/>
    <w:rsid w:val="002A6E51"/>
    <w:rsid w:val="002A70EA"/>
    <w:rsid w:val="002A732C"/>
    <w:rsid w:val="002A73C8"/>
    <w:rsid w:val="002A7479"/>
    <w:rsid w:val="002A7648"/>
    <w:rsid w:val="002A7AF6"/>
    <w:rsid w:val="002A7B3B"/>
    <w:rsid w:val="002A7BFA"/>
    <w:rsid w:val="002A7E7C"/>
    <w:rsid w:val="002A7F85"/>
    <w:rsid w:val="002B01B7"/>
    <w:rsid w:val="002B0315"/>
    <w:rsid w:val="002B03DC"/>
    <w:rsid w:val="002B0577"/>
    <w:rsid w:val="002B0717"/>
    <w:rsid w:val="002B0B65"/>
    <w:rsid w:val="002B0BEE"/>
    <w:rsid w:val="002B0D39"/>
    <w:rsid w:val="002B108F"/>
    <w:rsid w:val="002B10C3"/>
    <w:rsid w:val="002B118A"/>
    <w:rsid w:val="002B11DC"/>
    <w:rsid w:val="002B1273"/>
    <w:rsid w:val="002B1441"/>
    <w:rsid w:val="002B19B1"/>
    <w:rsid w:val="002B21B4"/>
    <w:rsid w:val="002B2400"/>
    <w:rsid w:val="002B25E8"/>
    <w:rsid w:val="002B2636"/>
    <w:rsid w:val="002B2741"/>
    <w:rsid w:val="002B2802"/>
    <w:rsid w:val="002B287C"/>
    <w:rsid w:val="002B2A58"/>
    <w:rsid w:val="002B2ACD"/>
    <w:rsid w:val="002B2E6C"/>
    <w:rsid w:val="002B2F0C"/>
    <w:rsid w:val="002B31C8"/>
    <w:rsid w:val="002B3365"/>
    <w:rsid w:val="002B35F9"/>
    <w:rsid w:val="002B3647"/>
    <w:rsid w:val="002B3840"/>
    <w:rsid w:val="002B3887"/>
    <w:rsid w:val="002B3A4E"/>
    <w:rsid w:val="002B3D60"/>
    <w:rsid w:val="002B3F21"/>
    <w:rsid w:val="002B3F6B"/>
    <w:rsid w:val="002B3FF7"/>
    <w:rsid w:val="002B4634"/>
    <w:rsid w:val="002B46D6"/>
    <w:rsid w:val="002B488E"/>
    <w:rsid w:val="002B4B54"/>
    <w:rsid w:val="002B4CFE"/>
    <w:rsid w:val="002B4DE8"/>
    <w:rsid w:val="002B4DF6"/>
    <w:rsid w:val="002B4F3E"/>
    <w:rsid w:val="002B4FA8"/>
    <w:rsid w:val="002B51B2"/>
    <w:rsid w:val="002B54CD"/>
    <w:rsid w:val="002B54DA"/>
    <w:rsid w:val="002B54FC"/>
    <w:rsid w:val="002B57F1"/>
    <w:rsid w:val="002B5933"/>
    <w:rsid w:val="002B5AB0"/>
    <w:rsid w:val="002B5C19"/>
    <w:rsid w:val="002B5DD8"/>
    <w:rsid w:val="002B61EE"/>
    <w:rsid w:val="002B6346"/>
    <w:rsid w:val="002B64B9"/>
    <w:rsid w:val="002B650A"/>
    <w:rsid w:val="002B65BF"/>
    <w:rsid w:val="002B664C"/>
    <w:rsid w:val="002B67A7"/>
    <w:rsid w:val="002B6A72"/>
    <w:rsid w:val="002B6B0C"/>
    <w:rsid w:val="002B70B7"/>
    <w:rsid w:val="002B72E7"/>
    <w:rsid w:val="002B74E1"/>
    <w:rsid w:val="002B783E"/>
    <w:rsid w:val="002B78C1"/>
    <w:rsid w:val="002B7EB0"/>
    <w:rsid w:val="002C00BE"/>
    <w:rsid w:val="002C00CF"/>
    <w:rsid w:val="002C0147"/>
    <w:rsid w:val="002C0232"/>
    <w:rsid w:val="002C0588"/>
    <w:rsid w:val="002C063D"/>
    <w:rsid w:val="002C07BD"/>
    <w:rsid w:val="002C0960"/>
    <w:rsid w:val="002C0AF1"/>
    <w:rsid w:val="002C0CC0"/>
    <w:rsid w:val="002C1314"/>
    <w:rsid w:val="002C1454"/>
    <w:rsid w:val="002C1605"/>
    <w:rsid w:val="002C1652"/>
    <w:rsid w:val="002C1A4D"/>
    <w:rsid w:val="002C1C2A"/>
    <w:rsid w:val="002C1C81"/>
    <w:rsid w:val="002C1CCA"/>
    <w:rsid w:val="002C1E97"/>
    <w:rsid w:val="002C1FC2"/>
    <w:rsid w:val="002C21C1"/>
    <w:rsid w:val="002C245C"/>
    <w:rsid w:val="002C27D1"/>
    <w:rsid w:val="002C28B4"/>
    <w:rsid w:val="002C28FD"/>
    <w:rsid w:val="002C2918"/>
    <w:rsid w:val="002C29AE"/>
    <w:rsid w:val="002C2EB3"/>
    <w:rsid w:val="002C373A"/>
    <w:rsid w:val="002C37E7"/>
    <w:rsid w:val="002C3809"/>
    <w:rsid w:val="002C3B76"/>
    <w:rsid w:val="002C3C8F"/>
    <w:rsid w:val="002C3D2F"/>
    <w:rsid w:val="002C3D7C"/>
    <w:rsid w:val="002C3E3E"/>
    <w:rsid w:val="002C3EEB"/>
    <w:rsid w:val="002C4065"/>
    <w:rsid w:val="002C4112"/>
    <w:rsid w:val="002C434C"/>
    <w:rsid w:val="002C44FB"/>
    <w:rsid w:val="002C46E3"/>
    <w:rsid w:val="002C4740"/>
    <w:rsid w:val="002C47AB"/>
    <w:rsid w:val="002C47B8"/>
    <w:rsid w:val="002C490F"/>
    <w:rsid w:val="002C491B"/>
    <w:rsid w:val="002C4CA6"/>
    <w:rsid w:val="002C4E3F"/>
    <w:rsid w:val="002C4E98"/>
    <w:rsid w:val="002C4F37"/>
    <w:rsid w:val="002C51BC"/>
    <w:rsid w:val="002C54CB"/>
    <w:rsid w:val="002C561E"/>
    <w:rsid w:val="002C56B0"/>
    <w:rsid w:val="002C5763"/>
    <w:rsid w:val="002C57A7"/>
    <w:rsid w:val="002C5926"/>
    <w:rsid w:val="002C592D"/>
    <w:rsid w:val="002C5990"/>
    <w:rsid w:val="002C5A67"/>
    <w:rsid w:val="002C5FDF"/>
    <w:rsid w:val="002C6293"/>
    <w:rsid w:val="002C63FF"/>
    <w:rsid w:val="002C646C"/>
    <w:rsid w:val="002C64DE"/>
    <w:rsid w:val="002C6735"/>
    <w:rsid w:val="002C69C2"/>
    <w:rsid w:val="002C6A53"/>
    <w:rsid w:val="002C6CA1"/>
    <w:rsid w:val="002C6D8F"/>
    <w:rsid w:val="002C70B7"/>
    <w:rsid w:val="002C70DC"/>
    <w:rsid w:val="002C72EF"/>
    <w:rsid w:val="002C7327"/>
    <w:rsid w:val="002C7586"/>
    <w:rsid w:val="002C7672"/>
    <w:rsid w:val="002C797E"/>
    <w:rsid w:val="002C7A56"/>
    <w:rsid w:val="002C7A74"/>
    <w:rsid w:val="002C7E21"/>
    <w:rsid w:val="002D00FE"/>
    <w:rsid w:val="002D031A"/>
    <w:rsid w:val="002D035B"/>
    <w:rsid w:val="002D10E2"/>
    <w:rsid w:val="002D174E"/>
    <w:rsid w:val="002D1829"/>
    <w:rsid w:val="002D1905"/>
    <w:rsid w:val="002D1927"/>
    <w:rsid w:val="002D1A6B"/>
    <w:rsid w:val="002D1AD3"/>
    <w:rsid w:val="002D1E0E"/>
    <w:rsid w:val="002D1E34"/>
    <w:rsid w:val="002D1F24"/>
    <w:rsid w:val="002D1F51"/>
    <w:rsid w:val="002D227E"/>
    <w:rsid w:val="002D2433"/>
    <w:rsid w:val="002D2811"/>
    <w:rsid w:val="002D2903"/>
    <w:rsid w:val="002D2BB2"/>
    <w:rsid w:val="002D2BE6"/>
    <w:rsid w:val="002D2D43"/>
    <w:rsid w:val="002D3245"/>
    <w:rsid w:val="002D34D1"/>
    <w:rsid w:val="002D3713"/>
    <w:rsid w:val="002D3804"/>
    <w:rsid w:val="002D3A1D"/>
    <w:rsid w:val="002D3A9C"/>
    <w:rsid w:val="002D3C82"/>
    <w:rsid w:val="002D40AF"/>
    <w:rsid w:val="002D4318"/>
    <w:rsid w:val="002D436C"/>
    <w:rsid w:val="002D4581"/>
    <w:rsid w:val="002D4769"/>
    <w:rsid w:val="002D488E"/>
    <w:rsid w:val="002D492D"/>
    <w:rsid w:val="002D4996"/>
    <w:rsid w:val="002D4B13"/>
    <w:rsid w:val="002D4D76"/>
    <w:rsid w:val="002D4DD4"/>
    <w:rsid w:val="002D502A"/>
    <w:rsid w:val="002D50CB"/>
    <w:rsid w:val="002D53B9"/>
    <w:rsid w:val="002D55F8"/>
    <w:rsid w:val="002D56D2"/>
    <w:rsid w:val="002D5865"/>
    <w:rsid w:val="002D5992"/>
    <w:rsid w:val="002D5B33"/>
    <w:rsid w:val="002D5CCC"/>
    <w:rsid w:val="002D5E32"/>
    <w:rsid w:val="002D6132"/>
    <w:rsid w:val="002D61D0"/>
    <w:rsid w:val="002D62B2"/>
    <w:rsid w:val="002D6330"/>
    <w:rsid w:val="002D64A1"/>
    <w:rsid w:val="002D651D"/>
    <w:rsid w:val="002D65A3"/>
    <w:rsid w:val="002D694E"/>
    <w:rsid w:val="002D6970"/>
    <w:rsid w:val="002D6A73"/>
    <w:rsid w:val="002D6F8D"/>
    <w:rsid w:val="002D6FEC"/>
    <w:rsid w:val="002D7019"/>
    <w:rsid w:val="002D7070"/>
    <w:rsid w:val="002D7216"/>
    <w:rsid w:val="002D7399"/>
    <w:rsid w:val="002D7402"/>
    <w:rsid w:val="002D740D"/>
    <w:rsid w:val="002D7884"/>
    <w:rsid w:val="002D7D3E"/>
    <w:rsid w:val="002E03E9"/>
    <w:rsid w:val="002E0457"/>
    <w:rsid w:val="002E0567"/>
    <w:rsid w:val="002E0588"/>
    <w:rsid w:val="002E05A8"/>
    <w:rsid w:val="002E0621"/>
    <w:rsid w:val="002E06AF"/>
    <w:rsid w:val="002E0BC6"/>
    <w:rsid w:val="002E0EAF"/>
    <w:rsid w:val="002E0F94"/>
    <w:rsid w:val="002E10FA"/>
    <w:rsid w:val="002E114B"/>
    <w:rsid w:val="002E156B"/>
    <w:rsid w:val="002E16F5"/>
    <w:rsid w:val="002E17E7"/>
    <w:rsid w:val="002E1905"/>
    <w:rsid w:val="002E1C4E"/>
    <w:rsid w:val="002E1D04"/>
    <w:rsid w:val="002E1E34"/>
    <w:rsid w:val="002E1EB8"/>
    <w:rsid w:val="002E2127"/>
    <w:rsid w:val="002E2217"/>
    <w:rsid w:val="002E239B"/>
    <w:rsid w:val="002E2551"/>
    <w:rsid w:val="002E2730"/>
    <w:rsid w:val="002E28BA"/>
    <w:rsid w:val="002E2967"/>
    <w:rsid w:val="002E2C47"/>
    <w:rsid w:val="002E2D5B"/>
    <w:rsid w:val="002E2DB5"/>
    <w:rsid w:val="002E2E68"/>
    <w:rsid w:val="002E31A3"/>
    <w:rsid w:val="002E334E"/>
    <w:rsid w:val="002E34E3"/>
    <w:rsid w:val="002E34EF"/>
    <w:rsid w:val="002E3614"/>
    <w:rsid w:val="002E3A0E"/>
    <w:rsid w:val="002E3C0C"/>
    <w:rsid w:val="002E3D7D"/>
    <w:rsid w:val="002E3E24"/>
    <w:rsid w:val="002E3F19"/>
    <w:rsid w:val="002E4324"/>
    <w:rsid w:val="002E4477"/>
    <w:rsid w:val="002E476C"/>
    <w:rsid w:val="002E47FC"/>
    <w:rsid w:val="002E4B16"/>
    <w:rsid w:val="002E4C9C"/>
    <w:rsid w:val="002E4F0B"/>
    <w:rsid w:val="002E4FD0"/>
    <w:rsid w:val="002E51D2"/>
    <w:rsid w:val="002E52C6"/>
    <w:rsid w:val="002E545A"/>
    <w:rsid w:val="002E5590"/>
    <w:rsid w:val="002E60E6"/>
    <w:rsid w:val="002E61BC"/>
    <w:rsid w:val="002E639E"/>
    <w:rsid w:val="002E6B3F"/>
    <w:rsid w:val="002E6BC2"/>
    <w:rsid w:val="002E7026"/>
    <w:rsid w:val="002E704B"/>
    <w:rsid w:val="002E71A3"/>
    <w:rsid w:val="002E729B"/>
    <w:rsid w:val="002E72BB"/>
    <w:rsid w:val="002E72C2"/>
    <w:rsid w:val="002E73FA"/>
    <w:rsid w:val="002E744C"/>
    <w:rsid w:val="002E7542"/>
    <w:rsid w:val="002E7603"/>
    <w:rsid w:val="002E760A"/>
    <w:rsid w:val="002E7984"/>
    <w:rsid w:val="002E7A0E"/>
    <w:rsid w:val="002E7C45"/>
    <w:rsid w:val="002E7C48"/>
    <w:rsid w:val="002E7EEB"/>
    <w:rsid w:val="002E7EFA"/>
    <w:rsid w:val="002F0058"/>
    <w:rsid w:val="002F009E"/>
    <w:rsid w:val="002F049E"/>
    <w:rsid w:val="002F0614"/>
    <w:rsid w:val="002F06E5"/>
    <w:rsid w:val="002F07D5"/>
    <w:rsid w:val="002F09F6"/>
    <w:rsid w:val="002F0A23"/>
    <w:rsid w:val="002F0DBE"/>
    <w:rsid w:val="002F0DF3"/>
    <w:rsid w:val="002F109A"/>
    <w:rsid w:val="002F1777"/>
    <w:rsid w:val="002F18DF"/>
    <w:rsid w:val="002F1A94"/>
    <w:rsid w:val="002F1BE5"/>
    <w:rsid w:val="002F1C11"/>
    <w:rsid w:val="002F2275"/>
    <w:rsid w:val="002F23CA"/>
    <w:rsid w:val="002F23D5"/>
    <w:rsid w:val="002F2707"/>
    <w:rsid w:val="002F29B4"/>
    <w:rsid w:val="002F2A1E"/>
    <w:rsid w:val="002F2A3B"/>
    <w:rsid w:val="002F2C0F"/>
    <w:rsid w:val="002F2E4A"/>
    <w:rsid w:val="002F2F05"/>
    <w:rsid w:val="002F2FCA"/>
    <w:rsid w:val="002F2FD3"/>
    <w:rsid w:val="002F31EA"/>
    <w:rsid w:val="002F3253"/>
    <w:rsid w:val="002F3628"/>
    <w:rsid w:val="002F368F"/>
    <w:rsid w:val="002F3879"/>
    <w:rsid w:val="002F397F"/>
    <w:rsid w:val="002F3AF9"/>
    <w:rsid w:val="002F3B5C"/>
    <w:rsid w:val="002F3BE8"/>
    <w:rsid w:val="002F3C4F"/>
    <w:rsid w:val="002F3CDB"/>
    <w:rsid w:val="002F3E78"/>
    <w:rsid w:val="002F4018"/>
    <w:rsid w:val="002F43F5"/>
    <w:rsid w:val="002F440B"/>
    <w:rsid w:val="002F44D2"/>
    <w:rsid w:val="002F4648"/>
    <w:rsid w:val="002F4A80"/>
    <w:rsid w:val="002F4D6E"/>
    <w:rsid w:val="002F4DC0"/>
    <w:rsid w:val="002F4FCE"/>
    <w:rsid w:val="002F5003"/>
    <w:rsid w:val="002F50EB"/>
    <w:rsid w:val="002F522A"/>
    <w:rsid w:val="002F5345"/>
    <w:rsid w:val="002F5423"/>
    <w:rsid w:val="002F5563"/>
    <w:rsid w:val="002F5D98"/>
    <w:rsid w:val="002F6350"/>
    <w:rsid w:val="002F6386"/>
    <w:rsid w:val="002F63B6"/>
    <w:rsid w:val="002F63FC"/>
    <w:rsid w:val="002F649B"/>
    <w:rsid w:val="002F6532"/>
    <w:rsid w:val="002F6791"/>
    <w:rsid w:val="002F6808"/>
    <w:rsid w:val="002F6967"/>
    <w:rsid w:val="002F6C97"/>
    <w:rsid w:val="002F6E1C"/>
    <w:rsid w:val="002F6E53"/>
    <w:rsid w:val="002F72E7"/>
    <w:rsid w:val="002F73D1"/>
    <w:rsid w:val="002F76DE"/>
    <w:rsid w:val="002F7818"/>
    <w:rsid w:val="002F789B"/>
    <w:rsid w:val="002F7977"/>
    <w:rsid w:val="002F7A6E"/>
    <w:rsid w:val="002F7B39"/>
    <w:rsid w:val="00300015"/>
    <w:rsid w:val="00300787"/>
    <w:rsid w:val="003007DB"/>
    <w:rsid w:val="00300812"/>
    <w:rsid w:val="00300925"/>
    <w:rsid w:val="00300ABB"/>
    <w:rsid w:val="00300B4D"/>
    <w:rsid w:val="00300D18"/>
    <w:rsid w:val="00300D19"/>
    <w:rsid w:val="00300D2A"/>
    <w:rsid w:val="00300D61"/>
    <w:rsid w:val="00301016"/>
    <w:rsid w:val="003010B0"/>
    <w:rsid w:val="00301333"/>
    <w:rsid w:val="00301687"/>
    <w:rsid w:val="00301881"/>
    <w:rsid w:val="00301B72"/>
    <w:rsid w:val="00301BD2"/>
    <w:rsid w:val="00301C2E"/>
    <w:rsid w:val="00301C8D"/>
    <w:rsid w:val="00301F17"/>
    <w:rsid w:val="0030227C"/>
    <w:rsid w:val="0030252D"/>
    <w:rsid w:val="003026E1"/>
    <w:rsid w:val="003028BD"/>
    <w:rsid w:val="00302A34"/>
    <w:rsid w:val="00302A6F"/>
    <w:rsid w:val="00302B13"/>
    <w:rsid w:val="00302E2E"/>
    <w:rsid w:val="00302F8A"/>
    <w:rsid w:val="00303349"/>
    <w:rsid w:val="00303530"/>
    <w:rsid w:val="00303704"/>
    <w:rsid w:val="003037B4"/>
    <w:rsid w:val="0030386B"/>
    <w:rsid w:val="00303A8A"/>
    <w:rsid w:val="00303BFF"/>
    <w:rsid w:val="00303DE5"/>
    <w:rsid w:val="00304166"/>
    <w:rsid w:val="003041BC"/>
    <w:rsid w:val="00304238"/>
    <w:rsid w:val="003044A0"/>
    <w:rsid w:val="003045BB"/>
    <w:rsid w:val="00304981"/>
    <w:rsid w:val="00304B19"/>
    <w:rsid w:val="00304B5C"/>
    <w:rsid w:val="00304C57"/>
    <w:rsid w:val="00304DA6"/>
    <w:rsid w:val="00305171"/>
    <w:rsid w:val="00305356"/>
    <w:rsid w:val="00305421"/>
    <w:rsid w:val="00305809"/>
    <w:rsid w:val="00305A3D"/>
    <w:rsid w:val="00305AD1"/>
    <w:rsid w:val="00305BB8"/>
    <w:rsid w:val="00305FF0"/>
    <w:rsid w:val="00306986"/>
    <w:rsid w:val="00306AB2"/>
    <w:rsid w:val="00306DC2"/>
    <w:rsid w:val="00306E53"/>
    <w:rsid w:val="003070D4"/>
    <w:rsid w:val="00307339"/>
    <w:rsid w:val="00307441"/>
    <w:rsid w:val="00307459"/>
    <w:rsid w:val="00307463"/>
    <w:rsid w:val="00307471"/>
    <w:rsid w:val="003075E8"/>
    <w:rsid w:val="00307983"/>
    <w:rsid w:val="00307A63"/>
    <w:rsid w:val="00307AEF"/>
    <w:rsid w:val="00307DE1"/>
    <w:rsid w:val="00307E1D"/>
    <w:rsid w:val="00310152"/>
    <w:rsid w:val="003104B2"/>
    <w:rsid w:val="0031057A"/>
    <w:rsid w:val="00310581"/>
    <w:rsid w:val="003107AC"/>
    <w:rsid w:val="00310A08"/>
    <w:rsid w:val="00310A2B"/>
    <w:rsid w:val="00310B26"/>
    <w:rsid w:val="00310C40"/>
    <w:rsid w:val="00310D66"/>
    <w:rsid w:val="00310F5C"/>
    <w:rsid w:val="00310F8D"/>
    <w:rsid w:val="00310FE6"/>
    <w:rsid w:val="0031106F"/>
    <w:rsid w:val="003110FF"/>
    <w:rsid w:val="0031124C"/>
    <w:rsid w:val="00311297"/>
    <w:rsid w:val="003112DE"/>
    <w:rsid w:val="00311348"/>
    <w:rsid w:val="00311360"/>
    <w:rsid w:val="003114B9"/>
    <w:rsid w:val="003115F0"/>
    <w:rsid w:val="00311756"/>
    <w:rsid w:val="0031176D"/>
    <w:rsid w:val="0031206F"/>
    <w:rsid w:val="003120A6"/>
    <w:rsid w:val="00312218"/>
    <w:rsid w:val="003124B4"/>
    <w:rsid w:val="00312565"/>
    <w:rsid w:val="003125BB"/>
    <w:rsid w:val="00312828"/>
    <w:rsid w:val="00312A7E"/>
    <w:rsid w:val="00312B54"/>
    <w:rsid w:val="00312BBD"/>
    <w:rsid w:val="00312C82"/>
    <w:rsid w:val="00312DD7"/>
    <w:rsid w:val="00312F12"/>
    <w:rsid w:val="0031315D"/>
    <w:rsid w:val="00313161"/>
    <w:rsid w:val="00313339"/>
    <w:rsid w:val="0031343C"/>
    <w:rsid w:val="00313470"/>
    <w:rsid w:val="00313495"/>
    <w:rsid w:val="0031358D"/>
    <w:rsid w:val="0031385F"/>
    <w:rsid w:val="00313A01"/>
    <w:rsid w:val="00313E59"/>
    <w:rsid w:val="00313E74"/>
    <w:rsid w:val="00313EBA"/>
    <w:rsid w:val="00313F55"/>
    <w:rsid w:val="003144B9"/>
    <w:rsid w:val="00314C1B"/>
    <w:rsid w:val="00314C8B"/>
    <w:rsid w:val="00314CD7"/>
    <w:rsid w:val="00314D95"/>
    <w:rsid w:val="00314EE3"/>
    <w:rsid w:val="00315077"/>
    <w:rsid w:val="0031518E"/>
    <w:rsid w:val="003154D1"/>
    <w:rsid w:val="003155A8"/>
    <w:rsid w:val="00315681"/>
    <w:rsid w:val="00315819"/>
    <w:rsid w:val="00315850"/>
    <w:rsid w:val="00315B85"/>
    <w:rsid w:val="00315C6C"/>
    <w:rsid w:val="00315E7E"/>
    <w:rsid w:val="00315EBE"/>
    <w:rsid w:val="00315FA2"/>
    <w:rsid w:val="003161A8"/>
    <w:rsid w:val="0031620F"/>
    <w:rsid w:val="00316417"/>
    <w:rsid w:val="00316431"/>
    <w:rsid w:val="00316547"/>
    <w:rsid w:val="003165D0"/>
    <w:rsid w:val="0031672D"/>
    <w:rsid w:val="0031673A"/>
    <w:rsid w:val="003167CF"/>
    <w:rsid w:val="0031691A"/>
    <w:rsid w:val="0031696F"/>
    <w:rsid w:val="003169A8"/>
    <w:rsid w:val="00316B9E"/>
    <w:rsid w:val="00316C2B"/>
    <w:rsid w:val="00316D3A"/>
    <w:rsid w:val="00316DE7"/>
    <w:rsid w:val="00316FA9"/>
    <w:rsid w:val="00317082"/>
    <w:rsid w:val="003170EF"/>
    <w:rsid w:val="00317159"/>
    <w:rsid w:val="003171C0"/>
    <w:rsid w:val="00317270"/>
    <w:rsid w:val="0031749E"/>
    <w:rsid w:val="003177DE"/>
    <w:rsid w:val="0031789C"/>
    <w:rsid w:val="003178D2"/>
    <w:rsid w:val="00317A65"/>
    <w:rsid w:val="00317A91"/>
    <w:rsid w:val="00317D80"/>
    <w:rsid w:val="00317F22"/>
    <w:rsid w:val="0032025C"/>
    <w:rsid w:val="0032034D"/>
    <w:rsid w:val="003207B6"/>
    <w:rsid w:val="003207C9"/>
    <w:rsid w:val="0032099E"/>
    <w:rsid w:val="00320A47"/>
    <w:rsid w:val="00320BFF"/>
    <w:rsid w:val="00320C0D"/>
    <w:rsid w:val="00320DC8"/>
    <w:rsid w:val="00320EB7"/>
    <w:rsid w:val="00320F5B"/>
    <w:rsid w:val="0032106A"/>
    <w:rsid w:val="003210CC"/>
    <w:rsid w:val="0032121B"/>
    <w:rsid w:val="00321444"/>
    <w:rsid w:val="003215E2"/>
    <w:rsid w:val="00321649"/>
    <w:rsid w:val="0032165C"/>
    <w:rsid w:val="00321662"/>
    <w:rsid w:val="00321858"/>
    <w:rsid w:val="00321A1D"/>
    <w:rsid w:val="00321CEC"/>
    <w:rsid w:val="00322161"/>
    <w:rsid w:val="003221CA"/>
    <w:rsid w:val="00322333"/>
    <w:rsid w:val="0032233A"/>
    <w:rsid w:val="003223E4"/>
    <w:rsid w:val="00322412"/>
    <w:rsid w:val="00322420"/>
    <w:rsid w:val="003227EB"/>
    <w:rsid w:val="003228C6"/>
    <w:rsid w:val="00322D34"/>
    <w:rsid w:val="00322E68"/>
    <w:rsid w:val="00322E98"/>
    <w:rsid w:val="00322F28"/>
    <w:rsid w:val="003232BF"/>
    <w:rsid w:val="00323400"/>
    <w:rsid w:val="00323827"/>
    <w:rsid w:val="003239B5"/>
    <w:rsid w:val="00323AD9"/>
    <w:rsid w:val="00323FC2"/>
    <w:rsid w:val="0032452D"/>
    <w:rsid w:val="003248D9"/>
    <w:rsid w:val="00324A10"/>
    <w:rsid w:val="00324BB3"/>
    <w:rsid w:val="003253CF"/>
    <w:rsid w:val="003253D1"/>
    <w:rsid w:val="00325545"/>
    <w:rsid w:val="003256DA"/>
    <w:rsid w:val="003257B5"/>
    <w:rsid w:val="00325ACD"/>
    <w:rsid w:val="00325B16"/>
    <w:rsid w:val="00325B93"/>
    <w:rsid w:val="00325E21"/>
    <w:rsid w:val="0032636D"/>
    <w:rsid w:val="00326438"/>
    <w:rsid w:val="003265CB"/>
    <w:rsid w:val="003266A9"/>
    <w:rsid w:val="003268D0"/>
    <w:rsid w:val="00326A36"/>
    <w:rsid w:val="00326C2A"/>
    <w:rsid w:val="00326D8F"/>
    <w:rsid w:val="00326E5D"/>
    <w:rsid w:val="00326F24"/>
    <w:rsid w:val="003270CD"/>
    <w:rsid w:val="003270DA"/>
    <w:rsid w:val="0032715B"/>
    <w:rsid w:val="003272AD"/>
    <w:rsid w:val="0032743E"/>
    <w:rsid w:val="003276E7"/>
    <w:rsid w:val="003276EC"/>
    <w:rsid w:val="00327988"/>
    <w:rsid w:val="00327ACB"/>
    <w:rsid w:val="00327C2F"/>
    <w:rsid w:val="00327E77"/>
    <w:rsid w:val="00327F91"/>
    <w:rsid w:val="00330499"/>
    <w:rsid w:val="0033052F"/>
    <w:rsid w:val="0033068C"/>
    <w:rsid w:val="003308C7"/>
    <w:rsid w:val="00330CAD"/>
    <w:rsid w:val="00331067"/>
    <w:rsid w:val="003310A9"/>
    <w:rsid w:val="003311BF"/>
    <w:rsid w:val="003312A3"/>
    <w:rsid w:val="003315AD"/>
    <w:rsid w:val="00332097"/>
    <w:rsid w:val="00332161"/>
    <w:rsid w:val="003327D0"/>
    <w:rsid w:val="003328C4"/>
    <w:rsid w:val="0033295C"/>
    <w:rsid w:val="003329AE"/>
    <w:rsid w:val="00332CE4"/>
    <w:rsid w:val="00332DA6"/>
    <w:rsid w:val="00332ECC"/>
    <w:rsid w:val="00332FE7"/>
    <w:rsid w:val="00333300"/>
    <w:rsid w:val="00333504"/>
    <w:rsid w:val="00333509"/>
    <w:rsid w:val="00333547"/>
    <w:rsid w:val="003335CC"/>
    <w:rsid w:val="003335E1"/>
    <w:rsid w:val="00333708"/>
    <w:rsid w:val="003337B6"/>
    <w:rsid w:val="00333B45"/>
    <w:rsid w:val="00333BC4"/>
    <w:rsid w:val="00333FC0"/>
    <w:rsid w:val="00334203"/>
    <w:rsid w:val="003342A7"/>
    <w:rsid w:val="00334304"/>
    <w:rsid w:val="0033437A"/>
    <w:rsid w:val="0033440E"/>
    <w:rsid w:val="003344D1"/>
    <w:rsid w:val="003345B2"/>
    <w:rsid w:val="00334968"/>
    <w:rsid w:val="00334AC9"/>
    <w:rsid w:val="00334FF2"/>
    <w:rsid w:val="0033532F"/>
    <w:rsid w:val="003353CD"/>
    <w:rsid w:val="00335490"/>
    <w:rsid w:val="003354D6"/>
    <w:rsid w:val="0033576F"/>
    <w:rsid w:val="00335978"/>
    <w:rsid w:val="00335A02"/>
    <w:rsid w:val="00335C71"/>
    <w:rsid w:val="00335D1D"/>
    <w:rsid w:val="00335F63"/>
    <w:rsid w:val="003360FA"/>
    <w:rsid w:val="0033619E"/>
    <w:rsid w:val="003361E9"/>
    <w:rsid w:val="003362D1"/>
    <w:rsid w:val="0033656B"/>
    <w:rsid w:val="0033693F"/>
    <w:rsid w:val="00336ECB"/>
    <w:rsid w:val="00336F1F"/>
    <w:rsid w:val="00336FCF"/>
    <w:rsid w:val="0033703E"/>
    <w:rsid w:val="00337244"/>
    <w:rsid w:val="00337253"/>
    <w:rsid w:val="0033739D"/>
    <w:rsid w:val="0033752B"/>
    <w:rsid w:val="00337592"/>
    <w:rsid w:val="00337713"/>
    <w:rsid w:val="00337750"/>
    <w:rsid w:val="00337A72"/>
    <w:rsid w:val="00337CBA"/>
    <w:rsid w:val="00337DFB"/>
    <w:rsid w:val="00337F2C"/>
    <w:rsid w:val="00340561"/>
    <w:rsid w:val="00340764"/>
    <w:rsid w:val="003408A9"/>
    <w:rsid w:val="00340AB2"/>
    <w:rsid w:val="00340F0B"/>
    <w:rsid w:val="00341094"/>
    <w:rsid w:val="00341352"/>
    <w:rsid w:val="00341569"/>
    <w:rsid w:val="0034162F"/>
    <w:rsid w:val="003416E6"/>
    <w:rsid w:val="00341B38"/>
    <w:rsid w:val="00341B5C"/>
    <w:rsid w:val="00341B79"/>
    <w:rsid w:val="00341F23"/>
    <w:rsid w:val="003420CC"/>
    <w:rsid w:val="00342374"/>
    <w:rsid w:val="003423C4"/>
    <w:rsid w:val="003424CD"/>
    <w:rsid w:val="00342604"/>
    <w:rsid w:val="003428D8"/>
    <w:rsid w:val="00342988"/>
    <w:rsid w:val="00342A8A"/>
    <w:rsid w:val="00342D4B"/>
    <w:rsid w:val="00342E1B"/>
    <w:rsid w:val="00342E96"/>
    <w:rsid w:val="00342F89"/>
    <w:rsid w:val="0034346C"/>
    <w:rsid w:val="003436B7"/>
    <w:rsid w:val="003437E2"/>
    <w:rsid w:val="003438AD"/>
    <w:rsid w:val="003439E4"/>
    <w:rsid w:val="00343A21"/>
    <w:rsid w:val="00343D67"/>
    <w:rsid w:val="00343DD2"/>
    <w:rsid w:val="00344097"/>
    <w:rsid w:val="003441E2"/>
    <w:rsid w:val="00344205"/>
    <w:rsid w:val="00344560"/>
    <w:rsid w:val="003445CE"/>
    <w:rsid w:val="00344663"/>
    <w:rsid w:val="003446C7"/>
    <w:rsid w:val="00344741"/>
    <w:rsid w:val="0034484E"/>
    <w:rsid w:val="003448B8"/>
    <w:rsid w:val="00344C6C"/>
    <w:rsid w:val="00344D64"/>
    <w:rsid w:val="00344FD1"/>
    <w:rsid w:val="003450FA"/>
    <w:rsid w:val="00345193"/>
    <w:rsid w:val="0034551D"/>
    <w:rsid w:val="00345FE1"/>
    <w:rsid w:val="003460F1"/>
    <w:rsid w:val="0034630B"/>
    <w:rsid w:val="0034637F"/>
    <w:rsid w:val="003463D0"/>
    <w:rsid w:val="003466A7"/>
    <w:rsid w:val="0034680A"/>
    <w:rsid w:val="00346CB4"/>
    <w:rsid w:val="00346FA8"/>
    <w:rsid w:val="003470E6"/>
    <w:rsid w:val="00347322"/>
    <w:rsid w:val="00347567"/>
    <w:rsid w:val="00347696"/>
    <w:rsid w:val="003476AB"/>
    <w:rsid w:val="003478E5"/>
    <w:rsid w:val="0034791B"/>
    <w:rsid w:val="00347E3E"/>
    <w:rsid w:val="00347E7E"/>
    <w:rsid w:val="00347FD1"/>
    <w:rsid w:val="00350035"/>
    <w:rsid w:val="00350231"/>
    <w:rsid w:val="0035024E"/>
    <w:rsid w:val="00350892"/>
    <w:rsid w:val="00350BF9"/>
    <w:rsid w:val="00350F64"/>
    <w:rsid w:val="003512F7"/>
    <w:rsid w:val="0035150F"/>
    <w:rsid w:val="00351676"/>
    <w:rsid w:val="003516CD"/>
    <w:rsid w:val="00351A6D"/>
    <w:rsid w:val="00351A85"/>
    <w:rsid w:val="00351C27"/>
    <w:rsid w:val="00351C5E"/>
    <w:rsid w:val="00351C65"/>
    <w:rsid w:val="00351D20"/>
    <w:rsid w:val="00351E97"/>
    <w:rsid w:val="003529F2"/>
    <w:rsid w:val="00352A47"/>
    <w:rsid w:val="00352B65"/>
    <w:rsid w:val="00353234"/>
    <w:rsid w:val="003533FE"/>
    <w:rsid w:val="003535A1"/>
    <w:rsid w:val="00353836"/>
    <w:rsid w:val="003539BB"/>
    <w:rsid w:val="00353E59"/>
    <w:rsid w:val="003540FD"/>
    <w:rsid w:val="00354504"/>
    <w:rsid w:val="00354696"/>
    <w:rsid w:val="003547C9"/>
    <w:rsid w:val="0035481B"/>
    <w:rsid w:val="0035486A"/>
    <w:rsid w:val="00354AF2"/>
    <w:rsid w:val="00354E42"/>
    <w:rsid w:val="00354ED0"/>
    <w:rsid w:val="0035501B"/>
    <w:rsid w:val="0035519A"/>
    <w:rsid w:val="0035539B"/>
    <w:rsid w:val="003554A1"/>
    <w:rsid w:val="0035558A"/>
    <w:rsid w:val="003556C8"/>
    <w:rsid w:val="00355731"/>
    <w:rsid w:val="00355963"/>
    <w:rsid w:val="00355BAC"/>
    <w:rsid w:val="00355DEB"/>
    <w:rsid w:val="00355F98"/>
    <w:rsid w:val="00355F9B"/>
    <w:rsid w:val="0035633B"/>
    <w:rsid w:val="00356763"/>
    <w:rsid w:val="00356864"/>
    <w:rsid w:val="00356938"/>
    <w:rsid w:val="00356A99"/>
    <w:rsid w:val="00356AB3"/>
    <w:rsid w:val="00356B24"/>
    <w:rsid w:val="00356F9C"/>
    <w:rsid w:val="0035755C"/>
    <w:rsid w:val="0035774E"/>
    <w:rsid w:val="00357830"/>
    <w:rsid w:val="00357E91"/>
    <w:rsid w:val="00357F5B"/>
    <w:rsid w:val="00357F62"/>
    <w:rsid w:val="0036059A"/>
    <w:rsid w:val="00360938"/>
    <w:rsid w:val="00360A56"/>
    <w:rsid w:val="00360B0F"/>
    <w:rsid w:val="00360DC2"/>
    <w:rsid w:val="00360EBF"/>
    <w:rsid w:val="00360FA8"/>
    <w:rsid w:val="00360FB4"/>
    <w:rsid w:val="00361007"/>
    <w:rsid w:val="0036104C"/>
    <w:rsid w:val="0036115F"/>
    <w:rsid w:val="00361205"/>
    <w:rsid w:val="00361B00"/>
    <w:rsid w:val="00361C4F"/>
    <w:rsid w:val="00362067"/>
    <w:rsid w:val="003624BD"/>
    <w:rsid w:val="00362799"/>
    <w:rsid w:val="00362869"/>
    <w:rsid w:val="00362929"/>
    <w:rsid w:val="00362BFB"/>
    <w:rsid w:val="00362C4D"/>
    <w:rsid w:val="00362E31"/>
    <w:rsid w:val="00362E66"/>
    <w:rsid w:val="0036314C"/>
    <w:rsid w:val="0036347C"/>
    <w:rsid w:val="0036358A"/>
    <w:rsid w:val="0036382E"/>
    <w:rsid w:val="00363A46"/>
    <w:rsid w:val="00363FF8"/>
    <w:rsid w:val="003640E1"/>
    <w:rsid w:val="003641A5"/>
    <w:rsid w:val="00364249"/>
    <w:rsid w:val="003643DB"/>
    <w:rsid w:val="003643F3"/>
    <w:rsid w:val="003644AF"/>
    <w:rsid w:val="003645BA"/>
    <w:rsid w:val="003649EE"/>
    <w:rsid w:val="00364C32"/>
    <w:rsid w:val="00364D45"/>
    <w:rsid w:val="00364DE9"/>
    <w:rsid w:val="00364DF0"/>
    <w:rsid w:val="00365197"/>
    <w:rsid w:val="0036525A"/>
    <w:rsid w:val="0036526C"/>
    <w:rsid w:val="003652A9"/>
    <w:rsid w:val="00365334"/>
    <w:rsid w:val="0036542A"/>
    <w:rsid w:val="00365455"/>
    <w:rsid w:val="003654A6"/>
    <w:rsid w:val="00365628"/>
    <w:rsid w:val="00365685"/>
    <w:rsid w:val="003658BD"/>
    <w:rsid w:val="0036600F"/>
    <w:rsid w:val="003663D7"/>
    <w:rsid w:val="00366457"/>
    <w:rsid w:val="003667AB"/>
    <w:rsid w:val="00366CC4"/>
    <w:rsid w:val="00366FEA"/>
    <w:rsid w:val="00367009"/>
    <w:rsid w:val="00367172"/>
    <w:rsid w:val="003671C5"/>
    <w:rsid w:val="003679CD"/>
    <w:rsid w:val="00367A8A"/>
    <w:rsid w:val="00367B2B"/>
    <w:rsid w:val="00367CA6"/>
    <w:rsid w:val="00367E16"/>
    <w:rsid w:val="00370018"/>
    <w:rsid w:val="003700EE"/>
    <w:rsid w:val="00370141"/>
    <w:rsid w:val="003701E7"/>
    <w:rsid w:val="00370608"/>
    <w:rsid w:val="003707F8"/>
    <w:rsid w:val="00370971"/>
    <w:rsid w:val="00370AA5"/>
    <w:rsid w:val="00370BEA"/>
    <w:rsid w:val="00370C14"/>
    <w:rsid w:val="00370E5A"/>
    <w:rsid w:val="00370FC4"/>
    <w:rsid w:val="003710D0"/>
    <w:rsid w:val="003712F4"/>
    <w:rsid w:val="0037156F"/>
    <w:rsid w:val="003719C1"/>
    <w:rsid w:val="00371BE1"/>
    <w:rsid w:val="00371F96"/>
    <w:rsid w:val="00372068"/>
    <w:rsid w:val="00372166"/>
    <w:rsid w:val="003724DD"/>
    <w:rsid w:val="0037264A"/>
    <w:rsid w:val="003726D1"/>
    <w:rsid w:val="003726DE"/>
    <w:rsid w:val="00372C79"/>
    <w:rsid w:val="00372DE9"/>
    <w:rsid w:val="00372E2C"/>
    <w:rsid w:val="00372EE7"/>
    <w:rsid w:val="00372FCE"/>
    <w:rsid w:val="00373164"/>
    <w:rsid w:val="003731F8"/>
    <w:rsid w:val="00373298"/>
    <w:rsid w:val="003735DC"/>
    <w:rsid w:val="00373629"/>
    <w:rsid w:val="003737D4"/>
    <w:rsid w:val="00373AA9"/>
    <w:rsid w:val="00373C0B"/>
    <w:rsid w:val="00373C4E"/>
    <w:rsid w:val="00373CD6"/>
    <w:rsid w:val="00373E67"/>
    <w:rsid w:val="00373FE1"/>
    <w:rsid w:val="00374112"/>
    <w:rsid w:val="003741D0"/>
    <w:rsid w:val="00374481"/>
    <w:rsid w:val="003744BF"/>
    <w:rsid w:val="003746E9"/>
    <w:rsid w:val="00374F1D"/>
    <w:rsid w:val="00374F34"/>
    <w:rsid w:val="00374F44"/>
    <w:rsid w:val="00374FB8"/>
    <w:rsid w:val="00375054"/>
    <w:rsid w:val="003750A6"/>
    <w:rsid w:val="00375119"/>
    <w:rsid w:val="0037536D"/>
    <w:rsid w:val="003757D5"/>
    <w:rsid w:val="00375884"/>
    <w:rsid w:val="00375B81"/>
    <w:rsid w:val="00375D2D"/>
    <w:rsid w:val="003763CA"/>
    <w:rsid w:val="00376491"/>
    <w:rsid w:val="00376498"/>
    <w:rsid w:val="00376588"/>
    <w:rsid w:val="00376783"/>
    <w:rsid w:val="0037683F"/>
    <w:rsid w:val="003768CA"/>
    <w:rsid w:val="00376B58"/>
    <w:rsid w:val="003771DD"/>
    <w:rsid w:val="0037720F"/>
    <w:rsid w:val="0037721D"/>
    <w:rsid w:val="003775CA"/>
    <w:rsid w:val="003775EA"/>
    <w:rsid w:val="00377AC9"/>
    <w:rsid w:val="00377AE9"/>
    <w:rsid w:val="00377AF2"/>
    <w:rsid w:val="00377BDA"/>
    <w:rsid w:val="00377D76"/>
    <w:rsid w:val="00377E66"/>
    <w:rsid w:val="0038011C"/>
    <w:rsid w:val="00380475"/>
    <w:rsid w:val="0038085C"/>
    <w:rsid w:val="003809F9"/>
    <w:rsid w:val="00380A1D"/>
    <w:rsid w:val="0038102A"/>
    <w:rsid w:val="0038107C"/>
    <w:rsid w:val="003810A6"/>
    <w:rsid w:val="00381543"/>
    <w:rsid w:val="003817D5"/>
    <w:rsid w:val="003818D2"/>
    <w:rsid w:val="00381C7F"/>
    <w:rsid w:val="00381C90"/>
    <w:rsid w:val="00381CF8"/>
    <w:rsid w:val="00381D73"/>
    <w:rsid w:val="00381DDB"/>
    <w:rsid w:val="00381DE5"/>
    <w:rsid w:val="00382176"/>
    <w:rsid w:val="003822A9"/>
    <w:rsid w:val="003823E1"/>
    <w:rsid w:val="00382521"/>
    <w:rsid w:val="003826DC"/>
    <w:rsid w:val="00382841"/>
    <w:rsid w:val="00382939"/>
    <w:rsid w:val="00382E7B"/>
    <w:rsid w:val="00382EFD"/>
    <w:rsid w:val="003833B4"/>
    <w:rsid w:val="003837E5"/>
    <w:rsid w:val="003838A2"/>
    <w:rsid w:val="00384028"/>
    <w:rsid w:val="003840E7"/>
    <w:rsid w:val="003841EE"/>
    <w:rsid w:val="0038433A"/>
    <w:rsid w:val="00384542"/>
    <w:rsid w:val="0038459E"/>
    <w:rsid w:val="00384C2E"/>
    <w:rsid w:val="00384C89"/>
    <w:rsid w:val="00384F4D"/>
    <w:rsid w:val="003851A5"/>
    <w:rsid w:val="003851EF"/>
    <w:rsid w:val="00385204"/>
    <w:rsid w:val="003852AB"/>
    <w:rsid w:val="00385398"/>
    <w:rsid w:val="0038542D"/>
    <w:rsid w:val="0038543A"/>
    <w:rsid w:val="00385565"/>
    <w:rsid w:val="003855EA"/>
    <w:rsid w:val="003856B8"/>
    <w:rsid w:val="0038586E"/>
    <w:rsid w:val="00385A24"/>
    <w:rsid w:val="00385AF4"/>
    <w:rsid w:val="00385D8A"/>
    <w:rsid w:val="00385DF1"/>
    <w:rsid w:val="00385E85"/>
    <w:rsid w:val="00386041"/>
    <w:rsid w:val="00386158"/>
    <w:rsid w:val="003861F5"/>
    <w:rsid w:val="00386327"/>
    <w:rsid w:val="00386413"/>
    <w:rsid w:val="0038647D"/>
    <w:rsid w:val="00386731"/>
    <w:rsid w:val="00386C1B"/>
    <w:rsid w:val="00386C2D"/>
    <w:rsid w:val="00386D50"/>
    <w:rsid w:val="00386DFC"/>
    <w:rsid w:val="003871FB"/>
    <w:rsid w:val="003873CE"/>
    <w:rsid w:val="003874DF"/>
    <w:rsid w:val="00387773"/>
    <w:rsid w:val="003877ED"/>
    <w:rsid w:val="00387C03"/>
    <w:rsid w:val="00387CEC"/>
    <w:rsid w:val="00387EF8"/>
    <w:rsid w:val="003900EF"/>
    <w:rsid w:val="00390B6D"/>
    <w:rsid w:val="00390D3B"/>
    <w:rsid w:val="00390D51"/>
    <w:rsid w:val="00391103"/>
    <w:rsid w:val="00391110"/>
    <w:rsid w:val="003911FD"/>
    <w:rsid w:val="0039120B"/>
    <w:rsid w:val="003915C4"/>
    <w:rsid w:val="003915DA"/>
    <w:rsid w:val="0039161E"/>
    <w:rsid w:val="003918F8"/>
    <w:rsid w:val="00391985"/>
    <w:rsid w:val="00391B22"/>
    <w:rsid w:val="00391B72"/>
    <w:rsid w:val="00391BDA"/>
    <w:rsid w:val="00391CD0"/>
    <w:rsid w:val="00391D04"/>
    <w:rsid w:val="00391F3B"/>
    <w:rsid w:val="00392137"/>
    <w:rsid w:val="0039224E"/>
    <w:rsid w:val="003926CC"/>
    <w:rsid w:val="00392A07"/>
    <w:rsid w:val="00392E52"/>
    <w:rsid w:val="0039386B"/>
    <w:rsid w:val="00393899"/>
    <w:rsid w:val="00393B6A"/>
    <w:rsid w:val="00393D15"/>
    <w:rsid w:val="00394442"/>
    <w:rsid w:val="00394534"/>
    <w:rsid w:val="0039459F"/>
    <w:rsid w:val="003945A1"/>
    <w:rsid w:val="003946D3"/>
    <w:rsid w:val="00394AA1"/>
    <w:rsid w:val="00394D05"/>
    <w:rsid w:val="00394DFE"/>
    <w:rsid w:val="003951C9"/>
    <w:rsid w:val="00395217"/>
    <w:rsid w:val="0039534D"/>
    <w:rsid w:val="00395450"/>
    <w:rsid w:val="00395474"/>
    <w:rsid w:val="0039578A"/>
    <w:rsid w:val="00395881"/>
    <w:rsid w:val="00395BA3"/>
    <w:rsid w:val="00395EDE"/>
    <w:rsid w:val="00395F46"/>
    <w:rsid w:val="0039618A"/>
    <w:rsid w:val="003961A5"/>
    <w:rsid w:val="00396332"/>
    <w:rsid w:val="00396508"/>
    <w:rsid w:val="0039650C"/>
    <w:rsid w:val="00396714"/>
    <w:rsid w:val="003967B1"/>
    <w:rsid w:val="00396B76"/>
    <w:rsid w:val="00396DDF"/>
    <w:rsid w:val="00396EF6"/>
    <w:rsid w:val="00396F2D"/>
    <w:rsid w:val="003971CC"/>
    <w:rsid w:val="00397291"/>
    <w:rsid w:val="0039761D"/>
    <w:rsid w:val="003976B6"/>
    <w:rsid w:val="003976EC"/>
    <w:rsid w:val="003979A3"/>
    <w:rsid w:val="00397B32"/>
    <w:rsid w:val="00397C87"/>
    <w:rsid w:val="00397D97"/>
    <w:rsid w:val="00397DFB"/>
    <w:rsid w:val="003A01AA"/>
    <w:rsid w:val="003A023A"/>
    <w:rsid w:val="003A05F0"/>
    <w:rsid w:val="003A07EB"/>
    <w:rsid w:val="003A0955"/>
    <w:rsid w:val="003A0AF1"/>
    <w:rsid w:val="003A0B44"/>
    <w:rsid w:val="003A0B49"/>
    <w:rsid w:val="003A0BF3"/>
    <w:rsid w:val="003A0EA5"/>
    <w:rsid w:val="003A120B"/>
    <w:rsid w:val="003A1302"/>
    <w:rsid w:val="003A1379"/>
    <w:rsid w:val="003A1429"/>
    <w:rsid w:val="003A144E"/>
    <w:rsid w:val="003A158B"/>
    <w:rsid w:val="003A15EC"/>
    <w:rsid w:val="003A1C3A"/>
    <w:rsid w:val="003A1E20"/>
    <w:rsid w:val="003A21E0"/>
    <w:rsid w:val="003A21E8"/>
    <w:rsid w:val="003A234A"/>
    <w:rsid w:val="003A23E9"/>
    <w:rsid w:val="003A255D"/>
    <w:rsid w:val="003A275B"/>
    <w:rsid w:val="003A2765"/>
    <w:rsid w:val="003A29CB"/>
    <w:rsid w:val="003A2ECD"/>
    <w:rsid w:val="003A30E6"/>
    <w:rsid w:val="003A3800"/>
    <w:rsid w:val="003A384D"/>
    <w:rsid w:val="003A3C89"/>
    <w:rsid w:val="003A3DF8"/>
    <w:rsid w:val="003A3F91"/>
    <w:rsid w:val="003A4186"/>
    <w:rsid w:val="003A44EB"/>
    <w:rsid w:val="003A4568"/>
    <w:rsid w:val="003A4667"/>
    <w:rsid w:val="003A46B9"/>
    <w:rsid w:val="003A4757"/>
    <w:rsid w:val="003A4873"/>
    <w:rsid w:val="003A4928"/>
    <w:rsid w:val="003A4A56"/>
    <w:rsid w:val="003A4E3B"/>
    <w:rsid w:val="003A5121"/>
    <w:rsid w:val="003A519F"/>
    <w:rsid w:val="003A51BB"/>
    <w:rsid w:val="003A52B0"/>
    <w:rsid w:val="003A571A"/>
    <w:rsid w:val="003A5731"/>
    <w:rsid w:val="003A5733"/>
    <w:rsid w:val="003A57A9"/>
    <w:rsid w:val="003A57D9"/>
    <w:rsid w:val="003A5891"/>
    <w:rsid w:val="003A5A00"/>
    <w:rsid w:val="003A5A25"/>
    <w:rsid w:val="003A5A6F"/>
    <w:rsid w:val="003A5C80"/>
    <w:rsid w:val="003A5CD4"/>
    <w:rsid w:val="003A5E6D"/>
    <w:rsid w:val="003A6054"/>
    <w:rsid w:val="003A6058"/>
    <w:rsid w:val="003A61BB"/>
    <w:rsid w:val="003A656E"/>
    <w:rsid w:val="003A6BAB"/>
    <w:rsid w:val="003A6BDC"/>
    <w:rsid w:val="003A6DBA"/>
    <w:rsid w:val="003A6EB7"/>
    <w:rsid w:val="003A6F29"/>
    <w:rsid w:val="003A6F93"/>
    <w:rsid w:val="003A70ED"/>
    <w:rsid w:val="003A743E"/>
    <w:rsid w:val="003A7458"/>
    <w:rsid w:val="003A751D"/>
    <w:rsid w:val="003A770F"/>
    <w:rsid w:val="003A7A22"/>
    <w:rsid w:val="003A7ADE"/>
    <w:rsid w:val="003A7C66"/>
    <w:rsid w:val="003A7CB5"/>
    <w:rsid w:val="003A7E0F"/>
    <w:rsid w:val="003A7EFD"/>
    <w:rsid w:val="003B01F3"/>
    <w:rsid w:val="003B0279"/>
    <w:rsid w:val="003B0305"/>
    <w:rsid w:val="003B036E"/>
    <w:rsid w:val="003B03F9"/>
    <w:rsid w:val="003B069C"/>
    <w:rsid w:val="003B09CD"/>
    <w:rsid w:val="003B0C18"/>
    <w:rsid w:val="003B0DBA"/>
    <w:rsid w:val="003B0F81"/>
    <w:rsid w:val="003B1058"/>
    <w:rsid w:val="003B1242"/>
    <w:rsid w:val="003B14C3"/>
    <w:rsid w:val="003B16A9"/>
    <w:rsid w:val="003B18DC"/>
    <w:rsid w:val="003B1954"/>
    <w:rsid w:val="003B1978"/>
    <w:rsid w:val="003B19C5"/>
    <w:rsid w:val="003B1D3F"/>
    <w:rsid w:val="003B1DA1"/>
    <w:rsid w:val="003B1DD7"/>
    <w:rsid w:val="003B1E6D"/>
    <w:rsid w:val="003B1F01"/>
    <w:rsid w:val="003B1F04"/>
    <w:rsid w:val="003B20D2"/>
    <w:rsid w:val="003B2299"/>
    <w:rsid w:val="003B240C"/>
    <w:rsid w:val="003B26E6"/>
    <w:rsid w:val="003B293E"/>
    <w:rsid w:val="003B2A34"/>
    <w:rsid w:val="003B2B69"/>
    <w:rsid w:val="003B2BE1"/>
    <w:rsid w:val="003B2C74"/>
    <w:rsid w:val="003B2D55"/>
    <w:rsid w:val="003B2E0D"/>
    <w:rsid w:val="003B2E85"/>
    <w:rsid w:val="003B2FED"/>
    <w:rsid w:val="003B3039"/>
    <w:rsid w:val="003B310A"/>
    <w:rsid w:val="003B372F"/>
    <w:rsid w:val="003B3A7D"/>
    <w:rsid w:val="003B3AB3"/>
    <w:rsid w:val="003B3B0B"/>
    <w:rsid w:val="003B3CD3"/>
    <w:rsid w:val="003B3FA6"/>
    <w:rsid w:val="003B4588"/>
    <w:rsid w:val="003B486A"/>
    <w:rsid w:val="003B48FD"/>
    <w:rsid w:val="003B4E67"/>
    <w:rsid w:val="003B51B5"/>
    <w:rsid w:val="003B51D3"/>
    <w:rsid w:val="003B51E2"/>
    <w:rsid w:val="003B5598"/>
    <w:rsid w:val="003B5730"/>
    <w:rsid w:val="003B573C"/>
    <w:rsid w:val="003B583A"/>
    <w:rsid w:val="003B5A8C"/>
    <w:rsid w:val="003B5BF6"/>
    <w:rsid w:val="003B5CA5"/>
    <w:rsid w:val="003B6008"/>
    <w:rsid w:val="003B6121"/>
    <w:rsid w:val="003B63C2"/>
    <w:rsid w:val="003B66C0"/>
    <w:rsid w:val="003B675C"/>
    <w:rsid w:val="003B6793"/>
    <w:rsid w:val="003B6887"/>
    <w:rsid w:val="003B6E2C"/>
    <w:rsid w:val="003B6FC2"/>
    <w:rsid w:val="003B75A8"/>
    <w:rsid w:val="003B7637"/>
    <w:rsid w:val="003B7758"/>
    <w:rsid w:val="003B790B"/>
    <w:rsid w:val="003B793A"/>
    <w:rsid w:val="003B7957"/>
    <w:rsid w:val="003B7B16"/>
    <w:rsid w:val="003B7DB1"/>
    <w:rsid w:val="003B7E52"/>
    <w:rsid w:val="003B7E81"/>
    <w:rsid w:val="003C0092"/>
    <w:rsid w:val="003C00E5"/>
    <w:rsid w:val="003C011C"/>
    <w:rsid w:val="003C01D4"/>
    <w:rsid w:val="003C01EE"/>
    <w:rsid w:val="003C068D"/>
    <w:rsid w:val="003C0BE4"/>
    <w:rsid w:val="003C0BF0"/>
    <w:rsid w:val="003C0F75"/>
    <w:rsid w:val="003C10AA"/>
    <w:rsid w:val="003C133E"/>
    <w:rsid w:val="003C156A"/>
    <w:rsid w:val="003C1601"/>
    <w:rsid w:val="003C1798"/>
    <w:rsid w:val="003C19F3"/>
    <w:rsid w:val="003C1A72"/>
    <w:rsid w:val="003C1CAB"/>
    <w:rsid w:val="003C23F0"/>
    <w:rsid w:val="003C2768"/>
    <w:rsid w:val="003C27CA"/>
    <w:rsid w:val="003C2CC3"/>
    <w:rsid w:val="003C2D68"/>
    <w:rsid w:val="003C2E9E"/>
    <w:rsid w:val="003C2EEA"/>
    <w:rsid w:val="003C2F1C"/>
    <w:rsid w:val="003C2F40"/>
    <w:rsid w:val="003C3854"/>
    <w:rsid w:val="003C399B"/>
    <w:rsid w:val="003C39B2"/>
    <w:rsid w:val="003C3B2B"/>
    <w:rsid w:val="003C42E9"/>
    <w:rsid w:val="003C431D"/>
    <w:rsid w:val="003C44F9"/>
    <w:rsid w:val="003C4880"/>
    <w:rsid w:val="003C497A"/>
    <w:rsid w:val="003C4B4D"/>
    <w:rsid w:val="003C4C6C"/>
    <w:rsid w:val="003C4EF9"/>
    <w:rsid w:val="003C500E"/>
    <w:rsid w:val="003C55F3"/>
    <w:rsid w:val="003C5F79"/>
    <w:rsid w:val="003C61D2"/>
    <w:rsid w:val="003C6223"/>
    <w:rsid w:val="003C63F9"/>
    <w:rsid w:val="003C6413"/>
    <w:rsid w:val="003C65EF"/>
    <w:rsid w:val="003C6823"/>
    <w:rsid w:val="003C69BF"/>
    <w:rsid w:val="003C6C84"/>
    <w:rsid w:val="003C6CAF"/>
    <w:rsid w:val="003C70DA"/>
    <w:rsid w:val="003C70DF"/>
    <w:rsid w:val="003C720E"/>
    <w:rsid w:val="003C7647"/>
    <w:rsid w:val="003C778F"/>
    <w:rsid w:val="003C79CD"/>
    <w:rsid w:val="003C7F37"/>
    <w:rsid w:val="003C7F4B"/>
    <w:rsid w:val="003D01B9"/>
    <w:rsid w:val="003D075E"/>
    <w:rsid w:val="003D09B9"/>
    <w:rsid w:val="003D09E4"/>
    <w:rsid w:val="003D09EE"/>
    <w:rsid w:val="003D0A77"/>
    <w:rsid w:val="003D0AB1"/>
    <w:rsid w:val="003D0AB4"/>
    <w:rsid w:val="003D0C71"/>
    <w:rsid w:val="003D0F74"/>
    <w:rsid w:val="003D168C"/>
    <w:rsid w:val="003D1C66"/>
    <w:rsid w:val="003D1F14"/>
    <w:rsid w:val="003D202E"/>
    <w:rsid w:val="003D23A3"/>
    <w:rsid w:val="003D25BC"/>
    <w:rsid w:val="003D28B0"/>
    <w:rsid w:val="003D2AEA"/>
    <w:rsid w:val="003D2C08"/>
    <w:rsid w:val="003D2DFA"/>
    <w:rsid w:val="003D33B9"/>
    <w:rsid w:val="003D3596"/>
    <w:rsid w:val="003D35D6"/>
    <w:rsid w:val="003D36AB"/>
    <w:rsid w:val="003D3758"/>
    <w:rsid w:val="003D3762"/>
    <w:rsid w:val="003D380E"/>
    <w:rsid w:val="003D3882"/>
    <w:rsid w:val="003D392D"/>
    <w:rsid w:val="003D3BFC"/>
    <w:rsid w:val="003D3DAD"/>
    <w:rsid w:val="003D3DC2"/>
    <w:rsid w:val="003D4358"/>
    <w:rsid w:val="003D43C9"/>
    <w:rsid w:val="003D4460"/>
    <w:rsid w:val="003D452F"/>
    <w:rsid w:val="003D4650"/>
    <w:rsid w:val="003D4906"/>
    <w:rsid w:val="003D4AD0"/>
    <w:rsid w:val="003D4BEB"/>
    <w:rsid w:val="003D4D87"/>
    <w:rsid w:val="003D4F33"/>
    <w:rsid w:val="003D4F40"/>
    <w:rsid w:val="003D51A7"/>
    <w:rsid w:val="003D5794"/>
    <w:rsid w:val="003D5856"/>
    <w:rsid w:val="003D5E50"/>
    <w:rsid w:val="003D5F46"/>
    <w:rsid w:val="003D607C"/>
    <w:rsid w:val="003D6448"/>
    <w:rsid w:val="003D650B"/>
    <w:rsid w:val="003D65FE"/>
    <w:rsid w:val="003D666B"/>
    <w:rsid w:val="003D6741"/>
    <w:rsid w:val="003D6D72"/>
    <w:rsid w:val="003D70E6"/>
    <w:rsid w:val="003D724F"/>
    <w:rsid w:val="003D7277"/>
    <w:rsid w:val="003D7375"/>
    <w:rsid w:val="003D76D2"/>
    <w:rsid w:val="003D780E"/>
    <w:rsid w:val="003D7ED4"/>
    <w:rsid w:val="003D7FAF"/>
    <w:rsid w:val="003E00B1"/>
    <w:rsid w:val="003E03B8"/>
    <w:rsid w:val="003E0464"/>
    <w:rsid w:val="003E0538"/>
    <w:rsid w:val="003E0714"/>
    <w:rsid w:val="003E1178"/>
    <w:rsid w:val="003E120E"/>
    <w:rsid w:val="003E13AD"/>
    <w:rsid w:val="003E1674"/>
    <w:rsid w:val="003E1A2A"/>
    <w:rsid w:val="003E1B17"/>
    <w:rsid w:val="003E1F2C"/>
    <w:rsid w:val="003E1FC9"/>
    <w:rsid w:val="003E217D"/>
    <w:rsid w:val="003E22C7"/>
    <w:rsid w:val="003E2311"/>
    <w:rsid w:val="003E2343"/>
    <w:rsid w:val="003E2366"/>
    <w:rsid w:val="003E2595"/>
    <w:rsid w:val="003E27A2"/>
    <w:rsid w:val="003E2930"/>
    <w:rsid w:val="003E2CB3"/>
    <w:rsid w:val="003E2E62"/>
    <w:rsid w:val="003E2EB9"/>
    <w:rsid w:val="003E33B3"/>
    <w:rsid w:val="003E38B6"/>
    <w:rsid w:val="003E39CC"/>
    <w:rsid w:val="003E3A17"/>
    <w:rsid w:val="003E4134"/>
    <w:rsid w:val="003E414F"/>
    <w:rsid w:val="003E41A5"/>
    <w:rsid w:val="003E43B4"/>
    <w:rsid w:val="003E44CA"/>
    <w:rsid w:val="003E45F6"/>
    <w:rsid w:val="003E4932"/>
    <w:rsid w:val="003E497C"/>
    <w:rsid w:val="003E4AE6"/>
    <w:rsid w:val="003E4B22"/>
    <w:rsid w:val="003E511E"/>
    <w:rsid w:val="003E5182"/>
    <w:rsid w:val="003E57F5"/>
    <w:rsid w:val="003E58E7"/>
    <w:rsid w:val="003E5931"/>
    <w:rsid w:val="003E5F77"/>
    <w:rsid w:val="003E5FA2"/>
    <w:rsid w:val="003E6055"/>
    <w:rsid w:val="003E658E"/>
    <w:rsid w:val="003E67BE"/>
    <w:rsid w:val="003E6B7E"/>
    <w:rsid w:val="003E6F0A"/>
    <w:rsid w:val="003E7077"/>
    <w:rsid w:val="003E711D"/>
    <w:rsid w:val="003E7198"/>
    <w:rsid w:val="003E753C"/>
    <w:rsid w:val="003E77AC"/>
    <w:rsid w:val="003E7D5D"/>
    <w:rsid w:val="003E7EFA"/>
    <w:rsid w:val="003E7FD6"/>
    <w:rsid w:val="003F0410"/>
    <w:rsid w:val="003F050E"/>
    <w:rsid w:val="003F0516"/>
    <w:rsid w:val="003F06AF"/>
    <w:rsid w:val="003F06BB"/>
    <w:rsid w:val="003F08D9"/>
    <w:rsid w:val="003F091A"/>
    <w:rsid w:val="003F0984"/>
    <w:rsid w:val="003F0B23"/>
    <w:rsid w:val="003F0CE8"/>
    <w:rsid w:val="003F0DE4"/>
    <w:rsid w:val="003F0E90"/>
    <w:rsid w:val="003F1052"/>
    <w:rsid w:val="003F1393"/>
    <w:rsid w:val="003F1399"/>
    <w:rsid w:val="003F1463"/>
    <w:rsid w:val="003F156C"/>
    <w:rsid w:val="003F1710"/>
    <w:rsid w:val="003F197B"/>
    <w:rsid w:val="003F1AEE"/>
    <w:rsid w:val="003F1BC0"/>
    <w:rsid w:val="003F1C84"/>
    <w:rsid w:val="003F1DD1"/>
    <w:rsid w:val="003F2553"/>
    <w:rsid w:val="003F2AB6"/>
    <w:rsid w:val="003F2BEC"/>
    <w:rsid w:val="003F2BF4"/>
    <w:rsid w:val="003F3158"/>
    <w:rsid w:val="003F3279"/>
    <w:rsid w:val="003F3462"/>
    <w:rsid w:val="003F3AF0"/>
    <w:rsid w:val="003F3C58"/>
    <w:rsid w:val="003F3C59"/>
    <w:rsid w:val="003F3CF5"/>
    <w:rsid w:val="003F3F04"/>
    <w:rsid w:val="003F413F"/>
    <w:rsid w:val="003F4611"/>
    <w:rsid w:val="003F49F9"/>
    <w:rsid w:val="003F4CC3"/>
    <w:rsid w:val="003F50AE"/>
    <w:rsid w:val="003F5454"/>
    <w:rsid w:val="003F556F"/>
    <w:rsid w:val="003F5581"/>
    <w:rsid w:val="003F5593"/>
    <w:rsid w:val="003F55CE"/>
    <w:rsid w:val="003F56EE"/>
    <w:rsid w:val="003F58E5"/>
    <w:rsid w:val="003F5C0F"/>
    <w:rsid w:val="003F61A8"/>
    <w:rsid w:val="003F64A1"/>
    <w:rsid w:val="003F651E"/>
    <w:rsid w:val="003F6699"/>
    <w:rsid w:val="003F6B48"/>
    <w:rsid w:val="003F6D77"/>
    <w:rsid w:val="003F6EC3"/>
    <w:rsid w:val="003F6F1A"/>
    <w:rsid w:val="003F716D"/>
    <w:rsid w:val="003F726B"/>
    <w:rsid w:val="003F7583"/>
    <w:rsid w:val="003F775D"/>
    <w:rsid w:val="003F79AF"/>
    <w:rsid w:val="003F7EA9"/>
    <w:rsid w:val="00400238"/>
    <w:rsid w:val="0040060F"/>
    <w:rsid w:val="00400750"/>
    <w:rsid w:val="004008A8"/>
    <w:rsid w:val="00400A33"/>
    <w:rsid w:val="00401022"/>
    <w:rsid w:val="00401064"/>
    <w:rsid w:val="0040117F"/>
    <w:rsid w:val="0040123A"/>
    <w:rsid w:val="004017D3"/>
    <w:rsid w:val="0040180E"/>
    <w:rsid w:val="0040182C"/>
    <w:rsid w:val="00401A0D"/>
    <w:rsid w:val="00401B10"/>
    <w:rsid w:val="00401DBD"/>
    <w:rsid w:val="00401DDA"/>
    <w:rsid w:val="00401E45"/>
    <w:rsid w:val="004025D2"/>
    <w:rsid w:val="0040280F"/>
    <w:rsid w:val="004028B1"/>
    <w:rsid w:val="00402A0E"/>
    <w:rsid w:val="00402BEE"/>
    <w:rsid w:val="00402C47"/>
    <w:rsid w:val="00402CEE"/>
    <w:rsid w:val="00402DF5"/>
    <w:rsid w:val="0040303A"/>
    <w:rsid w:val="00403181"/>
    <w:rsid w:val="004032A7"/>
    <w:rsid w:val="0040345C"/>
    <w:rsid w:val="00403A27"/>
    <w:rsid w:val="00403BEB"/>
    <w:rsid w:val="0040437E"/>
    <w:rsid w:val="004043BC"/>
    <w:rsid w:val="00404418"/>
    <w:rsid w:val="0040446F"/>
    <w:rsid w:val="004045C8"/>
    <w:rsid w:val="0040490C"/>
    <w:rsid w:val="00404D40"/>
    <w:rsid w:val="00404E4F"/>
    <w:rsid w:val="00404EBA"/>
    <w:rsid w:val="004050D2"/>
    <w:rsid w:val="00405514"/>
    <w:rsid w:val="00405A5F"/>
    <w:rsid w:val="00405E8C"/>
    <w:rsid w:val="00405EA7"/>
    <w:rsid w:val="00406206"/>
    <w:rsid w:val="0040623E"/>
    <w:rsid w:val="004062E3"/>
    <w:rsid w:val="004064F7"/>
    <w:rsid w:val="0040669B"/>
    <w:rsid w:val="004066B4"/>
    <w:rsid w:val="004068CC"/>
    <w:rsid w:val="00406CC1"/>
    <w:rsid w:val="00406F14"/>
    <w:rsid w:val="00407333"/>
    <w:rsid w:val="00407A5F"/>
    <w:rsid w:val="00407BB9"/>
    <w:rsid w:val="00407DAF"/>
    <w:rsid w:val="00407E03"/>
    <w:rsid w:val="00407F89"/>
    <w:rsid w:val="00410539"/>
    <w:rsid w:val="00410543"/>
    <w:rsid w:val="00410808"/>
    <w:rsid w:val="00410870"/>
    <w:rsid w:val="004109EF"/>
    <w:rsid w:val="00410B2B"/>
    <w:rsid w:val="00410C3C"/>
    <w:rsid w:val="00411147"/>
    <w:rsid w:val="00411159"/>
    <w:rsid w:val="0041128E"/>
    <w:rsid w:val="00411491"/>
    <w:rsid w:val="0041161E"/>
    <w:rsid w:val="00411938"/>
    <w:rsid w:val="00411CA8"/>
    <w:rsid w:val="00411FEF"/>
    <w:rsid w:val="004126D7"/>
    <w:rsid w:val="00412982"/>
    <w:rsid w:val="00412BB4"/>
    <w:rsid w:val="00412EA3"/>
    <w:rsid w:val="004130E5"/>
    <w:rsid w:val="004130F9"/>
    <w:rsid w:val="0041323B"/>
    <w:rsid w:val="00413269"/>
    <w:rsid w:val="00413465"/>
    <w:rsid w:val="00413581"/>
    <w:rsid w:val="004135E9"/>
    <w:rsid w:val="004136AC"/>
    <w:rsid w:val="00413AD6"/>
    <w:rsid w:val="00413B54"/>
    <w:rsid w:val="00413EB7"/>
    <w:rsid w:val="004140DA"/>
    <w:rsid w:val="004141EF"/>
    <w:rsid w:val="004143F8"/>
    <w:rsid w:val="004144DB"/>
    <w:rsid w:val="00414A09"/>
    <w:rsid w:val="00414AC8"/>
    <w:rsid w:val="00414C6F"/>
    <w:rsid w:val="00414C91"/>
    <w:rsid w:val="00414E1D"/>
    <w:rsid w:val="00415048"/>
    <w:rsid w:val="004150AE"/>
    <w:rsid w:val="0041518C"/>
    <w:rsid w:val="0041521F"/>
    <w:rsid w:val="004152FE"/>
    <w:rsid w:val="004154C9"/>
    <w:rsid w:val="004158D3"/>
    <w:rsid w:val="00415A1C"/>
    <w:rsid w:val="00415B1A"/>
    <w:rsid w:val="00415DF5"/>
    <w:rsid w:val="00415E3B"/>
    <w:rsid w:val="004160FC"/>
    <w:rsid w:val="00416576"/>
    <w:rsid w:val="0041690B"/>
    <w:rsid w:val="00416C71"/>
    <w:rsid w:val="00416CB9"/>
    <w:rsid w:val="00416D93"/>
    <w:rsid w:val="00416E22"/>
    <w:rsid w:val="00416F08"/>
    <w:rsid w:val="00416F15"/>
    <w:rsid w:val="0041707E"/>
    <w:rsid w:val="004171E1"/>
    <w:rsid w:val="0041738B"/>
    <w:rsid w:val="004174D3"/>
    <w:rsid w:val="004176CC"/>
    <w:rsid w:val="00417B99"/>
    <w:rsid w:val="00417D38"/>
    <w:rsid w:val="004201CB"/>
    <w:rsid w:val="00420284"/>
    <w:rsid w:val="004202F2"/>
    <w:rsid w:val="0042036C"/>
    <w:rsid w:val="00420427"/>
    <w:rsid w:val="0042049A"/>
    <w:rsid w:val="004205A8"/>
    <w:rsid w:val="004206F1"/>
    <w:rsid w:val="00420780"/>
    <w:rsid w:val="0042086E"/>
    <w:rsid w:val="0042088C"/>
    <w:rsid w:val="004209BC"/>
    <w:rsid w:val="00420C51"/>
    <w:rsid w:val="00420F0E"/>
    <w:rsid w:val="004210D2"/>
    <w:rsid w:val="00421114"/>
    <w:rsid w:val="0042141A"/>
    <w:rsid w:val="004214B9"/>
    <w:rsid w:val="00421542"/>
    <w:rsid w:val="00421658"/>
    <w:rsid w:val="00421AED"/>
    <w:rsid w:val="0042238D"/>
    <w:rsid w:val="004223DC"/>
    <w:rsid w:val="004228B4"/>
    <w:rsid w:val="004229D7"/>
    <w:rsid w:val="00422A7D"/>
    <w:rsid w:val="00422AF5"/>
    <w:rsid w:val="00422C59"/>
    <w:rsid w:val="00422DBB"/>
    <w:rsid w:val="004232B3"/>
    <w:rsid w:val="0042332B"/>
    <w:rsid w:val="0042339A"/>
    <w:rsid w:val="00423429"/>
    <w:rsid w:val="0042350E"/>
    <w:rsid w:val="00423808"/>
    <w:rsid w:val="00423837"/>
    <w:rsid w:val="004239CB"/>
    <w:rsid w:val="004239F4"/>
    <w:rsid w:val="00423A6C"/>
    <w:rsid w:val="00423B15"/>
    <w:rsid w:val="00423D73"/>
    <w:rsid w:val="00423E48"/>
    <w:rsid w:val="00423F5F"/>
    <w:rsid w:val="00424929"/>
    <w:rsid w:val="004249EA"/>
    <w:rsid w:val="00424C70"/>
    <w:rsid w:val="00424CB8"/>
    <w:rsid w:val="00424CC2"/>
    <w:rsid w:val="00424DB5"/>
    <w:rsid w:val="0042502D"/>
    <w:rsid w:val="0042508F"/>
    <w:rsid w:val="00425175"/>
    <w:rsid w:val="00425286"/>
    <w:rsid w:val="004253A9"/>
    <w:rsid w:val="00425506"/>
    <w:rsid w:val="004255C1"/>
    <w:rsid w:val="0042594C"/>
    <w:rsid w:val="004259A2"/>
    <w:rsid w:val="00425D0C"/>
    <w:rsid w:val="00425E56"/>
    <w:rsid w:val="00425FB4"/>
    <w:rsid w:val="004261CC"/>
    <w:rsid w:val="00426335"/>
    <w:rsid w:val="00426348"/>
    <w:rsid w:val="004263AC"/>
    <w:rsid w:val="004264DC"/>
    <w:rsid w:val="00426519"/>
    <w:rsid w:val="0042653C"/>
    <w:rsid w:val="0042671B"/>
    <w:rsid w:val="004269BD"/>
    <w:rsid w:val="00426B3C"/>
    <w:rsid w:val="00426D06"/>
    <w:rsid w:val="0042716B"/>
    <w:rsid w:val="004271FC"/>
    <w:rsid w:val="004275D5"/>
    <w:rsid w:val="00427844"/>
    <w:rsid w:val="004279D1"/>
    <w:rsid w:val="00427A83"/>
    <w:rsid w:val="0043002C"/>
    <w:rsid w:val="00430336"/>
    <w:rsid w:val="00430632"/>
    <w:rsid w:val="004306BD"/>
    <w:rsid w:val="004307C4"/>
    <w:rsid w:val="00430A53"/>
    <w:rsid w:val="00430A99"/>
    <w:rsid w:val="00430CE1"/>
    <w:rsid w:val="00430E74"/>
    <w:rsid w:val="004311A9"/>
    <w:rsid w:val="00431623"/>
    <w:rsid w:val="004318EC"/>
    <w:rsid w:val="00431DBE"/>
    <w:rsid w:val="00431E5A"/>
    <w:rsid w:val="0043207B"/>
    <w:rsid w:val="0043210C"/>
    <w:rsid w:val="00432112"/>
    <w:rsid w:val="00432191"/>
    <w:rsid w:val="004321C0"/>
    <w:rsid w:val="00432559"/>
    <w:rsid w:val="004325D6"/>
    <w:rsid w:val="004326EE"/>
    <w:rsid w:val="00432B2D"/>
    <w:rsid w:val="00432B85"/>
    <w:rsid w:val="00432C89"/>
    <w:rsid w:val="00432DA2"/>
    <w:rsid w:val="004331B3"/>
    <w:rsid w:val="0043326D"/>
    <w:rsid w:val="00433669"/>
    <w:rsid w:val="004336B2"/>
    <w:rsid w:val="00433810"/>
    <w:rsid w:val="004339C8"/>
    <w:rsid w:val="00433C03"/>
    <w:rsid w:val="00433D03"/>
    <w:rsid w:val="00433FD5"/>
    <w:rsid w:val="00434164"/>
    <w:rsid w:val="004343F2"/>
    <w:rsid w:val="00434609"/>
    <w:rsid w:val="004346C3"/>
    <w:rsid w:val="00434767"/>
    <w:rsid w:val="004347F9"/>
    <w:rsid w:val="00434A15"/>
    <w:rsid w:val="00434AE9"/>
    <w:rsid w:val="00434E76"/>
    <w:rsid w:val="00434F99"/>
    <w:rsid w:val="0043534E"/>
    <w:rsid w:val="00435353"/>
    <w:rsid w:val="004355EE"/>
    <w:rsid w:val="00435603"/>
    <w:rsid w:val="00435B24"/>
    <w:rsid w:val="00435BDF"/>
    <w:rsid w:val="00435D3D"/>
    <w:rsid w:val="00435F26"/>
    <w:rsid w:val="0043601C"/>
    <w:rsid w:val="004360E8"/>
    <w:rsid w:val="0043661F"/>
    <w:rsid w:val="004369B5"/>
    <w:rsid w:val="00436A0F"/>
    <w:rsid w:val="00436DB3"/>
    <w:rsid w:val="00436E5A"/>
    <w:rsid w:val="00436ED1"/>
    <w:rsid w:val="0043742F"/>
    <w:rsid w:val="004379C2"/>
    <w:rsid w:val="00440078"/>
    <w:rsid w:val="004400E8"/>
    <w:rsid w:val="004402EA"/>
    <w:rsid w:val="0044051F"/>
    <w:rsid w:val="004407AE"/>
    <w:rsid w:val="004407B1"/>
    <w:rsid w:val="00440809"/>
    <w:rsid w:val="0044080C"/>
    <w:rsid w:val="0044081A"/>
    <w:rsid w:val="00440A07"/>
    <w:rsid w:val="00440B2C"/>
    <w:rsid w:val="00440CB1"/>
    <w:rsid w:val="00440E22"/>
    <w:rsid w:val="00440E78"/>
    <w:rsid w:val="00440F0A"/>
    <w:rsid w:val="0044166E"/>
    <w:rsid w:val="0044187F"/>
    <w:rsid w:val="004419B6"/>
    <w:rsid w:val="00441ADC"/>
    <w:rsid w:val="00441B0E"/>
    <w:rsid w:val="00441B1C"/>
    <w:rsid w:val="00441D4D"/>
    <w:rsid w:val="00441D64"/>
    <w:rsid w:val="0044210A"/>
    <w:rsid w:val="004421BD"/>
    <w:rsid w:val="00442203"/>
    <w:rsid w:val="004425E7"/>
    <w:rsid w:val="0044267D"/>
    <w:rsid w:val="004427ED"/>
    <w:rsid w:val="00442A2B"/>
    <w:rsid w:val="00442A99"/>
    <w:rsid w:val="00442B8C"/>
    <w:rsid w:val="00443403"/>
    <w:rsid w:val="004436CF"/>
    <w:rsid w:val="0044382E"/>
    <w:rsid w:val="00443857"/>
    <w:rsid w:val="00443B23"/>
    <w:rsid w:val="00443B4A"/>
    <w:rsid w:val="00443DE2"/>
    <w:rsid w:val="00443F68"/>
    <w:rsid w:val="004440E6"/>
    <w:rsid w:val="00444405"/>
    <w:rsid w:val="00444922"/>
    <w:rsid w:val="00444AFE"/>
    <w:rsid w:val="00444BC7"/>
    <w:rsid w:val="00444CF6"/>
    <w:rsid w:val="00444D41"/>
    <w:rsid w:val="00444DFA"/>
    <w:rsid w:val="00444FC2"/>
    <w:rsid w:val="00445369"/>
    <w:rsid w:val="00445763"/>
    <w:rsid w:val="004458C7"/>
    <w:rsid w:val="00445ACB"/>
    <w:rsid w:val="00445DFB"/>
    <w:rsid w:val="0044623B"/>
    <w:rsid w:val="00446505"/>
    <w:rsid w:val="0044665A"/>
    <w:rsid w:val="00446714"/>
    <w:rsid w:val="00446740"/>
    <w:rsid w:val="0044683A"/>
    <w:rsid w:val="004468FE"/>
    <w:rsid w:val="00446A0C"/>
    <w:rsid w:val="00446B29"/>
    <w:rsid w:val="00446E1C"/>
    <w:rsid w:val="00447112"/>
    <w:rsid w:val="00447161"/>
    <w:rsid w:val="00447182"/>
    <w:rsid w:val="0044724E"/>
    <w:rsid w:val="0044728D"/>
    <w:rsid w:val="004472E6"/>
    <w:rsid w:val="00447332"/>
    <w:rsid w:val="0044735E"/>
    <w:rsid w:val="004473AD"/>
    <w:rsid w:val="00447686"/>
    <w:rsid w:val="004476AA"/>
    <w:rsid w:val="0044774D"/>
    <w:rsid w:val="0044779E"/>
    <w:rsid w:val="00447A77"/>
    <w:rsid w:val="00447A79"/>
    <w:rsid w:val="00447AD9"/>
    <w:rsid w:val="00447B13"/>
    <w:rsid w:val="00447B69"/>
    <w:rsid w:val="00447C88"/>
    <w:rsid w:val="00447DE5"/>
    <w:rsid w:val="0045010C"/>
    <w:rsid w:val="00450456"/>
    <w:rsid w:val="004506F6"/>
    <w:rsid w:val="004508F7"/>
    <w:rsid w:val="00450921"/>
    <w:rsid w:val="00450B64"/>
    <w:rsid w:val="00450C80"/>
    <w:rsid w:val="0045129B"/>
    <w:rsid w:val="00451318"/>
    <w:rsid w:val="00451393"/>
    <w:rsid w:val="0045142B"/>
    <w:rsid w:val="004518BD"/>
    <w:rsid w:val="00451B7F"/>
    <w:rsid w:val="00451E59"/>
    <w:rsid w:val="00451ED7"/>
    <w:rsid w:val="00452105"/>
    <w:rsid w:val="00452134"/>
    <w:rsid w:val="0045248F"/>
    <w:rsid w:val="00452616"/>
    <w:rsid w:val="00452653"/>
    <w:rsid w:val="00452754"/>
    <w:rsid w:val="00452A0B"/>
    <w:rsid w:val="00452BE6"/>
    <w:rsid w:val="00452C3C"/>
    <w:rsid w:val="00452D2B"/>
    <w:rsid w:val="00452E87"/>
    <w:rsid w:val="00452ED7"/>
    <w:rsid w:val="00453189"/>
    <w:rsid w:val="00453231"/>
    <w:rsid w:val="00453391"/>
    <w:rsid w:val="004535AB"/>
    <w:rsid w:val="0045366D"/>
    <w:rsid w:val="0045368F"/>
    <w:rsid w:val="00453BB7"/>
    <w:rsid w:val="00453E1A"/>
    <w:rsid w:val="00453EA8"/>
    <w:rsid w:val="004541BB"/>
    <w:rsid w:val="0045434A"/>
    <w:rsid w:val="004544D6"/>
    <w:rsid w:val="004545C0"/>
    <w:rsid w:val="00454C06"/>
    <w:rsid w:val="00454CB5"/>
    <w:rsid w:val="00454DC3"/>
    <w:rsid w:val="00454FA9"/>
    <w:rsid w:val="004551EB"/>
    <w:rsid w:val="00455358"/>
    <w:rsid w:val="004554ED"/>
    <w:rsid w:val="00455771"/>
    <w:rsid w:val="004557BA"/>
    <w:rsid w:val="004557F0"/>
    <w:rsid w:val="00455CDC"/>
    <w:rsid w:val="00455E4A"/>
    <w:rsid w:val="00455FD6"/>
    <w:rsid w:val="004561BF"/>
    <w:rsid w:val="00456313"/>
    <w:rsid w:val="00456526"/>
    <w:rsid w:val="00456558"/>
    <w:rsid w:val="00456623"/>
    <w:rsid w:val="0045677E"/>
    <w:rsid w:val="004567CF"/>
    <w:rsid w:val="00456877"/>
    <w:rsid w:val="00456CEB"/>
    <w:rsid w:val="00456F6F"/>
    <w:rsid w:val="004577E5"/>
    <w:rsid w:val="0045780E"/>
    <w:rsid w:val="004579BE"/>
    <w:rsid w:val="00457A1E"/>
    <w:rsid w:val="00457C8C"/>
    <w:rsid w:val="00457D06"/>
    <w:rsid w:val="00457E36"/>
    <w:rsid w:val="004600E1"/>
    <w:rsid w:val="00460169"/>
    <w:rsid w:val="004603E9"/>
    <w:rsid w:val="0046048D"/>
    <w:rsid w:val="00460744"/>
    <w:rsid w:val="00460796"/>
    <w:rsid w:val="00460A15"/>
    <w:rsid w:val="00460BD0"/>
    <w:rsid w:val="00460D5D"/>
    <w:rsid w:val="0046113C"/>
    <w:rsid w:val="0046150F"/>
    <w:rsid w:val="00461548"/>
    <w:rsid w:val="004615AD"/>
    <w:rsid w:val="00461607"/>
    <w:rsid w:val="0046193D"/>
    <w:rsid w:val="00461CE9"/>
    <w:rsid w:val="00461F5B"/>
    <w:rsid w:val="00461FA9"/>
    <w:rsid w:val="004620C3"/>
    <w:rsid w:val="00462150"/>
    <w:rsid w:val="00462181"/>
    <w:rsid w:val="0046220C"/>
    <w:rsid w:val="00462407"/>
    <w:rsid w:val="004624B0"/>
    <w:rsid w:val="004625CF"/>
    <w:rsid w:val="00462704"/>
    <w:rsid w:val="00462739"/>
    <w:rsid w:val="00462A17"/>
    <w:rsid w:val="00462A7C"/>
    <w:rsid w:val="00462D22"/>
    <w:rsid w:val="00462D2A"/>
    <w:rsid w:val="0046311B"/>
    <w:rsid w:val="004631DD"/>
    <w:rsid w:val="00463480"/>
    <w:rsid w:val="004635FD"/>
    <w:rsid w:val="0046388A"/>
    <w:rsid w:val="004639F7"/>
    <w:rsid w:val="00463BD1"/>
    <w:rsid w:val="00463CFB"/>
    <w:rsid w:val="0046408C"/>
    <w:rsid w:val="004643BD"/>
    <w:rsid w:val="00464591"/>
    <w:rsid w:val="0046461D"/>
    <w:rsid w:val="00464757"/>
    <w:rsid w:val="0046479D"/>
    <w:rsid w:val="004648F7"/>
    <w:rsid w:val="004649C4"/>
    <w:rsid w:val="00464A10"/>
    <w:rsid w:val="00464B42"/>
    <w:rsid w:val="00464DED"/>
    <w:rsid w:val="00464E00"/>
    <w:rsid w:val="00464EEE"/>
    <w:rsid w:val="0046509E"/>
    <w:rsid w:val="00465187"/>
    <w:rsid w:val="00465237"/>
    <w:rsid w:val="004654CD"/>
    <w:rsid w:val="00465683"/>
    <w:rsid w:val="00465742"/>
    <w:rsid w:val="004659B5"/>
    <w:rsid w:val="00465C0B"/>
    <w:rsid w:val="0046611B"/>
    <w:rsid w:val="004663CD"/>
    <w:rsid w:val="0046641A"/>
    <w:rsid w:val="004664BA"/>
    <w:rsid w:val="004666A5"/>
    <w:rsid w:val="0046691F"/>
    <w:rsid w:val="00466BA2"/>
    <w:rsid w:val="00466D06"/>
    <w:rsid w:val="004670BD"/>
    <w:rsid w:val="004670D9"/>
    <w:rsid w:val="00467211"/>
    <w:rsid w:val="00467333"/>
    <w:rsid w:val="0046747E"/>
    <w:rsid w:val="00467944"/>
    <w:rsid w:val="00467AFF"/>
    <w:rsid w:val="00467C04"/>
    <w:rsid w:val="00467EAE"/>
    <w:rsid w:val="00467F8A"/>
    <w:rsid w:val="00467FBD"/>
    <w:rsid w:val="00470016"/>
    <w:rsid w:val="00470129"/>
    <w:rsid w:val="0047031D"/>
    <w:rsid w:val="00470810"/>
    <w:rsid w:val="00470C89"/>
    <w:rsid w:val="00470E7B"/>
    <w:rsid w:val="00470EC1"/>
    <w:rsid w:val="004710C5"/>
    <w:rsid w:val="004713CA"/>
    <w:rsid w:val="0047153F"/>
    <w:rsid w:val="00471614"/>
    <w:rsid w:val="00471748"/>
    <w:rsid w:val="00471825"/>
    <w:rsid w:val="0047189B"/>
    <w:rsid w:val="004719E4"/>
    <w:rsid w:val="00471A1D"/>
    <w:rsid w:val="00471AFC"/>
    <w:rsid w:val="00471B5A"/>
    <w:rsid w:val="00471CE4"/>
    <w:rsid w:val="00472023"/>
    <w:rsid w:val="0047207A"/>
    <w:rsid w:val="004721E2"/>
    <w:rsid w:val="00472269"/>
    <w:rsid w:val="004722D1"/>
    <w:rsid w:val="004728A0"/>
    <w:rsid w:val="00472974"/>
    <w:rsid w:val="00472A10"/>
    <w:rsid w:val="00472A3A"/>
    <w:rsid w:val="00472AA9"/>
    <w:rsid w:val="00472AB9"/>
    <w:rsid w:val="00472C47"/>
    <w:rsid w:val="00472E75"/>
    <w:rsid w:val="00472FB2"/>
    <w:rsid w:val="00472FB9"/>
    <w:rsid w:val="00473162"/>
    <w:rsid w:val="00473253"/>
    <w:rsid w:val="00473E68"/>
    <w:rsid w:val="00473F59"/>
    <w:rsid w:val="00474131"/>
    <w:rsid w:val="00474160"/>
    <w:rsid w:val="004742B6"/>
    <w:rsid w:val="004742DD"/>
    <w:rsid w:val="00474A17"/>
    <w:rsid w:val="00474A23"/>
    <w:rsid w:val="00474AA4"/>
    <w:rsid w:val="00474BB5"/>
    <w:rsid w:val="00474BC0"/>
    <w:rsid w:val="00474D12"/>
    <w:rsid w:val="00474DF9"/>
    <w:rsid w:val="00474E9F"/>
    <w:rsid w:val="00475231"/>
    <w:rsid w:val="00475250"/>
    <w:rsid w:val="004752B7"/>
    <w:rsid w:val="004752C7"/>
    <w:rsid w:val="00475360"/>
    <w:rsid w:val="0047542E"/>
    <w:rsid w:val="004755C2"/>
    <w:rsid w:val="004756A0"/>
    <w:rsid w:val="004757C3"/>
    <w:rsid w:val="00475B3B"/>
    <w:rsid w:val="00475BDB"/>
    <w:rsid w:val="00475BF9"/>
    <w:rsid w:val="00475C0E"/>
    <w:rsid w:val="00475E1C"/>
    <w:rsid w:val="00475F0E"/>
    <w:rsid w:val="00476554"/>
    <w:rsid w:val="004766D6"/>
    <w:rsid w:val="00476738"/>
    <w:rsid w:val="00476AF5"/>
    <w:rsid w:val="00476BE4"/>
    <w:rsid w:val="00476C19"/>
    <w:rsid w:val="00476D07"/>
    <w:rsid w:val="0047718C"/>
    <w:rsid w:val="004771E3"/>
    <w:rsid w:val="004774FB"/>
    <w:rsid w:val="0047751D"/>
    <w:rsid w:val="004775C8"/>
    <w:rsid w:val="0047760F"/>
    <w:rsid w:val="00477B5D"/>
    <w:rsid w:val="00477BF0"/>
    <w:rsid w:val="00477D10"/>
    <w:rsid w:val="00477DB2"/>
    <w:rsid w:val="00477F70"/>
    <w:rsid w:val="00480180"/>
    <w:rsid w:val="0048034D"/>
    <w:rsid w:val="0048061E"/>
    <w:rsid w:val="00480888"/>
    <w:rsid w:val="00480BDD"/>
    <w:rsid w:val="00480C4A"/>
    <w:rsid w:val="00480CD8"/>
    <w:rsid w:val="00480F9E"/>
    <w:rsid w:val="00480FBD"/>
    <w:rsid w:val="0048172D"/>
    <w:rsid w:val="00481C32"/>
    <w:rsid w:val="00481D60"/>
    <w:rsid w:val="00481DD6"/>
    <w:rsid w:val="00481E35"/>
    <w:rsid w:val="00481E91"/>
    <w:rsid w:val="0048213F"/>
    <w:rsid w:val="00482166"/>
    <w:rsid w:val="004822DD"/>
    <w:rsid w:val="00482320"/>
    <w:rsid w:val="004823B6"/>
    <w:rsid w:val="00482406"/>
    <w:rsid w:val="00482846"/>
    <w:rsid w:val="00482A75"/>
    <w:rsid w:val="00482CDA"/>
    <w:rsid w:val="00482E14"/>
    <w:rsid w:val="00482F06"/>
    <w:rsid w:val="00482F25"/>
    <w:rsid w:val="00482F93"/>
    <w:rsid w:val="00483504"/>
    <w:rsid w:val="004838DE"/>
    <w:rsid w:val="00483A3A"/>
    <w:rsid w:val="00483AE2"/>
    <w:rsid w:val="00483BAA"/>
    <w:rsid w:val="00483C61"/>
    <w:rsid w:val="00483F15"/>
    <w:rsid w:val="00484696"/>
    <w:rsid w:val="00484969"/>
    <w:rsid w:val="00484B05"/>
    <w:rsid w:val="00484DFD"/>
    <w:rsid w:val="00484E2F"/>
    <w:rsid w:val="00484E96"/>
    <w:rsid w:val="00484F56"/>
    <w:rsid w:val="004854D4"/>
    <w:rsid w:val="00485A7C"/>
    <w:rsid w:val="00485B1E"/>
    <w:rsid w:val="00485E8A"/>
    <w:rsid w:val="00486135"/>
    <w:rsid w:val="0048619B"/>
    <w:rsid w:val="004865C3"/>
    <w:rsid w:val="00486608"/>
    <w:rsid w:val="0048679E"/>
    <w:rsid w:val="004867FB"/>
    <w:rsid w:val="00486850"/>
    <w:rsid w:val="00486B12"/>
    <w:rsid w:val="00486B82"/>
    <w:rsid w:val="00486CFA"/>
    <w:rsid w:val="00486D9B"/>
    <w:rsid w:val="00486E2B"/>
    <w:rsid w:val="00486FAD"/>
    <w:rsid w:val="004870EB"/>
    <w:rsid w:val="0048711C"/>
    <w:rsid w:val="00487176"/>
    <w:rsid w:val="0048719D"/>
    <w:rsid w:val="004876DC"/>
    <w:rsid w:val="00487764"/>
    <w:rsid w:val="00487D7C"/>
    <w:rsid w:val="00487EAB"/>
    <w:rsid w:val="004900B6"/>
    <w:rsid w:val="00490195"/>
    <w:rsid w:val="004905D1"/>
    <w:rsid w:val="00490644"/>
    <w:rsid w:val="0049094A"/>
    <w:rsid w:val="00490A84"/>
    <w:rsid w:val="00490ABA"/>
    <w:rsid w:val="00490C79"/>
    <w:rsid w:val="00490E26"/>
    <w:rsid w:val="00491044"/>
    <w:rsid w:val="00491537"/>
    <w:rsid w:val="004917E6"/>
    <w:rsid w:val="00491A4E"/>
    <w:rsid w:val="00491C65"/>
    <w:rsid w:val="00491F56"/>
    <w:rsid w:val="00492168"/>
    <w:rsid w:val="0049222A"/>
    <w:rsid w:val="004924C9"/>
    <w:rsid w:val="00492563"/>
    <w:rsid w:val="004925B1"/>
    <w:rsid w:val="0049280F"/>
    <w:rsid w:val="004928A8"/>
    <w:rsid w:val="00492A0F"/>
    <w:rsid w:val="00492D2E"/>
    <w:rsid w:val="00492D4A"/>
    <w:rsid w:val="00492F19"/>
    <w:rsid w:val="00492F22"/>
    <w:rsid w:val="00492F3F"/>
    <w:rsid w:val="0049314B"/>
    <w:rsid w:val="00493767"/>
    <w:rsid w:val="00493774"/>
    <w:rsid w:val="00493D28"/>
    <w:rsid w:val="00493F0D"/>
    <w:rsid w:val="0049418F"/>
    <w:rsid w:val="0049458A"/>
    <w:rsid w:val="004945A4"/>
    <w:rsid w:val="0049465D"/>
    <w:rsid w:val="004946BB"/>
    <w:rsid w:val="00494C17"/>
    <w:rsid w:val="00494CAD"/>
    <w:rsid w:val="00494EC3"/>
    <w:rsid w:val="00494F4A"/>
    <w:rsid w:val="004950C5"/>
    <w:rsid w:val="004951FF"/>
    <w:rsid w:val="004952FD"/>
    <w:rsid w:val="00495312"/>
    <w:rsid w:val="00495448"/>
    <w:rsid w:val="00495629"/>
    <w:rsid w:val="00495670"/>
    <w:rsid w:val="004959FB"/>
    <w:rsid w:val="00495A9F"/>
    <w:rsid w:val="00495D27"/>
    <w:rsid w:val="0049638F"/>
    <w:rsid w:val="00496423"/>
    <w:rsid w:val="00496700"/>
    <w:rsid w:val="004968E3"/>
    <w:rsid w:val="0049694D"/>
    <w:rsid w:val="0049697A"/>
    <w:rsid w:val="00496B3A"/>
    <w:rsid w:val="00496D92"/>
    <w:rsid w:val="00496E7B"/>
    <w:rsid w:val="00496E9A"/>
    <w:rsid w:val="00497152"/>
    <w:rsid w:val="0049715C"/>
    <w:rsid w:val="004977C9"/>
    <w:rsid w:val="004979AD"/>
    <w:rsid w:val="004979C7"/>
    <w:rsid w:val="00497B00"/>
    <w:rsid w:val="00497B5D"/>
    <w:rsid w:val="00497B70"/>
    <w:rsid w:val="00497EBF"/>
    <w:rsid w:val="00497FF0"/>
    <w:rsid w:val="004A0306"/>
    <w:rsid w:val="004A03D1"/>
    <w:rsid w:val="004A04FE"/>
    <w:rsid w:val="004A055F"/>
    <w:rsid w:val="004A080B"/>
    <w:rsid w:val="004A086E"/>
    <w:rsid w:val="004A0A3A"/>
    <w:rsid w:val="004A0F16"/>
    <w:rsid w:val="004A1397"/>
    <w:rsid w:val="004A140D"/>
    <w:rsid w:val="004A1485"/>
    <w:rsid w:val="004A159A"/>
    <w:rsid w:val="004A161B"/>
    <w:rsid w:val="004A165C"/>
    <w:rsid w:val="004A16B1"/>
    <w:rsid w:val="004A198E"/>
    <w:rsid w:val="004A1BE1"/>
    <w:rsid w:val="004A20F1"/>
    <w:rsid w:val="004A2131"/>
    <w:rsid w:val="004A2205"/>
    <w:rsid w:val="004A22AC"/>
    <w:rsid w:val="004A24E6"/>
    <w:rsid w:val="004A264D"/>
    <w:rsid w:val="004A275B"/>
    <w:rsid w:val="004A2CE0"/>
    <w:rsid w:val="004A2D85"/>
    <w:rsid w:val="004A2D9E"/>
    <w:rsid w:val="004A2E52"/>
    <w:rsid w:val="004A2F1A"/>
    <w:rsid w:val="004A2FB8"/>
    <w:rsid w:val="004A3279"/>
    <w:rsid w:val="004A3479"/>
    <w:rsid w:val="004A3548"/>
    <w:rsid w:val="004A3981"/>
    <w:rsid w:val="004A3AE0"/>
    <w:rsid w:val="004A3BAF"/>
    <w:rsid w:val="004A3C49"/>
    <w:rsid w:val="004A3CF7"/>
    <w:rsid w:val="004A3D01"/>
    <w:rsid w:val="004A3E5A"/>
    <w:rsid w:val="004A4194"/>
    <w:rsid w:val="004A41A6"/>
    <w:rsid w:val="004A41E6"/>
    <w:rsid w:val="004A449B"/>
    <w:rsid w:val="004A4610"/>
    <w:rsid w:val="004A4710"/>
    <w:rsid w:val="004A48B7"/>
    <w:rsid w:val="004A497C"/>
    <w:rsid w:val="004A4A14"/>
    <w:rsid w:val="004A4B3A"/>
    <w:rsid w:val="004A4DDA"/>
    <w:rsid w:val="004A4E5F"/>
    <w:rsid w:val="004A50CF"/>
    <w:rsid w:val="004A5326"/>
    <w:rsid w:val="004A54BA"/>
    <w:rsid w:val="004A5586"/>
    <w:rsid w:val="004A5645"/>
    <w:rsid w:val="004A5974"/>
    <w:rsid w:val="004A598E"/>
    <w:rsid w:val="004A5C4C"/>
    <w:rsid w:val="004A5E0B"/>
    <w:rsid w:val="004A62F3"/>
    <w:rsid w:val="004A666D"/>
    <w:rsid w:val="004A66C7"/>
    <w:rsid w:val="004A6777"/>
    <w:rsid w:val="004A67CC"/>
    <w:rsid w:val="004A6806"/>
    <w:rsid w:val="004A6945"/>
    <w:rsid w:val="004A6A21"/>
    <w:rsid w:val="004A6A88"/>
    <w:rsid w:val="004A6B79"/>
    <w:rsid w:val="004A6BBD"/>
    <w:rsid w:val="004A6E56"/>
    <w:rsid w:val="004A6EFC"/>
    <w:rsid w:val="004A6F56"/>
    <w:rsid w:val="004A702A"/>
    <w:rsid w:val="004A706A"/>
    <w:rsid w:val="004A7400"/>
    <w:rsid w:val="004A763C"/>
    <w:rsid w:val="004A7655"/>
    <w:rsid w:val="004A783C"/>
    <w:rsid w:val="004A786D"/>
    <w:rsid w:val="004A7A71"/>
    <w:rsid w:val="004A7BC2"/>
    <w:rsid w:val="004A7D7C"/>
    <w:rsid w:val="004A7DB5"/>
    <w:rsid w:val="004A7F73"/>
    <w:rsid w:val="004A7F79"/>
    <w:rsid w:val="004B0060"/>
    <w:rsid w:val="004B06EE"/>
    <w:rsid w:val="004B076F"/>
    <w:rsid w:val="004B0885"/>
    <w:rsid w:val="004B0B83"/>
    <w:rsid w:val="004B0D1E"/>
    <w:rsid w:val="004B0D95"/>
    <w:rsid w:val="004B125C"/>
    <w:rsid w:val="004B1348"/>
    <w:rsid w:val="004B14B6"/>
    <w:rsid w:val="004B150B"/>
    <w:rsid w:val="004B151C"/>
    <w:rsid w:val="004B1531"/>
    <w:rsid w:val="004B15B9"/>
    <w:rsid w:val="004B1799"/>
    <w:rsid w:val="004B1912"/>
    <w:rsid w:val="004B1D26"/>
    <w:rsid w:val="004B1E83"/>
    <w:rsid w:val="004B21D9"/>
    <w:rsid w:val="004B22D7"/>
    <w:rsid w:val="004B240F"/>
    <w:rsid w:val="004B2543"/>
    <w:rsid w:val="004B2584"/>
    <w:rsid w:val="004B25AB"/>
    <w:rsid w:val="004B2609"/>
    <w:rsid w:val="004B2E2C"/>
    <w:rsid w:val="004B3166"/>
    <w:rsid w:val="004B367D"/>
    <w:rsid w:val="004B3764"/>
    <w:rsid w:val="004B39EE"/>
    <w:rsid w:val="004B3B3A"/>
    <w:rsid w:val="004B3CF7"/>
    <w:rsid w:val="004B4216"/>
    <w:rsid w:val="004B452D"/>
    <w:rsid w:val="004B4621"/>
    <w:rsid w:val="004B472C"/>
    <w:rsid w:val="004B48AF"/>
    <w:rsid w:val="004B4C80"/>
    <w:rsid w:val="004B4D74"/>
    <w:rsid w:val="004B504F"/>
    <w:rsid w:val="004B5059"/>
    <w:rsid w:val="004B51E8"/>
    <w:rsid w:val="004B542F"/>
    <w:rsid w:val="004B5469"/>
    <w:rsid w:val="004B548D"/>
    <w:rsid w:val="004B57DA"/>
    <w:rsid w:val="004B5DAE"/>
    <w:rsid w:val="004B5E27"/>
    <w:rsid w:val="004B5F50"/>
    <w:rsid w:val="004B609E"/>
    <w:rsid w:val="004B61F2"/>
    <w:rsid w:val="004B63B7"/>
    <w:rsid w:val="004B66F3"/>
    <w:rsid w:val="004B6771"/>
    <w:rsid w:val="004B67D3"/>
    <w:rsid w:val="004B67FA"/>
    <w:rsid w:val="004B684A"/>
    <w:rsid w:val="004B6BE8"/>
    <w:rsid w:val="004B6C5F"/>
    <w:rsid w:val="004B6CB7"/>
    <w:rsid w:val="004B6E8D"/>
    <w:rsid w:val="004B71A0"/>
    <w:rsid w:val="004B7B40"/>
    <w:rsid w:val="004C02C1"/>
    <w:rsid w:val="004C0309"/>
    <w:rsid w:val="004C0758"/>
    <w:rsid w:val="004C0800"/>
    <w:rsid w:val="004C08D6"/>
    <w:rsid w:val="004C0AFC"/>
    <w:rsid w:val="004C0F31"/>
    <w:rsid w:val="004C1007"/>
    <w:rsid w:val="004C114F"/>
    <w:rsid w:val="004C143B"/>
    <w:rsid w:val="004C147B"/>
    <w:rsid w:val="004C1558"/>
    <w:rsid w:val="004C1612"/>
    <w:rsid w:val="004C18A9"/>
    <w:rsid w:val="004C18E1"/>
    <w:rsid w:val="004C19F3"/>
    <w:rsid w:val="004C1D69"/>
    <w:rsid w:val="004C1EAE"/>
    <w:rsid w:val="004C1EE0"/>
    <w:rsid w:val="004C25AA"/>
    <w:rsid w:val="004C2633"/>
    <w:rsid w:val="004C2692"/>
    <w:rsid w:val="004C270C"/>
    <w:rsid w:val="004C27D2"/>
    <w:rsid w:val="004C2917"/>
    <w:rsid w:val="004C2931"/>
    <w:rsid w:val="004C2984"/>
    <w:rsid w:val="004C299B"/>
    <w:rsid w:val="004C2AA8"/>
    <w:rsid w:val="004C2CB9"/>
    <w:rsid w:val="004C30B6"/>
    <w:rsid w:val="004C30F9"/>
    <w:rsid w:val="004C319B"/>
    <w:rsid w:val="004C3295"/>
    <w:rsid w:val="004C3329"/>
    <w:rsid w:val="004C3475"/>
    <w:rsid w:val="004C34D2"/>
    <w:rsid w:val="004C3523"/>
    <w:rsid w:val="004C35CC"/>
    <w:rsid w:val="004C36CC"/>
    <w:rsid w:val="004C38B3"/>
    <w:rsid w:val="004C3C63"/>
    <w:rsid w:val="004C4115"/>
    <w:rsid w:val="004C4285"/>
    <w:rsid w:val="004C42ED"/>
    <w:rsid w:val="004C4354"/>
    <w:rsid w:val="004C4496"/>
    <w:rsid w:val="004C4523"/>
    <w:rsid w:val="004C481B"/>
    <w:rsid w:val="004C4823"/>
    <w:rsid w:val="004C498A"/>
    <w:rsid w:val="004C49F0"/>
    <w:rsid w:val="004C4BF6"/>
    <w:rsid w:val="004C4D03"/>
    <w:rsid w:val="004C5550"/>
    <w:rsid w:val="004C5701"/>
    <w:rsid w:val="004C5839"/>
    <w:rsid w:val="004C59A8"/>
    <w:rsid w:val="004C5B8B"/>
    <w:rsid w:val="004C5D30"/>
    <w:rsid w:val="004C5DC5"/>
    <w:rsid w:val="004C5FDC"/>
    <w:rsid w:val="004C6060"/>
    <w:rsid w:val="004C6154"/>
    <w:rsid w:val="004C62B2"/>
    <w:rsid w:val="004C6660"/>
    <w:rsid w:val="004C6A6C"/>
    <w:rsid w:val="004C7012"/>
    <w:rsid w:val="004C7065"/>
    <w:rsid w:val="004C70DC"/>
    <w:rsid w:val="004C7136"/>
    <w:rsid w:val="004C72AC"/>
    <w:rsid w:val="004C730C"/>
    <w:rsid w:val="004C75F3"/>
    <w:rsid w:val="004C767D"/>
    <w:rsid w:val="004C7FF4"/>
    <w:rsid w:val="004D03B6"/>
    <w:rsid w:val="004D03F5"/>
    <w:rsid w:val="004D06AA"/>
    <w:rsid w:val="004D06F3"/>
    <w:rsid w:val="004D0A34"/>
    <w:rsid w:val="004D0A73"/>
    <w:rsid w:val="004D0B83"/>
    <w:rsid w:val="004D0BAF"/>
    <w:rsid w:val="004D0F3A"/>
    <w:rsid w:val="004D1136"/>
    <w:rsid w:val="004D12E4"/>
    <w:rsid w:val="004D1470"/>
    <w:rsid w:val="004D18F0"/>
    <w:rsid w:val="004D1CED"/>
    <w:rsid w:val="004D1E30"/>
    <w:rsid w:val="004D1E76"/>
    <w:rsid w:val="004D1EEB"/>
    <w:rsid w:val="004D1F97"/>
    <w:rsid w:val="004D214A"/>
    <w:rsid w:val="004D2420"/>
    <w:rsid w:val="004D2443"/>
    <w:rsid w:val="004D2452"/>
    <w:rsid w:val="004D270D"/>
    <w:rsid w:val="004D2748"/>
    <w:rsid w:val="004D2949"/>
    <w:rsid w:val="004D2AE2"/>
    <w:rsid w:val="004D2ECA"/>
    <w:rsid w:val="004D318F"/>
    <w:rsid w:val="004D3358"/>
    <w:rsid w:val="004D3371"/>
    <w:rsid w:val="004D343A"/>
    <w:rsid w:val="004D366A"/>
    <w:rsid w:val="004D3A40"/>
    <w:rsid w:val="004D3CA2"/>
    <w:rsid w:val="004D3CF8"/>
    <w:rsid w:val="004D3DD8"/>
    <w:rsid w:val="004D401F"/>
    <w:rsid w:val="004D41C0"/>
    <w:rsid w:val="004D4299"/>
    <w:rsid w:val="004D465C"/>
    <w:rsid w:val="004D46D3"/>
    <w:rsid w:val="004D474A"/>
    <w:rsid w:val="004D4AFF"/>
    <w:rsid w:val="004D4B3F"/>
    <w:rsid w:val="004D5432"/>
    <w:rsid w:val="004D5439"/>
    <w:rsid w:val="004D5492"/>
    <w:rsid w:val="004D550A"/>
    <w:rsid w:val="004D5918"/>
    <w:rsid w:val="004D5951"/>
    <w:rsid w:val="004D59B8"/>
    <w:rsid w:val="004D5B65"/>
    <w:rsid w:val="004D6059"/>
    <w:rsid w:val="004D63C4"/>
    <w:rsid w:val="004D66C7"/>
    <w:rsid w:val="004D6855"/>
    <w:rsid w:val="004D695F"/>
    <w:rsid w:val="004D713D"/>
    <w:rsid w:val="004D72F3"/>
    <w:rsid w:val="004D76F7"/>
    <w:rsid w:val="004D797D"/>
    <w:rsid w:val="004D7A6F"/>
    <w:rsid w:val="004D7B3E"/>
    <w:rsid w:val="004D7D4F"/>
    <w:rsid w:val="004D7D95"/>
    <w:rsid w:val="004D7EA5"/>
    <w:rsid w:val="004E03FA"/>
    <w:rsid w:val="004E05B4"/>
    <w:rsid w:val="004E08A6"/>
    <w:rsid w:val="004E0A95"/>
    <w:rsid w:val="004E0AD8"/>
    <w:rsid w:val="004E0E5D"/>
    <w:rsid w:val="004E0FE6"/>
    <w:rsid w:val="004E101E"/>
    <w:rsid w:val="004E1102"/>
    <w:rsid w:val="004E1233"/>
    <w:rsid w:val="004E1364"/>
    <w:rsid w:val="004E1625"/>
    <w:rsid w:val="004E1A42"/>
    <w:rsid w:val="004E1AAE"/>
    <w:rsid w:val="004E1CF3"/>
    <w:rsid w:val="004E2190"/>
    <w:rsid w:val="004E2333"/>
    <w:rsid w:val="004E23D0"/>
    <w:rsid w:val="004E2453"/>
    <w:rsid w:val="004E2523"/>
    <w:rsid w:val="004E26D7"/>
    <w:rsid w:val="004E2704"/>
    <w:rsid w:val="004E2705"/>
    <w:rsid w:val="004E2757"/>
    <w:rsid w:val="004E28C6"/>
    <w:rsid w:val="004E292C"/>
    <w:rsid w:val="004E2BCE"/>
    <w:rsid w:val="004E2C9D"/>
    <w:rsid w:val="004E2E24"/>
    <w:rsid w:val="004E2EBD"/>
    <w:rsid w:val="004E31BD"/>
    <w:rsid w:val="004E327F"/>
    <w:rsid w:val="004E34B8"/>
    <w:rsid w:val="004E35C7"/>
    <w:rsid w:val="004E388F"/>
    <w:rsid w:val="004E39F5"/>
    <w:rsid w:val="004E3B22"/>
    <w:rsid w:val="004E3C66"/>
    <w:rsid w:val="004E3CBA"/>
    <w:rsid w:val="004E3E81"/>
    <w:rsid w:val="004E3ED7"/>
    <w:rsid w:val="004E4012"/>
    <w:rsid w:val="004E40F0"/>
    <w:rsid w:val="004E416F"/>
    <w:rsid w:val="004E41F6"/>
    <w:rsid w:val="004E42F6"/>
    <w:rsid w:val="004E42FE"/>
    <w:rsid w:val="004E45D8"/>
    <w:rsid w:val="004E4899"/>
    <w:rsid w:val="004E4973"/>
    <w:rsid w:val="004E4AE7"/>
    <w:rsid w:val="004E4F12"/>
    <w:rsid w:val="004E510A"/>
    <w:rsid w:val="004E5212"/>
    <w:rsid w:val="004E52C9"/>
    <w:rsid w:val="004E540F"/>
    <w:rsid w:val="004E5510"/>
    <w:rsid w:val="004E5CC2"/>
    <w:rsid w:val="004E5E4D"/>
    <w:rsid w:val="004E60F9"/>
    <w:rsid w:val="004E6337"/>
    <w:rsid w:val="004E6689"/>
    <w:rsid w:val="004E6D9B"/>
    <w:rsid w:val="004E6DE1"/>
    <w:rsid w:val="004E740C"/>
    <w:rsid w:val="004E750B"/>
    <w:rsid w:val="004E7B67"/>
    <w:rsid w:val="004E7DFA"/>
    <w:rsid w:val="004F0230"/>
    <w:rsid w:val="004F0B6B"/>
    <w:rsid w:val="004F0DE1"/>
    <w:rsid w:val="004F0E63"/>
    <w:rsid w:val="004F0E74"/>
    <w:rsid w:val="004F100E"/>
    <w:rsid w:val="004F1072"/>
    <w:rsid w:val="004F10E0"/>
    <w:rsid w:val="004F11A6"/>
    <w:rsid w:val="004F138F"/>
    <w:rsid w:val="004F151C"/>
    <w:rsid w:val="004F158A"/>
    <w:rsid w:val="004F1FC7"/>
    <w:rsid w:val="004F2588"/>
    <w:rsid w:val="004F2666"/>
    <w:rsid w:val="004F27E0"/>
    <w:rsid w:val="004F2A43"/>
    <w:rsid w:val="004F2D0A"/>
    <w:rsid w:val="004F2E1D"/>
    <w:rsid w:val="004F30A0"/>
    <w:rsid w:val="004F3238"/>
    <w:rsid w:val="004F323E"/>
    <w:rsid w:val="004F3292"/>
    <w:rsid w:val="004F33AF"/>
    <w:rsid w:val="004F3734"/>
    <w:rsid w:val="004F38C5"/>
    <w:rsid w:val="004F3C0F"/>
    <w:rsid w:val="004F4036"/>
    <w:rsid w:val="004F4199"/>
    <w:rsid w:val="004F420A"/>
    <w:rsid w:val="004F420C"/>
    <w:rsid w:val="004F422F"/>
    <w:rsid w:val="004F42B6"/>
    <w:rsid w:val="004F4447"/>
    <w:rsid w:val="004F4625"/>
    <w:rsid w:val="004F4634"/>
    <w:rsid w:val="004F475E"/>
    <w:rsid w:val="004F477D"/>
    <w:rsid w:val="004F47B7"/>
    <w:rsid w:val="004F4836"/>
    <w:rsid w:val="004F4913"/>
    <w:rsid w:val="004F49BC"/>
    <w:rsid w:val="004F4BED"/>
    <w:rsid w:val="004F4C25"/>
    <w:rsid w:val="004F4DD7"/>
    <w:rsid w:val="004F4F38"/>
    <w:rsid w:val="004F5003"/>
    <w:rsid w:val="004F5256"/>
    <w:rsid w:val="004F52BB"/>
    <w:rsid w:val="004F546A"/>
    <w:rsid w:val="004F5710"/>
    <w:rsid w:val="004F5748"/>
    <w:rsid w:val="004F58F3"/>
    <w:rsid w:val="004F5B46"/>
    <w:rsid w:val="004F5C53"/>
    <w:rsid w:val="004F5C70"/>
    <w:rsid w:val="004F5C88"/>
    <w:rsid w:val="004F5E87"/>
    <w:rsid w:val="004F5EC2"/>
    <w:rsid w:val="004F618C"/>
    <w:rsid w:val="004F62D8"/>
    <w:rsid w:val="004F62FA"/>
    <w:rsid w:val="004F63D7"/>
    <w:rsid w:val="004F6707"/>
    <w:rsid w:val="004F69B8"/>
    <w:rsid w:val="004F6A44"/>
    <w:rsid w:val="004F6B3A"/>
    <w:rsid w:val="004F6BA6"/>
    <w:rsid w:val="004F6CA5"/>
    <w:rsid w:val="004F6F66"/>
    <w:rsid w:val="004F7233"/>
    <w:rsid w:val="004F742E"/>
    <w:rsid w:val="004F7C38"/>
    <w:rsid w:val="004F7E74"/>
    <w:rsid w:val="00500123"/>
    <w:rsid w:val="005002A7"/>
    <w:rsid w:val="005002BD"/>
    <w:rsid w:val="00500479"/>
    <w:rsid w:val="005004C6"/>
    <w:rsid w:val="005005DE"/>
    <w:rsid w:val="005007B3"/>
    <w:rsid w:val="00500A6A"/>
    <w:rsid w:val="00500B0B"/>
    <w:rsid w:val="00500C66"/>
    <w:rsid w:val="00500D7C"/>
    <w:rsid w:val="0050100C"/>
    <w:rsid w:val="005015A1"/>
    <w:rsid w:val="00501832"/>
    <w:rsid w:val="005019F4"/>
    <w:rsid w:val="00501DF2"/>
    <w:rsid w:val="00501FA2"/>
    <w:rsid w:val="00502506"/>
    <w:rsid w:val="005025CA"/>
    <w:rsid w:val="00502811"/>
    <w:rsid w:val="005028F5"/>
    <w:rsid w:val="005029F9"/>
    <w:rsid w:val="00502A64"/>
    <w:rsid w:val="00502B07"/>
    <w:rsid w:val="00502B24"/>
    <w:rsid w:val="00502C47"/>
    <w:rsid w:val="00502E67"/>
    <w:rsid w:val="00502F95"/>
    <w:rsid w:val="0050318D"/>
    <w:rsid w:val="005031A5"/>
    <w:rsid w:val="00503292"/>
    <w:rsid w:val="00503494"/>
    <w:rsid w:val="00503498"/>
    <w:rsid w:val="00503691"/>
    <w:rsid w:val="0050370E"/>
    <w:rsid w:val="00503739"/>
    <w:rsid w:val="005039DB"/>
    <w:rsid w:val="00503B34"/>
    <w:rsid w:val="0050400F"/>
    <w:rsid w:val="0050408F"/>
    <w:rsid w:val="0050419A"/>
    <w:rsid w:val="00504360"/>
    <w:rsid w:val="005043F0"/>
    <w:rsid w:val="00504594"/>
    <w:rsid w:val="00504B92"/>
    <w:rsid w:val="00504C56"/>
    <w:rsid w:val="00504C65"/>
    <w:rsid w:val="00504D82"/>
    <w:rsid w:val="00504DBB"/>
    <w:rsid w:val="00504E3F"/>
    <w:rsid w:val="00504E54"/>
    <w:rsid w:val="005051BC"/>
    <w:rsid w:val="0050536B"/>
    <w:rsid w:val="00505435"/>
    <w:rsid w:val="00505441"/>
    <w:rsid w:val="00505529"/>
    <w:rsid w:val="00505548"/>
    <w:rsid w:val="005055B9"/>
    <w:rsid w:val="00505638"/>
    <w:rsid w:val="00505B5D"/>
    <w:rsid w:val="00505B80"/>
    <w:rsid w:val="00505D7B"/>
    <w:rsid w:val="00506137"/>
    <w:rsid w:val="0050659B"/>
    <w:rsid w:val="0050670B"/>
    <w:rsid w:val="00506822"/>
    <w:rsid w:val="0050687D"/>
    <w:rsid w:val="00506AB0"/>
    <w:rsid w:val="00506ED9"/>
    <w:rsid w:val="00507074"/>
    <w:rsid w:val="00507103"/>
    <w:rsid w:val="005075E1"/>
    <w:rsid w:val="005076A7"/>
    <w:rsid w:val="005078EB"/>
    <w:rsid w:val="005079DF"/>
    <w:rsid w:val="00507DFC"/>
    <w:rsid w:val="00507F15"/>
    <w:rsid w:val="00510163"/>
    <w:rsid w:val="005103E5"/>
    <w:rsid w:val="005105B2"/>
    <w:rsid w:val="005108F5"/>
    <w:rsid w:val="00510AA0"/>
    <w:rsid w:val="00510AB9"/>
    <w:rsid w:val="00510E98"/>
    <w:rsid w:val="005111C1"/>
    <w:rsid w:val="00511297"/>
    <w:rsid w:val="00511779"/>
    <w:rsid w:val="00511879"/>
    <w:rsid w:val="00511B29"/>
    <w:rsid w:val="00511BDE"/>
    <w:rsid w:val="00511DC1"/>
    <w:rsid w:val="00511DE0"/>
    <w:rsid w:val="00511F03"/>
    <w:rsid w:val="00512054"/>
    <w:rsid w:val="005120C6"/>
    <w:rsid w:val="0051228A"/>
    <w:rsid w:val="005122D4"/>
    <w:rsid w:val="005122FE"/>
    <w:rsid w:val="005123C4"/>
    <w:rsid w:val="005124ED"/>
    <w:rsid w:val="0051265E"/>
    <w:rsid w:val="00512773"/>
    <w:rsid w:val="0051281B"/>
    <w:rsid w:val="00512A22"/>
    <w:rsid w:val="00512B82"/>
    <w:rsid w:val="00512CE1"/>
    <w:rsid w:val="00512D4E"/>
    <w:rsid w:val="005130BD"/>
    <w:rsid w:val="005131F9"/>
    <w:rsid w:val="00513226"/>
    <w:rsid w:val="00513268"/>
    <w:rsid w:val="00513271"/>
    <w:rsid w:val="0051331D"/>
    <w:rsid w:val="00513BBE"/>
    <w:rsid w:val="00513CC0"/>
    <w:rsid w:val="00513D62"/>
    <w:rsid w:val="005140B6"/>
    <w:rsid w:val="00514157"/>
    <w:rsid w:val="005141E8"/>
    <w:rsid w:val="0051421E"/>
    <w:rsid w:val="0051422F"/>
    <w:rsid w:val="00514286"/>
    <w:rsid w:val="005144C3"/>
    <w:rsid w:val="005147A3"/>
    <w:rsid w:val="00514A58"/>
    <w:rsid w:val="00514C0D"/>
    <w:rsid w:val="00514EB4"/>
    <w:rsid w:val="0051560B"/>
    <w:rsid w:val="00515632"/>
    <w:rsid w:val="005157C8"/>
    <w:rsid w:val="00515AA2"/>
    <w:rsid w:val="00515C42"/>
    <w:rsid w:val="00515D38"/>
    <w:rsid w:val="00515F58"/>
    <w:rsid w:val="00516023"/>
    <w:rsid w:val="005160EB"/>
    <w:rsid w:val="005161B0"/>
    <w:rsid w:val="005163AB"/>
    <w:rsid w:val="0051670D"/>
    <w:rsid w:val="0051676A"/>
    <w:rsid w:val="005169F1"/>
    <w:rsid w:val="00516A6F"/>
    <w:rsid w:val="00516A89"/>
    <w:rsid w:val="00516CDD"/>
    <w:rsid w:val="00516DD8"/>
    <w:rsid w:val="00516FC4"/>
    <w:rsid w:val="00517257"/>
    <w:rsid w:val="00517309"/>
    <w:rsid w:val="0051740E"/>
    <w:rsid w:val="00517599"/>
    <w:rsid w:val="00517D30"/>
    <w:rsid w:val="0052004D"/>
    <w:rsid w:val="005202D0"/>
    <w:rsid w:val="00520302"/>
    <w:rsid w:val="0052034C"/>
    <w:rsid w:val="00520495"/>
    <w:rsid w:val="0052049E"/>
    <w:rsid w:val="005204A6"/>
    <w:rsid w:val="00520565"/>
    <w:rsid w:val="00520A24"/>
    <w:rsid w:val="00520CA5"/>
    <w:rsid w:val="00520CE2"/>
    <w:rsid w:val="00520D19"/>
    <w:rsid w:val="00521151"/>
    <w:rsid w:val="00521247"/>
    <w:rsid w:val="005214AF"/>
    <w:rsid w:val="0052168E"/>
    <w:rsid w:val="005218C5"/>
    <w:rsid w:val="00521A51"/>
    <w:rsid w:val="00521CAB"/>
    <w:rsid w:val="00521EBD"/>
    <w:rsid w:val="00522125"/>
    <w:rsid w:val="005222AB"/>
    <w:rsid w:val="00522446"/>
    <w:rsid w:val="00522531"/>
    <w:rsid w:val="00522595"/>
    <w:rsid w:val="005227D5"/>
    <w:rsid w:val="005229D4"/>
    <w:rsid w:val="00522AF0"/>
    <w:rsid w:val="00522AF4"/>
    <w:rsid w:val="00522B7E"/>
    <w:rsid w:val="00522C58"/>
    <w:rsid w:val="00522DEB"/>
    <w:rsid w:val="00522E72"/>
    <w:rsid w:val="005231F8"/>
    <w:rsid w:val="005232B7"/>
    <w:rsid w:val="00523602"/>
    <w:rsid w:val="00523734"/>
    <w:rsid w:val="00523760"/>
    <w:rsid w:val="0052398F"/>
    <w:rsid w:val="00523A88"/>
    <w:rsid w:val="00523C2D"/>
    <w:rsid w:val="00523CD2"/>
    <w:rsid w:val="00524029"/>
    <w:rsid w:val="00524306"/>
    <w:rsid w:val="0052433A"/>
    <w:rsid w:val="005243F9"/>
    <w:rsid w:val="00524417"/>
    <w:rsid w:val="005245FC"/>
    <w:rsid w:val="00524858"/>
    <w:rsid w:val="005249CC"/>
    <w:rsid w:val="00524D99"/>
    <w:rsid w:val="0052509C"/>
    <w:rsid w:val="005251B1"/>
    <w:rsid w:val="0052568F"/>
    <w:rsid w:val="005256F9"/>
    <w:rsid w:val="00525A8E"/>
    <w:rsid w:val="00525BA7"/>
    <w:rsid w:val="00525E75"/>
    <w:rsid w:val="00525E76"/>
    <w:rsid w:val="00526006"/>
    <w:rsid w:val="005260C2"/>
    <w:rsid w:val="0052641A"/>
    <w:rsid w:val="00526491"/>
    <w:rsid w:val="0052655D"/>
    <w:rsid w:val="00526ABC"/>
    <w:rsid w:val="00526D66"/>
    <w:rsid w:val="00526D67"/>
    <w:rsid w:val="00526F06"/>
    <w:rsid w:val="0052725F"/>
    <w:rsid w:val="005272D0"/>
    <w:rsid w:val="005273B4"/>
    <w:rsid w:val="005273F6"/>
    <w:rsid w:val="00527563"/>
    <w:rsid w:val="00527617"/>
    <w:rsid w:val="00527817"/>
    <w:rsid w:val="00527899"/>
    <w:rsid w:val="005278DC"/>
    <w:rsid w:val="00527A18"/>
    <w:rsid w:val="00527E88"/>
    <w:rsid w:val="00527F5D"/>
    <w:rsid w:val="0053002A"/>
    <w:rsid w:val="005300C7"/>
    <w:rsid w:val="00530130"/>
    <w:rsid w:val="005302DB"/>
    <w:rsid w:val="00530613"/>
    <w:rsid w:val="0053076B"/>
    <w:rsid w:val="00530877"/>
    <w:rsid w:val="00530A57"/>
    <w:rsid w:val="00530B3A"/>
    <w:rsid w:val="00531004"/>
    <w:rsid w:val="005311D0"/>
    <w:rsid w:val="00531256"/>
    <w:rsid w:val="0053153B"/>
    <w:rsid w:val="005317C6"/>
    <w:rsid w:val="00531875"/>
    <w:rsid w:val="005318DE"/>
    <w:rsid w:val="00531982"/>
    <w:rsid w:val="00531A40"/>
    <w:rsid w:val="00531B3A"/>
    <w:rsid w:val="00531C5D"/>
    <w:rsid w:val="00531FDA"/>
    <w:rsid w:val="00532021"/>
    <w:rsid w:val="005321E8"/>
    <w:rsid w:val="005321F3"/>
    <w:rsid w:val="005322FC"/>
    <w:rsid w:val="00532478"/>
    <w:rsid w:val="00532529"/>
    <w:rsid w:val="00532682"/>
    <w:rsid w:val="0053269E"/>
    <w:rsid w:val="005326C8"/>
    <w:rsid w:val="005326E3"/>
    <w:rsid w:val="00532AB3"/>
    <w:rsid w:val="00532B66"/>
    <w:rsid w:val="005332C9"/>
    <w:rsid w:val="005334A1"/>
    <w:rsid w:val="00533982"/>
    <w:rsid w:val="005339FD"/>
    <w:rsid w:val="00533ABD"/>
    <w:rsid w:val="00533B26"/>
    <w:rsid w:val="00533D79"/>
    <w:rsid w:val="00533DD1"/>
    <w:rsid w:val="00534258"/>
    <w:rsid w:val="005343FD"/>
    <w:rsid w:val="00534474"/>
    <w:rsid w:val="005345A7"/>
    <w:rsid w:val="00534705"/>
    <w:rsid w:val="005348A9"/>
    <w:rsid w:val="005348BE"/>
    <w:rsid w:val="00534AE6"/>
    <w:rsid w:val="00534DC3"/>
    <w:rsid w:val="00534E21"/>
    <w:rsid w:val="00534FB1"/>
    <w:rsid w:val="00535179"/>
    <w:rsid w:val="00535229"/>
    <w:rsid w:val="0053549E"/>
    <w:rsid w:val="0053582E"/>
    <w:rsid w:val="005358EA"/>
    <w:rsid w:val="00535949"/>
    <w:rsid w:val="00535DC5"/>
    <w:rsid w:val="00535F1E"/>
    <w:rsid w:val="00535FDB"/>
    <w:rsid w:val="00536035"/>
    <w:rsid w:val="0053672D"/>
    <w:rsid w:val="00536814"/>
    <w:rsid w:val="00536F13"/>
    <w:rsid w:val="00536F8C"/>
    <w:rsid w:val="0053715F"/>
    <w:rsid w:val="005371E5"/>
    <w:rsid w:val="00537286"/>
    <w:rsid w:val="00537470"/>
    <w:rsid w:val="00537500"/>
    <w:rsid w:val="0053766E"/>
    <w:rsid w:val="0053777F"/>
    <w:rsid w:val="00537A60"/>
    <w:rsid w:val="00537AF3"/>
    <w:rsid w:val="00537B90"/>
    <w:rsid w:val="005408AB"/>
    <w:rsid w:val="00540969"/>
    <w:rsid w:val="00540B70"/>
    <w:rsid w:val="00541346"/>
    <w:rsid w:val="005414BF"/>
    <w:rsid w:val="0054150F"/>
    <w:rsid w:val="005415C4"/>
    <w:rsid w:val="00541700"/>
    <w:rsid w:val="005419C4"/>
    <w:rsid w:val="00541AA4"/>
    <w:rsid w:val="00541D89"/>
    <w:rsid w:val="00541E2A"/>
    <w:rsid w:val="00541FE2"/>
    <w:rsid w:val="005420CE"/>
    <w:rsid w:val="005420D9"/>
    <w:rsid w:val="005426C6"/>
    <w:rsid w:val="00542A75"/>
    <w:rsid w:val="00542B7D"/>
    <w:rsid w:val="00542D97"/>
    <w:rsid w:val="00542DF7"/>
    <w:rsid w:val="00542FE6"/>
    <w:rsid w:val="005430CF"/>
    <w:rsid w:val="00543122"/>
    <w:rsid w:val="0054325E"/>
    <w:rsid w:val="005433C1"/>
    <w:rsid w:val="005434C7"/>
    <w:rsid w:val="00543578"/>
    <w:rsid w:val="005435C7"/>
    <w:rsid w:val="00543685"/>
    <w:rsid w:val="0054375D"/>
    <w:rsid w:val="00543A91"/>
    <w:rsid w:val="00543B2B"/>
    <w:rsid w:val="00543F08"/>
    <w:rsid w:val="00543F46"/>
    <w:rsid w:val="0054408A"/>
    <w:rsid w:val="005440B9"/>
    <w:rsid w:val="00544373"/>
    <w:rsid w:val="00544681"/>
    <w:rsid w:val="005446E1"/>
    <w:rsid w:val="00544A50"/>
    <w:rsid w:val="00544A70"/>
    <w:rsid w:val="00544C02"/>
    <w:rsid w:val="00544C26"/>
    <w:rsid w:val="00544C87"/>
    <w:rsid w:val="00544E5B"/>
    <w:rsid w:val="00544F27"/>
    <w:rsid w:val="00544FBF"/>
    <w:rsid w:val="005450C1"/>
    <w:rsid w:val="0054526A"/>
    <w:rsid w:val="0054562B"/>
    <w:rsid w:val="00545821"/>
    <w:rsid w:val="00545889"/>
    <w:rsid w:val="00545900"/>
    <w:rsid w:val="00545A29"/>
    <w:rsid w:val="00545A79"/>
    <w:rsid w:val="00545C92"/>
    <w:rsid w:val="00545EA2"/>
    <w:rsid w:val="00546012"/>
    <w:rsid w:val="00546494"/>
    <w:rsid w:val="005467CE"/>
    <w:rsid w:val="00546826"/>
    <w:rsid w:val="00546A70"/>
    <w:rsid w:val="00546B56"/>
    <w:rsid w:val="00546CB3"/>
    <w:rsid w:val="00546DFC"/>
    <w:rsid w:val="00546E3C"/>
    <w:rsid w:val="00546FBC"/>
    <w:rsid w:val="00547032"/>
    <w:rsid w:val="0054715C"/>
    <w:rsid w:val="00547715"/>
    <w:rsid w:val="00547CC4"/>
    <w:rsid w:val="00547E33"/>
    <w:rsid w:val="00547E75"/>
    <w:rsid w:val="00550283"/>
    <w:rsid w:val="0055039A"/>
    <w:rsid w:val="0055065D"/>
    <w:rsid w:val="005507AF"/>
    <w:rsid w:val="0055099F"/>
    <w:rsid w:val="00550C99"/>
    <w:rsid w:val="00550DCC"/>
    <w:rsid w:val="00551072"/>
    <w:rsid w:val="0055108B"/>
    <w:rsid w:val="00551288"/>
    <w:rsid w:val="0055194D"/>
    <w:rsid w:val="005519BD"/>
    <w:rsid w:val="005519EB"/>
    <w:rsid w:val="00551C28"/>
    <w:rsid w:val="00551E68"/>
    <w:rsid w:val="00552056"/>
    <w:rsid w:val="00552142"/>
    <w:rsid w:val="005521E7"/>
    <w:rsid w:val="00552329"/>
    <w:rsid w:val="005524A9"/>
    <w:rsid w:val="005526A4"/>
    <w:rsid w:val="00552B40"/>
    <w:rsid w:val="00552C24"/>
    <w:rsid w:val="00552C8A"/>
    <w:rsid w:val="00552CBB"/>
    <w:rsid w:val="00552F71"/>
    <w:rsid w:val="00553129"/>
    <w:rsid w:val="005532BA"/>
    <w:rsid w:val="00553413"/>
    <w:rsid w:val="00553683"/>
    <w:rsid w:val="00553992"/>
    <w:rsid w:val="00553A37"/>
    <w:rsid w:val="00553B09"/>
    <w:rsid w:val="00553D0E"/>
    <w:rsid w:val="00553D99"/>
    <w:rsid w:val="0055427A"/>
    <w:rsid w:val="005542D0"/>
    <w:rsid w:val="00554331"/>
    <w:rsid w:val="00554342"/>
    <w:rsid w:val="00554582"/>
    <w:rsid w:val="00554A00"/>
    <w:rsid w:val="00554A19"/>
    <w:rsid w:val="00554C7C"/>
    <w:rsid w:val="00554CC3"/>
    <w:rsid w:val="00554E3C"/>
    <w:rsid w:val="0055506D"/>
    <w:rsid w:val="005550F3"/>
    <w:rsid w:val="0055513F"/>
    <w:rsid w:val="0055544D"/>
    <w:rsid w:val="0055558C"/>
    <w:rsid w:val="00555595"/>
    <w:rsid w:val="005555C6"/>
    <w:rsid w:val="005557D6"/>
    <w:rsid w:val="00555805"/>
    <w:rsid w:val="00555AB2"/>
    <w:rsid w:val="00555CF5"/>
    <w:rsid w:val="00555D0C"/>
    <w:rsid w:val="00555DA6"/>
    <w:rsid w:val="00555E69"/>
    <w:rsid w:val="00555F8E"/>
    <w:rsid w:val="00556019"/>
    <w:rsid w:val="00556370"/>
    <w:rsid w:val="0055650E"/>
    <w:rsid w:val="00556739"/>
    <w:rsid w:val="00556773"/>
    <w:rsid w:val="00556BEF"/>
    <w:rsid w:val="00556F26"/>
    <w:rsid w:val="0055701F"/>
    <w:rsid w:val="005571AA"/>
    <w:rsid w:val="005571E0"/>
    <w:rsid w:val="00557216"/>
    <w:rsid w:val="0055722D"/>
    <w:rsid w:val="00557256"/>
    <w:rsid w:val="0055744B"/>
    <w:rsid w:val="00557470"/>
    <w:rsid w:val="0055765B"/>
    <w:rsid w:val="005577CB"/>
    <w:rsid w:val="00557984"/>
    <w:rsid w:val="00557A33"/>
    <w:rsid w:val="00557A4A"/>
    <w:rsid w:val="00557A95"/>
    <w:rsid w:val="00557AD9"/>
    <w:rsid w:val="00557B09"/>
    <w:rsid w:val="00557B4B"/>
    <w:rsid w:val="00557E8D"/>
    <w:rsid w:val="00557EE9"/>
    <w:rsid w:val="00557F57"/>
    <w:rsid w:val="00557F7C"/>
    <w:rsid w:val="00560308"/>
    <w:rsid w:val="00560415"/>
    <w:rsid w:val="0056045C"/>
    <w:rsid w:val="0056046D"/>
    <w:rsid w:val="00560514"/>
    <w:rsid w:val="00560BF1"/>
    <w:rsid w:val="00560CB6"/>
    <w:rsid w:val="00560DC9"/>
    <w:rsid w:val="00560E11"/>
    <w:rsid w:val="00560F48"/>
    <w:rsid w:val="005610A9"/>
    <w:rsid w:val="005610FE"/>
    <w:rsid w:val="00561129"/>
    <w:rsid w:val="00561296"/>
    <w:rsid w:val="00561500"/>
    <w:rsid w:val="00561569"/>
    <w:rsid w:val="005617EA"/>
    <w:rsid w:val="005618F3"/>
    <w:rsid w:val="00561982"/>
    <w:rsid w:val="005619A6"/>
    <w:rsid w:val="00561ACA"/>
    <w:rsid w:val="00561B59"/>
    <w:rsid w:val="00561C6B"/>
    <w:rsid w:val="00562165"/>
    <w:rsid w:val="0056226F"/>
    <w:rsid w:val="00562310"/>
    <w:rsid w:val="00562410"/>
    <w:rsid w:val="00562843"/>
    <w:rsid w:val="00562CA7"/>
    <w:rsid w:val="00562DAC"/>
    <w:rsid w:val="00562FC9"/>
    <w:rsid w:val="005631DB"/>
    <w:rsid w:val="0056321F"/>
    <w:rsid w:val="0056331C"/>
    <w:rsid w:val="005634B9"/>
    <w:rsid w:val="00563586"/>
    <w:rsid w:val="005636BA"/>
    <w:rsid w:val="005638CD"/>
    <w:rsid w:val="00563AF5"/>
    <w:rsid w:val="00563B0C"/>
    <w:rsid w:val="00563C0B"/>
    <w:rsid w:val="00564043"/>
    <w:rsid w:val="0056421F"/>
    <w:rsid w:val="005642CB"/>
    <w:rsid w:val="005646DA"/>
    <w:rsid w:val="00564767"/>
    <w:rsid w:val="005649B3"/>
    <w:rsid w:val="00564C53"/>
    <w:rsid w:val="00564C86"/>
    <w:rsid w:val="0056504F"/>
    <w:rsid w:val="00565384"/>
    <w:rsid w:val="00565445"/>
    <w:rsid w:val="00565521"/>
    <w:rsid w:val="0056558F"/>
    <w:rsid w:val="0056560C"/>
    <w:rsid w:val="00565681"/>
    <w:rsid w:val="00565890"/>
    <w:rsid w:val="005659D2"/>
    <w:rsid w:val="00565D8A"/>
    <w:rsid w:val="00566352"/>
    <w:rsid w:val="005664D7"/>
    <w:rsid w:val="005669BE"/>
    <w:rsid w:val="005669FC"/>
    <w:rsid w:val="00566C53"/>
    <w:rsid w:val="00566F17"/>
    <w:rsid w:val="00566FCB"/>
    <w:rsid w:val="00567061"/>
    <w:rsid w:val="005672A9"/>
    <w:rsid w:val="00567387"/>
    <w:rsid w:val="005673AE"/>
    <w:rsid w:val="0056752A"/>
    <w:rsid w:val="0056764E"/>
    <w:rsid w:val="00567B56"/>
    <w:rsid w:val="00567CB0"/>
    <w:rsid w:val="00567DED"/>
    <w:rsid w:val="00567ED5"/>
    <w:rsid w:val="00570437"/>
    <w:rsid w:val="005704FA"/>
    <w:rsid w:val="0057059C"/>
    <w:rsid w:val="00570A5D"/>
    <w:rsid w:val="00570E22"/>
    <w:rsid w:val="00570EFF"/>
    <w:rsid w:val="00571092"/>
    <w:rsid w:val="00571371"/>
    <w:rsid w:val="0057178D"/>
    <w:rsid w:val="005718CD"/>
    <w:rsid w:val="00571A00"/>
    <w:rsid w:val="00571A17"/>
    <w:rsid w:val="00571C54"/>
    <w:rsid w:val="005721DB"/>
    <w:rsid w:val="005722DE"/>
    <w:rsid w:val="00572513"/>
    <w:rsid w:val="00572599"/>
    <w:rsid w:val="00572657"/>
    <w:rsid w:val="00572853"/>
    <w:rsid w:val="00572A64"/>
    <w:rsid w:val="00572AF6"/>
    <w:rsid w:val="00572B6D"/>
    <w:rsid w:val="00572D4E"/>
    <w:rsid w:val="0057306F"/>
    <w:rsid w:val="005734EF"/>
    <w:rsid w:val="005734FE"/>
    <w:rsid w:val="005736D3"/>
    <w:rsid w:val="005738A6"/>
    <w:rsid w:val="00573B30"/>
    <w:rsid w:val="00573B99"/>
    <w:rsid w:val="00573CB2"/>
    <w:rsid w:val="00573F88"/>
    <w:rsid w:val="00573FF4"/>
    <w:rsid w:val="00574257"/>
    <w:rsid w:val="0057428A"/>
    <w:rsid w:val="005743FA"/>
    <w:rsid w:val="005745D8"/>
    <w:rsid w:val="00574771"/>
    <w:rsid w:val="005747BC"/>
    <w:rsid w:val="00574985"/>
    <w:rsid w:val="00574CE7"/>
    <w:rsid w:val="0057500C"/>
    <w:rsid w:val="0057539E"/>
    <w:rsid w:val="005754AB"/>
    <w:rsid w:val="005758CE"/>
    <w:rsid w:val="00575AE0"/>
    <w:rsid w:val="00575D0C"/>
    <w:rsid w:val="0057601E"/>
    <w:rsid w:val="00576163"/>
    <w:rsid w:val="005761A1"/>
    <w:rsid w:val="005761B2"/>
    <w:rsid w:val="00576200"/>
    <w:rsid w:val="00576422"/>
    <w:rsid w:val="005764B5"/>
    <w:rsid w:val="0057683F"/>
    <w:rsid w:val="00576879"/>
    <w:rsid w:val="00576A67"/>
    <w:rsid w:val="00576A96"/>
    <w:rsid w:val="00576FC4"/>
    <w:rsid w:val="005771A9"/>
    <w:rsid w:val="00577608"/>
    <w:rsid w:val="0057780F"/>
    <w:rsid w:val="005779BA"/>
    <w:rsid w:val="00577A99"/>
    <w:rsid w:val="00577C16"/>
    <w:rsid w:val="00577EBB"/>
    <w:rsid w:val="00577F35"/>
    <w:rsid w:val="00577FB6"/>
    <w:rsid w:val="005800D9"/>
    <w:rsid w:val="0058017B"/>
    <w:rsid w:val="005803CA"/>
    <w:rsid w:val="005805FF"/>
    <w:rsid w:val="005806DF"/>
    <w:rsid w:val="00580F37"/>
    <w:rsid w:val="005810C7"/>
    <w:rsid w:val="0058172A"/>
    <w:rsid w:val="00581789"/>
    <w:rsid w:val="0058198F"/>
    <w:rsid w:val="00581C3E"/>
    <w:rsid w:val="00581E3C"/>
    <w:rsid w:val="00581ED3"/>
    <w:rsid w:val="005821B6"/>
    <w:rsid w:val="005823CC"/>
    <w:rsid w:val="005823EB"/>
    <w:rsid w:val="00582642"/>
    <w:rsid w:val="005826F4"/>
    <w:rsid w:val="0058294C"/>
    <w:rsid w:val="00582A3F"/>
    <w:rsid w:val="00582AEF"/>
    <w:rsid w:val="00582CCB"/>
    <w:rsid w:val="00582CD9"/>
    <w:rsid w:val="005832FD"/>
    <w:rsid w:val="00583396"/>
    <w:rsid w:val="0058345A"/>
    <w:rsid w:val="0058369E"/>
    <w:rsid w:val="00583744"/>
    <w:rsid w:val="0058385C"/>
    <w:rsid w:val="005838A2"/>
    <w:rsid w:val="00583904"/>
    <w:rsid w:val="00583C1D"/>
    <w:rsid w:val="00583C69"/>
    <w:rsid w:val="00583D7F"/>
    <w:rsid w:val="00584092"/>
    <w:rsid w:val="005840FF"/>
    <w:rsid w:val="00584231"/>
    <w:rsid w:val="0058425E"/>
    <w:rsid w:val="00584283"/>
    <w:rsid w:val="005843EF"/>
    <w:rsid w:val="0058442D"/>
    <w:rsid w:val="00584605"/>
    <w:rsid w:val="005848B3"/>
    <w:rsid w:val="00584DD7"/>
    <w:rsid w:val="00584E8A"/>
    <w:rsid w:val="00585026"/>
    <w:rsid w:val="0058502C"/>
    <w:rsid w:val="005850A4"/>
    <w:rsid w:val="00585143"/>
    <w:rsid w:val="005852A6"/>
    <w:rsid w:val="00585395"/>
    <w:rsid w:val="005854AC"/>
    <w:rsid w:val="00585604"/>
    <w:rsid w:val="00585643"/>
    <w:rsid w:val="0058568D"/>
    <w:rsid w:val="005857E4"/>
    <w:rsid w:val="00585EDC"/>
    <w:rsid w:val="00586028"/>
    <w:rsid w:val="00586199"/>
    <w:rsid w:val="005865A9"/>
    <w:rsid w:val="0058665C"/>
    <w:rsid w:val="00586897"/>
    <w:rsid w:val="005868C4"/>
    <w:rsid w:val="005868D5"/>
    <w:rsid w:val="00586B96"/>
    <w:rsid w:val="00586EB0"/>
    <w:rsid w:val="00586F11"/>
    <w:rsid w:val="00586F16"/>
    <w:rsid w:val="00586F4E"/>
    <w:rsid w:val="00587022"/>
    <w:rsid w:val="005870F0"/>
    <w:rsid w:val="00587407"/>
    <w:rsid w:val="00587935"/>
    <w:rsid w:val="005879CA"/>
    <w:rsid w:val="00587C5A"/>
    <w:rsid w:val="00587DE5"/>
    <w:rsid w:val="00587E07"/>
    <w:rsid w:val="00587E47"/>
    <w:rsid w:val="00587FD9"/>
    <w:rsid w:val="00590274"/>
    <w:rsid w:val="005902D0"/>
    <w:rsid w:val="00590381"/>
    <w:rsid w:val="005909BE"/>
    <w:rsid w:val="00590A1A"/>
    <w:rsid w:val="00590A5E"/>
    <w:rsid w:val="00590CC2"/>
    <w:rsid w:val="00590D09"/>
    <w:rsid w:val="00590E96"/>
    <w:rsid w:val="00590ED5"/>
    <w:rsid w:val="005912E4"/>
    <w:rsid w:val="0059134B"/>
    <w:rsid w:val="0059156A"/>
    <w:rsid w:val="0059164F"/>
    <w:rsid w:val="00591772"/>
    <w:rsid w:val="0059181E"/>
    <w:rsid w:val="00591842"/>
    <w:rsid w:val="00591ABD"/>
    <w:rsid w:val="00591BEA"/>
    <w:rsid w:val="00591D8E"/>
    <w:rsid w:val="00591E6A"/>
    <w:rsid w:val="00591EC2"/>
    <w:rsid w:val="00591FD2"/>
    <w:rsid w:val="0059260B"/>
    <w:rsid w:val="005926D0"/>
    <w:rsid w:val="0059274C"/>
    <w:rsid w:val="005928C0"/>
    <w:rsid w:val="00592900"/>
    <w:rsid w:val="005929FD"/>
    <w:rsid w:val="00592EF2"/>
    <w:rsid w:val="005930EA"/>
    <w:rsid w:val="00593314"/>
    <w:rsid w:val="005934D4"/>
    <w:rsid w:val="0059368E"/>
    <w:rsid w:val="005936B6"/>
    <w:rsid w:val="005936FC"/>
    <w:rsid w:val="00593BF5"/>
    <w:rsid w:val="00593DE2"/>
    <w:rsid w:val="00593EB3"/>
    <w:rsid w:val="00594127"/>
    <w:rsid w:val="0059417C"/>
    <w:rsid w:val="00594496"/>
    <w:rsid w:val="00594578"/>
    <w:rsid w:val="00594592"/>
    <w:rsid w:val="005945BE"/>
    <w:rsid w:val="00594728"/>
    <w:rsid w:val="00594943"/>
    <w:rsid w:val="00594D57"/>
    <w:rsid w:val="00594DCB"/>
    <w:rsid w:val="0059535D"/>
    <w:rsid w:val="005956D3"/>
    <w:rsid w:val="005957C1"/>
    <w:rsid w:val="005958AC"/>
    <w:rsid w:val="00595A3A"/>
    <w:rsid w:val="00595B7D"/>
    <w:rsid w:val="00596318"/>
    <w:rsid w:val="00596365"/>
    <w:rsid w:val="00596473"/>
    <w:rsid w:val="00596482"/>
    <w:rsid w:val="005965BC"/>
    <w:rsid w:val="00596E51"/>
    <w:rsid w:val="00596FDB"/>
    <w:rsid w:val="00597001"/>
    <w:rsid w:val="00597402"/>
    <w:rsid w:val="0059751E"/>
    <w:rsid w:val="00597612"/>
    <w:rsid w:val="00597718"/>
    <w:rsid w:val="00597A42"/>
    <w:rsid w:val="00597BAC"/>
    <w:rsid w:val="00597FAE"/>
    <w:rsid w:val="005A012B"/>
    <w:rsid w:val="005A02E5"/>
    <w:rsid w:val="005A03B8"/>
    <w:rsid w:val="005A064C"/>
    <w:rsid w:val="005A06F5"/>
    <w:rsid w:val="005A08C7"/>
    <w:rsid w:val="005A09CF"/>
    <w:rsid w:val="005A0C96"/>
    <w:rsid w:val="005A0E99"/>
    <w:rsid w:val="005A1076"/>
    <w:rsid w:val="005A113F"/>
    <w:rsid w:val="005A12DE"/>
    <w:rsid w:val="005A1333"/>
    <w:rsid w:val="005A13EA"/>
    <w:rsid w:val="005A1424"/>
    <w:rsid w:val="005A143E"/>
    <w:rsid w:val="005A16EF"/>
    <w:rsid w:val="005A1805"/>
    <w:rsid w:val="005A1C38"/>
    <w:rsid w:val="005A1DA3"/>
    <w:rsid w:val="005A211F"/>
    <w:rsid w:val="005A2322"/>
    <w:rsid w:val="005A232F"/>
    <w:rsid w:val="005A241A"/>
    <w:rsid w:val="005A2502"/>
    <w:rsid w:val="005A255F"/>
    <w:rsid w:val="005A25C0"/>
    <w:rsid w:val="005A2657"/>
    <w:rsid w:val="005A2AB9"/>
    <w:rsid w:val="005A2AF0"/>
    <w:rsid w:val="005A2C29"/>
    <w:rsid w:val="005A2C5A"/>
    <w:rsid w:val="005A2DB5"/>
    <w:rsid w:val="005A2E3D"/>
    <w:rsid w:val="005A2ECF"/>
    <w:rsid w:val="005A2EF0"/>
    <w:rsid w:val="005A2F0C"/>
    <w:rsid w:val="005A3227"/>
    <w:rsid w:val="005A35F6"/>
    <w:rsid w:val="005A3869"/>
    <w:rsid w:val="005A4172"/>
    <w:rsid w:val="005A4605"/>
    <w:rsid w:val="005A4661"/>
    <w:rsid w:val="005A474D"/>
    <w:rsid w:val="005A47CF"/>
    <w:rsid w:val="005A48AC"/>
    <w:rsid w:val="005A4A1A"/>
    <w:rsid w:val="005A4AB9"/>
    <w:rsid w:val="005A4FE6"/>
    <w:rsid w:val="005A540A"/>
    <w:rsid w:val="005A5422"/>
    <w:rsid w:val="005A585C"/>
    <w:rsid w:val="005A5886"/>
    <w:rsid w:val="005A5887"/>
    <w:rsid w:val="005A5893"/>
    <w:rsid w:val="005A58DE"/>
    <w:rsid w:val="005A5AFB"/>
    <w:rsid w:val="005A5EA0"/>
    <w:rsid w:val="005A613B"/>
    <w:rsid w:val="005A66E7"/>
    <w:rsid w:val="005A687A"/>
    <w:rsid w:val="005A6AF7"/>
    <w:rsid w:val="005A6B12"/>
    <w:rsid w:val="005A6ED5"/>
    <w:rsid w:val="005A6F75"/>
    <w:rsid w:val="005A7711"/>
    <w:rsid w:val="005A7844"/>
    <w:rsid w:val="005A7938"/>
    <w:rsid w:val="005A7B63"/>
    <w:rsid w:val="005A7C4B"/>
    <w:rsid w:val="005A7D13"/>
    <w:rsid w:val="005A7E78"/>
    <w:rsid w:val="005B03CB"/>
    <w:rsid w:val="005B03ED"/>
    <w:rsid w:val="005B0579"/>
    <w:rsid w:val="005B0722"/>
    <w:rsid w:val="005B085D"/>
    <w:rsid w:val="005B08A6"/>
    <w:rsid w:val="005B0A29"/>
    <w:rsid w:val="005B0B8B"/>
    <w:rsid w:val="005B0CFA"/>
    <w:rsid w:val="005B0E26"/>
    <w:rsid w:val="005B0E72"/>
    <w:rsid w:val="005B0EFE"/>
    <w:rsid w:val="005B0F17"/>
    <w:rsid w:val="005B1009"/>
    <w:rsid w:val="005B109E"/>
    <w:rsid w:val="005B10AB"/>
    <w:rsid w:val="005B1366"/>
    <w:rsid w:val="005B1703"/>
    <w:rsid w:val="005B1776"/>
    <w:rsid w:val="005B17D5"/>
    <w:rsid w:val="005B1960"/>
    <w:rsid w:val="005B1BA3"/>
    <w:rsid w:val="005B1D64"/>
    <w:rsid w:val="005B2577"/>
    <w:rsid w:val="005B290B"/>
    <w:rsid w:val="005B2AF7"/>
    <w:rsid w:val="005B2B75"/>
    <w:rsid w:val="005B2D04"/>
    <w:rsid w:val="005B2FDB"/>
    <w:rsid w:val="005B3297"/>
    <w:rsid w:val="005B32FB"/>
    <w:rsid w:val="005B33BB"/>
    <w:rsid w:val="005B355C"/>
    <w:rsid w:val="005B35B6"/>
    <w:rsid w:val="005B38E0"/>
    <w:rsid w:val="005B39E5"/>
    <w:rsid w:val="005B3AA8"/>
    <w:rsid w:val="005B3AD9"/>
    <w:rsid w:val="005B3E3A"/>
    <w:rsid w:val="005B4097"/>
    <w:rsid w:val="005B4108"/>
    <w:rsid w:val="005B41F0"/>
    <w:rsid w:val="005B4280"/>
    <w:rsid w:val="005B4B7F"/>
    <w:rsid w:val="005B4C02"/>
    <w:rsid w:val="005B4D65"/>
    <w:rsid w:val="005B4D70"/>
    <w:rsid w:val="005B4DD9"/>
    <w:rsid w:val="005B4E99"/>
    <w:rsid w:val="005B4F7B"/>
    <w:rsid w:val="005B50F5"/>
    <w:rsid w:val="005B512B"/>
    <w:rsid w:val="005B576C"/>
    <w:rsid w:val="005B5CC0"/>
    <w:rsid w:val="005B5E50"/>
    <w:rsid w:val="005B5EB8"/>
    <w:rsid w:val="005B66F0"/>
    <w:rsid w:val="005B6715"/>
    <w:rsid w:val="005B6821"/>
    <w:rsid w:val="005B6894"/>
    <w:rsid w:val="005B6B76"/>
    <w:rsid w:val="005B6C94"/>
    <w:rsid w:val="005B6D7C"/>
    <w:rsid w:val="005B6E3A"/>
    <w:rsid w:val="005B7157"/>
    <w:rsid w:val="005B72F2"/>
    <w:rsid w:val="005B769B"/>
    <w:rsid w:val="005B7B60"/>
    <w:rsid w:val="005B7BF6"/>
    <w:rsid w:val="005B7C0E"/>
    <w:rsid w:val="005B7D7C"/>
    <w:rsid w:val="005B7DC4"/>
    <w:rsid w:val="005B7FE4"/>
    <w:rsid w:val="005C009D"/>
    <w:rsid w:val="005C0255"/>
    <w:rsid w:val="005C025B"/>
    <w:rsid w:val="005C0347"/>
    <w:rsid w:val="005C05E0"/>
    <w:rsid w:val="005C066E"/>
    <w:rsid w:val="005C08D7"/>
    <w:rsid w:val="005C09AC"/>
    <w:rsid w:val="005C09DB"/>
    <w:rsid w:val="005C09E5"/>
    <w:rsid w:val="005C0A8C"/>
    <w:rsid w:val="005C0FC4"/>
    <w:rsid w:val="005C0FE8"/>
    <w:rsid w:val="005C1057"/>
    <w:rsid w:val="005C125B"/>
    <w:rsid w:val="005C1415"/>
    <w:rsid w:val="005C14FD"/>
    <w:rsid w:val="005C1511"/>
    <w:rsid w:val="005C165C"/>
    <w:rsid w:val="005C1757"/>
    <w:rsid w:val="005C1884"/>
    <w:rsid w:val="005C18BD"/>
    <w:rsid w:val="005C19D8"/>
    <w:rsid w:val="005C1B2C"/>
    <w:rsid w:val="005C1D70"/>
    <w:rsid w:val="005C1DAA"/>
    <w:rsid w:val="005C1DE8"/>
    <w:rsid w:val="005C1E4C"/>
    <w:rsid w:val="005C2448"/>
    <w:rsid w:val="005C2481"/>
    <w:rsid w:val="005C27CC"/>
    <w:rsid w:val="005C28D8"/>
    <w:rsid w:val="005C2979"/>
    <w:rsid w:val="005C2987"/>
    <w:rsid w:val="005C2DB9"/>
    <w:rsid w:val="005C2E51"/>
    <w:rsid w:val="005C2E67"/>
    <w:rsid w:val="005C2F2E"/>
    <w:rsid w:val="005C2F54"/>
    <w:rsid w:val="005C314A"/>
    <w:rsid w:val="005C3150"/>
    <w:rsid w:val="005C31D0"/>
    <w:rsid w:val="005C3350"/>
    <w:rsid w:val="005C33F0"/>
    <w:rsid w:val="005C3493"/>
    <w:rsid w:val="005C36C9"/>
    <w:rsid w:val="005C374C"/>
    <w:rsid w:val="005C37E0"/>
    <w:rsid w:val="005C38F1"/>
    <w:rsid w:val="005C3A3C"/>
    <w:rsid w:val="005C3A66"/>
    <w:rsid w:val="005C3A67"/>
    <w:rsid w:val="005C3B15"/>
    <w:rsid w:val="005C3C6C"/>
    <w:rsid w:val="005C3F28"/>
    <w:rsid w:val="005C40F7"/>
    <w:rsid w:val="005C42D0"/>
    <w:rsid w:val="005C436A"/>
    <w:rsid w:val="005C44FD"/>
    <w:rsid w:val="005C472A"/>
    <w:rsid w:val="005C47C1"/>
    <w:rsid w:val="005C4878"/>
    <w:rsid w:val="005C4939"/>
    <w:rsid w:val="005C494C"/>
    <w:rsid w:val="005C49D8"/>
    <w:rsid w:val="005C4A1C"/>
    <w:rsid w:val="005C4BC5"/>
    <w:rsid w:val="005C5045"/>
    <w:rsid w:val="005C5096"/>
    <w:rsid w:val="005C50D4"/>
    <w:rsid w:val="005C5141"/>
    <w:rsid w:val="005C5207"/>
    <w:rsid w:val="005C52F3"/>
    <w:rsid w:val="005C54B9"/>
    <w:rsid w:val="005C568E"/>
    <w:rsid w:val="005C5866"/>
    <w:rsid w:val="005C5950"/>
    <w:rsid w:val="005C5A1C"/>
    <w:rsid w:val="005C5C24"/>
    <w:rsid w:val="005C5D03"/>
    <w:rsid w:val="005C5DFA"/>
    <w:rsid w:val="005C617F"/>
    <w:rsid w:val="005C62E1"/>
    <w:rsid w:val="005C6428"/>
    <w:rsid w:val="005C64C3"/>
    <w:rsid w:val="005C6618"/>
    <w:rsid w:val="005C6685"/>
    <w:rsid w:val="005C6A8D"/>
    <w:rsid w:val="005C6AD8"/>
    <w:rsid w:val="005C6ADD"/>
    <w:rsid w:val="005C6C6B"/>
    <w:rsid w:val="005C6E6B"/>
    <w:rsid w:val="005C70D8"/>
    <w:rsid w:val="005C743A"/>
    <w:rsid w:val="005C7740"/>
    <w:rsid w:val="005C777B"/>
    <w:rsid w:val="005C7874"/>
    <w:rsid w:val="005C7A04"/>
    <w:rsid w:val="005C7AE4"/>
    <w:rsid w:val="005C7F05"/>
    <w:rsid w:val="005D0189"/>
    <w:rsid w:val="005D0588"/>
    <w:rsid w:val="005D0759"/>
    <w:rsid w:val="005D0A66"/>
    <w:rsid w:val="005D0BBC"/>
    <w:rsid w:val="005D0C1D"/>
    <w:rsid w:val="005D0FAB"/>
    <w:rsid w:val="005D103A"/>
    <w:rsid w:val="005D1385"/>
    <w:rsid w:val="005D1493"/>
    <w:rsid w:val="005D14A9"/>
    <w:rsid w:val="005D14F2"/>
    <w:rsid w:val="005D166B"/>
    <w:rsid w:val="005D1888"/>
    <w:rsid w:val="005D18FE"/>
    <w:rsid w:val="005D1B43"/>
    <w:rsid w:val="005D205B"/>
    <w:rsid w:val="005D239A"/>
    <w:rsid w:val="005D244E"/>
    <w:rsid w:val="005D2859"/>
    <w:rsid w:val="005D2A9E"/>
    <w:rsid w:val="005D2D3D"/>
    <w:rsid w:val="005D2FCA"/>
    <w:rsid w:val="005D3004"/>
    <w:rsid w:val="005D3120"/>
    <w:rsid w:val="005D354A"/>
    <w:rsid w:val="005D40E2"/>
    <w:rsid w:val="005D411D"/>
    <w:rsid w:val="005D4311"/>
    <w:rsid w:val="005D46CF"/>
    <w:rsid w:val="005D483C"/>
    <w:rsid w:val="005D4898"/>
    <w:rsid w:val="005D4BED"/>
    <w:rsid w:val="005D4EF8"/>
    <w:rsid w:val="005D52F3"/>
    <w:rsid w:val="005D573D"/>
    <w:rsid w:val="005D58FC"/>
    <w:rsid w:val="005D5B08"/>
    <w:rsid w:val="005D63B3"/>
    <w:rsid w:val="005D6557"/>
    <w:rsid w:val="005D691A"/>
    <w:rsid w:val="005D6A3F"/>
    <w:rsid w:val="005D6ACD"/>
    <w:rsid w:val="005D6BCC"/>
    <w:rsid w:val="005D6C10"/>
    <w:rsid w:val="005D70F3"/>
    <w:rsid w:val="005D7EC7"/>
    <w:rsid w:val="005D7F08"/>
    <w:rsid w:val="005E0550"/>
    <w:rsid w:val="005E06BB"/>
    <w:rsid w:val="005E0874"/>
    <w:rsid w:val="005E08A3"/>
    <w:rsid w:val="005E0AF0"/>
    <w:rsid w:val="005E0BDE"/>
    <w:rsid w:val="005E10B2"/>
    <w:rsid w:val="005E11D9"/>
    <w:rsid w:val="005E125E"/>
    <w:rsid w:val="005E1343"/>
    <w:rsid w:val="005E1491"/>
    <w:rsid w:val="005E158E"/>
    <w:rsid w:val="005E1631"/>
    <w:rsid w:val="005E163A"/>
    <w:rsid w:val="005E1916"/>
    <w:rsid w:val="005E1B6E"/>
    <w:rsid w:val="005E1E07"/>
    <w:rsid w:val="005E1FE0"/>
    <w:rsid w:val="005E2189"/>
    <w:rsid w:val="005E22E1"/>
    <w:rsid w:val="005E244A"/>
    <w:rsid w:val="005E2986"/>
    <w:rsid w:val="005E29F3"/>
    <w:rsid w:val="005E2B77"/>
    <w:rsid w:val="005E2D71"/>
    <w:rsid w:val="005E2DC4"/>
    <w:rsid w:val="005E3093"/>
    <w:rsid w:val="005E335B"/>
    <w:rsid w:val="005E342D"/>
    <w:rsid w:val="005E375B"/>
    <w:rsid w:val="005E3838"/>
    <w:rsid w:val="005E3D83"/>
    <w:rsid w:val="005E3D84"/>
    <w:rsid w:val="005E3DDE"/>
    <w:rsid w:val="005E40D8"/>
    <w:rsid w:val="005E4370"/>
    <w:rsid w:val="005E440A"/>
    <w:rsid w:val="005E4470"/>
    <w:rsid w:val="005E4556"/>
    <w:rsid w:val="005E46E6"/>
    <w:rsid w:val="005E48C9"/>
    <w:rsid w:val="005E4954"/>
    <w:rsid w:val="005E4FD8"/>
    <w:rsid w:val="005E5013"/>
    <w:rsid w:val="005E51A5"/>
    <w:rsid w:val="005E541B"/>
    <w:rsid w:val="005E5572"/>
    <w:rsid w:val="005E570B"/>
    <w:rsid w:val="005E5794"/>
    <w:rsid w:val="005E5B6A"/>
    <w:rsid w:val="005E5C29"/>
    <w:rsid w:val="005E603F"/>
    <w:rsid w:val="005E610F"/>
    <w:rsid w:val="005E61B2"/>
    <w:rsid w:val="005E6A2A"/>
    <w:rsid w:val="005E6BF0"/>
    <w:rsid w:val="005E6F19"/>
    <w:rsid w:val="005E70AF"/>
    <w:rsid w:val="005E71D2"/>
    <w:rsid w:val="005E748E"/>
    <w:rsid w:val="005E7B89"/>
    <w:rsid w:val="005E7D26"/>
    <w:rsid w:val="005E7FEB"/>
    <w:rsid w:val="005F0189"/>
    <w:rsid w:val="005F01DB"/>
    <w:rsid w:val="005F02F3"/>
    <w:rsid w:val="005F02FA"/>
    <w:rsid w:val="005F039A"/>
    <w:rsid w:val="005F0460"/>
    <w:rsid w:val="005F0764"/>
    <w:rsid w:val="005F0820"/>
    <w:rsid w:val="005F082A"/>
    <w:rsid w:val="005F0D5E"/>
    <w:rsid w:val="005F10FE"/>
    <w:rsid w:val="005F13FF"/>
    <w:rsid w:val="005F16EE"/>
    <w:rsid w:val="005F1948"/>
    <w:rsid w:val="005F19BD"/>
    <w:rsid w:val="005F1CBC"/>
    <w:rsid w:val="005F20CF"/>
    <w:rsid w:val="005F22B5"/>
    <w:rsid w:val="005F2588"/>
    <w:rsid w:val="005F2594"/>
    <w:rsid w:val="005F2669"/>
    <w:rsid w:val="005F2720"/>
    <w:rsid w:val="005F27BE"/>
    <w:rsid w:val="005F2DEF"/>
    <w:rsid w:val="005F3137"/>
    <w:rsid w:val="005F3668"/>
    <w:rsid w:val="005F37D0"/>
    <w:rsid w:val="005F391C"/>
    <w:rsid w:val="005F3B3A"/>
    <w:rsid w:val="005F3C31"/>
    <w:rsid w:val="005F4368"/>
    <w:rsid w:val="005F44DF"/>
    <w:rsid w:val="005F49AE"/>
    <w:rsid w:val="005F4D97"/>
    <w:rsid w:val="005F4E66"/>
    <w:rsid w:val="005F4ED9"/>
    <w:rsid w:val="005F4F59"/>
    <w:rsid w:val="005F4FE4"/>
    <w:rsid w:val="005F4FED"/>
    <w:rsid w:val="005F5118"/>
    <w:rsid w:val="005F547C"/>
    <w:rsid w:val="005F54AA"/>
    <w:rsid w:val="005F54C4"/>
    <w:rsid w:val="005F54F1"/>
    <w:rsid w:val="005F55F8"/>
    <w:rsid w:val="005F59E0"/>
    <w:rsid w:val="005F5E3E"/>
    <w:rsid w:val="005F6011"/>
    <w:rsid w:val="005F61B2"/>
    <w:rsid w:val="005F6223"/>
    <w:rsid w:val="005F62EE"/>
    <w:rsid w:val="005F6724"/>
    <w:rsid w:val="005F6729"/>
    <w:rsid w:val="005F6B24"/>
    <w:rsid w:val="005F6B79"/>
    <w:rsid w:val="005F6C50"/>
    <w:rsid w:val="005F6F0D"/>
    <w:rsid w:val="005F7130"/>
    <w:rsid w:val="005F7A2E"/>
    <w:rsid w:val="005F7ABF"/>
    <w:rsid w:val="005F7C17"/>
    <w:rsid w:val="005F7C8A"/>
    <w:rsid w:val="006001FE"/>
    <w:rsid w:val="00600206"/>
    <w:rsid w:val="00600328"/>
    <w:rsid w:val="0060047E"/>
    <w:rsid w:val="0060083A"/>
    <w:rsid w:val="006008A5"/>
    <w:rsid w:val="006008C1"/>
    <w:rsid w:val="006009C9"/>
    <w:rsid w:val="00600C94"/>
    <w:rsid w:val="00600D9C"/>
    <w:rsid w:val="00600DCF"/>
    <w:rsid w:val="0060133C"/>
    <w:rsid w:val="0060135C"/>
    <w:rsid w:val="006013BE"/>
    <w:rsid w:val="00601991"/>
    <w:rsid w:val="00601AC3"/>
    <w:rsid w:val="00601CAD"/>
    <w:rsid w:val="00601D65"/>
    <w:rsid w:val="00601E73"/>
    <w:rsid w:val="00601FE7"/>
    <w:rsid w:val="006025C3"/>
    <w:rsid w:val="00602907"/>
    <w:rsid w:val="00602C9B"/>
    <w:rsid w:val="00602CC7"/>
    <w:rsid w:val="00602D6B"/>
    <w:rsid w:val="00602DCB"/>
    <w:rsid w:val="006030F3"/>
    <w:rsid w:val="006031F9"/>
    <w:rsid w:val="006035FE"/>
    <w:rsid w:val="006037C3"/>
    <w:rsid w:val="006037DD"/>
    <w:rsid w:val="006038CC"/>
    <w:rsid w:val="006038D5"/>
    <w:rsid w:val="00603ADE"/>
    <w:rsid w:val="00603BA0"/>
    <w:rsid w:val="00603C8B"/>
    <w:rsid w:val="00603C96"/>
    <w:rsid w:val="00603FD5"/>
    <w:rsid w:val="0060402D"/>
    <w:rsid w:val="00604967"/>
    <w:rsid w:val="00604A68"/>
    <w:rsid w:val="00604D58"/>
    <w:rsid w:val="0060513F"/>
    <w:rsid w:val="0060531F"/>
    <w:rsid w:val="006053C0"/>
    <w:rsid w:val="006054E2"/>
    <w:rsid w:val="006055B0"/>
    <w:rsid w:val="0060587D"/>
    <w:rsid w:val="00605ADE"/>
    <w:rsid w:val="00605DC4"/>
    <w:rsid w:val="00605E18"/>
    <w:rsid w:val="00605F3E"/>
    <w:rsid w:val="006061A7"/>
    <w:rsid w:val="0060644A"/>
    <w:rsid w:val="006067BD"/>
    <w:rsid w:val="00606E6F"/>
    <w:rsid w:val="00606FA6"/>
    <w:rsid w:val="0060701F"/>
    <w:rsid w:val="006070AC"/>
    <w:rsid w:val="0060726A"/>
    <w:rsid w:val="006074C2"/>
    <w:rsid w:val="006074CE"/>
    <w:rsid w:val="00607533"/>
    <w:rsid w:val="00607552"/>
    <w:rsid w:val="00607719"/>
    <w:rsid w:val="00607762"/>
    <w:rsid w:val="00607979"/>
    <w:rsid w:val="00607A9D"/>
    <w:rsid w:val="00607AA1"/>
    <w:rsid w:val="00607B06"/>
    <w:rsid w:val="00607B83"/>
    <w:rsid w:val="00607CAE"/>
    <w:rsid w:val="00607CC3"/>
    <w:rsid w:val="00607F03"/>
    <w:rsid w:val="0061008E"/>
    <w:rsid w:val="00610345"/>
    <w:rsid w:val="006103A4"/>
    <w:rsid w:val="00610483"/>
    <w:rsid w:val="006104A1"/>
    <w:rsid w:val="006104F9"/>
    <w:rsid w:val="00610542"/>
    <w:rsid w:val="00610598"/>
    <w:rsid w:val="00610627"/>
    <w:rsid w:val="00610B64"/>
    <w:rsid w:val="00610CD8"/>
    <w:rsid w:val="00610E93"/>
    <w:rsid w:val="00610F6C"/>
    <w:rsid w:val="00610F8D"/>
    <w:rsid w:val="006110DA"/>
    <w:rsid w:val="006110FC"/>
    <w:rsid w:val="0061115A"/>
    <w:rsid w:val="006114E9"/>
    <w:rsid w:val="00611542"/>
    <w:rsid w:val="00611836"/>
    <w:rsid w:val="00611859"/>
    <w:rsid w:val="0061190A"/>
    <w:rsid w:val="00611F0A"/>
    <w:rsid w:val="00612092"/>
    <w:rsid w:val="006122FD"/>
    <w:rsid w:val="00612709"/>
    <w:rsid w:val="00612749"/>
    <w:rsid w:val="00612797"/>
    <w:rsid w:val="00612874"/>
    <w:rsid w:val="00612978"/>
    <w:rsid w:val="00612C58"/>
    <w:rsid w:val="00612C7F"/>
    <w:rsid w:val="00612DC3"/>
    <w:rsid w:val="00612F3C"/>
    <w:rsid w:val="00612F53"/>
    <w:rsid w:val="00612FA9"/>
    <w:rsid w:val="00613176"/>
    <w:rsid w:val="00613187"/>
    <w:rsid w:val="006132C5"/>
    <w:rsid w:val="006132EB"/>
    <w:rsid w:val="00613655"/>
    <w:rsid w:val="0061375E"/>
    <w:rsid w:val="00613882"/>
    <w:rsid w:val="006139D9"/>
    <w:rsid w:val="0061417C"/>
    <w:rsid w:val="0061430C"/>
    <w:rsid w:val="006145A9"/>
    <w:rsid w:val="00614614"/>
    <w:rsid w:val="00614772"/>
    <w:rsid w:val="00614AAC"/>
    <w:rsid w:val="00614B13"/>
    <w:rsid w:val="00614D52"/>
    <w:rsid w:val="00614DC3"/>
    <w:rsid w:val="00614E98"/>
    <w:rsid w:val="0061515E"/>
    <w:rsid w:val="0061517F"/>
    <w:rsid w:val="006152C1"/>
    <w:rsid w:val="00615390"/>
    <w:rsid w:val="00615430"/>
    <w:rsid w:val="00615577"/>
    <w:rsid w:val="00615B85"/>
    <w:rsid w:val="00615CA9"/>
    <w:rsid w:val="00615D7A"/>
    <w:rsid w:val="00615E3C"/>
    <w:rsid w:val="00615F78"/>
    <w:rsid w:val="006160D5"/>
    <w:rsid w:val="006166BA"/>
    <w:rsid w:val="0061683F"/>
    <w:rsid w:val="0061697F"/>
    <w:rsid w:val="006169F8"/>
    <w:rsid w:val="00616AA9"/>
    <w:rsid w:val="00616C76"/>
    <w:rsid w:val="00616CC3"/>
    <w:rsid w:val="00616DC8"/>
    <w:rsid w:val="00616F0E"/>
    <w:rsid w:val="00616F66"/>
    <w:rsid w:val="00617236"/>
    <w:rsid w:val="0061732E"/>
    <w:rsid w:val="00617407"/>
    <w:rsid w:val="006174A2"/>
    <w:rsid w:val="00617AB6"/>
    <w:rsid w:val="00617E32"/>
    <w:rsid w:val="00617EB9"/>
    <w:rsid w:val="00620087"/>
    <w:rsid w:val="00620121"/>
    <w:rsid w:val="006201F4"/>
    <w:rsid w:val="00620548"/>
    <w:rsid w:val="006209C9"/>
    <w:rsid w:val="00620E3E"/>
    <w:rsid w:val="00620FD5"/>
    <w:rsid w:val="0062155E"/>
    <w:rsid w:val="006215A8"/>
    <w:rsid w:val="00621611"/>
    <w:rsid w:val="00621855"/>
    <w:rsid w:val="0062188B"/>
    <w:rsid w:val="006218CA"/>
    <w:rsid w:val="00621A9A"/>
    <w:rsid w:val="00621C08"/>
    <w:rsid w:val="00622002"/>
    <w:rsid w:val="006223BF"/>
    <w:rsid w:val="00622442"/>
    <w:rsid w:val="006224F2"/>
    <w:rsid w:val="006226FE"/>
    <w:rsid w:val="00622909"/>
    <w:rsid w:val="00622BB9"/>
    <w:rsid w:val="00622E42"/>
    <w:rsid w:val="00622FA4"/>
    <w:rsid w:val="006231BF"/>
    <w:rsid w:val="006234A7"/>
    <w:rsid w:val="006235C1"/>
    <w:rsid w:val="0062389B"/>
    <w:rsid w:val="0062389F"/>
    <w:rsid w:val="006238D9"/>
    <w:rsid w:val="006239E2"/>
    <w:rsid w:val="00623A8D"/>
    <w:rsid w:val="00623B58"/>
    <w:rsid w:val="00623BC7"/>
    <w:rsid w:val="00623FEA"/>
    <w:rsid w:val="0062492D"/>
    <w:rsid w:val="0062494A"/>
    <w:rsid w:val="00624B90"/>
    <w:rsid w:val="00624C81"/>
    <w:rsid w:val="00624D55"/>
    <w:rsid w:val="00624DE7"/>
    <w:rsid w:val="00624F7D"/>
    <w:rsid w:val="00624FC4"/>
    <w:rsid w:val="0062514D"/>
    <w:rsid w:val="00625212"/>
    <w:rsid w:val="006253F4"/>
    <w:rsid w:val="006255EC"/>
    <w:rsid w:val="00625629"/>
    <w:rsid w:val="006256E5"/>
    <w:rsid w:val="00625942"/>
    <w:rsid w:val="00625A8F"/>
    <w:rsid w:val="00625AB5"/>
    <w:rsid w:val="00625C97"/>
    <w:rsid w:val="00625E5C"/>
    <w:rsid w:val="0062632F"/>
    <w:rsid w:val="006264CD"/>
    <w:rsid w:val="00626889"/>
    <w:rsid w:val="00626929"/>
    <w:rsid w:val="00626999"/>
    <w:rsid w:val="006269C6"/>
    <w:rsid w:val="00626AD6"/>
    <w:rsid w:val="00626D34"/>
    <w:rsid w:val="00626D5B"/>
    <w:rsid w:val="00626FFA"/>
    <w:rsid w:val="00627598"/>
    <w:rsid w:val="00627701"/>
    <w:rsid w:val="0062774C"/>
    <w:rsid w:val="006277D4"/>
    <w:rsid w:val="00627C1C"/>
    <w:rsid w:val="00627C58"/>
    <w:rsid w:val="00627E01"/>
    <w:rsid w:val="0063008E"/>
    <w:rsid w:val="00630B60"/>
    <w:rsid w:val="00630E69"/>
    <w:rsid w:val="00630F02"/>
    <w:rsid w:val="00630F1A"/>
    <w:rsid w:val="00630F9A"/>
    <w:rsid w:val="006311AD"/>
    <w:rsid w:val="006312AF"/>
    <w:rsid w:val="006312C7"/>
    <w:rsid w:val="00631982"/>
    <w:rsid w:val="006319CD"/>
    <w:rsid w:val="00631C00"/>
    <w:rsid w:val="00631CDC"/>
    <w:rsid w:val="00631D86"/>
    <w:rsid w:val="00631F09"/>
    <w:rsid w:val="00631FA4"/>
    <w:rsid w:val="00631FC2"/>
    <w:rsid w:val="0063206D"/>
    <w:rsid w:val="0063225E"/>
    <w:rsid w:val="00632811"/>
    <w:rsid w:val="00632868"/>
    <w:rsid w:val="006328A3"/>
    <w:rsid w:val="00632D99"/>
    <w:rsid w:val="00632DCC"/>
    <w:rsid w:val="006331E8"/>
    <w:rsid w:val="00633423"/>
    <w:rsid w:val="0063355C"/>
    <w:rsid w:val="00633747"/>
    <w:rsid w:val="00633907"/>
    <w:rsid w:val="00633A61"/>
    <w:rsid w:val="00633DBB"/>
    <w:rsid w:val="00633DDA"/>
    <w:rsid w:val="0063412C"/>
    <w:rsid w:val="0063415F"/>
    <w:rsid w:val="00634389"/>
    <w:rsid w:val="00634532"/>
    <w:rsid w:val="006345EA"/>
    <w:rsid w:val="0063471B"/>
    <w:rsid w:val="0063472A"/>
    <w:rsid w:val="0063478F"/>
    <w:rsid w:val="006347CB"/>
    <w:rsid w:val="00634A6B"/>
    <w:rsid w:val="00634B2C"/>
    <w:rsid w:val="00634D68"/>
    <w:rsid w:val="00634E71"/>
    <w:rsid w:val="006350CD"/>
    <w:rsid w:val="006354D4"/>
    <w:rsid w:val="00635510"/>
    <w:rsid w:val="006357D0"/>
    <w:rsid w:val="00635933"/>
    <w:rsid w:val="00635A03"/>
    <w:rsid w:val="00635B0D"/>
    <w:rsid w:val="00635E10"/>
    <w:rsid w:val="00635F5C"/>
    <w:rsid w:val="0063624D"/>
    <w:rsid w:val="00636327"/>
    <w:rsid w:val="00636336"/>
    <w:rsid w:val="0063634E"/>
    <w:rsid w:val="0063653B"/>
    <w:rsid w:val="006365DD"/>
    <w:rsid w:val="0063666C"/>
    <w:rsid w:val="00636A4B"/>
    <w:rsid w:val="00636BE3"/>
    <w:rsid w:val="00636C9A"/>
    <w:rsid w:val="00636D35"/>
    <w:rsid w:val="006370C5"/>
    <w:rsid w:val="0063713C"/>
    <w:rsid w:val="006371AF"/>
    <w:rsid w:val="0063725E"/>
    <w:rsid w:val="006372B3"/>
    <w:rsid w:val="006372C3"/>
    <w:rsid w:val="00637301"/>
    <w:rsid w:val="006373AC"/>
    <w:rsid w:val="00637CC5"/>
    <w:rsid w:val="00637F95"/>
    <w:rsid w:val="0064012A"/>
    <w:rsid w:val="00640203"/>
    <w:rsid w:val="0064030E"/>
    <w:rsid w:val="006404B9"/>
    <w:rsid w:val="00640608"/>
    <w:rsid w:val="006409F7"/>
    <w:rsid w:val="00640B7F"/>
    <w:rsid w:val="00640D88"/>
    <w:rsid w:val="00640FC3"/>
    <w:rsid w:val="00640FF9"/>
    <w:rsid w:val="006410D0"/>
    <w:rsid w:val="006411C6"/>
    <w:rsid w:val="0064121D"/>
    <w:rsid w:val="006414E9"/>
    <w:rsid w:val="00641663"/>
    <w:rsid w:val="00641815"/>
    <w:rsid w:val="0064183A"/>
    <w:rsid w:val="00641A13"/>
    <w:rsid w:val="00641B68"/>
    <w:rsid w:val="00641BDB"/>
    <w:rsid w:val="00642298"/>
    <w:rsid w:val="0064233D"/>
    <w:rsid w:val="006423EF"/>
    <w:rsid w:val="006424FC"/>
    <w:rsid w:val="006425A9"/>
    <w:rsid w:val="00642639"/>
    <w:rsid w:val="00642BBD"/>
    <w:rsid w:val="00642BD6"/>
    <w:rsid w:val="006433D3"/>
    <w:rsid w:val="00643549"/>
    <w:rsid w:val="006435B2"/>
    <w:rsid w:val="00643613"/>
    <w:rsid w:val="006436EF"/>
    <w:rsid w:val="0064375D"/>
    <w:rsid w:val="00643CDF"/>
    <w:rsid w:val="00643F12"/>
    <w:rsid w:val="0064406B"/>
    <w:rsid w:val="00644076"/>
    <w:rsid w:val="006441BF"/>
    <w:rsid w:val="0064450F"/>
    <w:rsid w:val="006445C5"/>
    <w:rsid w:val="0064497F"/>
    <w:rsid w:val="00644AD8"/>
    <w:rsid w:val="00644D1F"/>
    <w:rsid w:val="00644EDC"/>
    <w:rsid w:val="00644F46"/>
    <w:rsid w:val="00645112"/>
    <w:rsid w:val="00645148"/>
    <w:rsid w:val="006451DB"/>
    <w:rsid w:val="00645236"/>
    <w:rsid w:val="00645509"/>
    <w:rsid w:val="006455FB"/>
    <w:rsid w:val="00645BBD"/>
    <w:rsid w:val="00645D91"/>
    <w:rsid w:val="00645F3E"/>
    <w:rsid w:val="00646081"/>
    <w:rsid w:val="006462F5"/>
    <w:rsid w:val="00646397"/>
    <w:rsid w:val="00646533"/>
    <w:rsid w:val="006465DC"/>
    <w:rsid w:val="006467A8"/>
    <w:rsid w:val="006468B0"/>
    <w:rsid w:val="00646B07"/>
    <w:rsid w:val="00646B8D"/>
    <w:rsid w:val="00646DB4"/>
    <w:rsid w:val="00646E3B"/>
    <w:rsid w:val="0064713E"/>
    <w:rsid w:val="0064746F"/>
    <w:rsid w:val="006475BD"/>
    <w:rsid w:val="00647BAB"/>
    <w:rsid w:val="00647EDC"/>
    <w:rsid w:val="00650238"/>
    <w:rsid w:val="006504CE"/>
    <w:rsid w:val="00650505"/>
    <w:rsid w:val="0065051D"/>
    <w:rsid w:val="00650601"/>
    <w:rsid w:val="00650BD1"/>
    <w:rsid w:val="00651344"/>
    <w:rsid w:val="006515FB"/>
    <w:rsid w:val="006518E5"/>
    <w:rsid w:val="006518EA"/>
    <w:rsid w:val="0065192E"/>
    <w:rsid w:val="00652146"/>
    <w:rsid w:val="006527FF"/>
    <w:rsid w:val="00652955"/>
    <w:rsid w:val="00652AF9"/>
    <w:rsid w:val="00652DAC"/>
    <w:rsid w:val="00653175"/>
    <w:rsid w:val="0065318E"/>
    <w:rsid w:val="00653192"/>
    <w:rsid w:val="006532B6"/>
    <w:rsid w:val="00653493"/>
    <w:rsid w:val="00653500"/>
    <w:rsid w:val="00653524"/>
    <w:rsid w:val="006537CD"/>
    <w:rsid w:val="0065384D"/>
    <w:rsid w:val="006538F2"/>
    <w:rsid w:val="00653D71"/>
    <w:rsid w:val="0065401C"/>
    <w:rsid w:val="0065418D"/>
    <w:rsid w:val="006543DE"/>
    <w:rsid w:val="00654A58"/>
    <w:rsid w:val="00654D81"/>
    <w:rsid w:val="0065522B"/>
    <w:rsid w:val="00655315"/>
    <w:rsid w:val="00655716"/>
    <w:rsid w:val="00655CD3"/>
    <w:rsid w:val="006561DE"/>
    <w:rsid w:val="00656370"/>
    <w:rsid w:val="006563CB"/>
    <w:rsid w:val="00656410"/>
    <w:rsid w:val="006564ED"/>
    <w:rsid w:val="00656541"/>
    <w:rsid w:val="006565BE"/>
    <w:rsid w:val="0065668C"/>
    <w:rsid w:val="006566DA"/>
    <w:rsid w:val="0065682E"/>
    <w:rsid w:val="006569BF"/>
    <w:rsid w:val="00656A1D"/>
    <w:rsid w:val="00656A8A"/>
    <w:rsid w:val="00656BA8"/>
    <w:rsid w:val="00656BB7"/>
    <w:rsid w:val="006570C7"/>
    <w:rsid w:val="00657209"/>
    <w:rsid w:val="006572A3"/>
    <w:rsid w:val="00657351"/>
    <w:rsid w:val="00657393"/>
    <w:rsid w:val="006577C3"/>
    <w:rsid w:val="00657F2E"/>
    <w:rsid w:val="006601B0"/>
    <w:rsid w:val="006603B6"/>
    <w:rsid w:val="006606D9"/>
    <w:rsid w:val="00660804"/>
    <w:rsid w:val="00660B3C"/>
    <w:rsid w:val="0066107A"/>
    <w:rsid w:val="0066119F"/>
    <w:rsid w:val="006611A7"/>
    <w:rsid w:val="006611DA"/>
    <w:rsid w:val="0066153D"/>
    <w:rsid w:val="00661567"/>
    <w:rsid w:val="00661CF1"/>
    <w:rsid w:val="00662173"/>
    <w:rsid w:val="006621F3"/>
    <w:rsid w:val="00662209"/>
    <w:rsid w:val="00662548"/>
    <w:rsid w:val="0066257E"/>
    <w:rsid w:val="006625CB"/>
    <w:rsid w:val="006625DD"/>
    <w:rsid w:val="00662687"/>
    <w:rsid w:val="00662BA5"/>
    <w:rsid w:val="00662C0B"/>
    <w:rsid w:val="00662CFB"/>
    <w:rsid w:val="00662F42"/>
    <w:rsid w:val="00663286"/>
    <w:rsid w:val="006632E1"/>
    <w:rsid w:val="0066351C"/>
    <w:rsid w:val="006635F6"/>
    <w:rsid w:val="00663668"/>
    <w:rsid w:val="006637A0"/>
    <w:rsid w:val="0066384A"/>
    <w:rsid w:val="00663874"/>
    <w:rsid w:val="00663959"/>
    <w:rsid w:val="00663BC6"/>
    <w:rsid w:val="00663DAB"/>
    <w:rsid w:val="00663E82"/>
    <w:rsid w:val="00663F3E"/>
    <w:rsid w:val="00664004"/>
    <w:rsid w:val="0066401D"/>
    <w:rsid w:val="00664026"/>
    <w:rsid w:val="00664261"/>
    <w:rsid w:val="0066486B"/>
    <w:rsid w:val="006649BF"/>
    <w:rsid w:val="00664A4F"/>
    <w:rsid w:val="00664A81"/>
    <w:rsid w:val="00664CDD"/>
    <w:rsid w:val="00665312"/>
    <w:rsid w:val="0066543F"/>
    <w:rsid w:val="006654AB"/>
    <w:rsid w:val="0066575F"/>
    <w:rsid w:val="00665900"/>
    <w:rsid w:val="00665A68"/>
    <w:rsid w:val="00665A7E"/>
    <w:rsid w:val="00665D6A"/>
    <w:rsid w:val="00665EBC"/>
    <w:rsid w:val="0066628F"/>
    <w:rsid w:val="00666460"/>
    <w:rsid w:val="006665D0"/>
    <w:rsid w:val="006669F1"/>
    <w:rsid w:val="00666B10"/>
    <w:rsid w:val="00666D1A"/>
    <w:rsid w:val="00666D59"/>
    <w:rsid w:val="00666E82"/>
    <w:rsid w:val="00666EEB"/>
    <w:rsid w:val="00667030"/>
    <w:rsid w:val="00667148"/>
    <w:rsid w:val="0066725B"/>
    <w:rsid w:val="006675B0"/>
    <w:rsid w:val="0066782A"/>
    <w:rsid w:val="00667952"/>
    <w:rsid w:val="00667B40"/>
    <w:rsid w:val="00667BEA"/>
    <w:rsid w:val="00667F0C"/>
    <w:rsid w:val="00667F46"/>
    <w:rsid w:val="00667FA1"/>
    <w:rsid w:val="006704EC"/>
    <w:rsid w:val="00670E76"/>
    <w:rsid w:val="006710CF"/>
    <w:rsid w:val="00671316"/>
    <w:rsid w:val="006714CA"/>
    <w:rsid w:val="00671593"/>
    <w:rsid w:val="0067172D"/>
    <w:rsid w:val="006717DC"/>
    <w:rsid w:val="00671806"/>
    <w:rsid w:val="0067180A"/>
    <w:rsid w:val="0067186B"/>
    <w:rsid w:val="006719D9"/>
    <w:rsid w:val="00671C0D"/>
    <w:rsid w:val="006720E7"/>
    <w:rsid w:val="00672632"/>
    <w:rsid w:val="00672731"/>
    <w:rsid w:val="0067316D"/>
    <w:rsid w:val="006731C2"/>
    <w:rsid w:val="006733CA"/>
    <w:rsid w:val="00673472"/>
    <w:rsid w:val="0067352D"/>
    <w:rsid w:val="00673580"/>
    <w:rsid w:val="00673652"/>
    <w:rsid w:val="006736C6"/>
    <w:rsid w:val="0067398E"/>
    <w:rsid w:val="00673A9A"/>
    <w:rsid w:val="00673B1B"/>
    <w:rsid w:val="00673C0F"/>
    <w:rsid w:val="00673D30"/>
    <w:rsid w:val="00673F91"/>
    <w:rsid w:val="00674422"/>
    <w:rsid w:val="0067483D"/>
    <w:rsid w:val="00674B15"/>
    <w:rsid w:val="006750B2"/>
    <w:rsid w:val="006750D8"/>
    <w:rsid w:val="006751E4"/>
    <w:rsid w:val="00675309"/>
    <w:rsid w:val="00675567"/>
    <w:rsid w:val="006756A0"/>
    <w:rsid w:val="006756DF"/>
    <w:rsid w:val="0067586E"/>
    <w:rsid w:val="006759D5"/>
    <w:rsid w:val="00675C2B"/>
    <w:rsid w:val="00675D3A"/>
    <w:rsid w:val="00675ED0"/>
    <w:rsid w:val="00676111"/>
    <w:rsid w:val="0067643E"/>
    <w:rsid w:val="0067683F"/>
    <w:rsid w:val="00676DEC"/>
    <w:rsid w:val="00676EF4"/>
    <w:rsid w:val="00677262"/>
    <w:rsid w:val="006772F7"/>
    <w:rsid w:val="00677349"/>
    <w:rsid w:val="006775FF"/>
    <w:rsid w:val="00677606"/>
    <w:rsid w:val="00677819"/>
    <w:rsid w:val="0067782C"/>
    <w:rsid w:val="006778BC"/>
    <w:rsid w:val="00677928"/>
    <w:rsid w:val="00677E39"/>
    <w:rsid w:val="006806ED"/>
    <w:rsid w:val="00680774"/>
    <w:rsid w:val="00680884"/>
    <w:rsid w:val="00680A3C"/>
    <w:rsid w:val="00681122"/>
    <w:rsid w:val="006812C0"/>
    <w:rsid w:val="006812CA"/>
    <w:rsid w:val="00681434"/>
    <w:rsid w:val="00681593"/>
    <w:rsid w:val="00681856"/>
    <w:rsid w:val="0068186C"/>
    <w:rsid w:val="006819BE"/>
    <w:rsid w:val="00681A15"/>
    <w:rsid w:val="00681AF1"/>
    <w:rsid w:val="0068268F"/>
    <w:rsid w:val="00682A41"/>
    <w:rsid w:val="00683116"/>
    <w:rsid w:val="00683223"/>
    <w:rsid w:val="00683490"/>
    <w:rsid w:val="00683496"/>
    <w:rsid w:val="006834D6"/>
    <w:rsid w:val="0068352E"/>
    <w:rsid w:val="006835BF"/>
    <w:rsid w:val="006835DD"/>
    <w:rsid w:val="006835E0"/>
    <w:rsid w:val="00683603"/>
    <w:rsid w:val="006838D8"/>
    <w:rsid w:val="00683933"/>
    <w:rsid w:val="00683952"/>
    <w:rsid w:val="00684004"/>
    <w:rsid w:val="006840FF"/>
    <w:rsid w:val="0068453C"/>
    <w:rsid w:val="00684547"/>
    <w:rsid w:val="00684564"/>
    <w:rsid w:val="006846D5"/>
    <w:rsid w:val="00684825"/>
    <w:rsid w:val="00684872"/>
    <w:rsid w:val="00684E4D"/>
    <w:rsid w:val="00685509"/>
    <w:rsid w:val="00685575"/>
    <w:rsid w:val="00685908"/>
    <w:rsid w:val="006859DE"/>
    <w:rsid w:val="00685C4D"/>
    <w:rsid w:val="00685CAD"/>
    <w:rsid w:val="00685CC0"/>
    <w:rsid w:val="00685FC5"/>
    <w:rsid w:val="00686057"/>
    <w:rsid w:val="006861C8"/>
    <w:rsid w:val="0068638D"/>
    <w:rsid w:val="0068648C"/>
    <w:rsid w:val="0068653D"/>
    <w:rsid w:val="00686552"/>
    <w:rsid w:val="006869CE"/>
    <w:rsid w:val="0068709B"/>
    <w:rsid w:val="006870FC"/>
    <w:rsid w:val="0068724F"/>
    <w:rsid w:val="0068759C"/>
    <w:rsid w:val="0068769B"/>
    <w:rsid w:val="006877D3"/>
    <w:rsid w:val="00687903"/>
    <w:rsid w:val="00687F1B"/>
    <w:rsid w:val="00690244"/>
    <w:rsid w:val="00690345"/>
    <w:rsid w:val="00690672"/>
    <w:rsid w:val="006906EB"/>
    <w:rsid w:val="0069070D"/>
    <w:rsid w:val="00690738"/>
    <w:rsid w:val="00690928"/>
    <w:rsid w:val="00690C08"/>
    <w:rsid w:val="00690EF7"/>
    <w:rsid w:val="00690F31"/>
    <w:rsid w:val="00691101"/>
    <w:rsid w:val="0069121E"/>
    <w:rsid w:val="006913F3"/>
    <w:rsid w:val="00691774"/>
    <w:rsid w:val="00691865"/>
    <w:rsid w:val="006918FF"/>
    <w:rsid w:val="0069195B"/>
    <w:rsid w:val="00691A7A"/>
    <w:rsid w:val="00691A7B"/>
    <w:rsid w:val="00691CC6"/>
    <w:rsid w:val="00691E7A"/>
    <w:rsid w:val="00691E96"/>
    <w:rsid w:val="00691ED8"/>
    <w:rsid w:val="006920B3"/>
    <w:rsid w:val="006922A1"/>
    <w:rsid w:val="006922B3"/>
    <w:rsid w:val="0069236E"/>
    <w:rsid w:val="00692482"/>
    <w:rsid w:val="006924ED"/>
    <w:rsid w:val="006928B0"/>
    <w:rsid w:val="006929AC"/>
    <w:rsid w:val="00692A69"/>
    <w:rsid w:val="00692FD4"/>
    <w:rsid w:val="00692FFC"/>
    <w:rsid w:val="00693760"/>
    <w:rsid w:val="00693DB9"/>
    <w:rsid w:val="00693E18"/>
    <w:rsid w:val="00693EA1"/>
    <w:rsid w:val="00693F7C"/>
    <w:rsid w:val="006940E2"/>
    <w:rsid w:val="00694231"/>
    <w:rsid w:val="0069434B"/>
    <w:rsid w:val="0069459D"/>
    <w:rsid w:val="006947AC"/>
    <w:rsid w:val="00694A71"/>
    <w:rsid w:val="00694BD7"/>
    <w:rsid w:val="00694BDA"/>
    <w:rsid w:val="00694DA8"/>
    <w:rsid w:val="00694F95"/>
    <w:rsid w:val="006950EF"/>
    <w:rsid w:val="0069519A"/>
    <w:rsid w:val="0069520E"/>
    <w:rsid w:val="006952C8"/>
    <w:rsid w:val="006953BA"/>
    <w:rsid w:val="0069599F"/>
    <w:rsid w:val="00695AD4"/>
    <w:rsid w:val="00695C2B"/>
    <w:rsid w:val="00695D2D"/>
    <w:rsid w:val="00695E15"/>
    <w:rsid w:val="00695EF6"/>
    <w:rsid w:val="00695F04"/>
    <w:rsid w:val="00695F8E"/>
    <w:rsid w:val="006961DB"/>
    <w:rsid w:val="006963F9"/>
    <w:rsid w:val="00696935"/>
    <w:rsid w:val="00696AE2"/>
    <w:rsid w:val="00696B5F"/>
    <w:rsid w:val="00696D84"/>
    <w:rsid w:val="00696FB6"/>
    <w:rsid w:val="006971AF"/>
    <w:rsid w:val="0069723D"/>
    <w:rsid w:val="00697364"/>
    <w:rsid w:val="006973C2"/>
    <w:rsid w:val="006974F9"/>
    <w:rsid w:val="00697562"/>
    <w:rsid w:val="006975C2"/>
    <w:rsid w:val="00697960"/>
    <w:rsid w:val="00697EE5"/>
    <w:rsid w:val="006A00FB"/>
    <w:rsid w:val="006A0232"/>
    <w:rsid w:val="006A03F8"/>
    <w:rsid w:val="006A065F"/>
    <w:rsid w:val="006A071E"/>
    <w:rsid w:val="006A0870"/>
    <w:rsid w:val="006A0896"/>
    <w:rsid w:val="006A09AA"/>
    <w:rsid w:val="006A09B6"/>
    <w:rsid w:val="006A0D4D"/>
    <w:rsid w:val="006A0DEA"/>
    <w:rsid w:val="006A0E29"/>
    <w:rsid w:val="006A0ED3"/>
    <w:rsid w:val="006A14D1"/>
    <w:rsid w:val="006A1A1E"/>
    <w:rsid w:val="006A1D3D"/>
    <w:rsid w:val="006A1DD8"/>
    <w:rsid w:val="006A1DEF"/>
    <w:rsid w:val="006A1FF1"/>
    <w:rsid w:val="006A2040"/>
    <w:rsid w:val="006A2168"/>
    <w:rsid w:val="006A240F"/>
    <w:rsid w:val="006A256E"/>
    <w:rsid w:val="006A29D2"/>
    <w:rsid w:val="006A2D9E"/>
    <w:rsid w:val="006A3114"/>
    <w:rsid w:val="006A3159"/>
    <w:rsid w:val="006A319D"/>
    <w:rsid w:val="006A3800"/>
    <w:rsid w:val="006A39CD"/>
    <w:rsid w:val="006A3B44"/>
    <w:rsid w:val="006A3BAF"/>
    <w:rsid w:val="006A3D99"/>
    <w:rsid w:val="006A3EEE"/>
    <w:rsid w:val="006A4213"/>
    <w:rsid w:val="006A4412"/>
    <w:rsid w:val="006A4605"/>
    <w:rsid w:val="006A4633"/>
    <w:rsid w:val="006A4784"/>
    <w:rsid w:val="006A4850"/>
    <w:rsid w:val="006A48B7"/>
    <w:rsid w:val="006A4FEB"/>
    <w:rsid w:val="006A51A1"/>
    <w:rsid w:val="006A5C7D"/>
    <w:rsid w:val="006A5D04"/>
    <w:rsid w:val="006A5E1A"/>
    <w:rsid w:val="006A6154"/>
    <w:rsid w:val="006A61C7"/>
    <w:rsid w:val="006A628A"/>
    <w:rsid w:val="006A62C6"/>
    <w:rsid w:val="006A640A"/>
    <w:rsid w:val="006A67E3"/>
    <w:rsid w:val="006A6809"/>
    <w:rsid w:val="006A6923"/>
    <w:rsid w:val="006A697C"/>
    <w:rsid w:val="006A6ABD"/>
    <w:rsid w:val="006A6DD9"/>
    <w:rsid w:val="006A6ED8"/>
    <w:rsid w:val="006A6F58"/>
    <w:rsid w:val="006A7049"/>
    <w:rsid w:val="006A7069"/>
    <w:rsid w:val="006A71A0"/>
    <w:rsid w:val="006A7319"/>
    <w:rsid w:val="006A7467"/>
    <w:rsid w:val="006A76F2"/>
    <w:rsid w:val="006A77BF"/>
    <w:rsid w:val="006A7AEB"/>
    <w:rsid w:val="006A7B51"/>
    <w:rsid w:val="006A7C0E"/>
    <w:rsid w:val="006B02E1"/>
    <w:rsid w:val="006B02F5"/>
    <w:rsid w:val="006B0A64"/>
    <w:rsid w:val="006B0C5D"/>
    <w:rsid w:val="006B0C67"/>
    <w:rsid w:val="006B0CD4"/>
    <w:rsid w:val="006B0D92"/>
    <w:rsid w:val="006B0F6A"/>
    <w:rsid w:val="006B130C"/>
    <w:rsid w:val="006B14EB"/>
    <w:rsid w:val="006B155D"/>
    <w:rsid w:val="006B15C7"/>
    <w:rsid w:val="006B1942"/>
    <w:rsid w:val="006B1DD8"/>
    <w:rsid w:val="006B20F9"/>
    <w:rsid w:val="006B26DB"/>
    <w:rsid w:val="006B27A2"/>
    <w:rsid w:val="006B2944"/>
    <w:rsid w:val="006B29B8"/>
    <w:rsid w:val="006B29DE"/>
    <w:rsid w:val="006B2B99"/>
    <w:rsid w:val="006B2C86"/>
    <w:rsid w:val="006B2DC8"/>
    <w:rsid w:val="006B2EC0"/>
    <w:rsid w:val="006B3222"/>
    <w:rsid w:val="006B35DC"/>
    <w:rsid w:val="006B37A7"/>
    <w:rsid w:val="006B3846"/>
    <w:rsid w:val="006B3941"/>
    <w:rsid w:val="006B3B80"/>
    <w:rsid w:val="006B3C36"/>
    <w:rsid w:val="006B3C4C"/>
    <w:rsid w:val="006B3CFE"/>
    <w:rsid w:val="006B3E1E"/>
    <w:rsid w:val="006B3E9A"/>
    <w:rsid w:val="006B3F73"/>
    <w:rsid w:val="006B4073"/>
    <w:rsid w:val="006B4231"/>
    <w:rsid w:val="006B4256"/>
    <w:rsid w:val="006B4301"/>
    <w:rsid w:val="006B43A4"/>
    <w:rsid w:val="006B4989"/>
    <w:rsid w:val="006B4E1C"/>
    <w:rsid w:val="006B4E49"/>
    <w:rsid w:val="006B4F14"/>
    <w:rsid w:val="006B4F4E"/>
    <w:rsid w:val="006B4FFC"/>
    <w:rsid w:val="006B527C"/>
    <w:rsid w:val="006B5339"/>
    <w:rsid w:val="006B5519"/>
    <w:rsid w:val="006B5815"/>
    <w:rsid w:val="006B592A"/>
    <w:rsid w:val="006B5A45"/>
    <w:rsid w:val="006B5C0E"/>
    <w:rsid w:val="006B5CDE"/>
    <w:rsid w:val="006B5ED0"/>
    <w:rsid w:val="006B5FDF"/>
    <w:rsid w:val="006B5FF8"/>
    <w:rsid w:val="006B616C"/>
    <w:rsid w:val="006B64CE"/>
    <w:rsid w:val="006B65EB"/>
    <w:rsid w:val="006B6726"/>
    <w:rsid w:val="006B6854"/>
    <w:rsid w:val="006B6903"/>
    <w:rsid w:val="006B6921"/>
    <w:rsid w:val="006B6981"/>
    <w:rsid w:val="006B6BBD"/>
    <w:rsid w:val="006B6BCB"/>
    <w:rsid w:val="006B6D0A"/>
    <w:rsid w:val="006B6FB2"/>
    <w:rsid w:val="006B710E"/>
    <w:rsid w:val="006B73FF"/>
    <w:rsid w:val="006B7401"/>
    <w:rsid w:val="006B740A"/>
    <w:rsid w:val="006B7440"/>
    <w:rsid w:val="006B7524"/>
    <w:rsid w:val="006B752B"/>
    <w:rsid w:val="006B7539"/>
    <w:rsid w:val="006B769B"/>
    <w:rsid w:val="006B76A9"/>
    <w:rsid w:val="006B76AE"/>
    <w:rsid w:val="006B76D9"/>
    <w:rsid w:val="006B77E5"/>
    <w:rsid w:val="006B7A20"/>
    <w:rsid w:val="006B7A65"/>
    <w:rsid w:val="006B7D91"/>
    <w:rsid w:val="006B7E10"/>
    <w:rsid w:val="006B7E49"/>
    <w:rsid w:val="006C0241"/>
    <w:rsid w:val="006C05DA"/>
    <w:rsid w:val="006C099C"/>
    <w:rsid w:val="006C0AF6"/>
    <w:rsid w:val="006C0BA2"/>
    <w:rsid w:val="006C0CA6"/>
    <w:rsid w:val="006C0DA9"/>
    <w:rsid w:val="006C10C0"/>
    <w:rsid w:val="006C1409"/>
    <w:rsid w:val="006C149A"/>
    <w:rsid w:val="006C1715"/>
    <w:rsid w:val="006C17A4"/>
    <w:rsid w:val="006C2183"/>
    <w:rsid w:val="006C2277"/>
    <w:rsid w:val="006C2494"/>
    <w:rsid w:val="006C257A"/>
    <w:rsid w:val="006C28AC"/>
    <w:rsid w:val="006C29B3"/>
    <w:rsid w:val="006C2A0A"/>
    <w:rsid w:val="006C2D4A"/>
    <w:rsid w:val="006C2DE7"/>
    <w:rsid w:val="006C2F5A"/>
    <w:rsid w:val="006C306A"/>
    <w:rsid w:val="006C307C"/>
    <w:rsid w:val="006C353F"/>
    <w:rsid w:val="006C360C"/>
    <w:rsid w:val="006C36D5"/>
    <w:rsid w:val="006C3989"/>
    <w:rsid w:val="006C3A5A"/>
    <w:rsid w:val="006C4291"/>
    <w:rsid w:val="006C4711"/>
    <w:rsid w:val="006C47C4"/>
    <w:rsid w:val="006C48B2"/>
    <w:rsid w:val="006C49BC"/>
    <w:rsid w:val="006C4AF4"/>
    <w:rsid w:val="006C4C82"/>
    <w:rsid w:val="006C5102"/>
    <w:rsid w:val="006C52B3"/>
    <w:rsid w:val="006C549E"/>
    <w:rsid w:val="006C54CC"/>
    <w:rsid w:val="006C555F"/>
    <w:rsid w:val="006C5624"/>
    <w:rsid w:val="006C5A5D"/>
    <w:rsid w:val="006C5D27"/>
    <w:rsid w:val="006C5D40"/>
    <w:rsid w:val="006C5F67"/>
    <w:rsid w:val="006C62C3"/>
    <w:rsid w:val="006C62F3"/>
    <w:rsid w:val="006C6608"/>
    <w:rsid w:val="006C665F"/>
    <w:rsid w:val="006C6961"/>
    <w:rsid w:val="006C69AD"/>
    <w:rsid w:val="006C6B69"/>
    <w:rsid w:val="006C6CA3"/>
    <w:rsid w:val="006C6E18"/>
    <w:rsid w:val="006C7746"/>
    <w:rsid w:val="006C7D4C"/>
    <w:rsid w:val="006D000D"/>
    <w:rsid w:val="006D0452"/>
    <w:rsid w:val="006D0729"/>
    <w:rsid w:val="006D095B"/>
    <w:rsid w:val="006D0C7F"/>
    <w:rsid w:val="006D0D58"/>
    <w:rsid w:val="006D0DF1"/>
    <w:rsid w:val="006D0EB1"/>
    <w:rsid w:val="006D10E0"/>
    <w:rsid w:val="006D12BF"/>
    <w:rsid w:val="006D1727"/>
    <w:rsid w:val="006D17B1"/>
    <w:rsid w:val="006D1992"/>
    <w:rsid w:val="006D1E1A"/>
    <w:rsid w:val="006D1F94"/>
    <w:rsid w:val="006D218C"/>
    <w:rsid w:val="006D21D0"/>
    <w:rsid w:val="006D2646"/>
    <w:rsid w:val="006D2859"/>
    <w:rsid w:val="006D2B4D"/>
    <w:rsid w:val="006D2B91"/>
    <w:rsid w:val="006D2BF8"/>
    <w:rsid w:val="006D2C82"/>
    <w:rsid w:val="006D2FB7"/>
    <w:rsid w:val="006D3281"/>
    <w:rsid w:val="006D34A9"/>
    <w:rsid w:val="006D39E2"/>
    <w:rsid w:val="006D3AAE"/>
    <w:rsid w:val="006D3ABD"/>
    <w:rsid w:val="006D3BF7"/>
    <w:rsid w:val="006D3F2F"/>
    <w:rsid w:val="006D3F82"/>
    <w:rsid w:val="006D4465"/>
    <w:rsid w:val="006D44F7"/>
    <w:rsid w:val="006D45EF"/>
    <w:rsid w:val="006D4675"/>
    <w:rsid w:val="006D4683"/>
    <w:rsid w:val="006D47EF"/>
    <w:rsid w:val="006D4A54"/>
    <w:rsid w:val="006D4C94"/>
    <w:rsid w:val="006D4D15"/>
    <w:rsid w:val="006D4F09"/>
    <w:rsid w:val="006D51DD"/>
    <w:rsid w:val="006D5463"/>
    <w:rsid w:val="006D54AD"/>
    <w:rsid w:val="006D54D4"/>
    <w:rsid w:val="006D5727"/>
    <w:rsid w:val="006D585A"/>
    <w:rsid w:val="006D5B43"/>
    <w:rsid w:val="006D5CD4"/>
    <w:rsid w:val="006D5E8F"/>
    <w:rsid w:val="006D5E91"/>
    <w:rsid w:val="006D5EC6"/>
    <w:rsid w:val="006D5F4F"/>
    <w:rsid w:val="006D60A4"/>
    <w:rsid w:val="006D6320"/>
    <w:rsid w:val="006D667D"/>
    <w:rsid w:val="006D6A6A"/>
    <w:rsid w:val="006D6C67"/>
    <w:rsid w:val="006D6D2C"/>
    <w:rsid w:val="006D6D52"/>
    <w:rsid w:val="006D7062"/>
    <w:rsid w:val="006D74B8"/>
    <w:rsid w:val="006D7693"/>
    <w:rsid w:val="006D7BE7"/>
    <w:rsid w:val="006E0004"/>
    <w:rsid w:val="006E0267"/>
    <w:rsid w:val="006E03B8"/>
    <w:rsid w:val="006E0454"/>
    <w:rsid w:val="006E0BEA"/>
    <w:rsid w:val="006E0C81"/>
    <w:rsid w:val="006E0D07"/>
    <w:rsid w:val="006E0D22"/>
    <w:rsid w:val="006E0E74"/>
    <w:rsid w:val="006E0E98"/>
    <w:rsid w:val="006E0ED3"/>
    <w:rsid w:val="006E1228"/>
    <w:rsid w:val="006E133B"/>
    <w:rsid w:val="006E14C7"/>
    <w:rsid w:val="006E178B"/>
    <w:rsid w:val="006E1BEE"/>
    <w:rsid w:val="006E1CFF"/>
    <w:rsid w:val="006E1E60"/>
    <w:rsid w:val="006E1EE7"/>
    <w:rsid w:val="006E20C1"/>
    <w:rsid w:val="006E2193"/>
    <w:rsid w:val="006E2313"/>
    <w:rsid w:val="006E23B1"/>
    <w:rsid w:val="006E2863"/>
    <w:rsid w:val="006E2967"/>
    <w:rsid w:val="006E29CF"/>
    <w:rsid w:val="006E2B54"/>
    <w:rsid w:val="006E31D6"/>
    <w:rsid w:val="006E32D0"/>
    <w:rsid w:val="006E3304"/>
    <w:rsid w:val="006E33CE"/>
    <w:rsid w:val="006E3536"/>
    <w:rsid w:val="006E35AC"/>
    <w:rsid w:val="006E37E7"/>
    <w:rsid w:val="006E3875"/>
    <w:rsid w:val="006E395E"/>
    <w:rsid w:val="006E3AB6"/>
    <w:rsid w:val="006E3B72"/>
    <w:rsid w:val="006E3FA0"/>
    <w:rsid w:val="006E4257"/>
    <w:rsid w:val="006E438D"/>
    <w:rsid w:val="006E44BD"/>
    <w:rsid w:val="006E5425"/>
    <w:rsid w:val="006E5580"/>
    <w:rsid w:val="006E5DB5"/>
    <w:rsid w:val="006E5F27"/>
    <w:rsid w:val="006E5F2B"/>
    <w:rsid w:val="006E604A"/>
    <w:rsid w:val="006E6079"/>
    <w:rsid w:val="006E60DA"/>
    <w:rsid w:val="006E642A"/>
    <w:rsid w:val="006E67EA"/>
    <w:rsid w:val="006E68A2"/>
    <w:rsid w:val="006E68C1"/>
    <w:rsid w:val="006E6A30"/>
    <w:rsid w:val="006E6A7F"/>
    <w:rsid w:val="006E6DBD"/>
    <w:rsid w:val="006E6E0F"/>
    <w:rsid w:val="006E6E39"/>
    <w:rsid w:val="006E749A"/>
    <w:rsid w:val="006E75EE"/>
    <w:rsid w:val="006E7787"/>
    <w:rsid w:val="006E783B"/>
    <w:rsid w:val="006E7AB2"/>
    <w:rsid w:val="006E7C2F"/>
    <w:rsid w:val="006E7CFA"/>
    <w:rsid w:val="006E7D1A"/>
    <w:rsid w:val="006E7DE5"/>
    <w:rsid w:val="006F007B"/>
    <w:rsid w:val="006F0229"/>
    <w:rsid w:val="006F06B2"/>
    <w:rsid w:val="006F09AE"/>
    <w:rsid w:val="006F0ADB"/>
    <w:rsid w:val="006F0FCD"/>
    <w:rsid w:val="006F1209"/>
    <w:rsid w:val="006F1646"/>
    <w:rsid w:val="006F16CF"/>
    <w:rsid w:val="006F1A32"/>
    <w:rsid w:val="006F1B10"/>
    <w:rsid w:val="006F1C8E"/>
    <w:rsid w:val="006F1D11"/>
    <w:rsid w:val="006F1EE2"/>
    <w:rsid w:val="006F1FE6"/>
    <w:rsid w:val="006F2235"/>
    <w:rsid w:val="006F2258"/>
    <w:rsid w:val="006F229D"/>
    <w:rsid w:val="006F23DB"/>
    <w:rsid w:val="006F24EF"/>
    <w:rsid w:val="006F26A3"/>
    <w:rsid w:val="006F26D4"/>
    <w:rsid w:val="006F2770"/>
    <w:rsid w:val="006F27E5"/>
    <w:rsid w:val="006F283F"/>
    <w:rsid w:val="006F297A"/>
    <w:rsid w:val="006F2A8B"/>
    <w:rsid w:val="006F2B22"/>
    <w:rsid w:val="006F2CCB"/>
    <w:rsid w:val="006F2E39"/>
    <w:rsid w:val="006F2F69"/>
    <w:rsid w:val="006F302E"/>
    <w:rsid w:val="006F32DB"/>
    <w:rsid w:val="006F333C"/>
    <w:rsid w:val="006F35C3"/>
    <w:rsid w:val="006F3744"/>
    <w:rsid w:val="006F37C5"/>
    <w:rsid w:val="006F3E1D"/>
    <w:rsid w:val="006F3F02"/>
    <w:rsid w:val="006F4190"/>
    <w:rsid w:val="006F43BC"/>
    <w:rsid w:val="006F4C8F"/>
    <w:rsid w:val="006F4EC8"/>
    <w:rsid w:val="006F4FE5"/>
    <w:rsid w:val="006F5041"/>
    <w:rsid w:val="006F50CA"/>
    <w:rsid w:val="006F5342"/>
    <w:rsid w:val="006F545D"/>
    <w:rsid w:val="006F5666"/>
    <w:rsid w:val="006F59DB"/>
    <w:rsid w:val="006F5A06"/>
    <w:rsid w:val="006F5B30"/>
    <w:rsid w:val="006F5E24"/>
    <w:rsid w:val="006F6082"/>
    <w:rsid w:val="006F60EF"/>
    <w:rsid w:val="006F6271"/>
    <w:rsid w:val="006F62FA"/>
    <w:rsid w:val="006F6440"/>
    <w:rsid w:val="006F667F"/>
    <w:rsid w:val="006F66C1"/>
    <w:rsid w:val="006F670D"/>
    <w:rsid w:val="006F6806"/>
    <w:rsid w:val="006F6913"/>
    <w:rsid w:val="006F6948"/>
    <w:rsid w:val="006F69A9"/>
    <w:rsid w:val="006F6B5B"/>
    <w:rsid w:val="006F6E25"/>
    <w:rsid w:val="006F6E69"/>
    <w:rsid w:val="006F6F15"/>
    <w:rsid w:val="006F70CB"/>
    <w:rsid w:val="006F71B5"/>
    <w:rsid w:val="006F71C7"/>
    <w:rsid w:val="006F729B"/>
    <w:rsid w:val="006F72AE"/>
    <w:rsid w:val="006F72DE"/>
    <w:rsid w:val="006F73C5"/>
    <w:rsid w:val="006F74C2"/>
    <w:rsid w:val="006F762E"/>
    <w:rsid w:val="006F76C6"/>
    <w:rsid w:val="006F79DB"/>
    <w:rsid w:val="006F7E62"/>
    <w:rsid w:val="006F7F24"/>
    <w:rsid w:val="007000C1"/>
    <w:rsid w:val="007001E9"/>
    <w:rsid w:val="0070026A"/>
    <w:rsid w:val="007004EB"/>
    <w:rsid w:val="00700A33"/>
    <w:rsid w:val="00700A98"/>
    <w:rsid w:val="00700BED"/>
    <w:rsid w:val="00700C39"/>
    <w:rsid w:val="00700E1A"/>
    <w:rsid w:val="00700ED7"/>
    <w:rsid w:val="00701013"/>
    <w:rsid w:val="0070105B"/>
    <w:rsid w:val="007010A8"/>
    <w:rsid w:val="00701100"/>
    <w:rsid w:val="0070116E"/>
    <w:rsid w:val="00701215"/>
    <w:rsid w:val="00701449"/>
    <w:rsid w:val="00701546"/>
    <w:rsid w:val="007017C3"/>
    <w:rsid w:val="00701BAD"/>
    <w:rsid w:val="00701C63"/>
    <w:rsid w:val="00701CDA"/>
    <w:rsid w:val="00701E9B"/>
    <w:rsid w:val="00701F6D"/>
    <w:rsid w:val="007021B7"/>
    <w:rsid w:val="00702213"/>
    <w:rsid w:val="007023D8"/>
    <w:rsid w:val="00702431"/>
    <w:rsid w:val="0070267B"/>
    <w:rsid w:val="0070289F"/>
    <w:rsid w:val="00702A36"/>
    <w:rsid w:val="00702DE2"/>
    <w:rsid w:val="00702EAB"/>
    <w:rsid w:val="00702FA1"/>
    <w:rsid w:val="00703158"/>
    <w:rsid w:val="00703334"/>
    <w:rsid w:val="00703558"/>
    <w:rsid w:val="00703842"/>
    <w:rsid w:val="00703CA4"/>
    <w:rsid w:val="00703FDB"/>
    <w:rsid w:val="00704635"/>
    <w:rsid w:val="00704798"/>
    <w:rsid w:val="0070483C"/>
    <w:rsid w:val="00704A88"/>
    <w:rsid w:val="00704DB5"/>
    <w:rsid w:val="00704DE0"/>
    <w:rsid w:val="007051F1"/>
    <w:rsid w:val="00705206"/>
    <w:rsid w:val="0070530C"/>
    <w:rsid w:val="007055E0"/>
    <w:rsid w:val="007055EC"/>
    <w:rsid w:val="007056CD"/>
    <w:rsid w:val="007056F2"/>
    <w:rsid w:val="00705835"/>
    <w:rsid w:val="00705974"/>
    <w:rsid w:val="00705A19"/>
    <w:rsid w:val="00705A74"/>
    <w:rsid w:val="0070629A"/>
    <w:rsid w:val="00706675"/>
    <w:rsid w:val="0070668B"/>
    <w:rsid w:val="00707204"/>
    <w:rsid w:val="007072A8"/>
    <w:rsid w:val="007072D2"/>
    <w:rsid w:val="007072F4"/>
    <w:rsid w:val="00707673"/>
    <w:rsid w:val="0070770C"/>
    <w:rsid w:val="00707982"/>
    <w:rsid w:val="00707A6A"/>
    <w:rsid w:val="00707BF8"/>
    <w:rsid w:val="00707FB8"/>
    <w:rsid w:val="00710789"/>
    <w:rsid w:val="00710D1A"/>
    <w:rsid w:val="00710F2A"/>
    <w:rsid w:val="00710FD1"/>
    <w:rsid w:val="0071126B"/>
    <w:rsid w:val="00711886"/>
    <w:rsid w:val="0071195A"/>
    <w:rsid w:val="00711B05"/>
    <w:rsid w:val="00711BFF"/>
    <w:rsid w:val="00711C8F"/>
    <w:rsid w:val="007120B3"/>
    <w:rsid w:val="00712338"/>
    <w:rsid w:val="00712490"/>
    <w:rsid w:val="00712C6C"/>
    <w:rsid w:val="00712CA0"/>
    <w:rsid w:val="00712D2F"/>
    <w:rsid w:val="00712DF1"/>
    <w:rsid w:val="00713082"/>
    <w:rsid w:val="007132FC"/>
    <w:rsid w:val="00713615"/>
    <w:rsid w:val="007136A3"/>
    <w:rsid w:val="007136C9"/>
    <w:rsid w:val="00713817"/>
    <w:rsid w:val="00713867"/>
    <w:rsid w:val="007138C9"/>
    <w:rsid w:val="00713B33"/>
    <w:rsid w:val="0071408B"/>
    <w:rsid w:val="007143FA"/>
    <w:rsid w:val="00714437"/>
    <w:rsid w:val="00714488"/>
    <w:rsid w:val="0071465E"/>
    <w:rsid w:val="007148C7"/>
    <w:rsid w:val="00714D3B"/>
    <w:rsid w:val="00714E72"/>
    <w:rsid w:val="00715060"/>
    <w:rsid w:val="00715332"/>
    <w:rsid w:val="007153CA"/>
    <w:rsid w:val="007155E5"/>
    <w:rsid w:val="00715660"/>
    <w:rsid w:val="007158C6"/>
    <w:rsid w:val="007159B7"/>
    <w:rsid w:val="00715BD6"/>
    <w:rsid w:val="00715CC8"/>
    <w:rsid w:val="00716032"/>
    <w:rsid w:val="00716046"/>
    <w:rsid w:val="00716084"/>
    <w:rsid w:val="007160E2"/>
    <w:rsid w:val="007160E4"/>
    <w:rsid w:val="00716120"/>
    <w:rsid w:val="007161A9"/>
    <w:rsid w:val="0071623F"/>
    <w:rsid w:val="007162A4"/>
    <w:rsid w:val="00716550"/>
    <w:rsid w:val="0071659D"/>
    <w:rsid w:val="007165D8"/>
    <w:rsid w:val="007166B7"/>
    <w:rsid w:val="00716771"/>
    <w:rsid w:val="0071692B"/>
    <w:rsid w:val="00716A85"/>
    <w:rsid w:val="00716C5A"/>
    <w:rsid w:val="00716CA1"/>
    <w:rsid w:val="00716D02"/>
    <w:rsid w:val="00716E6C"/>
    <w:rsid w:val="00716FE1"/>
    <w:rsid w:val="007170A7"/>
    <w:rsid w:val="0071714E"/>
    <w:rsid w:val="007174DF"/>
    <w:rsid w:val="00717597"/>
    <w:rsid w:val="00717648"/>
    <w:rsid w:val="00717974"/>
    <w:rsid w:val="00717DAC"/>
    <w:rsid w:val="00717F80"/>
    <w:rsid w:val="00717F93"/>
    <w:rsid w:val="00717FA8"/>
    <w:rsid w:val="00717FB8"/>
    <w:rsid w:val="00720361"/>
    <w:rsid w:val="00720507"/>
    <w:rsid w:val="00720508"/>
    <w:rsid w:val="007209E4"/>
    <w:rsid w:val="00720BEA"/>
    <w:rsid w:val="0072104E"/>
    <w:rsid w:val="00721183"/>
    <w:rsid w:val="0072121E"/>
    <w:rsid w:val="00721279"/>
    <w:rsid w:val="0072128E"/>
    <w:rsid w:val="00721358"/>
    <w:rsid w:val="007215EF"/>
    <w:rsid w:val="007219B3"/>
    <w:rsid w:val="00721B52"/>
    <w:rsid w:val="00721C57"/>
    <w:rsid w:val="007221DE"/>
    <w:rsid w:val="00722667"/>
    <w:rsid w:val="0072266D"/>
    <w:rsid w:val="007226ED"/>
    <w:rsid w:val="007228D9"/>
    <w:rsid w:val="007229B7"/>
    <w:rsid w:val="00722CF7"/>
    <w:rsid w:val="00722EB3"/>
    <w:rsid w:val="00723078"/>
    <w:rsid w:val="0072310C"/>
    <w:rsid w:val="00723215"/>
    <w:rsid w:val="00723282"/>
    <w:rsid w:val="00723292"/>
    <w:rsid w:val="00723400"/>
    <w:rsid w:val="007235C9"/>
    <w:rsid w:val="007236F4"/>
    <w:rsid w:val="00723728"/>
    <w:rsid w:val="0072392F"/>
    <w:rsid w:val="00723A67"/>
    <w:rsid w:val="00723C43"/>
    <w:rsid w:val="0072407D"/>
    <w:rsid w:val="007241EF"/>
    <w:rsid w:val="0072427D"/>
    <w:rsid w:val="0072460E"/>
    <w:rsid w:val="007247BD"/>
    <w:rsid w:val="007249EF"/>
    <w:rsid w:val="00724D4B"/>
    <w:rsid w:val="00724DFC"/>
    <w:rsid w:val="00724E40"/>
    <w:rsid w:val="007253AE"/>
    <w:rsid w:val="0072580E"/>
    <w:rsid w:val="007258E7"/>
    <w:rsid w:val="00725C1F"/>
    <w:rsid w:val="00725FBB"/>
    <w:rsid w:val="007263CD"/>
    <w:rsid w:val="007267BE"/>
    <w:rsid w:val="00726B42"/>
    <w:rsid w:val="00726CA6"/>
    <w:rsid w:val="00726F46"/>
    <w:rsid w:val="0072740B"/>
    <w:rsid w:val="00727512"/>
    <w:rsid w:val="0072760B"/>
    <w:rsid w:val="007276C4"/>
    <w:rsid w:val="00727721"/>
    <w:rsid w:val="0072785E"/>
    <w:rsid w:val="007279CA"/>
    <w:rsid w:val="00727B37"/>
    <w:rsid w:val="00727B55"/>
    <w:rsid w:val="00727B69"/>
    <w:rsid w:val="00727B84"/>
    <w:rsid w:val="00727C2D"/>
    <w:rsid w:val="00727DCB"/>
    <w:rsid w:val="00727DCE"/>
    <w:rsid w:val="007301C9"/>
    <w:rsid w:val="007305CC"/>
    <w:rsid w:val="00730918"/>
    <w:rsid w:val="0073093C"/>
    <w:rsid w:val="00730B6C"/>
    <w:rsid w:val="00730E1B"/>
    <w:rsid w:val="00730EEA"/>
    <w:rsid w:val="00730F7A"/>
    <w:rsid w:val="00731328"/>
    <w:rsid w:val="0073150F"/>
    <w:rsid w:val="007315F9"/>
    <w:rsid w:val="00731726"/>
    <w:rsid w:val="007317DE"/>
    <w:rsid w:val="00731A6D"/>
    <w:rsid w:val="00731E54"/>
    <w:rsid w:val="00731EBD"/>
    <w:rsid w:val="007320E1"/>
    <w:rsid w:val="0073220C"/>
    <w:rsid w:val="00732370"/>
    <w:rsid w:val="00732425"/>
    <w:rsid w:val="00732430"/>
    <w:rsid w:val="0073292B"/>
    <w:rsid w:val="00732979"/>
    <w:rsid w:val="00732D04"/>
    <w:rsid w:val="00732E8E"/>
    <w:rsid w:val="00732F83"/>
    <w:rsid w:val="007334A7"/>
    <w:rsid w:val="007335BF"/>
    <w:rsid w:val="00733764"/>
    <w:rsid w:val="00733980"/>
    <w:rsid w:val="00733B8A"/>
    <w:rsid w:val="00733D30"/>
    <w:rsid w:val="0073431A"/>
    <w:rsid w:val="00734328"/>
    <w:rsid w:val="0073448B"/>
    <w:rsid w:val="007344E8"/>
    <w:rsid w:val="00734588"/>
    <w:rsid w:val="0073469A"/>
    <w:rsid w:val="007346E8"/>
    <w:rsid w:val="00734757"/>
    <w:rsid w:val="007349E5"/>
    <w:rsid w:val="00734A67"/>
    <w:rsid w:val="00734D0B"/>
    <w:rsid w:val="00734DE3"/>
    <w:rsid w:val="00734E0C"/>
    <w:rsid w:val="007357BE"/>
    <w:rsid w:val="0073581C"/>
    <w:rsid w:val="00735B68"/>
    <w:rsid w:val="00735D44"/>
    <w:rsid w:val="00735DAF"/>
    <w:rsid w:val="00735DD0"/>
    <w:rsid w:val="00736088"/>
    <w:rsid w:val="007361E6"/>
    <w:rsid w:val="007361F3"/>
    <w:rsid w:val="007362C8"/>
    <w:rsid w:val="00736733"/>
    <w:rsid w:val="0073692F"/>
    <w:rsid w:val="00736B4E"/>
    <w:rsid w:val="00736CB7"/>
    <w:rsid w:val="00736CEA"/>
    <w:rsid w:val="00736E7A"/>
    <w:rsid w:val="0073708C"/>
    <w:rsid w:val="007371C1"/>
    <w:rsid w:val="00737367"/>
    <w:rsid w:val="007373F6"/>
    <w:rsid w:val="00737496"/>
    <w:rsid w:val="007374E1"/>
    <w:rsid w:val="0073766D"/>
    <w:rsid w:val="00737977"/>
    <w:rsid w:val="007379A2"/>
    <w:rsid w:val="007379FA"/>
    <w:rsid w:val="00737C67"/>
    <w:rsid w:val="00737D8E"/>
    <w:rsid w:val="00740095"/>
    <w:rsid w:val="0074015A"/>
    <w:rsid w:val="007402F0"/>
    <w:rsid w:val="00740380"/>
    <w:rsid w:val="0074048A"/>
    <w:rsid w:val="00740500"/>
    <w:rsid w:val="0074065F"/>
    <w:rsid w:val="0074082F"/>
    <w:rsid w:val="00740CE3"/>
    <w:rsid w:val="00740D8D"/>
    <w:rsid w:val="00741050"/>
    <w:rsid w:val="0074134D"/>
    <w:rsid w:val="0074138F"/>
    <w:rsid w:val="00741445"/>
    <w:rsid w:val="00741546"/>
    <w:rsid w:val="00741583"/>
    <w:rsid w:val="007419E0"/>
    <w:rsid w:val="00741B32"/>
    <w:rsid w:val="00741C53"/>
    <w:rsid w:val="007423EC"/>
    <w:rsid w:val="00742428"/>
    <w:rsid w:val="00742457"/>
    <w:rsid w:val="007424C8"/>
    <w:rsid w:val="00742AEF"/>
    <w:rsid w:val="00742BD1"/>
    <w:rsid w:val="00742D9B"/>
    <w:rsid w:val="00742E92"/>
    <w:rsid w:val="00742F0D"/>
    <w:rsid w:val="00743188"/>
    <w:rsid w:val="007431B1"/>
    <w:rsid w:val="0074329F"/>
    <w:rsid w:val="0074339B"/>
    <w:rsid w:val="00743548"/>
    <w:rsid w:val="007438DD"/>
    <w:rsid w:val="00743902"/>
    <w:rsid w:val="00743AF4"/>
    <w:rsid w:val="00743BE3"/>
    <w:rsid w:val="00743CE3"/>
    <w:rsid w:val="00743DF4"/>
    <w:rsid w:val="00743F51"/>
    <w:rsid w:val="00743F84"/>
    <w:rsid w:val="00743FC3"/>
    <w:rsid w:val="007440A9"/>
    <w:rsid w:val="007440BD"/>
    <w:rsid w:val="00744120"/>
    <w:rsid w:val="007441AA"/>
    <w:rsid w:val="007445D1"/>
    <w:rsid w:val="0074493F"/>
    <w:rsid w:val="00744CA6"/>
    <w:rsid w:val="00744E9B"/>
    <w:rsid w:val="007450B0"/>
    <w:rsid w:val="0074539F"/>
    <w:rsid w:val="00745817"/>
    <w:rsid w:val="00745867"/>
    <w:rsid w:val="00745907"/>
    <w:rsid w:val="00745925"/>
    <w:rsid w:val="00746072"/>
    <w:rsid w:val="00746614"/>
    <w:rsid w:val="0074697B"/>
    <w:rsid w:val="00746980"/>
    <w:rsid w:val="00746A08"/>
    <w:rsid w:val="00746C8A"/>
    <w:rsid w:val="00746CDE"/>
    <w:rsid w:val="00746E05"/>
    <w:rsid w:val="00746F09"/>
    <w:rsid w:val="00747146"/>
    <w:rsid w:val="007471C8"/>
    <w:rsid w:val="007472DD"/>
    <w:rsid w:val="0074761C"/>
    <w:rsid w:val="0074769F"/>
    <w:rsid w:val="007479CB"/>
    <w:rsid w:val="00747C25"/>
    <w:rsid w:val="00750596"/>
    <w:rsid w:val="007508E5"/>
    <w:rsid w:val="00750AF0"/>
    <w:rsid w:val="00750C11"/>
    <w:rsid w:val="00750C19"/>
    <w:rsid w:val="00750C77"/>
    <w:rsid w:val="00750DD7"/>
    <w:rsid w:val="00750F30"/>
    <w:rsid w:val="0075110F"/>
    <w:rsid w:val="00751327"/>
    <w:rsid w:val="007514E6"/>
    <w:rsid w:val="007518AC"/>
    <w:rsid w:val="007518E6"/>
    <w:rsid w:val="00751AF6"/>
    <w:rsid w:val="00751CB1"/>
    <w:rsid w:val="00751CCF"/>
    <w:rsid w:val="00751CF2"/>
    <w:rsid w:val="007523B0"/>
    <w:rsid w:val="0075246D"/>
    <w:rsid w:val="007525D9"/>
    <w:rsid w:val="007527E5"/>
    <w:rsid w:val="00752B96"/>
    <w:rsid w:val="00752BF1"/>
    <w:rsid w:val="00752C95"/>
    <w:rsid w:val="00752E46"/>
    <w:rsid w:val="00753079"/>
    <w:rsid w:val="00753086"/>
    <w:rsid w:val="007530AA"/>
    <w:rsid w:val="007530FD"/>
    <w:rsid w:val="00753475"/>
    <w:rsid w:val="007534AD"/>
    <w:rsid w:val="007535BA"/>
    <w:rsid w:val="007537F3"/>
    <w:rsid w:val="0075386F"/>
    <w:rsid w:val="007539F7"/>
    <w:rsid w:val="00753BE7"/>
    <w:rsid w:val="00753E65"/>
    <w:rsid w:val="00754004"/>
    <w:rsid w:val="00754061"/>
    <w:rsid w:val="0075409B"/>
    <w:rsid w:val="007540F7"/>
    <w:rsid w:val="00754589"/>
    <w:rsid w:val="007546F3"/>
    <w:rsid w:val="007546F9"/>
    <w:rsid w:val="0075485D"/>
    <w:rsid w:val="00754CA7"/>
    <w:rsid w:val="0075500C"/>
    <w:rsid w:val="00755134"/>
    <w:rsid w:val="007556C4"/>
    <w:rsid w:val="007556CC"/>
    <w:rsid w:val="00755792"/>
    <w:rsid w:val="00755A5D"/>
    <w:rsid w:val="00755BE2"/>
    <w:rsid w:val="00755C3F"/>
    <w:rsid w:val="00755C79"/>
    <w:rsid w:val="00755E09"/>
    <w:rsid w:val="00755E70"/>
    <w:rsid w:val="00755F2F"/>
    <w:rsid w:val="00756004"/>
    <w:rsid w:val="007560CE"/>
    <w:rsid w:val="007560F2"/>
    <w:rsid w:val="00756168"/>
    <w:rsid w:val="0075632E"/>
    <w:rsid w:val="00756363"/>
    <w:rsid w:val="0075642B"/>
    <w:rsid w:val="007566AD"/>
    <w:rsid w:val="0075677C"/>
    <w:rsid w:val="0075691A"/>
    <w:rsid w:val="00756BA4"/>
    <w:rsid w:val="00756C78"/>
    <w:rsid w:val="00756E3D"/>
    <w:rsid w:val="00756E74"/>
    <w:rsid w:val="00756E86"/>
    <w:rsid w:val="00757000"/>
    <w:rsid w:val="00757161"/>
    <w:rsid w:val="00757269"/>
    <w:rsid w:val="007576E6"/>
    <w:rsid w:val="007579FD"/>
    <w:rsid w:val="00757DDC"/>
    <w:rsid w:val="00760304"/>
    <w:rsid w:val="007604F2"/>
    <w:rsid w:val="0076088B"/>
    <w:rsid w:val="00760926"/>
    <w:rsid w:val="00760AF2"/>
    <w:rsid w:val="00760B46"/>
    <w:rsid w:val="00760B57"/>
    <w:rsid w:val="00760D27"/>
    <w:rsid w:val="00760E14"/>
    <w:rsid w:val="00760E1B"/>
    <w:rsid w:val="00760EA9"/>
    <w:rsid w:val="00761212"/>
    <w:rsid w:val="00761392"/>
    <w:rsid w:val="0076198F"/>
    <w:rsid w:val="00761DF1"/>
    <w:rsid w:val="00761EF8"/>
    <w:rsid w:val="00761FEB"/>
    <w:rsid w:val="0076238F"/>
    <w:rsid w:val="0076264C"/>
    <w:rsid w:val="00762917"/>
    <w:rsid w:val="00762ADC"/>
    <w:rsid w:val="00762F25"/>
    <w:rsid w:val="00762F69"/>
    <w:rsid w:val="00762FF1"/>
    <w:rsid w:val="0076319B"/>
    <w:rsid w:val="007631A0"/>
    <w:rsid w:val="007631D1"/>
    <w:rsid w:val="00763518"/>
    <w:rsid w:val="007636FF"/>
    <w:rsid w:val="0076374F"/>
    <w:rsid w:val="007639C2"/>
    <w:rsid w:val="00763A10"/>
    <w:rsid w:val="00763A5A"/>
    <w:rsid w:val="00763A9A"/>
    <w:rsid w:val="00763ABA"/>
    <w:rsid w:val="00763BFD"/>
    <w:rsid w:val="0076405E"/>
    <w:rsid w:val="007643DA"/>
    <w:rsid w:val="007646DA"/>
    <w:rsid w:val="00764719"/>
    <w:rsid w:val="00764AF1"/>
    <w:rsid w:val="00764B96"/>
    <w:rsid w:val="00764DBA"/>
    <w:rsid w:val="00764FE1"/>
    <w:rsid w:val="00765118"/>
    <w:rsid w:val="0076538A"/>
    <w:rsid w:val="007653C3"/>
    <w:rsid w:val="007658CB"/>
    <w:rsid w:val="00765C9F"/>
    <w:rsid w:val="00765D3D"/>
    <w:rsid w:val="00765D46"/>
    <w:rsid w:val="00765F9C"/>
    <w:rsid w:val="00766069"/>
    <w:rsid w:val="00766252"/>
    <w:rsid w:val="00766498"/>
    <w:rsid w:val="007664B7"/>
    <w:rsid w:val="0076661D"/>
    <w:rsid w:val="0076663C"/>
    <w:rsid w:val="0076677D"/>
    <w:rsid w:val="007667BB"/>
    <w:rsid w:val="0076688E"/>
    <w:rsid w:val="00766891"/>
    <w:rsid w:val="00766960"/>
    <w:rsid w:val="007669DE"/>
    <w:rsid w:val="00766A1F"/>
    <w:rsid w:val="00766A26"/>
    <w:rsid w:val="00766AD4"/>
    <w:rsid w:val="00766B10"/>
    <w:rsid w:val="00766DB4"/>
    <w:rsid w:val="007672DE"/>
    <w:rsid w:val="007673BD"/>
    <w:rsid w:val="0076748B"/>
    <w:rsid w:val="007676B9"/>
    <w:rsid w:val="007678D0"/>
    <w:rsid w:val="00767A06"/>
    <w:rsid w:val="00767B2A"/>
    <w:rsid w:val="00767EAE"/>
    <w:rsid w:val="00770130"/>
    <w:rsid w:val="00770351"/>
    <w:rsid w:val="007705D9"/>
    <w:rsid w:val="00770947"/>
    <w:rsid w:val="007709B9"/>
    <w:rsid w:val="00770A52"/>
    <w:rsid w:val="00770BD6"/>
    <w:rsid w:val="00770C35"/>
    <w:rsid w:val="00770C69"/>
    <w:rsid w:val="00770CE0"/>
    <w:rsid w:val="00770D9D"/>
    <w:rsid w:val="00770DB0"/>
    <w:rsid w:val="00770F5B"/>
    <w:rsid w:val="00770FE6"/>
    <w:rsid w:val="00771037"/>
    <w:rsid w:val="00771200"/>
    <w:rsid w:val="0077158A"/>
    <w:rsid w:val="007715D0"/>
    <w:rsid w:val="007715F7"/>
    <w:rsid w:val="007716D0"/>
    <w:rsid w:val="007719F0"/>
    <w:rsid w:val="00771CD3"/>
    <w:rsid w:val="00771D4B"/>
    <w:rsid w:val="00771E33"/>
    <w:rsid w:val="007720E9"/>
    <w:rsid w:val="00772108"/>
    <w:rsid w:val="00772115"/>
    <w:rsid w:val="00772443"/>
    <w:rsid w:val="00772725"/>
    <w:rsid w:val="0077283E"/>
    <w:rsid w:val="00772878"/>
    <w:rsid w:val="0077292C"/>
    <w:rsid w:val="00772954"/>
    <w:rsid w:val="00772CB3"/>
    <w:rsid w:val="007731A8"/>
    <w:rsid w:val="0077344A"/>
    <w:rsid w:val="00773A5F"/>
    <w:rsid w:val="00773BD1"/>
    <w:rsid w:val="00773E88"/>
    <w:rsid w:val="00773F84"/>
    <w:rsid w:val="00773F93"/>
    <w:rsid w:val="007743B6"/>
    <w:rsid w:val="0077443E"/>
    <w:rsid w:val="007744BC"/>
    <w:rsid w:val="0077451F"/>
    <w:rsid w:val="00774804"/>
    <w:rsid w:val="007749DE"/>
    <w:rsid w:val="00774DD8"/>
    <w:rsid w:val="00774E44"/>
    <w:rsid w:val="00775012"/>
    <w:rsid w:val="00775165"/>
    <w:rsid w:val="0077525A"/>
    <w:rsid w:val="007753AE"/>
    <w:rsid w:val="007754A1"/>
    <w:rsid w:val="007755D9"/>
    <w:rsid w:val="007755DC"/>
    <w:rsid w:val="00775A91"/>
    <w:rsid w:val="00775CD4"/>
    <w:rsid w:val="00775DD7"/>
    <w:rsid w:val="00775FB6"/>
    <w:rsid w:val="00776317"/>
    <w:rsid w:val="007765A4"/>
    <w:rsid w:val="007766FE"/>
    <w:rsid w:val="00776766"/>
    <w:rsid w:val="007767C7"/>
    <w:rsid w:val="007768DC"/>
    <w:rsid w:val="007769AB"/>
    <w:rsid w:val="00776B96"/>
    <w:rsid w:val="0077708D"/>
    <w:rsid w:val="00777328"/>
    <w:rsid w:val="00777401"/>
    <w:rsid w:val="0077741A"/>
    <w:rsid w:val="00777628"/>
    <w:rsid w:val="0077769D"/>
    <w:rsid w:val="007776DB"/>
    <w:rsid w:val="00777878"/>
    <w:rsid w:val="00777C09"/>
    <w:rsid w:val="00777FF3"/>
    <w:rsid w:val="00780089"/>
    <w:rsid w:val="0078012E"/>
    <w:rsid w:val="00780285"/>
    <w:rsid w:val="00780527"/>
    <w:rsid w:val="00780744"/>
    <w:rsid w:val="007808B5"/>
    <w:rsid w:val="00780A3F"/>
    <w:rsid w:val="00780D12"/>
    <w:rsid w:val="0078114E"/>
    <w:rsid w:val="0078149B"/>
    <w:rsid w:val="00781511"/>
    <w:rsid w:val="0078153E"/>
    <w:rsid w:val="007818C0"/>
    <w:rsid w:val="00781CFF"/>
    <w:rsid w:val="00781DD8"/>
    <w:rsid w:val="007820BF"/>
    <w:rsid w:val="00782249"/>
    <w:rsid w:val="0078235D"/>
    <w:rsid w:val="00782550"/>
    <w:rsid w:val="007826DC"/>
    <w:rsid w:val="0078280D"/>
    <w:rsid w:val="00782891"/>
    <w:rsid w:val="007828CA"/>
    <w:rsid w:val="007829A9"/>
    <w:rsid w:val="00782C97"/>
    <w:rsid w:val="00782D51"/>
    <w:rsid w:val="00782F17"/>
    <w:rsid w:val="00782FA9"/>
    <w:rsid w:val="00782FC9"/>
    <w:rsid w:val="007830FB"/>
    <w:rsid w:val="00783107"/>
    <w:rsid w:val="007831E4"/>
    <w:rsid w:val="007832C4"/>
    <w:rsid w:val="00783382"/>
    <w:rsid w:val="007836BB"/>
    <w:rsid w:val="007836EE"/>
    <w:rsid w:val="0078376A"/>
    <w:rsid w:val="00783794"/>
    <w:rsid w:val="007839ED"/>
    <w:rsid w:val="00783A56"/>
    <w:rsid w:val="00783A5C"/>
    <w:rsid w:val="00783B0E"/>
    <w:rsid w:val="00783C10"/>
    <w:rsid w:val="00784012"/>
    <w:rsid w:val="0078401B"/>
    <w:rsid w:val="007840C1"/>
    <w:rsid w:val="007841FE"/>
    <w:rsid w:val="007842F7"/>
    <w:rsid w:val="007845EB"/>
    <w:rsid w:val="00784634"/>
    <w:rsid w:val="007846E3"/>
    <w:rsid w:val="00784A9C"/>
    <w:rsid w:val="00784C64"/>
    <w:rsid w:val="00784F24"/>
    <w:rsid w:val="007850EF"/>
    <w:rsid w:val="0078533C"/>
    <w:rsid w:val="007854D2"/>
    <w:rsid w:val="00785641"/>
    <w:rsid w:val="00785659"/>
    <w:rsid w:val="00785672"/>
    <w:rsid w:val="007856FE"/>
    <w:rsid w:val="00785865"/>
    <w:rsid w:val="007859C1"/>
    <w:rsid w:val="00785CDA"/>
    <w:rsid w:val="00785E7B"/>
    <w:rsid w:val="00785E80"/>
    <w:rsid w:val="00785EBD"/>
    <w:rsid w:val="00786129"/>
    <w:rsid w:val="0078634B"/>
    <w:rsid w:val="007863ED"/>
    <w:rsid w:val="0078666A"/>
    <w:rsid w:val="007866FF"/>
    <w:rsid w:val="007867A2"/>
    <w:rsid w:val="00786911"/>
    <w:rsid w:val="00786CDB"/>
    <w:rsid w:val="00787021"/>
    <w:rsid w:val="00787057"/>
    <w:rsid w:val="0078740B"/>
    <w:rsid w:val="0078746E"/>
    <w:rsid w:val="007874A9"/>
    <w:rsid w:val="0078775C"/>
    <w:rsid w:val="007877AF"/>
    <w:rsid w:val="007878BB"/>
    <w:rsid w:val="00787F68"/>
    <w:rsid w:val="007901FB"/>
    <w:rsid w:val="00790374"/>
    <w:rsid w:val="007907B5"/>
    <w:rsid w:val="00790AE6"/>
    <w:rsid w:val="00790B86"/>
    <w:rsid w:val="00790E6E"/>
    <w:rsid w:val="00791132"/>
    <w:rsid w:val="007912B7"/>
    <w:rsid w:val="00791979"/>
    <w:rsid w:val="00791A7D"/>
    <w:rsid w:val="00791CF9"/>
    <w:rsid w:val="00791D46"/>
    <w:rsid w:val="00791F45"/>
    <w:rsid w:val="00792035"/>
    <w:rsid w:val="007920ED"/>
    <w:rsid w:val="0079261E"/>
    <w:rsid w:val="00792621"/>
    <w:rsid w:val="0079277B"/>
    <w:rsid w:val="00793327"/>
    <w:rsid w:val="00793353"/>
    <w:rsid w:val="0079367A"/>
    <w:rsid w:val="007936E9"/>
    <w:rsid w:val="0079376D"/>
    <w:rsid w:val="00793839"/>
    <w:rsid w:val="0079384B"/>
    <w:rsid w:val="00793CA9"/>
    <w:rsid w:val="00793CE8"/>
    <w:rsid w:val="00794061"/>
    <w:rsid w:val="007941DA"/>
    <w:rsid w:val="007941EF"/>
    <w:rsid w:val="00794332"/>
    <w:rsid w:val="0079440D"/>
    <w:rsid w:val="007946D7"/>
    <w:rsid w:val="00794860"/>
    <w:rsid w:val="00794A65"/>
    <w:rsid w:val="00794A95"/>
    <w:rsid w:val="00794AC2"/>
    <w:rsid w:val="00794E13"/>
    <w:rsid w:val="007953EB"/>
    <w:rsid w:val="0079551E"/>
    <w:rsid w:val="0079560A"/>
    <w:rsid w:val="00795C61"/>
    <w:rsid w:val="00795C6A"/>
    <w:rsid w:val="00795CB6"/>
    <w:rsid w:val="00795D0F"/>
    <w:rsid w:val="00795EE1"/>
    <w:rsid w:val="007963B6"/>
    <w:rsid w:val="0079668A"/>
    <w:rsid w:val="00796762"/>
    <w:rsid w:val="007967EA"/>
    <w:rsid w:val="0079697C"/>
    <w:rsid w:val="007969F3"/>
    <w:rsid w:val="00796BEC"/>
    <w:rsid w:val="00796F15"/>
    <w:rsid w:val="00796F1C"/>
    <w:rsid w:val="007975D8"/>
    <w:rsid w:val="00797742"/>
    <w:rsid w:val="0079778A"/>
    <w:rsid w:val="0079784C"/>
    <w:rsid w:val="007978E5"/>
    <w:rsid w:val="00797C51"/>
    <w:rsid w:val="00797CC6"/>
    <w:rsid w:val="00797D25"/>
    <w:rsid w:val="00797D4D"/>
    <w:rsid w:val="007A0363"/>
    <w:rsid w:val="007A03B8"/>
    <w:rsid w:val="007A03DD"/>
    <w:rsid w:val="007A0442"/>
    <w:rsid w:val="007A0842"/>
    <w:rsid w:val="007A086A"/>
    <w:rsid w:val="007A08D9"/>
    <w:rsid w:val="007A0D21"/>
    <w:rsid w:val="007A0F20"/>
    <w:rsid w:val="007A0F89"/>
    <w:rsid w:val="007A0F9C"/>
    <w:rsid w:val="007A0FCB"/>
    <w:rsid w:val="007A1635"/>
    <w:rsid w:val="007A169D"/>
    <w:rsid w:val="007A170B"/>
    <w:rsid w:val="007A17A7"/>
    <w:rsid w:val="007A1D25"/>
    <w:rsid w:val="007A1D31"/>
    <w:rsid w:val="007A1E17"/>
    <w:rsid w:val="007A1F8D"/>
    <w:rsid w:val="007A2226"/>
    <w:rsid w:val="007A233F"/>
    <w:rsid w:val="007A2461"/>
    <w:rsid w:val="007A28FC"/>
    <w:rsid w:val="007A2954"/>
    <w:rsid w:val="007A2D82"/>
    <w:rsid w:val="007A3065"/>
    <w:rsid w:val="007A3086"/>
    <w:rsid w:val="007A33D3"/>
    <w:rsid w:val="007A378E"/>
    <w:rsid w:val="007A3916"/>
    <w:rsid w:val="007A3B44"/>
    <w:rsid w:val="007A3D86"/>
    <w:rsid w:val="007A3E08"/>
    <w:rsid w:val="007A3E3E"/>
    <w:rsid w:val="007A3EA2"/>
    <w:rsid w:val="007A3FC5"/>
    <w:rsid w:val="007A4279"/>
    <w:rsid w:val="007A4290"/>
    <w:rsid w:val="007A4BE3"/>
    <w:rsid w:val="007A4C5E"/>
    <w:rsid w:val="007A4F03"/>
    <w:rsid w:val="007A4FBB"/>
    <w:rsid w:val="007A561B"/>
    <w:rsid w:val="007A5638"/>
    <w:rsid w:val="007A576A"/>
    <w:rsid w:val="007A5B63"/>
    <w:rsid w:val="007A6005"/>
    <w:rsid w:val="007A615F"/>
    <w:rsid w:val="007A61B4"/>
    <w:rsid w:val="007A620C"/>
    <w:rsid w:val="007A62C4"/>
    <w:rsid w:val="007A64CB"/>
    <w:rsid w:val="007A6696"/>
    <w:rsid w:val="007A677B"/>
    <w:rsid w:val="007A6F6C"/>
    <w:rsid w:val="007A6FE4"/>
    <w:rsid w:val="007A70DB"/>
    <w:rsid w:val="007A7621"/>
    <w:rsid w:val="007A7767"/>
    <w:rsid w:val="007A7BC3"/>
    <w:rsid w:val="007B0328"/>
    <w:rsid w:val="007B081B"/>
    <w:rsid w:val="007B0886"/>
    <w:rsid w:val="007B08DF"/>
    <w:rsid w:val="007B096F"/>
    <w:rsid w:val="007B0985"/>
    <w:rsid w:val="007B0AEF"/>
    <w:rsid w:val="007B0E1C"/>
    <w:rsid w:val="007B0FEC"/>
    <w:rsid w:val="007B1029"/>
    <w:rsid w:val="007B1084"/>
    <w:rsid w:val="007B12AB"/>
    <w:rsid w:val="007B12FC"/>
    <w:rsid w:val="007B1575"/>
    <w:rsid w:val="007B175B"/>
    <w:rsid w:val="007B17AC"/>
    <w:rsid w:val="007B19B9"/>
    <w:rsid w:val="007B2300"/>
    <w:rsid w:val="007B2323"/>
    <w:rsid w:val="007B24C6"/>
    <w:rsid w:val="007B27AA"/>
    <w:rsid w:val="007B29D2"/>
    <w:rsid w:val="007B2CB4"/>
    <w:rsid w:val="007B3147"/>
    <w:rsid w:val="007B32BF"/>
    <w:rsid w:val="007B3854"/>
    <w:rsid w:val="007B3AA1"/>
    <w:rsid w:val="007B3B85"/>
    <w:rsid w:val="007B3BF3"/>
    <w:rsid w:val="007B3F09"/>
    <w:rsid w:val="007B413B"/>
    <w:rsid w:val="007B471A"/>
    <w:rsid w:val="007B47CB"/>
    <w:rsid w:val="007B48A6"/>
    <w:rsid w:val="007B4A15"/>
    <w:rsid w:val="007B4A83"/>
    <w:rsid w:val="007B4C7B"/>
    <w:rsid w:val="007B4CA2"/>
    <w:rsid w:val="007B51C3"/>
    <w:rsid w:val="007B5722"/>
    <w:rsid w:val="007B5B9D"/>
    <w:rsid w:val="007B5C37"/>
    <w:rsid w:val="007B5EF6"/>
    <w:rsid w:val="007B5F59"/>
    <w:rsid w:val="007B6189"/>
    <w:rsid w:val="007B6196"/>
    <w:rsid w:val="007B63E9"/>
    <w:rsid w:val="007B63EA"/>
    <w:rsid w:val="007B6444"/>
    <w:rsid w:val="007B6CE5"/>
    <w:rsid w:val="007B6ED5"/>
    <w:rsid w:val="007B6F8B"/>
    <w:rsid w:val="007B7172"/>
    <w:rsid w:val="007B720F"/>
    <w:rsid w:val="007B78AE"/>
    <w:rsid w:val="007B78C6"/>
    <w:rsid w:val="007B7915"/>
    <w:rsid w:val="007B7CB4"/>
    <w:rsid w:val="007B7D11"/>
    <w:rsid w:val="007B7E7A"/>
    <w:rsid w:val="007C0078"/>
    <w:rsid w:val="007C009E"/>
    <w:rsid w:val="007C00E0"/>
    <w:rsid w:val="007C03D6"/>
    <w:rsid w:val="007C05F1"/>
    <w:rsid w:val="007C06E5"/>
    <w:rsid w:val="007C0718"/>
    <w:rsid w:val="007C08C5"/>
    <w:rsid w:val="007C0AB8"/>
    <w:rsid w:val="007C0BDF"/>
    <w:rsid w:val="007C0FEE"/>
    <w:rsid w:val="007C1276"/>
    <w:rsid w:val="007C13B6"/>
    <w:rsid w:val="007C13CC"/>
    <w:rsid w:val="007C1488"/>
    <w:rsid w:val="007C1656"/>
    <w:rsid w:val="007C1822"/>
    <w:rsid w:val="007C19D0"/>
    <w:rsid w:val="007C1C34"/>
    <w:rsid w:val="007C1DA2"/>
    <w:rsid w:val="007C1F5A"/>
    <w:rsid w:val="007C2103"/>
    <w:rsid w:val="007C2139"/>
    <w:rsid w:val="007C239E"/>
    <w:rsid w:val="007C2574"/>
    <w:rsid w:val="007C27A9"/>
    <w:rsid w:val="007C2918"/>
    <w:rsid w:val="007C29B3"/>
    <w:rsid w:val="007C2A09"/>
    <w:rsid w:val="007C2A65"/>
    <w:rsid w:val="007C2AB3"/>
    <w:rsid w:val="007C2E57"/>
    <w:rsid w:val="007C2F03"/>
    <w:rsid w:val="007C2F7E"/>
    <w:rsid w:val="007C2F7F"/>
    <w:rsid w:val="007C305A"/>
    <w:rsid w:val="007C3199"/>
    <w:rsid w:val="007C3233"/>
    <w:rsid w:val="007C3475"/>
    <w:rsid w:val="007C34A4"/>
    <w:rsid w:val="007C353C"/>
    <w:rsid w:val="007C3702"/>
    <w:rsid w:val="007C3903"/>
    <w:rsid w:val="007C39CC"/>
    <w:rsid w:val="007C3D24"/>
    <w:rsid w:val="007C3D2A"/>
    <w:rsid w:val="007C3D87"/>
    <w:rsid w:val="007C3DEC"/>
    <w:rsid w:val="007C3F6F"/>
    <w:rsid w:val="007C401C"/>
    <w:rsid w:val="007C403C"/>
    <w:rsid w:val="007C4078"/>
    <w:rsid w:val="007C408F"/>
    <w:rsid w:val="007C465B"/>
    <w:rsid w:val="007C46F1"/>
    <w:rsid w:val="007C4A72"/>
    <w:rsid w:val="007C4AA4"/>
    <w:rsid w:val="007C4BF4"/>
    <w:rsid w:val="007C4EE7"/>
    <w:rsid w:val="007C4F96"/>
    <w:rsid w:val="007C525E"/>
    <w:rsid w:val="007C5359"/>
    <w:rsid w:val="007C56C6"/>
    <w:rsid w:val="007C5745"/>
    <w:rsid w:val="007C57BC"/>
    <w:rsid w:val="007C587D"/>
    <w:rsid w:val="007C58B3"/>
    <w:rsid w:val="007C599D"/>
    <w:rsid w:val="007C5C51"/>
    <w:rsid w:val="007C5EBA"/>
    <w:rsid w:val="007C5F04"/>
    <w:rsid w:val="007C63D8"/>
    <w:rsid w:val="007C6B92"/>
    <w:rsid w:val="007C6D9D"/>
    <w:rsid w:val="007C6DA8"/>
    <w:rsid w:val="007C6DE3"/>
    <w:rsid w:val="007C6F0F"/>
    <w:rsid w:val="007C6F2A"/>
    <w:rsid w:val="007C6F71"/>
    <w:rsid w:val="007C7247"/>
    <w:rsid w:val="007C7504"/>
    <w:rsid w:val="007C753F"/>
    <w:rsid w:val="007C78E9"/>
    <w:rsid w:val="007C79DD"/>
    <w:rsid w:val="007C7DEC"/>
    <w:rsid w:val="007C7F86"/>
    <w:rsid w:val="007D0009"/>
    <w:rsid w:val="007D0028"/>
    <w:rsid w:val="007D0111"/>
    <w:rsid w:val="007D0197"/>
    <w:rsid w:val="007D01EC"/>
    <w:rsid w:val="007D03EE"/>
    <w:rsid w:val="007D0526"/>
    <w:rsid w:val="007D06D1"/>
    <w:rsid w:val="007D0737"/>
    <w:rsid w:val="007D08C5"/>
    <w:rsid w:val="007D0BE1"/>
    <w:rsid w:val="007D0C48"/>
    <w:rsid w:val="007D0C5D"/>
    <w:rsid w:val="007D0C8E"/>
    <w:rsid w:val="007D0CA8"/>
    <w:rsid w:val="007D0F72"/>
    <w:rsid w:val="007D106C"/>
    <w:rsid w:val="007D12F8"/>
    <w:rsid w:val="007D1569"/>
    <w:rsid w:val="007D1741"/>
    <w:rsid w:val="007D175E"/>
    <w:rsid w:val="007D1A02"/>
    <w:rsid w:val="007D1ABA"/>
    <w:rsid w:val="007D1C93"/>
    <w:rsid w:val="007D1F90"/>
    <w:rsid w:val="007D2166"/>
    <w:rsid w:val="007D230B"/>
    <w:rsid w:val="007D25EB"/>
    <w:rsid w:val="007D2615"/>
    <w:rsid w:val="007D2AB0"/>
    <w:rsid w:val="007D2F6E"/>
    <w:rsid w:val="007D3188"/>
    <w:rsid w:val="007D326A"/>
    <w:rsid w:val="007D32BC"/>
    <w:rsid w:val="007D33B0"/>
    <w:rsid w:val="007D33BF"/>
    <w:rsid w:val="007D33C9"/>
    <w:rsid w:val="007D3447"/>
    <w:rsid w:val="007D34AE"/>
    <w:rsid w:val="007D3663"/>
    <w:rsid w:val="007D37E9"/>
    <w:rsid w:val="007D3C44"/>
    <w:rsid w:val="007D3C92"/>
    <w:rsid w:val="007D3CBF"/>
    <w:rsid w:val="007D3D08"/>
    <w:rsid w:val="007D3E0F"/>
    <w:rsid w:val="007D3E10"/>
    <w:rsid w:val="007D3EA4"/>
    <w:rsid w:val="007D3EC5"/>
    <w:rsid w:val="007D43D5"/>
    <w:rsid w:val="007D46B2"/>
    <w:rsid w:val="007D472E"/>
    <w:rsid w:val="007D49FD"/>
    <w:rsid w:val="007D4D93"/>
    <w:rsid w:val="007D4E7A"/>
    <w:rsid w:val="007D4E9F"/>
    <w:rsid w:val="007D5049"/>
    <w:rsid w:val="007D51AE"/>
    <w:rsid w:val="007D522A"/>
    <w:rsid w:val="007D55BE"/>
    <w:rsid w:val="007D5722"/>
    <w:rsid w:val="007D5753"/>
    <w:rsid w:val="007D5A7C"/>
    <w:rsid w:val="007D5C92"/>
    <w:rsid w:val="007D5DEF"/>
    <w:rsid w:val="007D5EE9"/>
    <w:rsid w:val="007D6187"/>
    <w:rsid w:val="007D63DD"/>
    <w:rsid w:val="007D63E7"/>
    <w:rsid w:val="007D6712"/>
    <w:rsid w:val="007D674C"/>
    <w:rsid w:val="007D6950"/>
    <w:rsid w:val="007D6965"/>
    <w:rsid w:val="007D6A25"/>
    <w:rsid w:val="007D6C87"/>
    <w:rsid w:val="007D715D"/>
    <w:rsid w:val="007D7261"/>
    <w:rsid w:val="007D730D"/>
    <w:rsid w:val="007D735A"/>
    <w:rsid w:val="007D7365"/>
    <w:rsid w:val="007D73AE"/>
    <w:rsid w:val="007D79A0"/>
    <w:rsid w:val="007D7AB0"/>
    <w:rsid w:val="007D7B6B"/>
    <w:rsid w:val="007E027E"/>
    <w:rsid w:val="007E02FB"/>
    <w:rsid w:val="007E05DE"/>
    <w:rsid w:val="007E0714"/>
    <w:rsid w:val="007E07F5"/>
    <w:rsid w:val="007E08F7"/>
    <w:rsid w:val="007E0C22"/>
    <w:rsid w:val="007E0D95"/>
    <w:rsid w:val="007E107F"/>
    <w:rsid w:val="007E132F"/>
    <w:rsid w:val="007E1396"/>
    <w:rsid w:val="007E14C1"/>
    <w:rsid w:val="007E16CD"/>
    <w:rsid w:val="007E18A0"/>
    <w:rsid w:val="007E1A10"/>
    <w:rsid w:val="007E1A38"/>
    <w:rsid w:val="007E1AE5"/>
    <w:rsid w:val="007E1CF0"/>
    <w:rsid w:val="007E1D80"/>
    <w:rsid w:val="007E1DEC"/>
    <w:rsid w:val="007E220A"/>
    <w:rsid w:val="007E237F"/>
    <w:rsid w:val="007E271E"/>
    <w:rsid w:val="007E27D8"/>
    <w:rsid w:val="007E2A6F"/>
    <w:rsid w:val="007E2C2A"/>
    <w:rsid w:val="007E2DAA"/>
    <w:rsid w:val="007E2F11"/>
    <w:rsid w:val="007E310A"/>
    <w:rsid w:val="007E310B"/>
    <w:rsid w:val="007E3245"/>
    <w:rsid w:val="007E34C5"/>
    <w:rsid w:val="007E36F3"/>
    <w:rsid w:val="007E37F3"/>
    <w:rsid w:val="007E3DCB"/>
    <w:rsid w:val="007E3F86"/>
    <w:rsid w:val="007E4018"/>
    <w:rsid w:val="007E40BB"/>
    <w:rsid w:val="007E4DE1"/>
    <w:rsid w:val="007E4F4A"/>
    <w:rsid w:val="007E4F70"/>
    <w:rsid w:val="007E50BC"/>
    <w:rsid w:val="007E50FC"/>
    <w:rsid w:val="007E511A"/>
    <w:rsid w:val="007E571F"/>
    <w:rsid w:val="007E5B09"/>
    <w:rsid w:val="007E5EEA"/>
    <w:rsid w:val="007E6100"/>
    <w:rsid w:val="007E6108"/>
    <w:rsid w:val="007E625F"/>
    <w:rsid w:val="007E6322"/>
    <w:rsid w:val="007E6539"/>
    <w:rsid w:val="007E6588"/>
    <w:rsid w:val="007E65B3"/>
    <w:rsid w:val="007E65D7"/>
    <w:rsid w:val="007E67EB"/>
    <w:rsid w:val="007E6943"/>
    <w:rsid w:val="007E6A83"/>
    <w:rsid w:val="007E6B7C"/>
    <w:rsid w:val="007E6DF3"/>
    <w:rsid w:val="007E6E18"/>
    <w:rsid w:val="007E6F4B"/>
    <w:rsid w:val="007E6FF4"/>
    <w:rsid w:val="007E7297"/>
    <w:rsid w:val="007E72DD"/>
    <w:rsid w:val="007E72F3"/>
    <w:rsid w:val="007E7359"/>
    <w:rsid w:val="007E749E"/>
    <w:rsid w:val="007E756B"/>
    <w:rsid w:val="007E7630"/>
    <w:rsid w:val="007E7B1A"/>
    <w:rsid w:val="007E7CED"/>
    <w:rsid w:val="007E7CF8"/>
    <w:rsid w:val="007E7D36"/>
    <w:rsid w:val="007E7E7A"/>
    <w:rsid w:val="007E7F8C"/>
    <w:rsid w:val="007F02BC"/>
    <w:rsid w:val="007F07BD"/>
    <w:rsid w:val="007F08B1"/>
    <w:rsid w:val="007F0A37"/>
    <w:rsid w:val="007F0E30"/>
    <w:rsid w:val="007F0FF0"/>
    <w:rsid w:val="007F1258"/>
    <w:rsid w:val="007F1495"/>
    <w:rsid w:val="007F18DD"/>
    <w:rsid w:val="007F1A04"/>
    <w:rsid w:val="007F1BEC"/>
    <w:rsid w:val="007F1D66"/>
    <w:rsid w:val="007F1DCF"/>
    <w:rsid w:val="007F1E38"/>
    <w:rsid w:val="007F2215"/>
    <w:rsid w:val="007F22C7"/>
    <w:rsid w:val="007F240D"/>
    <w:rsid w:val="007F2446"/>
    <w:rsid w:val="007F2489"/>
    <w:rsid w:val="007F25C7"/>
    <w:rsid w:val="007F268D"/>
    <w:rsid w:val="007F2A84"/>
    <w:rsid w:val="007F2D0A"/>
    <w:rsid w:val="007F3169"/>
    <w:rsid w:val="007F3302"/>
    <w:rsid w:val="007F33A7"/>
    <w:rsid w:val="007F39FC"/>
    <w:rsid w:val="007F3B84"/>
    <w:rsid w:val="007F3C6A"/>
    <w:rsid w:val="007F3C6D"/>
    <w:rsid w:val="007F3DB0"/>
    <w:rsid w:val="007F4135"/>
    <w:rsid w:val="007F420A"/>
    <w:rsid w:val="007F42BE"/>
    <w:rsid w:val="007F43BC"/>
    <w:rsid w:val="007F4547"/>
    <w:rsid w:val="007F45AC"/>
    <w:rsid w:val="007F469D"/>
    <w:rsid w:val="007F4A8F"/>
    <w:rsid w:val="007F4BB7"/>
    <w:rsid w:val="007F4CFD"/>
    <w:rsid w:val="007F4FA7"/>
    <w:rsid w:val="007F4FA9"/>
    <w:rsid w:val="007F5067"/>
    <w:rsid w:val="007F5528"/>
    <w:rsid w:val="007F5678"/>
    <w:rsid w:val="007F57EF"/>
    <w:rsid w:val="007F5968"/>
    <w:rsid w:val="007F5B31"/>
    <w:rsid w:val="007F5EC2"/>
    <w:rsid w:val="007F5ED0"/>
    <w:rsid w:val="007F5F82"/>
    <w:rsid w:val="007F646D"/>
    <w:rsid w:val="007F6514"/>
    <w:rsid w:val="007F659D"/>
    <w:rsid w:val="007F65A7"/>
    <w:rsid w:val="007F6994"/>
    <w:rsid w:val="007F6B6A"/>
    <w:rsid w:val="007F6DB6"/>
    <w:rsid w:val="007F6F28"/>
    <w:rsid w:val="007F6F5F"/>
    <w:rsid w:val="007F718D"/>
    <w:rsid w:val="007F71EA"/>
    <w:rsid w:val="007F7208"/>
    <w:rsid w:val="007F7435"/>
    <w:rsid w:val="007F7471"/>
    <w:rsid w:val="007F76C7"/>
    <w:rsid w:val="007F7794"/>
    <w:rsid w:val="007F78B6"/>
    <w:rsid w:val="007F790C"/>
    <w:rsid w:val="007F7A95"/>
    <w:rsid w:val="007F7AC2"/>
    <w:rsid w:val="007F7BFF"/>
    <w:rsid w:val="007F7C4C"/>
    <w:rsid w:val="007F7E12"/>
    <w:rsid w:val="007F7E50"/>
    <w:rsid w:val="007F7E75"/>
    <w:rsid w:val="007F7F13"/>
    <w:rsid w:val="008003ED"/>
    <w:rsid w:val="00800506"/>
    <w:rsid w:val="00800BF7"/>
    <w:rsid w:val="00800DEE"/>
    <w:rsid w:val="0080157F"/>
    <w:rsid w:val="0080161B"/>
    <w:rsid w:val="008017BC"/>
    <w:rsid w:val="0080198D"/>
    <w:rsid w:val="00801BBD"/>
    <w:rsid w:val="00801C58"/>
    <w:rsid w:val="00801D0E"/>
    <w:rsid w:val="00801F30"/>
    <w:rsid w:val="00801F64"/>
    <w:rsid w:val="0080200B"/>
    <w:rsid w:val="008021AA"/>
    <w:rsid w:val="00802252"/>
    <w:rsid w:val="008024CB"/>
    <w:rsid w:val="008024D4"/>
    <w:rsid w:val="008027EE"/>
    <w:rsid w:val="00802B1C"/>
    <w:rsid w:val="00802BC7"/>
    <w:rsid w:val="00802C24"/>
    <w:rsid w:val="00802F06"/>
    <w:rsid w:val="00803202"/>
    <w:rsid w:val="0080322B"/>
    <w:rsid w:val="00803250"/>
    <w:rsid w:val="00803351"/>
    <w:rsid w:val="0080343F"/>
    <w:rsid w:val="008035C3"/>
    <w:rsid w:val="008035CE"/>
    <w:rsid w:val="008037A9"/>
    <w:rsid w:val="00803819"/>
    <w:rsid w:val="00803829"/>
    <w:rsid w:val="0080399B"/>
    <w:rsid w:val="00803A1E"/>
    <w:rsid w:val="00803B7D"/>
    <w:rsid w:val="00803D6F"/>
    <w:rsid w:val="00803F20"/>
    <w:rsid w:val="00803F26"/>
    <w:rsid w:val="0080420A"/>
    <w:rsid w:val="0080425A"/>
    <w:rsid w:val="00804262"/>
    <w:rsid w:val="0080481A"/>
    <w:rsid w:val="00804877"/>
    <w:rsid w:val="00804B8B"/>
    <w:rsid w:val="00804BB8"/>
    <w:rsid w:val="00804C2D"/>
    <w:rsid w:val="00805086"/>
    <w:rsid w:val="008050C2"/>
    <w:rsid w:val="00805421"/>
    <w:rsid w:val="008054B1"/>
    <w:rsid w:val="008054BF"/>
    <w:rsid w:val="008058A1"/>
    <w:rsid w:val="00805B5F"/>
    <w:rsid w:val="00805BAA"/>
    <w:rsid w:val="00805DA2"/>
    <w:rsid w:val="008061F8"/>
    <w:rsid w:val="00806476"/>
    <w:rsid w:val="00806B45"/>
    <w:rsid w:val="00806BD5"/>
    <w:rsid w:val="00806EF1"/>
    <w:rsid w:val="00806F63"/>
    <w:rsid w:val="0080714C"/>
    <w:rsid w:val="0080724E"/>
    <w:rsid w:val="008073C8"/>
    <w:rsid w:val="0080742A"/>
    <w:rsid w:val="008074E5"/>
    <w:rsid w:val="0080775A"/>
    <w:rsid w:val="008077A0"/>
    <w:rsid w:val="008077C1"/>
    <w:rsid w:val="008078EB"/>
    <w:rsid w:val="00807A67"/>
    <w:rsid w:val="00807B9A"/>
    <w:rsid w:val="00807D52"/>
    <w:rsid w:val="00807F06"/>
    <w:rsid w:val="00810153"/>
    <w:rsid w:val="00810688"/>
    <w:rsid w:val="008108BA"/>
    <w:rsid w:val="0081091A"/>
    <w:rsid w:val="008109E6"/>
    <w:rsid w:val="00810AFF"/>
    <w:rsid w:val="00810C28"/>
    <w:rsid w:val="00810CD8"/>
    <w:rsid w:val="00810EB6"/>
    <w:rsid w:val="00811196"/>
    <w:rsid w:val="0081153E"/>
    <w:rsid w:val="0081163F"/>
    <w:rsid w:val="00811658"/>
    <w:rsid w:val="008116FC"/>
    <w:rsid w:val="00811987"/>
    <w:rsid w:val="008119C9"/>
    <w:rsid w:val="00811AD4"/>
    <w:rsid w:val="00811B3C"/>
    <w:rsid w:val="00811B4E"/>
    <w:rsid w:val="00811B6A"/>
    <w:rsid w:val="00811BBC"/>
    <w:rsid w:val="00811CF1"/>
    <w:rsid w:val="00812299"/>
    <w:rsid w:val="008127A8"/>
    <w:rsid w:val="00812A9D"/>
    <w:rsid w:val="00812DEC"/>
    <w:rsid w:val="00812E99"/>
    <w:rsid w:val="00812EEC"/>
    <w:rsid w:val="00812F84"/>
    <w:rsid w:val="00813222"/>
    <w:rsid w:val="008132BB"/>
    <w:rsid w:val="0081377B"/>
    <w:rsid w:val="00813856"/>
    <w:rsid w:val="008138C9"/>
    <w:rsid w:val="00813B79"/>
    <w:rsid w:val="00813EBF"/>
    <w:rsid w:val="00813F9B"/>
    <w:rsid w:val="008140B4"/>
    <w:rsid w:val="00814141"/>
    <w:rsid w:val="00814167"/>
    <w:rsid w:val="0081448D"/>
    <w:rsid w:val="008151FF"/>
    <w:rsid w:val="0081533C"/>
    <w:rsid w:val="0081555B"/>
    <w:rsid w:val="0081556D"/>
    <w:rsid w:val="0081583E"/>
    <w:rsid w:val="00815A71"/>
    <w:rsid w:val="00815BA0"/>
    <w:rsid w:val="00815C2B"/>
    <w:rsid w:val="00815D27"/>
    <w:rsid w:val="00815D66"/>
    <w:rsid w:val="00815E17"/>
    <w:rsid w:val="00815E71"/>
    <w:rsid w:val="008160A8"/>
    <w:rsid w:val="008161D7"/>
    <w:rsid w:val="00816258"/>
    <w:rsid w:val="00816432"/>
    <w:rsid w:val="00816444"/>
    <w:rsid w:val="0081658A"/>
    <w:rsid w:val="008165BC"/>
    <w:rsid w:val="008166B4"/>
    <w:rsid w:val="008166F5"/>
    <w:rsid w:val="008168F3"/>
    <w:rsid w:val="00816911"/>
    <w:rsid w:val="0081694F"/>
    <w:rsid w:val="00816CE8"/>
    <w:rsid w:val="00816D0A"/>
    <w:rsid w:val="00816EBC"/>
    <w:rsid w:val="00816F36"/>
    <w:rsid w:val="00817628"/>
    <w:rsid w:val="00817700"/>
    <w:rsid w:val="00817711"/>
    <w:rsid w:val="00817942"/>
    <w:rsid w:val="00817B30"/>
    <w:rsid w:val="00817C04"/>
    <w:rsid w:val="00817F3A"/>
    <w:rsid w:val="008202A3"/>
    <w:rsid w:val="008202B7"/>
    <w:rsid w:val="0082045F"/>
    <w:rsid w:val="008204AE"/>
    <w:rsid w:val="008205D2"/>
    <w:rsid w:val="00820661"/>
    <w:rsid w:val="00820871"/>
    <w:rsid w:val="00820891"/>
    <w:rsid w:val="00820A20"/>
    <w:rsid w:val="00820B25"/>
    <w:rsid w:val="00820DE8"/>
    <w:rsid w:val="00820E05"/>
    <w:rsid w:val="00820E6E"/>
    <w:rsid w:val="00820EF6"/>
    <w:rsid w:val="00820F85"/>
    <w:rsid w:val="008215CA"/>
    <w:rsid w:val="00821626"/>
    <w:rsid w:val="00821647"/>
    <w:rsid w:val="008217B6"/>
    <w:rsid w:val="00822322"/>
    <w:rsid w:val="0082242F"/>
    <w:rsid w:val="008224D5"/>
    <w:rsid w:val="00822507"/>
    <w:rsid w:val="0082283C"/>
    <w:rsid w:val="008229DA"/>
    <w:rsid w:val="00822C30"/>
    <w:rsid w:val="00822D71"/>
    <w:rsid w:val="00822DA0"/>
    <w:rsid w:val="0082301B"/>
    <w:rsid w:val="008232B0"/>
    <w:rsid w:val="00823760"/>
    <w:rsid w:val="008239E3"/>
    <w:rsid w:val="00823A20"/>
    <w:rsid w:val="00823AF5"/>
    <w:rsid w:val="00823C13"/>
    <w:rsid w:val="00823C91"/>
    <w:rsid w:val="00823DCF"/>
    <w:rsid w:val="00823E79"/>
    <w:rsid w:val="00823F4D"/>
    <w:rsid w:val="008241E4"/>
    <w:rsid w:val="00824229"/>
    <w:rsid w:val="0082423D"/>
    <w:rsid w:val="0082437F"/>
    <w:rsid w:val="008245D7"/>
    <w:rsid w:val="00824669"/>
    <w:rsid w:val="00824726"/>
    <w:rsid w:val="00824842"/>
    <w:rsid w:val="008248A1"/>
    <w:rsid w:val="0082492D"/>
    <w:rsid w:val="00824AF2"/>
    <w:rsid w:val="00824C5B"/>
    <w:rsid w:val="00824FB8"/>
    <w:rsid w:val="00825191"/>
    <w:rsid w:val="008251CD"/>
    <w:rsid w:val="008253B1"/>
    <w:rsid w:val="0082563C"/>
    <w:rsid w:val="00825878"/>
    <w:rsid w:val="00825A28"/>
    <w:rsid w:val="00825B88"/>
    <w:rsid w:val="00825C1E"/>
    <w:rsid w:val="00825D65"/>
    <w:rsid w:val="00825D7A"/>
    <w:rsid w:val="00825E0D"/>
    <w:rsid w:val="00825F83"/>
    <w:rsid w:val="00826468"/>
    <w:rsid w:val="0082683A"/>
    <w:rsid w:val="0082685F"/>
    <w:rsid w:val="008268A7"/>
    <w:rsid w:val="008269FE"/>
    <w:rsid w:val="00826CB9"/>
    <w:rsid w:val="00826CBB"/>
    <w:rsid w:val="008272B0"/>
    <w:rsid w:val="00827503"/>
    <w:rsid w:val="008277E3"/>
    <w:rsid w:val="0082791F"/>
    <w:rsid w:val="008279C9"/>
    <w:rsid w:val="00827A71"/>
    <w:rsid w:val="00827AD1"/>
    <w:rsid w:val="00827C87"/>
    <w:rsid w:val="00827CFB"/>
    <w:rsid w:val="00827D86"/>
    <w:rsid w:val="00827EA0"/>
    <w:rsid w:val="00830188"/>
    <w:rsid w:val="008305ED"/>
    <w:rsid w:val="008307AC"/>
    <w:rsid w:val="0083080A"/>
    <w:rsid w:val="008308CF"/>
    <w:rsid w:val="00830963"/>
    <w:rsid w:val="00830AAC"/>
    <w:rsid w:val="00830AB0"/>
    <w:rsid w:val="00831086"/>
    <w:rsid w:val="00831135"/>
    <w:rsid w:val="0083143D"/>
    <w:rsid w:val="00831764"/>
    <w:rsid w:val="008317D8"/>
    <w:rsid w:val="008319ED"/>
    <w:rsid w:val="00831B29"/>
    <w:rsid w:val="00831C23"/>
    <w:rsid w:val="00831EBC"/>
    <w:rsid w:val="008321D5"/>
    <w:rsid w:val="0083239D"/>
    <w:rsid w:val="00832535"/>
    <w:rsid w:val="00832582"/>
    <w:rsid w:val="00832A2B"/>
    <w:rsid w:val="00832E69"/>
    <w:rsid w:val="00832EAF"/>
    <w:rsid w:val="00832EDF"/>
    <w:rsid w:val="00832EEF"/>
    <w:rsid w:val="00832FD6"/>
    <w:rsid w:val="008331D9"/>
    <w:rsid w:val="008333FE"/>
    <w:rsid w:val="00833683"/>
    <w:rsid w:val="00833BB3"/>
    <w:rsid w:val="00833C44"/>
    <w:rsid w:val="00833DAB"/>
    <w:rsid w:val="00833E04"/>
    <w:rsid w:val="00834428"/>
    <w:rsid w:val="00834489"/>
    <w:rsid w:val="008347C1"/>
    <w:rsid w:val="00834806"/>
    <w:rsid w:val="008348C0"/>
    <w:rsid w:val="008349FC"/>
    <w:rsid w:val="00834B11"/>
    <w:rsid w:val="00835039"/>
    <w:rsid w:val="0083554B"/>
    <w:rsid w:val="00835898"/>
    <w:rsid w:val="00835B0A"/>
    <w:rsid w:val="00835B2F"/>
    <w:rsid w:val="00835D59"/>
    <w:rsid w:val="00835E21"/>
    <w:rsid w:val="00835FA0"/>
    <w:rsid w:val="008361A1"/>
    <w:rsid w:val="008361B8"/>
    <w:rsid w:val="00836262"/>
    <w:rsid w:val="008364FC"/>
    <w:rsid w:val="0083659F"/>
    <w:rsid w:val="00836725"/>
    <w:rsid w:val="00836C4C"/>
    <w:rsid w:val="00836C8E"/>
    <w:rsid w:val="00836CC7"/>
    <w:rsid w:val="00836CD4"/>
    <w:rsid w:val="00836CDA"/>
    <w:rsid w:val="00836E3A"/>
    <w:rsid w:val="00837189"/>
    <w:rsid w:val="00837210"/>
    <w:rsid w:val="0083739D"/>
    <w:rsid w:val="0083740D"/>
    <w:rsid w:val="008377BE"/>
    <w:rsid w:val="00837849"/>
    <w:rsid w:val="00837857"/>
    <w:rsid w:val="00837B03"/>
    <w:rsid w:val="00837C7A"/>
    <w:rsid w:val="00837E7D"/>
    <w:rsid w:val="00837F29"/>
    <w:rsid w:val="00837FAB"/>
    <w:rsid w:val="0084012E"/>
    <w:rsid w:val="008401CB"/>
    <w:rsid w:val="008401D6"/>
    <w:rsid w:val="008401E3"/>
    <w:rsid w:val="008403F5"/>
    <w:rsid w:val="008404B7"/>
    <w:rsid w:val="0084056B"/>
    <w:rsid w:val="0084062B"/>
    <w:rsid w:val="00840A71"/>
    <w:rsid w:val="00840F7E"/>
    <w:rsid w:val="00840FA5"/>
    <w:rsid w:val="00841024"/>
    <w:rsid w:val="00841221"/>
    <w:rsid w:val="0084154A"/>
    <w:rsid w:val="0084160D"/>
    <w:rsid w:val="008417F2"/>
    <w:rsid w:val="00841855"/>
    <w:rsid w:val="00841CBB"/>
    <w:rsid w:val="008420B1"/>
    <w:rsid w:val="00842161"/>
    <w:rsid w:val="0084226A"/>
    <w:rsid w:val="00842358"/>
    <w:rsid w:val="0084238D"/>
    <w:rsid w:val="008425A3"/>
    <w:rsid w:val="00842602"/>
    <w:rsid w:val="008429E4"/>
    <w:rsid w:val="00842C3C"/>
    <w:rsid w:val="00842C63"/>
    <w:rsid w:val="00842E79"/>
    <w:rsid w:val="00842F84"/>
    <w:rsid w:val="00843313"/>
    <w:rsid w:val="008436A7"/>
    <w:rsid w:val="008436B5"/>
    <w:rsid w:val="0084373B"/>
    <w:rsid w:val="0084385E"/>
    <w:rsid w:val="00843955"/>
    <w:rsid w:val="00843ACE"/>
    <w:rsid w:val="00843D63"/>
    <w:rsid w:val="0084411D"/>
    <w:rsid w:val="0084427F"/>
    <w:rsid w:val="008445B0"/>
    <w:rsid w:val="00844733"/>
    <w:rsid w:val="00844801"/>
    <w:rsid w:val="00844DDE"/>
    <w:rsid w:val="00844F2C"/>
    <w:rsid w:val="00844FE5"/>
    <w:rsid w:val="008450E8"/>
    <w:rsid w:val="008452E3"/>
    <w:rsid w:val="008453D2"/>
    <w:rsid w:val="00845525"/>
    <w:rsid w:val="008455D0"/>
    <w:rsid w:val="00845715"/>
    <w:rsid w:val="008457BC"/>
    <w:rsid w:val="00845CED"/>
    <w:rsid w:val="00845D34"/>
    <w:rsid w:val="00845D4B"/>
    <w:rsid w:val="00845F29"/>
    <w:rsid w:val="00845FBA"/>
    <w:rsid w:val="00846173"/>
    <w:rsid w:val="008466B0"/>
    <w:rsid w:val="00846812"/>
    <w:rsid w:val="00846997"/>
    <w:rsid w:val="00846B7A"/>
    <w:rsid w:val="00846F20"/>
    <w:rsid w:val="0084702F"/>
    <w:rsid w:val="00847048"/>
    <w:rsid w:val="0084729C"/>
    <w:rsid w:val="008472B8"/>
    <w:rsid w:val="00847399"/>
    <w:rsid w:val="0084743C"/>
    <w:rsid w:val="008475B7"/>
    <w:rsid w:val="008476C5"/>
    <w:rsid w:val="0084791E"/>
    <w:rsid w:val="00847B9D"/>
    <w:rsid w:val="00847BCB"/>
    <w:rsid w:val="00847DF2"/>
    <w:rsid w:val="00847E19"/>
    <w:rsid w:val="00847EB4"/>
    <w:rsid w:val="00847ECD"/>
    <w:rsid w:val="008503E1"/>
    <w:rsid w:val="0085046E"/>
    <w:rsid w:val="008505B0"/>
    <w:rsid w:val="0085085E"/>
    <w:rsid w:val="0085088B"/>
    <w:rsid w:val="0085092E"/>
    <w:rsid w:val="00850994"/>
    <w:rsid w:val="00850AA0"/>
    <w:rsid w:val="00850D60"/>
    <w:rsid w:val="00850EB6"/>
    <w:rsid w:val="008511C3"/>
    <w:rsid w:val="008511CC"/>
    <w:rsid w:val="00851470"/>
    <w:rsid w:val="0085156A"/>
    <w:rsid w:val="0085164A"/>
    <w:rsid w:val="008517BE"/>
    <w:rsid w:val="0085188F"/>
    <w:rsid w:val="00851CC5"/>
    <w:rsid w:val="00851DF1"/>
    <w:rsid w:val="008520CA"/>
    <w:rsid w:val="00852323"/>
    <w:rsid w:val="00852735"/>
    <w:rsid w:val="008527F2"/>
    <w:rsid w:val="008527F4"/>
    <w:rsid w:val="00852919"/>
    <w:rsid w:val="0085291C"/>
    <w:rsid w:val="008529A2"/>
    <w:rsid w:val="00852AF8"/>
    <w:rsid w:val="00852C11"/>
    <w:rsid w:val="00852C66"/>
    <w:rsid w:val="00852D24"/>
    <w:rsid w:val="00852E6C"/>
    <w:rsid w:val="00852ED5"/>
    <w:rsid w:val="00852F2A"/>
    <w:rsid w:val="00853179"/>
    <w:rsid w:val="008533B4"/>
    <w:rsid w:val="00853769"/>
    <w:rsid w:val="00853954"/>
    <w:rsid w:val="00853AAA"/>
    <w:rsid w:val="00853B44"/>
    <w:rsid w:val="00853CC7"/>
    <w:rsid w:val="008540E2"/>
    <w:rsid w:val="0085419D"/>
    <w:rsid w:val="008541E7"/>
    <w:rsid w:val="00854331"/>
    <w:rsid w:val="0085439B"/>
    <w:rsid w:val="008543D4"/>
    <w:rsid w:val="008544B5"/>
    <w:rsid w:val="00854561"/>
    <w:rsid w:val="008546C6"/>
    <w:rsid w:val="00854797"/>
    <w:rsid w:val="008548C6"/>
    <w:rsid w:val="00854AA4"/>
    <w:rsid w:val="00855033"/>
    <w:rsid w:val="0085512C"/>
    <w:rsid w:val="008552BF"/>
    <w:rsid w:val="0085540C"/>
    <w:rsid w:val="008554D6"/>
    <w:rsid w:val="00855504"/>
    <w:rsid w:val="00855557"/>
    <w:rsid w:val="00855566"/>
    <w:rsid w:val="00855585"/>
    <w:rsid w:val="0085581D"/>
    <w:rsid w:val="008559AA"/>
    <w:rsid w:val="00855B0A"/>
    <w:rsid w:val="008561ED"/>
    <w:rsid w:val="00856270"/>
    <w:rsid w:val="00856302"/>
    <w:rsid w:val="008564CF"/>
    <w:rsid w:val="0085650F"/>
    <w:rsid w:val="0085659A"/>
    <w:rsid w:val="00856EA6"/>
    <w:rsid w:val="008570BE"/>
    <w:rsid w:val="00857392"/>
    <w:rsid w:val="00857464"/>
    <w:rsid w:val="00857542"/>
    <w:rsid w:val="00857694"/>
    <w:rsid w:val="0085769F"/>
    <w:rsid w:val="00857760"/>
    <w:rsid w:val="008577DB"/>
    <w:rsid w:val="00857900"/>
    <w:rsid w:val="008579B4"/>
    <w:rsid w:val="00857B14"/>
    <w:rsid w:val="00857B1E"/>
    <w:rsid w:val="00857BFB"/>
    <w:rsid w:val="00857C3C"/>
    <w:rsid w:val="00857C54"/>
    <w:rsid w:val="00857FB6"/>
    <w:rsid w:val="00860228"/>
    <w:rsid w:val="008604B5"/>
    <w:rsid w:val="00860692"/>
    <w:rsid w:val="00860A3B"/>
    <w:rsid w:val="00860DD9"/>
    <w:rsid w:val="00860E8C"/>
    <w:rsid w:val="00861070"/>
    <w:rsid w:val="008613A3"/>
    <w:rsid w:val="00861603"/>
    <w:rsid w:val="00861D25"/>
    <w:rsid w:val="00861EA7"/>
    <w:rsid w:val="00862026"/>
    <w:rsid w:val="00862130"/>
    <w:rsid w:val="0086214E"/>
    <w:rsid w:val="008622E8"/>
    <w:rsid w:val="008624CD"/>
    <w:rsid w:val="00862636"/>
    <w:rsid w:val="00862711"/>
    <w:rsid w:val="00862AD4"/>
    <w:rsid w:val="00862B65"/>
    <w:rsid w:val="00862D80"/>
    <w:rsid w:val="00863092"/>
    <w:rsid w:val="008631C0"/>
    <w:rsid w:val="00863343"/>
    <w:rsid w:val="008634D4"/>
    <w:rsid w:val="008635D3"/>
    <w:rsid w:val="0086384A"/>
    <w:rsid w:val="00863A97"/>
    <w:rsid w:val="00863AC8"/>
    <w:rsid w:val="00863B5C"/>
    <w:rsid w:val="00863C5B"/>
    <w:rsid w:val="008647B4"/>
    <w:rsid w:val="00864A2A"/>
    <w:rsid w:val="00864A84"/>
    <w:rsid w:val="00864ADA"/>
    <w:rsid w:val="00864CFB"/>
    <w:rsid w:val="0086523C"/>
    <w:rsid w:val="00865275"/>
    <w:rsid w:val="00865373"/>
    <w:rsid w:val="00865419"/>
    <w:rsid w:val="00865752"/>
    <w:rsid w:val="008657D7"/>
    <w:rsid w:val="008658C6"/>
    <w:rsid w:val="00865B5C"/>
    <w:rsid w:val="00865C10"/>
    <w:rsid w:val="00865D9D"/>
    <w:rsid w:val="00866386"/>
    <w:rsid w:val="008663DF"/>
    <w:rsid w:val="00866428"/>
    <w:rsid w:val="0086644F"/>
    <w:rsid w:val="00866774"/>
    <w:rsid w:val="008667C7"/>
    <w:rsid w:val="008668D0"/>
    <w:rsid w:val="00866A64"/>
    <w:rsid w:val="00866BA7"/>
    <w:rsid w:val="0086742C"/>
    <w:rsid w:val="008674A6"/>
    <w:rsid w:val="00867532"/>
    <w:rsid w:val="00867605"/>
    <w:rsid w:val="00867795"/>
    <w:rsid w:val="008679DF"/>
    <w:rsid w:val="00867D36"/>
    <w:rsid w:val="00867D67"/>
    <w:rsid w:val="00867DD3"/>
    <w:rsid w:val="00867E8B"/>
    <w:rsid w:val="00867EA3"/>
    <w:rsid w:val="008700B5"/>
    <w:rsid w:val="00870201"/>
    <w:rsid w:val="00870346"/>
    <w:rsid w:val="0087047E"/>
    <w:rsid w:val="008705BA"/>
    <w:rsid w:val="00870897"/>
    <w:rsid w:val="008708F9"/>
    <w:rsid w:val="00870A48"/>
    <w:rsid w:val="00870BF8"/>
    <w:rsid w:val="00870E69"/>
    <w:rsid w:val="00871026"/>
    <w:rsid w:val="008712B5"/>
    <w:rsid w:val="00871743"/>
    <w:rsid w:val="0087184A"/>
    <w:rsid w:val="0087189C"/>
    <w:rsid w:val="00871950"/>
    <w:rsid w:val="00871A46"/>
    <w:rsid w:val="00871A6C"/>
    <w:rsid w:val="00871BB5"/>
    <w:rsid w:val="00871BD7"/>
    <w:rsid w:val="00871BDF"/>
    <w:rsid w:val="00871EF0"/>
    <w:rsid w:val="00871FC0"/>
    <w:rsid w:val="008722E7"/>
    <w:rsid w:val="0087263F"/>
    <w:rsid w:val="00872842"/>
    <w:rsid w:val="0087287D"/>
    <w:rsid w:val="00872A6F"/>
    <w:rsid w:val="00872C6D"/>
    <w:rsid w:val="00872F93"/>
    <w:rsid w:val="00872FD4"/>
    <w:rsid w:val="008730B7"/>
    <w:rsid w:val="0087342A"/>
    <w:rsid w:val="00873B9A"/>
    <w:rsid w:val="00873BB4"/>
    <w:rsid w:val="00873E1A"/>
    <w:rsid w:val="00873EDD"/>
    <w:rsid w:val="00873F32"/>
    <w:rsid w:val="00874074"/>
    <w:rsid w:val="0087411C"/>
    <w:rsid w:val="0087423D"/>
    <w:rsid w:val="008744F5"/>
    <w:rsid w:val="00874583"/>
    <w:rsid w:val="008745F3"/>
    <w:rsid w:val="008746E2"/>
    <w:rsid w:val="00874713"/>
    <w:rsid w:val="00874875"/>
    <w:rsid w:val="008748F9"/>
    <w:rsid w:val="00874905"/>
    <w:rsid w:val="0087497C"/>
    <w:rsid w:val="00874AD8"/>
    <w:rsid w:val="00874BCE"/>
    <w:rsid w:val="00874D50"/>
    <w:rsid w:val="00874D96"/>
    <w:rsid w:val="00874E17"/>
    <w:rsid w:val="00874E9D"/>
    <w:rsid w:val="00874FE1"/>
    <w:rsid w:val="00875010"/>
    <w:rsid w:val="00875232"/>
    <w:rsid w:val="0087568B"/>
    <w:rsid w:val="0087573F"/>
    <w:rsid w:val="0087586B"/>
    <w:rsid w:val="00875AAA"/>
    <w:rsid w:val="00875CCB"/>
    <w:rsid w:val="00875EAD"/>
    <w:rsid w:val="00875FCF"/>
    <w:rsid w:val="0087613D"/>
    <w:rsid w:val="008761C2"/>
    <w:rsid w:val="008764E1"/>
    <w:rsid w:val="008765B1"/>
    <w:rsid w:val="00876917"/>
    <w:rsid w:val="008769A3"/>
    <w:rsid w:val="00876E55"/>
    <w:rsid w:val="00877164"/>
    <w:rsid w:val="0087735A"/>
    <w:rsid w:val="00877367"/>
    <w:rsid w:val="0087745F"/>
    <w:rsid w:val="008776B9"/>
    <w:rsid w:val="00877C63"/>
    <w:rsid w:val="00877C8A"/>
    <w:rsid w:val="00877C91"/>
    <w:rsid w:val="00877FE1"/>
    <w:rsid w:val="008801F3"/>
    <w:rsid w:val="0088033C"/>
    <w:rsid w:val="00880D59"/>
    <w:rsid w:val="00880DAD"/>
    <w:rsid w:val="00880E84"/>
    <w:rsid w:val="008814D0"/>
    <w:rsid w:val="008817E6"/>
    <w:rsid w:val="00881914"/>
    <w:rsid w:val="008819FE"/>
    <w:rsid w:val="00881DFB"/>
    <w:rsid w:val="00882032"/>
    <w:rsid w:val="00882609"/>
    <w:rsid w:val="008826F6"/>
    <w:rsid w:val="0088285F"/>
    <w:rsid w:val="00882B41"/>
    <w:rsid w:val="00882DCD"/>
    <w:rsid w:val="00883170"/>
    <w:rsid w:val="00883283"/>
    <w:rsid w:val="008832AC"/>
    <w:rsid w:val="008833F3"/>
    <w:rsid w:val="00883568"/>
    <w:rsid w:val="008838F4"/>
    <w:rsid w:val="00883991"/>
    <w:rsid w:val="008839A5"/>
    <w:rsid w:val="00883B10"/>
    <w:rsid w:val="00883B77"/>
    <w:rsid w:val="00883C2B"/>
    <w:rsid w:val="00883C95"/>
    <w:rsid w:val="00883D76"/>
    <w:rsid w:val="00883ED5"/>
    <w:rsid w:val="00883F3A"/>
    <w:rsid w:val="00884061"/>
    <w:rsid w:val="008840C3"/>
    <w:rsid w:val="00884430"/>
    <w:rsid w:val="0088462D"/>
    <w:rsid w:val="0088478A"/>
    <w:rsid w:val="00884A48"/>
    <w:rsid w:val="00884AAD"/>
    <w:rsid w:val="00884B05"/>
    <w:rsid w:val="0088501E"/>
    <w:rsid w:val="008850A0"/>
    <w:rsid w:val="008850B9"/>
    <w:rsid w:val="00885232"/>
    <w:rsid w:val="008852AA"/>
    <w:rsid w:val="008854B5"/>
    <w:rsid w:val="00885AFC"/>
    <w:rsid w:val="00885B3D"/>
    <w:rsid w:val="00885C61"/>
    <w:rsid w:val="00886150"/>
    <w:rsid w:val="008861C6"/>
    <w:rsid w:val="008868E0"/>
    <w:rsid w:val="0088699B"/>
    <w:rsid w:val="00886A4A"/>
    <w:rsid w:val="00886C70"/>
    <w:rsid w:val="00887029"/>
    <w:rsid w:val="00887556"/>
    <w:rsid w:val="008879C7"/>
    <w:rsid w:val="00887A50"/>
    <w:rsid w:val="00887CCF"/>
    <w:rsid w:val="00887DF7"/>
    <w:rsid w:val="00890094"/>
    <w:rsid w:val="008901FC"/>
    <w:rsid w:val="00890544"/>
    <w:rsid w:val="00890628"/>
    <w:rsid w:val="0089066C"/>
    <w:rsid w:val="008906D0"/>
    <w:rsid w:val="008909F6"/>
    <w:rsid w:val="00890A1C"/>
    <w:rsid w:val="00890B89"/>
    <w:rsid w:val="00891A43"/>
    <w:rsid w:val="00891BC4"/>
    <w:rsid w:val="00891BCF"/>
    <w:rsid w:val="00891C8C"/>
    <w:rsid w:val="00891EC5"/>
    <w:rsid w:val="00891F8E"/>
    <w:rsid w:val="008920E4"/>
    <w:rsid w:val="008921C5"/>
    <w:rsid w:val="0089242D"/>
    <w:rsid w:val="008925B4"/>
    <w:rsid w:val="008925EA"/>
    <w:rsid w:val="008927BA"/>
    <w:rsid w:val="00892A55"/>
    <w:rsid w:val="00892AFC"/>
    <w:rsid w:val="00893114"/>
    <w:rsid w:val="0089321A"/>
    <w:rsid w:val="0089337D"/>
    <w:rsid w:val="00893397"/>
    <w:rsid w:val="00893733"/>
    <w:rsid w:val="00893757"/>
    <w:rsid w:val="008937DE"/>
    <w:rsid w:val="00893845"/>
    <w:rsid w:val="008939CE"/>
    <w:rsid w:val="00893A81"/>
    <w:rsid w:val="00893AB1"/>
    <w:rsid w:val="00893BD5"/>
    <w:rsid w:val="00893C40"/>
    <w:rsid w:val="00893FDB"/>
    <w:rsid w:val="00894034"/>
    <w:rsid w:val="00894224"/>
    <w:rsid w:val="00894587"/>
    <w:rsid w:val="008945EC"/>
    <w:rsid w:val="00894714"/>
    <w:rsid w:val="00894763"/>
    <w:rsid w:val="008947F9"/>
    <w:rsid w:val="008948DA"/>
    <w:rsid w:val="00894908"/>
    <w:rsid w:val="00894956"/>
    <w:rsid w:val="00894C4D"/>
    <w:rsid w:val="0089506D"/>
    <w:rsid w:val="008951CA"/>
    <w:rsid w:val="008954F4"/>
    <w:rsid w:val="008956DE"/>
    <w:rsid w:val="00895791"/>
    <w:rsid w:val="00895819"/>
    <w:rsid w:val="00895875"/>
    <w:rsid w:val="0089592E"/>
    <w:rsid w:val="00895C3C"/>
    <w:rsid w:val="00895C92"/>
    <w:rsid w:val="00895CFE"/>
    <w:rsid w:val="00895D12"/>
    <w:rsid w:val="00895D7B"/>
    <w:rsid w:val="00895DEB"/>
    <w:rsid w:val="00895DF7"/>
    <w:rsid w:val="00895EAA"/>
    <w:rsid w:val="008961B2"/>
    <w:rsid w:val="0089631A"/>
    <w:rsid w:val="00896343"/>
    <w:rsid w:val="008963B6"/>
    <w:rsid w:val="00896707"/>
    <w:rsid w:val="008967A2"/>
    <w:rsid w:val="008968BE"/>
    <w:rsid w:val="00896AAF"/>
    <w:rsid w:val="00896B1A"/>
    <w:rsid w:val="00896BAF"/>
    <w:rsid w:val="00896E6B"/>
    <w:rsid w:val="00896E9F"/>
    <w:rsid w:val="00896FB7"/>
    <w:rsid w:val="008971A7"/>
    <w:rsid w:val="00897729"/>
    <w:rsid w:val="00897793"/>
    <w:rsid w:val="008977FD"/>
    <w:rsid w:val="00897DD9"/>
    <w:rsid w:val="008A002F"/>
    <w:rsid w:val="008A005C"/>
    <w:rsid w:val="008A0137"/>
    <w:rsid w:val="008A06CC"/>
    <w:rsid w:val="008A07C4"/>
    <w:rsid w:val="008A0CFC"/>
    <w:rsid w:val="008A0D1B"/>
    <w:rsid w:val="008A0EA9"/>
    <w:rsid w:val="008A0EF1"/>
    <w:rsid w:val="008A139E"/>
    <w:rsid w:val="008A153A"/>
    <w:rsid w:val="008A1632"/>
    <w:rsid w:val="008A16F7"/>
    <w:rsid w:val="008A176F"/>
    <w:rsid w:val="008A1B08"/>
    <w:rsid w:val="008A1ECA"/>
    <w:rsid w:val="008A22EF"/>
    <w:rsid w:val="008A23C9"/>
    <w:rsid w:val="008A23E5"/>
    <w:rsid w:val="008A25CE"/>
    <w:rsid w:val="008A2788"/>
    <w:rsid w:val="008A29A7"/>
    <w:rsid w:val="008A29E4"/>
    <w:rsid w:val="008A2C2E"/>
    <w:rsid w:val="008A2D86"/>
    <w:rsid w:val="008A2E30"/>
    <w:rsid w:val="008A33D9"/>
    <w:rsid w:val="008A3425"/>
    <w:rsid w:val="008A3531"/>
    <w:rsid w:val="008A3C66"/>
    <w:rsid w:val="008A40CF"/>
    <w:rsid w:val="008A4254"/>
    <w:rsid w:val="008A431F"/>
    <w:rsid w:val="008A4546"/>
    <w:rsid w:val="008A4555"/>
    <w:rsid w:val="008A45AD"/>
    <w:rsid w:val="008A4671"/>
    <w:rsid w:val="008A46DC"/>
    <w:rsid w:val="008A4902"/>
    <w:rsid w:val="008A4A63"/>
    <w:rsid w:val="008A4D61"/>
    <w:rsid w:val="008A4F0B"/>
    <w:rsid w:val="008A524D"/>
    <w:rsid w:val="008A5644"/>
    <w:rsid w:val="008A5831"/>
    <w:rsid w:val="008A5AA9"/>
    <w:rsid w:val="008A5F9B"/>
    <w:rsid w:val="008A601A"/>
    <w:rsid w:val="008A6223"/>
    <w:rsid w:val="008A62F0"/>
    <w:rsid w:val="008A6346"/>
    <w:rsid w:val="008A659E"/>
    <w:rsid w:val="008A6621"/>
    <w:rsid w:val="008A6812"/>
    <w:rsid w:val="008A6B05"/>
    <w:rsid w:val="008A6C19"/>
    <w:rsid w:val="008A6D21"/>
    <w:rsid w:val="008A6E01"/>
    <w:rsid w:val="008A6E5A"/>
    <w:rsid w:val="008A6E72"/>
    <w:rsid w:val="008A6EA3"/>
    <w:rsid w:val="008A6F83"/>
    <w:rsid w:val="008A70CD"/>
    <w:rsid w:val="008A7153"/>
    <w:rsid w:val="008A7180"/>
    <w:rsid w:val="008A75CF"/>
    <w:rsid w:val="008A7948"/>
    <w:rsid w:val="008A7BED"/>
    <w:rsid w:val="008A7E0F"/>
    <w:rsid w:val="008A7F8D"/>
    <w:rsid w:val="008B0026"/>
    <w:rsid w:val="008B0284"/>
    <w:rsid w:val="008B04B0"/>
    <w:rsid w:val="008B05AE"/>
    <w:rsid w:val="008B05C3"/>
    <w:rsid w:val="008B077F"/>
    <w:rsid w:val="008B0810"/>
    <w:rsid w:val="008B0812"/>
    <w:rsid w:val="008B08D7"/>
    <w:rsid w:val="008B08E2"/>
    <w:rsid w:val="008B093E"/>
    <w:rsid w:val="008B0A3B"/>
    <w:rsid w:val="008B0ABE"/>
    <w:rsid w:val="008B0D4D"/>
    <w:rsid w:val="008B13B3"/>
    <w:rsid w:val="008B1453"/>
    <w:rsid w:val="008B1791"/>
    <w:rsid w:val="008B179E"/>
    <w:rsid w:val="008B180D"/>
    <w:rsid w:val="008B1A14"/>
    <w:rsid w:val="008B1D59"/>
    <w:rsid w:val="008B1D9C"/>
    <w:rsid w:val="008B208A"/>
    <w:rsid w:val="008B2133"/>
    <w:rsid w:val="008B215D"/>
    <w:rsid w:val="008B2208"/>
    <w:rsid w:val="008B226B"/>
    <w:rsid w:val="008B2376"/>
    <w:rsid w:val="008B23BB"/>
    <w:rsid w:val="008B2565"/>
    <w:rsid w:val="008B2745"/>
    <w:rsid w:val="008B2981"/>
    <w:rsid w:val="008B2993"/>
    <w:rsid w:val="008B2AFB"/>
    <w:rsid w:val="008B2B1E"/>
    <w:rsid w:val="008B2C6B"/>
    <w:rsid w:val="008B2D8E"/>
    <w:rsid w:val="008B2EC0"/>
    <w:rsid w:val="008B2F1D"/>
    <w:rsid w:val="008B307C"/>
    <w:rsid w:val="008B31D2"/>
    <w:rsid w:val="008B3228"/>
    <w:rsid w:val="008B3551"/>
    <w:rsid w:val="008B35CE"/>
    <w:rsid w:val="008B38DB"/>
    <w:rsid w:val="008B3D27"/>
    <w:rsid w:val="008B3ED2"/>
    <w:rsid w:val="008B421A"/>
    <w:rsid w:val="008B42B5"/>
    <w:rsid w:val="008B433F"/>
    <w:rsid w:val="008B443A"/>
    <w:rsid w:val="008B4555"/>
    <w:rsid w:val="008B482E"/>
    <w:rsid w:val="008B4965"/>
    <w:rsid w:val="008B4A4F"/>
    <w:rsid w:val="008B4DE4"/>
    <w:rsid w:val="008B4EBA"/>
    <w:rsid w:val="008B4F7B"/>
    <w:rsid w:val="008B50C8"/>
    <w:rsid w:val="008B520A"/>
    <w:rsid w:val="008B524B"/>
    <w:rsid w:val="008B5325"/>
    <w:rsid w:val="008B54EA"/>
    <w:rsid w:val="008B56B7"/>
    <w:rsid w:val="008B5709"/>
    <w:rsid w:val="008B58E3"/>
    <w:rsid w:val="008B5ABA"/>
    <w:rsid w:val="008B5B00"/>
    <w:rsid w:val="008B5D98"/>
    <w:rsid w:val="008B5E68"/>
    <w:rsid w:val="008B5F90"/>
    <w:rsid w:val="008B607F"/>
    <w:rsid w:val="008B6317"/>
    <w:rsid w:val="008B632C"/>
    <w:rsid w:val="008B6694"/>
    <w:rsid w:val="008B6881"/>
    <w:rsid w:val="008B6BCD"/>
    <w:rsid w:val="008B6E6E"/>
    <w:rsid w:val="008B701A"/>
    <w:rsid w:val="008B70B7"/>
    <w:rsid w:val="008B711D"/>
    <w:rsid w:val="008B7122"/>
    <w:rsid w:val="008B724C"/>
    <w:rsid w:val="008B77E6"/>
    <w:rsid w:val="008B7834"/>
    <w:rsid w:val="008B78B1"/>
    <w:rsid w:val="008B799A"/>
    <w:rsid w:val="008B7A8E"/>
    <w:rsid w:val="008B7A92"/>
    <w:rsid w:val="008B7AFF"/>
    <w:rsid w:val="008B7B4C"/>
    <w:rsid w:val="008B7B7C"/>
    <w:rsid w:val="008B7C8F"/>
    <w:rsid w:val="008C006B"/>
    <w:rsid w:val="008C0704"/>
    <w:rsid w:val="008C0718"/>
    <w:rsid w:val="008C079E"/>
    <w:rsid w:val="008C08B2"/>
    <w:rsid w:val="008C0930"/>
    <w:rsid w:val="008C0989"/>
    <w:rsid w:val="008C0C22"/>
    <w:rsid w:val="008C0C31"/>
    <w:rsid w:val="008C0CC3"/>
    <w:rsid w:val="008C0CCD"/>
    <w:rsid w:val="008C0D35"/>
    <w:rsid w:val="008C0D48"/>
    <w:rsid w:val="008C0D4E"/>
    <w:rsid w:val="008C0EA6"/>
    <w:rsid w:val="008C0F7D"/>
    <w:rsid w:val="008C0F9A"/>
    <w:rsid w:val="008C101A"/>
    <w:rsid w:val="008C1331"/>
    <w:rsid w:val="008C14E7"/>
    <w:rsid w:val="008C15C0"/>
    <w:rsid w:val="008C1CCF"/>
    <w:rsid w:val="008C1F09"/>
    <w:rsid w:val="008C205C"/>
    <w:rsid w:val="008C2112"/>
    <w:rsid w:val="008C2118"/>
    <w:rsid w:val="008C212B"/>
    <w:rsid w:val="008C234A"/>
    <w:rsid w:val="008C26CA"/>
    <w:rsid w:val="008C273A"/>
    <w:rsid w:val="008C2850"/>
    <w:rsid w:val="008C28EC"/>
    <w:rsid w:val="008C28F0"/>
    <w:rsid w:val="008C2905"/>
    <w:rsid w:val="008C2A0F"/>
    <w:rsid w:val="008C2C5E"/>
    <w:rsid w:val="008C2E6B"/>
    <w:rsid w:val="008C2F8E"/>
    <w:rsid w:val="008C3186"/>
    <w:rsid w:val="008C3359"/>
    <w:rsid w:val="008C33AF"/>
    <w:rsid w:val="008C359B"/>
    <w:rsid w:val="008C363F"/>
    <w:rsid w:val="008C3651"/>
    <w:rsid w:val="008C379D"/>
    <w:rsid w:val="008C37CA"/>
    <w:rsid w:val="008C3AAA"/>
    <w:rsid w:val="008C3AEA"/>
    <w:rsid w:val="008C3B98"/>
    <w:rsid w:val="008C3CBE"/>
    <w:rsid w:val="008C3EA3"/>
    <w:rsid w:val="008C3F78"/>
    <w:rsid w:val="008C448A"/>
    <w:rsid w:val="008C457C"/>
    <w:rsid w:val="008C490F"/>
    <w:rsid w:val="008C4A17"/>
    <w:rsid w:val="008C4AD6"/>
    <w:rsid w:val="008C4B2F"/>
    <w:rsid w:val="008C4D3B"/>
    <w:rsid w:val="008C4E1B"/>
    <w:rsid w:val="008C5347"/>
    <w:rsid w:val="008C53BB"/>
    <w:rsid w:val="008C5458"/>
    <w:rsid w:val="008C55F4"/>
    <w:rsid w:val="008C5650"/>
    <w:rsid w:val="008C58B9"/>
    <w:rsid w:val="008C5938"/>
    <w:rsid w:val="008C5AF7"/>
    <w:rsid w:val="008C6093"/>
    <w:rsid w:val="008C65C2"/>
    <w:rsid w:val="008C6812"/>
    <w:rsid w:val="008C6981"/>
    <w:rsid w:val="008C6ACC"/>
    <w:rsid w:val="008C6C4C"/>
    <w:rsid w:val="008C6DE5"/>
    <w:rsid w:val="008C6E06"/>
    <w:rsid w:val="008C6E23"/>
    <w:rsid w:val="008C6E7E"/>
    <w:rsid w:val="008C6E86"/>
    <w:rsid w:val="008C7064"/>
    <w:rsid w:val="008C7179"/>
    <w:rsid w:val="008C7365"/>
    <w:rsid w:val="008C7572"/>
    <w:rsid w:val="008C767C"/>
    <w:rsid w:val="008C76AF"/>
    <w:rsid w:val="008C799E"/>
    <w:rsid w:val="008C79F0"/>
    <w:rsid w:val="008C79F9"/>
    <w:rsid w:val="008C7F4E"/>
    <w:rsid w:val="008D0065"/>
    <w:rsid w:val="008D00A1"/>
    <w:rsid w:val="008D028F"/>
    <w:rsid w:val="008D02DF"/>
    <w:rsid w:val="008D02E0"/>
    <w:rsid w:val="008D050C"/>
    <w:rsid w:val="008D051F"/>
    <w:rsid w:val="008D0706"/>
    <w:rsid w:val="008D081B"/>
    <w:rsid w:val="008D0C01"/>
    <w:rsid w:val="008D105F"/>
    <w:rsid w:val="008D1154"/>
    <w:rsid w:val="008D1528"/>
    <w:rsid w:val="008D16BC"/>
    <w:rsid w:val="008D16D5"/>
    <w:rsid w:val="008D18B0"/>
    <w:rsid w:val="008D19FD"/>
    <w:rsid w:val="008D1A5E"/>
    <w:rsid w:val="008D1ABD"/>
    <w:rsid w:val="008D1ABF"/>
    <w:rsid w:val="008D1B54"/>
    <w:rsid w:val="008D1CD9"/>
    <w:rsid w:val="008D1EB8"/>
    <w:rsid w:val="008D1ED8"/>
    <w:rsid w:val="008D2036"/>
    <w:rsid w:val="008D205E"/>
    <w:rsid w:val="008D22B0"/>
    <w:rsid w:val="008D2428"/>
    <w:rsid w:val="008D2449"/>
    <w:rsid w:val="008D2A2D"/>
    <w:rsid w:val="008D2B34"/>
    <w:rsid w:val="008D2B8E"/>
    <w:rsid w:val="008D38FA"/>
    <w:rsid w:val="008D3952"/>
    <w:rsid w:val="008D3A0D"/>
    <w:rsid w:val="008D3AF1"/>
    <w:rsid w:val="008D3B9B"/>
    <w:rsid w:val="008D3BB8"/>
    <w:rsid w:val="008D3BD9"/>
    <w:rsid w:val="008D3C41"/>
    <w:rsid w:val="008D3CE8"/>
    <w:rsid w:val="008D4663"/>
    <w:rsid w:val="008D46EB"/>
    <w:rsid w:val="008D4A4B"/>
    <w:rsid w:val="008D4C13"/>
    <w:rsid w:val="008D4C50"/>
    <w:rsid w:val="008D5332"/>
    <w:rsid w:val="008D545C"/>
    <w:rsid w:val="008D587F"/>
    <w:rsid w:val="008D5A6F"/>
    <w:rsid w:val="008D5A9A"/>
    <w:rsid w:val="008D5C0E"/>
    <w:rsid w:val="008D5E77"/>
    <w:rsid w:val="008D6291"/>
    <w:rsid w:val="008D6388"/>
    <w:rsid w:val="008D644D"/>
    <w:rsid w:val="008D670F"/>
    <w:rsid w:val="008D67F5"/>
    <w:rsid w:val="008D6814"/>
    <w:rsid w:val="008D68C4"/>
    <w:rsid w:val="008D68EC"/>
    <w:rsid w:val="008D6A76"/>
    <w:rsid w:val="008D6D07"/>
    <w:rsid w:val="008D6E95"/>
    <w:rsid w:val="008D6F4B"/>
    <w:rsid w:val="008D7513"/>
    <w:rsid w:val="008D776A"/>
    <w:rsid w:val="008D78DE"/>
    <w:rsid w:val="008D7D8C"/>
    <w:rsid w:val="008D7E26"/>
    <w:rsid w:val="008D7F1F"/>
    <w:rsid w:val="008D7F79"/>
    <w:rsid w:val="008E02C2"/>
    <w:rsid w:val="008E04C5"/>
    <w:rsid w:val="008E04F5"/>
    <w:rsid w:val="008E08E8"/>
    <w:rsid w:val="008E0E0E"/>
    <w:rsid w:val="008E0E67"/>
    <w:rsid w:val="008E0EA2"/>
    <w:rsid w:val="008E1300"/>
    <w:rsid w:val="008E1AE0"/>
    <w:rsid w:val="008E1C30"/>
    <w:rsid w:val="008E1CEB"/>
    <w:rsid w:val="008E1FC1"/>
    <w:rsid w:val="008E23FF"/>
    <w:rsid w:val="008E25D6"/>
    <w:rsid w:val="008E26F0"/>
    <w:rsid w:val="008E2882"/>
    <w:rsid w:val="008E2944"/>
    <w:rsid w:val="008E29DB"/>
    <w:rsid w:val="008E2A25"/>
    <w:rsid w:val="008E2A4B"/>
    <w:rsid w:val="008E2BA4"/>
    <w:rsid w:val="008E3255"/>
    <w:rsid w:val="008E32B4"/>
    <w:rsid w:val="008E343B"/>
    <w:rsid w:val="008E367C"/>
    <w:rsid w:val="008E3763"/>
    <w:rsid w:val="008E38E1"/>
    <w:rsid w:val="008E3936"/>
    <w:rsid w:val="008E39E6"/>
    <w:rsid w:val="008E3AE8"/>
    <w:rsid w:val="008E3C87"/>
    <w:rsid w:val="008E4038"/>
    <w:rsid w:val="008E4113"/>
    <w:rsid w:val="008E416B"/>
    <w:rsid w:val="008E422C"/>
    <w:rsid w:val="008E42FD"/>
    <w:rsid w:val="008E44E5"/>
    <w:rsid w:val="008E4534"/>
    <w:rsid w:val="008E45F1"/>
    <w:rsid w:val="008E4708"/>
    <w:rsid w:val="008E473C"/>
    <w:rsid w:val="008E4B2C"/>
    <w:rsid w:val="008E4C24"/>
    <w:rsid w:val="008E4C51"/>
    <w:rsid w:val="008E4CE0"/>
    <w:rsid w:val="008E4D85"/>
    <w:rsid w:val="008E509B"/>
    <w:rsid w:val="008E5343"/>
    <w:rsid w:val="008E5695"/>
    <w:rsid w:val="008E586A"/>
    <w:rsid w:val="008E58D3"/>
    <w:rsid w:val="008E5907"/>
    <w:rsid w:val="008E5925"/>
    <w:rsid w:val="008E5D9A"/>
    <w:rsid w:val="008E5F30"/>
    <w:rsid w:val="008E5FED"/>
    <w:rsid w:val="008E604B"/>
    <w:rsid w:val="008E6081"/>
    <w:rsid w:val="008E61F3"/>
    <w:rsid w:val="008E623F"/>
    <w:rsid w:val="008E635B"/>
    <w:rsid w:val="008E64AE"/>
    <w:rsid w:val="008E652C"/>
    <w:rsid w:val="008E68BC"/>
    <w:rsid w:val="008E68D5"/>
    <w:rsid w:val="008E6A31"/>
    <w:rsid w:val="008E6CCF"/>
    <w:rsid w:val="008E6E5A"/>
    <w:rsid w:val="008E6F76"/>
    <w:rsid w:val="008E707A"/>
    <w:rsid w:val="008E707E"/>
    <w:rsid w:val="008E70E6"/>
    <w:rsid w:val="008E70E7"/>
    <w:rsid w:val="008E717B"/>
    <w:rsid w:val="008E7281"/>
    <w:rsid w:val="008E731B"/>
    <w:rsid w:val="008E7538"/>
    <w:rsid w:val="008E75AF"/>
    <w:rsid w:val="008E7620"/>
    <w:rsid w:val="008E76B0"/>
    <w:rsid w:val="008E7837"/>
    <w:rsid w:val="008E7BD4"/>
    <w:rsid w:val="008E7E89"/>
    <w:rsid w:val="008F0013"/>
    <w:rsid w:val="008F0035"/>
    <w:rsid w:val="008F0170"/>
    <w:rsid w:val="008F02CF"/>
    <w:rsid w:val="008F02FF"/>
    <w:rsid w:val="008F0391"/>
    <w:rsid w:val="008F0976"/>
    <w:rsid w:val="008F09AB"/>
    <w:rsid w:val="008F0A95"/>
    <w:rsid w:val="008F0AE3"/>
    <w:rsid w:val="008F0D83"/>
    <w:rsid w:val="008F0DCB"/>
    <w:rsid w:val="008F10D0"/>
    <w:rsid w:val="008F12D7"/>
    <w:rsid w:val="008F13D8"/>
    <w:rsid w:val="008F15BC"/>
    <w:rsid w:val="008F1660"/>
    <w:rsid w:val="008F19E7"/>
    <w:rsid w:val="008F1D97"/>
    <w:rsid w:val="008F1E10"/>
    <w:rsid w:val="008F1E58"/>
    <w:rsid w:val="008F20B4"/>
    <w:rsid w:val="008F24B9"/>
    <w:rsid w:val="008F2514"/>
    <w:rsid w:val="008F26D1"/>
    <w:rsid w:val="008F294C"/>
    <w:rsid w:val="008F2BE3"/>
    <w:rsid w:val="008F2C55"/>
    <w:rsid w:val="008F2E4F"/>
    <w:rsid w:val="008F2E53"/>
    <w:rsid w:val="008F30B1"/>
    <w:rsid w:val="008F31A5"/>
    <w:rsid w:val="008F3899"/>
    <w:rsid w:val="008F3945"/>
    <w:rsid w:val="008F3AC2"/>
    <w:rsid w:val="008F3B22"/>
    <w:rsid w:val="008F3BDC"/>
    <w:rsid w:val="008F3D5C"/>
    <w:rsid w:val="008F3E45"/>
    <w:rsid w:val="008F3ECA"/>
    <w:rsid w:val="008F3F3A"/>
    <w:rsid w:val="008F4030"/>
    <w:rsid w:val="008F46A4"/>
    <w:rsid w:val="008F48ED"/>
    <w:rsid w:val="008F5066"/>
    <w:rsid w:val="008F50A7"/>
    <w:rsid w:val="008F52B7"/>
    <w:rsid w:val="008F54EC"/>
    <w:rsid w:val="008F5557"/>
    <w:rsid w:val="008F55A5"/>
    <w:rsid w:val="008F562F"/>
    <w:rsid w:val="008F567D"/>
    <w:rsid w:val="008F599D"/>
    <w:rsid w:val="008F5A9E"/>
    <w:rsid w:val="008F5D90"/>
    <w:rsid w:val="008F5E01"/>
    <w:rsid w:val="008F5E98"/>
    <w:rsid w:val="008F62A1"/>
    <w:rsid w:val="008F62F0"/>
    <w:rsid w:val="008F64CC"/>
    <w:rsid w:val="008F6591"/>
    <w:rsid w:val="008F66C7"/>
    <w:rsid w:val="008F6876"/>
    <w:rsid w:val="008F6884"/>
    <w:rsid w:val="008F68F3"/>
    <w:rsid w:val="008F6A0C"/>
    <w:rsid w:val="008F6BA5"/>
    <w:rsid w:val="008F6F1A"/>
    <w:rsid w:val="008F6FF3"/>
    <w:rsid w:val="008F711F"/>
    <w:rsid w:val="008F72E0"/>
    <w:rsid w:val="008F73E0"/>
    <w:rsid w:val="008F7611"/>
    <w:rsid w:val="008F7753"/>
    <w:rsid w:val="008F783E"/>
    <w:rsid w:val="008F7897"/>
    <w:rsid w:val="008F791E"/>
    <w:rsid w:val="008F7D87"/>
    <w:rsid w:val="009001B9"/>
    <w:rsid w:val="009007C6"/>
    <w:rsid w:val="00900869"/>
    <w:rsid w:val="00900B7B"/>
    <w:rsid w:val="00900D92"/>
    <w:rsid w:val="00900DB5"/>
    <w:rsid w:val="00900E0C"/>
    <w:rsid w:val="00900F81"/>
    <w:rsid w:val="009011EE"/>
    <w:rsid w:val="0090137A"/>
    <w:rsid w:val="009013B5"/>
    <w:rsid w:val="009013DC"/>
    <w:rsid w:val="009014D4"/>
    <w:rsid w:val="00901602"/>
    <w:rsid w:val="00901ACA"/>
    <w:rsid w:val="00901B0A"/>
    <w:rsid w:val="00901C57"/>
    <w:rsid w:val="0090213F"/>
    <w:rsid w:val="009021FF"/>
    <w:rsid w:val="00902234"/>
    <w:rsid w:val="00902471"/>
    <w:rsid w:val="009027AF"/>
    <w:rsid w:val="00902A4F"/>
    <w:rsid w:val="00902F4A"/>
    <w:rsid w:val="009030E7"/>
    <w:rsid w:val="009032B0"/>
    <w:rsid w:val="009032BD"/>
    <w:rsid w:val="00903322"/>
    <w:rsid w:val="00903370"/>
    <w:rsid w:val="009033AC"/>
    <w:rsid w:val="0090376D"/>
    <w:rsid w:val="0090385C"/>
    <w:rsid w:val="00903870"/>
    <w:rsid w:val="00903A2F"/>
    <w:rsid w:val="00903B1C"/>
    <w:rsid w:val="00903CED"/>
    <w:rsid w:val="00903E03"/>
    <w:rsid w:val="009040CD"/>
    <w:rsid w:val="00904100"/>
    <w:rsid w:val="00904190"/>
    <w:rsid w:val="009042CB"/>
    <w:rsid w:val="0090442B"/>
    <w:rsid w:val="00904448"/>
    <w:rsid w:val="009046A2"/>
    <w:rsid w:val="00904A7A"/>
    <w:rsid w:val="00904BBD"/>
    <w:rsid w:val="00904C02"/>
    <w:rsid w:val="00904EF2"/>
    <w:rsid w:val="00904F82"/>
    <w:rsid w:val="00905BD5"/>
    <w:rsid w:val="00905C80"/>
    <w:rsid w:val="00905D55"/>
    <w:rsid w:val="00905EA4"/>
    <w:rsid w:val="0090631B"/>
    <w:rsid w:val="0090677A"/>
    <w:rsid w:val="0090680C"/>
    <w:rsid w:val="0090681A"/>
    <w:rsid w:val="00906ADE"/>
    <w:rsid w:val="00906D3E"/>
    <w:rsid w:val="00907266"/>
    <w:rsid w:val="009072B0"/>
    <w:rsid w:val="00907303"/>
    <w:rsid w:val="00907701"/>
    <w:rsid w:val="00907C6B"/>
    <w:rsid w:val="009100F7"/>
    <w:rsid w:val="0091026C"/>
    <w:rsid w:val="009102AC"/>
    <w:rsid w:val="0091033E"/>
    <w:rsid w:val="0091041C"/>
    <w:rsid w:val="009104A6"/>
    <w:rsid w:val="00910721"/>
    <w:rsid w:val="009107A2"/>
    <w:rsid w:val="00910D3A"/>
    <w:rsid w:val="00910DFA"/>
    <w:rsid w:val="009111CA"/>
    <w:rsid w:val="00911397"/>
    <w:rsid w:val="00911839"/>
    <w:rsid w:val="00911E2D"/>
    <w:rsid w:val="00911EAC"/>
    <w:rsid w:val="00911F59"/>
    <w:rsid w:val="00912037"/>
    <w:rsid w:val="009120F1"/>
    <w:rsid w:val="00912353"/>
    <w:rsid w:val="009124A8"/>
    <w:rsid w:val="0091266D"/>
    <w:rsid w:val="00912693"/>
    <w:rsid w:val="009127F6"/>
    <w:rsid w:val="0091284E"/>
    <w:rsid w:val="00912A3D"/>
    <w:rsid w:val="00912ACA"/>
    <w:rsid w:val="00912B04"/>
    <w:rsid w:val="00912B5D"/>
    <w:rsid w:val="00912C64"/>
    <w:rsid w:val="00912D25"/>
    <w:rsid w:val="00912DBD"/>
    <w:rsid w:val="00912E61"/>
    <w:rsid w:val="00913329"/>
    <w:rsid w:val="0091349A"/>
    <w:rsid w:val="00913801"/>
    <w:rsid w:val="009138A4"/>
    <w:rsid w:val="009138C1"/>
    <w:rsid w:val="009138C8"/>
    <w:rsid w:val="009138F6"/>
    <w:rsid w:val="0091391A"/>
    <w:rsid w:val="009139B8"/>
    <w:rsid w:val="00913A6C"/>
    <w:rsid w:val="00913AEE"/>
    <w:rsid w:val="00913AF5"/>
    <w:rsid w:val="00913B0E"/>
    <w:rsid w:val="00913BD5"/>
    <w:rsid w:val="00913D5A"/>
    <w:rsid w:val="00913E9E"/>
    <w:rsid w:val="00913FB9"/>
    <w:rsid w:val="00914186"/>
    <w:rsid w:val="00914399"/>
    <w:rsid w:val="00914587"/>
    <w:rsid w:val="00914614"/>
    <w:rsid w:val="00914673"/>
    <w:rsid w:val="00914980"/>
    <w:rsid w:val="00914A43"/>
    <w:rsid w:val="00914ADA"/>
    <w:rsid w:val="00914B5C"/>
    <w:rsid w:val="00914B84"/>
    <w:rsid w:val="00914D66"/>
    <w:rsid w:val="00914E5D"/>
    <w:rsid w:val="00915078"/>
    <w:rsid w:val="009150AE"/>
    <w:rsid w:val="00915100"/>
    <w:rsid w:val="0091510A"/>
    <w:rsid w:val="0091530C"/>
    <w:rsid w:val="00915762"/>
    <w:rsid w:val="009157BA"/>
    <w:rsid w:val="009157BE"/>
    <w:rsid w:val="009157C8"/>
    <w:rsid w:val="009158BF"/>
    <w:rsid w:val="0091592A"/>
    <w:rsid w:val="009159DB"/>
    <w:rsid w:val="00915AC6"/>
    <w:rsid w:val="00915C03"/>
    <w:rsid w:val="00915C9D"/>
    <w:rsid w:val="00916158"/>
    <w:rsid w:val="009165E2"/>
    <w:rsid w:val="009167A3"/>
    <w:rsid w:val="0091696D"/>
    <w:rsid w:val="00916AF8"/>
    <w:rsid w:val="00916CCA"/>
    <w:rsid w:val="00916DAB"/>
    <w:rsid w:val="00916F09"/>
    <w:rsid w:val="00916FFD"/>
    <w:rsid w:val="0091708A"/>
    <w:rsid w:val="0091744C"/>
    <w:rsid w:val="0091788A"/>
    <w:rsid w:val="00917B1B"/>
    <w:rsid w:val="00917FCE"/>
    <w:rsid w:val="00920014"/>
    <w:rsid w:val="00920648"/>
    <w:rsid w:val="00920678"/>
    <w:rsid w:val="0092071A"/>
    <w:rsid w:val="00920CB7"/>
    <w:rsid w:val="00920D73"/>
    <w:rsid w:val="00920D76"/>
    <w:rsid w:val="00920E6E"/>
    <w:rsid w:val="00920F8A"/>
    <w:rsid w:val="009216DF"/>
    <w:rsid w:val="0092176D"/>
    <w:rsid w:val="00921855"/>
    <w:rsid w:val="009219B6"/>
    <w:rsid w:val="00921B9B"/>
    <w:rsid w:val="0092201E"/>
    <w:rsid w:val="009223E1"/>
    <w:rsid w:val="009223F7"/>
    <w:rsid w:val="00922646"/>
    <w:rsid w:val="009226F7"/>
    <w:rsid w:val="009227DF"/>
    <w:rsid w:val="009229D4"/>
    <w:rsid w:val="00922B42"/>
    <w:rsid w:val="00922C93"/>
    <w:rsid w:val="00922FD7"/>
    <w:rsid w:val="00923134"/>
    <w:rsid w:val="009233A8"/>
    <w:rsid w:val="00923641"/>
    <w:rsid w:val="00923BCB"/>
    <w:rsid w:val="00923EA5"/>
    <w:rsid w:val="00923EB6"/>
    <w:rsid w:val="009242B9"/>
    <w:rsid w:val="0092452B"/>
    <w:rsid w:val="0092459F"/>
    <w:rsid w:val="009248D6"/>
    <w:rsid w:val="00924943"/>
    <w:rsid w:val="00924CAC"/>
    <w:rsid w:val="00924D8B"/>
    <w:rsid w:val="00924FFB"/>
    <w:rsid w:val="009253F5"/>
    <w:rsid w:val="00925568"/>
    <w:rsid w:val="009259C9"/>
    <w:rsid w:val="00925E54"/>
    <w:rsid w:val="009260C6"/>
    <w:rsid w:val="0092617A"/>
    <w:rsid w:val="009261BB"/>
    <w:rsid w:val="0092629E"/>
    <w:rsid w:val="009265BD"/>
    <w:rsid w:val="00926B5F"/>
    <w:rsid w:val="00926D90"/>
    <w:rsid w:val="00926E68"/>
    <w:rsid w:val="00927151"/>
    <w:rsid w:val="00927291"/>
    <w:rsid w:val="0092733E"/>
    <w:rsid w:val="0092745B"/>
    <w:rsid w:val="009274B7"/>
    <w:rsid w:val="00927574"/>
    <w:rsid w:val="009275AD"/>
    <w:rsid w:val="00927905"/>
    <w:rsid w:val="00927E1C"/>
    <w:rsid w:val="00927EF2"/>
    <w:rsid w:val="00927F10"/>
    <w:rsid w:val="0093005D"/>
    <w:rsid w:val="00930178"/>
    <w:rsid w:val="0093028D"/>
    <w:rsid w:val="00930362"/>
    <w:rsid w:val="00930557"/>
    <w:rsid w:val="009306D7"/>
    <w:rsid w:val="00930AC4"/>
    <w:rsid w:val="00930E09"/>
    <w:rsid w:val="00931045"/>
    <w:rsid w:val="00931115"/>
    <w:rsid w:val="009312A3"/>
    <w:rsid w:val="00931482"/>
    <w:rsid w:val="0093193E"/>
    <w:rsid w:val="00931AFC"/>
    <w:rsid w:val="00931BBE"/>
    <w:rsid w:val="00931CB2"/>
    <w:rsid w:val="00931D2C"/>
    <w:rsid w:val="00931D91"/>
    <w:rsid w:val="00932183"/>
    <w:rsid w:val="0093238D"/>
    <w:rsid w:val="009328B8"/>
    <w:rsid w:val="009328F2"/>
    <w:rsid w:val="00932929"/>
    <w:rsid w:val="0093292E"/>
    <w:rsid w:val="00932962"/>
    <w:rsid w:val="00932FB5"/>
    <w:rsid w:val="009330FA"/>
    <w:rsid w:val="009331E5"/>
    <w:rsid w:val="0093357C"/>
    <w:rsid w:val="009335A5"/>
    <w:rsid w:val="009336BC"/>
    <w:rsid w:val="00933839"/>
    <w:rsid w:val="00933936"/>
    <w:rsid w:val="00933A46"/>
    <w:rsid w:val="00933A5E"/>
    <w:rsid w:val="00933B4E"/>
    <w:rsid w:val="00933E08"/>
    <w:rsid w:val="00933E55"/>
    <w:rsid w:val="00933F99"/>
    <w:rsid w:val="009342FC"/>
    <w:rsid w:val="009346FF"/>
    <w:rsid w:val="009348E9"/>
    <w:rsid w:val="00934C92"/>
    <w:rsid w:val="00934D0D"/>
    <w:rsid w:val="00934EB7"/>
    <w:rsid w:val="0093527E"/>
    <w:rsid w:val="009355A4"/>
    <w:rsid w:val="00935637"/>
    <w:rsid w:val="0093564D"/>
    <w:rsid w:val="009358A8"/>
    <w:rsid w:val="00935947"/>
    <w:rsid w:val="00935D68"/>
    <w:rsid w:val="00935D77"/>
    <w:rsid w:val="00935FBE"/>
    <w:rsid w:val="00935FF6"/>
    <w:rsid w:val="00936068"/>
    <w:rsid w:val="0093616D"/>
    <w:rsid w:val="00936290"/>
    <w:rsid w:val="0093630C"/>
    <w:rsid w:val="00936433"/>
    <w:rsid w:val="00936B3E"/>
    <w:rsid w:val="00936C60"/>
    <w:rsid w:val="00937102"/>
    <w:rsid w:val="009371DD"/>
    <w:rsid w:val="0093769E"/>
    <w:rsid w:val="00937723"/>
    <w:rsid w:val="009377A6"/>
    <w:rsid w:val="009377C4"/>
    <w:rsid w:val="00937926"/>
    <w:rsid w:val="00937983"/>
    <w:rsid w:val="00937AED"/>
    <w:rsid w:val="00937B93"/>
    <w:rsid w:val="00937DDB"/>
    <w:rsid w:val="009400F8"/>
    <w:rsid w:val="00940380"/>
    <w:rsid w:val="009403D8"/>
    <w:rsid w:val="009404D4"/>
    <w:rsid w:val="009405D5"/>
    <w:rsid w:val="009407BB"/>
    <w:rsid w:val="00940820"/>
    <w:rsid w:val="0094085D"/>
    <w:rsid w:val="009409ED"/>
    <w:rsid w:val="00940E13"/>
    <w:rsid w:val="00941093"/>
    <w:rsid w:val="00941206"/>
    <w:rsid w:val="009417FB"/>
    <w:rsid w:val="00941898"/>
    <w:rsid w:val="009418C2"/>
    <w:rsid w:val="00941A70"/>
    <w:rsid w:val="00941B7A"/>
    <w:rsid w:val="00941C5E"/>
    <w:rsid w:val="00941CCD"/>
    <w:rsid w:val="00941E54"/>
    <w:rsid w:val="00941EA3"/>
    <w:rsid w:val="00941EA7"/>
    <w:rsid w:val="009424E5"/>
    <w:rsid w:val="009425EB"/>
    <w:rsid w:val="00942666"/>
    <w:rsid w:val="00942B78"/>
    <w:rsid w:val="00942C30"/>
    <w:rsid w:val="00942EA0"/>
    <w:rsid w:val="00943176"/>
    <w:rsid w:val="009433EA"/>
    <w:rsid w:val="00943721"/>
    <w:rsid w:val="009437FF"/>
    <w:rsid w:val="00943806"/>
    <w:rsid w:val="009439D6"/>
    <w:rsid w:val="00943C2A"/>
    <w:rsid w:val="00944047"/>
    <w:rsid w:val="00944301"/>
    <w:rsid w:val="00944304"/>
    <w:rsid w:val="00944532"/>
    <w:rsid w:val="009448C6"/>
    <w:rsid w:val="00944B0C"/>
    <w:rsid w:val="00944B92"/>
    <w:rsid w:val="00944BFE"/>
    <w:rsid w:val="00944C34"/>
    <w:rsid w:val="009450B7"/>
    <w:rsid w:val="00945333"/>
    <w:rsid w:val="009453F3"/>
    <w:rsid w:val="0094545E"/>
    <w:rsid w:val="0094559A"/>
    <w:rsid w:val="009455DE"/>
    <w:rsid w:val="0094567F"/>
    <w:rsid w:val="009457E3"/>
    <w:rsid w:val="009458B0"/>
    <w:rsid w:val="009459DE"/>
    <w:rsid w:val="009459DF"/>
    <w:rsid w:val="00945D0E"/>
    <w:rsid w:val="00945FF2"/>
    <w:rsid w:val="0094600F"/>
    <w:rsid w:val="00946351"/>
    <w:rsid w:val="009465F1"/>
    <w:rsid w:val="0094672E"/>
    <w:rsid w:val="00946C55"/>
    <w:rsid w:val="00946E35"/>
    <w:rsid w:val="00947000"/>
    <w:rsid w:val="0094752D"/>
    <w:rsid w:val="00947559"/>
    <w:rsid w:val="009475EF"/>
    <w:rsid w:val="009479D2"/>
    <w:rsid w:val="00947ACC"/>
    <w:rsid w:val="00947CDF"/>
    <w:rsid w:val="00947FC2"/>
    <w:rsid w:val="00950305"/>
    <w:rsid w:val="0095049E"/>
    <w:rsid w:val="009506C9"/>
    <w:rsid w:val="009506EB"/>
    <w:rsid w:val="0095079B"/>
    <w:rsid w:val="00950A1B"/>
    <w:rsid w:val="00950C62"/>
    <w:rsid w:val="00950CDB"/>
    <w:rsid w:val="00950D12"/>
    <w:rsid w:val="00950D8D"/>
    <w:rsid w:val="009513E8"/>
    <w:rsid w:val="009517CC"/>
    <w:rsid w:val="0095185E"/>
    <w:rsid w:val="009518D8"/>
    <w:rsid w:val="00951B00"/>
    <w:rsid w:val="00951C1D"/>
    <w:rsid w:val="00951F3B"/>
    <w:rsid w:val="0095212E"/>
    <w:rsid w:val="009521A9"/>
    <w:rsid w:val="009524D9"/>
    <w:rsid w:val="009525F0"/>
    <w:rsid w:val="00952887"/>
    <w:rsid w:val="009528A8"/>
    <w:rsid w:val="009529BE"/>
    <w:rsid w:val="00952A5E"/>
    <w:rsid w:val="00952C28"/>
    <w:rsid w:val="00952F6A"/>
    <w:rsid w:val="0095301C"/>
    <w:rsid w:val="0095364D"/>
    <w:rsid w:val="0095394D"/>
    <w:rsid w:val="00954120"/>
    <w:rsid w:val="009542A4"/>
    <w:rsid w:val="009542C1"/>
    <w:rsid w:val="009543A6"/>
    <w:rsid w:val="009546B7"/>
    <w:rsid w:val="00954BEF"/>
    <w:rsid w:val="00954D36"/>
    <w:rsid w:val="00954E5D"/>
    <w:rsid w:val="00954E6B"/>
    <w:rsid w:val="00954EC5"/>
    <w:rsid w:val="00955859"/>
    <w:rsid w:val="00955AC6"/>
    <w:rsid w:val="00955DB5"/>
    <w:rsid w:val="00955DD7"/>
    <w:rsid w:val="00955EF0"/>
    <w:rsid w:val="00955F8B"/>
    <w:rsid w:val="009561DB"/>
    <w:rsid w:val="00956711"/>
    <w:rsid w:val="009567CE"/>
    <w:rsid w:val="00956962"/>
    <w:rsid w:val="00956BC4"/>
    <w:rsid w:val="00956BC9"/>
    <w:rsid w:val="00956D27"/>
    <w:rsid w:val="00956D51"/>
    <w:rsid w:val="00956E53"/>
    <w:rsid w:val="00957505"/>
    <w:rsid w:val="00957670"/>
    <w:rsid w:val="00957BC9"/>
    <w:rsid w:val="00957BE6"/>
    <w:rsid w:val="00957CB4"/>
    <w:rsid w:val="00957ED1"/>
    <w:rsid w:val="009600DB"/>
    <w:rsid w:val="009603DB"/>
    <w:rsid w:val="009603F7"/>
    <w:rsid w:val="009606DB"/>
    <w:rsid w:val="00960736"/>
    <w:rsid w:val="00960765"/>
    <w:rsid w:val="00960928"/>
    <w:rsid w:val="00960BEA"/>
    <w:rsid w:val="00960BFC"/>
    <w:rsid w:val="00960DA3"/>
    <w:rsid w:val="00960FB7"/>
    <w:rsid w:val="0096113F"/>
    <w:rsid w:val="009612CD"/>
    <w:rsid w:val="009615D4"/>
    <w:rsid w:val="00961619"/>
    <w:rsid w:val="009617C8"/>
    <w:rsid w:val="009618E9"/>
    <w:rsid w:val="009619FE"/>
    <w:rsid w:val="00961D14"/>
    <w:rsid w:val="00961ECB"/>
    <w:rsid w:val="009623DC"/>
    <w:rsid w:val="0096242C"/>
    <w:rsid w:val="009624D2"/>
    <w:rsid w:val="0096257F"/>
    <w:rsid w:val="00962612"/>
    <w:rsid w:val="009628C3"/>
    <w:rsid w:val="009628E6"/>
    <w:rsid w:val="00962905"/>
    <w:rsid w:val="00962CB3"/>
    <w:rsid w:val="00962E23"/>
    <w:rsid w:val="00962EBF"/>
    <w:rsid w:val="00963050"/>
    <w:rsid w:val="00963126"/>
    <w:rsid w:val="00963144"/>
    <w:rsid w:val="009631FA"/>
    <w:rsid w:val="0096329A"/>
    <w:rsid w:val="0096362D"/>
    <w:rsid w:val="00963709"/>
    <w:rsid w:val="00963981"/>
    <w:rsid w:val="009639B2"/>
    <w:rsid w:val="00963B4D"/>
    <w:rsid w:val="00963B5E"/>
    <w:rsid w:val="00963E5A"/>
    <w:rsid w:val="009640E3"/>
    <w:rsid w:val="0096449D"/>
    <w:rsid w:val="009644F1"/>
    <w:rsid w:val="009646E9"/>
    <w:rsid w:val="0096494E"/>
    <w:rsid w:val="0096499D"/>
    <w:rsid w:val="00964AF8"/>
    <w:rsid w:val="00964DCC"/>
    <w:rsid w:val="00964E29"/>
    <w:rsid w:val="00965092"/>
    <w:rsid w:val="00965178"/>
    <w:rsid w:val="00965480"/>
    <w:rsid w:val="009657F0"/>
    <w:rsid w:val="00965E7C"/>
    <w:rsid w:val="00965EC8"/>
    <w:rsid w:val="009661E6"/>
    <w:rsid w:val="0096672C"/>
    <w:rsid w:val="009669D8"/>
    <w:rsid w:val="00966B63"/>
    <w:rsid w:val="00966B7D"/>
    <w:rsid w:val="009670A1"/>
    <w:rsid w:val="0096738F"/>
    <w:rsid w:val="00967616"/>
    <w:rsid w:val="0096796A"/>
    <w:rsid w:val="00970109"/>
    <w:rsid w:val="009702BD"/>
    <w:rsid w:val="009702E8"/>
    <w:rsid w:val="0097030D"/>
    <w:rsid w:val="009703D6"/>
    <w:rsid w:val="00970449"/>
    <w:rsid w:val="009706E2"/>
    <w:rsid w:val="00970A07"/>
    <w:rsid w:val="00970A20"/>
    <w:rsid w:val="00970B8C"/>
    <w:rsid w:val="00970D7C"/>
    <w:rsid w:val="0097103C"/>
    <w:rsid w:val="00971179"/>
    <w:rsid w:val="00971391"/>
    <w:rsid w:val="009713C9"/>
    <w:rsid w:val="00971594"/>
    <w:rsid w:val="0097163D"/>
    <w:rsid w:val="00971839"/>
    <w:rsid w:val="00971848"/>
    <w:rsid w:val="009718E7"/>
    <w:rsid w:val="00971AFD"/>
    <w:rsid w:val="00971CF1"/>
    <w:rsid w:val="00971F60"/>
    <w:rsid w:val="00971F8F"/>
    <w:rsid w:val="009721F8"/>
    <w:rsid w:val="00972602"/>
    <w:rsid w:val="00972A31"/>
    <w:rsid w:val="00972A7F"/>
    <w:rsid w:val="00972B18"/>
    <w:rsid w:val="00972BFB"/>
    <w:rsid w:val="00972C4C"/>
    <w:rsid w:val="00972C83"/>
    <w:rsid w:val="00972D42"/>
    <w:rsid w:val="00972F07"/>
    <w:rsid w:val="00972F78"/>
    <w:rsid w:val="0097302D"/>
    <w:rsid w:val="00973121"/>
    <w:rsid w:val="009731AA"/>
    <w:rsid w:val="0097335E"/>
    <w:rsid w:val="0097375A"/>
    <w:rsid w:val="00973A1C"/>
    <w:rsid w:val="009742D0"/>
    <w:rsid w:val="009742FA"/>
    <w:rsid w:val="00974448"/>
    <w:rsid w:val="00974641"/>
    <w:rsid w:val="00974648"/>
    <w:rsid w:val="00974677"/>
    <w:rsid w:val="00974719"/>
    <w:rsid w:val="009747CE"/>
    <w:rsid w:val="009747E8"/>
    <w:rsid w:val="00974965"/>
    <w:rsid w:val="00974D8C"/>
    <w:rsid w:val="00974EA7"/>
    <w:rsid w:val="009750AA"/>
    <w:rsid w:val="009753F8"/>
    <w:rsid w:val="009755F5"/>
    <w:rsid w:val="0097573B"/>
    <w:rsid w:val="00975836"/>
    <w:rsid w:val="00975A15"/>
    <w:rsid w:val="00975A2A"/>
    <w:rsid w:val="00975A4A"/>
    <w:rsid w:val="00975A7D"/>
    <w:rsid w:val="00975B55"/>
    <w:rsid w:val="00975C79"/>
    <w:rsid w:val="00975C81"/>
    <w:rsid w:val="00975CF2"/>
    <w:rsid w:val="00975D7C"/>
    <w:rsid w:val="00975D8B"/>
    <w:rsid w:val="00975EDD"/>
    <w:rsid w:val="00975F49"/>
    <w:rsid w:val="00976023"/>
    <w:rsid w:val="0097616C"/>
    <w:rsid w:val="0097618C"/>
    <w:rsid w:val="00976617"/>
    <w:rsid w:val="009768AF"/>
    <w:rsid w:val="00976B22"/>
    <w:rsid w:val="00976ECE"/>
    <w:rsid w:val="00976FEC"/>
    <w:rsid w:val="00977410"/>
    <w:rsid w:val="00977855"/>
    <w:rsid w:val="009778CC"/>
    <w:rsid w:val="009778FE"/>
    <w:rsid w:val="00977AF7"/>
    <w:rsid w:val="00977B9B"/>
    <w:rsid w:val="00977B9F"/>
    <w:rsid w:val="00977C53"/>
    <w:rsid w:val="00977D44"/>
    <w:rsid w:val="00977DD3"/>
    <w:rsid w:val="00977F63"/>
    <w:rsid w:val="0098018F"/>
    <w:rsid w:val="009802B4"/>
    <w:rsid w:val="00980461"/>
    <w:rsid w:val="009805D2"/>
    <w:rsid w:val="009805F2"/>
    <w:rsid w:val="0098068C"/>
    <w:rsid w:val="00980771"/>
    <w:rsid w:val="00980A47"/>
    <w:rsid w:val="00980BC7"/>
    <w:rsid w:val="00980BD9"/>
    <w:rsid w:val="00980BEF"/>
    <w:rsid w:val="0098170D"/>
    <w:rsid w:val="009817D9"/>
    <w:rsid w:val="00981AD9"/>
    <w:rsid w:val="00981DC6"/>
    <w:rsid w:val="00981E38"/>
    <w:rsid w:val="00981FA0"/>
    <w:rsid w:val="009820E6"/>
    <w:rsid w:val="009820F6"/>
    <w:rsid w:val="00982122"/>
    <w:rsid w:val="00982172"/>
    <w:rsid w:val="00982347"/>
    <w:rsid w:val="009823AF"/>
    <w:rsid w:val="009825D4"/>
    <w:rsid w:val="009828C7"/>
    <w:rsid w:val="00982BDE"/>
    <w:rsid w:val="00982BDF"/>
    <w:rsid w:val="00982EBF"/>
    <w:rsid w:val="009832D1"/>
    <w:rsid w:val="0098333D"/>
    <w:rsid w:val="00983509"/>
    <w:rsid w:val="0098369C"/>
    <w:rsid w:val="00983930"/>
    <w:rsid w:val="009839EC"/>
    <w:rsid w:val="00983E90"/>
    <w:rsid w:val="009840C5"/>
    <w:rsid w:val="009842C5"/>
    <w:rsid w:val="00984391"/>
    <w:rsid w:val="00984508"/>
    <w:rsid w:val="009846A5"/>
    <w:rsid w:val="00984703"/>
    <w:rsid w:val="00984778"/>
    <w:rsid w:val="0098492D"/>
    <w:rsid w:val="00984B7B"/>
    <w:rsid w:val="00984C47"/>
    <w:rsid w:val="00984ED3"/>
    <w:rsid w:val="00984EDD"/>
    <w:rsid w:val="009852B9"/>
    <w:rsid w:val="009853E3"/>
    <w:rsid w:val="00985415"/>
    <w:rsid w:val="009856BB"/>
    <w:rsid w:val="009858BB"/>
    <w:rsid w:val="009858E4"/>
    <w:rsid w:val="00985975"/>
    <w:rsid w:val="009859A8"/>
    <w:rsid w:val="00985B36"/>
    <w:rsid w:val="00985BEE"/>
    <w:rsid w:val="00985C2A"/>
    <w:rsid w:val="00985C4D"/>
    <w:rsid w:val="00985D3B"/>
    <w:rsid w:val="009864AF"/>
    <w:rsid w:val="009864C3"/>
    <w:rsid w:val="009865E1"/>
    <w:rsid w:val="00986945"/>
    <w:rsid w:val="009869A0"/>
    <w:rsid w:val="00986D39"/>
    <w:rsid w:val="00986D81"/>
    <w:rsid w:val="00986E44"/>
    <w:rsid w:val="00987150"/>
    <w:rsid w:val="00987322"/>
    <w:rsid w:val="00987622"/>
    <w:rsid w:val="0098770D"/>
    <w:rsid w:val="00987B21"/>
    <w:rsid w:val="00987B9A"/>
    <w:rsid w:val="00987C2C"/>
    <w:rsid w:val="00987F7E"/>
    <w:rsid w:val="00990115"/>
    <w:rsid w:val="00990190"/>
    <w:rsid w:val="009901F4"/>
    <w:rsid w:val="0099039F"/>
    <w:rsid w:val="009905D3"/>
    <w:rsid w:val="009905F7"/>
    <w:rsid w:val="00990B86"/>
    <w:rsid w:val="00990D5A"/>
    <w:rsid w:val="009910FA"/>
    <w:rsid w:val="00991672"/>
    <w:rsid w:val="00991C7A"/>
    <w:rsid w:val="00991D60"/>
    <w:rsid w:val="00991E86"/>
    <w:rsid w:val="00991E94"/>
    <w:rsid w:val="00991FA9"/>
    <w:rsid w:val="009920E1"/>
    <w:rsid w:val="009922DF"/>
    <w:rsid w:val="0099255B"/>
    <w:rsid w:val="0099274B"/>
    <w:rsid w:val="009928E3"/>
    <w:rsid w:val="0099296D"/>
    <w:rsid w:val="00992B9E"/>
    <w:rsid w:val="00992F1E"/>
    <w:rsid w:val="0099344A"/>
    <w:rsid w:val="0099354D"/>
    <w:rsid w:val="00993555"/>
    <w:rsid w:val="0099357C"/>
    <w:rsid w:val="00993C27"/>
    <w:rsid w:val="00993E05"/>
    <w:rsid w:val="009941AE"/>
    <w:rsid w:val="00994298"/>
    <w:rsid w:val="009945FA"/>
    <w:rsid w:val="0099461B"/>
    <w:rsid w:val="009947F8"/>
    <w:rsid w:val="009948E5"/>
    <w:rsid w:val="00994A3C"/>
    <w:rsid w:val="00994F0F"/>
    <w:rsid w:val="0099504A"/>
    <w:rsid w:val="0099515A"/>
    <w:rsid w:val="009951CC"/>
    <w:rsid w:val="00995608"/>
    <w:rsid w:val="009956AB"/>
    <w:rsid w:val="00995708"/>
    <w:rsid w:val="00995735"/>
    <w:rsid w:val="009957D6"/>
    <w:rsid w:val="00995977"/>
    <w:rsid w:val="009959D8"/>
    <w:rsid w:val="00995A29"/>
    <w:rsid w:val="00995B07"/>
    <w:rsid w:val="00995B27"/>
    <w:rsid w:val="00995B6D"/>
    <w:rsid w:val="00995CA6"/>
    <w:rsid w:val="00995CE7"/>
    <w:rsid w:val="00995D76"/>
    <w:rsid w:val="00995DE4"/>
    <w:rsid w:val="00995F6B"/>
    <w:rsid w:val="00996107"/>
    <w:rsid w:val="00996213"/>
    <w:rsid w:val="00996236"/>
    <w:rsid w:val="009969C3"/>
    <w:rsid w:val="00996B50"/>
    <w:rsid w:val="00996C7F"/>
    <w:rsid w:val="00996D60"/>
    <w:rsid w:val="00996FEC"/>
    <w:rsid w:val="009975C6"/>
    <w:rsid w:val="00997602"/>
    <w:rsid w:val="00997694"/>
    <w:rsid w:val="009976AF"/>
    <w:rsid w:val="009977B1"/>
    <w:rsid w:val="00997CC6"/>
    <w:rsid w:val="00997CD6"/>
    <w:rsid w:val="00997DFF"/>
    <w:rsid w:val="00997F59"/>
    <w:rsid w:val="009A0100"/>
    <w:rsid w:val="009A03C4"/>
    <w:rsid w:val="009A049A"/>
    <w:rsid w:val="009A05FC"/>
    <w:rsid w:val="009A0623"/>
    <w:rsid w:val="009A06AD"/>
    <w:rsid w:val="009A0A4A"/>
    <w:rsid w:val="009A0C08"/>
    <w:rsid w:val="009A118E"/>
    <w:rsid w:val="009A11A6"/>
    <w:rsid w:val="009A1273"/>
    <w:rsid w:val="009A1434"/>
    <w:rsid w:val="009A16ED"/>
    <w:rsid w:val="009A175F"/>
    <w:rsid w:val="009A1844"/>
    <w:rsid w:val="009A1894"/>
    <w:rsid w:val="009A1931"/>
    <w:rsid w:val="009A1BDC"/>
    <w:rsid w:val="009A1E1F"/>
    <w:rsid w:val="009A1ECF"/>
    <w:rsid w:val="009A23CF"/>
    <w:rsid w:val="009A26F7"/>
    <w:rsid w:val="009A2770"/>
    <w:rsid w:val="009A27B1"/>
    <w:rsid w:val="009A27B4"/>
    <w:rsid w:val="009A292D"/>
    <w:rsid w:val="009A2C55"/>
    <w:rsid w:val="009A2D68"/>
    <w:rsid w:val="009A2DA5"/>
    <w:rsid w:val="009A2DE8"/>
    <w:rsid w:val="009A2E17"/>
    <w:rsid w:val="009A2E33"/>
    <w:rsid w:val="009A2F17"/>
    <w:rsid w:val="009A2F6D"/>
    <w:rsid w:val="009A3186"/>
    <w:rsid w:val="009A31C4"/>
    <w:rsid w:val="009A3458"/>
    <w:rsid w:val="009A361E"/>
    <w:rsid w:val="009A3657"/>
    <w:rsid w:val="009A3780"/>
    <w:rsid w:val="009A392B"/>
    <w:rsid w:val="009A3A8E"/>
    <w:rsid w:val="009A3C2B"/>
    <w:rsid w:val="009A3C39"/>
    <w:rsid w:val="009A3CC8"/>
    <w:rsid w:val="009A3DB0"/>
    <w:rsid w:val="009A3E05"/>
    <w:rsid w:val="009A3FEE"/>
    <w:rsid w:val="009A400C"/>
    <w:rsid w:val="009A4436"/>
    <w:rsid w:val="009A44A0"/>
    <w:rsid w:val="009A4A63"/>
    <w:rsid w:val="009A4B73"/>
    <w:rsid w:val="009A4BDA"/>
    <w:rsid w:val="009A4E98"/>
    <w:rsid w:val="009A4EAE"/>
    <w:rsid w:val="009A5063"/>
    <w:rsid w:val="009A506E"/>
    <w:rsid w:val="009A532A"/>
    <w:rsid w:val="009A594C"/>
    <w:rsid w:val="009A596F"/>
    <w:rsid w:val="009A5F77"/>
    <w:rsid w:val="009A68B6"/>
    <w:rsid w:val="009A6B04"/>
    <w:rsid w:val="009A6BE1"/>
    <w:rsid w:val="009A6F52"/>
    <w:rsid w:val="009A7203"/>
    <w:rsid w:val="009A7234"/>
    <w:rsid w:val="009A72D9"/>
    <w:rsid w:val="009A7562"/>
    <w:rsid w:val="009A788A"/>
    <w:rsid w:val="009A7905"/>
    <w:rsid w:val="009A7BBD"/>
    <w:rsid w:val="009B00CC"/>
    <w:rsid w:val="009B0643"/>
    <w:rsid w:val="009B0B5E"/>
    <w:rsid w:val="009B0BA2"/>
    <w:rsid w:val="009B0C31"/>
    <w:rsid w:val="009B1043"/>
    <w:rsid w:val="009B130B"/>
    <w:rsid w:val="009B140E"/>
    <w:rsid w:val="009B153A"/>
    <w:rsid w:val="009B17C6"/>
    <w:rsid w:val="009B1C3C"/>
    <w:rsid w:val="009B22CE"/>
    <w:rsid w:val="009B2443"/>
    <w:rsid w:val="009B2518"/>
    <w:rsid w:val="009B2622"/>
    <w:rsid w:val="009B26A3"/>
    <w:rsid w:val="009B26A5"/>
    <w:rsid w:val="009B2765"/>
    <w:rsid w:val="009B2903"/>
    <w:rsid w:val="009B29B7"/>
    <w:rsid w:val="009B325A"/>
    <w:rsid w:val="009B32BB"/>
    <w:rsid w:val="009B337B"/>
    <w:rsid w:val="009B352C"/>
    <w:rsid w:val="009B359F"/>
    <w:rsid w:val="009B36C8"/>
    <w:rsid w:val="009B3C5F"/>
    <w:rsid w:val="009B3D3C"/>
    <w:rsid w:val="009B40B0"/>
    <w:rsid w:val="009B4218"/>
    <w:rsid w:val="009B4351"/>
    <w:rsid w:val="009B482C"/>
    <w:rsid w:val="009B4A80"/>
    <w:rsid w:val="009B5368"/>
    <w:rsid w:val="009B53AB"/>
    <w:rsid w:val="009B5434"/>
    <w:rsid w:val="009B5612"/>
    <w:rsid w:val="009B5865"/>
    <w:rsid w:val="009B5A73"/>
    <w:rsid w:val="009B5BC3"/>
    <w:rsid w:val="009B5C66"/>
    <w:rsid w:val="009B61A0"/>
    <w:rsid w:val="009B63A4"/>
    <w:rsid w:val="009B65DE"/>
    <w:rsid w:val="009B6656"/>
    <w:rsid w:val="009B668D"/>
    <w:rsid w:val="009B67E6"/>
    <w:rsid w:val="009B6CD6"/>
    <w:rsid w:val="009B6D1E"/>
    <w:rsid w:val="009B6ECC"/>
    <w:rsid w:val="009B6F61"/>
    <w:rsid w:val="009B7069"/>
    <w:rsid w:val="009B723E"/>
    <w:rsid w:val="009B7390"/>
    <w:rsid w:val="009B74C3"/>
    <w:rsid w:val="009B7526"/>
    <w:rsid w:val="009B7681"/>
    <w:rsid w:val="009B772B"/>
    <w:rsid w:val="009B780A"/>
    <w:rsid w:val="009B7815"/>
    <w:rsid w:val="009B7962"/>
    <w:rsid w:val="009B79B5"/>
    <w:rsid w:val="009B79FF"/>
    <w:rsid w:val="009B7B08"/>
    <w:rsid w:val="009B7B38"/>
    <w:rsid w:val="009B7DB1"/>
    <w:rsid w:val="009B7E4C"/>
    <w:rsid w:val="009B7F6C"/>
    <w:rsid w:val="009C0164"/>
    <w:rsid w:val="009C0A44"/>
    <w:rsid w:val="009C0A95"/>
    <w:rsid w:val="009C0AD2"/>
    <w:rsid w:val="009C0EE1"/>
    <w:rsid w:val="009C10FF"/>
    <w:rsid w:val="009C1120"/>
    <w:rsid w:val="009C11A3"/>
    <w:rsid w:val="009C17C9"/>
    <w:rsid w:val="009C183B"/>
    <w:rsid w:val="009C1848"/>
    <w:rsid w:val="009C1C80"/>
    <w:rsid w:val="009C1FC1"/>
    <w:rsid w:val="009C2124"/>
    <w:rsid w:val="009C235F"/>
    <w:rsid w:val="009C24C7"/>
    <w:rsid w:val="009C2635"/>
    <w:rsid w:val="009C26F2"/>
    <w:rsid w:val="009C27FA"/>
    <w:rsid w:val="009C288A"/>
    <w:rsid w:val="009C29A5"/>
    <w:rsid w:val="009C2C55"/>
    <w:rsid w:val="009C2C9B"/>
    <w:rsid w:val="009C2E7C"/>
    <w:rsid w:val="009C2FBC"/>
    <w:rsid w:val="009C3123"/>
    <w:rsid w:val="009C3231"/>
    <w:rsid w:val="009C33AF"/>
    <w:rsid w:val="009C3761"/>
    <w:rsid w:val="009C37A4"/>
    <w:rsid w:val="009C3AA8"/>
    <w:rsid w:val="009C3BB4"/>
    <w:rsid w:val="009C3C23"/>
    <w:rsid w:val="009C3D97"/>
    <w:rsid w:val="009C3E5C"/>
    <w:rsid w:val="009C416B"/>
    <w:rsid w:val="009C41A6"/>
    <w:rsid w:val="009C41CC"/>
    <w:rsid w:val="009C41D4"/>
    <w:rsid w:val="009C444A"/>
    <w:rsid w:val="009C46EF"/>
    <w:rsid w:val="009C46FF"/>
    <w:rsid w:val="009C47B8"/>
    <w:rsid w:val="009C483C"/>
    <w:rsid w:val="009C4999"/>
    <w:rsid w:val="009C50C8"/>
    <w:rsid w:val="009C50CA"/>
    <w:rsid w:val="009C51D2"/>
    <w:rsid w:val="009C53AE"/>
    <w:rsid w:val="009C53B0"/>
    <w:rsid w:val="009C5517"/>
    <w:rsid w:val="009C552F"/>
    <w:rsid w:val="009C55C5"/>
    <w:rsid w:val="009C5826"/>
    <w:rsid w:val="009C5E8A"/>
    <w:rsid w:val="009C5F17"/>
    <w:rsid w:val="009C5F68"/>
    <w:rsid w:val="009C6075"/>
    <w:rsid w:val="009C609E"/>
    <w:rsid w:val="009C60CF"/>
    <w:rsid w:val="009C60D8"/>
    <w:rsid w:val="009C6162"/>
    <w:rsid w:val="009C6430"/>
    <w:rsid w:val="009C6AB0"/>
    <w:rsid w:val="009C6CED"/>
    <w:rsid w:val="009C6F8F"/>
    <w:rsid w:val="009C704B"/>
    <w:rsid w:val="009C7452"/>
    <w:rsid w:val="009C7474"/>
    <w:rsid w:val="009C757F"/>
    <w:rsid w:val="009C769F"/>
    <w:rsid w:val="009C7B80"/>
    <w:rsid w:val="009C7B94"/>
    <w:rsid w:val="009C7BBF"/>
    <w:rsid w:val="009C7CED"/>
    <w:rsid w:val="009C7D62"/>
    <w:rsid w:val="009C7D99"/>
    <w:rsid w:val="009C7E43"/>
    <w:rsid w:val="009C7F09"/>
    <w:rsid w:val="009D0047"/>
    <w:rsid w:val="009D00D3"/>
    <w:rsid w:val="009D0163"/>
    <w:rsid w:val="009D0270"/>
    <w:rsid w:val="009D03B4"/>
    <w:rsid w:val="009D0584"/>
    <w:rsid w:val="009D0781"/>
    <w:rsid w:val="009D0ACE"/>
    <w:rsid w:val="009D0AF5"/>
    <w:rsid w:val="009D0B07"/>
    <w:rsid w:val="009D0D57"/>
    <w:rsid w:val="009D0E4F"/>
    <w:rsid w:val="009D1027"/>
    <w:rsid w:val="009D144E"/>
    <w:rsid w:val="009D162B"/>
    <w:rsid w:val="009D16B1"/>
    <w:rsid w:val="009D188C"/>
    <w:rsid w:val="009D18CC"/>
    <w:rsid w:val="009D1A1F"/>
    <w:rsid w:val="009D1B2E"/>
    <w:rsid w:val="009D1DCF"/>
    <w:rsid w:val="009D1EB1"/>
    <w:rsid w:val="009D1EC2"/>
    <w:rsid w:val="009D1FD3"/>
    <w:rsid w:val="009D2019"/>
    <w:rsid w:val="009D20CC"/>
    <w:rsid w:val="009D2367"/>
    <w:rsid w:val="009D24C8"/>
    <w:rsid w:val="009D24F5"/>
    <w:rsid w:val="009D25A4"/>
    <w:rsid w:val="009D26BF"/>
    <w:rsid w:val="009D2729"/>
    <w:rsid w:val="009D2776"/>
    <w:rsid w:val="009D28B3"/>
    <w:rsid w:val="009D2BF3"/>
    <w:rsid w:val="009D2C1D"/>
    <w:rsid w:val="009D2C9C"/>
    <w:rsid w:val="009D2CB5"/>
    <w:rsid w:val="009D2E09"/>
    <w:rsid w:val="009D2F5A"/>
    <w:rsid w:val="009D30FC"/>
    <w:rsid w:val="009D32A9"/>
    <w:rsid w:val="009D3324"/>
    <w:rsid w:val="009D3339"/>
    <w:rsid w:val="009D33BD"/>
    <w:rsid w:val="009D34AD"/>
    <w:rsid w:val="009D34BF"/>
    <w:rsid w:val="009D3892"/>
    <w:rsid w:val="009D3ABE"/>
    <w:rsid w:val="009D3F1A"/>
    <w:rsid w:val="009D4098"/>
    <w:rsid w:val="009D4164"/>
    <w:rsid w:val="009D421D"/>
    <w:rsid w:val="009D4498"/>
    <w:rsid w:val="009D478D"/>
    <w:rsid w:val="009D48FE"/>
    <w:rsid w:val="009D49BF"/>
    <w:rsid w:val="009D4A19"/>
    <w:rsid w:val="009D4A65"/>
    <w:rsid w:val="009D52FC"/>
    <w:rsid w:val="009D5311"/>
    <w:rsid w:val="009D5686"/>
    <w:rsid w:val="009D5936"/>
    <w:rsid w:val="009D619D"/>
    <w:rsid w:val="009D62C8"/>
    <w:rsid w:val="009D6667"/>
    <w:rsid w:val="009D6A58"/>
    <w:rsid w:val="009D6C82"/>
    <w:rsid w:val="009D6D16"/>
    <w:rsid w:val="009D70C2"/>
    <w:rsid w:val="009D70E6"/>
    <w:rsid w:val="009D711A"/>
    <w:rsid w:val="009D7351"/>
    <w:rsid w:val="009D736F"/>
    <w:rsid w:val="009D737A"/>
    <w:rsid w:val="009D774F"/>
    <w:rsid w:val="009D779F"/>
    <w:rsid w:val="009D793F"/>
    <w:rsid w:val="009D795E"/>
    <w:rsid w:val="009D7AA2"/>
    <w:rsid w:val="009D7B52"/>
    <w:rsid w:val="009D7E10"/>
    <w:rsid w:val="009D7FD6"/>
    <w:rsid w:val="009E0325"/>
    <w:rsid w:val="009E0382"/>
    <w:rsid w:val="009E050D"/>
    <w:rsid w:val="009E05CA"/>
    <w:rsid w:val="009E0749"/>
    <w:rsid w:val="009E08CD"/>
    <w:rsid w:val="009E0A81"/>
    <w:rsid w:val="009E0BCB"/>
    <w:rsid w:val="009E0C07"/>
    <w:rsid w:val="009E0E28"/>
    <w:rsid w:val="009E0EF3"/>
    <w:rsid w:val="009E0F8C"/>
    <w:rsid w:val="009E0FF9"/>
    <w:rsid w:val="009E101B"/>
    <w:rsid w:val="009E11A9"/>
    <w:rsid w:val="009E11CE"/>
    <w:rsid w:val="009E1623"/>
    <w:rsid w:val="009E1865"/>
    <w:rsid w:val="009E189C"/>
    <w:rsid w:val="009E19A3"/>
    <w:rsid w:val="009E1A4C"/>
    <w:rsid w:val="009E1F88"/>
    <w:rsid w:val="009E1FC2"/>
    <w:rsid w:val="009E22A5"/>
    <w:rsid w:val="009E261E"/>
    <w:rsid w:val="009E2675"/>
    <w:rsid w:val="009E2867"/>
    <w:rsid w:val="009E2874"/>
    <w:rsid w:val="009E29D0"/>
    <w:rsid w:val="009E2B55"/>
    <w:rsid w:val="009E2BF5"/>
    <w:rsid w:val="009E2C8F"/>
    <w:rsid w:val="009E2EDD"/>
    <w:rsid w:val="009E303F"/>
    <w:rsid w:val="009E3322"/>
    <w:rsid w:val="009E3354"/>
    <w:rsid w:val="009E3441"/>
    <w:rsid w:val="009E344E"/>
    <w:rsid w:val="009E354E"/>
    <w:rsid w:val="009E36B3"/>
    <w:rsid w:val="009E373C"/>
    <w:rsid w:val="009E397E"/>
    <w:rsid w:val="009E3CD6"/>
    <w:rsid w:val="009E40B2"/>
    <w:rsid w:val="009E4161"/>
    <w:rsid w:val="009E43FF"/>
    <w:rsid w:val="009E442C"/>
    <w:rsid w:val="009E45DF"/>
    <w:rsid w:val="009E4D3C"/>
    <w:rsid w:val="009E4DC0"/>
    <w:rsid w:val="009E4DFC"/>
    <w:rsid w:val="009E4F8C"/>
    <w:rsid w:val="009E501C"/>
    <w:rsid w:val="009E51B6"/>
    <w:rsid w:val="009E528E"/>
    <w:rsid w:val="009E54AF"/>
    <w:rsid w:val="009E562C"/>
    <w:rsid w:val="009E59FF"/>
    <w:rsid w:val="009E5AB8"/>
    <w:rsid w:val="009E5C37"/>
    <w:rsid w:val="009E6099"/>
    <w:rsid w:val="009E61A7"/>
    <w:rsid w:val="009E61D7"/>
    <w:rsid w:val="009E6253"/>
    <w:rsid w:val="009E62EF"/>
    <w:rsid w:val="009E6CA5"/>
    <w:rsid w:val="009E6D10"/>
    <w:rsid w:val="009E6FAD"/>
    <w:rsid w:val="009E7352"/>
    <w:rsid w:val="009E7AE9"/>
    <w:rsid w:val="009E7AF3"/>
    <w:rsid w:val="009E7C3B"/>
    <w:rsid w:val="009E7F06"/>
    <w:rsid w:val="009F0608"/>
    <w:rsid w:val="009F0619"/>
    <w:rsid w:val="009F08CC"/>
    <w:rsid w:val="009F08D0"/>
    <w:rsid w:val="009F0B50"/>
    <w:rsid w:val="009F0CD5"/>
    <w:rsid w:val="009F0CDD"/>
    <w:rsid w:val="009F0D24"/>
    <w:rsid w:val="009F0D2E"/>
    <w:rsid w:val="009F0D6A"/>
    <w:rsid w:val="009F0F27"/>
    <w:rsid w:val="009F1063"/>
    <w:rsid w:val="009F1393"/>
    <w:rsid w:val="009F1418"/>
    <w:rsid w:val="009F14B9"/>
    <w:rsid w:val="009F1960"/>
    <w:rsid w:val="009F1AF6"/>
    <w:rsid w:val="009F1E9D"/>
    <w:rsid w:val="009F1EF8"/>
    <w:rsid w:val="009F1FBE"/>
    <w:rsid w:val="009F203E"/>
    <w:rsid w:val="009F21E4"/>
    <w:rsid w:val="009F236E"/>
    <w:rsid w:val="009F23F5"/>
    <w:rsid w:val="009F2513"/>
    <w:rsid w:val="009F26B7"/>
    <w:rsid w:val="009F26DF"/>
    <w:rsid w:val="009F2731"/>
    <w:rsid w:val="009F283A"/>
    <w:rsid w:val="009F2D2F"/>
    <w:rsid w:val="009F2EF3"/>
    <w:rsid w:val="009F3166"/>
    <w:rsid w:val="009F31B6"/>
    <w:rsid w:val="009F3572"/>
    <w:rsid w:val="009F3937"/>
    <w:rsid w:val="009F3944"/>
    <w:rsid w:val="009F40F0"/>
    <w:rsid w:val="009F415E"/>
    <w:rsid w:val="009F4181"/>
    <w:rsid w:val="009F421B"/>
    <w:rsid w:val="009F4269"/>
    <w:rsid w:val="009F4483"/>
    <w:rsid w:val="009F451C"/>
    <w:rsid w:val="009F46C3"/>
    <w:rsid w:val="009F46F9"/>
    <w:rsid w:val="009F4828"/>
    <w:rsid w:val="009F49C9"/>
    <w:rsid w:val="009F4A1B"/>
    <w:rsid w:val="009F4C52"/>
    <w:rsid w:val="009F4F80"/>
    <w:rsid w:val="009F5364"/>
    <w:rsid w:val="009F5760"/>
    <w:rsid w:val="009F5889"/>
    <w:rsid w:val="009F598D"/>
    <w:rsid w:val="009F5B5D"/>
    <w:rsid w:val="009F5C25"/>
    <w:rsid w:val="009F5C9E"/>
    <w:rsid w:val="009F5D6E"/>
    <w:rsid w:val="009F5E8D"/>
    <w:rsid w:val="009F5F01"/>
    <w:rsid w:val="009F5F0C"/>
    <w:rsid w:val="009F5F83"/>
    <w:rsid w:val="009F6164"/>
    <w:rsid w:val="009F6261"/>
    <w:rsid w:val="009F64F5"/>
    <w:rsid w:val="009F6927"/>
    <w:rsid w:val="009F694E"/>
    <w:rsid w:val="009F6AF1"/>
    <w:rsid w:val="009F735E"/>
    <w:rsid w:val="009F7478"/>
    <w:rsid w:val="009F747F"/>
    <w:rsid w:val="009F75E4"/>
    <w:rsid w:val="009F75F2"/>
    <w:rsid w:val="009F765C"/>
    <w:rsid w:val="009F77FD"/>
    <w:rsid w:val="009F78A5"/>
    <w:rsid w:val="009F7969"/>
    <w:rsid w:val="009F7ADF"/>
    <w:rsid w:val="009F7B61"/>
    <w:rsid w:val="009F7C53"/>
    <w:rsid w:val="009F7DBD"/>
    <w:rsid w:val="009F7DE7"/>
    <w:rsid w:val="009F7F9B"/>
    <w:rsid w:val="009F7FC0"/>
    <w:rsid w:val="00A00143"/>
    <w:rsid w:val="00A00211"/>
    <w:rsid w:val="00A002DB"/>
    <w:rsid w:val="00A00312"/>
    <w:rsid w:val="00A00409"/>
    <w:rsid w:val="00A00448"/>
    <w:rsid w:val="00A007DC"/>
    <w:rsid w:val="00A00B9E"/>
    <w:rsid w:val="00A00BE3"/>
    <w:rsid w:val="00A00C56"/>
    <w:rsid w:val="00A00CB6"/>
    <w:rsid w:val="00A00D04"/>
    <w:rsid w:val="00A00F5B"/>
    <w:rsid w:val="00A01218"/>
    <w:rsid w:val="00A012AC"/>
    <w:rsid w:val="00A01418"/>
    <w:rsid w:val="00A01465"/>
    <w:rsid w:val="00A01709"/>
    <w:rsid w:val="00A01851"/>
    <w:rsid w:val="00A01A12"/>
    <w:rsid w:val="00A01AE7"/>
    <w:rsid w:val="00A01F3D"/>
    <w:rsid w:val="00A021F4"/>
    <w:rsid w:val="00A024EF"/>
    <w:rsid w:val="00A02672"/>
    <w:rsid w:val="00A0276E"/>
    <w:rsid w:val="00A0280C"/>
    <w:rsid w:val="00A02816"/>
    <w:rsid w:val="00A02964"/>
    <w:rsid w:val="00A02A04"/>
    <w:rsid w:val="00A02B3B"/>
    <w:rsid w:val="00A02BBA"/>
    <w:rsid w:val="00A02E03"/>
    <w:rsid w:val="00A02ECB"/>
    <w:rsid w:val="00A03018"/>
    <w:rsid w:val="00A031C1"/>
    <w:rsid w:val="00A031F6"/>
    <w:rsid w:val="00A03411"/>
    <w:rsid w:val="00A036C8"/>
    <w:rsid w:val="00A03ABE"/>
    <w:rsid w:val="00A03BB3"/>
    <w:rsid w:val="00A03C25"/>
    <w:rsid w:val="00A0408E"/>
    <w:rsid w:val="00A040E2"/>
    <w:rsid w:val="00A04104"/>
    <w:rsid w:val="00A042CC"/>
    <w:rsid w:val="00A043FB"/>
    <w:rsid w:val="00A045D5"/>
    <w:rsid w:val="00A04615"/>
    <w:rsid w:val="00A04AC7"/>
    <w:rsid w:val="00A04BB4"/>
    <w:rsid w:val="00A04CAE"/>
    <w:rsid w:val="00A04D57"/>
    <w:rsid w:val="00A04DF5"/>
    <w:rsid w:val="00A04E00"/>
    <w:rsid w:val="00A050B2"/>
    <w:rsid w:val="00A051AE"/>
    <w:rsid w:val="00A05582"/>
    <w:rsid w:val="00A056D9"/>
    <w:rsid w:val="00A05808"/>
    <w:rsid w:val="00A05965"/>
    <w:rsid w:val="00A05A7A"/>
    <w:rsid w:val="00A05BA2"/>
    <w:rsid w:val="00A05D8C"/>
    <w:rsid w:val="00A06275"/>
    <w:rsid w:val="00A0632D"/>
    <w:rsid w:val="00A06336"/>
    <w:rsid w:val="00A0643F"/>
    <w:rsid w:val="00A064C8"/>
    <w:rsid w:val="00A0655F"/>
    <w:rsid w:val="00A06653"/>
    <w:rsid w:val="00A0665D"/>
    <w:rsid w:val="00A069D0"/>
    <w:rsid w:val="00A069D4"/>
    <w:rsid w:val="00A06D7B"/>
    <w:rsid w:val="00A06D81"/>
    <w:rsid w:val="00A06D8A"/>
    <w:rsid w:val="00A06E57"/>
    <w:rsid w:val="00A07207"/>
    <w:rsid w:val="00A072AF"/>
    <w:rsid w:val="00A0755E"/>
    <w:rsid w:val="00A0757A"/>
    <w:rsid w:val="00A0773E"/>
    <w:rsid w:val="00A0786C"/>
    <w:rsid w:val="00A078BF"/>
    <w:rsid w:val="00A0799A"/>
    <w:rsid w:val="00A079D4"/>
    <w:rsid w:val="00A07D53"/>
    <w:rsid w:val="00A07DBB"/>
    <w:rsid w:val="00A07FF6"/>
    <w:rsid w:val="00A10112"/>
    <w:rsid w:val="00A101EB"/>
    <w:rsid w:val="00A104CF"/>
    <w:rsid w:val="00A107EB"/>
    <w:rsid w:val="00A10B74"/>
    <w:rsid w:val="00A10F4D"/>
    <w:rsid w:val="00A110E6"/>
    <w:rsid w:val="00A11185"/>
    <w:rsid w:val="00A112D9"/>
    <w:rsid w:val="00A11409"/>
    <w:rsid w:val="00A1143D"/>
    <w:rsid w:val="00A118BF"/>
    <w:rsid w:val="00A11AE1"/>
    <w:rsid w:val="00A11CD1"/>
    <w:rsid w:val="00A11D3F"/>
    <w:rsid w:val="00A11E52"/>
    <w:rsid w:val="00A12286"/>
    <w:rsid w:val="00A122C3"/>
    <w:rsid w:val="00A122CD"/>
    <w:rsid w:val="00A123F4"/>
    <w:rsid w:val="00A124AE"/>
    <w:rsid w:val="00A12538"/>
    <w:rsid w:val="00A12590"/>
    <w:rsid w:val="00A125CC"/>
    <w:rsid w:val="00A126FE"/>
    <w:rsid w:val="00A128B7"/>
    <w:rsid w:val="00A12BA7"/>
    <w:rsid w:val="00A12CB1"/>
    <w:rsid w:val="00A12F2D"/>
    <w:rsid w:val="00A133CA"/>
    <w:rsid w:val="00A13664"/>
    <w:rsid w:val="00A138A2"/>
    <w:rsid w:val="00A13BFA"/>
    <w:rsid w:val="00A13C6A"/>
    <w:rsid w:val="00A13D9E"/>
    <w:rsid w:val="00A13E18"/>
    <w:rsid w:val="00A13E1E"/>
    <w:rsid w:val="00A13F6D"/>
    <w:rsid w:val="00A142F2"/>
    <w:rsid w:val="00A14365"/>
    <w:rsid w:val="00A14457"/>
    <w:rsid w:val="00A149E3"/>
    <w:rsid w:val="00A14AE9"/>
    <w:rsid w:val="00A14B11"/>
    <w:rsid w:val="00A14D09"/>
    <w:rsid w:val="00A14D33"/>
    <w:rsid w:val="00A14D36"/>
    <w:rsid w:val="00A150BC"/>
    <w:rsid w:val="00A1551E"/>
    <w:rsid w:val="00A156BD"/>
    <w:rsid w:val="00A15877"/>
    <w:rsid w:val="00A159BC"/>
    <w:rsid w:val="00A15C37"/>
    <w:rsid w:val="00A15F12"/>
    <w:rsid w:val="00A166B8"/>
    <w:rsid w:val="00A166BF"/>
    <w:rsid w:val="00A169E8"/>
    <w:rsid w:val="00A16AFC"/>
    <w:rsid w:val="00A16B8C"/>
    <w:rsid w:val="00A16BEB"/>
    <w:rsid w:val="00A16DB8"/>
    <w:rsid w:val="00A16E91"/>
    <w:rsid w:val="00A16EAD"/>
    <w:rsid w:val="00A173B2"/>
    <w:rsid w:val="00A1768A"/>
    <w:rsid w:val="00A17A64"/>
    <w:rsid w:val="00A17B27"/>
    <w:rsid w:val="00A17BC1"/>
    <w:rsid w:val="00A17BCF"/>
    <w:rsid w:val="00A17EE8"/>
    <w:rsid w:val="00A20090"/>
    <w:rsid w:val="00A20235"/>
    <w:rsid w:val="00A203E3"/>
    <w:rsid w:val="00A203E5"/>
    <w:rsid w:val="00A20401"/>
    <w:rsid w:val="00A20566"/>
    <w:rsid w:val="00A20A8F"/>
    <w:rsid w:val="00A20B9E"/>
    <w:rsid w:val="00A20BBC"/>
    <w:rsid w:val="00A21159"/>
    <w:rsid w:val="00A2163A"/>
    <w:rsid w:val="00A2168A"/>
    <w:rsid w:val="00A2182E"/>
    <w:rsid w:val="00A21B72"/>
    <w:rsid w:val="00A21C0C"/>
    <w:rsid w:val="00A21C4B"/>
    <w:rsid w:val="00A22151"/>
    <w:rsid w:val="00A222C0"/>
    <w:rsid w:val="00A22387"/>
    <w:rsid w:val="00A2253A"/>
    <w:rsid w:val="00A227CF"/>
    <w:rsid w:val="00A22834"/>
    <w:rsid w:val="00A22BF9"/>
    <w:rsid w:val="00A22C5F"/>
    <w:rsid w:val="00A2308D"/>
    <w:rsid w:val="00A2333D"/>
    <w:rsid w:val="00A23370"/>
    <w:rsid w:val="00A23404"/>
    <w:rsid w:val="00A235D4"/>
    <w:rsid w:val="00A23673"/>
    <w:rsid w:val="00A23765"/>
    <w:rsid w:val="00A239B9"/>
    <w:rsid w:val="00A23A06"/>
    <w:rsid w:val="00A2400B"/>
    <w:rsid w:val="00A240A9"/>
    <w:rsid w:val="00A24136"/>
    <w:rsid w:val="00A243C0"/>
    <w:rsid w:val="00A244D6"/>
    <w:rsid w:val="00A24A2A"/>
    <w:rsid w:val="00A24FC9"/>
    <w:rsid w:val="00A25322"/>
    <w:rsid w:val="00A25B51"/>
    <w:rsid w:val="00A25D9F"/>
    <w:rsid w:val="00A25DCB"/>
    <w:rsid w:val="00A25E50"/>
    <w:rsid w:val="00A25F9F"/>
    <w:rsid w:val="00A26334"/>
    <w:rsid w:val="00A2654E"/>
    <w:rsid w:val="00A267C4"/>
    <w:rsid w:val="00A267C9"/>
    <w:rsid w:val="00A268F9"/>
    <w:rsid w:val="00A26CAE"/>
    <w:rsid w:val="00A26FD2"/>
    <w:rsid w:val="00A2712A"/>
    <w:rsid w:val="00A27358"/>
    <w:rsid w:val="00A273F2"/>
    <w:rsid w:val="00A273F7"/>
    <w:rsid w:val="00A27409"/>
    <w:rsid w:val="00A27431"/>
    <w:rsid w:val="00A2747C"/>
    <w:rsid w:val="00A27658"/>
    <w:rsid w:val="00A27719"/>
    <w:rsid w:val="00A2783F"/>
    <w:rsid w:val="00A27C55"/>
    <w:rsid w:val="00A27CF4"/>
    <w:rsid w:val="00A27E27"/>
    <w:rsid w:val="00A27F84"/>
    <w:rsid w:val="00A30098"/>
    <w:rsid w:val="00A300EC"/>
    <w:rsid w:val="00A3033A"/>
    <w:rsid w:val="00A3038A"/>
    <w:rsid w:val="00A30398"/>
    <w:rsid w:val="00A3042B"/>
    <w:rsid w:val="00A30650"/>
    <w:rsid w:val="00A30787"/>
    <w:rsid w:val="00A30AF1"/>
    <w:rsid w:val="00A30B84"/>
    <w:rsid w:val="00A30FC9"/>
    <w:rsid w:val="00A3101B"/>
    <w:rsid w:val="00A310CF"/>
    <w:rsid w:val="00A31381"/>
    <w:rsid w:val="00A3167C"/>
    <w:rsid w:val="00A31783"/>
    <w:rsid w:val="00A31B42"/>
    <w:rsid w:val="00A31B7C"/>
    <w:rsid w:val="00A31CCB"/>
    <w:rsid w:val="00A31DBF"/>
    <w:rsid w:val="00A323BA"/>
    <w:rsid w:val="00A3253E"/>
    <w:rsid w:val="00A3268B"/>
    <w:rsid w:val="00A32708"/>
    <w:rsid w:val="00A32A09"/>
    <w:rsid w:val="00A32B63"/>
    <w:rsid w:val="00A330BD"/>
    <w:rsid w:val="00A333D4"/>
    <w:rsid w:val="00A3343F"/>
    <w:rsid w:val="00A33757"/>
    <w:rsid w:val="00A33761"/>
    <w:rsid w:val="00A337B9"/>
    <w:rsid w:val="00A33A66"/>
    <w:rsid w:val="00A33B66"/>
    <w:rsid w:val="00A33D66"/>
    <w:rsid w:val="00A33F64"/>
    <w:rsid w:val="00A34243"/>
    <w:rsid w:val="00A34406"/>
    <w:rsid w:val="00A34480"/>
    <w:rsid w:val="00A346E7"/>
    <w:rsid w:val="00A346F2"/>
    <w:rsid w:val="00A34939"/>
    <w:rsid w:val="00A349C1"/>
    <w:rsid w:val="00A34B04"/>
    <w:rsid w:val="00A34B2F"/>
    <w:rsid w:val="00A34BE9"/>
    <w:rsid w:val="00A34C87"/>
    <w:rsid w:val="00A34D8C"/>
    <w:rsid w:val="00A34F14"/>
    <w:rsid w:val="00A34F4F"/>
    <w:rsid w:val="00A34F8D"/>
    <w:rsid w:val="00A35631"/>
    <w:rsid w:val="00A3573C"/>
    <w:rsid w:val="00A35881"/>
    <w:rsid w:val="00A358BB"/>
    <w:rsid w:val="00A35968"/>
    <w:rsid w:val="00A35D1E"/>
    <w:rsid w:val="00A35E28"/>
    <w:rsid w:val="00A35FE2"/>
    <w:rsid w:val="00A3603A"/>
    <w:rsid w:val="00A36197"/>
    <w:rsid w:val="00A362F6"/>
    <w:rsid w:val="00A36410"/>
    <w:rsid w:val="00A36461"/>
    <w:rsid w:val="00A36612"/>
    <w:rsid w:val="00A36810"/>
    <w:rsid w:val="00A368C4"/>
    <w:rsid w:val="00A36B0B"/>
    <w:rsid w:val="00A36BFD"/>
    <w:rsid w:val="00A36D55"/>
    <w:rsid w:val="00A370ED"/>
    <w:rsid w:val="00A37196"/>
    <w:rsid w:val="00A374C4"/>
    <w:rsid w:val="00A377CB"/>
    <w:rsid w:val="00A377F2"/>
    <w:rsid w:val="00A37C54"/>
    <w:rsid w:val="00A40061"/>
    <w:rsid w:val="00A40132"/>
    <w:rsid w:val="00A403B1"/>
    <w:rsid w:val="00A40482"/>
    <w:rsid w:val="00A40681"/>
    <w:rsid w:val="00A40722"/>
    <w:rsid w:val="00A4079E"/>
    <w:rsid w:val="00A40857"/>
    <w:rsid w:val="00A408AB"/>
    <w:rsid w:val="00A4091A"/>
    <w:rsid w:val="00A40C2A"/>
    <w:rsid w:val="00A40D97"/>
    <w:rsid w:val="00A40DD1"/>
    <w:rsid w:val="00A40ECB"/>
    <w:rsid w:val="00A41059"/>
    <w:rsid w:val="00A41081"/>
    <w:rsid w:val="00A416AD"/>
    <w:rsid w:val="00A4180A"/>
    <w:rsid w:val="00A41B9E"/>
    <w:rsid w:val="00A41F7F"/>
    <w:rsid w:val="00A42450"/>
    <w:rsid w:val="00A4258C"/>
    <w:rsid w:val="00A42765"/>
    <w:rsid w:val="00A427D2"/>
    <w:rsid w:val="00A4289A"/>
    <w:rsid w:val="00A42A84"/>
    <w:rsid w:val="00A42F59"/>
    <w:rsid w:val="00A42FBF"/>
    <w:rsid w:val="00A43075"/>
    <w:rsid w:val="00A437BA"/>
    <w:rsid w:val="00A437DD"/>
    <w:rsid w:val="00A43C6B"/>
    <w:rsid w:val="00A4435E"/>
    <w:rsid w:val="00A443C2"/>
    <w:rsid w:val="00A443EC"/>
    <w:rsid w:val="00A444FF"/>
    <w:rsid w:val="00A446E0"/>
    <w:rsid w:val="00A446EF"/>
    <w:rsid w:val="00A44810"/>
    <w:rsid w:val="00A44A54"/>
    <w:rsid w:val="00A44B42"/>
    <w:rsid w:val="00A44D8B"/>
    <w:rsid w:val="00A45052"/>
    <w:rsid w:val="00A4507F"/>
    <w:rsid w:val="00A456B7"/>
    <w:rsid w:val="00A45839"/>
    <w:rsid w:val="00A45A2C"/>
    <w:rsid w:val="00A45AD6"/>
    <w:rsid w:val="00A45D99"/>
    <w:rsid w:val="00A45DA6"/>
    <w:rsid w:val="00A45F98"/>
    <w:rsid w:val="00A46124"/>
    <w:rsid w:val="00A46131"/>
    <w:rsid w:val="00A461E4"/>
    <w:rsid w:val="00A462FC"/>
    <w:rsid w:val="00A46364"/>
    <w:rsid w:val="00A46483"/>
    <w:rsid w:val="00A46680"/>
    <w:rsid w:val="00A4672F"/>
    <w:rsid w:val="00A46877"/>
    <w:rsid w:val="00A46964"/>
    <w:rsid w:val="00A46B89"/>
    <w:rsid w:val="00A46C7A"/>
    <w:rsid w:val="00A46CB8"/>
    <w:rsid w:val="00A46D11"/>
    <w:rsid w:val="00A46D85"/>
    <w:rsid w:val="00A46E10"/>
    <w:rsid w:val="00A47049"/>
    <w:rsid w:val="00A4711F"/>
    <w:rsid w:val="00A4718A"/>
    <w:rsid w:val="00A471AE"/>
    <w:rsid w:val="00A47386"/>
    <w:rsid w:val="00A478BC"/>
    <w:rsid w:val="00A4792C"/>
    <w:rsid w:val="00A47A24"/>
    <w:rsid w:val="00A47BEB"/>
    <w:rsid w:val="00A47D38"/>
    <w:rsid w:val="00A47D81"/>
    <w:rsid w:val="00A5047D"/>
    <w:rsid w:val="00A507AB"/>
    <w:rsid w:val="00A50CD9"/>
    <w:rsid w:val="00A50D14"/>
    <w:rsid w:val="00A50E7F"/>
    <w:rsid w:val="00A50FD6"/>
    <w:rsid w:val="00A511CC"/>
    <w:rsid w:val="00A51244"/>
    <w:rsid w:val="00A51374"/>
    <w:rsid w:val="00A517C0"/>
    <w:rsid w:val="00A51A2C"/>
    <w:rsid w:val="00A51AC4"/>
    <w:rsid w:val="00A51B79"/>
    <w:rsid w:val="00A51F5E"/>
    <w:rsid w:val="00A5212E"/>
    <w:rsid w:val="00A522AD"/>
    <w:rsid w:val="00A52553"/>
    <w:rsid w:val="00A52924"/>
    <w:rsid w:val="00A52A65"/>
    <w:rsid w:val="00A52A8B"/>
    <w:rsid w:val="00A52D54"/>
    <w:rsid w:val="00A52FE9"/>
    <w:rsid w:val="00A530E0"/>
    <w:rsid w:val="00A5340B"/>
    <w:rsid w:val="00A534F4"/>
    <w:rsid w:val="00A536A1"/>
    <w:rsid w:val="00A537E1"/>
    <w:rsid w:val="00A53869"/>
    <w:rsid w:val="00A53ABD"/>
    <w:rsid w:val="00A53AFF"/>
    <w:rsid w:val="00A53EEC"/>
    <w:rsid w:val="00A54149"/>
    <w:rsid w:val="00A541C4"/>
    <w:rsid w:val="00A541E5"/>
    <w:rsid w:val="00A541EE"/>
    <w:rsid w:val="00A541F9"/>
    <w:rsid w:val="00A5428C"/>
    <w:rsid w:val="00A544FE"/>
    <w:rsid w:val="00A54A49"/>
    <w:rsid w:val="00A54B1F"/>
    <w:rsid w:val="00A54CD0"/>
    <w:rsid w:val="00A54DFA"/>
    <w:rsid w:val="00A54EFC"/>
    <w:rsid w:val="00A5529A"/>
    <w:rsid w:val="00A55313"/>
    <w:rsid w:val="00A5532F"/>
    <w:rsid w:val="00A55429"/>
    <w:rsid w:val="00A554FC"/>
    <w:rsid w:val="00A556BA"/>
    <w:rsid w:val="00A556D0"/>
    <w:rsid w:val="00A557D2"/>
    <w:rsid w:val="00A55A42"/>
    <w:rsid w:val="00A55AB0"/>
    <w:rsid w:val="00A55D2E"/>
    <w:rsid w:val="00A56000"/>
    <w:rsid w:val="00A56029"/>
    <w:rsid w:val="00A561B6"/>
    <w:rsid w:val="00A56616"/>
    <w:rsid w:val="00A566E0"/>
    <w:rsid w:val="00A56786"/>
    <w:rsid w:val="00A567AD"/>
    <w:rsid w:val="00A56978"/>
    <w:rsid w:val="00A56AFA"/>
    <w:rsid w:val="00A56B9B"/>
    <w:rsid w:val="00A5703F"/>
    <w:rsid w:val="00A570F2"/>
    <w:rsid w:val="00A57170"/>
    <w:rsid w:val="00A575DD"/>
    <w:rsid w:val="00A57791"/>
    <w:rsid w:val="00A57936"/>
    <w:rsid w:val="00A57B23"/>
    <w:rsid w:val="00A57C2E"/>
    <w:rsid w:val="00A57D39"/>
    <w:rsid w:val="00A57E8F"/>
    <w:rsid w:val="00A57F24"/>
    <w:rsid w:val="00A600B9"/>
    <w:rsid w:val="00A600F3"/>
    <w:rsid w:val="00A605B4"/>
    <w:rsid w:val="00A6073A"/>
    <w:rsid w:val="00A609E8"/>
    <w:rsid w:val="00A60E17"/>
    <w:rsid w:val="00A61208"/>
    <w:rsid w:val="00A616BB"/>
    <w:rsid w:val="00A61783"/>
    <w:rsid w:val="00A6179B"/>
    <w:rsid w:val="00A61B90"/>
    <w:rsid w:val="00A61CF8"/>
    <w:rsid w:val="00A61D1B"/>
    <w:rsid w:val="00A61F58"/>
    <w:rsid w:val="00A61FB6"/>
    <w:rsid w:val="00A62240"/>
    <w:rsid w:val="00A62245"/>
    <w:rsid w:val="00A6245C"/>
    <w:rsid w:val="00A6249C"/>
    <w:rsid w:val="00A6282A"/>
    <w:rsid w:val="00A628BA"/>
    <w:rsid w:val="00A62D0B"/>
    <w:rsid w:val="00A6317D"/>
    <w:rsid w:val="00A6319E"/>
    <w:rsid w:val="00A63289"/>
    <w:rsid w:val="00A6335B"/>
    <w:rsid w:val="00A6339B"/>
    <w:rsid w:val="00A63450"/>
    <w:rsid w:val="00A63AAF"/>
    <w:rsid w:val="00A63C65"/>
    <w:rsid w:val="00A64099"/>
    <w:rsid w:val="00A640F7"/>
    <w:rsid w:val="00A6415C"/>
    <w:rsid w:val="00A643CE"/>
    <w:rsid w:val="00A6444F"/>
    <w:rsid w:val="00A64479"/>
    <w:rsid w:val="00A64562"/>
    <w:rsid w:val="00A645D3"/>
    <w:rsid w:val="00A64664"/>
    <w:rsid w:val="00A646D8"/>
    <w:rsid w:val="00A64803"/>
    <w:rsid w:val="00A649A7"/>
    <w:rsid w:val="00A64C51"/>
    <w:rsid w:val="00A64D12"/>
    <w:rsid w:val="00A64EF8"/>
    <w:rsid w:val="00A64F28"/>
    <w:rsid w:val="00A64FE2"/>
    <w:rsid w:val="00A650EC"/>
    <w:rsid w:val="00A652FA"/>
    <w:rsid w:val="00A65383"/>
    <w:rsid w:val="00A65614"/>
    <w:rsid w:val="00A65617"/>
    <w:rsid w:val="00A657BD"/>
    <w:rsid w:val="00A65ACB"/>
    <w:rsid w:val="00A65B65"/>
    <w:rsid w:val="00A65D4D"/>
    <w:rsid w:val="00A65D7C"/>
    <w:rsid w:val="00A65DCB"/>
    <w:rsid w:val="00A665FD"/>
    <w:rsid w:val="00A666A1"/>
    <w:rsid w:val="00A667D5"/>
    <w:rsid w:val="00A66ADD"/>
    <w:rsid w:val="00A66AE2"/>
    <w:rsid w:val="00A66B15"/>
    <w:rsid w:val="00A66C71"/>
    <w:rsid w:val="00A66C94"/>
    <w:rsid w:val="00A66E9A"/>
    <w:rsid w:val="00A67149"/>
    <w:rsid w:val="00A6714F"/>
    <w:rsid w:val="00A671D7"/>
    <w:rsid w:val="00A672F5"/>
    <w:rsid w:val="00A67499"/>
    <w:rsid w:val="00A67A7A"/>
    <w:rsid w:val="00A67AFF"/>
    <w:rsid w:val="00A67CAB"/>
    <w:rsid w:val="00A67E45"/>
    <w:rsid w:val="00A70003"/>
    <w:rsid w:val="00A70245"/>
    <w:rsid w:val="00A706B2"/>
    <w:rsid w:val="00A7096F"/>
    <w:rsid w:val="00A70B4F"/>
    <w:rsid w:val="00A70E12"/>
    <w:rsid w:val="00A70EA3"/>
    <w:rsid w:val="00A70F90"/>
    <w:rsid w:val="00A71078"/>
    <w:rsid w:val="00A711B9"/>
    <w:rsid w:val="00A711DD"/>
    <w:rsid w:val="00A71313"/>
    <w:rsid w:val="00A71752"/>
    <w:rsid w:val="00A719BE"/>
    <w:rsid w:val="00A71F43"/>
    <w:rsid w:val="00A72018"/>
    <w:rsid w:val="00A72EC2"/>
    <w:rsid w:val="00A72F35"/>
    <w:rsid w:val="00A732DB"/>
    <w:rsid w:val="00A73374"/>
    <w:rsid w:val="00A7348A"/>
    <w:rsid w:val="00A73561"/>
    <w:rsid w:val="00A7375C"/>
    <w:rsid w:val="00A73D07"/>
    <w:rsid w:val="00A73EDC"/>
    <w:rsid w:val="00A74080"/>
    <w:rsid w:val="00A7457C"/>
    <w:rsid w:val="00A745BE"/>
    <w:rsid w:val="00A746C5"/>
    <w:rsid w:val="00A74952"/>
    <w:rsid w:val="00A74AFE"/>
    <w:rsid w:val="00A74D70"/>
    <w:rsid w:val="00A74EBA"/>
    <w:rsid w:val="00A7515D"/>
    <w:rsid w:val="00A75237"/>
    <w:rsid w:val="00A7557B"/>
    <w:rsid w:val="00A756FD"/>
    <w:rsid w:val="00A75B87"/>
    <w:rsid w:val="00A75DCB"/>
    <w:rsid w:val="00A76219"/>
    <w:rsid w:val="00A763F5"/>
    <w:rsid w:val="00A764B8"/>
    <w:rsid w:val="00A76526"/>
    <w:rsid w:val="00A767BE"/>
    <w:rsid w:val="00A769AD"/>
    <w:rsid w:val="00A76AA8"/>
    <w:rsid w:val="00A76B57"/>
    <w:rsid w:val="00A7751A"/>
    <w:rsid w:val="00A7786F"/>
    <w:rsid w:val="00A779B5"/>
    <w:rsid w:val="00A77A4C"/>
    <w:rsid w:val="00A77C8E"/>
    <w:rsid w:val="00A77D7B"/>
    <w:rsid w:val="00A77DCB"/>
    <w:rsid w:val="00A77E1F"/>
    <w:rsid w:val="00A77FBD"/>
    <w:rsid w:val="00A8006B"/>
    <w:rsid w:val="00A8030B"/>
    <w:rsid w:val="00A803E4"/>
    <w:rsid w:val="00A804CE"/>
    <w:rsid w:val="00A8061C"/>
    <w:rsid w:val="00A8064B"/>
    <w:rsid w:val="00A808D0"/>
    <w:rsid w:val="00A80D05"/>
    <w:rsid w:val="00A80E96"/>
    <w:rsid w:val="00A80F57"/>
    <w:rsid w:val="00A81030"/>
    <w:rsid w:val="00A81683"/>
    <w:rsid w:val="00A8183A"/>
    <w:rsid w:val="00A81B99"/>
    <w:rsid w:val="00A81BBA"/>
    <w:rsid w:val="00A823E1"/>
    <w:rsid w:val="00A8246C"/>
    <w:rsid w:val="00A82567"/>
    <w:rsid w:val="00A82A76"/>
    <w:rsid w:val="00A82BC9"/>
    <w:rsid w:val="00A82BCC"/>
    <w:rsid w:val="00A82C91"/>
    <w:rsid w:val="00A82D72"/>
    <w:rsid w:val="00A82E0D"/>
    <w:rsid w:val="00A82F6E"/>
    <w:rsid w:val="00A8317B"/>
    <w:rsid w:val="00A831AE"/>
    <w:rsid w:val="00A83426"/>
    <w:rsid w:val="00A83488"/>
    <w:rsid w:val="00A8349F"/>
    <w:rsid w:val="00A8386F"/>
    <w:rsid w:val="00A83B48"/>
    <w:rsid w:val="00A83B67"/>
    <w:rsid w:val="00A83BF6"/>
    <w:rsid w:val="00A83CE5"/>
    <w:rsid w:val="00A83E68"/>
    <w:rsid w:val="00A840C0"/>
    <w:rsid w:val="00A84219"/>
    <w:rsid w:val="00A84322"/>
    <w:rsid w:val="00A84404"/>
    <w:rsid w:val="00A844D9"/>
    <w:rsid w:val="00A8470B"/>
    <w:rsid w:val="00A8481F"/>
    <w:rsid w:val="00A84B16"/>
    <w:rsid w:val="00A84C68"/>
    <w:rsid w:val="00A84D55"/>
    <w:rsid w:val="00A84DBB"/>
    <w:rsid w:val="00A851CB"/>
    <w:rsid w:val="00A852BA"/>
    <w:rsid w:val="00A8577D"/>
    <w:rsid w:val="00A859A0"/>
    <w:rsid w:val="00A85A12"/>
    <w:rsid w:val="00A85AA1"/>
    <w:rsid w:val="00A85BD1"/>
    <w:rsid w:val="00A85C3F"/>
    <w:rsid w:val="00A85CA1"/>
    <w:rsid w:val="00A85EC7"/>
    <w:rsid w:val="00A86051"/>
    <w:rsid w:val="00A861CD"/>
    <w:rsid w:val="00A8625F"/>
    <w:rsid w:val="00A862A1"/>
    <w:rsid w:val="00A86326"/>
    <w:rsid w:val="00A86545"/>
    <w:rsid w:val="00A8674B"/>
    <w:rsid w:val="00A8696F"/>
    <w:rsid w:val="00A86AE6"/>
    <w:rsid w:val="00A86B2C"/>
    <w:rsid w:val="00A86B4B"/>
    <w:rsid w:val="00A86C5E"/>
    <w:rsid w:val="00A86DA2"/>
    <w:rsid w:val="00A8715F"/>
    <w:rsid w:val="00A874F6"/>
    <w:rsid w:val="00A87AB4"/>
    <w:rsid w:val="00A87BB0"/>
    <w:rsid w:val="00A87C31"/>
    <w:rsid w:val="00A87E10"/>
    <w:rsid w:val="00A90151"/>
    <w:rsid w:val="00A901D1"/>
    <w:rsid w:val="00A9022F"/>
    <w:rsid w:val="00A90256"/>
    <w:rsid w:val="00A9049A"/>
    <w:rsid w:val="00A90548"/>
    <w:rsid w:val="00A907BD"/>
    <w:rsid w:val="00A90972"/>
    <w:rsid w:val="00A90A12"/>
    <w:rsid w:val="00A90DF0"/>
    <w:rsid w:val="00A90F57"/>
    <w:rsid w:val="00A91078"/>
    <w:rsid w:val="00A91149"/>
    <w:rsid w:val="00A91680"/>
    <w:rsid w:val="00A917DB"/>
    <w:rsid w:val="00A91C03"/>
    <w:rsid w:val="00A91E07"/>
    <w:rsid w:val="00A91F19"/>
    <w:rsid w:val="00A91F65"/>
    <w:rsid w:val="00A91FCE"/>
    <w:rsid w:val="00A9210D"/>
    <w:rsid w:val="00A92227"/>
    <w:rsid w:val="00A92725"/>
    <w:rsid w:val="00A927EB"/>
    <w:rsid w:val="00A9284D"/>
    <w:rsid w:val="00A9294D"/>
    <w:rsid w:val="00A92E29"/>
    <w:rsid w:val="00A92EC5"/>
    <w:rsid w:val="00A92EF6"/>
    <w:rsid w:val="00A9301C"/>
    <w:rsid w:val="00A930A9"/>
    <w:rsid w:val="00A9359B"/>
    <w:rsid w:val="00A93BD4"/>
    <w:rsid w:val="00A93DB4"/>
    <w:rsid w:val="00A93E90"/>
    <w:rsid w:val="00A93FBF"/>
    <w:rsid w:val="00A93FF1"/>
    <w:rsid w:val="00A94611"/>
    <w:rsid w:val="00A94744"/>
    <w:rsid w:val="00A9499B"/>
    <w:rsid w:val="00A94B7A"/>
    <w:rsid w:val="00A94C45"/>
    <w:rsid w:val="00A94C61"/>
    <w:rsid w:val="00A94D01"/>
    <w:rsid w:val="00A95089"/>
    <w:rsid w:val="00A95177"/>
    <w:rsid w:val="00A95345"/>
    <w:rsid w:val="00A953CA"/>
    <w:rsid w:val="00A9545C"/>
    <w:rsid w:val="00A958BC"/>
    <w:rsid w:val="00A95B24"/>
    <w:rsid w:val="00A95B2E"/>
    <w:rsid w:val="00A95C56"/>
    <w:rsid w:val="00A95CE2"/>
    <w:rsid w:val="00A95DEC"/>
    <w:rsid w:val="00A960BE"/>
    <w:rsid w:val="00A960F6"/>
    <w:rsid w:val="00A960F7"/>
    <w:rsid w:val="00A96164"/>
    <w:rsid w:val="00A961DF"/>
    <w:rsid w:val="00A963FA"/>
    <w:rsid w:val="00A96718"/>
    <w:rsid w:val="00A96812"/>
    <w:rsid w:val="00A96818"/>
    <w:rsid w:val="00A969B6"/>
    <w:rsid w:val="00A96A08"/>
    <w:rsid w:val="00A96A9F"/>
    <w:rsid w:val="00A96BA5"/>
    <w:rsid w:val="00A97054"/>
    <w:rsid w:val="00A970A6"/>
    <w:rsid w:val="00A9714E"/>
    <w:rsid w:val="00A97249"/>
    <w:rsid w:val="00A972CD"/>
    <w:rsid w:val="00A97303"/>
    <w:rsid w:val="00A97313"/>
    <w:rsid w:val="00A9741D"/>
    <w:rsid w:val="00A9753C"/>
    <w:rsid w:val="00A976B4"/>
    <w:rsid w:val="00A97886"/>
    <w:rsid w:val="00A97A88"/>
    <w:rsid w:val="00AA01E0"/>
    <w:rsid w:val="00AA01F1"/>
    <w:rsid w:val="00AA0631"/>
    <w:rsid w:val="00AA0A28"/>
    <w:rsid w:val="00AA0A86"/>
    <w:rsid w:val="00AA0B97"/>
    <w:rsid w:val="00AA0D91"/>
    <w:rsid w:val="00AA0DE6"/>
    <w:rsid w:val="00AA0E51"/>
    <w:rsid w:val="00AA0EB2"/>
    <w:rsid w:val="00AA122F"/>
    <w:rsid w:val="00AA13E6"/>
    <w:rsid w:val="00AA15D5"/>
    <w:rsid w:val="00AA163B"/>
    <w:rsid w:val="00AA170E"/>
    <w:rsid w:val="00AA1805"/>
    <w:rsid w:val="00AA1D76"/>
    <w:rsid w:val="00AA2007"/>
    <w:rsid w:val="00AA22A9"/>
    <w:rsid w:val="00AA2BBB"/>
    <w:rsid w:val="00AA2BD1"/>
    <w:rsid w:val="00AA328A"/>
    <w:rsid w:val="00AA3569"/>
    <w:rsid w:val="00AA36B7"/>
    <w:rsid w:val="00AA3A0E"/>
    <w:rsid w:val="00AA3BC2"/>
    <w:rsid w:val="00AA40EB"/>
    <w:rsid w:val="00AA464E"/>
    <w:rsid w:val="00AA467C"/>
    <w:rsid w:val="00AA48AB"/>
    <w:rsid w:val="00AA4A1B"/>
    <w:rsid w:val="00AA4C2E"/>
    <w:rsid w:val="00AA4F54"/>
    <w:rsid w:val="00AA52B3"/>
    <w:rsid w:val="00AA53BA"/>
    <w:rsid w:val="00AA5472"/>
    <w:rsid w:val="00AA547E"/>
    <w:rsid w:val="00AA54ED"/>
    <w:rsid w:val="00AA56FB"/>
    <w:rsid w:val="00AA5A5E"/>
    <w:rsid w:val="00AA5B13"/>
    <w:rsid w:val="00AA5F41"/>
    <w:rsid w:val="00AA5F9A"/>
    <w:rsid w:val="00AA5FAA"/>
    <w:rsid w:val="00AA5FF0"/>
    <w:rsid w:val="00AA6023"/>
    <w:rsid w:val="00AA616E"/>
    <w:rsid w:val="00AA61C0"/>
    <w:rsid w:val="00AA68B0"/>
    <w:rsid w:val="00AA6C17"/>
    <w:rsid w:val="00AA6CE2"/>
    <w:rsid w:val="00AA6D91"/>
    <w:rsid w:val="00AA6FB1"/>
    <w:rsid w:val="00AA708F"/>
    <w:rsid w:val="00AA72E1"/>
    <w:rsid w:val="00AA73C6"/>
    <w:rsid w:val="00AA755E"/>
    <w:rsid w:val="00AA7783"/>
    <w:rsid w:val="00AA77EB"/>
    <w:rsid w:val="00AA7894"/>
    <w:rsid w:val="00AA7954"/>
    <w:rsid w:val="00AB02F9"/>
    <w:rsid w:val="00AB0477"/>
    <w:rsid w:val="00AB049B"/>
    <w:rsid w:val="00AB0523"/>
    <w:rsid w:val="00AB06AA"/>
    <w:rsid w:val="00AB09D8"/>
    <w:rsid w:val="00AB0A81"/>
    <w:rsid w:val="00AB0B05"/>
    <w:rsid w:val="00AB0BFE"/>
    <w:rsid w:val="00AB0F7F"/>
    <w:rsid w:val="00AB1083"/>
    <w:rsid w:val="00AB10F4"/>
    <w:rsid w:val="00AB11FA"/>
    <w:rsid w:val="00AB139B"/>
    <w:rsid w:val="00AB1445"/>
    <w:rsid w:val="00AB1916"/>
    <w:rsid w:val="00AB198F"/>
    <w:rsid w:val="00AB1F50"/>
    <w:rsid w:val="00AB226B"/>
    <w:rsid w:val="00AB236F"/>
    <w:rsid w:val="00AB237C"/>
    <w:rsid w:val="00AB2841"/>
    <w:rsid w:val="00AB29E8"/>
    <w:rsid w:val="00AB2D06"/>
    <w:rsid w:val="00AB2D17"/>
    <w:rsid w:val="00AB2D21"/>
    <w:rsid w:val="00AB2D80"/>
    <w:rsid w:val="00AB2ED5"/>
    <w:rsid w:val="00AB3011"/>
    <w:rsid w:val="00AB302A"/>
    <w:rsid w:val="00AB3093"/>
    <w:rsid w:val="00AB34AD"/>
    <w:rsid w:val="00AB37FC"/>
    <w:rsid w:val="00AB3B55"/>
    <w:rsid w:val="00AB3C46"/>
    <w:rsid w:val="00AB3E00"/>
    <w:rsid w:val="00AB40AF"/>
    <w:rsid w:val="00AB4169"/>
    <w:rsid w:val="00AB4187"/>
    <w:rsid w:val="00AB4289"/>
    <w:rsid w:val="00AB4318"/>
    <w:rsid w:val="00AB439F"/>
    <w:rsid w:val="00AB445C"/>
    <w:rsid w:val="00AB4643"/>
    <w:rsid w:val="00AB46E2"/>
    <w:rsid w:val="00AB4D18"/>
    <w:rsid w:val="00AB500B"/>
    <w:rsid w:val="00AB50DA"/>
    <w:rsid w:val="00AB542E"/>
    <w:rsid w:val="00AB5D07"/>
    <w:rsid w:val="00AB5E30"/>
    <w:rsid w:val="00AB64AE"/>
    <w:rsid w:val="00AB68CD"/>
    <w:rsid w:val="00AB6ACA"/>
    <w:rsid w:val="00AB6D0F"/>
    <w:rsid w:val="00AB6D5D"/>
    <w:rsid w:val="00AB6F4A"/>
    <w:rsid w:val="00AB74AF"/>
    <w:rsid w:val="00AB7521"/>
    <w:rsid w:val="00AB7A47"/>
    <w:rsid w:val="00AB7E13"/>
    <w:rsid w:val="00AB7EFF"/>
    <w:rsid w:val="00AC0078"/>
    <w:rsid w:val="00AC0313"/>
    <w:rsid w:val="00AC03C6"/>
    <w:rsid w:val="00AC0A07"/>
    <w:rsid w:val="00AC0A19"/>
    <w:rsid w:val="00AC0C40"/>
    <w:rsid w:val="00AC11EE"/>
    <w:rsid w:val="00AC12AF"/>
    <w:rsid w:val="00AC1710"/>
    <w:rsid w:val="00AC1806"/>
    <w:rsid w:val="00AC183E"/>
    <w:rsid w:val="00AC1AEA"/>
    <w:rsid w:val="00AC1B5B"/>
    <w:rsid w:val="00AC1DB2"/>
    <w:rsid w:val="00AC1E58"/>
    <w:rsid w:val="00AC1E96"/>
    <w:rsid w:val="00AC202F"/>
    <w:rsid w:val="00AC2193"/>
    <w:rsid w:val="00AC21D9"/>
    <w:rsid w:val="00AC2362"/>
    <w:rsid w:val="00AC23F2"/>
    <w:rsid w:val="00AC2425"/>
    <w:rsid w:val="00AC2531"/>
    <w:rsid w:val="00AC2593"/>
    <w:rsid w:val="00AC266F"/>
    <w:rsid w:val="00AC2C14"/>
    <w:rsid w:val="00AC2DDE"/>
    <w:rsid w:val="00AC2F3A"/>
    <w:rsid w:val="00AC34A5"/>
    <w:rsid w:val="00AC3541"/>
    <w:rsid w:val="00AC3655"/>
    <w:rsid w:val="00AC369B"/>
    <w:rsid w:val="00AC37FC"/>
    <w:rsid w:val="00AC3805"/>
    <w:rsid w:val="00AC3938"/>
    <w:rsid w:val="00AC3954"/>
    <w:rsid w:val="00AC3BFA"/>
    <w:rsid w:val="00AC3D85"/>
    <w:rsid w:val="00AC3F0C"/>
    <w:rsid w:val="00AC4235"/>
    <w:rsid w:val="00AC42E5"/>
    <w:rsid w:val="00AC445C"/>
    <w:rsid w:val="00AC446F"/>
    <w:rsid w:val="00AC46BB"/>
    <w:rsid w:val="00AC4822"/>
    <w:rsid w:val="00AC4868"/>
    <w:rsid w:val="00AC4CBC"/>
    <w:rsid w:val="00AC4F7C"/>
    <w:rsid w:val="00AC50BD"/>
    <w:rsid w:val="00AC50F4"/>
    <w:rsid w:val="00AC5381"/>
    <w:rsid w:val="00AC5454"/>
    <w:rsid w:val="00AC5557"/>
    <w:rsid w:val="00AC5589"/>
    <w:rsid w:val="00AC55AC"/>
    <w:rsid w:val="00AC5711"/>
    <w:rsid w:val="00AC587D"/>
    <w:rsid w:val="00AC588A"/>
    <w:rsid w:val="00AC5AF8"/>
    <w:rsid w:val="00AC5C0C"/>
    <w:rsid w:val="00AC5F32"/>
    <w:rsid w:val="00AC5F67"/>
    <w:rsid w:val="00AC60FD"/>
    <w:rsid w:val="00AC612F"/>
    <w:rsid w:val="00AC6264"/>
    <w:rsid w:val="00AC62E4"/>
    <w:rsid w:val="00AC63B4"/>
    <w:rsid w:val="00AC64E8"/>
    <w:rsid w:val="00AC656D"/>
    <w:rsid w:val="00AC677A"/>
    <w:rsid w:val="00AC6B30"/>
    <w:rsid w:val="00AC6B83"/>
    <w:rsid w:val="00AC6E4C"/>
    <w:rsid w:val="00AC71AA"/>
    <w:rsid w:val="00AC7227"/>
    <w:rsid w:val="00AC73FD"/>
    <w:rsid w:val="00AC7447"/>
    <w:rsid w:val="00AC7635"/>
    <w:rsid w:val="00AC782A"/>
    <w:rsid w:val="00AC7A08"/>
    <w:rsid w:val="00AC7BE6"/>
    <w:rsid w:val="00AC7C6A"/>
    <w:rsid w:val="00AC7DB9"/>
    <w:rsid w:val="00AC7E38"/>
    <w:rsid w:val="00AC7ED6"/>
    <w:rsid w:val="00AC7F0D"/>
    <w:rsid w:val="00AC7F6C"/>
    <w:rsid w:val="00AC7FE9"/>
    <w:rsid w:val="00AD0145"/>
    <w:rsid w:val="00AD0227"/>
    <w:rsid w:val="00AD0252"/>
    <w:rsid w:val="00AD03D8"/>
    <w:rsid w:val="00AD0432"/>
    <w:rsid w:val="00AD04D5"/>
    <w:rsid w:val="00AD06FF"/>
    <w:rsid w:val="00AD0729"/>
    <w:rsid w:val="00AD096F"/>
    <w:rsid w:val="00AD0A31"/>
    <w:rsid w:val="00AD0F58"/>
    <w:rsid w:val="00AD0F87"/>
    <w:rsid w:val="00AD1052"/>
    <w:rsid w:val="00AD1260"/>
    <w:rsid w:val="00AD1271"/>
    <w:rsid w:val="00AD1355"/>
    <w:rsid w:val="00AD162A"/>
    <w:rsid w:val="00AD16CA"/>
    <w:rsid w:val="00AD16CE"/>
    <w:rsid w:val="00AD16FD"/>
    <w:rsid w:val="00AD17B7"/>
    <w:rsid w:val="00AD1AA2"/>
    <w:rsid w:val="00AD1AF7"/>
    <w:rsid w:val="00AD1E0E"/>
    <w:rsid w:val="00AD1F54"/>
    <w:rsid w:val="00AD2268"/>
    <w:rsid w:val="00AD2336"/>
    <w:rsid w:val="00AD273E"/>
    <w:rsid w:val="00AD2CEB"/>
    <w:rsid w:val="00AD2F98"/>
    <w:rsid w:val="00AD3026"/>
    <w:rsid w:val="00AD3193"/>
    <w:rsid w:val="00AD3545"/>
    <w:rsid w:val="00AD3BCB"/>
    <w:rsid w:val="00AD3C41"/>
    <w:rsid w:val="00AD3CBD"/>
    <w:rsid w:val="00AD3E0C"/>
    <w:rsid w:val="00AD3E67"/>
    <w:rsid w:val="00AD3F2C"/>
    <w:rsid w:val="00AD4280"/>
    <w:rsid w:val="00AD42C2"/>
    <w:rsid w:val="00AD4318"/>
    <w:rsid w:val="00AD43E6"/>
    <w:rsid w:val="00AD447B"/>
    <w:rsid w:val="00AD44DB"/>
    <w:rsid w:val="00AD4672"/>
    <w:rsid w:val="00AD47FC"/>
    <w:rsid w:val="00AD4CA1"/>
    <w:rsid w:val="00AD4E21"/>
    <w:rsid w:val="00AD4E7B"/>
    <w:rsid w:val="00AD5110"/>
    <w:rsid w:val="00AD5282"/>
    <w:rsid w:val="00AD53B0"/>
    <w:rsid w:val="00AD553A"/>
    <w:rsid w:val="00AD560F"/>
    <w:rsid w:val="00AD5C60"/>
    <w:rsid w:val="00AD5D30"/>
    <w:rsid w:val="00AD6071"/>
    <w:rsid w:val="00AD6075"/>
    <w:rsid w:val="00AD60BC"/>
    <w:rsid w:val="00AD62D3"/>
    <w:rsid w:val="00AD62D5"/>
    <w:rsid w:val="00AD675D"/>
    <w:rsid w:val="00AD6BE2"/>
    <w:rsid w:val="00AD6D9E"/>
    <w:rsid w:val="00AD6EAA"/>
    <w:rsid w:val="00AD6EFF"/>
    <w:rsid w:val="00AD6F18"/>
    <w:rsid w:val="00AD701A"/>
    <w:rsid w:val="00AD708A"/>
    <w:rsid w:val="00AD7163"/>
    <w:rsid w:val="00AD7164"/>
    <w:rsid w:val="00AD71EE"/>
    <w:rsid w:val="00AD7228"/>
    <w:rsid w:val="00AD74D5"/>
    <w:rsid w:val="00AD7529"/>
    <w:rsid w:val="00AD7760"/>
    <w:rsid w:val="00AD78E5"/>
    <w:rsid w:val="00AD7919"/>
    <w:rsid w:val="00AD7A30"/>
    <w:rsid w:val="00AD7C0A"/>
    <w:rsid w:val="00AD7E33"/>
    <w:rsid w:val="00AE0005"/>
    <w:rsid w:val="00AE03E1"/>
    <w:rsid w:val="00AE04D6"/>
    <w:rsid w:val="00AE0521"/>
    <w:rsid w:val="00AE0558"/>
    <w:rsid w:val="00AE05D1"/>
    <w:rsid w:val="00AE063C"/>
    <w:rsid w:val="00AE06CF"/>
    <w:rsid w:val="00AE0CD5"/>
    <w:rsid w:val="00AE0E02"/>
    <w:rsid w:val="00AE0F19"/>
    <w:rsid w:val="00AE0FEB"/>
    <w:rsid w:val="00AE111D"/>
    <w:rsid w:val="00AE1362"/>
    <w:rsid w:val="00AE1680"/>
    <w:rsid w:val="00AE169B"/>
    <w:rsid w:val="00AE16EA"/>
    <w:rsid w:val="00AE1A8E"/>
    <w:rsid w:val="00AE1C1C"/>
    <w:rsid w:val="00AE1C43"/>
    <w:rsid w:val="00AE1E45"/>
    <w:rsid w:val="00AE1E79"/>
    <w:rsid w:val="00AE1F2A"/>
    <w:rsid w:val="00AE217C"/>
    <w:rsid w:val="00AE21E5"/>
    <w:rsid w:val="00AE222E"/>
    <w:rsid w:val="00AE22C2"/>
    <w:rsid w:val="00AE2631"/>
    <w:rsid w:val="00AE273B"/>
    <w:rsid w:val="00AE2769"/>
    <w:rsid w:val="00AE27EA"/>
    <w:rsid w:val="00AE284E"/>
    <w:rsid w:val="00AE2A19"/>
    <w:rsid w:val="00AE2ABB"/>
    <w:rsid w:val="00AE2B8B"/>
    <w:rsid w:val="00AE2F2A"/>
    <w:rsid w:val="00AE320C"/>
    <w:rsid w:val="00AE3666"/>
    <w:rsid w:val="00AE3A0E"/>
    <w:rsid w:val="00AE3FB4"/>
    <w:rsid w:val="00AE405D"/>
    <w:rsid w:val="00AE407D"/>
    <w:rsid w:val="00AE418B"/>
    <w:rsid w:val="00AE4339"/>
    <w:rsid w:val="00AE4426"/>
    <w:rsid w:val="00AE44D1"/>
    <w:rsid w:val="00AE4684"/>
    <w:rsid w:val="00AE477C"/>
    <w:rsid w:val="00AE48C2"/>
    <w:rsid w:val="00AE49D5"/>
    <w:rsid w:val="00AE4BF8"/>
    <w:rsid w:val="00AE4C5C"/>
    <w:rsid w:val="00AE4F97"/>
    <w:rsid w:val="00AE4FF6"/>
    <w:rsid w:val="00AE5485"/>
    <w:rsid w:val="00AE561E"/>
    <w:rsid w:val="00AE56FD"/>
    <w:rsid w:val="00AE5923"/>
    <w:rsid w:val="00AE5B4D"/>
    <w:rsid w:val="00AE5C75"/>
    <w:rsid w:val="00AE5CBB"/>
    <w:rsid w:val="00AE5D62"/>
    <w:rsid w:val="00AE5DD0"/>
    <w:rsid w:val="00AE61DA"/>
    <w:rsid w:val="00AE62F5"/>
    <w:rsid w:val="00AE63E1"/>
    <w:rsid w:val="00AE644A"/>
    <w:rsid w:val="00AE65F9"/>
    <w:rsid w:val="00AE67E6"/>
    <w:rsid w:val="00AE67EB"/>
    <w:rsid w:val="00AE6884"/>
    <w:rsid w:val="00AE717B"/>
    <w:rsid w:val="00AE7374"/>
    <w:rsid w:val="00AE7383"/>
    <w:rsid w:val="00AE7448"/>
    <w:rsid w:val="00AE7579"/>
    <w:rsid w:val="00AE76CB"/>
    <w:rsid w:val="00AE7998"/>
    <w:rsid w:val="00AE79E2"/>
    <w:rsid w:val="00AE7A64"/>
    <w:rsid w:val="00AE7B06"/>
    <w:rsid w:val="00AE7D31"/>
    <w:rsid w:val="00AE7DDD"/>
    <w:rsid w:val="00AE7F12"/>
    <w:rsid w:val="00AE7F9B"/>
    <w:rsid w:val="00AF01B1"/>
    <w:rsid w:val="00AF0271"/>
    <w:rsid w:val="00AF074E"/>
    <w:rsid w:val="00AF0A71"/>
    <w:rsid w:val="00AF0B04"/>
    <w:rsid w:val="00AF0DEB"/>
    <w:rsid w:val="00AF0E63"/>
    <w:rsid w:val="00AF136E"/>
    <w:rsid w:val="00AF17DC"/>
    <w:rsid w:val="00AF1D69"/>
    <w:rsid w:val="00AF1ED1"/>
    <w:rsid w:val="00AF2238"/>
    <w:rsid w:val="00AF2250"/>
    <w:rsid w:val="00AF22F3"/>
    <w:rsid w:val="00AF28A2"/>
    <w:rsid w:val="00AF2EF4"/>
    <w:rsid w:val="00AF2F53"/>
    <w:rsid w:val="00AF2F64"/>
    <w:rsid w:val="00AF30DA"/>
    <w:rsid w:val="00AF321D"/>
    <w:rsid w:val="00AF3263"/>
    <w:rsid w:val="00AF3399"/>
    <w:rsid w:val="00AF351A"/>
    <w:rsid w:val="00AF3723"/>
    <w:rsid w:val="00AF382A"/>
    <w:rsid w:val="00AF3958"/>
    <w:rsid w:val="00AF3AC3"/>
    <w:rsid w:val="00AF3BD9"/>
    <w:rsid w:val="00AF3C08"/>
    <w:rsid w:val="00AF3C9F"/>
    <w:rsid w:val="00AF3D1F"/>
    <w:rsid w:val="00AF3D2F"/>
    <w:rsid w:val="00AF40F1"/>
    <w:rsid w:val="00AF41FF"/>
    <w:rsid w:val="00AF42D5"/>
    <w:rsid w:val="00AF4420"/>
    <w:rsid w:val="00AF4740"/>
    <w:rsid w:val="00AF479F"/>
    <w:rsid w:val="00AF4951"/>
    <w:rsid w:val="00AF4D8D"/>
    <w:rsid w:val="00AF4F2F"/>
    <w:rsid w:val="00AF5181"/>
    <w:rsid w:val="00AF52A8"/>
    <w:rsid w:val="00AF52B1"/>
    <w:rsid w:val="00AF5361"/>
    <w:rsid w:val="00AF53EA"/>
    <w:rsid w:val="00AF5411"/>
    <w:rsid w:val="00AF562E"/>
    <w:rsid w:val="00AF56A9"/>
    <w:rsid w:val="00AF5852"/>
    <w:rsid w:val="00AF5924"/>
    <w:rsid w:val="00AF5926"/>
    <w:rsid w:val="00AF60D2"/>
    <w:rsid w:val="00AF64C9"/>
    <w:rsid w:val="00AF6780"/>
    <w:rsid w:val="00AF6794"/>
    <w:rsid w:val="00AF68E6"/>
    <w:rsid w:val="00AF6B1E"/>
    <w:rsid w:val="00AF6BCB"/>
    <w:rsid w:val="00AF6C8E"/>
    <w:rsid w:val="00AF6D0C"/>
    <w:rsid w:val="00AF6F4C"/>
    <w:rsid w:val="00AF7123"/>
    <w:rsid w:val="00AF734D"/>
    <w:rsid w:val="00AF7400"/>
    <w:rsid w:val="00AF744C"/>
    <w:rsid w:val="00AF748B"/>
    <w:rsid w:val="00AF762E"/>
    <w:rsid w:val="00AF7804"/>
    <w:rsid w:val="00AF7BEC"/>
    <w:rsid w:val="00AF7C19"/>
    <w:rsid w:val="00AF7FDB"/>
    <w:rsid w:val="00B002DF"/>
    <w:rsid w:val="00B00549"/>
    <w:rsid w:val="00B0054A"/>
    <w:rsid w:val="00B00570"/>
    <w:rsid w:val="00B00785"/>
    <w:rsid w:val="00B007BC"/>
    <w:rsid w:val="00B009E5"/>
    <w:rsid w:val="00B00AA8"/>
    <w:rsid w:val="00B00AD1"/>
    <w:rsid w:val="00B00B6D"/>
    <w:rsid w:val="00B00DC8"/>
    <w:rsid w:val="00B01214"/>
    <w:rsid w:val="00B0124B"/>
    <w:rsid w:val="00B015B9"/>
    <w:rsid w:val="00B015D8"/>
    <w:rsid w:val="00B016A2"/>
    <w:rsid w:val="00B01946"/>
    <w:rsid w:val="00B01AE1"/>
    <w:rsid w:val="00B01AFE"/>
    <w:rsid w:val="00B01E61"/>
    <w:rsid w:val="00B0217B"/>
    <w:rsid w:val="00B027AA"/>
    <w:rsid w:val="00B0285B"/>
    <w:rsid w:val="00B028CE"/>
    <w:rsid w:val="00B0307E"/>
    <w:rsid w:val="00B03287"/>
    <w:rsid w:val="00B03382"/>
    <w:rsid w:val="00B036A0"/>
    <w:rsid w:val="00B037D6"/>
    <w:rsid w:val="00B03A14"/>
    <w:rsid w:val="00B03AB7"/>
    <w:rsid w:val="00B03D82"/>
    <w:rsid w:val="00B03F4D"/>
    <w:rsid w:val="00B03F70"/>
    <w:rsid w:val="00B0409D"/>
    <w:rsid w:val="00B040D7"/>
    <w:rsid w:val="00B0423E"/>
    <w:rsid w:val="00B042B6"/>
    <w:rsid w:val="00B044BC"/>
    <w:rsid w:val="00B04550"/>
    <w:rsid w:val="00B04756"/>
    <w:rsid w:val="00B04902"/>
    <w:rsid w:val="00B04937"/>
    <w:rsid w:val="00B0495C"/>
    <w:rsid w:val="00B04D6B"/>
    <w:rsid w:val="00B04E37"/>
    <w:rsid w:val="00B0552F"/>
    <w:rsid w:val="00B0573E"/>
    <w:rsid w:val="00B058CB"/>
    <w:rsid w:val="00B05A18"/>
    <w:rsid w:val="00B05DEE"/>
    <w:rsid w:val="00B05E17"/>
    <w:rsid w:val="00B06347"/>
    <w:rsid w:val="00B06394"/>
    <w:rsid w:val="00B06812"/>
    <w:rsid w:val="00B06876"/>
    <w:rsid w:val="00B06ADE"/>
    <w:rsid w:val="00B06BAD"/>
    <w:rsid w:val="00B06D7A"/>
    <w:rsid w:val="00B06E08"/>
    <w:rsid w:val="00B06E4A"/>
    <w:rsid w:val="00B06E86"/>
    <w:rsid w:val="00B07012"/>
    <w:rsid w:val="00B07031"/>
    <w:rsid w:val="00B0728A"/>
    <w:rsid w:val="00B0728E"/>
    <w:rsid w:val="00B07530"/>
    <w:rsid w:val="00B07644"/>
    <w:rsid w:val="00B078AA"/>
    <w:rsid w:val="00B07C42"/>
    <w:rsid w:val="00B10515"/>
    <w:rsid w:val="00B10A7F"/>
    <w:rsid w:val="00B10BBF"/>
    <w:rsid w:val="00B10C19"/>
    <w:rsid w:val="00B10E76"/>
    <w:rsid w:val="00B10FC4"/>
    <w:rsid w:val="00B11060"/>
    <w:rsid w:val="00B111CA"/>
    <w:rsid w:val="00B111DC"/>
    <w:rsid w:val="00B1149C"/>
    <w:rsid w:val="00B11671"/>
    <w:rsid w:val="00B117C0"/>
    <w:rsid w:val="00B118AB"/>
    <w:rsid w:val="00B11B9E"/>
    <w:rsid w:val="00B11CA7"/>
    <w:rsid w:val="00B11CB8"/>
    <w:rsid w:val="00B11D77"/>
    <w:rsid w:val="00B11DC8"/>
    <w:rsid w:val="00B11F80"/>
    <w:rsid w:val="00B123B1"/>
    <w:rsid w:val="00B125E8"/>
    <w:rsid w:val="00B12812"/>
    <w:rsid w:val="00B129F3"/>
    <w:rsid w:val="00B12A82"/>
    <w:rsid w:val="00B12A9E"/>
    <w:rsid w:val="00B12B87"/>
    <w:rsid w:val="00B12B9F"/>
    <w:rsid w:val="00B12CD2"/>
    <w:rsid w:val="00B12D74"/>
    <w:rsid w:val="00B13026"/>
    <w:rsid w:val="00B131B9"/>
    <w:rsid w:val="00B13221"/>
    <w:rsid w:val="00B132EB"/>
    <w:rsid w:val="00B1335B"/>
    <w:rsid w:val="00B13758"/>
    <w:rsid w:val="00B1390C"/>
    <w:rsid w:val="00B13929"/>
    <w:rsid w:val="00B1399E"/>
    <w:rsid w:val="00B13BCF"/>
    <w:rsid w:val="00B13DC9"/>
    <w:rsid w:val="00B13EE1"/>
    <w:rsid w:val="00B14104"/>
    <w:rsid w:val="00B14235"/>
    <w:rsid w:val="00B142A1"/>
    <w:rsid w:val="00B1447F"/>
    <w:rsid w:val="00B1449C"/>
    <w:rsid w:val="00B145A4"/>
    <w:rsid w:val="00B145DF"/>
    <w:rsid w:val="00B145E2"/>
    <w:rsid w:val="00B1478D"/>
    <w:rsid w:val="00B15005"/>
    <w:rsid w:val="00B15025"/>
    <w:rsid w:val="00B151B8"/>
    <w:rsid w:val="00B15433"/>
    <w:rsid w:val="00B1567D"/>
    <w:rsid w:val="00B156E4"/>
    <w:rsid w:val="00B15770"/>
    <w:rsid w:val="00B15915"/>
    <w:rsid w:val="00B15A15"/>
    <w:rsid w:val="00B15BF8"/>
    <w:rsid w:val="00B15C14"/>
    <w:rsid w:val="00B15C33"/>
    <w:rsid w:val="00B166C6"/>
    <w:rsid w:val="00B166CE"/>
    <w:rsid w:val="00B167E6"/>
    <w:rsid w:val="00B168A5"/>
    <w:rsid w:val="00B17654"/>
    <w:rsid w:val="00B17991"/>
    <w:rsid w:val="00B179BE"/>
    <w:rsid w:val="00B17BB4"/>
    <w:rsid w:val="00B17CD2"/>
    <w:rsid w:val="00B17D31"/>
    <w:rsid w:val="00B2003C"/>
    <w:rsid w:val="00B20216"/>
    <w:rsid w:val="00B20396"/>
    <w:rsid w:val="00B20903"/>
    <w:rsid w:val="00B20A2A"/>
    <w:rsid w:val="00B20B96"/>
    <w:rsid w:val="00B20DCB"/>
    <w:rsid w:val="00B20F72"/>
    <w:rsid w:val="00B210B5"/>
    <w:rsid w:val="00B2132A"/>
    <w:rsid w:val="00B214B9"/>
    <w:rsid w:val="00B21663"/>
    <w:rsid w:val="00B2195B"/>
    <w:rsid w:val="00B21EBE"/>
    <w:rsid w:val="00B21F83"/>
    <w:rsid w:val="00B220DB"/>
    <w:rsid w:val="00B22226"/>
    <w:rsid w:val="00B224D5"/>
    <w:rsid w:val="00B22616"/>
    <w:rsid w:val="00B227A2"/>
    <w:rsid w:val="00B2288A"/>
    <w:rsid w:val="00B22900"/>
    <w:rsid w:val="00B22C91"/>
    <w:rsid w:val="00B231EC"/>
    <w:rsid w:val="00B23258"/>
    <w:rsid w:val="00B23412"/>
    <w:rsid w:val="00B23483"/>
    <w:rsid w:val="00B2350B"/>
    <w:rsid w:val="00B23603"/>
    <w:rsid w:val="00B236BE"/>
    <w:rsid w:val="00B236CC"/>
    <w:rsid w:val="00B237A7"/>
    <w:rsid w:val="00B238A5"/>
    <w:rsid w:val="00B239A5"/>
    <w:rsid w:val="00B23A27"/>
    <w:rsid w:val="00B23C6A"/>
    <w:rsid w:val="00B23F96"/>
    <w:rsid w:val="00B24050"/>
    <w:rsid w:val="00B24553"/>
    <w:rsid w:val="00B24559"/>
    <w:rsid w:val="00B24992"/>
    <w:rsid w:val="00B249BB"/>
    <w:rsid w:val="00B24D79"/>
    <w:rsid w:val="00B24E8C"/>
    <w:rsid w:val="00B24EDC"/>
    <w:rsid w:val="00B250F6"/>
    <w:rsid w:val="00B252EF"/>
    <w:rsid w:val="00B25301"/>
    <w:rsid w:val="00B253DE"/>
    <w:rsid w:val="00B25B10"/>
    <w:rsid w:val="00B25D48"/>
    <w:rsid w:val="00B26050"/>
    <w:rsid w:val="00B262A1"/>
    <w:rsid w:val="00B262BE"/>
    <w:rsid w:val="00B268AC"/>
    <w:rsid w:val="00B268BC"/>
    <w:rsid w:val="00B26A94"/>
    <w:rsid w:val="00B26E17"/>
    <w:rsid w:val="00B26F08"/>
    <w:rsid w:val="00B26F48"/>
    <w:rsid w:val="00B27188"/>
    <w:rsid w:val="00B27575"/>
    <w:rsid w:val="00B279D7"/>
    <w:rsid w:val="00B27D73"/>
    <w:rsid w:val="00B30131"/>
    <w:rsid w:val="00B302FA"/>
    <w:rsid w:val="00B30305"/>
    <w:rsid w:val="00B305FE"/>
    <w:rsid w:val="00B3061C"/>
    <w:rsid w:val="00B30702"/>
    <w:rsid w:val="00B307A3"/>
    <w:rsid w:val="00B308A7"/>
    <w:rsid w:val="00B308C4"/>
    <w:rsid w:val="00B30B44"/>
    <w:rsid w:val="00B30F96"/>
    <w:rsid w:val="00B30FB1"/>
    <w:rsid w:val="00B30FE2"/>
    <w:rsid w:val="00B31284"/>
    <w:rsid w:val="00B3144C"/>
    <w:rsid w:val="00B31496"/>
    <w:rsid w:val="00B316C3"/>
    <w:rsid w:val="00B31720"/>
    <w:rsid w:val="00B317F0"/>
    <w:rsid w:val="00B31945"/>
    <w:rsid w:val="00B31982"/>
    <w:rsid w:val="00B319C6"/>
    <w:rsid w:val="00B31B3D"/>
    <w:rsid w:val="00B31BBD"/>
    <w:rsid w:val="00B31D46"/>
    <w:rsid w:val="00B31F5B"/>
    <w:rsid w:val="00B31FC3"/>
    <w:rsid w:val="00B3212A"/>
    <w:rsid w:val="00B3215A"/>
    <w:rsid w:val="00B32296"/>
    <w:rsid w:val="00B325F5"/>
    <w:rsid w:val="00B32938"/>
    <w:rsid w:val="00B32B85"/>
    <w:rsid w:val="00B32D6C"/>
    <w:rsid w:val="00B32F5F"/>
    <w:rsid w:val="00B32FD4"/>
    <w:rsid w:val="00B3311C"/>
    <w:rsid w:val="00B33302"/>
    <w:rsid w:val="00B33337"/>
    <w:rsid w:val="00B333F5"/>
    <w:rsid w:val="00B33595"/>
    <w:rsid w:val="00B33802"/>
    <w:rsid w:val="00B3395C"/>
    <w:rsid w:val="00B33B35"/>
    <w:rsid w:val="00B33BAD"/>
    <w:rsid w:val="00B33E5F"/>
    <w:rsid w:val="00B33F4B"/>
    <w:rsid w:val="00B33FCB"/>
    <w:rsid w:val="00B34048"/>
    <w:rsid w:val="00B3418E"/>
    <w:rsid w:val="00B34336"/>
    <w:rsid w:val="00B34369"/>
    <w:rsid w:val="00B34605"/>
    <w:rsid w:val="00B34798"/>
    <w:rsid w:val="00B349E1"/>
    <w:rsid w:val="00B349ED"/>
    <w:rsid w:val="00B34A75"/>
    <w:rsid w:val="00B34F00"/>
    <w:rsid w:val="00B35121"/>
    <w:rsid w:val="00B3518B"/>
    <w:rsid w:val="00B3520A"/>
    <w:rsid w:val="00B35279"/>
    <w:rsid w:val="00B35374"/>
    <w:rsid w:val="00B3553A"/>
    <w:rsid w:val="00B35607"/>
    <w:rsid w:val="00B35685"/>
    <w:rsid w:val="00B3578B"/>
    <w:rsid w:val="00B358A8"/>
    <w:rsid w:val="00B35A8A"/>
    <w:rsid w:val="00B35B3C"/>
    <w:rsid w:val="00B35B96"/>
    <w:rsid w:val="00B35FC5"/>
    <w:rsid w:val="00B35FD3"/>
    <w:rsid w:val="00B36100"/>
    <w:rsid w:val="00B36ACE"/>
    <w:rsid w:val="00B36C81"/>
    <w:rsid w:val="00B36EC0"/>
    <w:rsid w:val="00B37100"/>
    <w:rsid w:val="00B37224"/>
    <w:rsid w:val="00B3749D"/>
    <w:rsid w:val="00B376BD"/>
    <w:rsid w:val="00B3783C"/>
    <w:rsid w:val="00B37871"/>
    <w:rsid w:val="00B37890"/>
    <w:rsid w:val="00B378B1"/>
    <w:rsid w:val="00B37DD7"/>
    <w:rsid w:val="00B37E60"/>
    <w:rsid w:val="00B400EF"/>
    <w:rsid w:val="00B401A6"/>
    <w:rsid w:val="00B402A7"/>
    <w:rsid w:val="00B403F3"/>
    <w:rsid w:val="00B40594"/>
    <w:rsid w:val="00B405D4"/>
    <w:rsid w:val="00B40657"/>
    <w:rsid w:val="00B4089C"/>
    <w:rsid w:val="00B40BA5"/>
    <w:rsid w:val="00B40BDB"/>
    <w:rsid w:val="00B40F27"/>
    <w:rsid w:val="00B410B6"/>
    <w:rsid w:val="00B412A3"/>
    <w:rsid w:val="00B41642"/>
    <w:rsid w:val="00B416F4"/>
    <w:rsid w:val="00B41790"/>
    <w:rsid w:val="00B417CC"/>
    <w:rsid w:val="00B418AF"/>
    <w:rsid w:val="00B41AED"/>
    <w:rsid w:val="00B41BD4"/>
    <w:rsid w:val="00B41EE2"/>
    <w:rsid w:val="00B422C9"/>
    <w:rsid w:val="00B4234B"/>
    <w:rsid w:val="00B42460"/>
    <w:rsid w:val="00B426C7"/>
    <w:rsid w:val="00B426E1"/>
    <w:rsid w:val="00B426EA"/>
    <w:rsid w:val="00B42873"/>
    <w:rsid w:val="00B42997"/>
    <w:rsid w:val="00B42A9C"/>
    <w:rsid w:val="00B42ADB"/>
    <w:rsid w:val="00B42AE9"/>
    <w:rsid w:val="00B42B05"/>
    <w:rsid w:val="00B42BCE"/>
    <w:rsid w:val="00B42DDC"/>
    <w:rsid w:val="00B4319B"/>
    <w:rsid w:val="00B431CA"/>
    <w:rsid w:val="00B432C2"/>
    <w:rsid w:val="00B43759"/>
    <w:rsid w:val="00B4385A"/>
    <w:rsid w:val="00B43CE1"/>
    <w:rsid w:val="00B43DD2"/>
    <w:rsid w:val="00B44112"/>
    <w:rsid w:val="00B44249"/>
    <w:rsid w:val="00B443CC"/>
    <w:rsid w:val="00B44590"/>
    <w:rsid w:val="00B446D5"/>
    <w:rsid w:val="00B448A0"/>
    <w:rsid w:val="00B4496E"/>
    <w:rsid w:val="00B449C4"/>
    <w:rsid w:val="00B44ABB"/>
    <w:rsid w:val="00B44C24"/>
    <w:rsid w:val="00B4508C"/>
    <w:rsid w:val="00B45186"/>
    <w:rsid w:val="00B452CD"/>
    <w:rsid w:val="00B453AB"/>
    <w:rsid w:val="00B45878"/>
    <w:rsid w:val="00B45D36"/>
    <w:rsid w:val="00B45E88"/>
    <w:rsid w:val="00B45F8A"/>
    <w:rsid w:val="00B46036"/>
    <w:rsid w:val="00B464F8"/>
    <w:rsid w:val="00B46574"/>
    <w:rsid w:val="00B466B3"/>
    <w:rsid w:val="00B46794"/>
    <w:rsid w:val="00B4680C"/>
    <w:rsid w:val="00B46F84"/>
    <w:rsid w:val="00B4734E"/>
    <w:rsid w:val="00B475E7"/>
    <w:rsid w:val="00B47642"/>
    <w:rsid w:val="00B4774E"/>
    <w:rsid w:val="00B47760"/>
    <w:rsid w:val="00B477D0"/>
    <w:rsid w:val="00B47889"/>
    <w:rsid w:val="00B478AF"/>
    <w:rsid w:val="00B479C9"/>
    <w:rsid w:val="00B47B8B"/>
    <w:rsid w:val="00B47D01"/>
    <w:rsid w:val="00B47D70"/>
    <w:rsid w:val="00B501A7"/>
    <w:rsid w:val="00B50428"/>
    <w:rsid w:val="00B50759"/>
    <w:rsid w:val="00B50860"/>
    <w:rsid w:val="00B50ACF"/>
    <w:rsid w:val="00B50AE6"/>
    <w:rsid w:val="00B50D88"/>
    <w:rsid w:val="00B50E50"/>
    <w:rsid w:val="00B5118E"/>
    <w:rsid w:val="00B51302"/>
    <w:rsid w:val="00B5131D"/>
    <w:rsid w:val="00B5133A"/>
    <w:rsid w:val="00B51592"/>
    <w:rsid w:val="00B51633"/>
    <w:rsid w:val="00B5169E"/>
    <w:rsid w:val="00B518C8"/>
    <w:rsid w:val="00B5193D"/>
    <w:rsid w:val="00B51953"/>
    <w:rsid w:val="00B51CCA"/>
    <w:rsid w:val="00B51D59"/>
    <w:rsid w:val="00B520BB"/>
    <w:rsid w:val="00B520C6"/>
    <w:rsid w:val="00B52176"/>
    <w:rsid w:val="00B52497"/>
    <w:rsid w:val="00B524C4"/>
    <w:rsid w:val="00B52530"/>
    <w:rsid w:val="00B526CA"/>
    <w:rsid w:val="00B5273E"/>
    <w:rsid w:val="00B527A6"/>
    <w:rsid w:val="00B52886"/>
    <w:rsid w:val="00B52A0F"/>
    <w:rsid w:val="00B52C4B"/>
    <w:rsid w:val="00B52CD9"/>
    <w:rsid w:val="00B52EFD"/>
    <w:rsid w:val="00B530DC"/>
    <w:rsid w:val="00B5385B"/>
    <w:rsid w:val="00B538DF"/>
    <w:rsid w:val="00B5392C"/>
    <w:rsid w:val="00B53FCF"/>
    <w:rsid w:val="00B54216"/>
    <w:rsid w:val="00B543EB"/>
    <w:rsid w:val="00B544A8"/>
    <w:rsid w:val="00B54534"/>
    <w:rsid w:val="00B5471F"/>
    <w:rsid w:val="00B54885"/>
    <w:rsid w:val="00B548CC"/>
    <w:rsid w:val="00B54ACB"/>
    <w:rsid w:val="00B550A8"/>
    <w:rsid w:val="00B5511B"/>
    <w:rsid w:val="00B5518D"/>
    <w:rsid w:val="00B554B1"/>
    <w:rsid w:val="00B554D7"/>
    <w:rsid w:val="00B554DF"/>
    <w:rsid w:val="00B55550"/>
    <w:rsid w:val="00B558D7"/>
    <w:rsid w:val="00B55A9A"/>
    <w:rsid w:val="00B55B66"/>
    <w:rsid w:val="00B55C51"/>
    <w:rsid w:val="00B55EB0"/>
    <w:rsid w:val="00B55F0F"/>
    <w:rsid w:val="00B56007"/>
    <w:rsid w:val="00B560E5"/>
    <w:rsid w:val="00B56114"/>
    <w:rsid w:val="00B56528"/>
    <w:rsid w:val="00B567F2"/>
    <w:rsid w:val="00B56ABB"/>
    <w:rsid w:val="00B56ABC"/>
    <w:rsid w:val="00B56B02"/>
    <w:rsid w:val="00B56BFA"/>
    <w:rsid w:val="00B56D82"/>
    <w:rsid w:val="00B56DDA"/>
    <w:rsid w:val="00B57059"/>
    <w:rsid w:val="00B571D2"/>
    <w:rsid w:val="00B57554"/>
    <w:rsid w:val="00B577D4"/>
    <w:rsid w:val="00B577E5"/>
    <w:rsid w:val="00B57905"/>
    <w:rsid w:val="00B5790B"/>
    <w:rsid w:val="00B5796F"/>
    <w:rsid w:val="00B57AD7"/>
    <w:rsid w:val="00B57C57"/>
    <w:rsid w:val="00B57DFA"/>
    <w:rsid w:val="00B60156"/>
    <w:rsid w:val="00B604C4"/>
    <w:rsid w:val="00B607D6"/>
    <w:rsid w:val="00B60818"/>
    <w:rsid w:val="00B60844"/>
    <w:rsid w:val="00B60ACA"/>
    <w:rsid w:val="00B60C0D"/>
    <w:rsid w:val="00B60EBE"/>
    <w:rsid w:val="00B61129"/>
    <w:rsid w:val="00B6132E"/>
    <w:rsid w:val="00B614B9"/>
    <w:rsid w:val="00B61566"/>
    <w:rsid w:val="00B615D5"/>
    <w:rsid w:val="00B615F6"/>
    <w:rsid w:val="00B61610"/>
    <w:rsid w:val="00B616A2"/>
    <w:rsid w:val="00B61865"/>
    <w:rsid w:val="00B618E6"/>
    <w:rsid w:val="00B61A76"/>
    <w:rsid w:val="00B61EDF"/>
    <w:rsid w:val="00B620D8"/>
    <w:rsid w:val="00B62459"/>
    <w:rsid w:val="00B62530"/>
    <w:rsid w:val="00B62557"/>
    <w:rsid w:val="00B627B7"/>
    <w:rsid w:val="00B62C28"/>
    <w:rsid w:val="00B62DB8"/>
    <w:rsid w:val="00B635D2"/>
    <w:rsid w:val="00B638CD"/>
    <w:rsid w:val="00B63934"/>
    <w:rsid w:val="00B63BE5"/>
    <w:rsid w:val="00B63DE9"/>
    <w:rsid w:val="00B63E57"/>
    <w:rsid w:val="00B64157"/>
    <w:rsid w:val="00B644C2"/>
    <w:rsid w:val="00B64544"/>
    <w:rsid w:val="00B645B7"/>
    <w:rsid w:val="00B6468C"/>
    <w:rsid w:val="00B64789"/>
    <w:rsid w:val="00B647EB"/>
    <w:rsid w:val="00B64E01"/>
    <w:rsid w:val="00B64FBA"/>
    <w:rsid w:val="00B64FEA"/>
    <w:rsid w:val="00B651D2"/>
    <w:rsid w:val="00B651DB"/>
    <w:rsid w:val="00B65229"/>
    <w:rsid w:val="00B6522B"/>
    <w:rsid w:val="00B6543A"/>
    <w:rsid w:val="00B6557D"/>
    <w:rsid w:val="00B6574F"/>
    <w:rsid w:val="00B657BB"/>
    <w:rsid w:val="00B65905"/>
    <w:rsid w:val="00B65A70"/>
    <w:rsid w:val="00B65AC7"/>
    <w:rsid w:val="00B65C13"/>
    <w:rsid w:val="00B65DAA"/>
    <w:rsid w:val="00B65DC1"/>
    <w:rsid w:val="00B65EA3"/>
    <w:rsid w:val="00B66268"/>
    <w:rsid w:val="00B664DC"/>
    <w:rsid w:val="00B669D0"/>
    <w:rsid w:val="00B66A20"/>
    <w:rsid w:val="00B66AC8"/>
    <w:rsid w:val="00B66B2F"/>
    <w:rsid w:val="00B66E6C"/>
    <w:rsid w:val="00B672F7"/>
    <w:rsid w:val="00B6739C"/>
    <w:rsid w:val="00B67560"/>
    <w:rsid w:val="00B677EF"/>
    <w:rsid w:val="00B67804"/>
    <w:rsid w:val="00B678A7"/>
    <w:rsid w:val="00B67ED6"/>
    <w:rsid w:val="00B67FC8"/>
    <w:rsid w:val="00B7035D"/>
    <w:rsid w:val="00B7063F"/>
    <w:rsid w:val="00B70808"/>
    <w:rsid w:val="00B7091F"/>
    <w:rsid w:val="00B7099E"/>
    <w:rsid w:val="00B709EB"/>
    <w:rsid w:val="00B70A46"/>
    <w:rsid w:val="00B70D30"/>
    <w:rsid w:val="00B7117C"/>
    <w:rsid w:val="00B712DA"/>
    <w:rsid w:val="00B713A0"/>
    <w:rsid w:val="00B7163B"/>
    <w:rsid w:val="00B717A2"/>
    <w:rsid w:val="00B71B14"/>
    <w:rsid w:val="00B71B54"/>
    <w:rsid w:val="00B71F51"/>
    <w:rsid w:val="00B720EC"/>
    <w:rsid w:val="00B723D7"/>
    <w:rsid w:val="00B7242E"/>
    <w:rsid w:val="00B72921"/>
    <w:rsid w:val="00B72D6A"/>
    <w:rsid w:val="00B72FB1"/>
    <w:rsid w:val="00B72FEC"/>
    <w:rsid w:val="00B730A5"/>
    <w:rsid w:val="00B732C0"/>
    <w:rsid w:val="00B7397E"/>
    <w:rsid w:val="00B7398B"/>
    <w:rsid w:val="00B73CBA"/>
    <w:rsid w:val="00B73E4A"/>
    <w:rsid w:val="00B74240"/>
    <w:rsid w:val="00B74334"/>
    <w:rsid w:val="00B7459F"/>
    <w:rsid w:val="00B74750"/>
    <w:rsid w:val="00B74784"/>
    <w:rsid w:val="00B74885"/>
    <w:rsid w:val="00B74AA5"/>
    <w:rsid w:val="00B74AAE"/>
    <w:rsid w:val="00B74DF7"/>
    <w:rsid w:val="00B74F7F"/>
    <w:rsid w:val="00B74FCE"/>
    <w:rsid w:val="00B75365"/>
    <w:rsid w:val="00B7599F"/>
    <w:rsid w:val="00B759A0"/>
    <w:rsid w:val="00B75ABA"/>
    <w:rsid w:val="00B75B08"/>
    <w:rsid w:val="00B75BCB"/>
    <w:rsid w:val="00B75D54"/>
    <w:rsid w:val="00B75DAB"/>
    <w:rsid w:val="00B75E74"/>
    <w:rsid w:val="00B7621A"/>
    <w:rsid w:val="00B764A8"/>
    <w:rsid w:val="00B76568"/>
    <w:rsid w:val="00B765D3"/>
    <w:rsid w:val="00B7663C"/>
    <w:rsid w:val="00B768B8"/>
    <w:rsid w:val="00B7697E"/>
    <w:rsid w:val="00B76B2B"/>
    <w:rsid w:val="00B76B68"/>
    <w:rsid w:val="00B76C2B"/>
    <w:rsid w:val="00B76C7A"/>
    <w:rsid w:val="00B76CA0"/>
    <w:rsid w:val="00B76F09"/>
    <w:rsid w:val="00B76F2A"/>
    <w:rsid w:val="00B77051"/>
    <w:rsid w:val="00B77117"/>
    <w:rsid w:val="00B7732F"/>
    <w:rsid w:val="00B7750E"/>
    <w:rsid w:val="00B776E9"/>
    <w:rsid w:val="00B777C4"/>
    <w:rsid w:val="00B7784C"/>
    <w:rsid w:val="00B77C0A"/>
    <w:rsid w:val="00B77E25"/>
    <w:rsid w:val="00B8061E"/>
    <w:rsid w:val="00B808E4"/>
    <w:rsid w:val="00B80964"/>
    <w:rsid w:val="00B80B41"/>
    <w:rsid w:val="00B80CC9"/>
    <w:rsid w:val="00B80D4F"/>
    <w:rsid w:val="00B80E67"/>
    <w:rsid w:val="00B80F94"/>
    <w:rsid w:val="00B8182B"/>
    <w:rsid w:val="00B81A43"/>
    <w:rsid w:val="00B82170"/>
    <w:rsid w:val="00B822CA"/>
    <w:rsid w:val="00B824D0"/>
    <w:rsid w:val="00B82630"/>
    <w:rsid w:val="00B827E6"/>
    <w:rsid w:val="00B82850"/>
    <w:rsid w:val="00B82C1A"/>
    <w:rsid w:val="00B82C8E"/>
    <w:rsid w:val="00B830B8"/>
    <w:rsid w:val="00B8318D"/>
    <w:rsid w:val="00B831FF"/>
    <w:rsid w:val="00B83530"/>
    <w:rsid w:val="00B83894"/>
    <w:rsid w:val="00B839A7"/>
    <w:rsid w:val="00B83A5D"/>
    <w:rsid w:val="00B83CCB"/>
    <w:rsid w:val="00B83E49"/>
    <w:rsid w:val="00B84017"/>
    <w:rsid w:val="00B84101"/>
    <w:rsid w:val="00B845A7"/>
    <w:rsid w:val="00B846A5"/>
    <w:rsid w:val="00B847B5"/>
    <w:rsid w:val="00B84859"/>
    <w:rsid w:val="00B84869"/>
    <w:rsid w:val="00B84967"/>
    <w:rsid w:val="00B84A53"/>
    <w:rsid w:val="00B84C69"/>
    <w:rsid w:val="00B84C8D"/>
    <w:rsid w:val="00B84CBB"/>
    <w:rsid w:val="00B84DA0"/>
    <w:rsid w:val="00B8554C"/>
    <w:rsid w:val="00B857E6"/>
    <w:rsid w:val="00B85B41"/>
    <w:rsid w:val="00B85BEA"/>
    <w:rsid w:val="00B85C33"/>
    <w:rsid w:val="00B85F2C"/>
    <w:rsid w:val="00B85F5B"/>
    <w:rsid w:val="00B86015"/>
    <w:rsid w:val="00B860F3"/>
    <w:rsid w:val="00B86194"/>
    <w:rsid w:val="00B861E1"/>
    <w:rsid w:val="00B861ED"/>
    <w:rsid w:val="00B86442"/>
    <w:rsid w:val="00B864AD"/>
    <w:rsid w:val="00B86560"/>
    <w:rsid w:val="00B86607"/>
    <w:rsid w:val="00B866BD"/>
    <w:rsid w:val="00B86A53"/>
    <w:rsid w:val="00B86B87"/>
    <w:rsid w:val="00B86C64"/>
    <w:rsid w:val="00B86C8B"/>
    <w:rsid w:val="00B86F4B"/>
    <w:rsid w:val="00B86F5B"/>
    <w:rsid w:val="00B86FBC"/>
    <w:rsid w:val="00B87030"/>
    <w:rsid w:val="00B874EE"/>
    <w:rsid w:val="00B875AC"/>
    <w:rsid w:val="00B8767C"/>
    <w:rsid w:val="00B877F4"/>
    <w:rsid w:val="00B87859"/>
    <w:rsid w:val="00B87C7D"/>
    <w:rsid w:val="00B87EAC"/>
    <w:rsid w:val="00B9040A"/>
    <w:rsid w:val="00B90925"/>
    <w:rsid w:val="00B90AC8"/>
    <w:rsid w:val="00B90E5A"/>
    <w:rsid w:val="00B910A2"/>
    <w:rsid w:val="00B9134D"/>
    <w:rsid w:val="00B91385"/>
    <w:rsid w:val="00B91447"/>
    <w:rsid w:val="00B91609"/>
    <w:rsid w:val="00B917AA"/>
    <w:rsid w:val="00B917EE"/>
    <w:rsid w:val="00B91821"/>
    <w:rsid w:val="00B91D47"/>
    <w:rsid w:val="00B91F7F"/>
    <w:rsid w:val="00B920F1"/>
    <w:rsid w:val="00B923A3"/>
    <w:rsid w:val="00B92996"/>
    <w:rsid w:val="00B92B00"/>
    <w:rsid w:val="00B92B7C"/>
    <w:rsid w:val="00B92C2C"/>
    <w:rsid w:val="00B92D6F"/>
    <w:rsid w:val="00B93390"/>
    <w:rsid w:val="00B9348C"/>
    <w:rsid w:val="00B936F5"/>
    <w:rsid w:val="00B9372C"/>
    <w:rsid w:val="00B93C72"/>
    <w:rsid w:val="00B93F69"/>
    <w:rsid w:val="00B94074"/>
    <w:rsid w:val="00B940B9"/>
    <w:rsid w:val="00B940BF"/>
    <w:rsid w:val="00B94475"/>
    <w:rsid w:val="00B94492"/>
    <w:rsid w:val="00B945FF"/>
    <w:rsid w:val="00B946EC"/>
    <w:rsid w:val="00B947B7"/>
    <w:rsid w:val="00B94A20"/>
    <w:rsid w:val="00B953E2"/>
    <w:rsid w:val="00B95874"/>
    <w:rsid w:val="00B95994"/>
    <w:rsid w:val="00B959DE"/>
    <w:rsid w:val="00B96137"/>
    <w:rsid w:val="00B9622C"/>
    <w:rsid w:val="00B964B8"/>
    <w:rsid w:val="00B9668B"/>
    <w:rsid w:val="00B9682A"/>
    <w:rsid w:val="00B9684B"/>
    <w:rsid w:val="00B969A7"/>
    <w:rsid w:val="00B96A8F"/>
    <w:rsid w:val="00B96D8B"/>
    <w:rsid w:val="00B9711A"/>
    <w:rsid w:val="00B97223"/>
    <w:rsid w:val="00B972AF"/>
    <w:rsid w:val="00B9743B"/>
    <w:rsid w:val="00B97459"/>
    <w:rsid w:val="00B974D5"/>
    <w:rsid w:val="00B976E6"/>
    <w:rsid w:val="00B9785A"/>
    <w:rsid w:val="00B97891"/>
    <w:rsid w:val="00B97C8E"/>
    <w:rsid w:val="00B97E3E"/>
    <w:rsid w:val="00B97E64"/>
    <w:rsid w:val="00B97E9C"/>
    <w:rsid w:val="00B97FDB"/>
    <w:rsid w:val="00BA02F1"/>
    <w:rsid w:val="00BA058E"/>
    <w:rsid w:val="00BA0847"/>
    <w:rsid w:val="00BA097D"/>
    <w:rsid w:val="00BA0E59"/>
    <w:rsid w:val="00BA1173"/>
    <w:rsid w:val="00BA11C2"/>
    <w:rsid w:val="00BA1271"/>
    <w:rsid w:val="00BA128D"/>
    <w:rsid w:val="00BA12EF"/>
    <w:rsid w:val="00BA1382"/>
    <w:rsid w:val="00BA1407"/>
    <w:rsid w:val="00BA142C"/>
    <w:rsid w:val="00BA1491"/>
    <w:rsid w:val="00BA154D"/>
    <w:rsid w:val="00BA1778"/>
    <w:rsid w:val="00BA17D3"/>
    <w:rsid w:val="00BA17E9"/>
    <w:rsid w:val="00BA1A5C"/>
    <w:rsid w:val="00BA1B55"/>
    <w:rsid w:val="00BA1D90"/>
    <w:rsid w:val="00BA2688"/>
    <w:rsid w:val="00BA2772"/>
    <w:rsid w:val="00BA2815"/>
    <w:rsid w:val="00BA2AFD"/>
    <w:rsid w:val="00BA2B4D"/>
    <w:rsid w:val="00BA2BE1"/>
    <w:rsid w:val="00BA2D75"/>
    <w:rsid w:val="00BA340E"/>
    <w:rsid w:val="00BA3490"/>
    <w:rsid w:val="00BA362C"/>
    <w:rsid w:val="00BA3676"/>
    <w:rsid w:val="00BA3766"/>
    <w:rsid w:val="00BA3800"/>
    <w:rsid w:val="00BA3882"/>
    <w:rsid w:val="00BA3C78"/>
    <w:rsid w:val="00BA3CB8"/>
    <w:rsid w:val="00BA3D24"/>
    <w:rsid w:val="00BA3D95"/>
    <w:rsid w:val="00BA3FA8"/>
    <w:rsid w:val="00BA45CE"/>
    <w:rsid w:val="00BA46B4"/>
    <w:rsid w:val="00BA4760"/>
    <w:rsid w:val="00BA47CE"/>
    <w:rsid w:val="00BA4DF5"/>
    <w:rsid w:val="00BA4E74"/>
    <w:rsid w:val="00BA4EC5"/>
    <w:rsid w:val="00BA5016"/>
    <w:rsid w:val="00BA53C2"/>
    <w:rsid w:val="00BA53F1"/>
    <w:rsid w:val="00BA5427"/>
    <w:rsid w:val="00BA542A"/>
    <w:rsid w:val="00BA56D9"/>
    <w:rsid w:val="00BA57A8"/>
    <w:rsid w:val="00BA5810"/>
    <w:rsid w:val="00BA58D5"/>
    <w:rsid w:val="00BA595B"/>
    <w:rsid w:val="00BA5989"/>
    <w:rsid w:val="00BA5D10"/>
    <w:rsid w:val="00BA5DE4"/>
    <w:rsid w:val="00BA6001"/>
    <w:rsid w:val="00BA6078"/>
    <w:rsid w:val="00BA6298"/>
    <w:rsid w:val="00BA62CD"/>
    <w:rsid w:val="00BA6393"/>
    <w:rsid w:val="00BA650E"/>
    <w:rsid w:val="00BA658B"/>
    <w:rsid w:val="00BA66F5"/>
    <w:rsid w:val="00BA67BC"/>
    <w:rsid w:val="00BA6A31"/>
    <w:rsid w:val="00BA6BB7"/>
    <w:rsid w:val="00BA6C17"/>
    <w:rsid w:val="00BA72F8"/>
    <w:rsid w:val="00BA732D"/>
    <w:rsid w:val="00BA74BC"/>
    <w:rsid w:val="00BA750D"/>
    <w:rsid w:val="00BA7623"/>
    <w:rsid w:val="00BA79F1"/>
    <w:rsid w:val="00BA7A97"/>
    <w:rsid w:val="00BA7D73"/>
    <w:rsid w:val="00BA7D9B"/>
    <w:rsid w:val="00BA7EEC"/>
    <w:rsid w:val="00BB0048"/>
    <w:rsid w:val="00BB02A0"/>
    <w:rsid w:val="00BB042E"/>
    <w:rsid w:val="00BB0463"/>
    <w:rsid w:val="00BB04ED"/>
    <w:rsid w:val="00BB06B0"/>
    <w:rsid w:val="00BB082A"/>
    <w:rsid w:val="00BB09BB"/>
    <w:rsid w:val="00BB0ACF"/>
    <w:rsid w:val="00BB1041"/>
    <w:rsid w:val="00BB10EF"/>
    <w:rsid w:val="00BB115D"/>
    <w:rsid w:val="00BB126B"/>
    <w:rsid w:val="00BB131B"/>
    <w:rsid w:val="00BB158D"/>
    <w:rsid w:val="00BB18EB"/>
    <w:rsid w:val="00BB1B21"/>
    <w:rsid w:val="00BB1EF7"/>
    <w:rsid w:val="00BB2175"/>
    <w:rsid w:val="00BB2427"/>
    <w:rsid w:val="00BB2716"/>
    <w:rsid w:val="00BB29E7"/>
    <w:rsid w:val="00BB2E8A"/>
    <w:rsid w:val="00BB3204"/>
    <w:rsid w:val="00BB3592"/>
    <w:rsid w:val="00BB3848"/>
    <w:rsid w:val="00BB398E"/>
    <w:rsid w:val="00BB3AE1"/>
    <w:rsid w:val="00BB3C7B"/>
    <w:rsid w:val="00BB3CE2"/>
    <w:rsid w:val="00BB3EA4"/>
    <w:rsid w:val="00BB3F64"/>
    <w:rsid w:val="00BB41B7"/>
    <w:rsid w:val="00BB44FD"/>
    <w:rsid w:val="00BB4B97"/>
    <w:rsid w:val="00BB4DB7"/>
    <w:rsid w:val="00BB4E12"/>
    <w:rsid w:val="00BB518F"/>
    <w:rsid w:val="00BB5213"/>
    <w:rsid w:val="00BB5532"/>
    <w:rsid w:val="00BB5551"/>
    <w:rsid w:val="00BB55A5"/>
    <w:rsid w:val="00BB5859"/>
    <w:rsid w:val="00BB5979"/>
    <w:rsid w:val="00BB5C79"/>
    <w:rsid w:val="00BB5D4E"/>
    <w:rsid w:val="00BB5D69"/>
    <w:rsid w:val="00BB5DF6"/>
    <w:rsid w:val="00BB5E1C"/>
    <w:rsid w:val="00BB5E40"/>
    <w:rsid w:val="00BB5E8B"/>
    <w:rsid w:val="00BB5EEF"/>
    <w:rsid w:val="00BB5F6D"/>
    <w:rsid w:val="00BB624A"/>
    <w:rsid w:val="00BB6775"/>
    <w:rsid w:val="00BB6961"/>
    <w:rsid w:val="00BB6977"/>
    <w:rsid w:val="00BB6D34"/>
    <w:rsid w:val="00BB6FD2"/>
    <w:rsid w:val="00BB703E"/>
    <w:rsid w:val="00BB714C"/>
    <w:rsid w:val="00BB74B0"/>
    <w:rsid w:val="00BB7577"/>
    <w:rsid w:val="00BB7689"/>
    <w:rsid w:val="00BB77D8"/>
    <w:rsid w:val="00BB780E"/>
    <w:rsid w:val="00BB7BD4"/>
    <w:rsid w:val="00BB7C87"/>
    <w:rsid w:val="00BB7CD3"/>
    <w:rsid w:val="00BB7D9F"/>
    <w:rsid w:val="00BC017D"/>
    <w:rsid w:val="00BC030F"/>
    <w:rsid w:val="00BC04C4"/>
    <w:rsid w:val="00BC0588"/>
    <w:rsid w:val="00BC0834"/>
    <w:rsid w:val="00BC0C0F"/>
    <w:rsid w:val="00BC0D9A"/>
    <w:rsid w:val="00BC0DCE"/>
    <w:rsid w:val="00BC0E61"/>
    <w:rsid w:val="00BC0EC7"/>
    <w:rsid w:val="00BC0F79"/>
    <w:rsid w:val="00BC101F"/>
    <w:rsid w:val="00BC1077"/>
    <w:rsid w:val="00BC1131"/>
    <w:rsid w:val="00BC118E"/>
    <w:rsid w:val="00BC11D4"/>
    <w:rsid w:val="00BC1232"/>
    <w:rsid w:val="00BC127C"/>
    <w:rsid w:val="00BC1292"/>
    <w:rsid w:val="00BC1855"/>
    <w:rsid w:val="00BC18C7"/>
    <w:rsid w:val="00BC1921"/>
    <w:rsid w:val="00BC1A78"/>
    <w:rsid w:val="00BC1D19"/>
    <w:rsid w:val="00BC1EAD"/>
    <w:rsid w:val="00BC1EB8"/>
    <w:rsid w:val="00BC1F21"/>
    <w:rsid w:val="00BC1F55"/>
    <w:rsid w:val="00BC1FFC"/>
    <w:rsid w:val="00BC211F"/>
    <w:rsid w:val="00BC219B"/>
    <w:rsid w:val="00BC26FA"/>
    <w:rsid w:val="00BC2B26"/>
    <w:rsid w:val="00BC2FB3"/>
    <w:rsid w:val="00BC2FC5"/>
    <w:rsid w:val="00BC31D6"/>
    <w:rsid w:val="00BC3373"/>
    <w:rsid w:val="00BC3733"/>
    <w:rsid w:val="00BC3807"/>
    <w:rsid w:val="00BC3933"/>
    <w:rsid w:val="00BC3BE6"/>
    <w:rsid w:val="00BC3C7F"/>
    <w:rsid w:val="00BC3CC9"/>
    <w:rsid w:val="00BC3EA5"/>
    <w:rsid w:val="00BC3F73"/>
    <w:rsid w:val="00BC40FA"/>
    <w:rsid w:val="00BC4191"/>
    <w:rsid w:val="00BC41F4"/>
    <w:rsid w:val="00BC4331"/>
    <w:rsid w:val="00BC4400"/>
    <w:rsid w:val="00BC47FF"/>
    <w:rsid w:val="00BC4A49"/>
    <w:rsid w:val="00BC4EBA"/>
    <w:rsid w:val="00BC4F9E"/>
    <w:rsid w:val="00BC5274"/>
    <w:rsid w:val="00BC56C1"/>
    <w:rsid w:val="00BC5BC5"/>
    <w:rsid w:val="00BC5C0C"/>
    <w:rsid w:val="00BC5F56"/>
    <w:rsid w:val="00BC6079"/>
    <w:rsid w:val="00BC6116"/>
    <w:rsid w:val="00BC6140"/>
    <w:rsid w:val="00BC6241"/>
    <w:rsid w:val="00BC62F0"/>
    <w:rsid w:val="00BC643D"/>
    <w:rsid w:val="00BC6579"/>
    <w:rsid w:val="00BC65E7"/>
    <w:rsid w:val="00BC6606"/>
    <w:rsid w:val="00BC6907"/>
    <w:rsid w:val="00BC6918"/>
    <w:rsid w:val="00BC6B5A"/>
    <w:rsid w:val="00BC6D4D"/>
    <w:rsid w:val="00BC6D76"/>
    <w:rsid w:val="00BC6DBA"/>
    <w:rsid w:val="00BC70B9"/>
    <w:rsid w:val="00BC7146"/>
    <w:rsid w:val="00BC7284"/>
    <w:rsid w:val="00BC7376"/>
    <w:rsid w:val="00BC7759"/>
    <w:rsid w:val="00BC7C1B"/>
    <w:rsid w:val="00BC7C9A"/>
    <w:rsid w:val="00BC7E03"/>
    <w:rsid w:val="00BD04E7"/>
    <w:rsid w:val="00BD05D0"/>
    <w:rsid w:val="00BD0611"/>
    <w:rsid w:val="00BD08B9"/>
    <w:rsid w:val="00BD0C5D"/>
    <w:rsid w:val="00BD0C8F"/>
    <w:rsid w:val="00BD0CF9"/>
    <w:rsid w:val="00BD12B3"/>
    <w:rsid w:val="00BD141E"/>
    <w:rsid w:val="00BD1562"/>
    <w:rsid w:val="00BD190D"/>
    <w:rsid w:val="00BD1CEC"/>
    <w:rsid w:val="00BD1E1F"/>
    <w:rsid w:val="00BD1F6E"/>
    <w:rsid w:val="00BD1F99"/>
    <w:rsid w:val="00BD2241"/>
    <w:rsid w:val="00BD2589"/>
    <w:rsid w:val="00BD2AAD"/>
    <w:rsid w:val="00BD2BFC"/>
    <w:rsid w:val="00BD2C44"/>
    <w:rsid w:val="00BD2E92"/>
    <w:rsid w:val="00BD33A8"/>
    <w:rsid w:val="00BD342E"/>
    <w:rsid w:val="00BD3506"/>
    <w:rsid w:val="00BD38D6"/>
    <w:rsid w:val="00BD3A37"/>
    <w:rsid w:val="00BD3C0D"/>
    <w:rsid w:val="00BD3CE7"/>
    <w:rsid w:val="00BD3DB3"/>
    <w:rsid w:val="00BD3E21"/>
    <w:rsid w:val="00BD3FAF"/>
    <w:rsid w:val="00BD426A"/>
    <w:rsid w:val="00BD427F"/>
    <w:rsid w:val="00BD43C4"/>
    <w:rsid w:val="00BD45B9"/>
    <w:rsid w:val="00BD4D4E"/>
    <w:rsid w:val="00BD4F84"/>
    <w:rsid w:val="00BD50A2"/>
    <w:rsid w:val="00BD523E"/>
    <w:rsid w:val="00BD5311"/>
    <w:rsid w:val="00BD5531"/>
    <w:rsid w:val="00BD56AB"/>
    <w:rsid w:val="00BD5803"/>
    <w:rsid w:val="00BD5A4B"/>
    <w:rsid w:val="00BD5A7B"/>
    <w:rsid w:val="00BD601F"/>
    <w:rsid w:val="00BD62CA"/>
    <w:rsid w:val="00BD65A7"/>
    <w:rsid w:val="00BD665C"/>
    <w:rsid w:val="00BD67AD"/>
    <w:rsid w:val="00BD67E1"/>
    <w:rsid w:val="00BD6F3D"/>
    <w:rsid w:val="00BD700D"/>
    <w:rsid w:val="00BD716B"/>
    <w:rsid w:val="00BD726F"/>
    <w:rsid w:val="00BD75E5"/>
    <w:rsid w:val="00BD7781"/>
    <w:rsid w:val="00BD77F6"/>
    <w:rsid w:val="00BD78F0"/>
    <w:rsid w:val="00BD79DB"/>
    <w:rsid w:val="00BE0069"/>
    <w:rsid w:val="00BE0191"/>
    <w:rsid w:val="00BE031A"/>
    <w:rsid w:val="00BE03EE"/>
    <w:rsid w:val="00BE0870"/>
    <w:rsid w:val="00BE08B1"/>
    <w:rsid w:val="00BE0C2C"/>
    <w:rsid w:val="00BE0EDC"/>
    <w:rsid w:val="00BE10D4"/>
    <w:rsid w:val="00BE10ED"/>
    <w:rsid w:val="00BE1999"/>
    <w:rsid w:val="00BE1CB9"/>
    <w:rsid w:val="00BE1D06"/>
    <w:rsid w:val="00BE1D89"/>
    <w:rsid w:val="00BE1D90"/>
    <w:rsid w:val="00BE1F67"/>
    <w:rsid w:val="00BE1FCA"/>
    <w:rsid w:val="00BE2050"/>
    <w:rsid w:val="00BE20F3"/>
    <w:rsid w:val="00BE22B0"/>
    <w:rsid w:val="00BE22F7"/>
    <w:rsid w:val="00BE23B7"/>
    <w:rsid w:val="00BE2530"/>
    <w:rsid w:val="00BE27C7"/>
    <w:rsid w:val="00BE293B"/>
    <w:rsid w:val="00BE2B45"/>
    <w:rsid w:val="00BE2BC4"/>
    <w:rsid w:val="00BE2D6B"/>
    <w:rsid w:val="00BE2D9A"/>
    <w:rsid w:val="00BE2E75"/>
    <w:rsid w:val="00BE2FDA"/>
    <w:rsid w:val="00BE31E2"/>
    <w:rsid w:val="00BE32C5"/>
    <w:rsid w:val="00BE33E8"/>
    <w:rsid w:val="00BE362C"/>
    <w:rsid w:val="00BE3764"/>
    <w:rsid w:val="00BE3957"/>
    <w:rsid w:val="00BE399B"/>
    <w:rsid w:val="00BE3AA8"/>
    <w:rsid w:val="00BE3D65"/>
    <w:rsid w:val="00BE3DB5"/>
    <w:rsid w:val="00BE3DFB"/>
    <w:rsid w:val="00BE4001"/>
    <w:rsid w:val="00BE40C5"/>
    <w:rsid w:val="00BE44D3"/>
    <w:rsid w:val="00BE4706"/>
    <w:rsid w:val="00BE4821"/>
    <w:rsid w:val="00BE4E02"/>
    <w:rsid w:val="00BE4F55"/>
    <w:rsid w:val="00BE4F63"/>
    <w:rsid w:val="00BE5039"/>
    <w:rsid w:val="00BE5104"/>
    <w:rsid w:val="00BE52B9"/>
    <w:rsid w:val="00BE52E1"/>
    <w:rsid w:val="00BE5424"/>
    <w:rsid w:val="00BE5469"/>
    <w:rsid w:val="00BE578C"/>
    <w:rsid w:val="00BE579D"/>
    <w:rsid w:val="00BE5AEE"/>
    <w:rsid w:val="00BE5D2F"/>
    <w:rsid w:val="00BE641A"/>
    <w:rsid w:val="00BE6668"/>
    <w:rsid w:val="00BE66AB"/>
    <w:rsid w:val="00BE66D3"/>
    <w:rsid w:val="00BE679B"/>
    <w:rsid w:val="00BE68E2"/>
    <w:rsid w:val="00BE6930"/>
    <w:rsid w:val="00BE6931"/>
    <w:rsid w:val="00BE6967"/>
    <w:rsid w:val="00BE6B13"/>
    <w:rsid w:val="00BE6E26"/>
    <w:rsid w:val="00BE713F"/>
    <w:rsid w:val="00BE71F7"/>
    <w:rsid w:val="00BE76ED"/>
    <w:rsid w:val="00BE7894"/>
    <w:rsid w:val="00BE79EF"/>
    <w:rsid w:val="00BE7DA2"/>
    <w:rsid w:val="00BE7EB6"/>
    <w:rsid w:val="00BF000E"/>
    <w:rsid w:val="00BF0160"/>
    <w:rsid w:val="00BF0280"/>
    <w:rsid w:val="00BF029F"/>
    <w:rsid w:val="00BF02D7"/>
    <w:rsid w:val="00BF031A"/>
    <w:rsid w:val="00BF03BE"/>
    <w:rsid w:val="00BF03FA"/>
    <w:rsid w:val="00BF0C6C"/>
    <w:rsid w:val="00BF0EF2"/>
    <w:rsid w:val="00BF1141"/>
    <w:rsid w:val="00BF11A0"/>
    <w:rsid w:val="00BF131C"/>
    <w:rsid w:val="00BF13C6"/>
    <w:rsid w:val="00BF13D4"/>
    <w:rsid w:val="00BF1504"/>
    <w:rsid w:val="00BF15DE"/>
    <w:rsid w:val="00BF16CE"/>
    <w:rsid w:val="00BF1736"/>
    <w:rsid w:val="00BF189F"/>
    <w:rsid w:val="00BF1C93"/>
    <w:rsid w:val="00BF2155"/>
    <w:rsid w:val="00BF2361"/>
    <w:rsid w:val="00BF23B4"/>
    <w:rsid w:val="00BF24A7"/>
    <w:rsid w:val="00BF251C"/>
    <w:rsid w:val="00BF2734"/>
    <w:rsid w:val="00BF27CA"/>
    <w:rsid w:val="00BF2864"/>
    <w:rsid w:val="00BF28A4"/>
    <w:rsid w:val="00BF2C04"/>
    <w:rsid w:val="00BF2C7D"/>
    <w:rsid w:val="00BF2CCF"/>
    <w:rsid w:val="00BF3097"/>
    <w:rsid w:val="00BF3343"/>
    <w:rsid w:val="00BF34D8"/>
    <w:rsid w:val="00BF3726"/>
    <w:rsid w:val="00BF39D0"/>
    <w:rsid w:val="00BF3C39"/>
    <w:rsid w:val="00BF3D09"/>
    <w:rsid w:val="00BF3E28"/>
    <w:rsid w:val="00BF41F9"/>
    <w:rsid w:val="00BF459D"/>
    <w:rsid w:val="00BF4626"/>
    <w:rsid w:val="00BF4687"/>
    <w:rsid w:val="00BF4A2D"/>
    <w:rsid w:val="00BF4DA3"/>
    <w:rsid w:val="00BF4DD6"/>
    <w:rsid w:val="00BF4E3D"/>
    <w:rsid w:val="00BF50DD"/>
    <w:rsid w:val="00BF53CC"/>
    <w:rsid w:val="00BF5411"/>
    <w:rsid w:val="00BF560B"/>
    <w:rsid w:val="00BF57C2"/>
    <w:rsid w:val="00BF5969"/>
    <w:rsid w:val="00BF59EB"/>
    <w:rsid w:val="00BF5BC6"/>
    <w:rsid w:val="00BF5C00"/>
    <w:rsid w:val="00BF61F4"/>
    <w:rsid w:val="00BF6212"/>
    <w:rsid w:val="00BF6536"/>
    <w:rsid w:val="00BF6611"/>
    <w:rsid w:val="00BF66D1"/>
    <w:rsid w:val="00BF67E4"/>
    <w:rsid w:val="00BF6860"/>
    <w:rsid w:val="00BF68C8"/>
    <w:rsid w:val="00BF696A"/>
    <w:rsid w:val="00BF698D"/>
    <w:rsid w:val="00BF69D1"/>
    <w:rsid w:val="00BF6E54"/>
    <w:rsid w:val="00BF7115"/>
    <w:rsid w:val="00BF72A5"/>
    <w:rsid w:val="00BF7382"/>
    <w:rsid w:val="00BF752A"/>
    <w:rsid w:val="00BF7A2D"/>
    <w:rsid w:val="00BF7F23"/>
    <w:rsid w:val="00C0023A"/>
    <w:rsid w:val="00C008AB"/>
    <w:rsid w:val="00C008FB"/>
    <w:rsid w:val="00C00A5E"/>
    <w:rsid w:val="00C00B89"/>
    <w:rsid w:val="00C00C0E"/>
    <w:rsid w:val="00C00C98"/>
    <w:rsid w:val="00C00F37"/>
    <w:rsid w:val="00C00F85"/>
    <w:rsid w:val="00C0114B"/>
    <w:rsid w:val="00C01202"/>
    <w:rsid w:val="00C01449"/>
    <w:rsid w:val="00C016A3"/>
    <w:rsid w:val="00C01E68"/>
    <w:rsid w:val="00C01F6D"/>
    <w:rsid w:val="00C02336"/>
    <w:rsid w:val="00C023FC"/>
    <w:rsid w:val="00C024A2"/>
    <w:rsid w:val="00C029E3"/>
    <w:rsid w:val="00C02A13"/>
    <w:rsid w:val="00C02DCA"/>
    <w:rsid w:val="00C02E60"/>
    <w:rsid w:val="00C02E90"/>
    <w:rsid w:val="00C02FBC"/>
    <w:rsid w:val="00C030A5"/>
    <w:rsid w:val="00C03163"/>
    <w:rsid w:val="00C03208"/>
    <w:rsid w:val="00C0320C"/>
    <w:rsid w:val="00C035C8"/>
    <w:rsid w:val="00C0366B"/>
    <w:rsid w:val="00C03755"/>
    <w:rsid w:val="00C03AFD"/>
    <w:rsid w:val="00C03CB5"/>
    <w:rsid w:val="00C03CD3"/>
    <w:rsid w:val="00C03EA6"/>
    <w:rsid w:val="00C03F14"/>
    <w:rsid w:val="00C04072"/>
    <w:rsid w:val="00C0413D"/>
    <w:rsid w:val="00C0435B"/>
    <w:rsid w:val="00C043A2"/>
    <w:rsid w:val="00C043CB"/>
    <w:rsid w:val="00C04717"/>
    <w:rsid w:val="00C04D8F"/>
    <w:rsid w:val="00C04FF6"/>
    <w:rsid w:val="00C058CF"/>
    <w:rsid w:val="00C05971"/>
    <w:rsid w:val="00C0599C"/>
    <w:rsid w:val="00C05B47"/>
    <w:rsid w:val="00C05CD4"/>
    <w:rsid w:val="00C05CFF"/>
    <w:rsid w:val="00C061EB"/>
    <w:rsid w:val="00C0651C"/>
    <w:rsid w:val="00C06545"/>
    <w:rsid w:val="00C065FA"/>
    <w:rsid w:val="00C0671A"/>
    <w:rsid w:val="00C0693B"/>
    <w:rsid w:val="00C06981"/>
    <w:rsid w:val="00C06AC4"/>
    <w:rsid w:val="00C06B7A"/>
    <w:rsid w:val="00C06B83"/>
    <w:rsid w:val="00C06EF1"/>
    <w:rsid w:val="00C070AF"/>
    <w:rsid w:val="00C0741C"/>
    <w:rsid w:val="00C0751C"/>
    <w:rsid w:val="00C07709"/>
    <w:rsid w:val="00C07B3F"/>
    <w:rsid w:val="00C07B57"/>
    <w:rsid w:val="00C07C58"/>
    <w:rsid w:val="00C07CE5"/>
    <w:rsid w:val="00C07E99"/>
    <w:rsid w:val="00C10054"/>
    <w:rsid w:val="00C1014B"/>
    <w:rsid w:val="00C10862"/>
    <w:rsid w:val="00C1098A"/>
    <w:rsid w:val="00C109B6"/>
    <w:rsid w:val="00C10D25"/>
    <w:rsid w:val="00C10E43"/>
    <w:rsid w:val="00C10F28"/>
    <w:rsid w:val="00C10F2C"/>
    <w:rsid w:val="00C10F33"/>
    <w:rsid w:val="00C11213"/>
    <w:rsid w:val="00C11296"/>
    <w:rsid w:val="00C112B7"/>
    <w:rsid w:val="00C112CA"/>
    <w:rsid w:val="00C1132B"/>
    <w:rsid w:val="00C11475"/>
    <w:rsid w:val="00C114B5"/>
    <w:rsid w:val="00C11713"/>
    <w:rsid w:val="00C11924"/>
    <w:rsid w:val="00C11A23"/>
    <w:rsid w:val="00C11C57"/>
    <w:rsid w:val="00C11D06"/>
    <w:rsid w:val="00C11D18"/>
    <w:rsid w:val="00C122DF"/>
    <w:rsid w:val="00C12321"/>
    <w:rsid w:val="00C123FC"/>
    <w:rsid w:val="00C12486"/>
    <w:rsid w:val="00C125E6"/>
    <w:rsid w:val="00C1280F"/>
    <w:rsid w:val="00C12927"/>
    <w:rsid w:val="00C12B13"/>
    <w:rsid w:val="00C12EBE"/>
    <w:rsid w:val="00C131C8"/>
    <w:rsid w:val="00C134FA"/>
    <w:rsid w:val="00C13605"/>
    <w:rsid w:val="00C13694"/>
    <w:rsid w:val="00C13844"/>
    <w:rsid w:val="00C13886"/>
    <w:rsid w:val="00C13A6B"/>
    <w:rsid w:val="00C13D65"/>
    <w:rsid w:val="00C13DC6"/>
    <w:rsid w:val="00C14016"/>
    <w:rsid w:val="00C141A4"/>
    <w:rsid w:val="00C14243"/>
    <w:rsid w:val="00C14329"/>
    <w:rsid w:val="00C144D6"/>
    <w:rsid w:val="00C1477C"/>
    <w:rsid w:val="00C14821"/>
    <w:rsid w:val="00C14899"/>
    <w:rsid w:val="00C148B9"/>
    <w:rsid w:val="00C149CA"/>
    <w:rsid w:val="00C14CE2"/>
    <w:rsid w:val="00C14D31"/>
    <w:rsid w:val="00C14E7A"/>
    <w:rsid w:val="00C15189"/>
    <w:rsid w:val="00C15236"/>
    <w:rsid w:val="00C153AD"/>
    <w:rsid w:val="00C154C4"/>
    <w:rsid w:val="00C157E3"/>
    <w:rsid w:val="00C157F2"/>
    <w:rsid w:val="00C158FD"/>
    <w:rsid w:val="00C15D5B"/>
    <w:rsid w:val="00C1619D"/>
    <w:rsid w:val="00C1623F"/>
    <w:rsid w:val="00C16BA6"/>
    <w:rsid w:val="00C16D4D"/>
    <w:rsid w:val="00C16D91"/>
    <w:rsid w:val="00C17345"/>
    <w:rsid w:val="00C174C9"/>
    <w:rsid w:val="00C17594"/>
    <w:rsid w:val="00C1764B"/>
    <w:rsid w:val="00C178D3"/>
    <w:rsid w:val="00C17A99"/>
    <w:rsid w:val="00C17B40"/>
    <w:rsid w:val="00C17B60"/>
    <w:rsid w:val="00C17D89"/>
    <w:rsid w:val="00C17E78"/>
    <w:rsid w:val="00C2002C"/>
    <w:rsid w:val="00C20053"/>
    <w:rsid w:val="00C205DF"/>
    <w:rsid w:val="00C207F3"/>
    <w:rsid w:val="00C208D4"/>
    <w:rsid w:val="00C209F4"/>
    <w:rsid w:val="00C20AA3"/>
    <w:rsid w:val="00C20B1D"/>
    <w:rsid w:val="00C20B61"/>
    <w:rsid w:val="00C20C39"/>
    <w:rsid w:val="00C20DC7"/>
    <w:rsid w:val="00C21095"/>
    <w:rsid w:val="00C21557"/>
    <w:rsid w:val="00C21808"/>
    <w:rsid w:val="00C218EE"/>
    <w:rsid w:val="00C21A8E"/>
    <w:rsid w:val="00C21C97"/>
    <w:rsid w:val="00C21CAB"/>
    <w:rsid w:val="00C21CBA"/>
    <w:rsid w:val="00C21EA1"/>
    <w:rsid w:val="00C221A0"/>
    <w:rsid w:val="00C2220B"/>
    <w:rsid w:val="00C222D5"/>
    <w:rsid w:val="00C224C1"/>
    <w:rsid w:val="00C2276E"/>
    <w:rsid w:val="00C2278E"/>
    <w:rsid w:val="00C22810"/>
    <w:rsid w:val="00C2298B"/>
    <w:rsid w:val="00C22A17"/>
    <w:rsid w:val="00C22ACA"/>
    <w:rsid w:val="00C22F97"/>
    <w:rsid w:val="00C2328E"/>
    <w:rsid w:val="00C23320"/>
    <w:rsid w:val="00C2336C"/>
    <w:rsid w:val="00C23383"/>
    <w:rsid w:val="00C2355B"/>
    <w:rsid w:val="00C238D1"/>
    <w:rsid w:val="00C239C3"/>
    <w:rsid w:val="00C23A06"/>
    <w:rsid w:val="00C23B9A"/>
    <w:rsid w:val="00C23C2E"/>
    <w:rsid w:val="00C23E43"/>
    <w:rsid w:val="00C23FCB"/>
    <w:rsid w:val="00C24020"/>
    <w:rsid w:val="00C24234"/>
    <w:rsid w:val="00C243E0"/>
    <w:rsid w:val="00C24532"/>
    <w:rsid w:val="00C2487D"/>
    <w:rsid w:val="00C249DA"/>
    <w:rsid w:val="00C24A1F"/>
    <w:rsid w:val="00C24B2F"/>
    <w:rsid w:val="00C24B3A"/>
    <w:rsid w:val="00C24CEA"/>
    <w:rsid w:val="00C24D54"/>
    <w:rsid w:val="00C24D63"/>
    <w:rsid w:val="00C2510D"/>
    <w:rsid w:val="00C25242"/>
    <w:rsid w:val="00C25281"/>
    <w:rsid w:val="00C25305"/>
    <w:rsid w:val="00C256FB"/>
    <w:rsid w:val="00C25A60"/>
    <w:rsid w:val="00C25A8B"/>
    <w:rsid w:val="00C25AA0"/>
    <w:rsid w:val="00C25B4D"/>
    <w:rsid w:val="00C25C46"/>
    <w:rsid w:val="00C260D3"/>
    <w:rsid w:val="00C260EC"/>
    <w:rsid w:val="00C2644F"/>
    <w:rsid w:val="00C26459"/>
    <w:rsid w:val="00C264A4"/>
    <w:rsid w:val="00C265EB"/>
    <w:rsid w:val="00C26932"/>
    <w:rsid w:val="00C26D52"/>
    <w:rsid w:val="00C270F4"/>
    <w:rsid w:val="00C27140"/>
    <w:rsid w:val="00C27307"/>
    <w:rsid w:val="00C27394"/>
    <w:rsid w:val="00C274A1"/>
    <w:rsid w:val="00C274B3"/>
    <w:rsid w:val="00C27822"/>
    <w:rsid w:val="00C27BC8"/>
    <w:rsid w:val="00C27E0F"/>
    <w:rsid w:val="00C30102"/>
    <w:rsid w:val="00C30273"/>
    <w:rsid w:val="00C30321"/>
    <w:rsid w:val="00C30641"/>
    <w:rsid w:val="00C3064A"/>
    <w:rsid w:val="00C30717"/>
    <w:rsid w:val="00C30793"/>
    <w:rsid w:val="00C30813"/>
    <w:rsid w:val="00C30AAC"/>
    <w:rsid w:val="00C30B71"/>
    <w:rsid w:val="00C30C84"/>
    <w:rsid w:val="00C30CF1"/>
    <w:rsid w:val="00C30F15"/>
    <w:rsid w:val="00C30FEC"/>
    <w:rsid w:val="00C3106D"/>
    <w:rsid w:val="00C31109"/>
    <w:rsid w:val="00C3169F"/>
    <w:rsid w:val="00C31847"/>
    <w:rsid w:val="00C318CD"/>
    <w:rsid w:val="00C318EB"/>
    <w:rsid w:val="00C31A42"/>
    <w:rsid w:val="00C31BB2"/>
    <w:rsid w:val="00C31C4D"/>
    <w:rsid w:val="00C31D27"/>
    <w:rsid w:val="00C31E23"/>
    <w:rsid w:val="00C320A9"/>
    <w:rsid w:val="00C320AC"/>
    <w:rsid w:val="00C3228B"/>
    <w:rsid w:val="00C322A3"/>
    <w:rsid w:val="00C32439"/>
    <w:rsid w:val="00C32570"/>
    <w:rsid w:val="00C326F9"/>
    <w:rsid w:val="00C32763"/>
    <w:rsid w:val="00C3289F"/>
    <w:rsid w:val="00C32EA4"/>
    <w:rsid w:val="00C3315F"/>
    <w:rsid w:val="00C33207"/>
    <w:rsid w:val="00C333A6"/>
    <w:rsid w:val="00C33773"/>
    <w:rsid w:val="00C33A0A"/>
    <w:rsid w:val="00C33C6B"/>
    <w:rsid w:val="00C33E4C"/>
    <w:rsid w:val="00C33F97"/>
    <w:rsid w:val="00C33FA6"/>
    <w:rsid w:val="00C34211"/>
    <w:rsid w:val="00C3452E"/>
    <w:rsid w:val="00C347CC"/>
    <w:rsid w:val="00C348B0"/>
    <w:rsid w:val="00C349B3"/>
    <w:rsid w:val="00C349D5"/>
    <w:rsid w:val="00C34A25"/>
    <w:rsid w:val="00C34BDD"/>
    <w:rsid w:val="00C34C98"/>
    <w:rsid w:val="00C34CD5"/>
    <w:rsid w:val="00C34E2B"/>
    <w:rsid w:val="00C351B0"/>
    <w:rsid w:val="00C351C8"/>
    <w:rsid w:val="00C351F2"/>
    <w:rsid w:val="00C356B1"/>
    <w:rsid w:val="00C35893"/>
    <w:rsid w:val="00C3595C"/>
    <w:rsid w:val="00C35AB8"/>
    <w:rsid w:val="00C35B55"/>
    <w:rsid w:val="00C35C7E"/>
    <w:rsid w:val="00C35CB4"/>
    <w:rsid w:val="00C35F3D"/>
    <w:rsid w:val="00C36186"/>
    <w:rsid w:val="00C362F9"/>
    <w:rsid w:val="00C362FE"/>
    <w:rsid w:val="00C36364"/>
    <w:rsid w:val="00C3648E"/>
    <w:rsid w:val="00C36502"/>
    <w:rsid w:val="00C36647"/>
    <w:rsid w:val="00C367BE"/>
    <w:rsid w:val="00C367CB"/>
    <w:rsid w:val="00C36FFC"/>
    <w:rsid w:val="00C371BE"/>
    <w:rsid w:val="00C372EB"/>
    <w:rsid w:val="00C377C5"/>
    <w:rsid w:val="00C37974"/>
    <w:rsid w:val="00C37A02"/>
    <w:rsid w:val="00C37A29"/>
    <w:rsid w:val="00C37A7C"/>
    <w:rsid w:val="00C37E16"/>
    <w:rsid w:val="00C4004B"/>
    <w:rsid w:val="00C40224"/>
    <w:rsid w:val="00C4035D"/>
    <w:rsid w:val="00C40520"/>
    <w:rsid w:val="00C40731"/>
    <w:rsid w:val="00C40A2E"/>
    <w:rsid w:val="00C40C61"/>
    <w:rsid w:val="00C40D6C"/>
    <w:rsid w:val="00C4120C"/>
    <w:rsid w:val="00C41316"/>
    <w:rsid w:val="00C41372"/>
    <w:rsid w:val="00C416E4"/>
    <w:rsid w:val="00C41AA6"/>
    <w:rsid w:val="00C41B10"/>
    <w:rsid w:val="00C41C9E"/>
    <w:rsid w:val="00C41DF3"/>
    <w:rsid w:val="00C41E06"/>
    <w:rsid w:val="00C41ECF"/>
    <w:rsid w:val="00C41F59"/>
    <w:rsid w:val="00C428AB"/>
    <w:rsid w:val="00C429B1"/>
    <w:rsid w:val="00C42A61"/>
    <w:rsid w:val="00C42AA5"/>
    <w:rsid w:val="00C42B16"/>
    <w:rsid w:val="00C42B6C"/>
    <w:rsid w:val="00C42C5F"/>
    <w:rsid w:val="00C42D9D"/>
    <w:rsid w:val="00C42E12"/>
    <w:rsid w:val="00C43228"/>
    <w:rsid w:val="00C43298"/>
    <w:rsid w:val="00C43449"/>
    <w:rsid w:val="00C43690"/>
    <w:rsid w:val="00C43836"/>
    <w:rsid w:val="00C43977"/>
    <w:rsid w:val="00C43C62"/>
    <w:rsid w:val="00C43DB0"/>
    <w:rsid w:val="00C440C3"/>
    <w:rsid w:val="00C440D6"/>
    <w:rsid w:val="00C44196"/>
    <w:rsid w:val="00C446C1"/>
    <w:rsid w:val="00C44878"/>
    <w:rsid w:val="00C4498A"/>
    <w:rsid w:val="00C44AED"/>
    <w:rsid w:val="00C44C08"/>
    <w:rsid w:val="00C44DA8"/>
    <w:rsid w:val="00C44E0B"/>
    <w:rsid w:val="00C450BB"/>
    <w:rsid w:val="00C4517B"/>
    <w:rsid w:val="00C4536C"/>
    <w:rsid w:val="00C4593E"/>
    <w:rsid w:val="00C45997"/>
    <w:rsid w:val="00C45AC9"/>
    <w:rsid w:val="00C45B8B"/>
    <w:rsid w:val="00C45BF4"/>
    <w:rsid w:val="00C45C96"/>
    <w:rsid w:val="00C4605C"/>
    <w:rsid w:val="00C46069"/>
    <w:rsid w:val="00C46223"/>
    <w:rsid w:val="00C46251"/>
    <w:rsid w:val="00C466A5"/>
    <w:rsid w:val="00C46ADD"/>
    <w:rsid w:val="00C46BD3"/>
    <w:rsid w:val="00C46BD5"/>
    <w:rsid w:val="00C47555"/>
    <w:rsid w:val="00C47716"/>
    <w:rsid w:val="00C47820"/>
    <w:rsid w:val="00C47FF9"/>
    <w:rsid w:val="00C504CF"/>
    <w:rsid w:val="00C5082A"/>
    <w:rsid w:val="00C508BF"/>
    <w:rsid w:val="00C50F92"/>
    <w:rsid w:val="00C5113A"/>
    <w:rsid w:val="00C51247"/>
    <w:rsid w:val="00C51272"/>
    <w:rsid w:val="00C51305"/>
    <w:rsid w:val="00C516CD"/>
    <w:rsid w:val="00C5184C"/>
    <w:rsid w:val="00C51856"/>
    <w:rsid w:val="00C51863"/>
    <w:rsid w:val="00C518C4"/>
    <w:rsid w:val="00C51965"/>
    <w:rsid w:val="00C51F16"/>
    <w:rsid w:val="00C52009"/>
    <w:rsid w:val="00C52326"/>
    <w:rsid w:val="00C525BE"/>
    <w:rsid w:val="00C5263B"/>
    <w:rsid w:val="00C52705"/>
    <w:rsid w:val="00C52760"/>
    <w:rsid w:val="00C527A3"/>
    <w:rsid w:val="00C52BA6"/>
    <w:rsid w:val="00C52FD3"/>
    <w:rsid w:val="00C5308C"/>
    <w:rsid w:val="00C53442"/>
    <w:rsid w:val="00C53605"/>
    <w:rsid w:val="00C5375B"/>
    <w:rsid w:val="00C537E5"/>
    <w:rsid w:val="00C5383C"/>
    <w:rsid w:val="00C5388B"/>
    <w:rsid w:val="00C53A10"/>
    <w:rsid w:val="00C53A23"/>
    <w:rsid w:val="00C53A4B"/>
    <w:rsid w:val="00C53AE4"/>
    <w:rsid w:val="00C53D87"/>
    <w:rsid w:val="00C53E4C"/>
    <w:rsid w:val="00C543F9"/>
    <w:rsid w:val="00C545B4"/>
    <w:rsid w:val="00C5476F"/>
    <w:rsid w:val="00C54892"/>
    <w:rsid w:val="00C549C0"/>
    <w:rsid w:val="00C54A10"/>
    <w:rsid w:val="00C54BC1"/>
    <w:rsid w:val="00C54C09"/>
    <w:rsid w:val="00C54DF4"/>
    <w:rsid w:val="00C54F26"/>
    <w:rsid w:val="00C5532B"/>
    <w:rsid w:val="00C5532F"/>
    <w:rsid w:val="00C5581F"/>
    <w:rsid w:val="00C559C4"/>
    <w:rsid w:val="00C55C02"/>
    <w:rsid w:val="00C55DA1"/>
    <w:rsid w:val="00C56263"/>
    <w:rsid w:val="00C562C3"/>
    <w:rsid w:val="00C564BA"/>
    <w:rsid w:val="00C564C2"/>
    <w:rsid w:val="00C56893"/>
    <w:rsid w:val="00C568AA"/>
    <w:rsid w:val="00C568B8"/>
    <w:rsid w:val="00C5691E"/>
    <w:rsid w:val="00C572AD"/>
    <w:rsid w:val="00C5736A"/>
    <w:rsid w:val="00C576D0"/>
    <w:rsid w:val="00C57867"/>
    <w:rsid w:val="00C57A28"/>
    <w:rsid w:val="00C57B21"/>
    <w:rsid w:val="00C57B7B"/>
    <w:rsid w:val="00C57B7D"/>
    <w:rsid w:val="00C57C37"/>
    <w:rsid w:val="00C60232"/>
    <w:rsid w:val="00C6033C"/>
    <w:rsid w:val="00C60813"/>
    <w:rsid w:val="00C60972"/>
    <w:rsid w:val="00C60AA9"/>
    <w:rsid w:val="00C60CBD"/>
    <w:rsid w:val="00C60EFF"/>
    <w:rsid w:val="00C61016"/>
    <w:rsid w:val="00C61027"/>
    <w:rsid w:val="00C61182"/>
    <w:rsid w:val="00C61240"/>
    <w:rsid w:val="00C615C9"/>
    <w:rsid w:val="00C617D1"/>
    <w:rsid w:val="00C618F9"/>
    <w:rsid w:val="00C6192E"/>
    <w:rsid w:val="00C61BA8"/>
    <w:rsid w:val="00C61E50"/>
    <w:rsid w:val="00C61F4E"/>
    <w:rsid w:val="00C62364"/>
    <w:rsid w:val="00C6248F"/>
    <w:rsid w:val="00C6299A"/>
    <w:rsid w:val="00C62BEC"/>
    <w:rsid w:val="00C62D2F"/>
    <w:rsid w:val="00C630A2"/>
    <w:rsid w:val="00C633E4"/>
    <w:rsid w:val="00C634D9"/>
    <w:rsid w:val="00C63742"/>
    <w:rsid w:val="00C63C30"/>
    <w:rsid w:val="00C63FE3"/>
    <w:rsid w:val="00C64046"/>
    <w:rsid w:val="00C641A6"/>
    <w:rsid w:val="00C64259"/>
    <w:rsid w:val="00C646A4"/>
    <w:rsid w:val="00C64789"/>
    <w:rsid w:val="00C64A49"/>
    <w:rsid w:val="00C64C02"/>
    <w:rsid w:val="00C64C49"/>
    <w:rsid w:val="00C64E1E"/>
    <w:rsid w:val="00C64FF0"/>
    <w:rsid w:val="00C654CE"/>
    <w:rsid w:val="00C656B5"/>
    <w:rsid w:val="00C65A1A"/>
    <w:rsid w:val="00C65EB5"/>
    <w:rsid w:val="00C66197"/>
    <w:rsid w:val="00C66362"/>
    <w:rsid w:val="00C667A8"/>
    <w:rsid w:val="00C6703D"/>
    <w:rsid w:val="00C671E2"/>
    <w:rsid w:val="00C6722E"/>
    <w:rsid w:val="00C67246"/>
    <w:rsid w:val="00C67251"/>
    <w:rsid w:val="00C67592"/>
    <w:rsid w:val="00C678B8"/>
    <w:rsid w:val="00C6797A"/>
    <w:rsid w:val="00C67EDC"/>
    <w:rsid w:val="00C67EE2"/>
    <w:rsid w:val="00C703BA"/>
    <w:rsid w:val="00C705D1"/>
    <w:rsid w:val="00C70719"/>
    <w:rsid w:val="00C70D80"/>
    <w:rsid w:val="00C70EFC"/>
    <w:rsid w:val="00C71234"/>
    <w:rsid w:val="00C71688"/>
    <w:rsid w:val="00C716CB"/>
    <w:rsid w:val="00C71BEA"/>
    <w:rsid w:val="00C71D82"/>
    <w:rsid w:val="00C71EA3"/>
    <w:rsid w:val="00C7207E"/>
    <w:rsid w:val="00C7208A"/>
    <w:rsid w:val="00C724BB"/>
    <w:rsid w:val="00C726BC"/>
    <w:rsid w:val="00C72A66"/>
    <w:rsid w:val="00C72BF3"/>
    <w:rsid w:val="00C72C0A"/>
    <w:rsid w:val="00C72C17"/>
    <w:rsid w:val="00C72C45"/>
    <w:rsid w:val="00C72CC0"/>
    <w:rsid w:val="00C72E3B"/>
    <w:rsid w:val="00C72EBB"/>
    <w:rsid w:val="00C72FDC"/>
    <w:rsid w:val="00C73130"/>
    <w:rsid w:val="00C73556"/>
    <w:rsid w:val="00C736B8"/>
    <w:rsid w:val="00C73731"/>
    <w:rsid w:val="00C73750"/>
    <w:rsid w:val="00C737BD"/>
    <w:rsid w:val="00C7399E"/>
    <w:rsid w:val="00C73B5F"/>
    <w:rsid w:val="00C73C51"/>
    <w:rsid w:val="00C73C9D"/>
    <w:rsid w:val="00C73CA6"/>
    <w:rsid w:val="00C7420E"/>
    <w:rsid w:val="00C742B6"/>
    <w:rsid w:val="00C742D5"/>
    <w:rsid w:val="00C74591"/>
    <w:rsid w:val="00C745C3"/>
    <w:rsid w:val="00C74796"/>
    <w:rsid w:val="00C7481D"/>
    <w:rsid w:val="00C74960"/>
    <w:rsid w:val="00C74A03"/>
    <w:rsid w:val="00C74AB3"/>
    <w:rsid w:val="00C74E28"/>
    <w:rsid w:val="00C74E6B"/>
    <w:rsid w:val="00C74EDB"/>
    <w:rsid w:val="00C750D8"/>
    <w:rsid w:val="00C752B7"/>
    <w:rsid w:val="00C753DF"/>
    <w:rsid w:val="00C753F4"/>
    <w:rsid w:val="00C75590"/>
    <w:rsid w:val="00C75AC6"/>
    <w:rsid w:val="00C75C56"/>
    <w:rsid w:val="00C75E2A"/>
    <w:rsid w:val="00C75E9C"/>
    <w:rsid w:val="00C75EC3"/>
    <w:rsid w:val="00C75F48"/>
    <w:rsid w:val="00C75F4A"/>
    <w:rsid w:val="00C75FB8"/>
    <w:rsid w:val="00C76064"/>
    <w:rsid w:val="00C761D3"/>
    <w:rsid w:val="00C76391"/>
    <w:rsid w:val="00C763D2"/>
    <w:rsid w:val="00C7675A"/>
    <w:rsid w:val="00C76917"/>
    <w:rsid w:val="00C769E6"/>
    <w:rsid w:val="00C76CAC"/>
    <w:rsid w:val="00C76ED5"/>
    <w:rsid w:val="00C76F40"/>
    <w:rsid w:val="00C7723D"/>
    <w:rsid w:val="00C772AE"/>
    <w:rsid w:val="00C774A2"/>
    <w:rsid w:val="00C7765E"/>
    <w:rsid w:val="00C77A88"/>
    <w:rsid w:val="00C77B21"/>
    <w:rsid w:val="00C77E47"/>
    <w:rsid w:val="00C77F21"/>
    <w:rsid w:val="00C8011C"/>
    <w:rsid w:val="00C8016E"/>
    <w:rsid w:val="00C80187"/>
    <w:rsid w:val="00C802CF"/>
    <w:rsid w:val="00C803C6"/>
    <w:rsid w:val="00C80549"/>
    <w:rsid w:val="00C805DE"/>
    <w:rsid w:val="00C80970"/>
    <w:rsid w:val="00C80B33"/>
    <w:rsid w:val="00C80BC1"/>
    <w:rsid w:val="00C80C3B"/>
    <w:rsid w:val="00C80DD9"/>
    <w:rsid w:val="00C80F1D"/>
    <w:rsid w:val="00C80FD6"/>
    <w:rsid w:val="00C81480"/>
    <w:rsid w:val="00C81548"/>
    <w:rsid w:val="00C818CE"/>
    <w:rsid w:val="00C81F14"/>
    <w:rsid w:val="00C8217E"/>
    <w:rsid w:val="00C821BD"/>
    <w:rsid w:val="00C821F5"/>
    <w:rsid w:val="00C824E8"/>
    <w:rsid w:val="00C82689"/>
    <w:rsid w:val="00C827A1"/>
    <w:rsid w:val="00C82ABB"/>
    <w:rsid w:val="00C82E0F"/>
    <w:rsid w:val="00C8313A"/>
    <w:rsid w:val="00C835F5"/>
    <w:rsid w:val="00C83AEF"/>
    <w:rsid w:val="00C83B99"/>
    <w:rsid w:val="00C83E68"/>
    <w:rsid w:val="00C83E69"/>
    <w:rsid w:val="00C843D4"/>
    <w:rsid w:val="00C84928"/>
    <w:rsid w:val="00C849AF"/>
    <w:rsid w:val="00C84B4F"/>
    <w:rsid w:val="00C85011"/>
    <w:rsid w:val="00C85285"/>
    <w:rsid w:val="00C855E6"/>
    <w:rsid w:val="00C85707"/>
    <w:rsid w:val="00C8574E"/>
    <w:rsid w:val="00C85CC7"/>
    <w:rsid w:val="00C85E05"/>
    <w:rsid w:val="00C85F62"/>
    <w:rsid w:val="00C85FDC"/>
    <w:rsid w:val="00C863F9"/>
    <w:rsid w:val="00C8667A"/>
    <w:rsid w:val="00C8668D"/>
    <w:rsid w:val="00C86902"/>
    <w:rsid w:val="00C869D6"/>
    <w:rsid w:val="00C86BF2"/>
    <w:rsid w:val="00C86C2E"/>
    <w:rsid w:val="00C8740A"/>
    <w:rsid w:val="00C8741E"/>
    <w:rsid w:val="00C87759"/>
    <w:rsid w:val="00C8796E"/>
    <w:rsid w:val="00C879A0"/>
    <w:rsid w:val="00C87AAD"/>
    <w:rsid w:val="00C87D3D"/>
    <w:rsid w:val="00C87EB3"/>
    <w:rsid w:val="00C9051A"/>
    <w:rsid w:val="00C9057C"/>
    <w:rsid w:val="00C90796"/>
    <w:rsid w:val="00C90A14"/>
    <w:rsid w:val="00C90A1B"/>
    <w:rsid w:val="00C90AEB"/>
    <w:rsid w:val="00C90CB1"/>
    <w:rsid w:val="00C90D4E"/>
    <w:rsid w:val="00C90E82"/>
    <w:rsid w:val="00C91109"/>
    <w:rsid w:val="00C911DA"/>
    <w:rsid w:val="00C912DD"/>
    <w:rsid w:val="00C91329"/>
    <w:rsid w:val="00C9139F"/>
    <w:rsid w:val="00C91540"/>
    <w:rsid w:val="00C9177C"/>
    <w:rsid w:val="00C91A02"/>
    <w:rsid w:val="00C91A56"/>
    <w:rsid w:val="00C91D5C"/>
    <w:rsid w:val="00C91D67"/>
    <w:rsid w:val="00C92124"/>
    <w:rsid w:val="00C922FE"/>
    <w:rsid w:val="00C9237C"/>
    <w:rsid w:val="00C926E1"/>
    <w:rsid w:val="00C9288C"/>
    <w:rsid w:val="00C92C5C"/>
    <w:rsid w:val="00C932F3"/>
    <w:rsid w:val="00C934E1"/>
    <w:rsid w:val="00C936D5"/>
    <w:rsid w:val="00C93AD2"/>
    <w:rsid w:val="00C93AE0"/>
    <w:rsid w:val="00C93B26"/>
    <w:rsid w:val="00C93BA2"/>
    <w:rsid w:val="00C93C51"/>
    <w:rsid w:val="00C93C5A"/>
    <w:rsid w:val="00C9404E"/>
    <w:rsid w:val="00C944FE"/>
    <w:rsid w:val="00C9452D"/>
    <w:rsid w:val="00C945A5"/>
    <w:rsid w:val="00C945F3"/>
    <w:rsid w:val="00C9462A"/>
    <w:rsid w:val="00C9469C"/>
    <w:rsid w:val="00C949EA"/>
    <w:rsid w:val="00C94C70"/>
    <w:rsid w:val="00C94E2E"/>
    <w:rsid w:val="00C94F2B"/>
    <w:rsid w:val="00C94F60"/>
    <w:rsid w:val="00C94F90"/>
    <w:rsid w:val="00C95277"/>
    <w:rsid w:val="00C952E7"/>
    <w:rsid w:val="00C95406"/>
    <w:rsid w:val="00C95545"/>
    <w:rsid w:val="00C955D3"/>
    <w:rsid w:val="00C95643"/>
    <w:rsid w:val="00C957C9"/>
    <w:rsid w:val="00C957E1"/>
    <w:rsid w:val="00C9589D"/>
    <w:rsid w:val="00C958C1"/>
    <w:rsid w:val="00C958CB"/>
    <w:rsid w:val="00C958D7"/>
    <w:rsid w:val="00C959EE"/>
    <w:rsid w:val="00C95B64"/>
    <w:rsid w:val="00C95BF0"/>
    <w:rsid w:val="00C95CFF"/>
    <w:rsid w:val="00C95F21"/>
    <w:rsid w:val="00C961A9"/>
    <w:rsid w:val="00C964BB"/>
    <w:rsid w:val="00C96787"/>
    <w:rsid w:val="00C968A2"/>
    <w:rsid w:val="00C96D6A"/>
    <w:rsid w:val="00C96DB8"/>
    <w:rsid w:val="00C97298"/>
    <w:rsid w:val="00C972FB"/>
    <w:rsid w:val="00C974AC"/>
    <w:rsid w:val="00C9757E"/>
    <w:rsid w:val="00C9770B"/>
    <w:rsid w:val="00C97C85"/>
    <w:rsid w:val="00CA0214"/>
    <w:rsid w:val="00CA06B0"/>
    <w:rsid w:val="00CA0721"/>
    <w:rsid w:val="00CA094E"/>
    <w:rsid w:val="00CA0A28"/>
    <w:rsid w:val="00CA0A96"/>
    <w:rsid w:val="00CA0B3F"/>
    <w:rsid w:val="00CA0BB6"/>
    <w:rsid w:val="00CA0BC8"/>
    <w:rsid w:val="00CA0C5A"/>
    <w:rsid w:val="00CA0F07"/>
    <w:rsid w:val="00CA1279"/>
    <w:rsid w:val="00CA1446"/>
    <w:rsid w:val="00CA1586"/>
    <w:rsid w:val="00CA19E2"/>
    <w:rsid w:val="00CA1BA8"/>
    <w:rsid w:val="00CA1D98"/>
    <w:rsid w:val="00CA1FEF"/>
    <w:rsid w:val="00CA2459"/>
    <w:rsid w:val="00CA2606"/>
    <w:rsid w:val="00CA281F"/>
    <w:rsid w:val="00CA28DA"/>
    <w:rsid w:val="00CA298C"/>
    <w:rsid w:val="00CA2BA5"/>
    <w:rsid w:val="00CA2C83"/>
    <w:rsid w:val="00CA2CCD"/>
    <w:rsid w:val="00CA2E3A"/>
    <w:rsid w:val="00CA2FE5"/>
    <w:rsid w:val="00CA320C"/>
    <w:rsid w:val="00CA326D"/>
    <w:rsid w:val="00CA32D9"/>
    <w:rsid w:val="00CA3425"/>
    <w:rsid w:val="00CA365B"/>
    <w:rsid w:val="00CA36A0"/>
    <w:rsid w:val="00CA387C"/>
    <w:rsid w:val="00CA40CD"/>
    <w:rsid w:val="00CA4804"/>
    <w:rsid w:val="00CA4841"/>
    <w:rsid w:val="00CA4A53"/>
    <w:rsid w:val="00CA4D14"/>
    <w:rsid w:val="00CA4E0B"/>
    <w:rsid w:val="00CA511E"/>
    <w:rsid w:val="00CA533A"/>
    <w:rsid w:val="00CA5489"/>
    <w:rsid w:val="00CA5496"/>
    <w:rsid w:val="00CA560D"/>
    <w:rsid w:val="00CA5744"/>
    <w:rsid w:val="00CA5767"/>
    <w:rsid w:val="00CA5A49"/>
    <w:rsid w:val="00CA5B24"/>
    <w:rsid w:val="00CA5DCA"/>
    <w:rsid w:val="00CA61FF"/>
    <w:rsid w:val="00CA63AC"/>
    <w:rsid w:val="00CA641F"/>
    <w:rsid w:val="00CA656D"/>
    <w:rsid w:val="00CA67D0"/>
    <w:rsid w:val="00CA6A6A"/>
    <w:rsid w:val="00CA6B72"/>
    <w:rsid w:val="00CA6BB9"/>
    <w:rsid w:val="00CA6DDF"/>
    <w:rsid w:val="00CA710B"/>
    <w:rsid w:val="00CA7410"/>
    <w:rsid w:val="00CA74BC"/>
    <w:rsid w:val="00CA74ED"/>
    <w:rsid w:val="00CA7869"/>
    <w:rsid w:val="00CA78BC"/>
    <w:rsid w:val="00CA7ACA"/>
    <w:rsid w:val="00CA7CDC"/>
    <w:rsid w:val="00CA7EA7"/>
    <w:rsid w:val="00CB0108"/>
    <w:rsid w:val="00CB01F9"/>
    <w:rsid w:val="00CB0458"/>
    <w:rsid w:val="00CB0620"/>
    <w:rsid w:val="00CB08AC"/>
    <w:rsid w:val="00CB0936"/>
    <w:rsid w:val="00CB115E"/>
    <w:rsid w:val="00CB11C7"/>
    <w:rsid w:val="00CB11D3"/>
    <w:rsid w:val="00CB12D7"/>
    <w:rsid w:val="00CB160F"/>
    <w:rsid w:val="00CB16AB"/>
    <w:rsid w:val="00CB191A"/>
    <w:rsid w:val="00CB1AC5"/>
    <w:rsid w:val="00CB1D55"/>
    <w:rsid w:val="00CB1D84"/>
    <w:rsid w:val="00CB1E10"/>
    <w:rsid w:val="00CB1F58"/>
    <w:rsid w:val="00CB1F7F"/>
    <w:rsid w:val="00CB20DC"/>
    <w:rsid w:val="00CB2289"/>
    <w:rsid w:val="00CB2398"/>
    <w:rsid w:val="00CB2438"/>
    <w:rsid w:val="00CB2469"/>
    <w:rsid w:val="00CB24D2"/>
    <w:rsid w:val="00CB2688"/>
    <w:rsid w:val="00CB27D3"/>
    <w:rsid w:val="00CB2933"/>
    <w:rsid w:val="00CB2C5B"/>
    <w:rsid w:val="00CB2EAC"/>
    <w:rsid w:val="00CB2F5D"/>
    <w:rsid w:val="00CB31A3"/>
    <w:rsid w:val="00CB33E7"/>
    <w:rsid w:val="00CB36CD"/>
    <w:rsid w:val="00CB3A92"/>
    <w:rsid w:val="00CB3B96"/>
    <w:rsid w:val="00CB3C78"/>
    <w:rsid w:val="00CB3C99"/>
    <w:rsid w:val="00CB3D60"/>
    <w:rsid w:val="00CB3DC4"/>
    <w:rsid w:val="00CB3E79"/>
    <w:rsid w:val="00CB4018"/>
    <w:rsid w:val="00CB420B"/>
    <w:rsid w:val="00CB499F"/>
    <w:rsid w:val="00CB4A37"/>
    <w:rsid w:val="00CB4AC0"/>
    <w:rsid w:val="00CB4D61"/>
    <w:rsid w:val="00CB4DE7"/>
    <w:rsid w:val="00CB515A"/>
    <w:rsid w:val="00CB520D"/>
    <w:rsid w:val="00CB543E"/>
    <w:rsid w:val="00CB5534"/>
    <w:rsid w:val="00CB584E"/>
    <w:rsid w:val="00CB58C7"/>
    <w:rsid w:val="00CB608D"/>
    <w:rsid w:val="00CB627C"/>
    <w:rsid w:val="00CB63B5"/>
    <w:rsid w:val="00CB6816"/>
    <w:rsid w:val="00CB6902"/>
    <w:rsid w:val="00CB69F9"/>
    <w:rsid w:val="00CB6B94"/>
    <w:rsid w:val="00CB6C16"/>
    <w:rsid w:val="00CB6E15"/>
    <w:rsid w:val="00CB6ECB"/>
    <w:rsid w:val="00CB6EE8"/>
    <w:rsid w:val="00CB6F89"/>
    <w:rsid w:val="00CB70CE"/>
    <w:rsid w:val="00CB70EB"/>
    <w:rsid w:val="00CB73F2"/>
    <w:rsid w:val="00CB7514"/>
    <w:rsid w:val="00CB788E"/>
    <w:rsid w:val="00CB78CF"/>
    <w:rsid w:val="00CB7A87"/>
    <w:rsid w:val="00CB7AC6"/>
    <w:rsid w:val="00CB7D2B"/>
    <w:rsid w:val="00CB7FFE"/>
    <w:rsid w:val="00CC019A"/>
    <w:rsid w:val="00CC0203"/>
    <w:rsid w:val="00CC0321"/>
    <w:rsid w:val="00CC0374"/>
    <w:rsid w:val="00CC04D1"/>
    <w:rsid w:val="00CC0770"/>
    <w:rsid w:val="00CC1067"/>
    <w:rsid w:val="00CC12D4"/>
    <w:rsid w:val="00CC12E9"/>
    <w:rsid w:val="00CC12EE"/>
    <w:rsid w:val="00CC14E4"/>
    <w:rsid w:val="00CC1638"/>
    <w:rsid w:val="00CC1A31"/>
    <w:rsid w:val="00CC1CB7"/>
    <w:rsid w:val="00CC1D12"/>
    <w:rsid w:val="00CC1FB0"/>
    <w:rsid w:val="00CC2228"/>
    <w:rsid w:val="00CC263B"/>
    <w:rsid w:val="00CC265D"/>
    <w:rsid w:val="00CC2765"/>
    <w:rsid w:val="00CC28AA"/>
    <w:rsid w:val="00CC292E"/>
    <w:rsid w:val="00CC2A20"/>
    <w:rsid w:val="00CC2DF8"/>
    <w:rsid w:val="00CC3284"/>
    <w:rsid w:val="00CC3637"/>
    <w:rsid w:val="00CC3696"/>
    <w:rsid w:val="00CC370C"/>
    <w:rsid w:val="00CC37A5"/>
    <w:rsid w:val="00CC3832"/>
    <w:rsid w:val="00CC39DE"/>
    <w:rsid w:val="00CC3A4E"/>
    <w:rsid w:val="00CC3C7C"/>
    <w:rsid w:val="00CC3D48"/>
    <w:rsid w:val="00CC3DE4"/>
    <w:rsid w:val="00CC403C"/>
    <w:rsid w:val="00CC44EB"/>
    <w:rsid w:val="00CC4541"/>
    <w:rsid w:val="00CC459B"/>
    <w:rsid w:val="00CC4800"/>
    <w:rsid w:val="00CC4857"/>
    <w:rsid w:val="00CC489F"/>
    <w:rsid w:val="00CC491F"/>
    <w:rsid w:val="00CC4A4A"/>
    <w:rsid w:val="00CC4A72"/>
    <w:rsid w:val="00CC4B93"/>
    <w:rsid w:val="00CC4C84"/>
    <w:rsid w:val="00CC4E9B"/>
    <w:rsid w:val="00CC4FAD"/>
    <w:rsid w:val="00CC517A"/>
    <w:rsid w:val="00CC519F"/>
    <w:rsid w:val="00CC51D8"/>
    <w:rsid w:val="00CC563E"/>
    <w:rsid w:val="00CC5995"/>
    <w:rsid w:val="00CC5A0F"/>
    <w:rsid w:val="00CC5BBE"/>
    <w:rsid w:val="00CC5E0A"/>
    <w:rsid w:val="00CC5F5B"/>
    <w:rsid w:val="00CC5F90"/>
    <w:rsid w:val="00CC604F"/>
    <w:rsid w:val="00CC60AC"/>
    <w:rsid w:val="00CC6111"/>
    <w:rsid w:val="00CC6507"/>
    <w:rsid w:val="00CC664C"/>
    <w:rsid w:val="00CC6A07"/>
    <w:rsid w:val="00CC6BC2"/>
    <w:rsid w:val="00CC6D43"/>
    <w:rsid w:val="00CC6EC6"/>
    <w:rsid w:val="00CC6FA9"/>
    <w:rsid w:val="00CC71CA"/>
    <w:rsid w:val="00CC7586"/>
    <w:rsid w:val="00CC762C"/>
    <w:rsid w:val="00CC76E5"/>
    <w:rsid w:val="00CC7A1C"/>
    <w:rsid w:val="00CC7A97"/>
    <w:rsid w:val="00CC7C8B"/>
    <w:rsid w:val="00CC7EB1"/>
    <w:rsid w:val="00CD00E0"/>
    <w:rsid w:val="00CD04E2"/>
    <w:rsid w:val="00CD077E"/>
    <w:rsid w:val="00CD07F0"/>
    <w:rsid w:val="00CD091C"/>
    <w:rsid w:val="00CD0BC3"/>
    <w:rsid w:val="00CD0D74"/>
    <w:rsid w:val="00CD0ECA"/>
    <w:rsid w:val="00CD0F2C"/>
    <w:rsid w:val="00CD1022"/>
    <w:rsid w:val="00CD1218"/>
    <w:rsid w:val="00CD1606"/>
    <w:rsid w:val="00CD164A"/>
    <w:rsid w:val="00CD1861"/>
    <w:rsid w:val="00CD189C"/>
    <w:rsid w:val="00CD18AD"/>
    <w:rsid w:val="00CD1A0C"/>
    <w:rsid w:val="00CD1A26"/>
    <w:rsid w:val="00CD1BE7"/>
    <w:rsid w:val="00CD1F3F"/>
    <w:rsid w:val="00CD21BC"/>
    <w:rsid w:val="00CD22E9"/>
    <w:rsid w:val="00CD2605"/>
    <w:rsid w:val="00CD2623"/>
    <w:rsid w:val="00CD27FC"/>
    <w:rsid w:val="00CD2A42"/>
    <w:rsid w:val="00CD2C2A"/>
    <w:rsid w:val="00CD313D"/>
    <w:rsid w:val="00CD31BB"/>
    <w:rsid w:val="00CD325B"/>
    <w:rsid w:val="00CD32D5"/>
    <w:rsid w:val="00CD3805"/>
    <w:rsid w:val="00CD38BA"/>
    <w:rsid w:val="00CD3C49"/>
    <w:rsid w:val="00CD3D06"/>
    <w:rsid w:val="00CD4257"/>
    <w:rsid w:val="00CD43FF"/>
    <w:rsid w:val="00CD451F"/>
    <w:rsid w:val="00CD4591"/>
    <w:rsid w:val="00CD4816"/>
    <w:rsid w:val="00CD48BB"/>
    <w:rsid w:val="00CD4995"/>
    <w:rsid w:val="00CD4DA2"/>
    <w:rsid w:val="00CD4E7D"/>
    <w:rsid w:val="00CD5227"/>
    <w:rsid w:val="00CD556D"/>
    <w:rsid w:val="00CD5790"/>
    <w:rsid w:val="00CD57B9"/>
    <w:rsid w:val="00CD5989"/>
    <w:rsid w:val="00CD6125"/>
    <w:rsid w:val="00CD61EB"/>
    <w:rsid w:val="00CD6273"/>
    <w:rsid w:val="00CD633F"/>
    <w:rsid w:val="00CD66C7"/>
    <w:rsid w:val="00CD6839"/>
    <w:rsid w:val="00CD6A43"/>
    <w:rsid w:val="00CD6D4E"/>
    <w:rsid w:val="00CD7146"/>
    <w:rsid w:val="00CD749D"/>
    <w:rsid w:val="00CD75CC"/>
    <w:rsid w:val="00CD75E6"/>
    <w:rsid w:val="00CD7915"/>
    <w:rsid w:val="00CD797B"/>
    <w:rsid w:val="00CD79D4"/>
    <w:rsid w:val="00CD7AFC"/>
    <w:rsid w:val="00CD7BB6"/>
    <w:rsid w:val="00CD7E83"/>
    <w:rsid w:val="00CD7F44"/>
    <w:rsid w:val="00CE0256"/>
    <w:rsid w:val="00CE086B"/>
    <w:rsid w:val="00CE08BE"/>
    <w:rsid w:val="00CE097C"/>
    <w:rsid w:val="00CE0A98"/>
    <w:rsid w:val="00CE0DEE"/>
    <w:rsid w:val="00CE11A8"/>
    <w:rsid w:val="00CE15FD"/>
    <w:rsid w:val="00CE1CC0"/>
    <w:rsid w:val="00CE1CCF"/>
    <w:rsid w:val="00CE1CD5"/>
    <w:rsid w:val="00CE1CDC"/>
    <w:rsid w:val="00CE211E"/>
    <w:rsid w:val="00CE2345"/>
    <w:rsid w:val="00CE23D7"/>
    <w:rsid w:val="00CE2409"/>
    <w:rsid w:val="00CE246B"/>
    <w:rsid w:val="00CE2777"/>
    <w:rsid w:val="00CE27B9"/>
    <w:rsid w:val="00CE281E"/>
    <w:rsid w:val="00CE2A53"/>
    <w:rsid w:val="00CE2FDB"/>
    <w:rsid w:val="00CE3094"/>
    <w:rsid w:val="00CE30EE"/>
    <w:rsid w:val="00CE3220"/>
    <w:rsid w:val="00CE32CF"/>
    <w:rsid w:val="00CE33B9"/>
    <w:rsid w:val="00CE34E2"/>
    <w:rsid w:val="00CE3540"/>
    <w:rsid w:val="00CE373A"/>
    <w:rsid w:val="00CE3979"/>
    <w:rsid w:val="00CE39EA"/>
    <w:rsid w:val="00CE3AF2"/>
    <w:rsid w:val="00CE3E6D"/>
    <w:rsid w:val="00CE43A8"/>
    <w:rsid w:val="00CE43AF"/>
    <w:rsid w:val="00CE4417"/>
    <w:rsid w:val="00CE4629"/>
    <w:rsid w:val="00CE4773"/>
    <w:rsid w:val="00CE4A7F"/>
    <w:rsid w:val="00CE4AAE"/>
    <w:rsid w:val="00CE4BF0"/>
    <w:rsid w:val="00CE4D3A"/>
    <w:rsid w:val="00CE4EE9"/>
    <w:rsid w:val="00CE4F71"/>
    <w:rsid w:val="00CE5068"/>
    <w:rsid w:val="00CE53B6"/>
    <w:rsid w:val="00CE5712"/>
    <w:rsid w:val="00CE58BE"/>
    <w:rsid w:val="00CE59B1"/>
    <w:rsid w:val="00CE5B66"/>
    <w:rsid w:val="00CE5BEA"/>
    <w:rsid w:val="00CE5C15"/>
    <w:rsid w:val="00CE603E"/>
    <w:rsid w:val="00CE64FD"/>
    <w:rsid w:val="00CE6591"/>
    <w:rsid w:val="00CE65F3"/>
    <w:rsid w:val="00CE698A"/>
    <w:rsid w:val="00CE6CAB"/>
    <w:rsid w:val="00CE6D3D"/>
    <w:rsid w:val="00CE6E09"/>
    <w:rsid w:val="00CE71E5"/>
    <w:rsid w:val="00CE7236"/>
    <w:rsid w:val="00CE727D"/>
    <w:rsid w:val="00CE741D"/>
    <w:rsid w:val="00CE749A"/>
    <w:rsid w:val="00CE7B8C"/>
    <w:rsid w:val="00CF02F0"/>
    <w:rsid w:val="00CF02F5"/>
    <w:rsid w:val="00CF032C"/>
    <w:rsid w:val="00CF03E6"/>
    <w:rsid w:val="00CF0583"/>
    <w:rsid w:val="00CF0637"/>
    <w:rsid w:val="00CF0783"/>
    <w:rsid w:val="00CF08A4"/>
    <w:rsid w:val="00CF0B5B"/>
    <w:rsid w:val="00CF0D3A"/>
    <w:rsid w:val="00CF0DD6"/>
    <w:rsid w:val="00CF0E2B"/>
    <w:rsid w:val="00CF0E42"/>
    <w:rsid w:val="00CF0F0A"/>
    <w:rsid w:val="00CF0F0C"/>
    <w:rsid w:val="00CF1004"/>
    <w:rsid w:val="00CF1097"/>
    <w:rsid w:val="00CF1135"/>
    <w:rsid w:val="00CF1372"/>
    <w:rsid w:val="00CF13FD"/>
    <w:rsid w:val="00CF147E"/>
    <w:rsid w:val="00CF15E3"/>
    <w:rsid w:val="00CF1600"/>
    <w:rsid w:val="00CF1645"/>
    <w:rsid w:val="00CF182C"/>
    <w:rsid w:val="00CF1939"/>
    <w:rsid w:val="00CF1CAF"/>
    <w:rsid w:val="00CF1DB0"/>
    <w:rsid w:val="00CF1EC4"/>
    <w:rsid w:val="00CF2193"/>
    <w:rsid w:val="00CF21AF"/>
    <w:rsid w:val="00CF21B5"/>
    <w:rsid w:val="00CF2208"/>
    <w:rsid w:val="00CF2263"/>
    <w:rsid w:val="00CF23CA"/>
    <w:rsid w:val="00CF25A7"/>
    <w:rsid w:val="00CF26FA"/>
    <w:rsid w:val="00CF2AEE"/>
    <w:rsid w:val="00CF2DE2"/>
    <w:rsid w:val="00CF2E9C"/>
    <w:rsid w:val="00CF2F1D"/>
    <w:rsid w:val="00CF2FAD"/>
    <w:rsid w:val="00CF3028"/>
    <w:rsid w:val="00CF3041"/>
    <w:rsid w:val="00CF30CC"/>
    <w:rsid w:val="00CF30F7"/>
    <w:rsid w:val="00CF3447"/>
    <w:rsid w:val="00CF36BA"/>
    <w:rsid w:val="00CF390C"/>
    <w:rsid w:val="00CF3A1E"/>
    <w:rsid w:val="00CF3B96"/>
    <w:rsid w:val="00CF4335"/>
    <w:rsid w:val="00CF44B3"/>
    <w:rsid w:val="00CF4522"/>
    <w:rsid w:val="00CF470D"/>
    <w:rsid w:val="00CF4BC6"/>
    <w:rsid w:val="00CF4C38"/>
    <w:rsid w:val="00CF510E"/>
    <w:rsid w:val="00CF52BC"/>
    <w:rsid w:val="00CF538B"/>
    <w:rsid w:val="00CF54A7"/>
    <w:rsid w:val="00CF5559"/>
    <w:rsid w:val="00CF565D"/>
    <w:rsid w:val="00CF5ACA"/>
    <w:rsid w:val="00CF5BA7"/>
    <w:rsid w:val="00CF5D5C"/>
    <w:rsid w:val="00CF625C"/>
    <w:rsid w:val="00CF6436"/>
    <w:rsid w:val="00CF6EF6"/>
    <w:rsid w:val="00CF70B3"/>
    <w:rsid w:val="00CF70DE"/>
    <w:rsid w:val="00CF71BB"/>
    <w:rsid w:val="00CF71DB"/>
    <w:rsid w:val="00CF7262"/>
    <w:rsid w:val="00CF727A"/>
    <w:rsid w:val="00CF734C"/>
    <w:rsid w:val="00CF7AB9"/>
    <w:rsid w:val="00CF7AC5"/>
    <w:rsid w:val="00CF7ADA"/>
    <w:rsid w:val="00CF7AFE"/>
    <w:rsid w:val="00CF7D7E"/>
    <w:rsid w:val="00CF7E08"/>
    <w:rsid w:val="00CF7F06"/>
    <w:rsid w:val="00D00058"/>
    <w:rsid w:val="00D0044A"/>
    <w:rsid w:val="00D0046B"/>
    <w:rsid w:val="00D00786"/>
    <w:rsid w:val="00D007A2"/>
    <w:rsid w:val="00D0096F"/>
    <w:rsid w:val="00D00D77"/>
    <w:rsid w:val="00D01032"/>
    <w:rsid w:val="00D01265"/>
    <w:rsid w:val="00D013F9"/>
    <w:rsid w:val="00D01615"/>
    <w:rsid w:val="00D01643"/>
    <w:rsid w:val="00D0189B"/>
    <w:rsid w:val="00D019CB"/>
    <w:rsid w:val="00D01DDB"/>
    <w:rsid w:val="00D01FF6"/>
    <w:rsid w:val="00D02116"/>
    <w:rsid w:val="00D0221C"/>
    <w:rsid w:val="00D02301"/>
    <w:rsid w:val="00D02433"/>
    <w:rsid w:val="00D02730"/>
    <w:rsid w:val="00D029B8"/>
    <w:rsid w:val="00D02A88"/>
    <w:rsid w:val="00D02F61"/>
    <w:rsid w:val="00D030B2"/>
    <w:rsid w:val="00D0314F"/>
    <w:rsid w:val="00D03161"/>
    <w:rsid w:val="00D031BD"/>
    <w:rsid w:val="00D0352E"/>
    <w:rsid w:val="00D035CC"/>
    <w:rsid w:val="00D0374D"/>
    <w:rsid w:val="00D03A51"/>
    <w:rsid w:val="00D03D7D"/>
    <w:rsid w:val="00D03DF3"/>
    <w:rsid w:val="00D04047"/>
    <w:rsid w:val="00D041C3"/>
    <w:rsid w:val="00D04541"/>
    <w:rsid w:val="00D04704"/>
    <w:rsid w:val="00D047EF"/>
    <w:rsid w:val="00D04AA0"/>
    <w:rsid w:val="00D04BFC"/>
    <w:rsid w:val="00D04C9B"/>
    <w:rsid w:val="00D04D7F"/>
    <w:rsid w:val="00D04E45"/>
    <w:rsid w:val="00D05408"/>
    <w:rsid w:val="00D05659"/>
    <w:rsid w:val="00D05799"/>
    <w:rsid w:val="00D0582E"/>
    <w:rsid w:val="00D0583C"/>
    <w:rsid w:val="00D0585B"/>
    <w:rsid w:val="00D05C1A"/>
    <w:rsid w:val="00D05CAA"/>
    <w:rsid w:val="00D05D9E"/>
    <w:rsid w:val="00D05F5B"/>
    <w:rsid w:val="00D0609E"/>
    <w:rsid w:val="00D061B3"/>
    <w:rsid w:val="00D063FA"/>
    <w:rsid w:val="00D065BE"/>
    <w:rsid w:val="00D06690"/>
    <w:rsid w:val="00D066B4"/>
    <w:rsid w:val="00D0673C"/>
    <w:rsid w:val="00D06998"/>
    <w:rsid w:val="00D06ADE"/>
    <w:rsid w:val="00D06E75"/>
    <w:rsid w:val="00D06EF9"/>
    <w:rsid w:val="00D070E7"/>
    <w:rsid w:val="00D07274"/>
    <w:rsid w:val="00D075AD"/>
    <w:rsid w:val="00D075F1"/>
    <w:rsid w:val="00D078CC"/>
    <w:rsid w:val="00D07935"/>
    <w:rsid w:val="00D079E4"/>
    <w:rsid w:val="00D07BE1"/>
    <w:rsid w:val="00D07CBB"/>
    <w:rsid w:val="00D07D05"/>
    <w:rsid w:val="00D07D8A"/>
    <w:rsid w:val="00D07DDA"/>
    <w:rsid w:val="00D07F2F"/>
    <w:rsid w:val="00D10065"/>
    <w:rsid w:val="00D10294"/>
    <w:rsid w:val="00D102D9"/>
    <w:rsid w:val="00D10302"/>
    <w:rsid w:val="00D104F4"/>
    <w:rsid w:val="00D10617"/>
    <w:rsid w:val="00D107E9"/>
    <w:rsid w:val="00D109B9"/>
    <w:rsid w:val="00D10CB0"/>
    <w:rsid w:val="00D10D43"/>
    <w:rsid w:val="00D10DE1"/>
    <w:rsid w:val="00D10DEE"/>
    <w:rsid w:val="00D10F14"/>
    <w:rsid w:val="00D10F63"/>
    <w:rsid w:val="00D10F71"/>
    <w:rsid w:val="00D10FB9"/>
    <w:rsid w:val="00D1162A"/>
    <w:rsid w:val="00D11657"/>
    <w:rsid w:val="00D1173C"/>
    <w:rsid w:val="00D11831"/>
    <w:rsid w:val="00D11D8C"/>
    <w:rsid w:val="00D11DE1"/>
    <w:rsid w:val="00D11EF3"/>
    <w:rsid w:val="00D12A2A"/>
    <w:rsid w:val="00D12B3F"/>
    <w:rsid w:val="00D12B59"/>
    <w:rsid w:val="00D12E8C"/>
    <w:rsid w:val="00D12F73"/>
    <w:rsid w:val="00D13177"/>
    <w:rsid w:val="00D134C3"/>
    <w:rsid w:val="00D1396A"/>
    <w:rsid w:val="00D13B1D"/>
    <w:rsid w:val="00D13CC6"/>
    <w:rsid w:val="00D13D2E"/>
    <w:rsid w:val="00D13F2C"/>
    <w:rsid w:val="00D13F52"/>
    <w:rsid w:val="00D14009"/>
    <w:rsid w:val="00D14050"/>
    <w:rsid w:val="00D14640"/>
    <w:rsid w:val="00D14AA9"/>
    <w:rsid w:val="00D14B9A"/>
    <w:rsid w:val="00D14C5E"/>
    <w:rsid w:val="00D14CDC"/>
    <w:rsid w:val="00D14D3E"/>
    <w:rsid w:val="00D14ECE"/>
    <w:rsid w:val="00D15113"/>
    <w:rsid w:val="00D153B0"/>
    <w:rsid w:val="00D156B9"/>
    <w:rsid w:val="00D156F7"/>
    <w:rsid w:val="00D1570D"/>
    <w:rsid w:val="00D157B9"/>
    <w:rsid w:val="00D159F3"/>
    <w:rsid w:val="00D15B7C"/>
    <w:rsid w:val="00D15B7D"/>
    <w:rsid w:val="00D15E77"/>
    <w:rsid w:val="00D16143"/>
    <w:rsid w:val="00D162E0"/>
    <w:rsid w:val="00D163C7"/>
    <w:rsid w:val="00D1644C"/>
    <w:rsid w:val="00D16510"/>
    <w:rsid w:val="00D166B2"/>
    <w:rsid w:val="00D166F9"/>
    <w:rsid w:val="00D16A81"/>
    <w:rsid w:val="00D16CA3"/>
    <w:rsid w:val="00D16F2C"/>
    <w:rsid w:val="00D16F74"/>
    <w:rsid w:val="00D16F96"/>
    <w:rsid w:val="00D17175"/>
    <w:rsid w:val="00D1719A"/>
    <w:rsid w:val="00D173C6"/>
    <w:rsid w:val="00D173CD"/>
    <w:rsid w:val="00D1741D"/>
    <w:rsid w:val="00D17458"/>
    <w:rsid w:val="00D17520"/>
    <w:rsid w:val="00D17747"/>
    <w:rsid w:val="00D17811"/>
    <w:rsid w:val="00D178C2"/>
    <w:rsid w:val="00D17B2B"/>
    <w:rsid w:val="00D17B61"/>
    <w:rsid w:val="00D17B6D"/>
    <w:rsid w:val="00D17BAB"/>
    <w:rsid w:val="00D17DD0"/>
    <w:rsid w:val="00D17E0C"/>
    <w:rsid w:val="00D208A1"/>
    <w:rsid w:val="00D20A88"/>
    <w:rsid w:val="00D20AAE"/>
    <w:rsid w:val="00D20AE0"/>
    <w:rsid w:val="00D20F1A"/>
    <w:rsid w:val="00D2109C"/>
    <w:rsid w:val="00D21244"/>
    <w:rsid w:val="00D21245"/>
    <w:rsid w:val="00D212B0"/>
    <w:rsid w:val="00D21381"/>
    <w:rsid w:val="00D2145D"/>
    <w:rsid w:val="00D21676"/>
    <w:rsid w:val="00D21704"/>
    <w:rsid w:val="00D21A29"/>
    <w:rsid w:val="00D21D2D"/>
    <w:rsid w:val="00D22096"/>
    <w:rsid w:val="00D220D9"/>
    <w:rsid w:val="00D22130"/>
    <w:rsid w:val="00D223C5"/>
    <w:rsid w:val="00D2248F"/>
    <w:rsid w:val="00D224F6"/>
    <w:rsid w:val="00D22552"/>
    <w:rsid w:val="00D2260B"/>
    <w:rsid w:val="00D22921"/>
    <w:rsid w:val="00D22B2E"/>
    <w:rsid w:val="00D22D2A"/>
    <w:rsid w:val="00D22D8A"/>
    <w:rsid w:val="00D22F43"/>
    <w:rsid w:val="00D22F7F"/>
    <w:rsid w:val="00D231A8"/>
    <w:rsid w:val="00D2321E"/>
    <w:rsid w:val="00D233AA"/>
    <w:rsid w:val="00D23581"/>
    <w:rsid w:val="00D23708"/>
    <w:rsid w:val="00D23757"/>
    <w:rsid w:val="00D237E2"/>
    <w:rsid w:val="00D23A1A"/>
    <w:rsid w:val="00D23A48"/>
    <w:rsid w:val="00D23D7D"/>
    <w:rsid w:val="00D23D90"/>
    <w:rsid w:val="00D2412A"/>
    <w:rsid w:val="00D24282"/>
    <w:rsid w:val="00D24321"/>
    <w:rsid w:val="00D244D8"/>
    <w:rsid w:val="00D248DF"/>
    <w:rsid w:val="00D24A15"/>
    <w:rsid w:val="00D24AE8"/>
    <w:rsid w:val="00D25068"/>
    <w:rsid w:val="00D25475"/>
    <w:rsid w:val="00D255AC"/>
    <w:rsid w:val="00D25666"/>
    <w:rsid w:val="00D25723"/>
    <w:rsid w:val="00D257EB"/>
    <w:rsid w:val="00D25B13"/>
    <w:rsid w:val="00D25B4D"/>
    <w:rsid w:val="00D25D97"/>
    <w:rsid w:val="00D25DD9"/>
    <w:rsid w:val="00D25E06"/>
    <w:rsid w:val="00D25F3E"/>
    <w:rsid w:val="00D25FDE"/>
    <w:rsid w:val="00D2602E"/>
    <w:rsid w:val="00D26121"/>
    <w:rsid w:val="00D26230"/>
    <w:rsid w:val="00D262E2"/>
    <w:rsid w:val="00D2677E"/>
    <w:rsid w:val="00D26C38"/>
    <w:rsid w:val="00D26D8E"/>
    <w:rsid w:val="00D26F56"/>
    <w:rsid w:val="00D2734E"/>
    <w:rsid w:val="00D2737E"/>
    <w:rsid w:val="00D27740"/>
    <w:rsid w:val="00D27745"/>
    <w:rsid w:val="00D27764"/>
    <w:rsid w:val="00D2789A"/>
    <w:rsid w:val="00D279C7"/>
    <w:rsid w:val="00D27A71"/>
    <w:rsid w:val="00D27CA2"/>
    <w:rsid w:val="00D27D3E"/>
    <w:rsid w:val="00D27F36"/>
    <w:rsid w:val="00D27F76"/>
    <w:rsid w:val="00D30098"/>
    <w:rsid w:val="00D3042A"/>
    <w:rsid w:val="00D3051B"/>
    <w:rsid w:val="00D305D0"/>
    <w:rsid w:val="00D305EF"/>
    <w:rsid w:val="00D30710"/>
    <w:rsid w:val="00D30791"/>
    <w:rsid w:val="00D30A19"/>
    <w:rsid w:val="00D30AA3"/>
    <w:rsid w:val="00D30AAB"/>
    <w:rsid w:val="00D30AB0"/>
    <w:rsid w:val="00D30AF1"/>
    <w:rsid w:val="00D30B18"/>
    <w:rsid w:val="00D30CD1"/>
    <w:rsid w:val="00D31104"/>
    <w:rsid w:val="00D31520"/>
    <w:rsid w:val="00D31586"/>
    <w:rsid w:val="00D31655"/>
    <w:rsid w:val="00D316B0"/>
    <w:rsid w:val="00D31954"/>
    <w:rsid w:val="00D31D0F"/>
    <w:rsid w:val="00D31E3E"/>
    <w:rsid w:val="00D321D1"/>
    <w:rsid w:val="00D32B5C"/>
    <w:rsid w:val="00D32BB3"/>
    <w:rsid w:val="00D33024"/>
    <w:rsid w:val="00D330CA"/>
    <w:rsid w:val="00D330EA"/>
    <w:rsid w:val="00D3316D"/>
    <w:rsid w:val="00D3319A"/>
    <w:rsid w:val="00D33257"/>
    <w:rsid w:val="00D33292"/>
    <w:rsid w:val="00D3341C"/>
    <w:rsid w:val="00D3354F"/>
    <w:rsid w:val="00D339A5"/>
    <w:rsid w:val="00D33BF4"/>
    <w:rsid w:val="00D33CE4"/>
    <w:rsid w:val="00D33F9B"/>
    <w:rsid w:val="00D34916"/>
    <w:rsid w:val="00D34B77"/>
    <w:rsid w:val="00D34EE3"/>
    <w:rsid w:val="00D35087"/>
    <w:rsid w:val="00D35168"/>
    <w:rsid w:val="00D3562E"/>
    <w:rsid w:val="00D3577F"/>
    <w:rsid w:val="00D35820"/>
    <w:rsid w:val="00D35FE6"/>
    <w:rsid w:val="00D366C6"/>
    <w:rsid w:val="00D36938"/>
    <w:rsid w:val="00D36D04"/>
    <w:rsid w:val="00D36DD4"/>
    <w:rsid w:val="00D36F11"/>
    <w:rsid w:val="00D3720E"/>
    <w:rsid w:val="00D37228"/>
    <w:rsid w:val="00D376BD"/>
    <w:rsid w:val="00D37882"/>
    <w:rsid w:val="00D37991"/>
    <w:rsid w:val="00D37C32"/>
    <w:rsid w:val="00D37EBB"/>
    <w:rsid w:val="00D4003F"/>
    <w:rsid w:val="00D4007D"/>
    <w:rsid w:val="00D400BE"/>
    <w:rsid w:val="00D4033A"/>
    <w:rsid w:val="00D4056A"/>
    <w:rsid w:val="00D40591"/>
    <w:rsid w:val="00D4066D"/>
    <w:rsid w:val="00D409DE"/>
    <w:rsid w:val="00D409FA"/>
    <w:rsid w:val="00D40BDF"/>
    <w:rsid w:val="00D40FA9"/>
    <w:rsid w:val="00D40FEB"/>
    <w:rsid w:val="00D40FF5"/>
    <w:rsid w:val="00D4123F"/>
    <w:rsid w:val="00D412A7"/>
    <w:rsid w:val="00D412B1"/>
    <w:rsid w:val="00D4133E"/>
    <w:rsid w:val="00D41394"/>
    <w:rsid w:val="00D4156C"/>
    <w:rsid w:val="00D415C0"/>
    <w:rsid w:val="00D41794"/>
    <w:rsid w:val="00D41BC8"/>
    <w:rsid w:val="00D41EAE"/>
    <w:rsid w:val="00D42022"/>
    <w:rsid w:val="00D42150"/>
    <w:rsid w:val="00D42583"/>
    <w:rsid w:val="00D425C1"/>
    <w:rsid w:val="00D42727"/>
    <w:rsid w:val="00D427A0"/>
    <w:rsid w:val="00D42B34"/>
    <w:rsid w:val="00D42CB7"/>
    <w:rsid w:val="00D42DA8"/>
    <w:rsid w:val="00D42E07"/>
    <w:rsid w:val="00D42E15"/>
    <w:rsid w:val="00D42E1D"/>
    <w:rsid w:val="00D42F51"/>
    <w:rsid w:val="00D4303A"/>
    <w:rsid w:val="00D43175"/>
    <w:rsid w:val="00D431AB"/>
    <w:rsid w:val="00D431FB"/>
    <w:rsid w:val="00D43231"/>
    <w:rsid w:val="00D435E5"/>
    <w:rsid w:val="00D43628"/>
    <w:rsid w:val="00D438A7"/>
    <w:rsid w:val="00D43CBB"/>
    <w:rsid w:val="00D43E9B"/>
    <w:rsid w:val="00D43EF2"/>
    <w:rsid w:val="00D43F5B"/>
    <w:rsid w:val="00D44216"/>
    <w:rsid w:val="00D442E1"/>
    <w:rsid w:val="00D443D4"/>
    <w:rsid w:val="00D4463A"/>
    <w:rsid w:val="00D446CF"/>
    <w:rsid w:val="00D44A6A"/>
    <w:rsid w:val="00D45731"/>
    <w:rsid w:val="00D45867"/>
    <w:rsid w:val="00D45D81"/>
    <w:rsid w:val="00D45EBC"/>
    <w:rsid w:val="00D4600E"/>
    <w:rsid w:val="00D4614A"/>
    <w:rsid w:val="00D46205"/>
    <w:rsid w:val="00D46316"/>
    <w:rsid w:val="00D465C3"/>
    <w:rsid w:val="00D46785"/>
    <w:rsid w:val="00D46906"/>
    <w:rsid w:val="00D4690B"/>
    <w:rsid w:val="00D46D3F"/>
    <w:rsid w:val="00D46EB7"/>
    <w:rsid w:val="00D46FB2"/>
    <w:rsid w:val="00D46FD9"/>
    <w:rsid w:val="00D470A4"/>
    <w:rsid w:val="00D47216"/>
    <w:rsid w:val="00D47742"/>
    <w:rsid w:val="00D47ABA"/>
    <w:rsid w:val="00D47BD9"/>
    <w:rsid w:val="00D502BF"/>
    <w:rsid w:val="00D503CE"/>
    <w:rsid w:val="00D50444"/>
    <w:rsid w:val="00D50451"/>
    <w:rsid w:val="00D5058F"/>
    <w:rsid w:val="00D50628"/>
    <w:rsid w:val="00D507F6"/>
    <w:rsid w:val="00D5084B"/>
    <w:rsid w:val="00D509F2"/>
    <w:rsid w:val="00D50C94"/>
    <w:rsid w:val="00D50E0D"/>
    <w:rsid w:val="00D5154C"/>
    <w:rsid w:val="00D516A0"/>
    <w:rsid w:val="00D517B1"/>
    <w:rsid w:val="00D518DD"/>
    <w:rsid w:val="00D51B15"/>
    <w:rsid w:val="00D51D93"/>
    <w:rsid w:val="00D51DCC"/>
    <w:rsid w:val="00D51F0D"/>
    <w:rsid w:val="00D51FAE"/>
    <w:rsid w:val="00D51FC2"/>
    <w:rsid w:val="00D52109"/>
    <w:rsid w:val="00D52301"/>
    <w:rsid w:val="00D52470"/>
    <w:rsid w:val="00D526DC"/>
    <w:rsid w:val="00D52815"/>
    <w:rsid w:val="00D52888"/>
    <w:rsid w:val="00D529E6"/>
    <w:rsid w:val="00D52F25"/>
    <w:rsid w:val="00D52FFB"/>
    <w:rsid w:val="00D53193"/>
    <w:rsid w:val="00D5335F"/>
    <w:rsid w:val="00D533D5"/>
    <w:rsid w:val="00D53468"/>
    <w:rsid w:val="00D534C5"/>
    <w:rsid w:val="00D53595"/>
    <w:rsid w:val="00D539F8"/>
    <w:rsid w:val="00D53B54"/>
    <w:rsid w:val="00D53F94"/>
    <w:rsid w:val="00D53FCD"/>
    <w:rsid w:val="00D5430E"/>
    <w:rsid w:val="00D5457E"/>
    <w:rsid w:val="00D54594"/>
    <w:rsid w:val="00D54912"/>
    <w:rsid w:val="00D54955"/>
    <w:rsid w:val="00D54ABD"/>
    <w:rsid w:val="00D54C38"/>
    <w:rsid w:val="00D54CE9"/>
    <w:rsid w:val="00D54CF4"/>
    <w:rsid w:val="00D54D53"/>
    <w:rsid w:val="00D54E10"/>
    <w:rsid w:val="00D54F10"/>
    <w:rsid w:val="00D54F1C"/>
    <w:rsid w:val="00D54F6F"/>
    <w:rsid w:val="00D54FD6"/>
    <w:rsid w:val="00D551E6"/>
    <w:rsid w:val="00D5532D"/>
    <w:rsid w:val="00D553A5"/>
    <w:rsid w:val="00D553B7"/>
    <w:rsid w:val="00D55879"/>
    <w:rsid w:val="00D5598A"/>
    <w:rsid w:val="00D55EBA"/>
    <w:rsid w:val="00D55F2A"/>
    <w:rsid w:val="00D56062"/>
    <w:rsid w:val="00D564D9"/>
    <w:rsid w:val="00D56586"/>
    <w:rsid w:val="00D5673F"/>
    <w:rsid w:val="00D567A2"/>
    <w:rsid w:val="00D5680D"/>
    <w:rsid w:val="00D56927"/>
    <w:rsid w:val="00D56975"/>
    <w:rsid w:val="00D56BF8"/>
    <w:rsid w:val="00D56C67"/>
    <w:rsid w:val="00D5723D"/>
    <w:rsid w:val="00D572D6"/>
    <w:rsid w:val="00D572EF"/>
    <w:rsid w:val="00D57398"/>
    <w:rsid w:val="00D574AB"/>
    <w:rsid w:val="00D575BC"/>
    <w:rsid w:val="00D575D5"/>
    <w:rsid w:val="00D577B7"/>
    <w:rsid w:val="00D57C94"/>
    <w:rsid w:val="00D57FAB"/>
    <w:rsid w:val="00D60087"/>
    <w:rsid w:val="00D60106"/>
    <w:rsid w:val="00D60228"/>
    <w:rsid w:val="00D60440"/>
    <w:rsid w:val="00D604BB"/>
    <w:rsid w:val="00D60596"/>
    <w:rsid w:val="00D605C2"/>
    <w:rsid w:val="00D60649"/>
    <w:rsid w:val="00D60897"/>
    <w:rsid w:val="00D60C54"/>
    <w:rsid w:val="00D60C98"/>
    <w:rsid w:val="00D60CD4"/>
    <w:rsid w:val="00D60DFD"/>
    <w:rsid w:val="00D6153C"/>
    <w:rsid w:val="00D6163B"/>
    <w:rsid w:val="00D618A3"/>
    <w:rsid w:val="00D618E3"/>
    <w:rsid w:val="00D61BC8"/>
    <w:rsid w:val="00D61E88"/>
    <w:rsid w:val="00D6201C"/>
    <w:rsid w:val="00D620F9"/>
    <w:rsid w:val="00D621E6"/>
    <w:rsid w:val="00D623FA"/>
    <w:rsid w:val="00D627AA"/>
    <w:rsid w:val="00D629D1"/>
    <w:rsid w:val="00D62C8B"/>
    <w:rsid w:val="00D62D8E"/>
    <w:rsid w:val="00D62FFE"/>
    <w:rsid w:val="00D634CE"/>
    <w:rsid w:val="00D639B8"/>
    <w:rsid w:val="00D63A90"/>
    <w:rsid w:val="00D63ABC"/>
    <w:rsid w:val="00D63B3C"/>
    <w:rsid w:val="00D63BE9"/>
    <w:rsid w:val="00D63C0B"/>
    <w:rsid w:val="00D63DFB"/>
    <w:rsid w:val="00D64010"/>
    <w:rsid w:val="00D640D3"/>
    <w:rsid w:val="00D64172"/>
    <w:rsid w:val="00D646A4"/>
    <w:rsid w:val="00D646DE"/>
    <w:rsid w:val="00D646E5"/>
    <w:rsid w:val="00D648CD"/>
    <w:rsid w:val="00D64998"/>
    <w:rsid w:val="00D64ABB"/>
    <w:rsid w:val="00D650C3"/>
    <w:rsid w:val="00D6517C"/>
    <w:rsid w:val="00D65323"/>
    <w:rsid w:val="00D653D8"/>
    <w:rsid w:val="00D6557F"/>
    <w:rsid w:val="00D655B1"/>
    <w:rsid w:val="00D656B0"/>
    <w:rsid w:val="00D65905"/>
    <w:rsid w:val="00D65D52"/>
    <w:rsid w:val="00D65DD0"/>
    <w:rsid w:val="00D66074"/>
    <w:rsid w:val="00D66287"/>
    <w:rsid w:val="00D663DE"/>
    <w:rsid w:val="00D6652F"/>
    <w:rsid w:val="00D66565"/>
    <w:rsid w:val="00D666CE"/>
    <w:rsid w:val="00D66AD0"/>
    <w:rsid w:val="00D66DD6"/>
    <w:rsid w:val="00D66EE0"/>
    <w:rsid w:val="00D6704F"/>
    <w:rsid w:val="00D67084"/>
    <w:rsid w:val="00D675D4"/>
    <w:rsid w:val="00D67732"/>
    <w:rsid w:val="00D67FAA"/>
    <w:rsid w:val="00D70015"/>
    <w:rsid w:val="00D702B2"/>
    <w:rsid w:val="00D702BF"/>
    <w:rsid w:val="00D7047D"/>
    <w:rsid w:val="00D7047F"/>
    <w:rsid w:val="00D705E7"/>
    <w:rsid w:val="00D707EB"/>
    <w:rsid w:val="00D70980"/>
    <w:rsid w:val="00D70A3F"/>
    <w:rsid w:val="00D70A53"/>
    <w:rsid w:val="00D70A90"/>
    <w:rsid w:val="00D70AB8"/>
    <w:rsid w:val="00D70DE1"/>
    <w:rsid w:val="00D70FB8"/>
    <w:rsid w:val="00D71035"/>
    <w:rsid w:val="00D7110B"/>
    <w:rsid w:val="00D71388"/>
    <w:rsid w:val="00D717F4"/>
    <w:rsid w:val="00D71943"/>
    <w:rsid w:val="00D71DDA"/>
    <w:rsid w:val="00D72007"/>
    <w:rsid w:val="00D72120"/>
    <w:rsid w:val="00D7227D"/>
    <w:rsid w:val="00D722CD"/>
    <w:rsid w:val="00D725BA"/>
    <w:rsid w:val="00D72649"/>
    <w:rsid w:val="00D726B4"/>
    <w:rsid w:val="00D729C9"/>
    <w:rsid w:val="00D72A88"/>
    <w:rsid w:val="00D72D25"/>
    <w:rsid w:val="00D72E26"/>
    <w:rsid w:val="00D7305F"/>
    <w:rsid w:val="00D7317C"/>
    <w:rsid w:val="00D7324C"/>
    <w:rsid w:val="00D73308"/>
    <w:rsid w:val="00D73311"/>
    <w:rsid w:val="00D7334E"/>
    <w:rsid w:val="00D733B3"/>
    <w:rsid w:val="00D734AB"/>
    <w:rsid w:val="00D73502"/>
    <w:rsid w:val="00D735F5"/>
    <w:rsid w:val="00D73662"/>
    <w:rsid w:val="00D736C8"/>
    <w:rsid w:val="00D737CB"/>
    <w:rsid w:val="00D73872"/>
    <w:rsid w:val="00D73893"/>
    <w:rsid w:val="00D738A5"/>
    <w:rsid w:val="00D73912"/>
    <w:rsid w:val="00D73A5B"/>
    <w:rsid w:val="00D73A66"/>
    <w:rsid w:val="00D73B21"/>
    <w:rsid w:val="00D73B8F"/>
    <w:rsid w:val="00D73BE0"/>
    <w:rsid w:val="00D74038"/>
    <w:rsid w:val="00D74118"/>
    <w:rsid w:val="00D7430F"/>
    <w:rsid w:val="00D7466F"/>
    <w:rsid w:val="00D74678"/>
    <w:rsid w:val="00D74A9B"/>
    <w:rsid w:val="00D74B1D"/>
    <w:rsid w:val="00D74D65"/>
    <w:rsid w:val="00D74DC6"/>
    <w:rsid w:val="00D74E78"/>
    <w:rsid w:val="00D75044"/>
    <w:rsid w:val="00D75099"/>
    <w:rsid w:val="00D75158"/>
    <w:rsid w:val="00D753CF"/>
    <w:rsid w:val="00D75402"/>
    <w:rsid w:val="00D75588"/>
    <w:rsid w:val="00D7589B"/>
    <w:rsid w:val="00D758A1"/>
    <w:rsid w:val="00D75A6C"/>
    <w:rsid w:val="00D75ADB"/>
    <w:rsid w:val="00D75B70"/>
    <w:rsid w:val="00D75D39"/>
    <w:rsid w:val="00D75E50"/>
    <w:rsid w:val="00D76402"/>
    <w:rsid w:val="00D76493"/>
    <w:rsid w:val="00D76515"/>
    <w:rsid w:val="00D76669"/>
    <w:rsid w:val="00D76684"/>
    <w:rsid w:val="00D766E9"/>
    <w:rsid w:val="00D76942"/>
    <w:rsid w:val="00D769C5"/>
    <w:rsid w:val="00D76A4D"/>
    <w:rsid w:val="00D76AAB"/>
    <w:rsid w:val="00D76EAD"/>
    <w:rsid w:val="00D77238"/>
    <w:rsid w:val="00D77255"/>
    <w:rsid w:val="00D77512"/>
    <w:rsid w:val="00D776D6"/>
    <w:rsid w:val="00D777AA"/>
    <w:rsid w:val="00D777C3"/>
    <w:rsid w:val="00D77842"/>
    <w:rsid w:val="00D77A11"/>
    <w:rsid w:val="00D77C1E"/>
    <w:rsid w:val="00D77F34"/>
    <w:rsid w:val="00D77FEF"/>
    <w:rsid w:val="00D800BF"/>
    <w:rsid w:val="00D80213"/>
    <w:rsid w:val="00D804D9"/>
    <w:rsid w:val="00D806C5"/>
    <w:rsid w:val="00D806FE"/>
    <w:rsid w:val="00D807B5"/>
    <w:rsid w:val="00D807D0"/>
    <w:rsid w:val="00D80AFD"/>
    <w:rsid w:val="00D80B66"/>
    <w:rsid w:val="00D80B8F"/>
    <w:rsid w:val="00D80D01"/>
    <w:rsid w:val="00D80D6F"/>
    <w:rsid w:val="00D81244"/>
    <w:rsid w:val="00D812BE"/>
    <w:rsid w:val="00D81C8F"/>
    <w:rsid w:val="00D81E5E"/>
    <w:rsid w:val="00D81F3A"/>
    <w:rsid w:val="00D81F68"/>
    <w:rsid w:val="00D8234F"/>
    <w:rsid w:val="00D823DD"/>
    <w:rsid w:val="00D824B0"/>
    <w:rsid w:val="00D82676"/>
    <w:rsid w:val="00D82809"/>
    <w:rsid w:val="00D82AC1"/>
    <w:rsid w:val="00D82AC5"/>
    <w:rsid w:val="00D82C7F"/>
    <w:rsid w:val="00D82DB2"/>
    <w:rsid w:val="00D82DFF"/>
    <w:rsid w:val="00D82E25"/>
    <w:rsid w:val="00D82E52"/>
    <w:rsid w:val="00D82EAB"/>
    <w:rsid w:val="00D82EDF"/>
    <w:rsid w:val="00D82F1C"/>
    <w:rsid w:val="00D83064"/>
    <w:rsid w:val="00D8306F"/>
    <w:rsid w:val="00D83087"/>
    <w:rsid w:val="00D83405"/>
    <w:rsid w:val="00D83923"/>
    <w:rsid w:val="00D83987"/>
    <w:rsid w:val="00D83A07"/>
    <w:rsid w:val="00D83B28"/>
    <w:rsid w:val="00D83BAF"/>
    <w:rsid w:val="00D83C78"/>
    <w:rsid w:val="00D83F2C"/>
    <w:rsid w:val="00D840DB"/>
    <w:rsid w:val="00D842AA"/>
    <w:rsid w:val="00D843E4"/>
    <w:rsid w:val="00D845C9"/>
    <w:rsid w:val="00D846B1"/>
    <w:rsid w:val="00D846C1"/>
    <w:rsid w:val="00D848AD"/>
    <w:rsid w:val="00D848DF"/>
    <w:rsid w:val="00D84920"/>
    <w:rsid w:val="00D8498C"/>
    <w:rsid w:val="00D849AE"/>
    <w:rsid w:val="00D84B19"/>
    <w:rsid w:val="00D84DB2"/>
    <w:rsid w:val="00D855AA"/>
    <w:rsid w:val="00D85819"/>
    <w:rsid w:val="00D858D8"/>
    <w:rsid w:val="00D85920"/>
    <w:rsid w:val="00D85C10"/>
    <w:rsid w:val="00D86022"/>
    <w:rsid w:val="00D86388"/>
    <w:rsid w:val="00D86467"/>
    <w:rsid w:val="00D86474"/>
    <w:rsid w:val="00D8659D"/>
    <w:rsid w:val="00D866B8"/>
    <w:rsid w:val="00D86826"/>
    <w:rsid w:val="00D86959"/>
    <w:rsid w:val="00D86994"/>
    <w:rsid w:val="00D86ACC"/>
    <w:rsid w:val="00D86AF4"/>
    <w:rsid w:val="00D86DED"/>
    <w:rsid w:val="00D86EC9"/>
    <w:rsid w:val="00D874E1"/>
    <w:rsid w:val="00D8787F"/>
    <w:rsid w:val="00D87EC0"/>
    <w:rsid w:val="00D87FD1"/>
    <w:rsid w:val="00D87FE2"/>
    <w:rsid w:val="00D9026F"/>
    <w:rsid w:val="00D9033D"/>
    <w:rsid w:val="00D903B9"/>
    <w:rsid w:val="00D9096E"/>
    <w:rsid w:val="00D90B0C"/>
    <w:rsid w:val="00D90B18"/>
    <w:rsid w:val="00D90C69"/>
    <w:rsid w:val="00D90D7B"/>
    <w:rsid w:val="00D90F63"/>
    <w:rsid w:val="00D90F92"/>
    <w:rsid w:val="00D9102A"/>
    <w:rsid w:val="00D91116"/>
    <w:rsid w:val="00D91501"/>
    <w:rsid w:val="00D919A8"/>
    <w:rsid w:val="00D91AF0"/>
    <w:rsid w:val="00D91CF2"/>
    <w:rsid w:val="00D91F41"/>
    <w:rsid w:val="00D91F4B"/>
    <w:rsid w:val="00D91FBB"/>
    <w:rsid w:val="00D921A5"/>
    <w:rsid w:val="00D922D9"/>
    <w:rsid w:val="00D92DC9"/>
    <w:rsid w:val="00D92F75"/>
    <w:rsid w:val="00D932CE"/>
    <w:rsid w:val="00D93369"/>
    <w:rsid w:val="00D93539"/>
    <w:rsid w:val="00D935C9"/>
    <w:rsid w:val="00D936E4"/>
    <w:rsid w:val="00D937D7"/>
    <w:rsid w:val="00D93BF4"/>
    <w:rsid w:val="00D93F55"/>
    <w:rsid w:val="00D93F5F"/>
    <w:rsid w:val="00D940C7"/>
    <w:rsid w:val="00D9419D"/>
    <w:rsid w:val="00D94372"/>
    <w:rsid w:val="00D9447F"/>
    <w:rsid w:val="00D94792"/>
    <w:rsid w:val="00D948B1"/>
    <w:rsid w:val="00D949A2"/>
    <w:rsid w:val="00D94B21"/>
    <w:rsid w:val="00D94C6F"/>
    <w:rsid w:val="00D94CF5"/>
    <w:rsid w:val="00D94F40"/>
    <w:rsid w:val="00D9522A"/>
    <w:rsid w:val="00D9526B"/>
    <w:rsid w:val="00D953B5"/>
    <w:rsid w:val="00D95533"/>
    <w:rsid w:val="00D95B18"/>
    <w:rsid w:val="00D95B77"/>
    <w:rsid w:val="00D95E46"/>
    <w:rsid w:val="00D95E70"/>
    <w:rsid w:val="00D95F85"/>
    <w:rsid w:val="00D95FD6"/>
    <w:rsid w:val="00D96121"/>
    <w:rsid w:val="00D961FF"/>
    <w:rsid w:val="00D96274"/>
    <w:rsid w:val="00D9659F"/>
    <w:rsid w:val="00D967CA"/>
    <w:rsid w:val="00D9693E"/>
    <w:rsid w:val="00D969A1"/>
    <w:rsid w:val="00D969F1"/>
    <w:rsid w:val="00D96A4A"/>
    <w:rsid w:val="00D96B13"/>
    <w:rsid w:val="00D96E24"/>
    <w:rsid w:val="00D96F41"/>
    <w:rsid w:val="00D96F5C"/>
    <w:rsid w:val="00D96F65"/>
    <w:rsid w:val="00D9717B"/>
    <w:rsid w:val="00D973F6"/>
    <w:rsid w:val="00D9750F"/>
    <w:rsid w:val="00D976A8"/>
    <w:rsid w:val="00D97806"/>
    <w:rsid w:val="00D9795F"/>
    <w:rsid w:val="00D979AB"/>
    <w:rsid w:val="00D97AF6"/>
    <w:rsid w:val="00D97D35"/>
    <w:rsid w:val="00D97DEC"/>
    <w:rsid w:val="00D97E70"/>
    <w:rsid w:val="00D97F69"/>
    <w:rsid w:val="00D97F83"/>
    <w:rsid w:val="00D97FB5"/>
    <w:rsid w:val="00DA017A"/>
    <w:rsid w:val="00DA0437"/>
    <w:rsid w:val="00DA07C0"/>
    <w:rsid w:val="00DA07DD"/>
    <w:rsid w:val="00DA0B39"/>
    <w:rsid w:val="00DA0DE7"/>
    <w:rsid w:val="00DA0DFC"/>
    <w:rsid w:val="00DA0E00"/>
    <w:rsid w:val="00DA0E5F"/>
    <w:rsid w:val="00DA11A4"/>
    <w:rsid w:val="00DA136C"/>
    <w:rsid w:val="00DA13EF"/>
    <w:rsid w:val="00DA1475"/>
    <w:rsid w:val="00DA1A8F"/>
    <w:rsid w:val="00DA1BA1"/>
    <w:rsid w:val="00DA1D2C"/>
    <w:rsid w:val="00DA1DE3"/>
    <w:rsid w:val="00DA1F47"/>
    <w:rsid w:val="00DA1FDE"/>
    <w:rsid w:val="00DA2170"/>
    <w:rsid w:val="00DA21D4"/>
    <w:rsid w:val="00DA2273"/>
    <w:rsid w:val="00DA25BC"/>
    <w:rsid w:val="00DA2602"/>
    <w:rsid w:val="00DA26D9"/>
    <w:rsid w:val="00DA2777"/>
    <w:rsid w:val="00DA27FB"/>
    <w:rsid w:val="00DA2A7E"/>
    <w:rsid w:val="00DA2A8F"/>
    <w:rsid w:val="00DA2CE8"/>
    <w:rsid w:val="00DA3017"/>
    <w:rsid w:val="00DA309B"/>
    <w:rsid w:val="00DA3292"/>
    <w:rsid w:val="00DA33C6"/>
    <w:rsid w:val="00DA35C1"/>
    <w:rsid w:val="00DA3753"/>
    <w:rsid w:val="00DA3AC9"/>
    <w:rsid w:val="00DA3B32"/>
    <w:rsid w:val="00DA3CB2"/>
    <w:rsid w:val="00DA3D50"/>
    <w:rsid w:val="00DA3E0E"/>
    <w:rsid w:val="00DA4253"/>
    <w:rsid w:val="00DA4401"/>
    <w:rsid w:val="00DA45A0"/>
    <w:rsid w:val="00DA4626"/>
    <w:rsid w:val="00DA4708"/>
    <w:rsid w:val="00DA49E3"/>
    <w:rsid w:val="00DA4A65"/>
    <w:rsid w:val="00DA4B52"/>
    <w:rsid w:val="00DA4BAE"/>
    <w:rsid w:val="00DA4E2C"/>
    <w:rsid w:val="00DA50DC"/>
    <w:rsid w:val="00DA51EA"/>
    <w:rsid w:val="00DA5293"/>
    <w:rsid w:val="00DA52B0"/>
    <w:rsid w:val="00DA5484"/>
    <w:rsid w:val="00DA5534"/>
    <w:rsid w:val="00DA58CE"/>
    <w:rsid w:val="00DA5989"/>
    <w:rsid w:val="00DA599D"/>
    <w:rsid w:val="00DA5CCC"/>
    <w:rsid w:val="00DA5DFE"/>
    <w:rsid w:val="00DA610F"/>
    <w:rsid w:val="00DA6239"/>
    <w:rsid w:val="00DA62E0"/>
    <w:rsid w:val="00DA62F4"/>
    <w:rsid w:val="00DA6498"/>
    <w:rsid w:val="00DA64ED"/>
    <w:rsid w:val="00DA655B"/>
    <w:rsid w:val="00DA662D"/>
    <w:rsid w:val="00DA6895"/>
    <w:rsid w:val="00DA6914"/>
    <w:rsid w:val="00DA6CEA"/>
    <w:rsid w:val="00DA6CF1"/>
    <w:rsid w:val="00DA6F78"/>
    <w:rsid w:val="00DA70E1"/>
    <w:rsid w:val="00DA7583"/>
    <w:rsid w:val="00DA77F5"/>
    <w:rsid w:val="00DA7F03"/>
    <w:rsid w:val="00DB00B8"/>
    <w:rsid w:val="00DB0118"/>
    <w:rsid w:val="00DB01B1"/>
    <w:rsid w:val="00DB0318"/>
    <w:rsid w:val="00DB056C"/>
    <w:rsid w:val="00DB06C1"/>
    <w:rsid w:val="00DB077A"/>
    <w:rsid w:val="00DB0A0B"/>
    <w:rsid w:val="00DB0A4E"/>
    <w:rsid w:val="00DB0AEA"/>
    <w:rsid w:val="00DB0CBB"/>
    <w:rsid w:val="00DB1300"/>
    <w:rsid w:val="00DB1387"/>
    <w:rsid w:val="00DB139E"/>
    <w:rsid w:val="00DB1512"/>
    <w:rsid w:val="00DB16B4"/>
    <w:rsid w:val="00DB177D"/>
    <w:rsid w:val="00DB1A23"/>
    <w:rsid w:val="00DB1BEE"/>
    <w:rsid w:val="00DB1C4D"/>
    <w:rsid w:val="00DB1F55"/>
    <w:rsid w:val="00DB2336"/>
    <w:rsid w:val="00DB27E7"/>
    <w:rsid w:val="00DB2A83"/>
    <w:rsid w:val="00DB304D"/>
    <w:rsid w:val="00DB3246"/>
    <w:rsid w:val="00DB3253"/>
    <w:rsid w:val="00DB3455"/>
    <w:rsid w:val="00DB354A"/>
    <w:rsid w:val="00DB35BE"/>
    <w:rsid w:val="00DB35EA"/>
    <w:rsid w:val="00DB36EE"/>
    <w:rsid w:val="00DB36F3"/>
    <w:rsid w:val="00DB379D"/>
    <w:rsid w:val="00DB37A1"/>
    <w:rsid w:val="00DB395C"/>
    <w:rsid w:val="00DB3A1B"/>
    <w:rsid w:val="00DB3A37"/>
    <w:rsid w:val="00DB3B5B"/>
    <w:rsid w:val="00DB493B"/>
    <w:rsid w:val="00DB49C0"/>
    <w:rsid w:val="00DB4B33"/>
    <w:rsid w:val="00DB4C16"/>
    <w:rsid w:val="00DB4D6C"/>
    <w:rsid w:val="00DB4E4E"/>
    <w:rsid w:val="00DB50FD"/>
    <w:rsid w:val="00DB5260"/>
    <w:rsid w:val="00DB52B1"/>
    <w:rsid w:val="00DB53E7"/>
    <w:rsid w:val="00DB53FE"/>
    <w:rsid w:val="00DB5698"/>
    <w:rsid w:val="00DB58EE"/>
    <w:rsid w:val="00DB5A00"/>
    <w:rsid w:val="00DB5E51"/>
    <w:rsid w:val="00DB5F68"/>
    <w:rsid w:val="00DB5FEE"/>
    <w:rsid w:val="00DB60CC"/>
    <w:rsid w:val="00DB65E8"/>
    <w:rsid w:val="00DB66FF"/>
    <w:rsid w:val="00DB678A"/>
    <w:rsid w:val="00DB7069"/>
    <w:rsid w:val="00DB7153"/>
    <w:rsid w:val="00DB76FA"/>
    <w:rsid w:val="00DB7842"/>
    <w:rsid w:val="00DB79E3"/>
    <w:rsid w:val="00DB7DDA"/>
    <w:rsid w:val="00DB7E8D"/>
    <w:rsid w:val="00DB7EAD"/>
    <w:rsid w:val="00DC0322"/>
    <w:rsid w:val="00DC0402"/>
    <w:rsid w:val="00DC08D7"/>
    <w:rsid w:val="00DC0A40"/>
    <w:rsid w:val="00DC0DC8"/>
    <w:rsid w:val="00DC0F24"/>
    <w:rsid w:val="00DC1012"/>
    <w:rsid w:val="00DC1099"/>
    <w:rsid w:val="00DC10C9"/>
    <w:rsid w:val="00DC10D0"/>
    <w:rsid w:val="00DC121E"/>
    <w:rsid w:val="00DC12E1"/>
    <w:rsid w:val="00DC12E2"/>
    <w:rsid w:val="00DC1468"/>
    <w:rsid w:val="00DC147F"/>
    <w:rsid w:val="00DC1769"/>
    <w:rsid w:val="00DC18D8"/>
    <w:rsid w:val="00DC1AC9"/>
    <w:rsid w:val="00DC1AEC"/>
    <w:rsid w:val="00DC1B37"/>
    <w:rsid w:val="00DC1C16"/>
    <w:rsid w:val="00DC1D05"/>
    <w:rsid w:val="00DC1EF4"/>
    <w:rsid w:val="00DC22DE"/>
    <w:rsid w:val="00DC2461"/>
    <w:rsid w:val="00DC2583"/>
    <w:rsid w:val="00DC2689"/>
    <w:rsid w:val="00DC27EC"/>
    <w:rsid w:val="00DC2CBA"/>
    <w:rsid w:val="00DC2D8B"/>
    <w:rsid w:val="00DC2DC2"/>
    <w:rsid w:val="00DC2EF1"/>
    <w:rsid w:val="00DC301C"/>
    <w:rsid w:val="00DC3196"/>
    <w:rsid w:val="00DC349E"/>
    <w:rsid w:val="00DC3A5B"/>
    <w:rsid w:val="00DC3B0E"/>
    <w:rsid w:val="00DC3B58"/>
    <w:rsid w:val="00DC3E33"/>
    <w:rsid w:val="00DC4340"/>
    <w:rsid w:val="00DC44E7"/>
    <w:rsid w:val="00DC454A"/>
    <w:rsid w:val="00DC47DA"/>
    <w:rsid w:val="00DC489B"/>
    <w:rsid w:val="00DC4AB4"/>
    <w:rsid w:val="00DC4B8B"/>
    <w:rsid w:val="00DC4CD3"/>
    <w:rsid w:val="00DC4D8D"/>
    <w:rsid w:val="00DC4F9F"/>
    <w:rsid w:val="00DC5045"/>
    <w:rsid w:val="00DC5124"/>
    <w:rsid w:val="00DC551E"/>
    <w:rsid w:val="00DC55F5"/>
    <w:rsid w:val="00DC5644"/>
    <w:rsid w:val="00DC56CA"/>
    <w:rsid w:val="00DC57DF"/>
    <w:rsid w:val="00DC5813"/>
    <w:rsid w:val="00DC59F7"/>
    <w:rsid w:val="00DC5A8E"/>
    <w:rsid w:val="00DC5D46"/>
    <w:rsid w:val="00DC5DFF"/>
    <w:rsid w:val="00DC5E12"/>
    <w:rsid w:val="00DC5ECB"/>
    <w:rsid w:val="00DC6078"/>
    <w:rsid w:val="00DC6087"/>
    <w:rsid w:val="00DC60F5"/>
    <w:rsid w:val="00DC6308"/>
    <w:rsid w:val="00DC681C"/>
    <w:rsid w:val="00DC68EA"/>
    <w:rsid w:val="00DC6964"/>
    <w:rsid w:val="00DC69E3"/>
    <w:rsid w:val="00DC69EA"/>
    <w:rsid w:val="00DC6EAF"/>
    <w:rsid w:val="00DC6FF2"/>
    <w:rsid w:val="00DC7037"/>
    <w:rsid w:val="00DC70E8"/>
    <w:rsid w:val="00DC74BF"/>
    <w:rsid w:val="00DC74CB"/>
    <w:rsid w:val="00DC76E4"/>
    <w:rsid w:val="00DC79BA"/>
    <w:rsid w:val="00DC7A77"/>
    <w:rsid w:val="00DC7D6D"/>
    <w:rsid w:val="00DC7F03"/>
    <w:rsid w:val="00DC7F05"/>
    <w:rsid w:val="00DC7F7A"/>
    <w:rsid w:val="00DC7FDF"/>
    <w:rsid w:val="00DD03AF"/>
    <w:rsid w:val="00DD0475"/>
    <w:rsid w:val="00DD086B"/>
    <w:rsid w:val="00DD08AD"/>
    <w:rsid w:val="00DD08B6"/>
    <w:rsid w:val="00DD10D0"/>
    <w:rsid w:val="00DD134A"/>
    <w:rsid w:val="00DD13C1"/>
    <w:rsid w:val="00DD1A25"/>
    <w:rsid w:val="00DD1C61"/>
    <w:rsid w:val="00DD1E29"/>
    <w:rsid w:val="00DD20DF"/>
    <w:rsid w:val="00DD2680"/>
    <w:rsid w:val="00DD295E"/>
    <w:rsid w:val="00DD296A"/>
    <w:rsid w:val="00DD2A59"/>
    <w:rsid w:val="00DD2C99"/>
    <w:rsid w:val="00DD2CC0"/>
    <w:rsid w:val="00DD2DD3"/>
    <w:rsid w:val="00DD2E3E"/>
    <w:rsid w:val="00DD3029"/>
    <w:rsid w:val="00DD320B"/>
    <w:rsid w:val="00DD3568"/>
    <w:rsid w:val="00DD3C41"/>
    <w:rsid w:val="00DD3CBD"/>
    <w:rsid w:val="00DD3ECF"/>
    <w:rsid w:val="00DD424B"/>
    <w:rsid w:val="00DD4556"/>
    <w:rsid w:val="00DD469C"/>
    <w:rsid w:val="00DD47BB"/>
    <w:rsid w:val="00DD4985"/>
    <w:rsid w:val="00DD4B3C"/>
    <w:rsid w:val="00DD4B5B"/>
    <w:rsid w:val="00DD4EC6"/>
    <w:rsid w:val="00DD4F01"/>
    <w:rsid w:val="00DD4F48"/>
    <w:rsid w:val="00DD51D5"/>
    <w:rsid w:val="00DD522D"/>
    <w:rsid w:val="00DD5258"/>
    <w:rsid w:val="00DD53D2"/>
    <w:rsid w:val="00DD5578"/>
    <w:rsid w:val="00DD55DB"/>
    <w:rsid w:val="00DD5696"/>
    <w:rsid w:val="00DD57A9"/>
    <w:rsid w:val="00DD5849"/>
    <w:rsid w:val="00DD5A2B"/>
    <w:rsid w:val="00DD5A91"/>
    <w:rsid w:val="00DD5AB5"/>
    <w:rsid w:val="00DD5CE5"/>
    <w:rsid w:val="00DD5F7D"/>
    <w:rsid w:val="00DD6046"/>
    <w:rsid w:val="00DD61FC"/>
    <w:rsid w:val="00DD6473"/>
    <w:rsid w:val="00DD65BA"/>
    <w:rsid w:val="00DD66B9"/>
    <w:rsid w:val="00DD6A0D"/>
    <w:rsid w:val="00DD6BE1"/>
    <w:rsid w:val="00DD6E6E"/>
    <w:rsid w:val="00DD71DC"/>
    <w:rsid w:val="00DD75E1"/>
    <w:rsid w:val="00DD761D"/>
    <w:rsid w:val="00DD7711"/>
    <w:rsid w:val="00DD7735"/>
    <w:rsid w:val="00DD777B"/>
    <w:rsid w:val="00DD77EE"/>
    <w:rsid w:val="00DD7A53"/>
    <w:rsid w:val="00DD7EB2"/>
    <w:rsid w:val="00DD7EEB"/>
    <w:rsid w:val="00DD7F55"/>
    <w:rsid w:val="00DE00D3"/>
    <w:rsid w:val="00DE0117"/>
    <w:rsid w:val="00DE0126"/>
    <w:rsid w:val="00DE0295"/>
    <w:rsid w:val="00DE02F6"/>
    <w:rsid w:val="00DE0306"/>
    <w:rsid w:val="00DE046A"/>
    <w:rsid w:val="00DE09D6"/>
    <w:rsid w:val="00DE0A71"/>
    <w:rsid w:val="00DE0ABC"/>
    <w:rsid w:val="00DE0B93"/>
    <w:rsid w:val="00DE0C7F"/>
    <w:rsid w:val="00DE0E93"/>
    <w:rsid w:val="00DE11D1"/>
    <w:rsid w:val="00DE1505"/>
    <w:rsid w:val="00DE15BF"/>
    <w:rsid w:val="00DE1610"/>
    <w:rsid w:val="00DE177B"/>
    <w:rsid w:val="00DE1A91"/>
    <w:rsid w:val="00DE1CA5"/>
    <w:rsid w:val="00DE1F30"/>
    <w:rsid w:val="00DE2015"/>
    <w:rsid w:val="00DE21AA"/>
    <w:rsid w:val="00DE221D"/>
    <w:rsid w:val="00DE2302"/>
    <w:rsid w:val="00DE2542"/>
    <w:rsid w:val="00DE25F0"/>
    <w:rsid w:val="00DE2602"/>
    <w:rsid w:val="00DE274B"/>
    <w:rsid w:val="00DE2B5B"/>
    <w:rsid w:val="00DE2E41"/>
    <w:rsid w:val="00DE3164"/>
    <w:rsid w:val="00DE31BD"/>
    <w:rsid w:val="00DE33EC"/>
    <w:rsid w:val="00DE3435"/>
    <w:rsid w:val="00DE34FF"/>
    <w:rsid w:val="00DE3530"/>
    <w:rsid w:val="00DE3562"/>
    <w:rsid w:val="00DE365A"/>
    <w:rsid w:val="00DE36B8"/>
    <w:rsid w:val="00DE3977"/>
    <w:rsid w:val="00DE3A00"/>
    <w:rsid w:val="00DE3A69"/>
    <w:rsid w:val="00DE3C1F"/>
    <w:rsid w:val="00DE3C72"/>
    <w:rsid w:val="00DE3D60"/>
    <w:rsid w:val="00DE3EAD"/>
    <w:rsid w:val="00DE402A"/>
    <w:rsid w:val="00DE428E"/>
    <w:rsid w:val="00DE463C"/>
    <w:rsid w:val="00DE4737"/>
    <w:rsid w:val="00DE47C1"/>
    <w:rsid w:val="00DE4E04"/>
    <w:rsid w:val="00DE4EA9"/>
    <w:rsid w:val="00DE4F3E"/>
    <w:rsid w:val="00DE5221"/>
    <w:rsid w:val="00DE5540"/>
    <w:rsid w:val="00DE55B8"/>
    <w:rsid w:val="00DE562E"/>
    <w:rsid w:val="00DE5940"/>
    <w:rsid w:val="00DE5A10"/>
    <w:rsid w:val="00DE5AFF"/>
    <w:rsid w:val="00DE5FA4"/>
    <w:rsid w:val="00DE6080"/>
    <w:rsid w:val="00DE64AD"/>
    <w:rsid w:val="00DE65FB"/>
    <w:rsid w:val="00DE668F"/>
    <w:rsid w:val="00DE6A28"/>
    <w:rsid w:val="00DE6A53"/>
    <w:rsid w:val="00DE6DD0"/>
    <w:rsid w:val="00DE7099"/>
    <w:rsid w:val="00DE7202"/>
    <w:rsid w:val="00DE72EA"/>
    <w:rsid w:val="00DE7358"/>
    <w:rsid w:val="00DE7447"/>
    <w:rsid w:val="00DE7608"/>
    <w:rsid w:val="00DE768E"/>
    <w:rsid w:val="00DE7873"/>
    <w:rsid w:val="00DE78A5"/>
    <w:rsid w:val="00DE7C5C"/>
    <w:rsid w:val="00DE7F38"/>
    <w:rsid w:val="00DE7F40"/>
    <w:rsid w:val="00DE7F93"/>
    <w:rsid w:val="00DF00AA"/>
    <w:rsid w:val="00DF00BE"/>
    <w:rsid w:val="00DF01B5"/>
    <w:rsid w:val="00DF01F7"/>
    <w:rsid w:val="00DF02C9"/>
    <w:rsid w:val="00DF0334"/>
    <w:rsid w:val="00DF0655"/>
    <w:rsid w:val="00DF06A3"/>
    <w:rsid w:val="00DF06F5"/>
    <w:rsid w:val="00DF0759"/>
    <w:rsid w:val="00DF079A"/>
    <w:rsid w:val="00DF088A"/>
    <w:rsid w:val="00DF0AAD"/>
    <w:rsid w:val="00DF0B01"/>
    <w:rsid w:val="00DF0B53"/>
    <w:rsid w:val="00DF0D47"/>
    <w:rsid w:val="00DF0E42"/>
    <w:rsid w:val="00DF12D2"/>
    <w:rsid w:val="00DF1741"/>
    <w:rsid w:val="00DF1CB2"/>
    <w:rsid w:val="00DF1CBB"/>
    <w:rsid w:val="00DF1CFC"/>
    <w:rsid w:val="00DF210C"/>
    <w:rsid w:val="00DF213F"/>
    <w:rsid w:val="00DF231B"/>
    <w:rsid w:val="00DF2342"/>
    <w:rsid w:val="00DF2740"/>
    <w:rsid w:val="00DF27FD"/>
    <w:rsid w:val="00DF2EE2"/>
    <w:rsid w:val="00DF2F04"/>
    <w:rsid w:val="00DF326D"/>
    <w:rsid w:val="00DF3551"/>
    <w:rsid w:val="00DF381A"/>
    <w:rsid w:val="00DF3A9D"/>
    <w:rsid w:val="00DF3B6A"/>
    <w:rsid w:val="00DF3BD4"/>
    <w:rsid w:val="00DF3C9C"/>
    <w:rsid w:val="00DF3CE0"/>
    <w:rsid w:val="00DF3D35"/>
    <w:rsid w:val="00DF3E78"/>
    <w:rsid w:val="00DF426A"/>
    <w:rsid w:val="00DF4335"/>
    <w:rsid w:val="00DF43DB"/>
    <w:rsid w:val="00DF4922"/>
    <w:rsid w:val="00DF4A5C"/>
    <w:rsid w:val="00DF4B52"/>
    <w:rsid w:val="00DF4E3E"/>
    <w:rsid w:val="00DF5308"/>
    <w:rsid w:val="00DF57D9"/>
    <w:rsid w:val="00DF5872"/>
    <w:rsid w:val="00DF5ACB"/>
    <w:rsid w:val="00DF5BE7"/>
    <w:rsid w:val="00DF5DE6"/>
    <w:rsid w:val="00DF60B9"/>
    <w:rsid w:val="00DF63B7"/>
    <w:rsid w:val="00DF6869"/>
    <w:rsid w:val="00DF6EDD"/>
    <w:rsid w:val="00DF7043"/>
    <w:rsid w:val="00DF706F"/>
    <w:rsid w:val="00DF7239"/>
    <w:rsid w:val="00DF751D"/>
    <w:rsid w:val="00DF766F"/>
    <w:rsid w:val="00DF7836"/>
    <w:rsid w:val="00DF78A9"/>
    <w:rsid w:val="00DF7A60"/>
    <w:rsid w:val="00DF7D9A"/>
    <w:rsid w:val="00E0004F"/>
    <w:rsid w:val="00E0008A"/>
    <w:rsid w:val="00E000CD"/>
    <w:rsid w:val="00E00486"/>
    <w:rsid w:val="00E0068C"/>
    <w:rsid w:val="00E00712"/>
    <w:rsid w:val="00E00738"/>
    <w:rsid w:val="00E00812"/>
    <w:rsid w:val="00E008ED"/>
    <w:rsid w:val="00E0095F"/>
    <w:rsid w:val="00E009B1"/>
    <w:rsid w:val="00E00BAB"/>
    <w:rsid w:val="00E00D57"/>
    <w:rsid w:val="00E010CD"/>
    <w:rsid w:val="00E012A5"/>
    <w:rsid w:val="00E01405"/>
    <w:rsid w:val="00E0178B"/>
    <w:rsid w:val="00E01968"/>
    <w:rsid w:val="00E01EB2"/>
    <w:rsid w:val="00E01F65"/>
    <w:rsid w:val="00E0226D"/>
    <w:rsid w:val="00E0234D"/>
    <w:rsid w:val="00E02364"/>
    <w:rsid w:val="00E02585"/>
    <w:rsid w:val="00E02657"/>
    <w:rsid w:val="00E02695"/>
    <w:rsid w:val="00E027E9"/>
    <w:rsid w:val="00E02880"/>
    <w:rsid w:val="00E029B4"/>
    <w:rsid w:val="00E029FD"/>
    <w:rsid w:val="00E02A50"/>
    <w:rsid w:val="00E02A65"/>
    <w:rsid w:val="00E02D51"/>
    <w:rsid w:val="00E02E01"/>
    <w:rsid w:val="00E02E04"/>
    <w:rsid w:val="00E02F1F"/>
    <w:rsid w:val="00E02F8B"/>
    <w:rsid w:val="00E03145"/>
    <w:rsid w:val="00E0340E"/>
    <w:rsid w:val="00E03560"/>
    <w:rsid w:val="00E03586"/>
    <w:rsid w:val="00E035DC"/>
    <w:rsid w:val="00E0376C"/>
    <w:rsid w:val="00E037EA"/>
    <w:rsid w:val="00E03B27"/>
    <w:rsid w:val="00E03BD9"/>
    <w:rsid w:val="00E03E1C"/>
    <w:rsid w:val="00E04010"/>
    <w:rsid w:val="00E0453D"/>
    <w:rsid w:val="00E04807"/>
    <w:rsid w:val="00E04901"/>
    <w:rsid w:val="00E04B14"/>
    <w:rsid w:val="00E04C79"/>
    <w:rsid w:val="00E04EA0"/>
    <w:rsid w:val="00E04FDE"/>
    <w:rsid w:val="00E05111"/>
    <w:rsid w:val="00E051E7"/>
    <w:rsid w:val="00E05303"/>
    <w:rsid w:val="00E05333"/>
    <w:rsid w:val="00E0537E"/>
    <w:rsid w:val="00E05388"/>
    <w:rsid w:val="00E05396"/>
    <w:rsid w:val="00E054BD"/>
    <w:rsid w:val="00E05ACE"/>
    <w:rsid w:val="00E05B8D"/>
    <w:rsid w:val="00E05BDD"/>
    <w:rsid w:val="00E05CA2"/>
    <w:rsid w:val="00E05DA1"/>
    <w:rsid w:val="00E05EA4"/>
    <w:rsid w:val="00E05F5A"/>
    <w:rsid w:val="00E05FA6"/>
    <w:rsid w:val="00E06196"/>
    <w:rsid w:val="00E061AB"/>
    <w:rsid w:val="00E06601"/>
    <w:rsid w:val="00E066F0"/>
    <w:rsid w:val="00E06736"/>
    <w:rsid w:val="00E06D7B"/>
    <w:rsid w:val="00E072C8"/>
    <w:rsid w:val="00E078F9"/>
    <w:rsid w:val="00E07AF7"/>
    <w:rsid w:val="00E07BDA"/>
    <w:rsid w:val="00E07F16"/>
    <w:rsid w:val="00E101AF"/>
    <w:rsid w:val="00E10261"/>
    <w:rsid w:val="00E10738"/>
    <w:rsid w:val="00E1079D"/>
    <w:rsid w:val="00E10A0C"/>
    <w:rsid w:val="00E10AEB"/>
    <w:rsid w:val="00E10CED"/>
    <w:rsid w:val="00E10F1C"/>
    <w:rsid w:val="00E112FE"/>
    <w:rsid w:val="00E11474"/>
    <w:rsid w:val="00E118C9"/>
    <w:rsid w:val="00E1190A"/>
    <w:rsid w:val="00E11AC5"/>
    <w:rsid w:val="00E11B14"/>
    <w:rsid w:val="00E11BED"/>
    <w:rsid w:val="00E11D51"/>
    <w:rsid w:val="00E11D63"/>
    <w:rsid w:val="00E11D68"/>
    <w:rsid w:val="00E11F37"/>
    <w:rsid w:val="00E12051"/>
    <w:rsid w:val="00E12225"/>
    <w:rsid w:val="00E12499"/>
    <w:rsid w:val="00E12BF1"/>
    <w:rsid w:val="00E12D18"/>
    <w:rsid w:val="00E12E46"/>
    <w:rsid w:val="00E1308B"/>
    <w:rsid w:val="00E130AF"/>
    <w:rsid w:val="00E1316B"/>
    <w:rsid w:val="00E1341C"/>
    <w:rsid w:val="00E13432"/>
    <w:rsid w:val="00E134B3"/>
    <w:rsid w:val="00E13532"/>
    <w:rsid w:val="00E13661"/>
    <w:rsid w:val="00E13AB7"/>
    <w:rsid w:val="00E13AD3"/>
    <w:rsid w:val="00E13B29"/>
    <w:rsid w:val="00E13B8F"/>
    <w:rsid w:val="00E13CCF"/>
    <w:rsid w:val="00E13CD7"/>
    <w:rsid w:val="00E1412E"/>
    <w:rsid w:val="00E14153"/>
    <w:rsid w:val="00E142DB"/>
    <w:rsid w:val="00E14586"/>
    <w:rsid w:val="00E145FF"/>
    <w:rsid w:val="00E14A10"/>
    <w:rsid w:val="00E14C6F"/>
    <w:rsid w:val="00E14C84"/>
    <w:rsid w:val="00E14F7E"/>
    <w:rsid w:val="00E14F86"/>
    <w:rsid w:val="00E14FBC"/>
    <w:rsid w:val="00E15012"/>
    <w:rsid w:val="00E153AF"/>
    <w:rsid w:val="00E153F3"/>
    <w:rsid w:val="00E15655"/>
    <w:rsid w:val="00E1571A"/>
    <w:rsid w:val="00E157FF"/>
    <w:rsid w:val="00E15849"/>
    <w:rsid w:val="00E15A2F"/>
    <w:rsid w:val="00E15AB5"/>
    <w:rsid w:val="00E15B3D"/>
    <w:rsid w:val="00E15BE1"/>
    <w:rsid w:val="00E15E3E"/>
    <w:rsid w:val="00E16045"/>
    <w:rsid w:val="00E161CC"/>
    <w:rsid w:val="00E16426"/>
    <w:rsid w:val="00E1670B"/>
    <w:rsid w:val="00E167C3"/>
    <w:rsid w:val="00E16CAA"/>
    <w:rsid w:val="00E16CC8"/>
    <w:rsid w:val="00E16DF0"/>
    <w:rsid w:val="00E16E46"/>
    <w:rsid w:val="00E17038"/>
    <w:rsid w:val="00E171B9"/>
    <w:rsid w:val="00E173DB"/>
    <w:rsid w:val="00E1759C"/>
    <w:rsid w:val="00E175E9"/>
    <w:rsid w:val="00E17812"/>
    <w:rsid w:val="00E1788D"/>
    <w:rsid w:val="00E17B43"/>
    <w:rsid w:val="00E17BB7"/>
    <w:rsid w:val="00E17FF6"/>
    <w:rsid w:val="00E2001A"/>
    <w:rsid w:val="00E2008A"/>
    <w:rsid w:val="00E201BF"/>
    <w:rsid w:val="00E202D7"/>
    <w:rsid w:val="00E2031D"/>
    <w:rsid w:val="00E20361"/>
    <w:rsid w:val="00E20883"/>
    <w:rsid w:val="00E20970"/>
    <w:rsid w:val="00E20D7D"/>
    <w:rsid w:val="00E20EC7"/>
    <w:rsid w:val="00E21024"/>
    <w:rsid w:val="00E21099"/>
    <w:rsid w:val="00E21653"/>
    <w:rsid w:val="00E2170F"/>
    <w:rsid w:val="00E21AF7"/>
    <w:rsid w:val="00E21BCC"/>
    <w:rsid w:val="00E21C22"/>
    <w:rsid w:val="00E21D13"/>
    <w:rsid w:val="00E21DD6"/>
    <w:rsid w:val="00E223DC"/>
    <w:rsid w:val="00E22B0C"/>
    <w:rsid w:val="00E22B47"/>
    <w:rsid w:val="00E22C16"/>
    <w:rsid w:val="00E22D4D"/>
    <w:rsid w:val="00E22DEC"/>
    <w:rsid w:val="00E230D9"/>
    <w:rsid w:val="00E235C0"/>
    <w:rsid w:val="00E23972"/>
    <w:rsid w:val="00E23A88"/>
    <w:rsid w:val="00E23A9E"/>
    <w:rsid w:val="00E23F05"/>
    <w:rsid w:val="00E23F3A"/>
    <w:rsid w:val="00E24056"/>
    <w:rsid w:val="00E241D1"/>
    <w:rsid w:val="00E24287"/>
    <w:rsid w:val="00E243E0"/>
    <w:rsid w:val="00E24455"/>
    <w:rsid w:val="00E245D0"/>
    <w:rsid w:val="00E2485B"/>
    <w:rsid w:val="00E24974"/>
    <w:rsid w:val="00E25026"/>
    <w:rsid w:val="00E251CA"/>
    <w:rsid w:val="00E25317"/>
    <w:rsid w:val="00E253C7"/>
    <w:rsid w:val="00E25444"/>
    <w:rsid w:val="00E25474"/>
    <w:rsid w:val="00E25745"/>
    <w:rsid w:val="00E258EA"/>
    <w:rsid w:val="00E2591D"/>
    <w:rsid w:val="00E25953"/>
    <w:rsid w:val="00E25989"/>
    <w:rsid w:val="00E259AA"/>
    <w:rsid w:val="00E25ECD"/>
    <w:rsid w:val="00E26071"/>
    <w:rsid w:val="00E26101"/>
    <w:rsid w:val="00E261A2"/>
    <w:rsid w:val="00E262F7"/>
    <w:rsid w:val="00E26350"/>
    <w:rsid w:val="00E26405"/>
    <w:rsid w:val="00E26576"/>
    <w:rsid w:val="00E265DC"/>
    <w:rsid w:val="00E266F2"/>
    <w:rsid w:val="00E2676B"/>
    <w:rsid w:val="00E26D25"/>
    <w:rsid w:val="00E26D5E"/>
    <w:rsid w:val="00E26D91"/>
    <w:rsid w:val="00E26E9C"/>
    <w:rsid w:val="00E26F4D"/>
    <w:rsid w:val="00E270AB"/>
    <w:rsid w:val="00E27569"/>
    <w:rsid w:val="00E27707"/>
    <w:rsid w:val="00E2771F"/>
    <w:rsid w:val="00E27908"/>
    <w:rsid w:val="00E27E58"/>
    <w:rsid w:val="00E27EEC"/>
    <w:rsid w:val="00E309D2"/>
    <w:rsid w:val="00E30C16"/>
    <w:rsid w:val="00E30E7E"/>
    <w:rsid w:val="00E3111A"/>
    <w:rsid w:val="00E31573"/>
    <w:rsid w:val="00E3159B"/>
    <w:rsid w:val="00E315FF"/>
    <w:rsid w:val="00E31630"/>
    <w:rsid w:val="00E31AD2"/>
    <w:rsid w:val="00E31B38"/>
    <w:rsid w:val="00E31BF3"/>
    <w:rsid w:val="00E31CB3"/>
    <w:rsid w:val="00E31F72"/>
    <w:rsid w:val="00E31F9C"/>
    <w:rsid w:val="00E3206D"/>
    <w:rsid w:val="00E32220"/>
    <w:rsid w:val="00E32307"/>
    <w:rsid w:val="00E3247A"/>
    <w:rsid w:val="00E3255C"/>
    <w:rsid w:val="00E3260B"/>
    <w:rsid w:val="00E326FD"/>
    <w:rsid w:val="00E32715"/>
    <w:rsid w:val="00E32760"/>
    <w:rsid w:val="00E327E7"/>
    <w:rsid w:val="00E32893"/>
    <w:rsid w:val="00E32971"/>
    <w:rsid w:val="00E32A50"/>
    <w:rsid w:val="00E32C1B"/>
    <w:rsid w:val="00E32EE5"/>
    <w:rsid w:val="00E32F93"/>
    <w:rsid w:val="00E3311D"/>
    <w:rsid w:val="00E331E2"/>
    <w:rsid w:val="00E334E6"/>
    <w:rsid w:val="00E33622"/>
    <w:rsid w:val="00E3378C"/>
    <w:rsid w:val="00E33CAF"/>
    <w:rsid w:val="00E33CFA"/>
    <w:rsid w:val="00E3419D"/>
    <w:rsid w:val="00E3432D"/>
    <w:rsid w:val="00E34410"/>
    <w:rsid w:val="00E34632"/>
    <w:rsid w:val="00E3468A"/>
    <w:rsid w:val="00E34732"/>
    <w:rsid w:val="00E34873"/>
    <w:rsid w:val="00E348FD"/>
    <w:rsid w:val="00E34984"/>
    <w:rsid w:val="00E34A34"/>
    <w:rsid w:val="00E34FFE"/>
    <w:rsid w:val="00E350D7"/>
    <w:rsid w:val="00E350FE"/>
    <w:rsid w:val="00E35182"/>
    <w:rsid w:val="00E35339"/>
    <w:rsid w:val="00E3547B"/>
    <w:rsid w:val="00E354C6"/>
    <w:rsid w:val="00E3554A"/>
    <w:rsid w:val="00E35716"/>
    <w:rsid w:val="00E35A15"/>
    <w:rsid w:val="00E35A70"/>
    <w:rsid w:val="00E35B63"/>
    <w:rsid w:val="00E35C7F"/>
    <w:rsid w:val="00E35D4B"/>
    <w:rsid w:val="00E35FA6"/>
    <w:rsid w:val="00E364A4"/>
    <w:rsid w:val="00E36E6E"/>
    <w:rsid w:val="00E36F5D"/>
    <w:rsid w:val="00E370B2"/>
    <w:rsid w:val="00E3713B"/>
    <w:rsid w:val="00E3737B"/>
    <w:rsid w:val="00E37469"/>
    <w:rsid w:val="00E375CE"/>
    <w:rsid w:val="00E379F7"/>
    <w:rsid w:val="00E37A67"/>
    <w:rsid w:val="00E37A6A"/>
    <w:rsid w:val="00E37BF2"/>
    <w:rsid w:val="00E37BFE"/>
    <w:rsid w:val="00E37D68"/>
    <w:rsid w:val="00E37DAD"/>
    <w:rsid w:val="00E37ECD"/>
    <w:rsid w:val="00E37EEA"/>
    <w:rsid w:val="00E37F53"/>
    <w:rsid w:val="00E40423"/>
    <w:rsid w:val="00E404EF"/>
    <w:rsid w:val="00E4058D"/>
    <w:rsid w:val="00E40814"/>
    <w:rsid w:val="00E408C2"/>
    <w:rsid w:val="00E40923"/>
    <w:rsid w:val="00E40A18"/>
    <w:rsid w:val="00E40A20"/>
    <w:rsid w:val="00E41087"/>
    <w:rsid w:val="00E411EB"/>
    <w:rsid w:val="00E41407"/>
    <w:rsid w:val="00E4157C"/>
    <w:rsid w:val="00E415B7"/>
    <w:rsid w:val="00E4161D"/>
    <w:rsid w:val="00E417C5"/>
    <w:rsid w:val="00E41E03"/>
    <w:rsid w:val="00E41E1F"/>
    <w:rsid w:val="00E42121"/>
    <w:rsid w:val="00E42212"/>
    <w:rsid w:val="00E42267"/>
    <w:rsid w:val="00E42452"/>
    <w:rsid w:val="00E42572"/>
    <w:rsid w:val="00E431BA"/>
    <w:rsid w:val="00E43281"/>
    <w:rsid w:val="00E432E8"/>
    <w:rsid w:val="00E43303"/>
    <w:rsid w:val="00E4335D"/>
    <w:rsid w:val="00E43394"/>
    <w:rsid w:val="00E433BB"/>
    <w:rsid w:val="00E434ED"/>
    <w:rsid w:val="00E435E5"/>
    <w:rsid w:val="00E43831"/>
    <w:rsid w:val="00E43876"/>
    <w:rsid w:val="00E43898"/>
    <w:rsid w:val="00E439E5"/>
    <w:rsid w:val="00E43ACF"/>
    <w:rsid w:val="00E43B90"/>
    <w:rsid w:val="00E43D35"/>
    <w:rsid w:val="00E43D6F"/>
    <w:rsid w:val="00E43DC8"/>
    <w:rsid w:val="00E441F3"/>
    <w:rsid w:val="00E44258"/>
    <w:rsid w:val="00E44611"/>
    <w:rsid w:val="00E4467B"/>
    <w:rsid w:val="00E44788"/>
    <w:rsid w:val="00E4491E"/>
    <w:rsid w:val="00E4491F"/>
    <w:rsid w:val="00E44B43"/>
    <w:rsid w:val="00E44B72"/>
    <w:rsid w:val="00E44CA0"/>
    <w:rsid w:val="00E44CE8"/>
    <w:rsid w:val="00E44CF7"/>
    <w:rsid w:val="00E44D7A"/>
    <w:rsid w:val="00E44DC0"/>
    <w:rsid w:val="00E44E22"/>
    <w:rsid w:val="00E451A5"/>
    <w:rsid w:val="00E452BB"/>
    <w:rsid w:val="00E4582E"/>
    <w:rsid w:val="00E4676D"/>
    <w:rsid w:val="00E468F3"/>
    <w:rsid w:val="00E4696B"/>
    <w:rsid w:val="00E46988"/>
    <w:rsid w:val="00E46A74"/>
    <w:rsid w:val="00E47104"/>
    <w:rsid w:val="00E47107"/>
    <w:rsid w:val="00E471C6"/>
    <w:rsid w:val="00E47448"/>
    <w:rsid w:val="00E474ED"/>
    <w:rsid w:val="00E47631"/>
    <w:rsid w:val="00E47705"/>
    <w:rsid w:val="00E47A5A"/>
    <w:rsid w:val="00E47A8E"/>
    <w:rsid w:val="00E47DCC"/>
    <w:rsid w:val="00E47E48"/>
    <w:rsid w:val="00E47EF4"/>
    <w:rsid w:val="00E50157"/>
    <w:rsid w:val="00E503C5"/>
    <w:rsid w:val="00E50402"/>
    <w:rsid w:val="00E50490"/>
    <w:rsid w:val="00E5064B"/>
    <w:rsid w:val="00E506A2"/>
    <w:rsid w:val="00E507F7"/>
    <w:rsid w:val="00E5086D"/>
    <w:rsid w:val="00E50956"/>
    <w:rsid w:val="00E50B17"/>
    <w:rsid w:val="00E50C01"/>
    <w:rsid w:val="00E50DC4"/>
    <w:rsid w:val="00E51107"/>
    <w:rsid w:val="00E5141F"/>
    <w:rsid w:val="00E5162D"/>
    <w:rsid w:val="00E51739"/>
    <w:rsid w:val="00E519C7"/>
    <w:rsid w:val="00E51C6E"/>
    <w:rsid w:val="00E51CEB"/>
    <w:rsid w:val="00E51D26"/>
    <w:rsid w:val="00E51E9E"/>
    <w:rsid w:val="00E51EE6"/>
    <w:rsid w:val="00E52099"/>
    <w:rsid w:val="00E520B3"/>
    <w:rsid w:val="00E520E1"/>
    <w:rsid w:val="00E52144"/>
    <w:rsid w:val="00E521CE"/>
    <w:rsid w:val="00E52297"/>
    <w:rsid w:val="00E5240D"/>
    <w:rsid w:val="00E52461"/>
    <w:rsid w:val="00E5299D"/>
    <w:rsid w:val="00E52BD3"/>
    <w:rsid w:val="00E52C17"/>
    <w:rsid w:val="00E52D8B"/>
    <w:rsid w:val="00E52ECC"/>
    <w:rsid w:val="00E53004"/>
    <w:rsid w:val="00E530BB"/>
    <w:rsid w:val="00E530ED"/>
    <w:rsid w:val="00E5326D"/>
    <w:rsid w:val="00E53476"/>
    <w:rsid w:val="00E53711"/>
    <w:rsid w:val="00E54084"/>
    <w:rsid w:val="00E540FA"/>
    <w:rsid w:val="00E54319"/>
    <w:rsid w:val="00E5433F"/>
    <w:rsid w:val="00E543A3"/>
    <w:rsid w:val="00E543B3"/>
    <w:rsid w:val="00E546EF"/>
    <w:rsid w:val="00E548A8"/>
    <w:rsid w:val="00E548AE"/>
    <w:rsid w:val="00E548B6"/>
    <w:rsid w:val="00E54ACD"/>
    <w:rsid w:val="00E54AEF"/>
    <w:rsid w:val="00E54B2B"/>
    <w:rsid w:val="00E54BC0"/>
    <w:rsid w:val="00E54D17"/>
    <w:rsid w:val="00E54DFE"/>
    <w:rsid w:val="00E54E18"/>
    <w:rsid w:val="00E553ED"/>
    <w:rsid w:val="00E555C9"/>
    <w:rsid w:val="00E5572E"/>
    <w:rsid w:val="00E558BA"/>
    <w:rsid w:val="00E55C58"/>
    <w:rsid w:val="00E55C6E"/>
    <w:rsid w:val="00E55C9E"/>
    <w:rsid w:val="00E55F84"/>
    <w:rsid w:val="00E562AB"/>
    <w:rsid w:val="00E56499"/>
    <w:rsid w:val="00E56527"/>
    <w:rsid w:val="00E56599"/>
    <w:rsid w:val="00E56AB3"/>
    <w:rsid w:val="00E56B4C"/>
    <w:rsid w:val="00E56D3F"/>
    <w:rsid w:val="00E56D47"/>
    <w:rsid w:val="00E570B9"/>
    <w:rsid w:val="00E570C3"/>
    <w:rsid w:val="00E572E5"/>
    <w:rsid w:val="00E574C3"/>
    <w:rsid w:val="00E577CB"/>
    <w:rsid w:val="00E578A1"/>
    <w:rsid w:val="00E579F6"/>
    <w:rsid w:val="00E57EA3"/>
    <w:rsid w:val="00E57EBC"/>
    <w:rsid w:val="00E60257"/>
    <w:rsid w:val="00E603F6"/>
    <w:rsid w:val="00E60449"/>
    <w:rsid w:val="00E604F4"/>
    <w:rsid w:val="00E60513"/>
    <w:rsid w:val="00E605CF"/>
    <w:rsid w:val="00E606CB"/>
    <w:rsid w:val="00E6072E"/>
    <w:rsid w:val="00E60B63"/>
    <w:rsid w:val="00E60C89"/>
    <w:rsid w:val="00E60CC9"/>
    <w:rsid w:val="00E6107B"/>
    <w:rsid w:val="00E61131"/>
    <w:rsid w:val="00E611DD"/>
    <w:rsid w:val="00E613B6"/>
    <w:rsid w:val="00E6147A"/>
    <w:rsid w:val="00E61632"/>
    <w:rsid w:val="00E61BDD"/>
    <w:rsid w:val="00E61D4D"/>
    <w:rsid w:val="00E61D55"/>
    <w:rsid w:val="00E61D82"/>
    <w:rsid w:val="00E61D91"/>
    <w:rsid w:val="00E6218C"/>
    <w:rsid w:val="00E62603"/>
    <w:rsid w:val="00E62881"/>
    <w:rsid w:val="00E62ABA"/>
    <w:rsid w:val="00E62E51"/>
    <w:rsid w:val="00E62F44"/>
    <w:rsid w:val="00E63178"/>
    <w:rsid w:val="00E631D6"/>
    <w:rsid w:val="00E634C7"/>
    <w:rsid w:val="00E63724"/>
    <w:rsid w:val="00E638FD"/>
    <w:rsid w:val="00E63F0E"/>
    <w:rsid w:val="00E63F43"/>
    <w:rsid w:val="00E63F9D"/>
    <w:rsid w:val="00E6404B"/>
    <w:rsid w:val="00E6458C"/>
    <w:rsid w:val="00E64700"/>
    <w:rsid w:val="00E64792"/>
    <w:rsid w:val="00E64B38"/>
    <w:rsid w:val="00E64F06"/>
    <w:rsid w:val="00E6511D"/>
    <w:rsid w:val="00E651E0"/>
    <w:rsid w:val="00E653CD"/>
    <w:rsid w:val="00E65469"/>
    <w:rsid w:val="00E6550A"/>
    <w:rsid w:val="00E655A7"/>
    <w:rsid w:val="00E65720"/>
    <w:rsid w:val="00E65A12"/>
    <w:rsid w:val="00E65C06"/>
    <w:rsid w:val="00E65FDD"/>
    <w:rsid w:val="00E666C5"/>
    <w:rsid w:val="00E666CB"/>
    <w:rsid w:val="00E666ED"/>
    <w:rsid w:val="00E66865"/>
    <w:rsid w:val="00E66C21"/>
    <w:rsid w:val="00E674A1"/>
    <w:rsid w:val="00E679DD"/>
    <w:rsid w:val="00E67AFF"/>
    <w:rsid w:val="00E67B6D"/>
    <w:rsid w:val="00E67B94"/>
    <w:rsid w:val="00E67C49"/>
    <w:rsid w:val="00E67C8A"/>
    <w:rsid w:val="00E67CB4"/>
    <w:rsid w:val="00E70016"/>
    <w:rsid w:val="00E701A7"/>
    <w:rsid w:val="00E703C9"/>
    <w:rsid w:val="00E70666"/>
    <w:rsid w:val="00E70688"/>
    <w:rsid w:val="00E70795"/>
    <w:rsid w:val="00E70929"/>
    <w:rsid w:val="00E70A8E"/>
    <w:rsid w:val="00E70AE0"/>
    <w:rsid w:val="00E70B0A"/>
    <w:rsid w:val="00E70B67"/>
    <w:rsid w:val="00E70D96"/>
    <w:rsid w:val="00E70DD7"/>
    <w:rsid w:val="00E7120D"/>
    <w:rsid w:val="00E712EA"/>
    <w:rsid w:val="00E71D10"/>
    <w:rsid w:val="00E71D1B"/>
    <w:rsid w:val="00E71D26"/>
    <w:rsid w:val="00E722C4"/>
    <w:rsid w:val="00E722E1"/>
    <w:rsid w:val="00E725B2"/>
    <w:rsid w:val="00E729F6"/>
    <w:rsid w:val="00E72D6F"/>
    <w:rsid w:val="00E72EE0"/>
    <w:rsid w:val="00E72FD0"/>
    <w:rsid w:val="00E730CB"/>
    <w:rsid w:val="00E73156"/>
    <w:rsid w:val="00E731F6"/>
    <w:rsid w:val="00E732CE"/>
    <w:rsid w:val="00E735E9"/>
    <w:rsid w:val="00E73A16"/>
    <w:rsid w:val="00E74135"/>
    <w:rsid w:val="00E741FB"/>
    <w:rsid w:val="00E74336"/>
    <w:rsid w:val="00E744BA"/>
    <w:rsid w:val="00E74621"/>
    <w:rsid w:val="00E74647"/>
    <w:rsid w:val="00E746DE"/>
    <w:rsid w:val="00E7477C"/>
    <w:rsid w:val="00E749AB"/>
    <w:rsid w:val="00E74CD1"/>
    <w:rsid w:val="00E74ED3"/>
    <w:rsid w:val="00E75485"/>
    <w:rsid w:val="00E7553C"/>
    <w:rsid w:val="00E756A3"/>
    <w:rsid w:val="00E75891"/>
    <w:rsid w:val="00E75955"/>
    <w:rsid w:val="00E75CDA"/>
    <w:rsid w:val="00E75D47"/>
    <w:rsid w:val="00E75DD4"/>
    <w:rsid w:val="00E75F9E"/>
    <w:rsid w:val="00E76073"/>
    <w:rsid w:val="00E760D3"/>
    <w:rsid w:val="00E7628D"/>
    <w:rsid w:val="00E76549"/>
    <w:rsid w:val="00E765EB"/>
    <w:rsid w:val="00E76634"/>
    <w:rsid w:val="00E7667D"/>
    <w:rsid w:val="00E766E3"/>
    <w:rsid w:val="00E76704"/>
    <w:rsid w:val="00E76993"/>
    <w:rsid w:val="00E769B2"/>
    <w:rsid w:val="00E76BDF"/>
    <w:rsid w:val="00E76C93"/>
    <w:rsid w:val="00E76DA2"/>
    <w:rsid w:val="00E76F57"/>
    <w:rsid w:val="00E7768D"/>
    <w:rsid w:val="00E777E0"/>
    <w:rsid w:val="00E779E4"/>
    <w:rsid w:val="00E77B22"/>
    <w:rsid w:val="00E77C7A"/>
    <w:rsid w:val="00E77CE0"/>
    <w:rsid w:val="00E77E37"/>
    <w:rsid w:val="00E77EBC"/>
    <w:rsid w:val="00E77FA6"/>
    <w:rsid w:val="00E80065"/>
    <w:rsid w:val="00E8009C"/>
    <w:rsid w:val="00E80210"/>
    <w:rsid w:val="00E80226"/>
    <w:rsid w:val="00E8036C"/>
    <w:rsid w:val="00E804D4"/>
    <w:rsid w:val="00E805D6"/>
    <w:rsid w:val="00E806C0"/>
    <w:rsid w:val="00E808ED"/>
    <w:rsid w:val="00E80AEB"/>
    <w:rsid w:val="00E80D11"/>
    <w:rsid w:val="00E81133"/>
    <w:rsid w:val="00E81401"/>
    <w:rsid w:val="00E81881"/>
    <w:rsid w:val="00E81AE3"/>
    <w:rsid w:val="00E81B5E"/>
    <w:rsid w:val="00E81BA7"/>
    <w:rsid w:val="00E81E8B"/>
    <w:rsid w:val="00E81F59"/>
    <w:rsid w:val="00E82527"/>
    <w:rsid w:val="00E82815"/>
    <w:rsid w:val="00E82A78"/>
    <w:rsid w:val="00E82D24"/>
    <w:rsid w:val="00E82E77"/>
    <w:rsid w:val="00E82E9E"/>
    <w:rsid w:val="00E83110"/>
    <w:rsid w:val="00E833D6"/>
    <w:rsid w:val="00E83420"/>
    <w:rsid w:val="00E83565"/>
    <w:rsid w:val="00E835C9"/>
    <w:rsid w:val="00E836CC"/>
    <w:rsid w:val="00E838A4"/>
    <w:rsid w:val="00E839EA"/>
    <w:rsid w:val="00E83AFC"/>
    <w:rsid w:val="00E83B0F"/>
    <w:rsid w:val="00E84152"/>
    <w:rsid w:val="00E841FA"/>
    <w:rsid w:val="00E84442"/>
    <w:rsid w:val="00E84514"/>
    <w:rsid w:val="00E848BB"/>
    <w:rsid w:val="00E84AF1"/>
    <w:rsid w:val="00E84DCA"/>
    <w:rsid w:val="00E8505F"/>
    <w:rsid w:val="00E856BF"/>
    <w:rsid w:val="00E8597A"/>
    <w:rsid w:val="00E85A28"/>
    <w:rsid w:val="00E85D9A"/>
    <w:rsid w:val="00E86227"/>
    <w:rsid w:val="00E8645C"/>
    <w:rsid w:val="00E865BD"/>
    <w:rsid w:val="00E86682"/>
    <w:rsid w:val="00E8671E"/>
    <w:rsid w:val="00E86744"/>
    <w:rsid w:val="00E86895"/>
    <w:rsid w:val="00E868CE"/>
    <w:rsid w:val="00E86B69"/>
    <w:rsid w:val="00E86BD2"/>
    <w:rsid w:val="00E86D04"/>
    <w:rsid w:val="00E87101"/>
    <w:rsid w:val="00E874E7"/>
    <w:rsid w:val="00E875C8"/>
    <w:rsid w:val="00E877E9"/>
    <w:rsid w:val="00E87A0E"/>
    <w:rsid w:val="00E87ACA"/>
    <w:rsid w:val="00E87C0D"/>
    <w:rsid w:val="00E87C28"/>
    <w:rsid w:val="00E87EFD"/>
    <w:rsid w:val="00E900D2"/>
    <w:rsid w:val="00E90515"/>
    <w:rsid w:val="00E909B2"/>
    <w:rsid w:val="00E90EAC"/>
    <w:rsid w:val="00E9105C"/>
    <w:rsid w:val="00E911A4"/>
    <w:rsid w:val="00E912EB"/>
    <w:rsid w:val="00E913DA"/>
    <w:rsid w:val="00E914E4"/>
    <w:rsid w:val="00E916EF"/>
    <w:rsid w:val="00E91754"/>
    <w:rsid w:val="00E91A7E"/>
    <w:rsid w:val="00E91B28"/>
    <w:rsid w:val="00E91C44"/>
    <w:rsid w:val="00E91FED"/>
    <w:rsid w:val="00E9233C"/>
    <w:rsid w:val="00E923E0"/>
    <w:rsid w:val="00E92A32"/>
    <w:rsid w:val="00E92AF2"/>
    <w:rsid w:val="00E92BB6"/>
    <w:rsid w:val="00E92BF5"/>
    <w:rsid w:val="00E92DF2"/>
    <w:rsid w:val="00E92E95"/>
    <w:rsid w:val="00E92ED9"/>
    <w:rsid w:val="00E92FF5"/>
    <w:rsid w:val="00E932CE"/>
    <w:rsid w:val="00E935B0"/>
    <w:rsid w:val="00E9388E"/>
    <w:rsid w:val="00E939E3"/>
    <w:rsid w:val="00E93A23"/>
    <w:rsid w:val="00E93D0E"/>
    <w:rsid w:val="00E94088"/>
    <w:rsid w:val="00E940CF"/>
    <w:rsid w:val="00E94181"/>
    <w:rsid w:val="00E942D5"/>
    <w:rsid w:val="00E94372"/>
    <w:rsid w:val="00E94482"/>
    <w:rsid w:val="00E944A9"/>
    <w:rsid w:val="00E945DB"/>
    <w:rsid w:val="00E94754"/>
    <w:rsid w:val="00E949CB"/>
    <w:rsid w:val="00E94F91"/>
    <w:rsid w:val="00E952C5"/>
    <w:rsid w:val="00E958F3"/>
    <w:rsid w:val="00E95B84"/>
    <w:rsid w:val="00E95C17"/>
    <w:rsid w:val="00E95CEF"/>
    <w:rsid w:val="00E95EB5"/>
    <w:rsid w:val="00E95EEE"/>
    <w:rsid w:val="00E96123"/>
    <w:rsid w:val="00E96C51"/>
    <w:rsid w:val="00E96CF0"/>
    <w:rsid w:val="00E97340"/>
    <w:rsid w:val="00E97357"/>
    <w:rsid w:val="00E97359"/>
    <w:rsid w:val="00E97396"/>
    <w:rsid w:val="00E9743F"/>
    <w:rsid w:val="00E9772E"/>
    <w:rsid w:val="00E9779D"/>
    <w:rsid w:val="00E9781F"/>
    <w:rsid w:val="00E9796A"/>
    <w:rsid w:val="00E97ADB"/>
    <w:rsid w:val="00E97BD0"/>
    <w:rsid w:val="00E97D91"/>
    <w:rsid w:val="00E97F4F"/>
    <w:rsid w:val="00EA0007"/>
    <w:rsid w:val="00EA0012"/>
    <w:rsid w:val="00EA0097"/>
    <w:rsid w:val="00EA02D2"/>
    <w:rsid w:val="00EA0501"/>
    <w:rsid w:val="00EA06B0"/>
    <w:rsid w:val="00EA08C5"/>
    <w:rsid w:val="00EA0D2D"/>
    <w:rsid w:val="00EA0FBE"/>
    <w:rsid w:val="00EA17E1"/>
    <w:rsid w:val="00EA1943"/>
    <w:rsid w:val="00EA1A40"/>
    <w:rsid w:val="00EA1ED4"/>
    <w:rsid w:val="00EA1FFC"/>
    <w:rsid w:val="00EA201E"/>
    <w:rsid w:val="00EA214C"/>
    <w:rsid w:val="00EA21B4"/>
    <w:rsid w:val="00EA22A3"/>
    <w:rsid w:val="00EA24C0"/>
    <w:rsid w:val="00EA264E"/>
    <w:rsid w:val="00EA28F4"/>
    <w:rsid w:val="00EA2FA7"/>
    <w:rsid w:val="00EA3143"/>
    <w:rsid w:val="00EA3BC3"/>
    <w:rsid w:val="00EA3ED7"/>
    <w:rsid w:val="00EA4049"/>
    <w:rsid w:val="00EA4321"/>
    <w:rsid w:val="00EA43E3"/>
    <w:rsid w:val="00EA453B"/>
    <w:rsid w:val="00EA47A0"/>
    <w:rsid w:val="00EA4859"/>
    <w:rsid w:val="00EA49FA"/>
    <w:rsid w:val="00EA4DB3"/>
    <w:rsid w:val="00EA4DF4"/>
    <w:rsid w:val="00EA4ED8"/>
    <w:rsid w:val="00EA5144"/>
    <w:rsid w:val="00EA5211"/>
    <w:rsid w:val="00EA522E"/>
    <w:rsid w:val="00EA52D0"/>
    <w:rsid w:val="00EA5620"/>
    <w:rsid w:val="00EA5817"/>
    <w:rsid w:val="00EA5A31"/>
    <w:rsid w:val="00EA5B9E"/>
    <w:rsid w:val="00EA5E22"/>
    <w:rsid w:val="00EA5F1C"/>
    <w:rsid w:val="00EA6046"/>
    <w:rsid w:val="00EA61A3"/>
    <w:rsid w:val="00EA635E"/>
    <w:rsid w:val="00EA63EF"/>
    <w:rsid w:val="00EA658C"/>
    <w:rsid w:val="00EA66EB"/>
    <w:rsid w:val="00EA690E"/>
    <w:rsid w:val="00EA69E2"/>
    <w:rsid w:val="00EA6A3D"/>
    <w:rsid w:val="00EA6E06"/>
    <w:rsid w:val="00EA757A"/>
    <w:rsid w:val="00EA75AC"/>
    <w:rsid w:val="00EA777F"/>
    <w:rsid w:val="00EA7D0D"/>
    <w:rsid w:val="00EA7F6F"/>
    <w:rsid w:val="00EA7F7F"/>
    <w:rsid w:val="00EA7F87"/>
    <w:rsid w:val="00EB00DB"/>
    <w:rsid w:val="00EB016D"/>
    <w:rsid w:val="00EB0220"/>
    <w:rsid w:val="00EB0506"/>
    <w:rsid w:val="00EB0565"/>
    <w:rsid w:val="00EB06D5"/>
    <w:rsid w:val="00EB0832"/>
    <w:rsid w:val="00EB09E6"/>
    <w:rsid w:val="00EB0ADC"/>
    <w:rsid w:val="00EB0BCB"/>
    <w:rsid w:val="00EB0C78"/>
    <w:rsid w:val="00EB0CB3"/>
    <w:rsid w:val="00EB1531"/>
    <w:rsid w:val="00EB168F"/>
    <w:rsid w:val="00EB17A4"/>
    <w:rsid w:val="00EB1E23"/>
    <w:rsid w:val="00EB1E67"/>
    <w:rsid w:val="00EB22FF"/>
    <w:rsid w:val="00EB256E"/>
    <w:rsid w:val="00EB2A2E"/>
    <w:rsid w:val="00EB2B5D"/>
    <w:rsid w:val="00EB2C7E"/>
    <w:rsid w:val="00EB2EAE"/>
    <w:rsid w:val="00EB2F9C"/>
    <w:rsid w:val="00EB30DA"/>
    <w:rsid w:val="00EB310C"/>
    <w:rsid w:val="00EB31FD"/>
    <w:rsid w:val="00EB35D1"/>
    <w:rsid w:val="00EB35FF"/>
    <w:rsid w:val="00EB370C"/>
    <w:rsid w:val="00EB381E"/>
    <w:rsid w:val="00EB3916"/>
    <w:rsid w:val="00EB3F9D"/>
    <w:rsid w:val="00EB43F2"/>
    <w:rsid w:val="00EB45B6"/>
    <w:rsid w:val="00EB4817"/>
    <w:rsid w:val="00EB4977"/>
    <w:rsid w:val="00EB4AE7"/>
    <w:rsid w:val="00EB4B27"/>
    <w:rsid w:val="00EB4C01"/>
    <w:rsid w:val="00EB5171"/>
    <w:rsid w:val="00EB5265"/>
    <w:rsid w:val="00EB532E"/>
    <w:rsid w:val="00EB5477"/>
    <w:rsid w:val="00EB54FC"/>
    <w:rsid w:val="00EB5590"/>
    <w:rsid w:val="00EB57DE"/>
    <w:rsid w:val="00EB5D22"/>
    <w:rsid w:val="00EB5DC6"/>
    <w:rsid w:val="00EB5EBD"/>
    <w:rsid w:val="00EB5ED2"/>
    <w:rsid w:val="00EB5F7F"/>
    <w:rsid w:val="00EB6141"/>
    <w:rsid w:val="00EB6191"/>
    <w:rsid w:val="00EB62B6"/>
    <w:rsid w:val="00EB69EC"/>
    <w:rsid w:val="00EB6C1E"/>
    <w:rsid w:val="00EB6D3E"/>
    <w:rsid w:val="00EB6E44"/>
    <w:rsid w:val="00EB6FF8"/>
    <w:rsid w:val="00EB73B9"/>
    <w:rsid w:val="00EB7829"/>
    <w:rsid w:val="00EB784C"/>
    <w:rsid w:val="00EB7D78"/>
    <w:rsid w:val="00EB7DFD"/>
    <w:rsid w:val="00EB7E78"/>
    <w:rsid w:val="00EC03E4"/>
    <w:rsid w:val="00EC0476"/>
    <w:rsid w:val="00EC052A"/>
    <w:rsid w:val="00EC05A9"/>
    <w:rsid w:val="00EC061A"/>
    <w:rsid w:val="00EC0A98"/>
    <w:rsid w:val="00EC0BEF"/>
    <w:rsid w:val="00EC0D10"/>
    <w:rsid w:val="00EC0DBC"/>
    <w:rsid w:val="00EC0DD0"/>
    <w:rsid w:val="00EC0E04"/>
    <w:rsid w:val="00EC1070"/>
    <w:rsid w:val="00EC1190"/>
    <w:rsid w:val="00EC1238"/>
    <w:rsid w:val="00EC1283"/>
    <w:rsid w:val="00EC12E7"/>
    <w:rsid w:val="00EC14AF"/>
    <w:rsid w:val="00EC1806"/>
    <w:rsid w:val="00EC193A"/>
    <w:rsid w:val="00EC1A96"/>
    <w:rsid w:val="00EC2148"/>
    <w:rsid w:val="00EC21AB"/>
    <w:rsid w:val="00EC21D0"/>
    <w:rsid w:val="00EC2235"/>
    <w:rsid w:val="00EC233C"/>
    <w:rsid w:val="00EC279B"/>
    <w:rsid w:val="00EC27D2"/>
    <w:rsid w:val="00EC28BD"/>
    <w:rsid w:val="00EC2939"/>
    <w:rsid w:val="00EC29B8"/>
    <w:rsid w:val="00EC2AAB"/>
    <w:rsid w:val="00EC35C1"/>
    <w:rsid w:val="00EC35FB"/>
    <w:rsid w:val="00EC366A"/>
    <w:rsid w:val="00EC3D15"/>
    <w:rsid w:val="00EC3E1E"/>
    <w:rsid w:val="00EC3FF5"/>
    <w:rsid w:val="00EC4157"/>
    <w:rsid w:val="00EC42E4"/>
    <w:rsid w:val="00EC436A"/>
    <w:rsid w:val="00EC45A7"/>
    <w:rsid w:val="00EC45C2"/>
    <w:rsid w:val="00EC4955"/>
    <w:rsid w:val="00EC4BEE"/>
    <w:rsid w:val="00EC4D7A"/>
    <w:rsid w:val="00EC4EF3"/>
    <w:rsid w:val="00EC556C"/>
    <w:rsid w:val="00EC55B4"/>
    <w:rsid w:val="00EC5911"/>
    <w:rsid w:val="00EC5AED"/>
    <w:rsid w:val="00EC5C7B"/>
    <w:rsid w:val="00EC5DCD"/>
    <w:rsid w:val="00EC61E5"/>
    <w:rsid w:val="00EC64BE"/>
    <w:rsid w:val="00EC6599"/>
    <w:rsid w:val="00EC665B"/>
    <w:rsid w:val="00EC690F"/>
    <w:rsid w:val="00EC6B6A"/>
    <w:rsid w:val="00EC6E4A"/>
    <w:rsid w:val="00EC6E6D"/>
    <w:rsid w:val="00EC73EC"/>
    <w:rsid w:val="00EC7743"/>
    <w:rsid w:val="00EC7779"/>
    <w:rsid w:val="00EC77B9"/>
    <w:rsid w:val="00EC7B2A"/>
    <w:rsid w:val="00EC7F60"/>
    <w:rsid w:val="00ED0270"/>
    <w:rsid w:val="00ED0457"/>
    <w:rsid w:val="00ED0BC2"/>
    <w:rsid w:val="00ED0BF9"/>
    <w:rsid w:val="00ED0D3B"/>
    <w:rsid w:val="00ED10B5"/>
    <w:rsid w:val="00ED1168"/>
    <w:rsid w:val="00ED1360"/>
    <w:rsid w:val="00ED13AE"/>
    <w:rsid w:val="00ED155B"/>
    <w:rsid w:val="00ED16A4"/>
    <w:rsid w:val="00ED189A"/>
    <w:rsid w:val="00ED1A54"/>
    <w:rsid w:val="00ED1B9E"/>
    <w:rsid w:val="00ED1BE1"/>
    <w:rsid w:val="00ED1EB6"/>
    <w:rsid w:val="00ED20D0"/>
    <w:rsid w:val="00ED25B4"/>
    <w:rsid w:val="00ED286C"/>
    <w:rsid w:val="00ED3030"/>
    <w:rsid w:val="00ED35A3"/>
    <w:rsid w:val="00ED35CE"/>
    <w:rsid w:val="00ED3612"/>
    <w:rsid w:val="00ED361B"/>
    <w:rsid w:val="00ED37FA"/>
    <w:rsid w:val="00ED3CA2"/>
    <w:rsid w:val="00ED3D8E"/>
    <w:rsid w:val="00ED3F3A"/>
    <w:rsid w:val="00ED400F"/>
    <w:rsid w:val="00ED406C"/>
    <w:rsid w:val="00ED41A1"/>
    <w:rsid w:val="00ED465F"/>
    <w:rsid w:val="00ED487E"/>
    <w:rsid w:val="00ED4882"/>
    <w:rsid w:val="00ED4983"/>
    <w:rsid w:val="00ED54A6"/>
    <w:rsid w:val="00ED55C7"/>
    <w:rsid w:val="00ED56D9"/>
    <w:rsid w:val="00ED571A"/>
    <w:rsid w:val="00ED5AC5"/>
    <w:rsid w:val="00ED5DFD"/>
    <w:rsid w:val="00ED6099"/>
    <w:rsid w:val="00ED622E"/>
    <w:rsid w:val="00ED62DE"/>
    <w:rsid w:val="00ED634A"/>
    <w:rsid w:val="00ED6431"/>
    <w:rsid w:val="00ED65F5"/>
    <w:rsid w:val="00ED669B"/>
    <w:rsid w:val="00ED66A2"/>
    <w:rsid w:val="00ED6940"/>
    <w:rsid w:val="00ED6A88"/>
    <w:rsid w:val="00ED6A95"/>
    <w:rsid w:val="00ED6D17"/>
    <w:rsid w:val="00ED6D21"/>
    <w:rsid w:val="00ED6D2F"/>
    <w:rsid w:val="00ED6DBA"/>
    <w:rsid w:val="00ED6F04"/>
    <w:rsid w:val="00ED6F67"/>
    <w:rsid w:val="00ED7186"/>
    <w:rsid w:val="00ED72BD"/>
    <w:rsid w:val="00ED73F8"/>
    <w:rsid w:val="00ED75CD"/>
    <w:rsid w:val="00ED7BD1"/>
    <w:rsid w:val="00ED7C42"/>
    <w:rsid w:val="00EE0176"/>
    <w:rsid w:val="00EE01C3"/>
    <w:rsid w:val="00EE0416"/>
    <w:rsid w:val="00EE06FD"/>
    <w:rsid w:val="00EE082A"/>
    <w:rsid w:val="00EE08A9"/>
    <w:rsid w:val="00EE0975"/>
    <w:rsid w:val="00EE0A53"/>
    <w:rsid w:val="00EE0AE0"/>
    <w:rsid w:val="00EE0E04"/>
    <w:rsid w:val="00EE100C"/>
    <w:rsid w:val="00EE1112"/>
    <w:rsid w:val="00EE149C"/>
    <w:rsid w:val="00EE1628"/>
    <w:rsid w:val="00EE1813"/>
    <w:rsid w:val="00EE196D"/>
    <w:rsid w:val="00EE19A5"/>
    <w:rsid w:val="00EE1C72"/>
    <w:rsid w:val="00EE1C95"/>
    <w:rsid w:val="00EE1F4D"/>
    <w:rsid w:val="00EE2030"/>
    <w:rsid w:val="00EE2252"/>
    <w:rsid w:val="00EE2339"/>
    <w:rsid w:val="00EE244D"/>
    <w:rsid w:val="00EE250C"/>
    <w:rsid w:val="00EE25AC"/>
    <w:rsid w:val="00EE2788"/>
    <w:rsid w:val="00EE2CC6"/>
    <w:rsid w:val="00EE2D27"/>
    <w:rsid w:val="00EE32AD"/>
    <w:rsid w:val="00EE36FB"/>
    <w:rsid w:val="00EE37E2"/>
    <w:rsid w:val="00EE3BCA"/>
    <w:rsid w:val="00EE3BD1"/>
    <w:rsid w:val="00EE3D25"/>
    <w:rsid w:val="00EE410E"/>
    <w:rsid w:val="00EE421E"/>
    <w:rsid w:val="00EE46FF"/>
    <w:rsid w:val="00EE4704"/>
    <w:rsid w:val="00EE4870"/>
    <w:rsid w:val="00EE4A1B"/>
    <w:rsid w:val="00EE4EFB"/>
    <w:rsid w:val="00EE4FAF"/>
    <w:rsid w:val="00EE534A"/>
    <w:rsid w:val="00EE5B1F"/>
    <w:rsid w:val="00EE62A4"/>
    <w:rsid w:val="00EE62C8"/>
    <w:rsid w:val="00EE6447"/>
    <w:rsid w:val="00EE68BA"/>
    <w:rsid w:val="00EE6A1B"/>
    <w:rsid w:val="00EE6AE1"/>
    <w:rsid w:val="00EE6F14"/>
    <w:rsid w:val="00EE721D"/>
    <w:rsid w:val="00EE7285"/>
    <w:rsid w:val="00EE7461"/>
    <w:rsid w:val="00EE780B"/>
    <w:rsid w:val="00EE7815"/>
    <w:rsid w:val="00EE7818"/>
    <w:rsid w:val="00EE7A26"/>
    <w:rsid w:val="00EE7B5C"/>
    <w:rsid w:val="00EE7BC5"/>
    <w:rsid w:val="00EE7C02"/>
    <w:rsid w:val="00EE7DC8"/>
    <w:rsid w:val="00EE7E50"/>
    <w:rsid w:val="00EE7FB0"/>
    <w:rsid w:val="00EF0198"/>
    <w:rsid w:val="00EF02E9"/>
    <w:rsid w:val="00EF06E6"/>
    <w:rsid w:val="00EF07C9"/>
    <w:rsid w:val="00EF086B"/>
    <w:rsid w:val="00EF09AD"/>
    <w:rsid w:val="00EF09BC"/>
    <w:rsid w:val="00EF0CFA"/>
    <w:rsid w:val="00EF0DA5"/>
    <w:rsid w:val="00EF0E43"/>
    <w:rsid w:val="00EF0F57"/>
    <w:rsid w:val="00EF0F96"/>
    <w:rsid w:val="00EF10B3"/>
    <w:rsid w:val="00EF111C"/>
    <w:rsid w:val="00EF12E6"/>
    <w:rsid w:val="00EF143B"/>
    <w:rsid w:val="00EF15F5"/>
    <w:rsid w:val="00EF177F"/>
    <w:rsid w:val="00EF1B10"/>
    <w:rsid w:val="00EF1C76"/>
    <w:rsid w:val="00EF1D88"/>
    <w:rsid w:val="00EF1FDA"/>
    <w:rsid w:val="00EF2597"/>
    <w:rsid w:val="00EF276E"/>
    <w:rsid w:val="00EF2923"/>
    <w:rsid w:val="00EF2BC7"/>
    <w:rsid w:val="00EF2E4A"/>
    <w:rsid w:val="00EF2E66"/>
    <w:rsid w:val="00EF312A"/>
    <w:rsid w:val="00EF320F"/>
    <w:rsid w:val="00EF33EE"/>
    <w:rsid w:val="00EF36F9"/>
    <w:rsid w:val="00EF3728"/>
    <w:rsid w:val="00EF3757"/>
    <w:rsid w:val="00EF38C9"/>
    <w:rsid w:val="00EF3B31"/>
    <w:rsid w:val="00EF3DF7"/>
    <w:rsid w:val="00EF3DF8"/>
    <w:rsid w:val="00EF3F23"/>
    <w:rsid w:val="00EF3F5B"/>
    <w:rsid w:val="00EF40EB"/>
    <w:rsid w:val="00EF428B"/>
    <w:rsid w:val="00EF42B2"/>
    <w:rsid w:val="00EF46C9"/>
    <w:rsid w:val="00EF4D29"/>
    <w:rsid w:val="00EF4DF2"/>
    <w:rsid w:val="00EF4E76"/>
    <w:rsid w:val="00EF51B8"/>
    <w:rsid w:val="00EF54B2"/>
    <w:rsid w:val="00EF5640"/>
    <w:rsid w:val="00EF5931"/>
    <w:rsid w:val="00EF5996"/>
    <w:rsid w:val="00EF59DD"/>
    <w:rsid w:val="00EF5B16"/>
    <w:rsid w:val="00EF5C4C"/>
    <w:rsid w:val="00EF5D30"/>
    <w:rsid w:val="00EF6081"/>
    <w:rsid w:val="00EF62A6"/>
    <w:rsid w:val="00EF64BF"/>
    <w:rsid w:val="00EF669E"/>
    <w:rsid w:val="00EF6788"/>
    <w:rsid w:val="00EF6861"/>
    <w:rsid w:val="00EF6C45"/>
    <w:rsid w:val="00EF6DEB"/>
    <w:rsid w:val="00EF7035"/>
    <w:rsid w:val="00EF70C9"/>
    <w:rsid w:val="00EF7212"/>
    <w:rsid w:val="00EF73E4"/>
    <w:rsid w:val="00EF75DC"/>
    <w:rsid w:val="00EF761B"/>
    <w:rsid w:val="00EF790F"/>
    <w:rsid w:val="00EF7E66"/>
    <w:rsid w:val="00F00104"/>
    <w:rsid w:val="00F00190"/>
    <w:rsid w:val="00F002AB"/>
    <w:rsid w:val="00F00782"/>
    <w:rsid w:val="00F00813"/>
    <w:rsid w:val="00F00831"/>
    <w:rsid w:val="00F00958"/>
    <w:rsid w:val="00F01251"/>
    <w:rsid w:val="00F01292"/>
    <w:rsid w:val="00F0139C"/>
    <w:rsid w:val="00F013E7"/>
    <w:rsid w:val="00F015D3"/>
    <w:rsid w:val="00F01617"/>
    <w:rsid w:val="00F0170F"/>
    <w:rsid w:val="00F01994"/>
    <w:rsid w:val="00F01C73"/>
    <w:rsid w:val="00F0201E"/>
    <w:rsid w:val="00F024A0"/>
    <w:rsid w:val="00F024B7"/>
    <w:rsid w:val="00F028FB"/>
    <w:rsid w:val="00F02AC4"/>
    <w:rsid w:val="00F02B40"/>
    <w:rsid w:val="00F02E38"/>
    <w:rsid w:val="00F02F50"/>
    <w:rsid w:val="00F031A5"/>
    <w:rsid w:val="00F0380D"/>
    <w:rsid w:val="00F038C1"/>
    <w:rsid w:val="00F038E2"/>
    <w:rsid w:val="00F03978"/>
    <w:rsid w:val="00F039C8"/>
    <w:rsid w:val="00F03AD6"/>
    <w:rsid w:val="00F03B99"/>
    <w:rsid w:val="00F03D21"/>
    <w:rsid w:val="00F03EF8"/>
    <w:rsid w:val="00F04174"/>
    <w:rsid w:val="00F04242"/>
    <w:rsid w:val="00F044F8"/>
    <w:rsid w:val="00F0455D"/>
    <w:rsid w:val="00F04642"/>
    <w:rsid w:val="00F049F3"/>
    <w:rsid w:val="00F04B3D"/>
    <w:rsid w:val="00F04C72"/>
    <w:rsid w:val="00F04EA7"/>
    <w:rsid w:val="00F04FE2"/>
    <w:rsid w:val="00F05031"/>
    <w:rsid w:val="00F0533A"/>
    <w:rsid w:val="00F05880"/>
    <w:rsid w:val="00F058FC"/>
    <w:rsid w:val="00F05AC3"/>
    <w:rsid w:val="00F05CD2"/>
    <w:rsid w:val="00F05D6C"/>
    <w:rsid w:val="00F05D86"/>
    <w:rsid w:val="00F05E5D"/>
    <w:rsid w:val="00F0608E"/>
    <w:rsid w:val="00F0616D"/>
    <w:rsid w:val="00F069D0"/>
    <w:rsid w:val="00F06A93"/>
    <w:rsid w:val="00F06C00"/>
    <w:rsid w:val="00F06D6E"/>
    <w:rsid w:val="00F06ECF"/>
    <w:rsid w:val="00F06F20"/>
    <w:rsid w:val="00F0734A"/>
    <w:rsid w:val="00F07C04"/>
    <w:rsid w:val="00F07DA8"/>
    <w:rsid w:val="00F07F53"/>
    <w:rsid w:val="00F07F85"/>
    <w:rsid w:val="00F100F5"/>
    <w:rsid w:val="00F1090A"/>
    <w:rsid w:val="00F10949"/>
    <w:rsid w:val="00F10957"/>
    <w:rsid w:val="00F10CDA"/>
    <w:rsid w:val="00F10DA0"/>
    <w:rsid w:val="00F110AA"/>
    <w:rsid w:val="00F11281"/>
    <w:rsid w:val="00F11645"/>
    <w:rsid w:val="00F1169C"/>
    <w:rsid w:val="00F116EF"/>
    <w:rsid w:val="00F117FC"/>
    <w:rsid w:val="00F1184F"/>
    <w:rsid w:val="00F118C5"/>
    <w:rsid w:val="00F1193A"/>
    <w:rsid w:val="00F11C1E"/>
    <w:rsid w:val="00F11D62"/>
    <w:rsid w:val="00F11E3C"/>
    <w:rsid w:val="00F11E59"/>
    <w:rsid w:val="00F11F16"/>
    <w:rsid w:val="00F120D8"/>
    <w:rsid w:val="00F1216F"/>
    <w:rsid w:val="00F12178"/>
    <w:rsid w:val="00F12243"/>
    <w:rsid w:val="00F12515"/>
    <w:rsid w:val="00F12818"/>
    <w:rsid w:val="00F128C9"/>
    <w:rsid w:val="00F12ADB"/>
    <w:rsid w:val="00F12BA2"/>
    <w:rsid w:val="00F12C44"/>
    <w:rsid w:val="00F12FDC"/>
    <w:rsid w:val="00F1310B"/>
    <w:rsid w:val="00F1314F"/>
    <w:rsid w:val="00F1333C"/>
    <w:rsid w:val="00F13508"/>
    <w:rsid w:val="00F138D5"/>
    <w:rsid w:val="00F13A55"/>
    <w:rsid w:val="00F13A7E"/>
    <w:rsid w:val="00F13B65"/>
    <w:rsid w:val="00F13C45"/>
    <w:rsid w:val="00F13CE3"/>
    <w:rsid w:val="00F13E0D"/>
    <w:rsid w:val="00F13E1B"/>
    <w:rsid w:val="00F13E1E"/>
    <w:rsid w:val="00F13EF3"/>
    <w:rsid w:val="00F14027"/>
    <w:rsid w:val="00F143DB"/>
    <w:rsid w:val="00F143E4"/>
    <w:rsid w:val="00F14598"/>
    <w:rsid w:val="00F14697"/>
    <w:rsid w:val="00F1495A"/>
    <w:rsid w:val="00F149C9"/>
    <w:rsid w:val="00F14D64"/>
    <w:rsid w:val="00F14FE3"/>
    <w:rsid w:val="00F152A9"/>
    <w:rsid w:val="00F15344"/>
    <w:rsid w:val="00F15A7C"/>
    <w:rsid w:val="00F15C69"/>
    <w:rsid w:val="00F15D01"/>
    <w:rsid w:val="00F15D8A"/>
    <w:rsid w:val="00F1610C"/>
    <w:rsid w:val="00F1617C"/>
    <w:rsid w:val="00F162D4"/>
    <w:rsid w:val="00F166C8"/>
    <w:rsid w:val="00F166D8"/>
    <w:rsid w:val="00F166E9"/>
    <w:rsid w:val="00F167D7"/>
    <w:rsid w:val="00F16C44"/>
    <w:rsid w:val="00F170F7"/>
    <w:rsid w:val="00F171CC"/>
    <w:rsid w:val="00F173CB"/>
    <w:rsid w:val="00F17411"/>
    <w:rsid w:val="00F174BA"/>
    <w:rsid w:val="00F17900"/>
    <w:rsid w:val="00F17AF7"/>
    <w:rsid w:val="00F17C57"/>
    <w:rsid w:val="00F17D9D"/>
    <w:rsid w:val="00F17F55"/>
    <w:rsid w:val="00F17F90"/>
    <w:rsid w:val="00F17FBB"/>
    <w:rsid w:val="00F202E1"/>
    <w:rsid w:val="00F2058B"/>
    <w:rsid w:val="00F208A9"/>
    <w:rsid w:val="00F2098C"/>
    <w:rsid w:val="00F209D9"/>
    <w:rsid w:val="00F20B67"/>
    <w:rsid w:val="00F20CD4"/>
    <w:rsid w:val="00F20FC2"/>
    <w:rsid w:val="00F21306"/>
    <w:rsid w:val="00F21324"/>
    <w:rsid w:val="00F2134C"/>
    <w:rsid w:val="00F2161A"/>
    <w:rsid w:val="00F218C4"/>
    <w:rsid w:val="00F219DD"/>
    <w:rsid w:val="00F21CE4"/>
    <w:rsid w:val="00F21E82"/>
    <w:rsid w:val="00F22080"/>
    <w:rsid w:val="00F220C2"/>
    <w:rsid w:val="00F223B4"/>
    <w:rsid w:val="00F2280D"/>
    <w:rsid w:val="00F229AB"/>
    <w:rsid w:val="00F22B30"/>
    <w:rsid w:val="00F22B8D"/>
    <w:rsid w:val="00F2307E"/>
    <w:rsid w:val="00F230C7"/>
    <w:rsid w:val="00F23203"/>
    <w:rsid w:val="00F23360"/>
    <w:rsid w:val="00F23369"/>
    <w:rsid w:val="00F2338F"/>
    <w:rsid w:val="00F236D4"/>
    <w:rsid w:val="00F23AA1"/>
    <w:rsid w:val="00F23B92"/>
    <w:rsid w:val="00F23BB6"/>
    <w:rsid w:val="00F23FBD"/>
    <w:rsid w:val="00F2404C"/>
    <w:rsid w:val="00F240C0"/>
    <w:rsid w:val="00F24397"/>
    <w:rsid w:val="00F2476C"/>
    <w:rsid w:val="00F2487F"/>
    <w:rsid w:val="00F24923"/>
    <w:rsid w:val="00F24B30"/>
    <w:rsid w:val="00F24B3F"/>
    <w:rsid w:val="00F24C46"/>
    <w:rsid w:val="00F24E1B"/>
    <w:rsid w:val="00F24FB1"/>
    <w:rsid w:val="00F2507E"/>
    <w:rsid w:val="00F2511C"/>
    <w:rsid w:val="00F25460"/>
    <w:rsid w:val="00F2555B"/>
    <w:rsid w:val="00F256D3"/>
    <w:rsid w:val="00F259A9"/>
    <w:rsid w:val="00F25AE6"/>
    <w:rsid w:val="00F25B6A"/>
    <w:rsid w:val="00F25BE7"/>
    <w:rsid w:val="00F25CDF"/>
    <w:rsid w:val="00F25F29"/>
    <w:rsid w:val="00F25F98"/>
    <w:rsid w:val="00F2607C"/>
    <w:rsid w:val="00F261CB"/>
    <w:rsid w:val="00F26350"/>
    <w:rsid w:val="00F26404"/>
    <w:rsid w:val="00F26580"/>
    <w:rsid w:val="00F26BF1"/>
    <w:rsid w:val="00F26CB2"/>
    <w:rsid w:val="00F26D4B"/>
    <w:rsid w:val="00F26FC4"/>
    <w:rsid w:val="00F2715B"/>
    <w:rsid w:val="00F275EF"/>
    <w:rsid w:val="00F27612"/>
    <w:rsid w:val="00F27AD6"/>
    <w:rsid w:val="00F27B6F"/>
    <w:rsid w:val="00F27CAA"/>
    <w:rsid w:val="00F30034"/>
    <w:rsid w:val="00F305B4"/>
    <w:rsid w:val="00F30776"/>
    <w:rsid w:val="00F30779"/>
    <w:rsid w:val="00F308C9"/>
    <w:rsid w:val="00F30C08"/>
    <w:rsid w:val="00F30C39"/>
    <w:rsid w:val="00F310A1"/>
    <w:rsid w:val="00F311F0"/>
    <w:rsid w:val="00F3140C"/>
    <w:rsid w:val="00F315AC"/>
    <w:rsid w:val="00F31698"/>
    <w:rsid w:val="00F31A9F"/>
    <w:rsid w:val="00F31D20"/>
    <w:rsid w:val="00F31E63"/>
    <w:rsid w:val="00F31FFE"/>
    <w:rsid w:val="00F3209B"/>
    <w:rsid w:val="00F3214C"/>
    <w:rsid w:val="00F32245"/>
    <w:rsid w:val="00F323BD"/>
    <w:rsid w:val="00F326A2"/>
    <w:rsid w:val="00F33053"/>
    <w:rsid w:val="00F331D6"/>
    <w:rsid w:val="00F3320C"/>
    <w:rsid w:val="00F33BED"/>
    <w:rsid w:val="00F33CE1"/>
    <w:rsid w:val="00F33EF0"/>
    <w:rsid w:val="00F33F8D"/>
    <w:rsid w:val="00F3433A"/>
    <w:rsid w:val="00F34360"/>
    <w:rsid w:val="00F34469"/>
    <w:rsid w:val="00F344E5"/>
    <w:rsid w:val="00F34530"/>
    <w:rsid w:val="00F346C9"/>
    <w:rsid w:val="00F34ABF"/>
    <w:rsid w:val="00F34D7D"/>
    <w:rsid w:val="00F350EF"/>
    <w:rsid w:val="00F352E5"/>
    <w:rsid w:val="00F353CA"/>
    <w:rsid w:val="00F353CC"/>
    <w:rsid w:val="00F3548C"/>
    <w:rsid w:val="00F354BF"/>
    <w:rsid w:val="00F3570B"/>
    <w:rsid w:val="00F35C0E"/>
    <w:rsid w:val="00F35D14"/>
    <w:rsid w:val="00F35E62"/>
    <w:rsid w:val="00F3637D"/>
    <w:rsid w:val="00F36556"/>
    <w:rsid w:val="00F368AC"/>
    <w:rsid w:val="00F369B0"/>
    <w:rsid w:val="00F36C1E"/>
    <w:rsid w:val="00F36C2B"/>
    <w:rsid w:val="00F36CCA"/>
    <w:rsid w:val="00F36D96"/>
    <w:rsid w:val="00F36ECA"/>
    <w:rsid w:val="00F37236"/>
    <w:rsid w:val="00F372E4"/>
    <w:rsid w:val="00F373D7"/>
    <w:rsid w:val="00F374AC"/>
    <w:rsid w:val="00F37680"/>
    <w:rsid w:val="00F3788E"/>
    <w:rsid w:val="00F378C4"/>
    <w:rsid w:val="00F37936"/>
    <w:rsid w:val="00F3796A"/>
    <w:rsid w:val="00F37B08"/>
    <w:rsid w:val="00F37CB6"/>
    <w:rsid w:val="00F37F65"/>
    <w:rsid w:val="00F4000D"/>
    <w:rsid w:val="00F4010B"/>
    <w:rsid w:val="00F401BD"/>
    <w:rsid w:val="00F40383"/>
    <w:rsid w:val="00F407E3"/>
    <w:rsid w:val="00F40905"/>
    <w:rsid w:val="00F40A6E"/>
    <w:rsid w:val="00F40AA8"/>
    <w:rsid w:val="00F40C59"/>
    <w:rsid w:val="00F40D3F"/>
    <w:rsid w:val="00F40E06"/>
    <w:rsid w:val="00F40E6C"/>
    <w:rsid w:val="00F40F66"/>
    <w:rsid w:val="00F40FE2"/>
    <w:rsid w:val="00F41133"/>
    <w:rsid w:val="00F412D7"/>
    <w:rsid w:val="00F4133D"/>
    <w:rsid w:val="00F414B6"/>
    <w:rsid w:val="00F416B0"/>
    <w:rsid w:val="00F419B5"/>
    <w:rsid w:val="00F41C26"/>
    <w:rsid w:val="00F41D2B"/>
    <w:rsid w:val="00F4200B"/>
    <w:rsid w:val="00F42139"/>
    <w:rsid w:val="00F42173"/>
    <w:rsid w:val="00F4252C"/>
    <w:rsid w:val="00F429BA"/>
    <w:rsid w:val="00F42DC3"/>
    <w:rsid w:val="00F42DFD"/>
    <w:rsid w:val="00F43078"/>
    <w:rsid w:val="00F4322A"/>
    <w:rsid w:val="00F4332E"/>
    <w:rsid w:val="00F435F7"/>
    <w:rsid w:val="00F436E0"/>
    <w:rsid w:val="00F43874"/>
    <w:rsid w:val="00F4388C"/>
    <w:rsid w:val="00F438FE"/>
    <w:rsid w:val="00F43E66"/>
    <w:rsid w:val="00F4404E"/>
    <w:rsid w:val="00F441F0"/>
    <w:rsid w:val="00F44347"/>
    <w:rsid w:val="00F443E6"/>
    <w:rsid w:val="00F44521"/>
    <w:rsid w:val="00F44DEF"/>
    <w:rsid w:val="00F4513D"/>
    <w:rsid w:val="00F45561"/>
    <w:rsid w:val="00F4582D"/>
    <w:rsid w:val="00F45968"/>
    <w:rsid w:val="00F45979"/>
    <w:rsid w:val="00F45D15"/>
    <w:rsid w:val="00F46288"/>
    <w:rsid w:val="00F463D9"/>
    <w:rsid w:val="00F46647"/>
    <w:rsid w:val="00F466D2"/>
    <w:rsid w:val="00F467FF"/>
    <w:rsid w:val="00F46962"/>
    <w:rsid w:val="00F46A6E"/>
    <w:rsid w:val="00F46B5C"/>
    <w:rsid w:val="00F46B75"/>
    <w:rsid w:val="00F46C71"/>
    <w:rsid w:val="00F46D2B"/>
    <w:rsid w:val="00F46E42"/>
    <w:rsid w:val="00F4702C"/>
    <w:rsid w:val="00F470C0"/>
    <w:rsid w:val="00F4722A"/>
    <w:rsid w:val="00F472D4"/>
    <w:rsid w:val="00F47469"/>
    <w:rsid w:val="00F4752A"/>
    <w:rsid w:val="00F47914"/>
    <w:rsid w:val="00F47D52"/>
    <w:rsid w:val="00F47D7D"/>
    <w:rsid w:val="00F47D95"/>
    <w:rsid w:val="00F47F29"/>
    <w:rsid w:val="00F501CD"/>
    <w:rsid w:val="00F50584"/>
    <w:rsid w:val="00F505B8"/>
    <w:rsid w:val="00F50812"/>
    <w:rsid w:val="00F50838"/>
    <w:rsid w:val="00F50E93"/>
    <w:rsid w:val="00F510E7"/>
    <w:rsid w:val="00F51182"/>
    <w:rsid w:val="00F512FE"/>
    <w:rsid w:val="00F5153C"/>
    <w:rsid w:val="00F516E4"/>
    <w:rsid w:val="00F5197A"/>
    <w:rsid w:val="00F519C9"/>
    <w:rsid w:val="00F52316"/>
    <w:rsid w:val="00F5243F"/>
    <w:rsid w:val="00F52497"/>
    <w:rsid w:val="00F525BF"/>
    <w:rsid w:val="00F52967"/>
    <w:rsid w:val="00F5296A"/>
    <w:rsid w:val="00F52A07"/>
    <w:rsid w:val="00F52A18"/>
    <w:rsid w:val="00F52BC5"/>
    <w:rsid w:val="00F52CD1"/>
    <w:rsid w:val="00F531FE"/>
    <w:rsid w:val="00F53698"/>
    <w:rsid w:val="00F536AA"/>
    <w:rsid w:val="00F53823"/>
    <w:rsid w:val="00F53A28"/>
    <w:rsid w:val="00F53A61"/>
    <w:rsid w:val="00F53EFE"/>
    <w:rsid w:val="00F53F5E"/>
    <w:rsid w:val="00F54256"/>
    <w:rsid w:val="00F542A5"/>
    <w:rsid w:val="00F54671"/>
    <w:rsid w:val="00F54723"/>
    <w:rsid w:val="00F5478C"/>
    <w:rsid w:val="00F54879"/>
    <w:rsid w:val="00F54973"/>
    <w:rsid w:val="00F549E0"/>
    <w:rsid w:val="00F54A00"/>
    <w:rsid w:val="00F54B4A"/>
    <w:rsid w:val="00F54B9C"/>
    <w:rsid w:val="00F54DC4"/>
    <w:rsid w:val="00F54F7D"/>
    <w:rsid w:val="00F55018"/>
    <w:rsid w:val="00F55112"/>
    <w:rsid w:val="00F55157"/>
    <w:rsid w:val="00F55187"/>
    <w:rsid w:val="00F55479"/>
    <w:rsid w:val="00F556E9"/>
    <w:rsid w:val="00F557F9"/>
    <w:rsid w:val="00F558C8"/>
    <w:rsid w:val="00F5599E"/>
    <w:rsid w:val="00F55CDB"/>
    <w:rsid w:val="00F55D1E"/>
    <w:rsid w:val="00F55D47"/>
    <w:rsid w:val="00F55E66"/>
    <w:rsid w:val="00F55EDC"/>
    <w:rsid w:val="00F55EDF"/>
    <w:rsid w:val="00F564A0"/>
    <w:rsid w:val="00F564F5"/>
    <w:rsid w:val="00F56551"/>
    <w:rsid w:val="00F5668D"/>
    <w:rsid w:val="00F568A5"/>
    <w:rsid w:val="00F568BC"/>
    <w:rsid w:val="00F568C9"/>
    <w:rsid w:val="00F56D28"/>
    <w:rsid w:val="00F56E24"/>
    <w:rsid w:val="00F572AB"/>
    <w:rsid w:val="00F574DB"/>
    <w:rsid w:val="00F57517"/>
    <w:rsid w:val="00F577F7"/>
    <w:rsid w:val="00F5799B"/>
    <w:rsid w:val="00F57B30"/>
    <w:rsid w:val="00F6005A"/>
    <w:rsid w:val="00F604BB"/>
    <w:rsid w:val="00F609EE"/>
    <w:rsid w:val="00F60BA2"/>
    <w:rsid w:val="00F60C6A"/>
    <w:rsid w:val="00F60DCE"/>
    <w:rsid w:val="00F6114D"/>
    <w:rsid w:val="00F612DA"/>
    <w:rsid w:val="00F613CC"/>
    <w:rsid w:val="00F61465"/>
    <w:rsid w:val="00F6152B"/>
    <w:rsid w:val="00F61799"/>
    <w:rsid w:val="00F61893"/>
    <w:rsid w:val="00F6197A"/>
    <w:rsid w:val="00F61C3A"/>
    <w:rsid w:val="00F61E88"/>
    <w:rsid w:val="00F61EA7"/>
    <w:rsid w:val="00F61F6D"/>
    <w:rsid w:val="00F6246F"/>
    <w:rsid w:val="00F62908"/>
    <w:rsid w:val="00F6293E"/>
    <w:rsid w:val="00F62C24"/>
    <w:rsid w:val="00F62C83"/>
    <w:rsid w:val="00F62FEB"/>
    <w:rsid w:val="00F63166"/>
    <w:rsid w:val="00F6334E"/>
    <w:rsid w:val="00F6338F"/>
    <w:rsid w:val="00F63480"/>
    <w:rsid w:val="00F634F6"/>
    <w:rsid w:val="00F6352E"/>
    <w:rsid w:val="00F6354D"/>
    <w:rsid w:val="00F63631"/>
    <w:rsid w:val="00F6385F"/>
    <w:rsid w:val="00F638DC"/>
    <w:rsid w:val="00F639B6"/>
    <w:rsid w:val="00F639D1"/>
    <w:rsid w:val="00F63B54"/>
    <w:rsid w:val="00F63C0E"/>
    <w:rsid w:val="00F63C97"/>
    <w:rsid w:val="00F63D17"/>
    <w:rsid w:val="00F63FCD"/>
    <w:rsid w:val="00F64017"/>
    <w:rsid w:val="00F6408A"/>
    <w:rsid w:val="00F648F0"/>
    <w:rsid w:val="00F64957"/>
    <w:rsid w:val="00F649DD"/>
    <w:rsid w:val="00F64E0C"/>
    <w:rsid w:val="00F64E26"/>
    <w:rsid w:val="00F64E69"/>
    <w:rsid w:val="00F64E7B"/>
    <w:rsid w:val="00F64EF1"/>
    <w:rsid w:val="00F65314"/>
    <w:rsid w:val="00F6539C"/>
    <w:rsid w:val="00F6556E"/>
    <w:rsid w:val="00F657E8"/>
    <w:rsid w:val="00F6585C"/>
    <w:rsid w:val="00F65A83"/>
    <w:rsid w:val="00F65D11"/>
    <w:rsid w:val="00F65D5D"/>
    <w:rsid w:val="00F66291"/>
    <w:rsid w:val="00F6635F"/>
    <w:rsid w:val="00F6640E"/>
    <w:rsid w:val="00F6669C"/>
    <w:rsid w:val="00F66735"/>
    <w:rsid w:val="00F669C6"/>
    <w:rsid w:val="00F669EC"/>
    <w:rsid w:val="00F66BA4"/>
    <w:rsid w:val="00F66D4F"/>
    <w:rsid w:val="00F66D58"/>
    <w:rsid w:val="00F66E0D"/>
    <w:rsid w:val="00F66E54"/>
    <w:rsid w:val="00F67292"/>
    <w:rsid w:val="00F672F6"/>
    <w:rsid w:val="00F673C6"/>
    <w:rsid w:val="00F67480"/>
    <w:rsid w:val="00F67B1D"/>
    <w:rsid w:val="00F67C72"/>
    <w:rsid w:val="00F67E7B"/>
    <w:rsid w:val="00F67ECB"/>
    <w:rsid w:val="00F7004D"/>
    <w:rsid w:val="00F700E9"/>
    <w:rsid w:val="00F7026E"/>
    <w:rsid w:val="00F702FD"/>
    <w:rsid w:val="00F70651"/>
    <w:rsid w:val="00F707A8"/>
    <w:rsid w:val="00F708E9"/>
    <w:rsid w:val="00F70976"/>
    <w:rsid w:val="00F70BEA"/>
    <w:rsid w:val="00F70E3D"/>
    <w:rsid w:val="00F7101F"/>
    <w:rsid w:val="00F7118B"/>
    <w:rsid w:val="00F71266"/>
    <w:rsid w:val="00F719B5"/>
    <w:rsid w:val="00F71BB2"/>
    <w:rsid w:val="00F71E59"/>
    <w:rsid w:val="00F72131"/>
    <w:rsid w:val="00F72209"/>
    <w:rsid w:val="00F72232"/>
    <w:rsid w:val="00F723C2"/>
    <w:rsid w:val="00F729EC"/>
    <w:rsid w:val="00F729F2"/>
    <w:rsid w:val="00F72A6F"/>
    <w:rsid w:val="00F72A82"/>
    <w:rsid w:val="00F73336"/>
    <w:rsid w:val="00F7339B"/>
    <w:rsid w:val="00F7397C"/>
    <w:rsid w:val="00F73A23"/>
    <w:rsid w:val="00F73A58"/>
    <w:rsid w:val="00F73B68"/>
    <w:rsid w:val="00F73D4A"/>
    <w:rsid w:val="00F73FF5"/>
    <w:rsid w:val="00F741D5"/>
    <w:rsid w:val="00F74390"/>
    <w:rsid w:val="00F7443D"/>
    <w:rsid w:val="00F745BE"/>
    <w:rsid w:val="00F74ECD"/>
    <w:rsid w:val="00F75000"/>
    <w:rsid w:val="00F7519A"/>
    <w:rsid w:val="00F7522C"/>
    <w:rsid w:val="00F7538B"/>
    <w:rsid w:val="00F7554D"/>
    <w:rsid w:val="00F7561C"/>
    <w:rsid w:val="00F7579A"/>
    <w:rsid w:val="00F75C19"/>
    <w:rsid w:val="00F75D17"/>
    <w:rsid w:val="00F760B7"/>
    <w:rsid w:val="00F76136"/>
    <w:rsid w:val="00F761D2"/>
    <w:rsid w:val="00F761E5"/>
    <w:rsid w:val="00F76439"/>
    <w:rsid w:val="00F76617"/>
    <w:rsid w:val="00F76632"/>
    <w:rsid w:val="00F76851"/>
    <w:rsid w:val="00F76E59"/>
    <w:rsid w:val="00F77276"/>
    <w:rsid w:val="00F773F4"/>
    <w:rsid w:val="00F7759B"/>
    <w:rsid w:val="00F779B5"/>
    <w:rsid w:val="00F77A94"/>
    <w:rsid w:val="00F77B4D"/>
    <w:rsid w:val="00F77CD9"/>
    <w:rsid w:val="00F77D16"/>
    <w:rsid w:val="00F77E51"/>
    <w:rsid w:val="00F77F28"/>
    <w:rsid w:val="00F77F37"/>
    <w:rsid w:val="00F77FD2"/>
    <w:rsid w:val="00F77FEB"/>
    <w:rsid w:val="00F801C2"/>
    <w:rsid w:val="00F8058E"/>
    <w:rsid w:val="00F805A0"/>
    <w:rsid w:val="00F80CC4"/>
    <w:rsid w:val="00F80F45"/>
    <w:rsid w:val="00F8102C"/>
    <w:rsid w:val="00F816C7"/>
    <w:rsid w:val="00F817BA"/>
    <w:rsid w:val="00F818D3"/>
    <w:rsid w:val="00F81996"/>
    <w:rsid w:val="00F819A8"/>
    <w:rsid w:val="00F81A4B"/>
    <w:rsid w:val="00F81A4D"/>
    <w:rsid w:val="00F81AFA"/>
    <w:rsid w:val="00F81B92"/>
    <w:rsid w:val="00F82023"/>
    <w:rsid w:val="00F82070"/>
    <w:rsid w:val="00F8211F"/>
    <w:rsid w:val="00F82883"/>
    <w:rsid w:val="00F82E0C"/>
    <w:rsid w:val="00F83053"/>
    <w:rsid w:val="00F830ED"/>
    <w:rsid w:val="00F83211"/>
    <w:rsid w:val="00F834B3"/>
    <w:rsid w:val="00F834B7"/>
    <w:rsid w:val="00F8355C"/>
    <w:rsid w:val="00F83996"/>
    <w:rsid w:val="00F839CF"/>
    <w:rsid w:val="00F83AAD"/>
    <w:rsid w:val="00F83C6B"/>
    <w:rsid w:val="00F83E25"/>
    <w:rsid w:val="00F83EEE"/>
    <w:rsid w:val="00F84042"/>
    <w:rsid w:val="00F84427"/>
    <w:rsid w:val="00F84544"/>
    <w:rsid w:val="00F845AF"/>
    <w:rsid w:val="00F8486F"/>
    <w:rsid w:val="00F8493C"/>
    <w:rsid w:val="00F84B97"/>
    <w:rsid w:val="00F84DA3"/>
    <w:rsid w:val="00F84EB1"/>
    <w:rsid w:val="00F85574"/>
    <w:rsid w:val="00F85AC4"/>
    <w:rsid w:val="00F85AD6"/>
    <w:rsid w:val="00F8623C"/>
    <w:rsid w:val="00F86248"/>
    <w:rsid w:val="00F862A1"/>
    <w:rsid w:val="00F862B6"/>
    <w:rsid w:val="00F8677E"/>
    <w:rsid w:val="00F867B0"/>
    <w:rsid w:val="00F867F0"/>
    <w:rsid w:val="00F868A3"/>
    <w:rsid w:val="00F869DA"/>
    <w:rsid w:val="00F86A7C"/>
    <w:rsid w:val="00F86A94"/>
    <w:rsid w:val="00F86AC1"/>
    <w:rsid w:val="00F86AF8"/>
    <w:rsid w:val="00F86DAB"/>
    <w:rsid w:val="00F86E44"/>
    <w:rsid w:val="00F86FA3"/>
    <w:rsid w:val="00F8714E"/>
    <w:rsid w:val="00F872A3"/>
    <w:rsid w:val="00F8738B"/>
    <w:rsid w:val="00F8764E"/>
    <w:rsid w:val="00F877FE"/>
    <w:rsid w:val="00F87AAD"/>
    <w:rsid w:val="00F87B07"/>
    <w:rsid w:val="00F87B39"/>
    <w:rsid w:val="00F87C2F"/>
    <w:rsid w:val="00F87D25"/>
    <w:rsid w:val="00F87EB2"/>
    <w:rsid w:val="00F87ECB"/>
    <w:rsid w:val="00F87F16"/>
    <w:rsid w:val="00F87F3A"/>
    <w:rsid w:val="00F90004"/>
    <w:rsid w:val="00F9017A"/>
    <w:rsid w:val="00F90286"/>
    <w:rsid w:val="00F902F0"/>
    <w:rsid w:val="00F90303"/>
    <w:rsid w:val="00F90367"/>
    <w:rsid w:val="00F907C5"/>
    <w:rsid w:val="00F90B0C"/>
    <w:rsid w:val="00F90BF2"/>
    <w:rsid w:val="00F90C0F"/>
    <w:rsid w:val="00F90C19"/>
    <w:rsid w:val="00F90E25"/>
    <w:rsid w:val="00F90EE1"/>
    <w:rsid w:val="00F90F54"/>
    <w:rsid w:val="00F910B0"/>
    <w:rsid w:val="00F910FF"/>
    <w:rsid w:val="00F91181"/>
    <w:rsid w:val="00F919A2"/>
    <w:rsid w:val="00F91C0A"/>
    <w:rsid w:val="00F91ECC"/>
    <w:rsid w:val="00F91F25"/>
    <w:rsid w:val="00F91F9D"/>
    <w:rsid w:val="00F91FFD"/>
    <w:rsid w:val="00F92099"/>
    <w:rsid w:val="00F924FE"/>
    <w:rsid w:val="00F925A1"/>
    <w:rsid w:val="00F92906"/>
    <w:rsid w:val="00F92938"/>
    <w:rsid w:val="00F92B7B"/>
    <w:rsid w:val="00F92CA4"/>
    <w:rsid w:val="00F92F7F"/>
    <w:rsid w:val="00F93202"/>
    <w:rsid w:val="00F93407"/>
    <w:rsid w:val="00F93463"/>
    <w:rsid w:val="00F9363F"/>
    <w:rsid w:val="00F936A9"/>
    <w:rsid w:val="00F936C6"/>
    <w:rsid w:val="00F936EF"/>
    <w:rsid w:val="00F93921"/>
    <w:rsid w:val="00F93B92"/>
    <w:rsid w:val="00F93D5B"/>
    <w:rsid w:val="00F943A4"/>
    <w:rsid w:val="00F9445E"/>
    <w:rsid w:val="00F944C3"/>
    <w:rsid w:val="00F9477C"/>
    <w:rsid w:val="00F94823"/>
    <w:rsid w:val="00F94880"/>
    <w:rsid w:val="00F94889"/>
    <w:rsid w:val="00F94B7A"/>
    <w:rsid w:val="00F94BE1"/>
    <w:rsid w:val="00F94C9E"/>
    <w:rsid w:val="00F94D13"/>
    <w:rsid w:val="00F94D1A"/>
    <w:rsid w:val="00F94DBD"/>
    <w:rsid w:val="00F94E83"/>
    <w:rsid w:val="00F95353"/>
    <w:rsid w:val="00F953F6"/>
    <w:rsid w:val="00F95664"/>
    <w:rsid w:val="00F95667"/>
    <w:rsid w:val="00F95AFB"/>
    <w:rsid w:val="00F95B30"/>
    <w:rsid w:val="00F95C1E"/>
    <w:rsid w:val="00F95C4E"/>
    <w:rsid w:val="00F95FB5"/>
    <w:rsid w:val="00F96398"/>
    <w:rsid w:val="00F963D4"/>
    <w:rsid w:val="00F96740"/>
    <w:rsid w:val="00F96887"/>
    <w:rsid w:val="00F968AB"/>
    <w:rsid w:val="00F96CF4"/>
    <w:rsid w:val="00F9707B"/>
    <w:rsid w:val="00F97324"/>
    <w:rsid w:val="00F97337"/>
    <w:rsid w:val="00F975F1"/>
    <w:rsid w:val="00F976B0"/>
    <w:rsid w:val="00F9784C"/>
    <w:rsid w:val="00F979F3"/>
    <w:rsid w:val="00F97BDC"/>
    <w:rsid w:val="00F97D62"/>
    <w:rsid w:val="00F97E5B"/>
    <w:rsid w:val="00FA0073"/>
    <w:rsid w:val="00FA01EE"/>
    <w:rsid w:val="00FA0CEB"/>
    <w:rsid w:val="00FA0E3E"/>
    <w:rsid w:val="00FA0EFA"/>
    <w:rsid w:val="00FA0FBB"/>
    <w:rsid w:val="00FA120C"/>
    <w:rsid w:val="00FA121B"/>
    <w:rsid w:val="00FA12F0"/>
    <w:rsid w:val="00FA1449"/>
    <w:rsid w:val="00FA22E6"/>
    <w:rsid w:val="00FA234A"/>
    <w:rsid w:val="00FA2460"/>
    <w:rsid w:val="00FA27A0"/>
    <w:rsid w:val="00FA27DD"/>
    <w:rsid w:val="00FA28AA"/>
    <w:rsid w:val="00FA28D1"/>
    <w:rsid w:val="00FA2B87"/>
    <w:rsid w:val="00FA2C6C"/>
    <w:rsid w:val="00FA2E42"/>
    <w:rsid w:val="00FA2F8D"/>
    <w:rsid w:val="00FA2F91"/>
    <w:rsid w:val="00FA33D2"/>
    <w:rsid w:val="00FA3530"/>
    <w:rsid w:val="00FA3681"/>
    <w:rsid w:val="00FA3723"/>
    <w:rsid w:val="00FA37B2"/>
    <w:rsid w:val="00FA3868"/>
    <w:rsid w:val="00FA39BF"/>
    <w:rsid w:val="00FA3A62"/>
    <w:rsid w:val="00FA3B88"/>
    <w:rsid w:val="00FA3C1C"/>
    <w:rsid w:val="00FA3F93"/>
    <w:rsid w:val="00FA4021"/>
    <w:rsid w:val="00FA4051"/>
    <w:rsid w:val="00FA409C"/>
    <w:rsid w:val="00FA41D1"/>
    <w:rsid w:val="00FA428D"/>
    <w:rsid w:val="00FA4831"/>
    <w:rsid w:val="00FA4855"/>
    <w:rsid w:val="00FA4957"/>
    <w:rsid w:val="00FA4A28"/>
    <w:rsid w:val="00FA4C30"/>
    <w:rsid w:val="00FA4F63"/>
    <w:rsid w:val="00FA5471"/>
    <w:rsid w:val="00FA556B"/>
    <w:rsid w:val="00FA5581"/>
    <w:rsid w:val="00FA5666"/>
    <w:rsid w:val="00FA5739"/>
    <w:rsid w:val="00FA57C6"/>
    <w:rsid w:val="00FA58B9"/>
    <w:rsid w:val="00FA58BC"/>
    <w:rsid w:val="00FA5BD0"/>
    <w:rsid w:val="00FA5E53"/>
    <w:rsid w:val="00FA6313"/>
    <w:rsid w:val="00FA6316"/>
    <w:rsid w:val="00FA632D"/>
    <w:rsid w:val="00FA655F"/>
    <w:rsid w:val="00FA6581"/>
    <w:rsid w:val="00FA6726"/>
    <w:rsid w:val="00FA67AD"/>
    <w:rsid w:val="00FA6854"/>
    <w:rsid w:val="00FA6ABC"/>
    <w:rsid w:val="00FA6FE3"/>
    <w:rsid w:val="00FA74B1"/>
    <w:rsid w:val="00FA74BC"/>
    <w:rsid w:val="00FA74C5"/>
    <w:rsid w:val="00FA794B"/>
    <w:rsid w:val="00FA7A91"/>
    <w:rsid w:val="00FA7CB8"/>
    <w:rsid w:val="00FA7E20"/>
    <w:rsid w:val="00FB000A"/>
    <w:rsid w:val="00FB016C"/>
    <w:rsid w:val="00FB033B"/>
    <w:rsid w:val="00FB03B3"/>
    <w:rsid w:val="00FB03E9"/>
    <w:rsid w:val="00FB0A8D"/>
    <w:rsid w:val="00FB0E98"/>
    <w:rsid w:val="00FB0FD5"/>
    <w:rsid w:val="00FB1045"/>
    <w:rsid w:val="00FB10AE"/>
    <w:rsid w:val="00FB144D"/>
    <w:rsid w:val="00FB14DD"/>
    <w:rsid w:val="00FB1790"/>
    <w:rsid w:val="00FB185F"/>
    <w:rsid w:val="00FB1987"/>
    <w:rsid w:val="00FB1A89"/>
    <w:rsid w:val="00FB23AA"/>
    <w:rsid w:val="00FB247E"/>
    <w:rsid w:val="00FB279A"/>
    <w:rsid w:val="00FB2AE0"/>
    <w:rsid w:val="00FB2C86"/>
    <w:rsid w:val="00FB2D0D"/>
    <w:rsid w:val="00FB2D48"/>
    <w:rsid w:val="00FB2DFB"/>
    <w:rsid w:val="00FB2E85"/>
    <w:rsid w:val="00FB354A"/>
    <w:rsid w:val="00FB3B82"/>
    <w:rsid w:val="00FB3C55"/>
    <w:rsid w:val="00FB3F2B"/>
    <w:rsid w:val="00FB4195"/>
    <w:rsid w:val="00FB41E4"/>
    <w:rsid w:val="00FB420B"/>
    <w:rsid w:val="00FB44F9"/>
    <w:rsid w:val="00FB4527"/>
    <w:rsid w:val="00FB4555"/>
    <w:rsid w:val="00FB465F"/>
    <w:rsid w:val="00FB48ED"/>
    <w:rsid w:val="00FB4B20"/>
    <w:rsid w:val="00FB4CA2"/>
    <w:rsid w:val="00FB4DD7"/>
    <w:rsid w:val="00FB4E93"/>
    <w:rsid w:val="00FB4EE1"/>
    <w:rsid w:val="00FB4F46"/>
    <w:rsid w:val="00FB50A9"/>
    <w:rsid w:val="00FB535F"/>
    <w:rsid w:val="00FB56A4"/>
    <w:rsid w:val="00FB56EA"/>
    <w:rsid w:val="00FB5738"/>
    <w:rsid w:val="00FB5788"/>
    <w:rsid w:val="00FB5866"/>
    <w:rsid w:val="00FB5888"/>
    <w:rsid w:val="00FB591B"/>
    <w:rsid w:val="00FB59A5"/>
    <w:rsid w:val="00FB5E21"/>
    <w:rsid w:val="00FB608D"/>
    <w:rsid w:val="00FB6175"/>
    <w:rsid w:val="00FB628F"/>
    <w:rsid w:val="00FB62D5"/>
    <w:rsid w:val="00FB6AAE"/>
    <w:rsid w:val="00FB6BEA"/>
    <w:rsid w:val="00FB6DB9"/>
    <w:rsid w:val="00FB7023"/>
    <w:rsid w:val="00FB70AF"/>
    <w:rsid w:val="00FB70DB"/>
    <w:rsid w:val="00FB738D"/>
    <w:rsid w:val="00FB73A3"/>
    <w:rsid w:val="00FB7484"/>
    <w:rsid w:val="00FB7525"/>
    <w:rsid w:val="00FB7538"/>
    <w:rsid w:val="00FB75C6"/>
    <w:rsid w:val="00FB76D0"/>
    <w:rsid w:val="00FB7740"/>
    <w:rsid w:val="00FB77D9"/>
    <w:rsid w:val="00FB77F2"/>
    <w:rsid w:val="00FB7978"/>
    <w:rsid w:val="00FC0606"/>
    <w:rsid w:val="00FC07A6"/>
    <w:rsid w:val="00FC0AA6"/>
    <w:rsid w:val="00FC0BC0"/>
    <w:rsid w:val="00FC0D95"/>
    <w:rsid w:val="00FC0DA8"/>
    <w:rsid w:val="00FC102C"/>
    <w:rsid w:val="00FC1061"/>
    <w:rsid w:val="00FC109A"/>
    <w:rsid w:val="00FC10DD"/>
    <w:rsid w:val="00FC11D3"/>
    <w:rsid w:val="00FC1297"/>
    <w:rsid w:val="00FC14AE"/>
    <w:rsid w:val="00FC14D2"/>
    <w:rsid w:val="00FC14ED"/>
    <w:rsid w:val="00FC152E"/>
    <w:rsid w:val="00FC155B"/>
    <w:rsid w:val="00FC1A86"/>
    <w:rsid w:val="00FC1C2C"/>
    <w:rsid w:val="00FC2133"/>
    <w:rsid w:val="00FC2285"/>
    <w:rsid w:val="00FC24BD"/>
    <w:rsid w:val="00FC2527"/>
    <w:rsid w:val="00FC255D"/>
    <w:rsid w:val="00FC267E"/>
    <w:rsid w:val="00FC286A"/>
    <w:rsid w:val="00FC28D2"/>
    <w:rsid w:val="00FC2902"/>
    <w:rsid w:val="00FC2CE4"/>
    <w:rsid w:val="00FC2CFE"/>
    <w:rsid w:val="00FC2D8B"/>
    <w:rsid w:val="00FC35F8"/>
    <w:rsid w:val="00FC360E"/>
    <w:rsid w:val="00FC3960"/>
    <w:rsid w:val="00FC3BAA"/>
    <w:rsid w:val="00FC3DB4"/>
    <w:rsid w:val="00FC3E0A"/>
    <w:rsid w:val="00FC3FA9"/>
    <w:rsid w:val="00FC400A"/>
    <w:rsid w:val="00FC4052"/>
    <w:rsid w:val="00FC4216"/>
    <w:rsid w:val="00FC438F"/>
    <w:rsid w:val="00FC440F"/>
    <w:rsid w:val="00FC4678"/>
    <w:rsid w:val="00FC4D0E"/>
    <w:rsid w:val="00FC4E5E"/>
    <w:rsid w:val="00FC5378"/>
    <w:rsid w:val="00FC54A1"/>
    <w:rsid w:val="00FC5749"/>
    <w:rsid w:val="00FC57A3"/>
    <w:rsid w:val="00FC587C"/>
    <w:rsid w:val="00FC58A7"/>
    <w:rsid w:val="00FC5904"/>
    <w:rsid w:val="00FC5C41"/>
    <w:rsid w:val="00FC5D17"/>
    <w:rsid w:val="00FC5E51"/>
    <w:rsid w:val="00FC5E9B"/>
    <w:rsid w:val="00FC5EB5"/>
    <w:rsid w:val="00FC5F87"/>
    <w:rsid w:val="00FC5FAE"/>
    <w:rsid w:val="00FC6148"/>
    <w:rsid w:val="00FC6162"/>
    <w:rsid w:val="00FC616F"/>
    <w:rsid w:val="00FC6503"/>
    <w:rsid w:val="00FC666B"/>
    <w:rsid w:val="00FC684D"/>
    <w:rsid w:val="00FC68D5"/>
    <w:rsid w:val="00FC6A31"/>
    <w:rsid w:val="00FC6A66"/>
    <w:rsid w:val="00FC6B00"/>
    <w:rsid w:val="00FC6BD4"/>
    <w:rsid w:val="00FC6EAB"/>
    <w:rsid w:val="00FC7027"/>
    <w:rsid w:val="00FC710E"/>
    <w:rsid w:val="00FC7460"/>
    <w:rsid w:val="00FC7850"/>
    <w:rsid w:val="00FC7BBF"/>
    <w:rsid w:val="00FC7D76"/>
    <w:rsid w:val="00FC7EF5"/>
    <w:rsid w:val="00FC7F18"/>
    <w:rsid w:val="00FD003D"/>
    <w:rsid w:val="00FD06A9"/>
    <w:rsid w:val="00FD072B"/>
    <w:rsid w:val="00FD0AAF"/>
    <w:rsid w:val="00FD0B7B"/>
    <w:rsid w:val="00FD0D05"/>
    <w:rsid w:val="00FD0F39"/>
    <w:rsid w:val="00FD0FEB"/>
    <w:rsid w:val="00FD1150"/>
    <w:rsid w:val="00FD12E2"/>
    <w:rsid w:val="00FD16A3"/>
    <w:rsid w:val="00FD19E6"/>
    <w:rsid w:val="00FD1A20"/>
    <w:rsid w:val="00FD1A39"/>
    <w:rsid w:val="00FD1A69"/>
    <w:rsid w:val="00FD1AF7"/>
    <w:rsid w:val="00FD1BDD"/>
    <w:rsid w:val="00FD1C33"/>
    <w:rsid w:val="00FD1EF8"/>
    <w:rsid w:val="00FD209C"/>
    <w:rsid w:val="00FD2111"/>
    <w:rsid w:val="00FD2252"/>
    <w:rsid w:val="00FD2315"/>
    <w:rsid w:val="00FD2452"/>
    <w:rsid w:val="00FD25C6"/>
    <w:rsid w:val="00FD2678"/>
    <w:rsid w:val="00FD2688"/>
    <w:rsid w:val="00FD26DA"/>
    <w:rsid w:val="00FD285B"/>
    <w:rsid w:val="00FD2878"/>
    <w:rsid w:val="00FD28D6"/>
    <w:rsid w:val="00FD29CB"/>
    <w:rsid w:val="00FD2CF4"/>
    <w:rsid w:val="00FD2EEA"/>
    <w:rsid w:val="00FD2F02"/>
    <w:rsid w:val="00FD3306"/>
    <w:rsid w:val="00FD330E"/>
    <w:rsid w:val="00FD347A"/>
    <w:rsid w:val="00FD34BE"/>
    <w:rsid w:val="00FD34D8"/>
    <w:rsid w:val="00FD35A6"/>
    <w:rsid w:val="00FD3657"/>
    <w:rsid w:val="00FD3692"/>
    <w:rsid w:val="00FD36B1"/>
    <w:rsid w:val="00FD388D"/>
    <w:rsid w:val="00FD38F2"/>
    <w:rsid w:val="00FD3AD3"/>
    <w:rsid w:val="00FD3B6D"/>
    <w:rsid w:val="00FD4328"/>
    <w:rsid w:val="00FD46DA"/>
    <w:rsid w:val="00FD4A40"/>
    <w:rsid w:val="00FD4A61"/>
    <w:rsid w:val="00FD4F1C"/>
    <w:rsid w:val="00FD4F3A"/>
    <w:rsid w:val="00FD4FD2"/>
    <w:rsid w:val="00FD50B8"/>
    <w:rsid w:val="00FD52F8"/>
    <w:rsid w:val="00FD53F6"/>
    <w:rsid w:val="00FD552E"/>
    <w:rsid w:val="00FD56B9"/>
    <w:rsid w:val="00FD589C"/>
    <w:rsid w:val="00FD58D9"/>
    <w:rsid w:val="00FD58F7"/>
    <w:rsid w:val="00FD5A48"/>
    <w:rsid w:val="00FD5B40"/>
    <w:rsid w:val="00FD5C57"/>
    <w:rsid w:val="00FD6058"/>
    <w:rsid w:val="00FD60E1"/>
    <w:rsid w:val="00FD6233"/>
    <w:rsid w:val="00FD62F4"/>
    <w:rsid w:val="00FD63DC"/>
    <w:rsid w:val="00FD63E1"/>
    <w:rsid w:val="00FD661F"/>
    <w:rsid w:val="00FD6650"/>
    <w:rsid w:val="00FD67CD"/>
    <w:rsid w:val="00FD67FC"/>
    <w:rsid w:val="00FD6AF7"/>
    <w:rsid w:val="00FD6C49"/>
    <w:rsid w:val="00FD6CE0"/>
    <w:rsid w:val="00FD6DE0"/>
    <w:rsid w:val="00FD73F9"/>
    <w:rsid w:val="00FD7529"/>
    <w:rsid w:val="00FD7544"/>
    <w:rsid w:val="00FD777E"/>
    <w:rsid w:val="00FD7E29"/>
    <w:rsid w:val="00FD7F58"/>
    <w:rsid w:val="00FE0189"/>
    <w:rsid w:val="00FE04B8"/>
    <w:rsid w:val="00FE092D"/>
    <w:rsid w:val="00FE0974"/>
    <w:rsid w:val="00FE0988"/>
    <w:rsid w:val="00FE0AC6"/>
    <w:rsid w:val="00FE0BE3"/>
    <w:rsid w:val="00FE0D5F"/>
    <w:rsid w:val="00FE114B"/>
    <w:rsid w:val="00FE11BA"/>
    <w:rsid w:val="00FE12E4"/>
    <w:rsid w:val="00FE16EE"/>
    <w:rsid w:val="00FE1A3B"/>
    <w:rsid w:val="00FE1EA0"/>
    <w:rsid w:val="00FE20EE"/>
    <w:rsid w:val="00FE2174"/>
    <w:rsid w:val="00FE2C45"/>
    <w:rsid w:val="00FE2D8D"/>
    <w:rsid w:val="00FE2EFB"/>
    <w:rsid w:val="00FE2FF7"/>
    <w:rsid w:val="00FE35D4"/>
    <w:rsid w:val="00FE36C4"/>
    <w:rsid w:val="00FE3828"/>
    <w:rsid w:val="00FE39E2"/>
    <w:rsid w:val="00FE3B50"/>
    <w:rsid w:val="00FE3EEF"/>
    <w:rsid w:val="00FE3FA8"/>
    <w:rsid w:val="00FE3FB6"/>
    <w:rsid w:val="00FE42BA"/>
    <w:rsid w:val="00FE44D2"/>
    <w:rsid w:val="00FE4606"/>
    <w:rsid w:val="00FE4678"/>
    <w:rsid w:val="00FE47AA"/>
    <w:rsid w:val="00FE48CC"/>
    <w:rsid w:val="00FE5086"/>
    <w:rsid w:val="00FE5106"/>
    <w:rsid w:val="00FE51A3"/>
    <w:rsid w:val="00FE51B0"/>
    <w:rsid w:val="00FE5283"/>
    <w:rsid w:val="00FE52EA"/>
    <w:rsid w:val="00FE550D"/>
    <w:rsid w:val="00FE588F"/>
    <w:rsid w:val="00FE58E9"/>
    <w:rsid w:val="00FE5999"/>
    <w:rsid w:val="00FE59E5"/>
    <w:rsid w:val="00FE59FD"/>
    <w:rsid w:val="00FE5B61"/>
    <w:rsid w:val="00FE5E48"/>
    <w:rsid w:val="00FE5E7E"/>
    <w:rsid w:val="00FE607D"/>
    <w:rsid w:val="00FE61C2"/>
    <w:rsid w:val="00FE61DE"/>
    <w:rsid w:val="00FE632C"/>
    <w:rsid w:val="00FE6388"/>
    <w:rsid w:val="00FE660A"/>
    <w:rsid w:val="00FE666F"/>
    <w:rsid w:val="00FE694E"/>
    <w:rsid w:val="00FE6BAC"/>
    <w:rsid w:val="00FE6C8B"/>
    <w:rsid w:val="00FE716F"/>
    <w:rsid w:val="00FE7283"/>
    <w:rsid w:val="00FE73F4"/>
    <w:rsid w:val="00FE77EF"/>
    <w:rsid w:val="00FE7A65"/>
    <w:rsid w:val="00FE7BC1"/>
    <w:rsid w:val="00FE7D5A"/>
    <w:rsid w:val="00FE7F98"/>
    <w:rsid w:val="00FF00CB"/>
    <w:rsid w:val="00FF0299"/>
    <w:rsid w:val="00FF0532"/>
    <w:rsid w:val="00FF077F"/>
    <w:rsid w:val="00FF085B"/>
    <w:rsid w:val="00FF0902"/>
    <w:rsid w:val="00FF0C61"/>
    <w:rsid w:val="00FF10FA"/>
    <w:rsid w:val="00FF13D0"/>
    <w:rsid w:val="00FF143B"/>
    <w:rsid w:val="00FF1484"/>
    <w:rsid w:val="00FF1875"/>
    <w:rsid w:val="00FF199F"/>
    <w:rsid w:val="00FF2053"/>
    <w:rsid w:val="00FF205E"/>
    <w:rsid w:val="00FF206D"/>
    <w:rsid w:val="00FF2244"/>
    <w:rsid w:val="00FF226E"/>
    <w:rsid w:val="00FF22CB"/>
    <w:rsid w:val="00FF2570"/>
    <w:rsid w:val="00FF2BA7"/>
    <w:rsid w:val="00FF2C41"/>
    <w:rsid w:val="00FF2CC2"/>
    <w:rsid w:val="00FF2E7F"/>
    <w:rsid w:val="00FF2EE7"/>
    <w:rsid w:val="00FF2F40"/>
    <w:rsid w:val="00FF2F54"/>
    <w:rsid w:val="00FF306D"/>
    <w:rsid w:val="00FF307C"/>
    <w:rsid w:val="00FF311E"/>
    <w:rsid w:val="00FF312C"/>
    <w:rsid w:val="00FF35F2"/>
    <w:rsid w:val="00FF369C"/>
    <w:rsid w:val="00FF38A1"/>
    <w:rsid w:val="00FF3921"/>
    <w:rsid w:val="00FF39AA"/>
    <w:rsid w:val="00FF39E4"/>
    <w:rsid w:val="00FF3EDA"/>
    <w:rsid w:val="00FF3F11"/>
    <w:rsid w:val="00FF3F89"/>
    <w:rsid w:val="00FF43AE"/>
    <w:rsid w:val="00FF47B5"/>
    <w:rsid w:val="00FF496E"/>
    <w:rsid w:val="00FF4992"/>
    <w:rsid w:val="00FF4DBB"/>
    <w:rsid w:val="00FF4E81"/>
    <w:rsid w:val="00FF5386"/>
    <w:rsid w:val="00FF53A9"/>
    <w:rsid w:val="00FF549F"/>
    <w:rsid w:val="00FF553A"/>
    <w:rsid w:val="00FF5770"/>
    <w:rsid w:val="00FF5B4B"/>
    <w:rsid w:val="00FF5C51"/>
    <w:rsid w:val="00FF5F3B"/>
    <w:rsid w:val="00FF5F76"/>
    <w:rsid w:val="00FF5FB4"/>
    <w:rsid w:val="00FF610B"/>
    <w:rsid w:val="00FF61C8"/>
    <w:rsid w:val="00FF6339"/>
    <w:rsid w:val="00FF67E3"/>
    <w:rsid w:val="00FF68A4"/>
    <w:rsid w:val="00FF6B8E"/>
    <w:rsid w:val="00FF6CB8"/>
    <w:rsid w:val="00FF6DBB"/>
    <w:rsid w:val="00FF6E43"/>
    <w:rsid w:val="00FF6FA7"/>
    <w:rsid w:val="00FF6FB5"/>
    <w:rsid w:val="00FF722B"/>
    <w:rsid w:val="00FF7369"/>
    <w:rsid w:val="00FF75DB"/>
    <w:rsid w:val="00FF768B"/>
    <w:rsid w:val="00FF796D"/>
    <w:rsid w:val="00FF7996"/>
    <w:rsid w:val="00FF7A63"/>
    <w:rsid w:val="00FF7AB6"/>
    <w:rsid w:val="00FF7B3E"/>
    <w:rsid w:val="00FF7F0C"/>
    <w:rsid w:val="00FF7FDE"/>
    <w:rsid w:val="0F24DA63"/>
    <w:rsid w:val="12C14ADF"/>
    <w:rsid w:val="209A75F0"/>
    <w:rsid w:val="3BDB6878"/>
    <w:rsid w:val="5AB3F0BA"/>
    <w:rsid w:val="5B76DF3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F3E35"/>
  <w15:chartTrackingRefBased/>
  <w15:docId w15:val="{BC9CBC51-C701-4175-97F3-C90B86E77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058FC"/>
    <w:pPr>
      <w:spacing w:before="120" w:after="120" w:line="280" w:lineRule="atLeast"/>
    </w:pPr>
    <w:rPr>
      <w:sz w:val="20"/>
      <w:szCs w:val="20"/>
    </w:rPr>
  </w:style>
  <w:style w:type="paragraph" w:styleId="Heading1">
    <w:name w:val="heading 1"/>
    <w:basedOn w:val="Normal"/>
    <w:next w:val="BodyText"/>
    <w:link w:val="Heading1Char"/>
    <w:uiPriority w:val="9"/>
    <w:qFormat/>
    <w:rsid w:val="00F058FC"/>
    <w:pPr>
      <w:numPr>
        <w:numId w:val="21"/>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058FC"/>
    <w:pPr>
      <w:keepNext/>
      <w:keepLines/>
      <w:numPr>
        <w:ilvl w:val="2"/>
        <w:numId w:val="21"/>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058F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058F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058F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058F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058F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058F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058F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58FC"/>
    <w:rPr>
      <w:color w:val="808080"/>
    </w:rPr>
  </w:style>
  <w:style w:type="paragraph" w:styleId="Date">
    <w:name w:val="Date"/>
    <w:basedOn w:val="Normal"/>
    <w:next w:val="Normal"/>
    <w:link w:val="DateChar"/>
    <w:uiPriority w:val="99"/>
    <w:unhideWhenUsed/>
    <w:rsid w:val="00F058FC"/>
    <w:pPr>
      <w:spacing w:after="360" w:line="293" w:lineRule="auto"/>
    </w:pPr>
  </w:style>
  <w:style w:type="character" w:customStyle="1" w:styleId="DateChar">
    <w:name w:val="Date Char"/>
    <w:basedOn w:val="DefaultParagraphFont"/>
    <w:link w:val="Date"/>
    <w:uiPriority w:val="99"/>
    <w:rsid w:val="00F058FC"/>
    <w:rPr>
      <w:sz w:val="20"/>
      <w:szCs w:val="20"/>
    </w:rPr>
  </w:style>
  <w:style w:type="paragraph" w:styleId="NoSpacing">
    <w:name w:val="No Spacing"/>
    <w:basedOn w:val="Normal"/>
    <w:link w:val="NoSpacingChar"/>
    <w:uiPriority w:val="10"/>
    <w:qFormat/>
    <w:rsid w:val="00F058FC"/>
    <w:pPr>
      <w:spacing w:before="0" w:after="0"/>
    </w:pPr>
  </w:style>
  <w:style w:type="paragraph" w:styleId="ListBullet">
    <w:name w:val="List Bullet"/>
    <w:basedOn w:val="Normal"/>
    <w:link w:val="ListBulletChar"/>
    <w:uiPriority w:val="1"/>
    <w:qFormat/>
    <w:rsid w:val="00F058FC"/>
    <w:pPr>
      <w:numPr>
        <w:numId w:val="22"/>
      </w:numPr>
      <w:contextualSpacing/>
    </w:pPr>
  </w:style>
  <w:style w:type="paragraph" w:styleId="ListBullet2">
    <w:name w:val="List Bullet 2"/>
    <w:basedOn w:val="Normal"/>
    <w:uiPriority w:val="1"/>
    <w:qFormat/>
    <w:rsid w:val="00F058FC"/>
    <w:pPr>
      <w:numPr>
        <w:ilvl w:val="1"/>
        <w:numId w:val="22"/>
      </w:numPr>
      <w:contextualSpacing/>
    </w:pPr>
  </w:style>
  <w:style w:type="paragraph" w:styleId="ListNumber">
    <w:name w:val="List Number"/>
    <w:basedOn w:val="Normal"/>
    <w:uiPriority w:val="2"/>
    <w:qFormat/>
    <w:rsid w:val="00F058FC"/>
    <w:pPr>
      <w:numPr>
        <w:numId w:val="20"/>
      </w:numPr>
      <w:spacing w:before="60"/>
      <w:contextualSpacing/>
    </w:pPr>
  </w:style>
  <w:style w:type="numbering" w:customStyle="1" w:styleId="Bullets">
    <w:name w:val="Bullets"/>
    <w:uiPriority w:val="99"/>
    <w:rsid w:val="00F058FC"/>
    <w:pPr>
      <w:numPr>
        <w:numId w:val="9"/>
      </w:numPr>
    </w:pPr>
  </w:style>
  <w:style w:type="character" w:customStyle="1" w:styleId="Heading1Char">
    <w:name w:val="Heading 1 Char"/>
    <w:basedOn w:val="DefaultParagraphFont"/>
    <w:link w:val="Heading1"/>
    <w:uiPriority w:val="9"/>
    <w:rsid w:val="00F058F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058FC"/>
    <w:pPr>
      <w:numPr>
        <w:ilvl w:val="1"/>
        <w:numId w:val="20"/>
      </w:numPr>
      <w:spacing w:before="60"/>
      <w:ind w:left="851" w:hanging="851"/>
      <w:contextualSpacing/>
    </w:pPr>
  </w:style>
  <w:style w:type="character" w:customStyle="1" w:styleId="Heading2Char">
    <w:name w:val="Heading 2 Char"/>
    <w:basedOn w:val="DefaultParagraphFont"/>
    <w:link w:val="Heading2"/>
    <w:uiPriority w:val="9"/>
    <w:rsid w:val="00F058FC"/>
    <w:rPr>
      <w:rFonts w:asciiTheme="majorHAnsi" w:eastAsiaTheme="majorEastAsia" w:hAnsiTheme="majorHAnsi" w:cstheme="majorBidi"/>
      <w:sz w:val="30"/>
      <w:szCs w:val="60"/>
    </w:rPr>
  </w:style>
  <w:style w:type="paragraph" w:styleId="ListParagraph">
    <w:name w:val="List Paragraph"/>
    <w:basedOn w:val="Normal"/>
    <w:link w:val="ListParagraphChar"/>
    <w:uiPriority w:val="34"/>
    <w:qFormat/>
    <w:rsid w:val="00F058FC"/>
    <w:pPr>
      <w:spacing w:line="293" w:lineRule="auto"/>
      <w:ind w:left="284"/>
      <w:contextualSpacing/>
    </w:pPr>
  </w:style>
  <w:style w:type="paragraph" w:styleId="Header">
    <w:name w:val="header"/>
    <w:basedOn w:val="Normal"/>
    <w:link w:val="HeaderChar"/>
    <w:uiPriority w:val="99"/>
    <w:unhideWhenUsed/>
    <w:rsid w:val="00F058F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058FC"/>
    <w:rPr>
      <w:sz w:val="16"/>
      <w:szCs w:val="20"/>
    </w:rPr>
  </w:style>
  <w:style w:type="paragraph" w:styleId="Footer">
    <w:name w:val="footer"/>
    <w:basedOn w:val="Normal"/>
    <w:link w:val="FooterChar"/>
    <w:uiPriority w:val="11"/>
    <w:rsid w:val="00F058F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058FC"/>
    <w:rPr>
      <w:rFonts w:asciiTheme="majorHAnsi" w:hAnsiTheme="majorHAnsi"/>
      <w:sz w:val="17"/>
    </w:rPr>
  </w:style>
  <w:style w:type="numbering" w:customStyle="1" w:styleId="Numbering">
    <w:name w:val="Numbering"/>
    <w:uiPriority w:val="99"/>
    <w:rsid w:val="00F058FC"/>
    <w:pPr>
      <w:numPr>
        <w:numId w:val="13"/>
      </w:numPr>
    </w:pPr>
  </w:style>
  <w:style w:type="paragraph" w:styleId="ListBullet3">
    <w:name w:val="List Bullet 3"/>
    <w:basedOn w:val="Normal"/>
    <w:uiPriority w:val="1"/>
    <w:qFormat/>
    <w:rsid w:val="00F058FC"/>
    <w:pPr>
      <w:numPr>
        <w:ilvl w:val="2"/>
        <w:numId w:val="22"/>
      </w:numPr>
      <w:tabs>
        <w:tab w:val="num" w:pos="360"/>
      </w:tabs>
      <w:ind w:left="0" w:firstLine="0"/>
      <w:contextualSpacing/>
    </w:pPr>
  </w:style>
  <w:style w:type="paragraph" w:styleId="ListContinue2">
    <w:name w:val="List Continue 2"/>
    <w:basedOn w:val="Normal"/>
    <w:uiPriority w:val="3"/>
    <w:unhideWhenUsed/>
    <w:qFormat/>
    <w:rsid w:val="00F058FC"/>
    <w:pPr>
      <w:spacing w:before="60"/>
      <w:ind w:left="454"/>
    </w:pPr>
  </w:style>
  <w:style w:type="paragraph" w:styleId="ListNumber3">
    <w:name w:val="List Number 3"/>
    <w:basedOn w:val="Normal"/>
    <w:uiPriority w:val="13"/>
    <w:semiHidden/>
    <w:qFormat/>
    <w:rsid w:val="00F058FC"/>
    <w:pPr>
      <w:numPr>
        <w:ilvl w:val="2"/>
        <w:numId w:val="20"/>
      </w:numPr>
      <w:spacing w:before="60"/>
      <w:ind w:left="1080" w:hanging="360"/>
      <w:contextualSpacing/>
    </w:pPr>
  </w:style>
  <w:style w:type="paragraph" w:styleId="ListNumber4">
    <w:name w:val="List Number 4"/>
    <w:basedOn w:val="Normal"/>
    <w:uiPriority w:val="13"/>
    <w:semiHidden/>
    <w:qFormat/>
    <w:rsid w:val="00F058FC"/>
    <w:pPr>
      <w:numPr>
        <w:ilvl w:val="3"/>
        <w:numId w:val="20"/>
      </w:numPr>
      <w:spacing w:after="200" w:line="293" w:lineRule="auto"/>
      <w:ind w:left="1440" w:hanging="360"/>
      <w:contextualSpacing/>
    </w:pPr>
  </w:style>
  <w:style w:type="paragraph" w:styleId="ListNumber5">
    <w:name w:val="List Number 5"/>
    <w:basedOn w:val="Normal"/>
    <w:uiPriority w:val="13"/>
    <w:semiHidden/>
    <w:rsid w:val="00F058FC"/>
    <w:pPr>
      <w:numPr>
        <w:ilvl w:val="4"/>
        <w:numId w:val="20"/>
      </w:numPr>
      <w:spacing w:after="200" w:line="293" w:lineRule="auto"/>
      <w:ind w:left="1800" w:hanging="360"/>
      <w:contextualSpacing/>
    </w:pPr>
  </w:style>
  <w:style w:type="paragraph" w:styleId="ListContinue">
    <w:name w:val="List Continue"/>
    <w:basedOn w:val="Normal"/>
    <w:uiPriority w:val="3"/>
    <w:unhideWhenUsed/>
    <w:qFormat/>
    <w:rsid w:val="00F058FC"/>
    <w:pPr>
      <w:spacing w:before="60"/>
      <w:ind w:left="227"/>
    </w:pPr>
  </w:style>
  <w:style w:type="paragraph" w:styleId="ListContinue3">
    <w:name w:val="List Continue 3"/>
    <w:basedOn w:val="Normal"/>
    <w:uiPriority w:val="3"/>
    <w:unhideWhenUsed/>
    <w:qFormat/>
    <w:rsid w:val="00F058FC"/>
    <w:pPr>
      <w:spacing w:before="60"/>
      <w:ind w:left="907"/>
    </w:pPr>
  </w:style>
  <w:style w:type="paragraph" w:styleId="ListContinue4">
    <w:name w:val="List Continue 4"/>
    <w:basedOn w:val="Normal"/>
    <w:uiPriority w:val="3"/>
    <w:unhideWhenUsed/>
    <w:qFormat/>
    <w:rsid w:val="00F058FC"/>
    <w:pPr>
      <w:spacing w:line="293" w:lineRule="auto"/>
      <w:ind w:left="907"/>
      <w:contextualSpacing/>
    </w:pPr>
  </w:style>
  <w:style w:type="character" w:customStyle="1" w:styleId="Heading3Char">
    <w:name w:val="Heading 3 Char"/>
    <w:basedOn w:val="DefaultParagraphFont"/>
    <w:link w:val="Heading3"/>
    <w:uiPriority w:val="9"/>
    <w:rsid w:val="00F058F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058F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058FC"/>
    <w:rPr>
      <w:rFonts w:eastAsiaTheme="majorEastAsia" w:cstheme="majorBidi"/>
      <w:b/>
      <w:color w:val="265A9A" w:themeColor="background2"/>
      <w:szCs w:val="29"/>
    </w:rPr>
  </w:style>
  <w:style w:type="numbering" w:customStyle="1" w:styleId="ListHeadings">
    <w:name w:val="List Headings"/>
    <w:uiPriority w:val="99"/>
    <w:rsid w:val="00F058FC"/>
    <w:pPr>
      <w:numPr>
        <w:numId w:val="12"/>
      </w:numPr>
    </w:pPr>
  </w:style>
  <w:style w:type="paragraph" w:styleId="Title">
    <w:name w:val="Title"/>
    <w:basedOn w:val="Heading1"/>
    <w:next w:val="Normal"/>
    <w:link w:val="TitleChar"/>
    <w:uiPriority w:val="39"/>
    <w:rsid w:val="00F058F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058F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058F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058FC"/>
    <w:rPr>
      <w:b/>
    </w:rPr>
  </w:style>
  <w:style w:type="character" w:customStyle="1" w:styleId="Pull-outQuoteChar">
    <w:name w:val="Pull-out Quote Char"/>
    <w:basedOn w:val="DefaultParagraphFont"/>
    <w:link w:val="Pull-outQuote"/>
    <w:uiPriority w:val="99"/>
    <w:semiHidden/>
    <w:rsid w:val="00F058F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058F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058FC"/>
  </w:style>
  <w:style w:type="paragraph" w:customStyle="1" w:styleId="NumberedHeading2">
    <w:name w:val="Numbered Heading 2"/>
    <w:basedOn w:val="Heading2"/>
    <w:next w:val="Normal"/>
    <w:link w:val="NumberedHeading2Char"/>
    <w:uiPriority w:val="9"/>
    <w:semiHidden/>
    <w:rsid w:val="00F058FC"/>
  </w:style>
  <w:style w:type="character" w:customStyle="1" w:styleId="NumberedHeading1Char">
    <w:name w:val="Numbered Heading 1 Char"/>
    <w:basedOn w:val="Heading1Char"/>
    <w:link w:val="NumberedHeading1"/>
    <w:uiPriority w:val="9"/>
    <w:semiHidden/>
    <w:rsid w:val="00F058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058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058FC"/>
    <w:pPr>
      <w:ind w:left="1134"/>
      <w:contextualSpacing/>
    </w:pPr>
  </w:style>
  <w:style w:type="table" w:styleId="TableGrid">
    <w:name w:val="Table Grid"/>
    <w:basedOn w:val="TableNormal"/>
    <w:uiPriority w:val="39"/>
    <w:rsid w:val="00F05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058F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58FC"/>
    <w:pPr>
      <w:numPr>
        <w:numId w:val="17"/>
      </w:numPr>
      <w:spacing w:before="60"/>
    </w:pPr>
  </w:style>
  <w:style w:type="paragraph" w:styleId="List2">
    <w:name w:val="List 2"/>
    <w:basedOn w:val="Normal"/>
    <w:uiPriority w:val="99"/>
    <w:semiHidden/>
    <w:qFormat/>
    <w:rsid w:val="00F058FC"/>
    <w:pPr>
      <w:numPr>
        <w:ilvl w:val="1"/>
        <w:numId w:val="17"/>
      </w:numPr>
      <w:spacing w:before="60"/>
      <w:ind w:left="851" w:hanging="284"/>
    </w:pPr>
  </w:style>
  <w:style w:type="numbering" w:customStyle="1" w:styleId="LetteredList">
    <w:name w:val="Lettered List"/>
    <w:uiPriority w:val="99"/>
    <w:rsid w:val="00F058FC"/>
    <w:pPr>
      <w:numPr>
        <w:numId w:val="11"/>
      </w:numPr>
    </w:pPr>
  </w:style>
  <w:style w:type="paragraph" w:styleId="Subtitle">
    <w:name w:val="Subtitle"/>
    <w:basedOn w:val="Normal"/>
    <w:next w:val="Normal"/>
    <w:link w:val="SubtitleChar"/>
    <w:uiPriority w:val="39"/>
    <w:rsid w:val="00F058F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058FC"/>
    <w:rPr>
      <w:rFonts w:eastAsiaTheme="minorEastAsia"/>
      <w:color w:val="FFFFFF" w:themeColor="background1"/>
      <w:sz w:val="52"/>
      <w:szCs w:val="20"/>
    </w:rPr>
  </w:style>
  <w:style w:type="character" w:styleId="Strong">
    <w:name w:val="Strong"/>
    <w:basedOn w:val="DefaultParagraphFont"/>
    <w:uiPriority w:val="22"/>
    <w:qFormat/>
    <w:rsid w:val="00F058FC"/>
    <w:rPr>
      <w:rFonts w:asciiTheme="minorHAnsi" w:hAnsiTheme="minorHAnsi"/>
      <w:b/>
      <w:bCs/>
    </w:rPr>
  </w:style>
  <w:style w:type="paragraph" w:customStyle="1" w:styleId="Header-Keyline">
    <w:name w:val="Header - Keyline"/>
    <w:basedOn w:val="Header"/>
    <w:link w:val="Header-KeylineChar"/>
    <w:uiPriority w:val="99"/>
    <w:rsid w:val="00F058FC"/>
    <w:pPr>
      <w:pBdr>
        <w:bottom w:val="single" w:sz="4" w:space="31" w:color="66BCDB" w:themeColor="text2"/>
      </w:pBdr>
      <w:spacing w:after="600"/>
    </w:pPr>
  </w:style>
  <w:style w:type="character" w:customStyle="1" w:styleId="Heading6Char">
    <w:name w:val="Heading 6 Char"/>
    <w:basedOn w:val="DefaultParagraphFont"/>
    <w:link w:val="Heading6"/>
    <w:uiPriority w:val="9"/>
    <w:rsid w:val="00F058F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058FC"/>
    <w:rPr>
      <w:sz w:val="16"/>
      <w:szCs w:val="20"/>
    </w:rPr>
  </w:style>
  <w:style w:type="character" w:customStyle="1" w:styleId="Heading7Char">
    <w:name w:val="Heading 7 Char"/>
    <w:basedOn w:val="DefaultParagraphFont"/>
    <w:link w:val="Heading7"/>
    <w:uiPriority w:val="9"/>
    <w:semiHidden/>
    <w:rsid w:val="00F058F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058FC"/>
    <w:rPr>
      <w:rFonts w:eastAsiaTheme="majorEastAsia" w:cstheme="majorBidi"/>
      <w:b/>
      <w:sz w:val="18"/>
      <w:szCs w:val="21"/>
    </w:rPr>
  </w:style>
  <w:style w:type="table" w:customStyle="1" w:styleId="ProductivityCommissionTable1">
    <w:name w:val="Productivity Commission Table 1"/>
    <w:basedOn w:val="TableNormal"/>
    <w:uiPriority w:val="99"/>
    <w:rsid w:val="00F058F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058F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058F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058F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058FC"/>
    <w:pPr>
      <w:spacing w:before="60" w:after="60" w:line="293" w:lineRule="auto"/>
      <w:contextualSpacing/>
    </w:pPr>
    <w:rPr>
      <w:sz w:val="18"/>
    </w:rPr>
  </w:style>
  <w:style w:type="paragraph" w:styleId="TOC1">
    <w:name w:val="toc 1"/>
    <w:basedOn w:val="Normal"/>
    <w:next w:val="BodyText"/>
    <w:autoRedefine/>
    <w:uiPriority w:val="39"/>
    <w:unhideWhenUsed/>
    <w:rsid w:val="00F058F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058FC"/>
    <w:rPr>
      <w:sz w:val="18"/>
      <w:szCs w:val="20"/>
    </w:rPr>
  </w:style>
  <w:style w:type="character" w:styleId="FootnoteReference">
    <w:name w:val="footnote reference"/>
    <w:basedOn w:val="DefaultParagraphFont"/>
    <w:uiPriority w:val="99"/>
    <w:unhideWhenUsed/>
    <w:rsid w:val="00F058FC"/>
    <w:rPr>
      <w:vertAlign w:val="superscript"/>
    </w:rPr>
  </w:style>
  <w:style w:type="character" w:styleId="Hyperlink">
    <w:name w:val="Hyperlink"/>
    <w:basedOn w:val="DefaultParagraphFont"/>
    <w:uiPriority w:val="99"/>
    <w:unhideWhenUsed/>
    <w:rsid w:val="00F058FC"/>
    <w:rPr>
      <w:color w:val="000000" w:themeColor="hyperlink"/>
      <w:u w:val="single"/>
    </w:rPr>
  </w:style>
  <w:style w:type="character" w:styleId="HTMLVariable">
    <w:name w:val="HTML Variable"/>
    <w:basedOn w:val="DefaultParagraphFont"/>
    <w:uiPriority w:val="99"/>
    <w:unhideWhenUsed/>
    <w:rsid w:val="00F058FC"/>
    <w:rPr>
      <w:i/>
      <w:iCs/>
    </w:rPr>
  </w:style>
  <w:style w:type="paragraph" w:styleId="TOC2">
    <w:name w:val="toc 2"/>
    <w:basedOn w:val="Normal"/>
    <w:next w:val="Normal"/>
    <w:autoRedefine/>
    <w:uiPriority w:val="39"/>
    <w:unhideWhenUsed/>
    <w:rsid w:val="00F058F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058F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058F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058F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058F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058F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058FC"/>
    <w:rPr>
      <w:sz w:val="20"/>
      <w:szCs w:val="20"/>
    </w:rPr>
  </w:style>
  <w:style w:type="character" w:customStyle="1" w:styleId="Copyrightpage-Heading2Char">
    <w:name w:val="Copyright page-Heading 2 Char"/>
    <w:basedOn w:val="NoSpacingChar"/>
    <w:link w:val="Copyrightpage-Heading2"/>
    <w:uiPriority w:val="19"/>
    <w:rsid w:val="00F058FC"/>
    <w:rPr>
      <w:b/>
      <w:color w:val="FFFFFF" w:themeColor="background1"/>
      <w:sz w:val="16"/>
      <w:szCs w:val="16"/>
    </w:rPr>
  </w:style>
  <w:style w:type="paragraph" w:customStyle="1" w:styleId="Copyrightpage-Heading">
    <w:name w:val="Copyright page-Heading"/>
    <w:basedOn w:val="Subtitle2"/>
    <w:link w:val="Copyrightpage-HeadingChar"/>
    <w:uiPriority w:val="19"/>
    <w:rsid w:val="00F058F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058FC"/>
    <w:rPr>
      <w:color w:val="FFFFFF" w:themeColor="background1"/>
      <w:sz w:val="16"/>
      <w:szCs w:val="20"/>
    </w:rPr>
  </w:style>
  <w:style w:type="paragraph" w:customStyle="1" w:styleId="Subtitle4">
    <w:name w:val="Subtitle 4"/>
    <w:basedOn w:val="Copyrightpage-Heading"/>
    <w:link w:val="Subtitle4Char"/>
    <w:uiPriority w:val="39"/>
    <w:rsid w:val="00F058FC"/>
    <w:pPr>
      <w:spacing w:after="40"/>
    </w:pPr>
    <w:rPr>
      <w:b/>
      <w:sz w:val="16"/>
    </w:rPr>
  </w:style>
  <w:style w:type="character" w:customStyle="1" w:styleId="Copyrightpage-HeadingChar">
    <w:name w:val="Copyright page-Heading Char"/>
    <w:basedOn w:val="Subtitle2Char"/>
    <w:link w:val="Copyrightpage-Heading"/>
    <w:uiPriority w:val="19"/>
    <w:rsid w:val="00F058F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058F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058F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058F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058F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058FC"/>
    <w:pPr>
      <w:spacing w:line="360" w:lineRule="auto"/>
      <w:jc w:val="right"/>
    </w:pPr>
    <w:rPr>
      <w:sz w:val="16"/>
    </w:rPr>
  </w:style>
  <w:style w:type="paragraph" w:customStyle="1" w:styleId="Letterlogo">
    <w:name w:val="Letter logo"/>
    <w:basedOn w:val="LetterRight"/>
    <w:uiPriority w:val="99"/>
    <w:rsid w:val="00F058FC"/>
    <w:pPr>
      <w:spacing w:after="320"/>
    </w:pPr>
  </w:style>
  <w:style w:type="character" w:customStyle="1" w:styleId="LetterRightChar">
    <w:name w:val="Letter Right Char"/>
    <w:basedOn w:val="DefaultParagraphFont"/>
    <w:link w:val="LetterRight"/>
    <w:uiPriority w:val="99"/>
    <w:rsid w:val="00F058FC"/>
    <w:rPr>
      <w:sz w:val="16"/>
      <w:szCs w:val="20"/>
    </w:rPr>
  </w:style>
  <w:style w:type="character" w:styleId="UnresolvedMention">
    <w:name w:val="Unresolved Mention"/>
    <w:basedOn w:val="DefaultParagraphFont"/>
    <w:uiPriority w:val="99"/>
    <w:unhideWhenUsed/>
    <w:rsid w:val="00F058FC"/>
    <w:rPr>
      <w:color w:val="605E5C"/>
      <w:shd w:val="clear" w:color="auto" w:fill="E1DFDD"/>
    </w:rPr>
  </w:style>
  <w:style w:type="paragraph" w:customStyle="1" w:styleId="LetterRight-NoSpace">
    <w:name w:val="Letter Right-No Space"/>
    <w:basedOn w:val="LetterRight"/>
    <w:uiPriority w:val="99"/>
    <w:rsid w:val="00F058FC"/>
    <w:pPr>
      <w:spacing w:after="0"/>
    </w:pPr>
  </w:style>
  <w:style w:type="table" w:customStyle="1" w:styleId="Blank">
    <w:name w:val="Blank"/>
    <w:basedOn w:val="TableNormal"/>
    <w:uiPriority w:val="99"/>
    <w:rsid w:val="00F058F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058FC"/>
    <w:pPr>
      <w:numPr>
        <w:numId w:val="19"/>
      </w:numPr>
      <w:tabs>
        <w:tab w:val="clear" w:pos="1492"/>
      </w:tabs>
      <w:ind w:left="1418" w:hanging="851"/>
      <w:contextualSpacing/>
    </w:pPr>
  </w:style>
  <w:style w:type="paragraph" w:customStyle="1" w:styleId="Coverdate">
    <w:name w:val="Cover date"/>
    <w:basedOn w:val="Normal"/>
    <w:uiPriority w:val="29"/>
    <w:rsid w:val="00F058F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058F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058FC"/>
    <w:rPr>
      <w:color w:val="FFFFFF" w:themeColor="background1"/>
    </w:rPr>
  </w:style>
  <w:style w:type="paragraph" w:customStyle="1" w:styleId="Copyrightpage-Keylinenotext">
    <w:name w:val="Copyright page-Keyline (no text)"/>
    <w:basedOn w:val="Copyrightpage-Heading2"/>
    <w:uiPriority w:val="19"/>
    <w:rsid w:val="00F058F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058F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058FC"/>
    <w:rPr>
      <w:b/>
    </w:rPr>
  </w:style>
  <w:style w:type="paragraph" w:customStyle="1" w:styleId="CoverImage">
    <w:name w:val="Cover Image"/>
    <w:basedOn w:val="Normal"/>
    <w:uiPriority w:val="29"/>
    <w:rsid w:val="00F058F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058F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058F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058FC"/>
    <w:pPr>
      <w:spacing w:before="60"/>
      <w:ind w:left="113" w:right="851"/>
    </w:pPr>
    <w:rPr>
      <w:color w:val="58585B"/>
    </w:rPr>
  </w:style>
  <w:style w:type="numbering" w:customStyle="1" w:styleId="TOCList">
    <w:name w:val="TOC List"/>
    <w:uiPriority w:val="99"/>
    <w:rsid w:val="00F058FC"/>
    <w:pPr>
      <w:numPr>
        <w:numId w:val="14"/>
      </w:numPr>
    </w:pPr>
  </w:style>
  <w:style w:type="paragraph" w:customStyle="1" w:styleId="Heading1-Section-fullpage">
    <w:name w:val="Heading 1-Section-full page"/>
    <w:basedOn w:val="Heading1-nobackground"/>
    <w:uiPriority w:val="9"/>
    <w:qFormat/>
    <w:rsid w:val="008F599D"/>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color w:val="66BCDB" w:themeColor="text2"/>
    </w:rPr>
  </w:style>
  <w:style w:type="table" w:customStyle="1" w:styleId="Texttable-Paleblue">
    <w:name w:val="Text table-Pale blue"/>
    <w:basedOn w:val="TableNormal"/>
    <w:uiPriority w:val="99"/>
    <w:rsid w:val="00F058F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058FC"/>
    <w:pPr>
      <w:keepNext/>
      <w:spacing w:before="240"/>
    </w:pPr>
  </w:style>
  <w:style w:type="paragraph" w:customStyle="1" w:styleId="Source">
    <w:name w:val="Source"/>
    <w:basedOn w:val="Normal"/>
    <w:uiPriority w:val="9"/>
    <w:qFormat/>
    <w:rsid w:val="00F058FC"/>
    <w:pPr>
      <w:spacing w:before="80" w:after="240" w:line="216" w:lineRule="atLeast"/>
    </w:pPr>
    <w:rPr>
      <w:sz w:val="18"/>
    </w:rPr>
  </w:style>
  <w:style w:type="paragraph" w:customStyle="1" w:styleId="Note">
    <w:name w:val="Note"/>
    <w:basedOn w:val="Source"/>
    <w:uiPriority w:val="9"/>
    <w:qFormat/>
    <w:rsid w:val="00F058FC"/>
    <w:pPr>
      <w:spacing w:after="20"/>
    </w:pPr>
  </w:style>
  <w:style w:type="numbering" w:customStyle="1" w:styleId="Figure">
    <w:name w:val="Figure"/>
    <w:uiPriority w:val="99"/>
    <w:rsid w:val="00F058FC"/>
    <w:pPr>
      <w:numPr>
        <w:numId w:val="10"/>
      </w:numPr>
    </w:pPr>
  </w:style>
  <w:style w:type="table" w:customStyle="1" w:styleId="Boxtable">
    <w:name w:val="Box table"/>
    <w:basedOn w:val="Texttable-Paleblue"/>
    <w:uiPriority w:val="99"/>
    <w:rsid w:val="00F058F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058FC"/>
    <w:pPr>
      <w:numPr>
        <w:numId w:val="8"/>
      </w:numPr>
    </w:pPr>
  </w:style>
  <w:style w:type="paragraph" w:customStyle="1" w:styleId="BoxHeading2">
    <w:name w:val="Box Heading 2"/>
    <w:basedOn w:val="Normal"/>
    <w:next w:val="BodyText"/>
    <w:uiPriority w:val="4"/>
    <w:qFormat/>
    <w:rsid w:val="00F058FC"/>
    <w:rPr>
      <w:b/>
    </w:rPr>
  </w:style>
  <w:style w:type="table" w:customStyle="1" w:styleId="ProductivityCommissionTable2-Dark">
    <w:name w:val="Productivity Commission Table 2 - Dark"/>
    <w:basedOn w:val="ProductivityCommissionTable2"/>
    <w:uiPriority w:val="99"/>
    <w:rsid w:val="00F058F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058FC"/>
    <w:rPr>
      <w:i/>
    </w:rPr>
  </w:style>
  <w:style w:type="paragraph" w:customStyle="1" w:styleId="TableHeading">
    <w:name w:val="Table Heading"/>
    <w:basedOn w:val="NoSpacing"/>
    <w:uiPriority w:val="4"/>
    <w:qFormat/>
    <w:rsid w:val="00F058FC"/>
    <w:pPr>
      <w:spacing w:after="20"/>
      <w:ind w:left="57"/>
    </w:pPr>
    <w:rPr>
      <w:b/>
      <w:color w:val="265A9A" w:themeColor="background2"/>
      <w:sz w:val="18"/>
    </w:rPr>
  </w:style>
  <w:style w:type="paragraph" w:customStyle="1" w:styleId="BodyText-Blue">
    <w:name w:val="Body Text-Blue"/>
    <w:basedOn w:val="BodyText"/>
    <w:link w:val="BodyText-BlueChar"/>
    <w:semiHidden/>
    <w:qFormat/>
    <w:rsid w:val="00F058FC"/>
    <w:rPr>
      <w:color w:val="265A9A" w:themeColor="background2"/>
    </w:rPr>
  </w:style>
  <w:style w:type="table" w:customStyle="1" w:styleId="Texttable-Keyline">
    <w:name w:val="Text table-Keyline"/>
    <w:basedOn w:val="Texttable-Paleblue"/>
    <w:uiPriority w:val="99"/>
    <w:rsid w:val="00F058F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058FC"/>
    <w:pPr>
      <w:jc w:val="right"/>
    </w:pPr>
  </w:style>
  <w:style w:type="table" w:customStyle="1" w:styleId="CopyrightPage">
    <w:name w:val="Copyright Page"/>
    <w:basedOn w:val="OverviewPageBannerTableStyle"/>
    <w:uiPriority w:val="99"/>
    <w:rsid w:val="00F058F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058FC"/>
    <w:pPr>
      <w:spacing w:line="312" w:lineRule="atLeast"/>
    </w:pPr>
    <w:rPr>
      <w:color w:val="2C9BC2"/>
    </w:rPr>
  </w:style>
  <w:style w:type="paragraph" w:styleId="BodyText">
    <w:name w:val="Body Text"/>
    <w:basedOn w:val="Normal"/>
    <w:link w:val="BodyTextChar"/>
    <w:qFormat/>
    <w:rsid w:val="00F058FC"/>
  </w:style>
  <w:style w:type="character" w:customStyle="1" w:styleId="BodyTextChar">
    <w:name w:val="Body Text Char"/>
    <w:basedOn w:val="DefaultParagraphFont"/>
    <w:link w:val="BodyText"/>
    <w:rsid w:val="00F058FC"/>
    <w:rPr>
      <w:sz w:val="20"/>
      <w:szCs w:val="20"/>
    </w:rPr>
  </w:style>
  <w:style w:type="paragraph" w:styleId="List4">
    <w:name w:val="List 4"/>
    <w:basedOn w:val="Normal"/>
    <w:uiPriority w:val="99"/>
    <w:semiHidden/>
    <w:rsid w:val="00F058FC"/>
    <w:pPr>
      <w:numPr>
        <w:ilvl w:val="3"/>
        <w:numId w:val="17"/>
      </w:numPr>
      <w:ind w:left="1440" w:hanging="360"/>
      <w:contextualSpacing/>
    </w:pPr>
  </w:style>
  <w:style w:type="paragraph" w:styleId="List3">
    <w:name w:val="List 3"/>
    <w:basedOn w:val="Normal"/>
    <w:uiPriority w:val="99"/>
    <w:semiHidden/>
    <w:rsid w:val="00F058FC"/>
    <w:pPr>
      <w:numPr>
        <w:ilvl w:val="2"/>
        <w:numId w:val="17"/>
      </w:numPr>
      <w:ind w:left="1080" w:hanging="360"/>
      <w:contextualSpacing/>
    </w:pPr>
  </w:style>
  <w:style w:type="paragraph" w:customStyle="1" w:styleId="Heading1-nonumber">
    <w:name w:val="Heading 1-no number"/>
    <w:basedOn w:val="Heading1"/>
    <w:next w:val="BodyText"/>
    <w:uiPriority w:val="9"/>
    <w:qFormat/>
    <w:rsid w:val="00F058FC"/>
    <w:pPr>
      <w:numPr>
        <w:numId w:val="0"/>
      </w:numPr>
      <w:ind w:left="567"/>
    </w:pPr>
  </w:style>
  <w:style w:type="paragraph" w:customStyle="1" w:styleId="ListAlpha1">
    <w:name w:val="List Alpha 1"/>
    <w:basedOn w:val="Normal"/>
    <w:uiPriority w:val="3"/>
    <w:qFormat/>
    <w:rsid w:val="00F058FC"/>
    <w:pPr>
      <w:numPr>
        <w:numId w:val="18"/>
      </w:numPr>
      <w:spacing w:before="60"/>
      <w:ind w:left="1418" w:hanging="851"/>
      <w:contextualSpacing/>
    </w:pPr>
  </w:style>
  <w:style w:type="paragraph" w:customStyle="1" w:styleId="ListAlpha2">
    <w:name w:val="List Alpha 2"/>
    <w:basedOn w:val="ListAlpha1"/>
    <w:uiPriority w:val="3"/>
    <w:qFormat/>
    <w:rsid w:val="00F058FC"/>
    <w:pPr>
      <w:numPr>
        <w:ilvl w:val="1"/>
      </w:numPr>
      <w:ind w:left="851" w:hanging="851"/>
    </w:pPr>
  </w:style>
  <w:style w:type="paragraph" w:customStyle="1" w:styleId="ListAlpha3">
    <w:name w:val="List Alpha 3"/>
    <w:basedOn w:val="ListAlpha2"/>
    <w:uiPriority w:val="3"/>
    <w:qFormat/>
    <w:rsid w:val="00F058FC"/>
    <w:pPr>
      <w:numPr>
        <w:ilvl w:val="2"/>
      </w:numPr>
      <w:ind w:left="1080" w:hanging="360"/>
    </w:pPr>
  </w:style>
  <w:style w:type="paragraph" w:customStyle="1" w:styleId="ListAlpha4">
    <w:name w:val="List Alpha 4"/>
    <w:basedOn w:val="ListAlpha3"/>
    <w:uiPriority w:val="3"/>
    <w:semiHidden/>
    <w:qFormat/>
    <w:rsid w:val="00F058FC"/>
    <w:pPr>
      <w:numPr>
        <w:ilvl w:val="3"/>
      </w:numPr>
      <w:ind w:left="1440" w:hanging="360"/>
    </w:pPr>
  </w:style>
  <w:style w:type="numbering" w:customStyle="1" w:styleId="Alphalist">
    <w:name w:val="Alpha list"/>
    <w:uiPriority w:val="99"/>
    <w:rsid w:val="00F058FC"/>
    <w:pPr>
      <w:numPr>
        <w:numId w:val="6"/>
      </w:numPr>
    </w:pPr>
  </w:style>
  <w:style w:type="paragraph" w:customStyle="1" w:styleId="KeyPoints-Bold">
    <w:name w:val="Key Points-Bold"/>
    <w:basedOn w:val="Normal"/>
    <w:uiPriority w:val="10"/>
    <w:qFormat/>
    <w:rsid w:val="00F058FC"/>
    <w:pPr>
      <w:spacing w:before="40" w:after="60" w:line="274" w:lineRule="atLeast"/>
    </w:pPr>
    <w:rPr>
      <w:b/>
      <w:sz w:val="18"/>
    </w:rPr>
  </w:style>
  <w:style w:type="paragraph" w:customStyle="1" w:styleId="Copyrightpage-BodyBold">
    <w:name w:val="Copyright page-Body Bold"/>
    <w:basedOn w:val="Copyrightpage-BodyText"/>
    <w:uiPriority w:val="19"/>
    <w:rsid w:val="00F058FC"/>
    <w:rPr>
      <w:b/>
    </w:rPr>
  </w:style>
  <w:style w:type="paragraph" w:customStyle="1" w:styleId="KeyPoints-Bullet">
    <w:name w:val="Key Points-Bullet"/>
    <w:basedOn w:val="ListBullet"/>
    <w:uiPriority w:val="10"/>
    <w:qFormat/>
    <w:rsid w:val="00F058FC"/>
    <w:pPr>
      <w:spacing w:after="60" w:line="274" w:lineRule="atLeast"/>
    </w:pPr>
    <w:rPr>
      <w:sz w:val="18"/>
    </w:rPr>
  </w:style>
  <w:style w:type="paragraph" w:customStyle="1" w:styleId="BodyText-Grey">
    <w:name w:val="Body Text-Grey"/>
    <w:basedOn w:val="BodyText"/>
    <w:link w:val="BodyText-GreyChar"/>
    <w:semiHidden/>
    <w:qFormat/>
    <w:rsid w:val="00F058FC"/>
    <w:rPr>
      <w:color w:val="58585B"/>
    </w:rPr>
  </w:style>
  <w:style w:type="character" w:customStyle="1" w:styleId="BodyText-GreyChar">
    <w:name w:val="Body Text-Grey Char"/>
    <w:basedOn w:val="BodyTextChar"/>
    <w:link w:val="BodyText-Grey"/>
    <w:semiHidden/>
    <w:rsid w:val="00F058FC"/>
    <w:rPr>
      <w:color w:val="58585B"/>
      <w:sz w:val="20"/>
      <w:szCs w:val="20"/>
    </w:rPr>
  </w:style>
  <w:style w:type="paragraph" w:styleId="BalloonText">
    <w:name w:val="Balloon Text"/>
    <w:basedOn w:val="Normal"/>
    <w:link w:val="BalloonTextChar"/>
    <w:uiPriority w:val="99"/>
    <w:semiHidden/>
    <w:unhideWhenUsed/>
    <w:rsid w:val="00F058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8FC"/>
    <w:rPr>
      <w:rFonts w:ascii="Segoe UI" w:hAnsi="Segoe UI" w:cs="Segoe UI"/>
      <w:sz w:val="18"/>
      <w:szCs w:val="18"/>
    </w:rPr>
  </w:style>
  <w:style w:type="character" w:styleId="CommentReference">
    <w:name w:val="annotation reference"/>
    <w:basedOn w:val="DefaultParagraphFont"/>
    <w:uiPriority w:val="99"/>
    <w:unhideWhenUsed/>
    <w:rsid w:val="00F058FC"/>
    <w:rPr>
      <w:sz w:val="16"/>
      <w:szCs w:val="16"/>
    </w:rPr>
  </w:style>
  <w:style w:type="paragraph" w:styleId="CommentText">
    <w:name w:val="annotation text"/>
    <w:basedOn w:val="Normal"/>
    <w:link w:val="CommentTextChar"/>
    <w:uiPriority w:val="99"/>
    <w:unhideWhenUsed/>
    <w:rsid w:val="00F058FC"/>
    <w:pPr>
      <w:spacing w:line="240" w:lineRule="auto"/>
    </w:pPr>
  </w:style>
  <w:style w:type="character" w:customStyle="1" w:styleId="CommentTextChar">
    <w:name w:val="Comment Text Char"/>
    <w:basedOn w:val="DefaultParagraphFont"/>
    <w:link w:val="CommentText"/>
    <w:uiPriority w:val="99"/>
    <w:rsid w:val="00F058FC"/>
    <w:rPr>
      <w:sz w:val="20"/>
      <w:szCs w:val="20"/>
    </w:rPr>
  </w:style>
  <w:style w:type="paragraph" w:styleId="CommentSubject">
    <w:name w:val="annotation subject"/>
    <w:basedOn w:val="CommentText"/>
    <w:next w:val="CommentText"/>
    <w:link w:val="CommentSubjectChar"/>
    <w:uiPriority w:val="99"/>
    <w:semiHidden/>
    <w:unhideWhenUsed/>
    <w:rsid w:val="00F058FC"/>
    <w:rPr>
      <w:b/>
      <w:bCs/>
    </w:rPr>
  </w:style>
  <w:style w:type="character" w:customStyle="1" w:styleId="CommentSubjectChar">
    <w:name w:val="Comment Subject Char"/>
    <w:basedOn w:val="CommentTextChar"/>
    <w:link w:val="CommentSubject"/>
    <w:uiPriority w:val="99"/>
    <w:semiHidden/>
    <w:rsid w:val="00F058FC"/>
    <w:rPr>
      <w:b/>
      <w:bCs/>
      <w:sz w:val="20"/>
      <w:szCs w:val="20"/>
    </w:rPr>
  </w:style>
  <w:style w:type="character" w:customStyle="1" w:styleId="ColourBlue">
    <w:name w:val="Colour Blue"/>
    <w:basedOn w:val="DefaultParagraphFont"/>
    <w:uiPriority w:val="22"/>
    <w:qFormat/>
    <w:rsid w:val="00F058FC"/>
    <w:rPr>
      <w:color w:val="66BCDB" w:themeColor="text2"/>
    </w:rPr>
  </w:style>
  <w:style w:type="character" w:customStyle="1" w:styleId="ColourDarkBlue">
    <w:name w:val="Colour Dark Blue"/>
    <w:basedOn w:val="ColourBlue"/>
    <w:uiPriority w:val="22"/>
    <w:qFormat/>
    <w:rsid w:val="00F058FC"/>
    <w:rPr>
      <w:color w:val="265A9A" w:themeColor="background2"/>
    </w:rPr>
  </w:style>
  <w:style w:type="paragraph" w:customStyle="1" w:styleId="BodyText-Beforebullet">
    <w:name w:val="Body Text-Before bullet"/>
    <w:basedOn w:val="BodyText"/>
    <w:link w:val="BodyText-BeforebulletChar"/>
    <w:semiHidden/>
    <w:unhideWhenUsed/>
    <w:rsid w:val="00F058FC"/>
    <w:pPr>
      <w:spacing w:after="20"/>
    </w:pPr>
  </w:style>
  <w:style w:type="paragraph" w:customStyle="1" w:styleId="PullQuote">
    <w:name w:val="Pull Quote"/>
    <w:basedOn w:val="BodyText"/>
    <w:next w:val="BodyText"/>
    <w:uiPriority w:val="10"/>
    <w:qFormat/>
    <w:rsid w:val="00F058F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058F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F058F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058FC"/>
    <w:pPr>
      <w:spacing w:before="60"/>
      <w:jc w:val="right"/>
    </w:pPr>
  </w:style>
  <w:style w:type="paragraph" w:customStyle="1" w:styleId="FigureTableSubheading">
    <w:name w:val="Figure/Table Subheading"/>
    <w:basedOn w:val="FigureTableHeading"/>
    <w:uiPriority w:val="4"/>
    <w:qFormat/>
    <w:rsid w:val="00F058FC"/>
    <w:pPr>
      <w:spacing w:before="40"/>
    </w:pPr>
    <w:rPr>
      <w:color w:val="58585B"/>
    </w:rPr>
  </w:style>
  <w:style w:type="table" w:customStyle="1" w:styleId="TextTable-Grey">
    <w:name w:val="Text Table-Grey"/>
    <w:basedOn w:val="Texttable-Paleblue"/>
    <w:uiPriority w:val="99"/>
    <w:rsid w:val="00F058F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058FC"/>
    <w:rPr>
      <w:color w:val="265A9A" w:themeColor="background2"/>
      <w:sz w:val="20"/>
      <w:szCs w:val="20"/>
    </w:rPr>
  </w:style>
  <w:style w:type="paragraph" w:customStyle="1" w:styleId="Heading3-nonumber">
    <w:name w:val="Heading 3-no number"/>
    <w:basedOn w:val="Heading3"/>
    <w:uiPriority w:val="9"/>
    <w:semiHidden/>
    <w:qFormat/>
    <w:rsid w:val="00F058FC"/>
  </w:style>
  <w:style w:type="paragraph" w:customStyle="1" w:styleId="Heading1-nobackground">
    <w:name w:val="Heading 1-no background"/>
    <w:basedOn w:val="Heading1"/>
    <w:next w:val="BodyText"/>
    <w:uiPriority w:val="9"/>
    <w:qFormat/>
    <w:rsid w:val="00F058F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058FC"/>
    <w:rPr>
      <w:color w:val="58585B"/>
      <w:sz w:val="20"/>
      <w:szCs w:val="20"/>
    </w:rPr>
  </w:style>
  <w:style w:type="paragraph" w:customStyle="1" w:styleId="TableHeading-numbered">
    <w:name w:val="Table Heading-numbered"/>
    <w:basedOn w:val="Normal"/>
    <w:semiHidden/>
    <w:qFormat/>
    <w:rsid w:val="00F058FC"/>
    <w:pPr>
      <w:numPr>
        <w:numId w:val="23"/>
      </w:numPr>
      <w:tabs>
        <w:tab w:val="num" w:pos="360"/>
      </w:tabs>
      <w:spacing w:before="60"/>
      <w:contextualSpacing/>
    </w:pPr>
    <w:rPr>
      <w:b/>
      <w:color w:val="265A9A" w:themeColor="background2"/>
    </w:rPr>
  </w:style>
  <w:style w:type="numbering" w:customStyle="1" w:styleId="TableList">
    <w:name w:val="TableList"/>
    <w:uiPriority w:val="99"/>
    <w:rsid w:val="00F058FC"/>
    <w:pPr>
      <w:numPr>
        <w:numId w:val="4"/>
      </w:numPr>
    </w:pPr>
  </w:style>
  <w:style w:type="paragraph" w:customStyle="1" w:styleId="Footer-right">
    <w:name w:val="Footer-right"/>
    <w:basedOn w:val="Footer"/>
    <w:uiPriority w:val="11"/>
    <w:rsid w:val="00F058FC"/>
    <w:pPr>
      <w:jc w:val="right"/>
    </w:pPr>
    <w:rPr>
      <w:szCs w:val="24"/>
    </w:rPr>
  </w:style>
  <w:style w:type="paragraph" w:customStyle="1" w:styleId="Heading2-nonumber">
    <w:name w:val="Heading 2-no number"/>
    <w:basedOn w:val="Heading2"/>
    <w:uiPriority w:val="9"/>
    <w:qFormat/>
    <w:rsid w:val="00F058FC"/>
    <w:pPr>
      <w:numPr>
        <w:ilvl w:val="0"/>
        <w:numId w:val="0"/>
      </w:numPr>
    </w:pPr>
  </w:style>
  <w:style w:type="paragraph" w:customStyle="1" w:styleId="Heading-Appendix">
    <w:name w:val="Heading-Appendix"/>
    <w:basedOn w:val="Heading1-nonumber"/>
    <w:next w:val="BodyText"/>
    <w:uiPriority w:val="9"/>
    <w:qFormat/>
    <w:rsid w:val="00F058FC"/>
    <w:pPr>
      <w:numPr>
        <w:numId w:val="16"/>
      </w:numPr>
    </w:pPr>
  </w:style>
  <w:style w:type="numbering" w:customStyle="1" w:styleId="AppendixHeading">
    <w:name w:val="AppendixHeading"/>
    <w:uiPriority w:val="99"/>
    <w:rsid w:val="00F058FC"/>
    <w:pPr>
      <w:numPr>
        <w:numId w:val="7"/>
      </w:numPr>
    </w:pPr>
  </w:style>
  <w:style w:type="paragraph" w:customStyle="1" w:styleId="DraftingNote">
    <w:name w:val="Drafting Note"/>
    <w:basedOn w:val="BodyText"/>
    <w:link w:val="DraftingNoteChar"/>
    <w:qFormat/>
    <w:rsid w:val="00F058FC"/>
    <w:pPr>
      <w:contextualSpacing/>
    </w:pPr>
    <w:rPr>
      <w:color w:val="A22D2B"/>
      <w:sz w:val="24"/>
      <w:u w:val="dotted"/>
    </w:rPr>
  </w:style>
  <w:style w:type="character" w:customStyle="1" w:styleId="DraftingNoteChar">
    <w:name w:val="Drafting Note Char"/>
    <w:basedOn w:val="BodyTextChar"/>
    <w:link w:val="DraftingNote"/>
    <w:rsid w:val="00F058FC"/>
    <w:rPr>
      <w:color w:val="A22D2B"/>
      <w:sz w:val="24"/>
      <w:szCs w:val="20"/>
      <w:u w:val="dotted"/>
    </w:rPr>
  </w:style>
  <w:style w:type="paragraph" w:customStyle="1" w:styleId="BoxHeading1">
    <w:name w:val="Box Heading 1"/>
    <w:basedOn w:val="FigureTableHeading"/>
    <w:next w:val="BodyText"/>
    <w:uiPriority w:val="4"/>
    <w:qFormat/>
    <w:rsid w:val="00F058FC"/>
    <w:pPr>
      <w:spacing w:after="0"/>
    </w:pPr>
  </w:style>
  <w:style w:type="character" w:styleId="Emphasis">
    <w:name w:val="Emphasis"/>
    <w:basedOn w:val="DefaultParagraphFont"/>
    <w:uiPriority w:val="22"/>
    <w:qFormat/>
    <w:rsid w:val="00F058FC"/>
    <w:rPr>
      <w:i/>
      <w:iCs/>
    </w:rPr>
  </w:style>
  <w:style w:type="paragraph" w:customStyle="1" w:styleId="Reference">
    <w:name w:val="Reference"/>
    <w:basedOn w:val="BodyText"/>
    <w:qFormat/>
    <w:rsid w:val="00F058FC"/>
    <w:pPr>
      <w:spacing w:before="0" w:after="60" w:line="200" w:lineRule="exact"/>
    </w:pPr>
    <w:rPr>
      <w:sz w:val="16"/>
    </w:rPr>
  </w:style>
  <w:style w:type="paragraph" w:customStyle="1" w:styleId="Keypoints-heading">
    <w:name w:val="Key points-heading"/>
    <w:basedOn w:val="Heading3"/>
    <w:uiPriority w:val="10"/>
    <w:qFormat/>
    <w:rsid w:val="00F058FC"/>
    <w:rPr>
      <w:color w:val="auto"/>
    </w:rPr>
  </w:style>
  <w:style w:type="paragraph" w:customStyle="1" w:styleId="Heading2-Appendix">
    <w:name w:val="Heading 2-Appendix"/>
    <w:basedOn w:val="Heading2-nonumber"/>
    <w:next w:val="Normal"/>
    <w:uiPriority w:val="10"/>
    <w:qFormat/>
    <w:rsid w:val="00F058FC"/>
    <w:pPr>
      <w:numPr>
        <w:ilvl w:val="1"/>
        <w:numId w:val="16"/>
      </w:numPr>
    </w:pPr>
  </w:style>
  <w:style w:type="numbering" w:customStyle="1" w:styleId="AppendixHeadingList">
    <w:name w:val="Appendix Heading List"/>
    <w:uiPriority w:val="99"/>
    <w:rsid w:val="00F058FC"/>
    <w:pPr>
      <w:numPr>
        <w:numId w:val="1"/>
      </w:numPr>
    </w:pPr>
  </w:style>
  <w:style w:type="paragraph" w:customStyle="1" w:styleId="Space">
    <w:name w:val="Space"/>
    <w:basedOn w:val="BodyText"/>
    <w:uiPriority w:val="1"/>
    <w:rsid w:val="00F058FC"/>
    <w:pPr>
      <w:spacing w:before="0" w:after="0"/>
    </w:pPr>
  </w:style>
  <w:style w:type="paragraph" w:customStyle="1" w:styleId="QuoteBullet">
    <w:name w:val="Quote Bullet"/>
    <w:basedOn w:val="ListBullet"/>
    <w:link w:val="QuoteBulletChar"/>
    <w:uiPriority w:val="1"/>
    <w:qFormat/>
    <w:rsid w:val="00F058FC"/>
    <w:pPr>
      <w:spacing w:before="60"/>
      <w:ind w:left="340" w:right="851"/>
    </w:pPr>
    <w:rPr>
      <w:color w:val="58585B"/>
    </w:rPr>
  </w:style>
  <w:style w:type="character" w:customStyle="1" w:styleId="ListBulletChar">
    <w:name w:val="List Bullet Char"/>
    <w:basedOn w:val="DefaultParagraphFont"/>
    <w:link w:val="ListBullet"/>
    <w:uiPriority w:val="1"/>
    <w:rsid w:val="00F058FC"/>
    <w:rPr>
      <w:sz w:val="20"/>
      <w:szCs w:val="20"/>
    </w:rPr>
  </w:style>
  <w:style w:type="character" w:customStyle="1" w:styleId="QuoteBulletChar">
    <w:name w:val="Quote Bullet Char"/>
    <w:basedOn w:val="ListBulletChar"/>
    <w:link w:val="QuoteBullet"/>
    <w:uiPriority w:val="1"/>
    <w:rsid w:val="00F058FC"/>
    <w:rPr>
      <w:color w:val="58585B"/>
      <w:sz w:val="20"/>
      <w:szCs w:val="20"/>
    </w:rPr>
  </w:style>
  <w:style w:type="paragraph" w:customStyle="1" w:styleId="Figurecharttitle">
    <w:name w:val="Figure chart title"/>
    <w:basedOn w:val="BodyText"/>
    <w:uiPriority w:val="10"/>
    <w:qFormat/>
    <w:rsid w:val="00F058FC"/>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F058FC"/>
    <w:pPr>
      <w:spacing w:line="160" w:lineRule="exact"/>
    </w:pPr>
  </w:style>
  <w:style w:type="character" w:customStyle="1" w:styleId="PullQuoteNoSpacingChar">
    <w:name w:val="Pull Quote No Spacing Char"/>
    <w:basedOn w:val="NoSpacingChar"/>
    <w:link w:val="PullQuoteNoSpacing"/>
    <w:uiPriority w:val="10"/>
    <w:rsid w:val="00F058FC"/>
    <w:rPr>
      <w:sz w:val="20"/>
      <w:szCs w:val="20"/>
    </w:rPr>
  </w:style>
  <w:style w:type="paragraph" w:customStyle="1" w:styleId="PullQuote-Indigenous">
    <w:name w:val="Pull Quote-Indigenous"/>
    <w:basedOn w:val="PullQuote"/>
    <w:uiPriority w:val="10"/>
    <w:qFormat/>
    <w:rsid w:val="00F058F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F058FC"/>
    <w:pPr>
      <w:spacing w:before="46" w:after="46"/>
      <w:ind w:left="170" w:hanging="113"/>
    </w:pPr>
    <w:rPr>
      <w:sz w:val="18"/>
    </w:rPr>
  </w:style>
  <w:style w:type="character" w:styleId="FollowedHyperlink">
    <w:name w:val="FollowedHyperlink"/>
    <w:basedOn w:val="DefaultParagraphFont"/>
    <w:uiPriority w:val="99"/>
    <w:semiHidden/>
    <w:unhideWhenUsed/>
    <w:rsid w:val="00A972CD"/>
    <w:rPr>
      <w:color w:val="BFBFBF" w:themeColor="followedHyperlink"/>
      <w:u w:val="single"/>
    </w:rPr>
  </w:style>
  <w:style w:type="paragraph" w:styleId="Bibliography">
    <w:name w:val="Bibliography"/>
    <w:basedOn w:val="Normal"/>
    <w:next w:val="Normal"/>
    <w:uiPriority w:val="37"/>
    <w:unhideWhenUsed/>
    <w:rsid w:val="00A972CD"/>
    <w:pPr>
      <w:spacing w:after="240" w:line="240" w:lineRule="atLeast"/>
      <w:ind w:left="720" w:hanging="720"/>
    </w:pPr>
  </w:style>
  <w:style w:type="character" w:styleId="Mention">
    <w:name w:val="Mention"/>
    <w:basedOn w:val="DefaultParagraphFont"/>
    <w:uiPriority w:val="99"/>
    <w:unhideWhenUsed/>
    <w:rsid w:val="00A972CD"/>
    <w:rPr>
      <w:color w:val="2B579A"/>
      <w:shd w:val="clear" w:color="auto" w:fill="E1DFDD"/>
    </w:rPr>
  </w:style>
  <w:style w:type="character" w:customStyle="1" w:styleId="ListParagraphChar">
    <w:name w:val="List Paragraph Char"/>
    <w:basedOn w:val="DefaultParagraphFont"/>
    <w:link w:val="ListParagraph"/>
    <w:uiPriority w:val="34"/>
    <w:locked/>
    <w:rsid w:val="00A972CD"/>
    <w:rPr>
      <w:sz w:val="20"/>
      <w:szCs w:val="20"/>
    </w:rPr>
  </w:style>
  <w:style w:type="character" w:customStyle="1" w:styleId="CommentTextChar1">
    <w:name w:val="Comment Text Char1"/>
    <w:basedOn w:val="DefaultParagraphFont"/>
    <w:uiPriority w:val="99"/>
    <w:rsid w:val="00A972CD"/>
    <w:rPr>
      <w:sz w:val="20"/>
      <w:szCs w:val="20"/>
    </w:rPr>
  </w:style>
  <w:style w:type="paragraph" w:styleId="NormalWeb">
    <w:name w:val="Normal (Web)"/>
    <w:basedOn w:val="Normal"/>
    <w:uiPriority w:val="99"/>
    <w:semiHidden/>
    <w:unhideWhenUsed/>
    <w:rsid w:val="00A972CD"/>
    <w:rPr>
      <w:rFonts w:ascii="Times New Roman" w:hAnsi="Times New Roman" w:cs="Times New Roman"/>
      <w:sz w:val="24"/>
      <w:szCs w:val="24"/>
    </w:rPr>
  </w:style>
  <w:style w:type="paragraph" w:customStyle="1" w:styleId="Style1">
    <w:name w:val="Style1"/>
    <w:basedOn w:val="Normal"/>
    <w:link w:val="Style1Char"/>
    <w:uiPriority w:val="10"/>
    <w:qFormat/>
    <w:rsid w:val="00A972CD"/>
  </w:style>
  <w:style w:type="character" w:customStyle="1" w:styleId="Style1Char">
    <w:name w:val="Style1 Char"/>
    <w:basedOn w:val="DefaultParagraphFont"/>
    <w:link w:val="Style1"/>
    <w:uiPriority w:val="10"/>
    <w:rsid w:val="00A972CD"/>
    <w:rPr>
      <w:sz w:val="20"/>
      <w:szCs w:val="20"/>
    </w:rPr>
  </w:style>
  <w:style w:type="character" w:styleId="EndnoteReference">
    <w:name w:val="endnote reference"/>
    <w:basedOn w:val="DefaultParagraphFont"/>
    <w:uiPriority w:val="99"/>
    <w:semiHidden/>
    <w:unhideWhenUsed/>
    <w:rsid w:val="00A972CD"/>
    <w:rPr>
      <w:vertAlign w:val="superscript"/>
    </w:rPr>
  </w:style>
  <w:style w:type="character" w:customStyle="1" w:styleId="cf01">
    <w:name w:val="cf01"/>
    <w:basedOn w:val="DefaultParagraphFont"/>
    <w:rsid w:val="00A972CD"/>
    <w:rPr>
      <w:rFonts w:ascii="Segoe UI" w:hAnsi="Segoe UI" w:cs="Segoe UI" w:hint="default"/>
      <w:sz w:val="18"/>
      <w:szCs w:val="18"/>
    </w:rPr>
  </w:style>
  <w:style w:type="paragraph" w:styleId="HTMLPreformatted">
    <w:name w:val="HTML Preformatted"/>
    <w:basedOn w:val="Normal"/>
    <w:link w:val="HTMLPreformattedChar"/>
    <w:uiPriority w:val="99"/>
    <w:semiHidden/>
    <w:unhideWhenUsed/>
    <w:rsid w:val="00A972CD"/>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972CD"/>
    <w:rPr>
      <w:rFonts w:ascii="Consolas" w:hAnsi="Consolas"/>
      <w:sz w:val="20"/>
      <w:szCs w:val="20"/>
    </w:rPr>
  </w:style>
  <w:style w:type="table" w:customStyle="1" w:styleId="Boxtable1">
    <w:name w:val="Box table1"/>
    <w:basedOn w:val="TableNormal"/>
    <w:uiPriority w:val="99"/>
    <w:rsid w:val="00414E1D"/>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numbering" w:customStyle="1" w:styleId="Bullets1">
    <w:name w:val="Bullets1"/>
    <w:uiPriority w:val="99"/>
    <w:rsid w:val="008476C5"/>
  </w:style>
  <w:style w:type="paragraph" w:customStyle="1" w:styleId="CoverdisclaimerwhiteCover">
    <w:name w:val="Cover – disclaimer (white) (Cover)"/>
    <w:basedOn w:val="Normal"/>
    <w:uiPriority w:val="99"/>
    <w:rsid w:val="00B35121"/>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numbering" w:customStyle="1" w:styleId="Bullets2">
    <w:name w:val="Bullets2"/>
    <w:uiPriority w:val="99"/>
    <w:rsid w:val="00CB4A37"/>
  </w:style>
  <w:style w:type="numbering" w:customStyle="1" w:styleId="Numbering1">
    <w:name w:val="Numbering1"/>
    <w:uiPriority w:val="99"/>
    <w:rsid w:val="00CB4A37"/>
  </w:style>
  <w:style w:type="numbering" w:customStyle="1" w:styleId="ListHeadings1">
    <w:name w:val="List Headings1"/>
    <w:uiPriority w:val="99"/>
    <w:rsid w:val="00CB4A37"/>
  </w:style>
  <w:style w:type="numbering" w:customStyle="1" w:styleId="LetteredList1">
    <w:name w:val="Lettered List1"/>
    <w:uiPriority w:val="99"/>
    <w:rsid w:val="00CB4A37"/>
  </w:style>
  <w:style w:type="table" w:customStyle="1" w:styleId="ProductivityCommissionTable21">
    <w:name w:val="Productivity Commission Table 21"/>
    <w:basedOn w:val="ProductivityCommissionTable1"/>
    <w:uiPriority w:val="99"/>
    <w:rsid w:val="00CB4A37"/>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CB4A37"/>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CB4A37"/>
  </w:style>
  <w:style w:type="numbering" w:customStyle="1" w:styleId="Figure1">
    <w:name w:val="Figure1"/>
    <w:uiPriority w:val="99"/>
    <w:rsid w:val="00CB4A37"/>
  </w:style>
  <w:style w:type="numbering" w:customStyle="1" w:styleId="BoxList1">
    <w:name w:val="Box List1"/>
    <w:uiPriority w:val="99"/>
    <w:rsid w:val="00CB4A37"/>
  </w:style>
  <w:style w:type="table" w:customStyle="1" w:styleId="ProductivityCommissionTable2-Dark1">
    <w:name w:val="Productivity Commission Table 2 - Dark1"/>
    <w:basedOn w:val="ProductivityCommissionTable2"/>
    <w:uiPriority w:val="99"/>
    <w:rsid w:val="00CB4A37"/>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numbering" w:customStyle="1" w:styleId="Alphalist1">
    <w:name w:val="Alpha list1"/>
    <w:uiPriority w:val="99"/>
    <w:rsid w:val="00CB4A37"/>
  </w:style>
  <w:style w:type="numbering" w:customStyle="1" w:styleId="TableList1">
    <w:name w:val="TableList1"/>
    <w:uiPriority w:val="99"/>
    <w:rsid w:val="00CB4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28099">
      <w:bodyDiv w:val="1"/>
      <w:marLeft w:val="0"/>
      <w:marRight w:val="0"/>
      <w:marTop w:val="0"/>
      <w:marBottom w:val="0"/>
      <w:divBdr>
        <w:top w:val="none" w:sz="0" w:space="0" w:color="auto"/>
        <w:left w:val="none" w:sz="0" w:space="0" w:color="auto"/>
        <w:bottom w:val="none" w:sz="0" w:space="0" w:color="auto"/>
        <w:right w:val="none" w:sz="0" w:space="0" w:color="auto"/>
      </w:divBdr>
    </w:div>
    <w:div w:id="98568999">
      <w:bodyDiv w:val="1"/>
      <w:marLeft w:val="0"/>
      <w:marRight w:val="0"/>
      <w:marTop w:val="0"/>
      <w:marBottom w:val="0"/>
      <w:divBdr>
        <w:top w:val="none" w:sz="0" w:space="0" w:color="auto"/>
        <w:left w:val="none" w:sz="0" w:space="0" w:color="auto"/>
        <w:bottom w:val="none" w:sz="0" w:space="0" w:color="auto"/>
        <w:right w:val="none" w:sz="0" w:space="0" w:color="auto"/>
      </w:divBdr>
    </w:div>
    <w:div w:id="134489485">
      <w:bodyDiv w:val="1"/>
      <w:marLeft w:val="0"/>
      <w:marRight w:val="0"/>
      <w:marTop w:val="0"/>
      <w:marBottom w:val="0"/>
      <w:divBdr>
        <w:top w:val="none" w:sz="0" w:space="0" w:color="auto"/>
        <w:left w:val="none" w:sz="0" w:space="0" w:color="auto"/>
        <w:bottom w:val="none" w:sz="0" w:space="0" w:color="auto"/>
        <w:right w:val="none" w:sz="0" w:space="0" w:color="auto"/>
      </w:divBdr>
    </w:div>
    <w:div w:id="137575273">
      <w:bodyDiv w:val="1"/>
      <w:marLeft w:val="0"/>
      <w:marRight w:val="0"/>
      <w:marTop w:val="0"/>
      <w:marBottom w:val="0"/>
      <w:divBdr>
        <w:top w:val="none" w:sz="0" w:space="0" w:color="auto"/>
        <w:left w:val="none" w:sz="0" w:space="0" w:color="auto"/>
        <w:bottom w:val="none" w:sz="0" w:space="0" w:color="auto"/>
        <w:right w:val="none" w:sz="0" w:space="0" w:color="auto"/>
      </w:divBdr>
    </w:div>
    <w:div w:id="194927545">
      <w:bodyDiv w:val="1"/>
      <w:marLeft w:val="0"/>
      <w:marRight w:val="0"/>
      <w:marTop w:val="0"/>
      <w:marBottom w:val="0"/>
      <w:divBdr>
        <w:top w:val="none" w:sz="0" w:space="0" w:color="auto"/>
        <w:left w:val="none" w:sz="0" w:space="0" w:color="auto"/>
        <w:bottom w:val="none" w:sz="0" w:space="0" w:color="auto"/>
        <w:right w:val="none" w:sz="0" w:space="0" w:color="auto"/>
      </w:divBdr>
    </w:div>
    <w:div w:id="361513399">
      <w:bodyDiv w:val="1"/>
      <w:marLeft w:val="0"/>
      <w:marRight w:val="0"/>
      <w:marTop w:val="0"/>
      <w:marBottom w:val="0"/>
      <w:divBdr>
        <w:top w:val="none" w:sz="0" w:space="0" w:color="auto"/>
        <w:left w:val="none" w:sz="0" w:space="0" w:color="auto"/>
        <w:bottom w:val="none" w:sz="0" w:space="0" w:color="auto"/>
        <w:right w:val="none" w:sz="0" w:space="0" w:color="auto"/>
      </w:divBdr>
    </w:div>
    <w:div w:id="373508133">
      <w:bodyDiv w:val="1"/>
      <w:marLeft w:val="0"/>
      <w:marRight w:val="0"/>
      <w:marTop w:val="0"/>
      <w:marBottom w:val="0"/>
      <w:divBdr>
        <w:top w:val="none" w:sz="0" w:space="0" w:color="auto"/>
        <w:left w:val="none" w:sz="0" w:space="0" w:color="auto"/>
        <w:bottom w:val="none" w:sz="0" w:space="0" w:color="auto"/>
        <w:right w:val="none" w:sz="0" w:space="0" w:color="auto"/>
      </w:divBdr>
    </w:div>
    <w:div w:id="407768343">
      <w:bodyDiv w:val="1"/>
      <w:marLeft w:val="0"/>
      <w:marRight w:val="0"/>
      <w:marTop w:val="0"/>
      <w:marBottom w:val="0"/>
      <w:divBdr>
        <w:top w:val="none" w:sz="0" w:space="0" w:color="auto"/>
        <w:left w:val="none" w:sz="0" w:space="0" w:color="auto"/>
        <w:bottom w:val="none" w:sz="0" w:space="0" w:color="auto"/>
        <w:right w:val="none" w:sz="0" w:space="0" w:color="auto"/>
      </w:divBdr>
    </w:div>
    <w:div w:id="606959763">
      <w:bodyDiv w:val="1"/>
      <w:marLeft w:val="0"/>
      <w:marRight w:val="0"/>
      <w:marTop w:val="0"/>
      <w:marBottom w:val="0"/>
      <w:divBdr>
        <w:top w:val="none" w:sz="0" w:space="0" w:color="auto"/>
        <w:left w:val="none" w:sz="0" w:space="0" w:color="auto"/>
        <w:bottom w:val="none" w:sz="0" w:space="0" w:color="auto"/>
        <w:right w:val="none" w:sz="0" w:space="0" w:color="auto"/>
      </w:divBdr>
    </w:div>
    <w:div w:id="660935804">
      <w:bodyDiv w:val="1"/>
      <w:marLeft w:val="0"/>
      <w:marRight w:val="0"/>
      <w:marTop w:val="0"/>
      <w:marBottom w:val="0"/>
      <w:divBdr>
        <w:top w:val="none" w:sz="0" w:space="0" w:color="auto"/>
        <w:left w:val="none" w:sz="0" w:space="0" w:color="auto"/>
        <w:bottom w:val="none" w:sz="0" w:space="0" w:color="auto"/>
        <w:right w:val="none" w:sz="0" w:space="0" w:color="auto"/>
      </w:divBdr>
    </w:div>
    <w:div w:id="685642551">
      <w:bodyDiv w:val="1"/>
      <w:marLeft w:val="0"/>
      <w:marRight w:val="0"/>
      <w:marTop w:val="0"/>
      <w:marBottom w:val="0"/>
      <w:divBdr>
        <w:top w:val="none" w:sz="0" w:space="0" w:color="auto"/>
        <w:left w:val="none" w:sz="0" w:space="0" w:color="auto"/>
        <w:bottom w:val="none" w:sz="0" w:space="0" w:color="auto"/>
        <w:right w:val="none" w:sz="0" w:space="0" w:color="auto"/>
      </w:divBdr>
    </w:div>
    <w:div w:id="698629139">
      <w:bodyDiv w:val="1"/>
      <w:marLeft w:val="0"/>
      <w:marRight w:val="0"/>
      <w:marTop w:val="0"/>
      <w:marBottom w:val="0"/>
      <w:divBdr>
        <w:top w:val="none" w:sz="0" w:space="0" w:color="auto"/>
        <w:left w:val="none" w:sz="0" w:space="0" w:color="auto"/>
        <w:bottom w:val="none" w:sz="0" w:space="0" w:color="auto"/>
        <w:right w:val="none" w:sz="0" w:space="0" w:color="auto"/>
      </w:divBdr>
    </w:div>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735469541">
      <w:bodyDiv w:val="1"/>
      <w:marLeft w:val="0"/>
      <w:marRight w:val="0"/>
      <w:marTop w:val="0"/>
      <w:marBottom w:val="0"/>
      <w:divBdr>
        <w:top w:val="none" w:sz="0" w:space="0" w:color="auto"/>
        <w:left w:val="none" w:sz="0" w:space="0" w:color="auto"/>
        <w:bottom w:val="none" w:sz="0" w:space="0" w:color="auto"/>
        <w:right w:val="none" w:sz="0" w:space="0" w:color="auto"/>
      </w:divBdr>
    </w:div>
    <w:div w:id="847791127">
      <w:bodyDiv w:val="1"/>
      <w:marLeft w:val="0"/>
      <w:marRight w:val="0"/>
      <w:marTop w:val="0"/>
      <w:marBottom w:val="0"/>
      <w:divBdr>
        <w:top w:val="none" w:sz="0" w:space="0" w:color="auto"/>
        <w:left w:val="none" w:sz="0" w:space="0" w:color="auto"/>
        <w:bottom w:val="none" w:sz="0" w:space="0" w:color="auto"/>
        <w:right w:val="none" w:sz="0" w:space="0" w:color="auto"/>
      </w:divBdr>
    </w:div>
    <w:div w:id="899437954">
      <w:bodyDiv w:val="1"/>
      <w:marLeft w:val="0"/>
      <w:marRight w:val="0"/>
      <w:marTop w:val="0"/>
      <w:marBottom w:val="0"/>
      <w:divBdr>
        <w:top w:val="none" w:sz="0" w:space="0" w:color="auto"/>
        <w:left w:val="none" w:sz="0" w:space="0" w:color="auto"/>
        <w:bottom w:val="none" w:sz="0" w:space="0" w:color="auto"/>
        <w:right w:val="none" w:sz="0" w:space="0" w:color="auto"/>
      </w:divBdr>
    </w:div>
    <w:div w:id="908199124">
      <w:bodyDiv w:val="1"/>
      <w:marLeft w:val="0"/>
      <w:marRight w:val="0"/>
      <w:marTop w:val="0"/>
      <w:marBottom w:val="0"/>
      <w:divBdr>
        <w:top w:val="none" w:sz="0" w:space="0" w:color="auto"/>
        <w:left w:val="none" w:sz="0" w:space="0" w:color="auto"/>
        <w:bottom w:val="none" w:sz="0" w:space="0" w:color="auto"/>
        <w:right w:val="none" w:sz="0" w:space="0" w:color="auto"/>
      </w:divBdr>
    </w:div>
    <w:div w:id="962881600">
      <w:bodyDiv w:val="1"/>
      <w:marLeft w:val="0"/>
      <w:marRight w:val="0"/>
      <w:marTop w:val="0"/>
      <w:marBottom w:val="0"/>
      <w:divBdr>
        <w:top w:val="none" w:sz="0" w:space="0" w:color="auto"/>
        <w:left w:val="none" w:sz="0" w:space="0" w:color="auto"/>
        <w:bottom w:val="none" w:sz="0" w:space="0" w:color="auto"/>
        <w:right w:val="none" w:sz="0" w:space="0" w:color="auto"/>
      </w:divBdr>
    </w:div>
    <w:div w:id="1012950344">
      <w:bodyDiv w:val="1"/>
      <w:marLeft w:val="0"/>
      <w:marRight w:val="0"/>
      <w:marTop w:val="0"/>
      <w:marBottom w:val="0"/>
      <w:divBdr>
        <w:top w:val="none" w:sz="0" w:space="0" w:color="auto"/>
        <w:left w:val="none" w:sz="0" w:space="0" w:color="auto"/>
        <w:bottom w:val="none" w:sz="0" w:space="0" w:color="auto"/>
        <w:right w:val="none" w:sz="0" w:space="0" w:color="auto"/>
      </w:divBdr>
    </w:div>
    <w:div w:id="1610114658">
      <w:bodyDiv w:val="1"/>
      <w:marLeft w:val="0"/>
      <w:marRight w:val="0"/>
      <w:marTop w:val="0"/>
      <w:marBottom w:val="0"/>
      <w:divBdr>
        <w:top w:val="none" w:sz="0" w:space="0" w:color="auto"/>
        <w:left w:val="none" w:sz="0" w:space="0" w:color="auto"/>
        <w:bottom w:val="none" w:sz="0" w:space="0" w:color="auto"/>
        <w:right w:val="none" w:sz="0" w:space="0" w:color="auto"/>
      </w:divBdr>
    </w:div>
    <w:div w:id="1747533425">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 w:id="2002343525">
      <w:bodyDiv w:val="1"/>
      <w:marLeft w:val="0"/>
      <w:marRight w:val="0"/>
      <w:marTop w:val="0"/>
      <w:marBottom w:val="0"/>
      <w:divBdr>
        <w:top w:val="none" w:sz="0" w:space="0" w:color="auto"/>
        <w:left w:val="none" w:sz="0" w:space="0" w:color="auto"/>
        <w:bottom w:val="none" w:sz="0" w:space="0" w:color="auto"/>
        <w:right w:val="none" w:sz="0" w:space="0" w:color="auto"/>
      </w:divBdr>
    </w:div>
    <w:div w:id="211867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4.svg"/><Relationship Id="rId42" Type="http://schemas.openxmlformats.org/officeDocument/2006/relationships/image" Target="media/image7.svg"/><Relationship Id="rId47" Type="http://schemas.openxmlformats.org/officeDocument/2006/relationships/header" Target="header16.xml"/><Relationship Id="rId63" Type="http://schemas.openxmlformats.org/officeDocument/2006/relationships/image" Target="media/image18.emf"/><Relationship Id="rId68" Type="http://schemas.openxmlformats.org/officeDocument/2006/relationships/header" Target="header23.xml"/><Relationship Id="rId84" Type="http://schemas.openxmlformats.org/officeDocument/2006/relationships/image" Target="media/image34.emf"/><Relationship Id="rId89" Type="http://schemas.openxmlformats.org/officeDocument/2006/relationships/footer" Target="footer16.xml"/><Relationship Id="rId112" Type="http://schemas.openxmlformats.org/officeDocument/2006/relationships/header" Target="header35.xml"/><Relationship Id="rId16" Type="http://schemas.openxmlformats.org/officeDocument/2006/relationships/header" Target="header1.xml"/><Relationship Id="rId107" Type="http://schemas.openxmlformats.org/officeDocument/2006/relationships/image" Target="media/image44.emf"/><Relationship Id="rId11" Type="http://schemas.openxmlformats.org/officeDocument/2006/relationships/webSettings" Target="webSettings.xml"/><Relationship Id="rId32" Type="http://schemas.openxmlformats.org/officeDocument/2006/relationships/header" Target="header8.xml"/><Relationship Id="rId37" Type="http://schemas.openxmlformats.org/officeDocument/2006/relationships/header" Target="header12.xml"/><Relationship Id="rId53" Type="http://schemas.openxmlformats.org/officeDocument/2006/relationships/image" Target="media/image13.emf"/><Relationship Id="rId58" Type="http://schemas.openxmlformats.org/officeDocument/2006/relationships/header" Target="header18.xml"/><Relationship Id="rId74" Type="http://schemas.openxmlformats.org/officeDocument/2006/relationships/image" Target="media/image24.emf"/><Relationship Id="rId79" Type="http://schemas.openxmlformats.org/officeDocument/2006/relationships/image" Target="media/image29.emf"/><Relationship Id="rId102" Type="http://schemas.openxmlformats.org/officeDocument/2006/relationships/image" Target="media/image39.emf"/><Relationship Id="rId5" Type="http://schemas.openxmlformats.org/officeDocument/2006/relationships/customXml" Target="../customXml/item5.xml"/><Relationship Id="rId90" Type="http://schemas.openxmlformats.org/officeDocument/2006/relationships/footer" Target="footer17.xml"/><Relationship Id="rId95" Type="http://schemas.openxmlformats.org/officeDocument/2006/relationships/footer" Target="footer18.xml"/><Relationship Id="rId22" Type="http://schemas.openxmlformats.org/officeDocument/2006/relationships/header" Target="header2.xml"/><Relationship Id="rId27" Type="http://schemas.openxmlformats.org/officeDocument/2006/relationships/header" Target="header5.xml"/><Relationship Id="rId43" Type="http://schemas.openxmlformats.org/officeDocument/2006/relationships/image" Target="media/image8.emf"/><Relationship Id="rId48" Type="http://schemas.openxmlformats.org/officeDocument/2006/relationships/footer" Target="footer10.xml"/><Relationship Id="rId64" Type="http://schemas.openxmlformats.org/officeDocument/2006/relationships/header" Target="header21.xml"/><Relationship Id="rId69" Type="http://schemas.openxmlformats.org/officeDocument/2006/relationships/image" Target="media/image19.emf"/><Relationship Id="rId113" Type="http://schemas.openxmlformats.org/officeDocument/2006/relationships/header" Target="header36.xml"/><Relationship Id="rId80" Type="http://schemas.openxmlformats.org/officeDocument/2006/relationships/image" Target="media/image30.emf"/><Relationship Id="rId85" Type="http://schemas.openxmlformats.org/officeDocument/2006/relationships/image" Target="media/image35.emf"/><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9.xml"/><Relationship Id="rId59" Type="http://schemas.openxmlformats.org/officeDocument/2006/relationships/header" Target="header19.xml"/><Relationship Id="rId103" Type="http://schemas.openxmlformats.org/officeDocument/2006/relationships/image" Target="media/image40.emf"/><Relationship Id="rId108" Type="http://schemas.openxmlformats.org/officeDocument/2006/relationships/header" Target="header32.xml"/><Relationship Id="rId54" Type="http://schemas.openxmlformats.org/officeDocument/2006/relationships/image" Target="media/image14.png"/><Relationship Id="rId70" Type="http://schemas.openxmlformats.org/officeDocument/2006/relationships/image" Target="media/image20.emf"/><Relationship Id="rId75" Type="http://schemas.openxmlformats.org/officeDocument/2006/relationships/image" Target="media/image25.emf"/><Relationship Id="rId91" Type="http://schemas.openxmlformats.org/officeDocument/2006/relationships/header" Target="header26.xml"/><Relationship Id="rId96"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image" Target="media/image17.emf"/><Relationship Id="rId106" Type="http://schemas.openxmlformats.org/officeDocument/2006/relationships/image" Target="media/image43.emf"/><Relationship Id="rId114" Type="http://schemas.openxmlformats.org/officeDocument/2006/relationships/hyperlink" Target="https://www.wto.org/english/news_e/news25_e/dsb_24feb25" TargetMode="External"/><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image" Target="media/image9.emf"/><Relationship Id="rId52" Type="http://schemas.openxmlformats.org/officeDocument/2006/relationships/image" Target="media/image12.emf"/><Relationship Id="rId60" Type="http://schemas.openxmlformats.org/officeDocument/2006/relationships/footer" Target="footer12.xml"/><Relationship Id="rId65" Type="http://schemas.openxmlformats.org/officeDocument/2006/relationships/header" Target="header22.xml"/><Relationship Id="rId73" Type="http://schemas.openxmlformats.org/officeDocument/2006/relationships/image" Target="media/image23.emf"/><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image" Target="media/image36.emf"/><Relationship Id="rId94" Type="http://schemas.openxmlformats.org/officeDocument/2006/relationships/header" Target="header29.xml"/><Relationship Id="rId99" Type="http://schemas.openxmlformats.org/officeDocument/2006/relationships/header" Target="header31.xml"/><Relationship Id="rId101"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eader" Target="header13.xml"/><Relationship Id="rId109" Type="http://schemas.openxmlformats.org/officeDocument/2006/relationships/header" Target="header33.xml"/><Relationship Id="rId34" Type="http://schemas.openxmlformats.org/officeDocument/2006/relationships/header" Target="header10.xml"/><Relationship Id="rId50" Type="http://schemas.openxmlformats.org/officeDocument/2006/relationships/header" Target="header17.xml"/><Relationship Id="rId55" Type="http://schemas.openxmlformats.org/officeDocument/2006/relationships/image" Target="media/image15.svg"/><Relationship Id="rId76" Type="http://schemas.openxmlformats.org/officeDocument/2006/relationships/image" Target="media/image26.emf"/><Relationship Id="rId97" Type="http://schemas.openxmlformats.org/officeDocument/2006/relationships/header" Target="header30.xml"/><Relationship Id="rId104" Type="http://schemas.openxmlformats.org/officeDocument/2006/relationships/image" Target="media/image41.emf"/><Relationship Id="rId7" Type="http://schemas.openxmlformats.org/officeDocument/2006/relationships/customXml" Target="../customXml/item7.xml"/><Relationship Id="rId71" Type="http://schemas.openxmlformats.org/officeDocument/2006/relationships/image" Target="media/image21.emf"/><Relationship Id="rId92"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4.xml"/><Relationship Id="rId45" Type="http://schemas.openxmlformats.org/officeDocument/2006/relationships/image" Target="media/image10.emf"/><Relationship Id="rId66" Type="http://schemas.openxmlformats.org/officeDocument/2006/relationships/footer" Target="footer14.xml"/><Relationship Id="rId87" Type="http://schemas.openxmlformats.org/officeDocument/2006/relationships/header" Target="header24.xml"/><Relationship Id="rId110" Type="http://schemas.openxmlformats.org/officeDocument/2006/relationships/hyperlink" Target="http://www.pc.gov.au/ongoing/trade-assistance/2023-24" TargetMode="External"/><Relationship Id="rId115" Type="http://schemas.openxmlformats.org/officeDocument/2006/relationships/fontTable" Target="fontTable.xml"/><Relationship Id="rId61" Type="http://schemas.openxmlformats.org/officeDocument/2006/relationships/footer" Target="footer13.xml"/><Relationship Id="rId82" Type="http://schemas.openxmlformats.org/officeDocument/2006/relationships/image" Target="media/image32.emf"/><Relationship Id="rId19" Type="http://schemas.openxmlformats.org/officeDocument/2006/relationships/hyperlink" Target="https://www.pc.gov.au/productivity-insights" TargetMode="External"/><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image" Target="media/image16.emf"/><Relationship Id="rId77" Type="http://schemas.openxmlformats.org/officeDocument/2006/relationships/image" Target="media/image27.emf"/><Relationship Id="rId100" Type="http://schemas.openxmlformats.org/officeDocument/2006/relationships/image" Target="media/image37.emf"/><Relationship Id="rId105" Type="http://schemas.openxmlformats.org/officeDocument/2006/relationships/image" Target="media/image42.emf"/><Relationship Id="rId8" Type="http://schemas.openxmlformats.org/officeDocument/2006/relationships/numbering" Target="numbering.xml"/><Relationship Id="rId51" Type="http://schemas.openxmlformats.org/officeDocument/2006/relationships/image" Target="media/image11.emf"/><Relationship Id="rId72" Type="http://schemas.openxmlformats.org/officeDocument/2006/relationships/image" Target="media/image22.emf"/><Relationship Id="rId93" Type="http://schemas.openxmlformats.org/officeDocument/2006/relationships/header" Target="header28.xml"/><Relationship Id="rId98" Type="http://schemas.openxmlformats.org/officeDocument/2006/relationships/footer" Target="footer20.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5.xml"/><Relationship Id="rId67" Type="http://schemas.openxmlformats.org/officeDocument/2006/relationships/footer" Target="footer15.xml"/><Relationship Id="rId11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6.png"/><Relationship Id="rId62" Type="http://schemas.openxmlformats.org/officeDocument/2006/relationships/header" Target="header20.xml"/><Relationship Id="rId83" Type="http://schemas.openxmlformats.org/officeDocument/2006/relationships/image" Target="media/image33.emf"/><Relationship Id="rId88" Type="http://schemas.openxmlformats.org/officeDocument/2006/relationships/header" Target="header25.xml"/><Relationship Id="rId111" Type="http://schemas.openxmlformats.org/officeDocument/2006/relationships/header" Target="header3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5.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71aa6a6b7ca0eafadc0449a02228271">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c13cb2628aad32764747f3f73090b6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4.xml><?xml version="1.0" encoding="utf-8"?>
<TemplafyFormConfiguration><![CDATA[{"formFields":[],"formDataEntries":[]}]]></TemplafyFormConfiguratio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MPWT-2140667901-85254</_dlc_DocId>
    <_dlc_DocIdUrl xmlns="20393cdf-440a-4521-8f19-00ba43423d00">
      <Url>https://pcgov.sharepoint.com/sites/sceteam/_layouts/15/DocIdRedir.aspx?ID=MPWT-2140667901-85254</Url>
      <Description>MPWT-2140667901-85254</Description>
    </_dlc_DocIdUrl>
  </documentManagement>
</p:properties>
</file>

<file path=customXml/itemProps1.xml><?xml version="1.0" encoding="utf-8"?>
<ds:datastoreItem xmlns:ds="http://schemas.openxmlformats.org/officeDocument/2006/customXml" ds:itemID="{1E6FDB1C-A41B-4F88-AC72-E298D04B4D93}"/>
</file>

<file path=customXml/itemProps2.xml><?xml version="1.0" encoding="utf-8"?>
<ds:datastoreItem xmlns:ds="http://schemas.openxmlformats.org/officeDocument/2006/customXml" ds:itemID="{D9445B6E-CB52-4F75-B12C-220E4A83E1D6}">
  <ds:schemaRefs>
    <ds:schemaRef ds:uri="http://schemas.microsoft.com/sharepoint/event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EB889C1F-5422-490A-8E15-7B12556C52EF}">
  <ds:schemaRefs>
    <ds:schemaRef ds:uri="http://schemas.microsoft.com/sharepoint/v3/contenttype/forms"/>
  </ds:schemaRefs>
</ds:datastoreItem>
</file>

<file path=customXml/itemProps7.xml><?xml version="1.0" encoding="utf-8"?>
<ds:datastoreItem xmlns:ds="http://schemas.openxmlformats.org/officeDocument/2006/customXml" ds:itemID="{3A143736-AB4A-46EE-A595-835532B09F9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Normal.dotm</Template>
  <TotalTime>580</TotalTime>
  <Pages>114</Pages>
  <Words>42403</Words>
  <Characters>241699</Characters>
  <Application>Microsoft Office Word</Application>
  <DocSecurity>0</DocSecurity>
  <Lines>2014</Lines>
  <Paragraphs>567</Paragraphs>
  <ScaleCrop>false</ScaleCrop>
  <HeadingPairs>
    <vt:vector size="2" baseType="variant">
      <vt:variant>
        <vt:lpstr>Title</vt:lpstr>
      </vt:variant>
      <vt:variant>
        <vt:i4>1</vt:i4>
      </vt:variant>
    </vt:vector>
  </HeadingPairs>
  <TitlesOfParts>
    <vt:vector size="1" baseType="lpstr">
      <vt:lpstr>Trade and Assistance Review 2023-24</vt:lpstr>
    </vt:vector>
  </TitlesOfParts>
  <Company>Productivity Commission</Company>
  <LinksUpToDate>false</LinksUpToDate>
  <CharactersWithSpaces>283535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 and Assistance Review 2023-24</dc:title>
  <dc:subject/>
  <dc:creator>Productivity Commission</dc:creator>
  <cp:keywords/>
  <dc:description/>
  <cp:lastModifiedBy>Chris Alston</cp:lastModifiedBy>
  <cp:revision>314</cp:revision>
  <cp:lastPrinted>2025-07-04T03:45:00Z</cp:lastPrinted>
  <dcterms:created xsi:type="dcterms:W3CDTF">2025-06-28T09:36:00Z</dcterms:created>
  <dcterms:modified xsi:type="dcterms:W3CDTF">2025-07-04T03:46:00Z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3e23b019,7d078dde,614f7ed9,3f5cf0ec</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637740843659193177</vt:lpwstr>
  </property>
  <property fmtid="{D5CDD505-2E9C-101B-9397-08002B2CF9AE}" pid="10" name="TemplafyUserProfileId">
    <vt:lpwstr>637968911185861194</vt:lpwstr>
  </property>
  <property fmtid="{D5CDD505-2E9C-101B-9397-08002B2CF9AE}" pid="11" name="TemplafyFromBlank">
    <vt:bool>false</vt:bool>
  </property>
  <property fmtid="{D5CDD505-2E9C-101B-9397-08002B2CF9AE}" pid="12" name="ZOTERO_PREF_2">
    <vt:lpwstr>tionUpdates" value="true"/&gt;&lt;pref name="dontAskDelayCitationUpdates" value="true"/&gt;&lt;/prefs&gt;&lt;/data&gt;</vt:lpwstr>
  </property>
  <property fmtid="{D5CDD505-2E9C-101B-9397-08002B2CF9AE}" pid="13" name="ZOTERO_PREF_1">
    <vt:lpwstr>&lt;data data-version="3" zotero-version="7.0.15"&gt;&lt;session id="fIgHbe5e"/&gt;&lt;style id="http://www.zotero.org/styles/Productivity-Commission" hasBibliography="1" bibliographyStyleHasBeenSet="1"/&gt;&lt;prefs&gt;&lt;pref name="fieldType" value="Field"/&gt;&lt;pref name="delayCita</vt:lpwstr>
  </property>
  <property fmtid="{D5CDD505-2E9C-101B-9397-08002B2CF9AE}" pid="14" name="MSIP_Label_c1f2b1ce-4212-46db-a901-dd8453f57141_Enabled">
    <vt:lpwstr>true</vt:lpwstr>
  </property>
  <property fmtid="{D5CDD505-2E9C-101B-9397-08002B2CF9AE}" pid="15" name="MSIP_Label_c1f2b1ce-4212-46db-a901-dd8453f57141_SetDate">
    <vt:lpwstr>2025-06-30T01:34:32Z</vt:lpwstr>
  </property>
  <property fmtid="{D5CDD505-2E9C-101B-9397-08002B2CF9AE}" pid="16" name="MSIP_Label_c1f2b1ce-4212-46db-a901-dd8453f57141_Method">
    <vt:lpwstr>Privileged</vt:lpwstr>
  </property>
  <property fmtid="{D5CDD505-2E9C-101B-9397-08002B2CF9AE}" pid="17" name="MSIP_Label_c1f2b1ce-4212-46db-a901-dd8453f57141_Name">
    <vt:lpwstr>Publish</vt:lpwstr>
  </property>
  <property fmtid="{D5CDD505-2E9C-101B-9397-08002B2CF9AE}" pid="18" name="MSIP_Label_c1f2b1ce-4212-46db-a901-dd8453f57141_SiteId">
    <vt:lpwstr>29f9330b-c0fe-4244-830e-ba9f275d6c34</vt:lpwstr>
  </property>
  <property fmtid="{D5CDD505-2E9C-101B-9397-08002B2CF9AE}" pid="19" name="MSIP_Label_c1f2b1ce-4212-46db-a901-dd8453f57141_ActionId">
    <vt:lpwstr>74b2c8b1-2aed-4115-898b-7d20818717e4</vt:lpwstr>
  </property>
  <property fmtid="{D5CDD505-2E9C-101B-9397-08002B2CF9AE}" pid="20" name="MSIP_Label_c1f2b1ce-4212-46db-a901-dd8453f57141_ContentBits">
    <vt:lpwstr>0</vt:lpwstr>
  </property>
  <property fmtid="{D5CDD505-2E9C-101B-9397-08002B2CF9AE}" pid="21" name="MSIP_Label_c1f2b1ce-4212-46db-a901-dd8453f57141_Tag">
    <vt:lpwstr>10, 0, 1, 1</vt:lpwstr>
  </property>
  <property fmtid="{D5CDD505-2E9C-101B-9397-08002B2CF9AE}" pid="22" name="MSIP_Label_f7467c1a-e0ed-413c-a72b-aac8e8e94f41_Name">
    <vt:lpwstr>OFFICIAL</vt:lpwstr>
  </property>
  <property fmtid="{D5CDD505-2E9C-101B-9397-08002B2CF9AE}" pid="23" name="MSIP_Label_f7467c1a-e0ed-413c-a72b-aac8e8e94f41_ActionId">
    <vt:lpwstr>c79c5ecf-c63e-4aee-92a3-33196beb92b1</vt:lpwstr>
  </property>
  <property fmtid="{D5CDD505-2E9C-101B-9397-08002B2CF9AE}" pid="24" name="MSIP_Label_f7467c1a-e0ed-413c-a72b-aac8e8e94f41_SiteId">
    <vt:lpwstr>29f9330b-c0fe-4244-830e-ba9f275d6c34</vt:lpwstr>
  </property>
  <property fmtid="{D5CDD505-2E9C-101B-9397-08002B2CF9AE}" pid="25" name="MSIP_Label_f7467c1a-e0ed-413c-a72b-aac8e8e94f41_ContentBits">
    <vt:lpwstr>1</vt:lpwstr>
  </property>
  <property fmtid="{D5CDD505-2E9C-101B-9397-08002B2CF9AE}" pid="26" name="MSIP_Label_f7467c1a-e0ed-413c-a72b-aac8e8e94f41_Method">
    <vt:lpwstr>Privileged</vt:lpwstr>
  </property>
  <property fmtid="{D5CDD505-2E9C-101B-9397-08002B2CF9AE}" pid="27" name="MSIP_Label_f7467c1a-e0ed-413c-a72b-aac8e8e94f41_Enabled">
    <vt:lpwstr>true</vt:lpwstr>
  </property>
  <property fmtid="{D5CDD505-2E9C-101B-9397-08002B2CF9AE}" pid="28" name="MSIP_Label_f7467c1a-e0ed-413c-a72b-aac8e8e94f41_SetDate">
    <vt:lpwstr>2025-01-09T23:16:02Z</vt:lpwstr>
  </property>
  <property fmtid="{D5CDD505-2E9C-101B-9397-08002B2CF9AE}" pid="29" name="_dlc_DocIdItemGuid">
    <vt:lpwstr>faac528a-c67e-4604-b331-99568a0b09c1</vt:lpwstr>
  </property>
</Properties>
</file>