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B5FB" w14:textId="005E652D" w:rsidR="008F7D32" w:rsidRPr="00CB56E2" w:rsidRDefault="00B67D36" w:rsidP="003B2D78">
      <w:pPr>
        <w:pStyle w:val="Heading1-nobackground"/>
        <w:tabs>
          <w:tab w:val="left" w:pos="5893"/>
        </w:tabs>
        <w:spacing w:before="1080" w:after="1440"/>
        <w:rPr>
          <w:color w:val="FFFFFF" w:themeColor="background1"/>
        </w:rPr>
      </w:pPr>
      <w:r w:rsidRPr="00CB56E2">
        <w:rPr>
          <w:noProof/>
          <w:color w:val="FFFFFF" w:themeColor="background1"/>
        </w:rPr>
        <w:drawing>
          <wp:anchor distT="0" distB="0" distL="114300" distR="114300" simplePos="0" relativeHeight="251658240" behindDoc="1" locked="0" layoutInCell="1" allowOverlap="1" wp14:anchorId="44B3C5D8" wp14:editId="38EEEE7B">
            <wp:simplePos x="0" y="0"/>
            <wp:positionH relativeFrom="column">
              <wp:posOffset>-792820</wp:posOffset>
            </wp:positionH>
            <wp:positionV relativeFrom="page">
              <wp:posOffset>12700</wp:posOffset>
            </wp:positionV>
            <wp:extent cx="7659076" cy="2844800"/>
            <wp:effectExtent l="0" t="0" r="0" b="0"/>
            <wp:wrapNone/>
            <wp:docPr id="857708407" name="Picture 857708407" descr="Australian Government | Productivity Commission logo and Annual productivity bulleti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08407" name="Picture 857708407" descr="Australian Government | Productivity Commission logo and Annual productivity bulletin banne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69860" cy="2848806"/>
                    </a:xfrm>
                    <a:prstGeom prst="rect">
                      <a:avLst/>
                    </a:prstGeom>
                  </pic:spPr>
                </pic:pic>
              </a:graphicData>
            </a:graphic>
            <wp14:sizeRelH relativeFrom="page">
              <wp14:pctWidth>0</wp14:pctWidth>
            </wp14:sizeRelH>
            <wp14:sizeRelV relativeFrom="page">
              <wp14:pctHeight>0</wp14:pctHeight>
            </wp14:sizeRelV>
          </wp:anchor>
        </w:drawing>
      </w:r>
      <w:r w:rsidR="00F5720B" w:rsidRPr="00CB56E2">
        <w:rPr>
          <w:color w:val="FFFFFF" w:themeColor="background1"/>
        </w:rPr>
        <w:t>Annual p</w:t>
      </w:r>
      <w:r w:rsidR="008F7D32" w:rsidRPr="00CB56E2">
        <w:rPr>
          <w:color w:val="FFFFFF" w:themeColor="background1"/>
        </w:rPr>
        <w:t>roductivity</w:t>
      </w:r>
      <w:r w:rsidR="00F5720B" w:rsidRPr="00CB56E2">
        <w:rPr>
          <w:color w:val="FFFFFF" w:themeColor="background1"/>
        </w:rPr>
        <w:br/>
      </w:r>
      <w:r w:rsidR="008F7D32" w:rsidRPr="00CB56E2">
        <w:rPr>
          <w:color w:val="FFFFFF" w:themeColor="background1"/>
        </w:rPr>
        <w:t>b</w:t>
      </w:r>
      <w:r w:rsidR="00C347C9" w:rsidRPr="00CB56E2">
        <w:rPr>
          <w:color w:val="FFFFFF" w:themeColor="background1"/>
        </w:rPr>
        <w:t>ulletin 2024</w:t>
      </w:r>
    </w:p>
    <w:tbl>
      <w:tblPr>
        <w:tblStyle w:val="Texttable-Paleblue"/>
        <w:tblW w:w="9638" w:type="dxa"/>
        <w:shd w:val="clear" w:color="auto" w:fill="E7F6FD"/>
        <w:tblLook w:val="04A0" w:firstRow="1" w:lastRow="0" w:firstColumn="1" w:lastColumn="0" w:noHBand="0" w:noVBand="1"/>
      </w:tblPr>
      <w:tblGrid>
        <w:gridCol w:w="570"/>
        <w:gridCol w:w="9068"/>
      </w:tblGrid>
      <w:tr w:rsidR="00E642E7" w:rsidRPr="002F759A" w14:paraId="5D2894A4" w14:textId="77777777" w:rsidTr="431843A7">
        <w:trPr>
          <w:trHeight w:val="300"/>
        </w:trPr>
        <w:tc>
          <w:tcPr>
            <w:tcW w:w="9638" w:type="dxa"/>
            <w:gridSpan w:val="2"/>
            <w:shd w:val="clear" w:color="auto" w:fill="E7F6FD"/>
            <w:tcMar>
              <w:left w:w="170" w:type="dxa"/>
            </w:tcMar>
          </w:tcPr>
          <w:p w14:paraId="0C52BCFB" w14:textId="77777777" w:rsidR="00E642E7" w:rsidRPr="002F759A" w:rsidRDefault="00E642E7">
            <w:pPr>
              <w:pStyle w:val="Keypoints-heading"/>
            </w:pPr>
            <w:r w:rsidRPr="002F759A">
              <w:t>Key points</w:t>
            </w:r>
          </w:p>
        </w:tc>
      </w:tr>
      <w:tr w:rsidR="00E642E7" w14:paraId="6CADF640" w14:textId="77777777" w:rsidTr="431843A7">
        <w:trPr>
          <w:trHeight w:val="300"/>
        </w:trPr>
        <w:tc>
          <w:tcPr>
            <w:tcW w:w="570" w:type="dxa"/>
            <w:shd w:val="clear" w:color="auto" w:fill="E7F6FD"/>
            <w:tcMar>
              <w:top w:w="0" w:type="dxa"/>
              <w:bottom w:w="0" w:type="dxa"/>
              <w:right w:w="113" w:type="dxa"/>
            </w:tcMar>
          </w:tcPr>
          <w:p w14:paraId="78DB3EE7" w14:textId="77777777" w:rsidR="00E642E7" w:rsidRDefault="00E642E7" w:rsidP="000C6B77">
            <w:pPr>
              <w:pStyle w:val="KeyPointsicon"/>
            </w:pPr>
            <w:r w:rsidRPr="00A51374">
              <w:rPr>
                <w:noProof/>
              </w:rPr>
              <w:drawing>
                <wp:inline distT="0" distB="0" distL="0" distR="0" wp14:anchorId="01A00B93" wp14:editId="73E8B0E2">
                  <wp:extent cx="180000" cy="1800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9068" w:type="dxa"/>
            <w:shd w:val="clear" w:color="auto" w:fill="E7F6FD"/>
            <w:tcMar>
              <w:top w:w="28" w:type="dxa"/>
              <w:left w:w="28" w:type="dxa"/>
            </w:tcMar>
          </w:tcPr>
          <w:p w14:paraId="526F3C04" w14:textId="450232A9" w:rsidR="007748B5" w:rsidRPr="00EB4ADC" w:rsidRDefault="00F865F5" w:rsidP="00EB4ADC">
            <w:pPr>
              <w:pStyle w:val="KeyPoints-Bold"/>
            </w:pPr>
            <w:r w:rsidRPr="00EB4ADC">
              <w:rPr>
                <w:rStyle w:val="cf01"/>
                <w:rFonts w:asciiTheme="minorHAnsi" w:hAnsiTheme="minorHAnsi" w:cstheme="minorBidi"/>
                <w:szCs w:val="20"/>
              </w:rPr>
              <w:t>Labour productivity for the whole economy fell by 3.7% in 2022-</w:t>
            </w:r>
            <w:r w:rsidR="00925163" w:rsidRPr="00EB4ADC" w:rsidDel="00F865F5">
              <w:rPr>
                <w:rStyle w:val="cf01"/>
                <w:rFonts w:asciiTheme="minorHAnsi" w:hAnsiTheme="minorHAnsi" w:cstheme="minorBidi"/>
                <w:szCs w:val="20"/>
              </w:rPr>
              <w:t>23</w:t>
            </w:r>
            <w:r w:rsidR="00244C6F" w:rsidRPr="00EB4ADC">
              <w:t>.</w:t>
            </w:r>
          </w:p>
          <w:p w14:paraId="3C48E3C2" w14:textId="564B1796" w:rsidR="004B77E9" w:rsidRDefault="00F47ECA" w:rsidP="00F47ECA">
            <w:pPr>
              <w:pStyle w:val="KeyPoints-Bullet"/>
            </w:pPr>
            <w:r w:rsidRPr="00F47ECA">
              <w:t>Labour productivity fell because output growth failed to keep pace with a record increase in hours worked</w:t>
            </w:r>
            <w:r w:rsidR="005449B8" w:rsidRPr="00EB4ADC">
              <w:t>.</w:t>
            </w:r>
            <w:r w:rsidR="00C73A0F" w:rsidRPr="00EB4ADC">
              <w:t xml:space="preserve"> </w:t>
            </w:r>
          </w:p>
          <w:p w14:paraId="4AFAD889" w14:textId="6CF38D20" w:rsidR="00F865F5" w:rsidRPr="00EB4ADC" w:rsidRDefault="00E00842" w:rsidP="00EB4ADC">
            <w:pPr>
              <w:pStyle w:val="KeyPoints-Bullet"/>
            </w:pPr>
            <w:r w:rsidRPr="00EB4ADC">
              <w:t xml:space="preserve">High hours worked also led to a </w:t>
            </w:r>
            <w:r w:rsidR="006B33CD" w:rsidRPr="00EB4ADC">
              <w:t>historical</w:t>
            </w:r>
            <w:r w:rsidR="00B518E6" w:rsidRPr="00EB4ADC">
              <w:t xml:space="preserve"> </w:t>
            </w:r>
            <w:r w:rsidRPr="00EB4ADC">
              <w:t>decline in the capital-labour ratio</w:t>
            </w:r>
            <w:r w:rsidR="00CD3CC0">
              <w:t xml:space="preserve"> (4.9%)</w:t>
            </w:r>
            <w:r w:rsidR="00DA276A">
              <w:t>.</w:t>
            </w:r>
            <w:r w:rsidR="00DA276A" w:rsidRPr="00EB4ADC">
              <w:t xml:space="preserve"> This meant </w:t>
            </w:r>
            <w:r w:rsidR="00CF7E58" w:rsidRPr="00EB4ADC">
              <w:t xml:space="preserve">workers had access to </w:t>
            </w:r>
            <w:r w:rsidR="00CF7A30">
              <w:t xml:space="preserve">less </w:t>
            </w:r>
            <w:r w:rsidR="00CF7E58" w:rsidRPr="00EB4ADC">
              <w:t>capital</w:t>
            </w:r>
            <w:r w:rsidR="00CF7A30">
              <w:t xml:space="preserve"> on average</w:t>
            </w:r>
            <w:r w:rsidR="00DA276A">
              <w:t>,</w:t>
            </w:r>
            <w:r w:rsidR="00C73A0F">
              <w:t xml:space="preserve"> </w:t>
            </w:r>
            <w:r w:rsidR="00733AC6" w:rsidRPr="00EB4ADC">
              <w:t xml:space="preserve">which </w:t>
            </w:r>
            <w:r w:rsidR="00116056" w:rsidRPr="00EB4ADC">
              <w:t>weighed down</w:t>
            </w:r>
            <w:r w:rsidR="00DA276A" w:rsidRPr="00EB4ADC">
              <w:t xml:space="preserve"> </w:t>
            </w:r>
            <w:r w:rsidR="00116056" w:rsidRPr="00EB4ADC">
              <w:t xml:space="preserve">labour </w:t>
            </w:r>
            <w:r w:rsidR="00C73A0F" w:rsidRPr="00EB4ADC">
              <w:t>productiv</w:t>
            </w:r>
            <w:r w:rsidR="00116056" w:rsidRPr="00EB4ADC">
              <w:t>ity</w:t>
            </w:r>
            <w:r w:rsidR="00116056">
              <w:t>.</w:t>
            </w:r>
          </w:p>
          <w:p w14:paraId="19CA5332" w14:textId="3D046F23" w:rsidR="00682160" w:rsidRDefault="00682160" w:rsidP="006343C5">
            <w:pPr>
              <w:pStyle w:val="KeyPoints-Bullet"/>
            </w:pPr>
            <w:r w:rsidRPr="00EB4ADC">
              <w:t>The 2022-23 decline</w:t>
            </w:r>
            <w:r>
              <w:t>s</w:t>
            </w:r>
            <w:r w:rsidRPr="00EB4ADC">
              <w:t xml:space="preserve"> in labour productivity and the capital-labour ratio were historical outliers</w:t>
            </w:r>
            <w:r w:rsidR="007635A5">
              <w:t>.</w:t>
            </w:r>
          </w:p>
          <w:p w14:paraId="01EFEEEF" w14:textId="4C52FD66" w:rsidR="007748B5" w:rsidRDefault="00086C00" w:rsidP="00EB4ADC">
            <w:pPr>
              <w:pStyle w:val="KeyPoints-Bullet"/>
            </w:pPr>
            <w:r>
              <w:rPr>
                <w:rFonts w:eastAsia="Times New Roman"/>
              </w:rPr>
              <w:t>During the pandemic productivity rose rapidly</w:t>
            </w:r>
            <w:r w:rsidR="00A928FE">
              <w:rPr>
                <w:rFonts w:eastAsia="Times New Roman"/>
              </w:rPr>
              <w:t xml:space="preserve"> but</w:t>
            </w:r>
            <w:r>
              <w:rPr>
                <w:rFonts w:eastAsia="Times New Roman"/>
              </w:rPr>
              <w:t xml:space="preserve"> </w:t>
            </w:r>
            <w:r w:rsidR="00A928FE">
              <w:rPr>
                <w:rFonts w:eastAsia="Times New Roman"/>
              </w:rPr>
              <w:t>l</w:t>
            </w:r>
            <w:r>
              <w:rPr>
                <w:rFonts w:eastAsia="Times New Roman"/>
              </w:rPr>
              <w:t xml:space="preserve">ast financial year saw that productivity growth disappear. </w:t>
            </w:r>
            <w:r w:rsidR="00A928FE">
              <w:t>By</w:t>
            </w:r>
            <w:r w:rsidR="00F865F5" w:rsidRPr="00EB4ADC">
              <w:t xml:space="preserve"> the end </w:t>
            </w:r>
            <w:r w:rsidR="00593876" w:rsidRPr="00EB4ADC">
              <w:t xml:space="preserve">2022-23, labour </w:t>
            </w:r>
            <w:r w:rsidR="00F865F5" w:rsidRPr="00EB4ADC">
              <w:t xml:space="preserve">productivity was about the same as before the pandemic for the whole economy </w:t>
            </w:r>
            <w:r w:rsidR="00F865F5">
              <w:t>(</w:t>
            </w:r>
            <w:r w:rsidR="00F865F5" w:rsidRPr="00EB4ADC">
              <w:t xml:space="preserve">0.8%), but well above the pre-pandemic level for the market sector </w:t>
            </w:r>
            <w:r w:rsidR="00F865F5">
              <w:t>(</w:t>
            </w:r>
            <w:r w:rsidR="00F865F5" w:rsidRPr="00EB4ADC">
              <w:t>2.</w:t>
            </w:r>
            <w:r w:rsidR="009E1549">
              <w:t>4</w:t>
            </w:r>
            <w:r w:rsidR="00F865F5">
              <w:t>%).</w:t>
            </w:r>
          </w:p>
        </w:tc>
      </w:tr>
      <w:tr w:rsidR="00314C59" w14:paraId="559E3FF5" w14:textId="77777777" w:rsidTr="431843A7">
        <w:trPr>
          <w:trHeight w:val="300"/>
        </w:trPr>
        <w:tc>
          <w:tcPr>
            <w:tcW w:w="570" w:type="dxa"/>
            <w:shd w:val="clear" w:color="auto" w:fill="E7F6FD"/>
            <w:tcMar>
              <w:top w:w="0" w:type="dxa"/>
              <w:bottom w:w="0" w:type="dxa"/>
              <w:right w:w="113" w:type="dxa"/>
            </w:tcMar>
          </w:tcPr>
          <w:p w14:paraId="4280A8DD" w14:textId="30B93382" w:rsidR="00314C59" w:rsidRPr="00A51374" w:rsidRDefault="00314C59" w:rsidP="000C6B77">
            <w:pPr>
              <w:pStyle w:val="KeyPointsicon"/>
              <w:rPr>
                <w:noProof/>
              </w:rPr>
            </w:pPr>
            <w:r w:rsidRPr="00F31E73">
              <w:rPr>
                <w:noProof/>
              </w:rPr>
              <w:drawing>
                <wp:inline distT="0" distB="0" distL="0" distR="0" wp14:anchorId="4BF9BE9E" wp14:editId="47129CAC">
                  <wp:extent cx="180000" cy="180000"/>
                  <wp:effectExtent l="0" t="0" r="0" b="0"/>
                  <wp:docPr id="889458348" name="Graphic 8894583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9068" w:type="dxa"/>
            <w:shd w:val="clear" w:color="auto" w:fill="E7F6FD"/>
            <w:tcMar>
              <w:top w:w="28" w:type="dxa"/>
              <w:left w:w="28" w:type="dxa"/>
            </w:tcMar>
          </w:tcPr>
          <w:p w14:paraId="5CDAEC0B" w14:textId="0573F61C" w:rsidR="003F0740" w:rsidRPr="00EB4ADC" w:rsidRDefault="00FA775B" w:rsidP="00CD3CC0">
            <w:pPr>
              <w:pStyle w:val="KeyPoints-Bold"/>
            </w:pPr>
            <w:r>
              <w:t xml:space="preserve">Multifactor productivity fell </w:t>
            </w:r>
            <w:r w:rsidR="00875145">
              <w:t>by 0.5%</w:t>
            </w:r>
            <w:r w:rsidR="00CF281D">
              <w:t xml:space="preserve"> in the market sector</w:t>
            </w:r>
            <w:r w:rsidR="00791373">
              <w:t>.</w:t>
            </w:r>
          </w:p>
        </w:tc>
      </w:tr>
      <w:tr w:rsidR="00E642E7" w14:paraId="1BF2B453" w14:textId="77777777" w:rsidTr="431843A7">
        <w:trPr>
          <w:trHeight w:val="300"/>
        </w:trPr>
        <w:tc>
          <w:tcPr>
            <w:tcW w:w="570" w:type="dxa"/>
            <w:shd w:val="clear" w:color="auto" w:fill="E7F6FD"/>
            <w:tcMar>
              <w:top w:w="0" w:type="dxa"/>
              <w:bottom w:w="0" w:type="dxa"/>
              <w:right w:w="113" w:type="dxa"/>
            </w:tcMar>
          </w:tcPr>
          <w:p w14:paraId="68CCF4A1" w14:textId="77777777" w:rsidR="00E642E7" w:rsidRPr="00A51374" w:rsidRDefault="00E642E7" w:rsidP="000C6B77">
            <w:pPr>
              <w:pStyle w:val="KeyPointsicon"/>
            </w:pPr>
            <w:r w:rsidRPr="00F31E73">
              <w:rPr>
                <w:noProof/>
              </w:rPr>
              <w:drawing>
                <wp:inline distT="0" distB="0" distL="0" distR="0" wp14:anchorId="40D6CDEE" wp14:editId="0BA70432">
                  <wp:extent cx="180000" cy="180000"/>
                  <wp:effectExtent l="0" t="0" r="0" b="0"/>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9068" w:type="dxa"/>
            <w:shd w:val="clear" w:color="auto" w:fill="E7F6FD"/>
            <w:tcMar>
              <w:top w:w="28" w:type="dxa"/>
              <w:left w:w="28" w:type="dxa"/>
            </w:tcMar>
          </w:tcPr>
          <w:p w14:paraId="6FE00090" w14:textId="142D00C4" w:rsidR="00E642E7" w:rsidRPr="004F43BC" w:rsidRDefault="00DA0FCD" w:rsidP="004F43BC">
            <w:pPr>
              <w:pStyle w:val="KeyPoints-Bold"/>
            </w:pPr>
            <w:r>
              <w:t>The</w:t>
            </w:r>
            <w:r w:rsidR="0052011A">
              <w:t xml:space="preserve"> </w:t>
            </w:r>
            <w:r w:rsidR="6B0FE131">
              <w:t xml:space="preserve">wholesale trade </w:t>
            </w:r>
            <w:r w:rsidR="006136D6">
              <w:t>and</w:t>
            </w:r>
            <w:r w:rsidR="6B0FE131">
              <w:t xml:space="preserve"> </w:t>
            </w:r>
            <w:r w:rsidR="006136D6">
              <w:t xml:space="preserve">accommodation and food services </w:t>
            </w:r>
            <w:r>
              <w:t xml:space="preserve">industries </w:t>
            </w:r>
            <w:r w:rsidR="00D73780">
              <w:t>contributed</w:t>
            </w:r>
            <w:r w:rsidR="6B0FE131">
              <w:t xml:space="preserve"> to more than 50% of the decline in </w:t>
            </w:r>
            <w:r>
              <w:t xml:space="preserve">market sector </w:t>
            </w:r>
            <w:r w:rsidR="008A5B27" w:rsidDel="009A21F6">
              <w:t xml:space="preserve">labour productivity </w:t>
            </w:r>
            <w:r w:rsidR="00EF27D8">
              <w:t>last financial year</w:t>
            </w:r>
            <w:r w:rsidR="005E4966">
              <w:t>.</w:t>
            </w:r>
          </w:p>
          <w:p w14:paraId="19D1AD51" w14:textId="3D11D3B3" w:rsidR="001B1427" w:rsidRPr="00610627" w:rsidRDefault="00BF14FC" w:rsidP="00610627">
            <w:pPr>
              <w:pStyle w:val="KeyPoints-Bullet"/>
            </w:pPr>
            <w:r>
              <w:t>T</w:t>
            </w:r>
            <w:r w:rsidRPr="003A761C">
              <w:t xml:space="preserve">he </w:t>
            </w:r>
            <w:r w:rsidRPr="00C35A6C">
              <w:t xml:space="preserve">wholesale </w:t>
            </w:r>
            <w:r w:rsidR="0023271C">
              <w:t xml:space="preserve">trade </w:t>
            </w:r>
            <w:r w:rsidRPr="00C35A6C">
              <w:t xml:space="preserve">industry also contributed to the largest decline in </w:t>
            </w:r>
            <w:r w:rsidR="003A40EE">
              <w:t xml:space="preserve">multifactor productivity </w:t>
            </w:r>
            <w:r w:rsidR="003F15B2">
              <w:t>(0.4 </w:t>
            </w:r>
            <w:r w:rsidR="00934FF3">
              <w:t>percentage points</w:t>
            </w:r>
            <w:r w:rsidR="003F15B2">
              <w:t>)</w:t>
            </w:r>
            <w:r w:rsidRPr="00C35A6C">
              <w:t>, followed by rental, hiring and real estate services</w:t>
            </w:r>
            <w:r w:rsidR="003F15B2">
              <w:t xml:space="preserve"> (0.</w:t>
            </w:r>
            <w:r w:rsidR="006E6415">
              <w:t>2</w:t>
            </w:r>
            <w:r w:rsidR="003F15B2">
              <w:t xml:space="preserve"> </w:t>
            </w:r>
            <w:r w:rsidR="00934FF3">
              <w:t>percentage points</w:t>
            </w:r>
            <w:r w:rsidR="003F15B2">
              <w:t>)</w:t>
            </w:r>
            <w:r w:rsidRPr="00C35A6C">
              <w:t xml:space="preserve">. </w:t>
            </w:r>
          </w:p>
        </w:tc>
      </w:tr>
      <w:tr w:rsidR="00E717AC" w14:paraId="56CA0B8B" w14:textId="77777777" w:rsidTr="431843A7">
        <w:trPr>
          <w:trHeight w:val="300"/>
        </w:trPr>
        <w:tc>
          <w:tcPr>
            <w:tcW w:w="570" w:type="dxa"/>
            <w:shd w:val="clear" w:color="auto" w:fill="E7F6FD"/>
            <w:tcMar>
              <w:top w:w="0" w:type="dxa"/>
              <w:bottom w:w="0" w:type="dxa"/>
              <w:right w:w="113" w:type="dxa"/>
            </w:tcMar>
          </w:tcPr>
          <w:p w14:paraId="0AF2EBD3" w14:textId="7B2D1F4E" w:rsidR="00E717AC" w:rsidRPr="00F31E73" w:rsidRDefault="00E717AC" w:rsidP="000C6B77">
            <w:pPr>
              <w:pStyle w:val="KeyPointsicon"/>
              <w:rPr>
                <w:noProof/>
              </w:rPr>
            </w:pPr>
            <w:r w:rsidRPr="00F31E73">
              <w:rPr>
                <w:noProof/>
              </w:rPr>
              <w:drawing>
                <wp:inline distT="0" distB="0" distL="0" distR="0" wp14:anchorId="0D16E1B5" wp14:editId="41DDA5A9">
                  <wp:extent cx="180000" cy="180000"/>
                  <wp:effectExtent l="0" t="0" r="0" b="0"/>
                  <wp:docPr id="2019926710" name="Graphic 2019926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9068" w:type="dxa"/>
            <w:shd w:val="clear" w:color="auto" w:fill="E7F6FD"/>
            <w:tcMar>
              <w:top w:w="28" w:type="dxa"/>
              <w:left w:w="28" w:type="dxa"/>
            </w:tcMar>
          </w:tcPr>
          <w:p w14:paraId="3B21FD21" w14:textId="79E80328" w:rsidR="0010746F" w:rsidRPr="00610627" w:rsidRDefault="0066511C" w:rsidP="0010746F">
            <w:pPr>
              <w:pStyle w:val="KeyPoints-Bold"/>
            </w:pPr>
            <w:r>
              <w:t xml:space="preserve">Across the whole economy, </w:t>
            </w:r>
            <w:r w:rsidR="00661837">
              <w:t xml:space="preserve">a gap </w:t>
            </w:r>
            <w:r w:rsidR="00E1134D">
              <w:t xml:space="preserve">remained </w:t>
            </w:r>
            <w:r w:rsidR="00661837">
              <w:t>between growth in real wages and labour productivity</w:t>
            </w:r>
            <w:r w:rsidR="00130BF5">
              <w:t>.</w:t>
            </w:r>
            <w:r w:rsidR="0010746F">
              <w:t xml:space="preserve"> </w:t>
            </w:r>
          </w:p>
          <w:p w14:paraId="6316FA38" w14:textId="79FE0DDC" w:rsidR="00E1134D" w:rsidRDefault="00E1134D" w:rsidP="00E1134D">
            <w:pPr>
              <w:pStyle w:val="KeyPoints-Bullet"/>
            </w:pPr>
            <w:r w:rsidRPr="00E1134D">
              <w:t xml:space="preserve">In 2022-23, labour productivity </w:t>
            </w:r>
            <w:r w:rsidR="003E4D0B">
              <w:t>and</w:t>
            </w:r>
            <w:r w:rsidRPr="00E1134D">
              <w:t xml:space="preserve"> real </w:t>
            </w:r>
            <w:r w:rsidR="003E4D0B">
              <w:t xml:space="preserve">producer </w:t>
            </w:r>
            <w:r w:rsidRPr="00E1134D">
              <w:t xml:space="preserve">wages </w:t>
            </w:r>
            <w:r w:rsidR="003E4D0B">
              <w:t xml:space="preserve">both fell by </w:t>
            </w:r>
            <w:r w:rsidRPr="00E1134D">
              <w:t>3.7%.</w:t>
            </w:r>
          </w:p>
          <w:p w14:paraId="122D957C" w14:textId="124C1AE7" w:rsidR="00E717AC" w:rsidRDefault="0060750A" w:rsidP="00E1134D">
            <w:pPr>
              <w:pStyle w:val="KeyPoints-Bullet"/>
            </w:pPr>
            <w:r>
              <w:t>O</w:t>
            </w:r>
            <w:r w:rsidR="0010746F">
              <w:t xml:space="preserve">verall wage decoupling has </w:t>
            </w:r>
            <w:r>
              <w:t>de</w:t>
            </w:r>
            <w:r w:rsidR="0010746F">
              <w:t xml:space="preserve">creased to </w:t>
            </w:r>
            <w:r w:rsidR="0056129A">
              <w:t>0.</w:t>
            </w:r>
            <w:r w:rsidR="007D0FB4">
              <w:t>54</w:t>
            </w:r>
            <w:r w:rsidR="0010746F">
              <w:t xml:space="preserve"> percentage points per annum since 199</w:t>
            </w:r>
            <w:r w:rsidR="00C41C90">
              <w:t>4-9</w:t>
            </w:r>
            <w:r w:rsidR="0010746F">
              <w:t>5 (</w:t>
            </w:r>
            <w:r w:rsidR="007D0FB4">
              <w:t>down</w:t>
            </w:r>
            <w:r w:rsidR="0010746F">
              <w:t xml:space="preserve"> from </w:t>
            </w:r>
            <w:r w:rsidR="0056129A">
              <w:t>0.</w:t>
            </w:r>
            <w:r w:rsidR="005135F9">
              <w:t>5</w:t>
            </w:r>
            <w:r w:rsidR="007D0FB4">
              <w:t>6</w:t>
            </w:r>
            <w:r w:rsidR="008E1901">
              <w:t> </w:t>
            </w:r>
            <w:r w:rsidR="0010746F">
              <w:t>percentage points</w:t>
            </w:r>
            <w:r w:rsidR="00734F18">
              <w:t xml:space="preserve"> </w:t>
            </w:r>
            <w:r w:rsidR="00DF1ECB">
              <w:t>between 199</w:t>
            </w:r>
            <w:r w:rsidR="00C41C90">
              <w:t>4-9</w:t>
            </w:r>
            <w:r w:rsidR="00DF1ECB">
              <w:t>5</w:t>
            </w:r>
            <w:r w:rsidR="00C41C90">
              <w:t xml:space="preserve"> and 2021-22</w:t>
            </w:r>
            <w:r w:rsidR="00734F18">
              <w:t xml:space="preserve"> estimated last year</w:t>
            </w:r>
            <w:r w:rsidR="0010746F">
              <w:t>).</w:t>
            </w:r>
          </w:p>
          <w:p w14:paraId="041DA28E" w14:textId="667709C1" w:rsidR="005135F9" w:rsidRDefault="00E1134D" w:rsidP="0010746F">
            <w:pPr>
              <w:pStyle w:val="KeyPoints-Bullet"/>
            </w:pPr>
            <w:r>
              <w:t>W</w:t>
            </w:r>
            <w:r w:rsidR="00845F5C">
              <w:t xml:space="preserve">age decoupling in two industries – mining and agriculture – dominate the aggregate </w:t>
            </w:r>
            <w:proofErr w:type="gramStart"/>
            <w:r w:rsidR="00845F5C">
              <w:t>results</w:t>
            </w:r>
            <w:r w:rsidR="00C20CC2">
              <w:t>, but</w:t>
            </w:r>
            <w:proofErr w:type="gramEnd"/>
            <w:r w:rsidR="003B2692">
              <w:t xml:space="preserve"> employ only 5% of the workforce</w:t>
            </w:r>
            <w:r w:rsidR="007517A0">
              <w:t>.</w:t>
            </w:r>
          </w:p>
          <w:p w14:paraId="244DC6A2" w14:textId="6CA00CBB" w:rsidR="00E717AC" w:rsidRDefault="004E3445" w:rsidP="0010746F">
            <w:pPr>
              <w:pStyle w:val="KeyPoints-Bullet"/>
            </w:pPr>
            <w:r>
              <w:t>W</w:t>
            </w:r>
            <w:r w:rsidR="004E6969">
              <w:t xml:space="preserve">age decoupling </w:t>
            </w:r>
            <w:r>
              <w:t>for the rest of the workforce is</w:t>
            </w:r>
            <w:r w:rsidR="001E743E">
              <w:t xml:space="preserve"> 0.18 percentage points</w:t>
            </w:r>
            <w:r w:rsidR="00FA29F3">
              <w:t xml:space="preserve"> per annum </w:t>
            </w:r>
            <w:r w:rsidR="00581D4C">
              <w:t>since 199</w:t>
            </w:r>
            <w:r w:rsidR="00643DE1">
              <w:t>4-</w:t>
            </w:r>
            <w:r w:rsidR="008266D9">
              <w:t>9</w:t>
            </w:r>
            <w:r w:rsidR="00581D4C">
              <w:t>5</w:t>
            </w:r>
            <w:r w:rsidR="00FA29F3">
              <w:t>.</w:t>
            </w:r>
            <w:r w:rsidR="00C324C3">
              <w:t xml:space="preserve"> </w:t>
            </w:r>
            <w:r w:rsidR="00E37758">
              <w:t>The fall in w</w:t>
            </w:r>
            <w:r w:rsidR="00F637DF">
              <w:t xml:space="preserve">ages </w:t>
            </w:r>
            <w:r w:rsidR="00125626">
              <w:t xml:space="preserve">over 2022-23 </w:t>
            </w:r>
            <w:r w:rsidR="00F637DF">
              <w:t xml:space="preserve">for </w:t>
            </w:r>
            <w:r w:rsidR="00AE7264">
              <w:t xml:space="preserve">the </w:t>
            </w:r>
            <w:r w:rsidR="00301960">
              <w:t xml:space="preserve">rest of the workforce </w:t>
            </w:r>
            <w:r w:rsidR="00E37758">
              <w:t>(</w:t>
            </w:r>
            <w:r w:rsidR="00301960">
              <w:t>4.6%</w:t>
            </w:r>
            <w:r w:rsidR="00E37758">
              <w:t>) exceeded the fall in labour productivity (3.5%).</w:t>
            </w:r>
            <w:r w:rsidR="00301960">
              <w:t xml:space="preserve"> </w:t>
            </w:r>
          </w:p>
        </w:tc>
      </w:tr>
    </w:tbl>
    <w:p w14:paraId="6C35697A" w14:textId="51893ED8" w:rsidR="006C3342" w:rsidRDefault="006C3342">
      <w:pPr>
        <w:pStyle w:val="NoSpacing"/>
      </w:pPr>
    </w:p>
    <w:p w14:paraId="193CBDA3" w14:textId="77777777" w:rsidR="006C3342" w:rsidRDefault="006C3342">
      <w:pPr>
        <w:spacing w:before="0" w:after="160" w:line="259" w:lineRule="auto"/>
      </w:pPr>
      <w:r>
        <w:br w:type="page"/>
      </w:r>
    </w:p>
    <w:p w14:paraId="706DCBF7" w14:textId="6F6331EF" w:rsidR="000353E9" w:rsidRDefault="00632F9F" w:rsidP="00632F9F">
      <w:pPr>
        <w:pStyle w:val="Heading2-nonumber"/>
      </w:pPr>
      <w:bookmarkStart w:id="0" w:name="_Toc159929292"/>
      <w:r>
        <w:lastRenderedPageBreak/>
        <w:t>1.</w:t>
      </w:r>
      <w:r>
        <w:tab/>
      </w:r>
      <w:r w:rsidR="003C01E8">
        <w:t xml:space="preserve">Whole </w:t>
      </w:r>
      <w:r w:rsidR="000353E9">
        <w:t xml:space="preserve">of </w:t>
      </w:r>
      <w:r w:rsidR="003C01E8">
        <w:t>eco</w:t>
      </w:r>
      <w:r w:rsidR="000353E9">
        <w:t>nomy growth and productivity</w:t>
      </w:r>
      <w:r w:rsidR="00A321F5">
        <w:rPr>
          <w:rStyle w:val="FootnoteReference"/>
        </w:rPr>
        <w:footnoteReference w:id="2"/>
      </w:r>
      <w:bookmarkEnd w:id="0"/>
    </w:p>
    <w:p w14:paraId="21EE9C58" w14:textId="3AEEABB8" w:rsidR="00510DB6" w:rsidRPr="00510DB6" w:rsidRDefault="00A36B7B" w:rsidP="00B422CA">
      <w:pPr>
        <w:pStyle w:val="Heading3"/>
      </w:pPr>
      <w:r>
        <w:t>P</w:t>
      </w:r>
      <w:r w:rsidR="005E63E2">
        <w:t xml:space="preserve">roductivity </w:t>
      </w:r>
      <w:r w:rsidR="00CD5E46">
        <w:t xml:space="preserve">fell over </w:t>
      </w:r>
      <w:r w:rsidR="00666DD4">
        <w:t>2022-23</w:t>
      </w:r>
    </w:p>
    <w:p w14:paraId="721EBFF9" w14:textId="5BC1EAC1" w:rsidR="005B78DD" w:rsidRPr="004F43BC" w:rsidRDefault="00A37C61" w:rsidP="004F43BC">
      <w:pPr>
        <w:pStyle w:val="BodyText"/>
        <w:rPr>
          <w:rStyle w:val="normaltextrun"/>
        </w:rPr>
      </w:pPr>
      <w:r w:rsidRPr="004F43BC">
        <w:rPr>
          <w:rStyle w:val="normaltextrun"/>
        </w:rPr>
        <w:t>L</w:t>
      </w:r>
      <w:r w:rsidR="009833AA" w:rsidRPr="004F43BC">
        <w:rPr>
          <w:rStyle w:val="normaltextrun"/>
        </w:rPr>
        <w:t xml:space="preserve">abour </w:t>
      </w:r>
      <w:r w:rsidR="001010B1" w:rsidRPr="004F43BC">
        <w:rPr>
          <w:rStyle w:val="normaltextrun"/>
        </w:rPr>
        <w:t xml:space="preserve">productivity </w:t>
      </w:r>
      <w:r w:rsidR="009833AA" w:rsidRPr="004F43BC">
        <w:rPr>
          <w:rStyle w:val="normaltextrun"/>
        </w:rPr>
        <w:t xml:space="preserve">and </w:t>
      </w:r>
      <w:r w:rsidR="006F02F9" w:rsidRPr="004F43BC">
        <w:rPr>
          <w:rStyle w:val="normaltextrun"/>
        </w:rPr>
        <w:t>MFP</w:t>
      </w:r>
      <w:r w:rsidRPr="004F43BC">
        <w:rPr>
          <w:rStyle w:val="normaltextrun"/>
        </w:rPr>
        <w:t xml:space="preserve"> fell in </w:t>
      </w:r>
      <w:r w:rsidRPr="00532A24">
        <w:rPr>
          <w:rStyle w:val="normaltextrun"/>
        </w:rPr>
        <w:t>202</w:t>
      </w:r>
      <w:r w:rsidR="009A7A1B">
        <w:rPr>
          <w:rStyle w:val="normaltextrun"/>
        </w:rPr>
        <w:t>2</w:t>
      </w:r>
      <w:r w:rsidRPr="004F43BC">
        <w:rPr>
          <w:rStyle w:val="normaltextrun"/>
        </w:rPr>
        <w:t>-23</w:t>
      </w:r>
      <w:r w:rsidR="00FF0AD4" w:rsidRPr="004F43BC">
        <w:rPr>
          <w:rStyle w:val="normaltextrun"/>
        </w:rPr>
        <w:t xml:space="preserve">. </w:t>
      </w:r>
      <w:r w:rsidR="004C3577" w:rsidRPr="004F43BC">
        <w:rPr>
          <w:rStyle w:val="normaltextrun"/>
        </w:rPr>
        <w:t xml:space="preserve">This reversed </w:t>
      </w:r>
      <w:r w:rsidR="0068055F" w:rsidRPr="004F43BC">
        <w:rPr>
          <w:rStyle w:val="normaltextrun"/>
        </w:rPr>
        <w:t xml:space="preserve">productivity gains </w:t>
      </w:r>
      <w:r w:rsidR="00445721" w:rsidRPr="004F43BC">
        <w:rPr>
          <w:rStyle w:val="normaltextrun"/>
        </w:rPr>
        <w:t xml:space="preserve">observed </w:t>
      </w:r>
      <w:r w:rsidR="0068055F" w:rsidRPr="004F43BC">
        <w:rPr>
          <w:rStyle w:val="normaltextrun"/>
        </w:rPr>
        <w:t xml:space="preserve">throughout the </w:t>
      </w:r>
      <w:r w:rsidR="00445721" w:rsidRPr="004F43BC">
        <w:rPr>
          <w:rStyle w:val="normaltextrun"/>
        </w:rPr>
        <w:t xml:space="preserve">earlier stages of the </w:t>
      </w:r>
      <w:r w:rsidR="0068055F" w:rsidRPr="004F43BC">
        <w:rPr>
          <w:rStyle w:val="normaltextrun"/>
        </w:rPr>
        <w:t>COVID-19 pandemic.</w:t>
      </w:r>
    </w:p>
    <w:p w14:paraId="525FCD73" w14:textId="11D28C28" w:rsidR="00006B8B" w:rsidRPr="00462C72" w:rsidRDefault="01D28B3E" w:rsidP="00462C72">
      <w:pPr>
        <w:pStyle w:val="Heading4"/>
        <w:rPr>
          <w:rStyle w:val="normaltextrun"/>
        </w:rPr>
      </w:pPr>
      <w:r w:rsidRPr="00462C72">
        <w:rPr>
          <w:rStyle w:val="normaltextrun"/>
        </w:rPr>
        <w:t>More</w:t>
      </w:r>
      <w:r w:rsidR="00374FB9" w:rsidRPr="00462C72">
        <w:rPr>
          <w:rStyle w:val="normaltextrun"/>
        </w:rPr>
        <w:t xml:space="preserve"> hours worked </w:t>
      </w:r>
      <w:r w:rsidR="5B387727" w:rsidRPr="00462C72">
        <w:rPr>
          <w:rStyle w:val="normaltextrun"/>
        </w:rPr>
        <w:t xml:space="preserve">led to </w:t>
      </w:r>
      <w:r w:rsidR="00374FB9" w:rsidRPr="00462C72">
        <w:rPr>
          <w:rStyle w:val="normaltextrun"/>
        </w:rPr>
        <w:t>fall</w:t>
      </w:r>
      <w:r w:rsidR="06F3664E" w:rsidRPr="00462C72">
        <w:rPr>
          <w:rStyle w:val="normaltextrun"/>
        </w:rPr>
        <w:t>ing</w:t>
      </w:r>
      <w:r w:rsidR="00374FB9" w:rsidRPr="00462C72">
        <w:rPr>
          <w:rStyle w:val="normaltextrun"/>
        </w:rPr>
        <w:t xml:space="preserve"> labour productivity</w:t>
      </w:r>
    </w:p>
    <w:p w14:paraId="2FADED1F" w14:textId="32357417" w:rsidR="00562E53" w:rsidRDefault="00AB5828" w:rsidP="003C0A75">
      <w:pPr>
        <w:pStyle w:val="BodyText"/>
        <w:rPr>
          <w:rStyle w:val="normaltextrun"/>
        </w:rPr>
      </w:pPr>
      <w:r>
        <w:rPr>
          <w:rStyle w:val="normaltextrun"/>
        </w:rPr>
        <w:t xml:space="preserve">Over the </w:t>
      </w:r>
      <w:r w:rsidR="00CD4B19">
        <w:rPr>
          <w:rStyle w:val="normaltextrun"/>
        </w:rPr>
        <w:t>2022</w:t>
      </w:r>
      <w:r w:rsidR="000E27C7">
        <w:rPr>
          <w:rStyle w:val="normaltextrun"/>
        </w:rPr>
        <w:t>-</w:t>
      </w:r>
      <w:r w:rsidR="00CD4B19">
        <w:rPr>
          <w:rStyle w:val="normaltextrun"/>
        </w:rPr>
        <w:t>23 financial year, l</w:t>
      </w:r>
      <w:r w:rsidR="008503D4">
        <w:rPr>
          <w:rStyle w:val="normaltextrun"/>
        </w:rPr>
        <w:t>abour productivity</w:t>
      </w:r>
      <w:r w:rsidR="007A4C6D">
        <w:rPr>
          <w:rStyle w:val="normaltextrun"/>
        </w:rPr>
        <w:t xml:space="preserve"> </w:t>
      </w:r>
      <w:r w:rsidR="00852B6C">
        <w:rPr>
          <w:rStyle w:val="normaltextrun"/>
        </w:rPr>
        <w:t xml:space="preserve">fell </w:t>
      </w:r>
      <w:r w:rsidR="00CC4125">
        <w:rPr>
          <w:rStyle w:val="normaltextrun"/>
        </w:rPr>
        <w:t xml:space="preserve">for </w:t>
      </w:r>
      <w:r w:rsidR="007A4C6D">
        <w:rPr>
          <w:rStyle w:val="normaltextrun"/>
        </w:rPr>
        <w:t xml:space="preserve">the whole economy </w:t>
      </w:r>
      <w:r w:rsidR="007A12D4">
        <w:rPr>
          <w:rStyle w:val="normaltextrun"/>
        </w:rPr>
        <w:t>(</w:t>
      </w:r>
      <w:r w:rsidR="291E527A">
        <w:rPr>
          <w:rStyle w:val="normaltextrun"/>
        </w:rPr>
        <w:t>-</w:t>
      </w:r>
      <w:r w:rsidR="007A12D4">
        <w:rPr>
          <w:rStyle w:val="normaltextrun"/>
        </w:rPr>
        <w:t xml:space="preserve">3.7%) </w:t>
      </w:r>
      <w:r w:rsidR="00852B6C">
        <w:rPr>
          <w:rStyle w:val="normaltextrun"/>
        </w:rPr>
        <w:t>and</w:t>
      </w:r>
      <w:r w:rsidR="00CB3A8F">
        <w:rPr>
          <w:rStyle w:val="normaltextrun"/>
        </w:rPr>
        <w:t xml:space="preserve"> </w:t>
      </w:r>
      <w:r w:rsidR="001E5F8C">
        <w:rPr>
          <w:rStyle w:val="normaltextrun"/>
        </w:rPr>
        <w:t xml:space="preserve">the </w:t>
      </w:r>
      <w:r w:rsidR="007A4C6D">
        <w:rPr>
          <w:rStyle w:val="normaltextrun"/>
        </w:rPr>
        <w:t>market sector</w:t>
      </w:r>
      <w:r w:rsidR="003B4247">
        <w:rPr>
          <w:rStyle w:val="normaltextrun"/>
        </w:rPr>
        <w:t> </w:t>
      </w:r>
      <w:r w:rsidR="3FD8523A">
        <w:rPr>
          <w:rStyle w:val="normaltextrun"/>
        </w:rPr>
        <w:t>(</w:t>
      </w:r>
      <w:r w:rsidR="37EDA9B4">
        <w:rPr>
          <w:rStyle w:val="normaltextrun"/>
        </w:rPr>
        <w:t>-</w:t>
      </w:r>
      <w:r w:rsidR="00AA4E45">
        <w:rPr>
          <w:rStyle w:val="normaltextrun"/>
        </w:rPr>
        <w:t>2.9</w:t>
      </w:r>
      <w:r w:rsidR="3FD8523A">
        <w:rPr>
          <w:rStyle w:val="normaltextrun"/>
        </w:rPr>
        <w:t>%)</w:t>
      </w:r>
      <w:r w:rsidR="658C8460">
        <w:rPr>
          <w:rStyle w:val="normaltextrun"/>
        </w:rPr>
        <w:t>.</w:t>
      </w:r>
      <w:r w:rsidR="00517B5B">
        <w:rPr>
          <w:rStyle w:val="FootnoteReference"/>
        </w:rPr>
        <w:footnoteReference w:id="3"/>
      </w:r>
      <w:r w:rsidR="00B53EF8">
        <w:rPr>
          <w:rStyle w:val="normaltextrun"/>
        </w:rPr>
        <w:t xml:space="preserve"> Thi</w:t>
      </w:r>
      <w:r w:rsidR="00B53EF8" w:rsidRPr="00462C72">
        <w:t xml:space="preserve">s was well below their long-term averages of </w:t>
      </w:r>
      <w:r w:rsidR="00805A0C" w:rsidRPr="00462C72">
        <w:t xml:space="preserve">1.3% and 1.8% </w:t>
      </w:r>
      <w:r w:rsidR="00EF4052" w:rsidRPr="00462C72">
        <w:t xml:space="preserve">respectively </w:t>
      </w:r>
      <w:r w:rsidR="00805A0C" w:rsidRPr="00462C72">
        <w:t>(table 1)</w:t>
      </w:r>
      <w:r w:rsidR="00B34A58" w:rsidRPr="00462C72">
        <w:t xml:space="preserve">. </w:t>
      </w:r>
    </w:p>
    <w:p w14:paraId="3511545A" w14:textId="28C455F2" w:rsidR="006639BE" w:rsidRPr="009F3CEF" w:rsidRDefault="00B34A58" w:rsidP="00613665">
      <w:pPr>
        <w:pStyle w:val="BodyText"/>
        <w:rPr>
          <w:rStyle w:val="normaltextrun"/>
          <w:spacing w:val="-2"/>
        </w:rPr>
      </w:pPr>
      <w:r w:rsidRPr="009F3CEF">
        <w:rPr>
          <w:rStyle w:val="normaltextrun"/>
          <w:spacing w:val="-2"/>
        </w:rPr>
        <w:t xml:space="preserve">The </w:t>
      </w:r>
      <w:r w:rsidR="00FF6C89" w:rsidRPr="009F3CEF">
        <w:rPr>
          <w:rStyle w:val="normaltextrun"/>
          <w:spacing w:val="-2"/>
        </w:rPr>
        <w:t>decrease</w:t>
      </w:r>
      <w:r w:rsidRPr="009F3CEF">
        <w:rPr>
          <w:rStyle w:val="normaltextrun"/>
          <w:spacing w:val="-2"/>
        </w:rPr>
        <w:t xml:space="preserve"> in labour productivity was a result </w:t>
      </w:r>
      <w:r w:rsidR="00485F2F" w:rsidRPr="009F3CEF">
        <w:rPr>
          <w:rStyle w:val="normaltextrun"/>
          <w:spacing w:val="-2"/>
        </w:rPr>
        <w:t>of</w:t>
      </w:r>
      <w:r w:rsidR="000832FB" w:rsidRPr="009F3CEF">
        <w:rPr>
          <w:rStyle w:val="normaltextrun"/>
          <w:spacing w:val="-2"/>
        </w:rPr>
        <w:t xml:space="preserve"> </w:t>
      </w:r>
      <w:r w:rsidR="00EF4052" w:rsidRPr="009F3CEF">
        <w:rPr>
          <w:rStyle w:val="normaltextrun"/>
          <w:spacing w:val="-2"/>
        </w:rPr>
        <w:t xml:space="preserve">large </w:t>
      </w:r>
      <w:r w:rsidR="000832FB" w:rsidRPr="009F3CEF">
        <w:rPr>
          <w:rStyle w:val="normaltextrun"/>
          <w:spacing w:val="-2"/>
        </w:rPr>
        <w:t xml:space="preserve">increases in hours worked for the whole economy and </w:t>
      </w:r>
      <w:r w:rsidR="00105FC7" w:rsidRPr="009F3CEF">
        <w:rPr>
          <w:rStyle w:val="normaltextrun"/>
          <w:spacing w:val="-2"/>
        </w:rPr>
        <w:t>market sector</w:t>
      </w:r>
      <w:r w:rsidR="00C3579F" w:rsidRPr="009F3CEF">
        <w:rPr>
          <w:rStyle w:val="normaltextrun"/>
          <w:spacing w:val="-2"/>
        </w:rPr>
        <w:t xml:space="preserve"> (</w:t>
      </w:r>
      <w:r w:rsidR="27A0F3B5" w:rsidRPr="009F3CEF">
        <w:rPr>
          <w:rStyle w:val="normaltextrun"/>
          <w:spacing w:val="-2"/>
        </w:rPr>
        <w:t xml:space="preserve">both </w:t>
      </w:r>
      <w:r w:rsidR="00966C2B" w:rsidRPr="009F3CEF">
        <w:rPr>
          <w:rStyle w:val="normaltextrun"/>
          <w:spacing w:val="-2"/>
        </w:rPr>
        <w:t>6.9%)</w:t>
      </w:r>
      <w:r w:rsidR="00DC6969" w:rsidRPr="009F3CEF">
        <w:rPr>
          <w:rStyle w:val="normaltextrun"/>
          <w:spacing w:val="-2"/>
        </w:rPr>
        <w:t>. This increase in hours worked</w:t>
      </w:r>
      <w:r w:rsidR="00264C09" w:rsidRPr="009F3CEF">
        <w:rPr>
          <w:rStyle w:val="normaltextrun"/>
          <w:spacing w:val="-2"/>
        </w:rPr>
        <w:t xml:space="preserve"> </w:t>
      </w:r>
      <w:r w:rsidR="00DC6969" w:rsidRPr="009F3CEF">
        <w:rPr>
          <w:rStyle w:val="normaltextrun"/>
          <w:spacing w:val="-2"/>
        </w:rPr>
        <w:t>is unprecedented –</w:t>
      </w:r>
      <w:r w:rsidR="00CB68AE" w:rsidRPr="009F3CEF">
        <w:rPr>
          <w:rStyle w:val="normaltextrun"/>
          <w:spacing w:val="-2"/>
        </w:rPr>
        <w:t xml:space="preserve"> </w:t>
      </w:r>
      <w:r w:rsidR="00BB7777" w:rsidRPr="009F3CEF">
        <w:rPr>
          <w:rStyle w:val="normaltextrun"/>
          <w:spacing w:val="-2"/>
        </w:rPr>
        <w:t>the next highest</w:t>
      </w:r>
      <w:r w:rsidR="00592D40" w:rsidRPr="009F3CEF">
        <w:rPr>
          <w:rStyle w:val="normaltextrun"/>
          <w:spacing w:val="-2"/>
        </w:rPr>
        <w:t xml:space="preserve"> growth </w:t>
      </w:r>
      <w:r w:rsidR="00CB68AE" w:rsidRPr="009F3CEF">
        <w:rPr>
          <w:rStyle w:val="normaltextrun"/>
          <w:spacing w:val="-2"/>
        </w:rPr>
        <w:t xml:space="preserve">rate on record </w:t>
      </w:r>
      <w:r w:rsidR="00ED513F" w:rsidRPr="009F3CEF">
        <w:rPr>
          <w:rStyle w:val="normaltextrun"/>
          <w:spacing w:val="-2"/>
        </w:rPr>
        <w:t>was</w:t>
      </w:r>
      <w:r w:rsidR="00561BA9" w:rsidRPr="009F3CEF">
        <w:rPr>
          <w:rStyle w:val="normaltextrun"/>
          <w:spacing w:val="-2"/>
        </w:rPr>
        <w:t xml:space="preserve"> </w:t>
      </w:r>
      <w:r w:rsidR="00B25D3A" w:rsidRPr="009F3CEF">
        <w:rPr>
          <w:rStyle w:val="normaltextrun"/>
          <w:spacing w:val="-2"/>
        </w:rPr>
        <w:t>4.3%</w:t>
      </w:r>
      <w:r w:rsidR="00561BA9" w:rsidRPr="009F3CEF">
        <w:rPr>
          <w:rStyle w:val="normaltextrun"/>
          <w:spacing w:val="-2"/>
        </w:rPr>
        <w:t xml:space="preserve"> for the whole economy (in 198</w:t>
      </w:r>
      <w:r w:rsidR="00111B26" w:rsidRPr="009F3CEF">
        <w:rPr>
          <w:rStyle w:val="normaltextrun"/>
          <w:spacing w:val="-2"/>
        </w:rPr>
        <w:t>8</w:t>
      </w:r>
      <w:r w:rsidR="0018144D" w:rsidRPr="009F3CEF">
        <w:rPr>
          <w:rStyle w:val="normaltextrun"/>
          <w:spacing w:val="-2"/>
        </w:rPr>
        <w:t>-89</w:t>
      </w:r>
      <w:r w:rsidR="00561BA9" w:rsidRPr="009F3CEF">
        <w:rPr>
          <w:rStyle w:val="normaltextrun"/>
          <w:spacing w:val="-2"/>
        </w:rPr>
        <w:t>)</w:t>
      </w:r>
      <w:r w:rsidR="00111B26" w:rsidRPr="009F3CEF">
        <w:rPr>
          <w:rStyle w:val="normaltextrun"/>
          <w:spacing w:val="-2"/>
        </w:rPr>
        <w:t xml:space="preserve">, and </w:t>
      </w:r>
      <w:r w:rsidR="00817750" w:rsidRPr="009F3CEF">
        <w:rPr>
          <w:rStyle w:val="normaltextrun"/>
          <w:spacing w:val="-2"/>
        </w:rPr>
        <w:t xml:space="preserve">3.8% for the market </w:t>
      </w:r>
      <w:r w:rsidR="0014626A" w:rsidRPr="009F3CEF">
        <w:rPr>
          <w:rStyle w:val="normaltextrun"/>
          <w:spacing w:val="-2"/>
        </w:rPr>
        <w:t>sector</w:t>
      </w:r>
      <w:r w:rsidR="00817750" w:rsidRPr="009F3CEF">
        <w:rPr>
          <w:rStyle w:val="normaltextrun"/>
          <w:spacing w:val="-2"/>
        </w:rPr>
        <w:t xml:space="preserve"> (in </w:t>
      </w:r>
      <w:r w:rsidR="002F0C1E" w:rsidRPr="009F3CEF">
        <w:rPr>
          <w:rStyle w:val="normaltextrun"/>
          <w:spacing w:val="-2"/>
        </w:rPr>
        <w:t>1999-</w:t>
      </w:r>
      <w:r w:rsidR="00817750" w:rsidRPr="009F3CEF">
        <w:rPr>
          <w:rStyle w:val="normaltextrun"/>
          <w:spacing w:val="-2"/>
        </w:rPr>
        <w:t>2000</w:t>
      </w:r>
      <w:r w:rsidR="00966C2B" w:rsidRPr="009F3CEF">
        <w:rPr>
          <w:rStyle w:val="normaltextrun"/>
          <w:spacing w:val="-2"/>
        </w:rPr>
        <w:t>).</w:t>
      </w:r>
      <w:r w:rsidR="00900720" w:rsidRPr="009F3CEF">
        <w:rPr>
          <w:rStyle w:val="normaltextrun"/>
          <w:spacing w:val="-2"/>
        </w:rPr>
        <w:t xml:space="preserve"> </w:t>
      </w:r>
      <w:r w:rsidR="000B585C" w:rsidRPr="009F3CEF">
        <w:rPr>
          <w:rStyle w:val="normaltextrun"/>
          <w:spacing w:val="-2"/>
        </w:rPr>
        <w:t xml:space="preserve">The growth in hours worked </w:t>
      </w:r>
      <w:r w:rsidR="00966C2B" w:rsidRPr="009F3CEF">
        <w:rPr>
          <w:rStyle w:val="normaltextrun"/>
          <w:spacing w:val="-2"/>
        </w:rPr>
        <w:t>outpaced</w:t>
      </w:r>
      <w:r w:rsidR="00664859" w:rsidRPr="009F3CEF">
        <w:rPr>
          <w:rStyle w:val="normaltextrun"/>
          <w:spacing w:val="-2"/>
        </w:rPr>
        <w:t xml:space="preserve"> growth in</w:t>
      </w:r>
      <w:r w:rsidR="00966C2B" w:rsidRPr="009F3CEF">
        <w:rPr>
          <w:rStyle w:val="normaltextrun"/>
          <w:spacing w:val="-2"/>
        </w:rPr>
        <w:t xml:space="preserve"> output </w:t>
      </w:r>
      <w:r w:rsidR="65FDBFB2" w:rsidRPr="009F3CEF">
        <w:rPr>
          <w:rStyle w:val="normaltextrun"/>
          <w:spacing w:val="-2"/>
        </w:rPr>
        <w:t xml:space="preserve">for the </w:t>
      </w:r>
      <w:r w:rsidR="005548B5" w:rsidRPr="009F3CEF">
        <w:rPr>
          <w:rStyle w:val="normaltextrun"/>
          <w:spacing w:val="-2"/>
        </w:rPr>
        <w:t xml:space="preserve">whole </w:t>
      </w:r>
      <w:r w:rsidR="65FDBFB2" w:rsidRPr="009F3CEF">
        <w:rPr>
          <w:rStyle w:val="normaltextrun"/>
          <w:spacing w:val="-2"/>
        </w:rPr>
        <w:t xml:space="preserve">economy </w:t>
      </w:r>
      <w:r w:rsidR="00BE761F" w:rsidRPr="009F3CEF">
        <w:rPr>
          <w:rStyle w:val="normaltextrun"/>
          <w:spacing w:val="-2"/>
        </w:rPr>
        <w:t xml:space="preserve">(3%) </w:t>
      </w:r>
      <w:r w:rsidR="00966C2B" w:rsidRPr="009F3CEF">
        <w:rPr>
          <w:rStyle w:val="normaltextrun"/>
          <w:spacing w:val="-2"/>
        </w:rPr>
        <w:t xml:space="preserve">and </w:t>
      </w:r>
      <w:r w:rsidR="00ED513F" w:rsidRPr="009F3CEF">
        <w:rPr>
          <w:rStyle w:val="normaltextrun"/>
          <w:spacing w:val="-2"/>
        </w:rPr>
        <w:t xml:space="preserve">the </w:t>
      </w:r>
      <w:r w:rsidR="113C4CF5" w:rsidRPr="009F3CEF">
        <w:rPr>
          <w:rStyle w:val="normaltextrun"/>
          <w:spacing w:val="-2"/>
        </w:rPr>
        <w:t>market sector</w:t>
      </w:r>
      <w:r w:rsidR="0088073F" w:rsidRPr="009F3CEF">
        <w:rPr>
          <w:rStyle w:val="normaltextrun"/>
          <w:spacing w:val="-2"/>
        </w:rPr>
        <w:t> </w:t>
      </w:r>
      <w:r w:rsidR="00A81EB0" w:rsidRPr="009F3CEF">
        <w:rPr>
          <w:rStyle w:val="normaltextrun"/>
          <w:spacing w:val="-2"/>
        </w:rPr>
        <w:t>(3.8%)</w:t>
      </w:r>
      <w:r w:rsidR="00966C2B" w:rsidRPr="009F3CEF">
        <w:rPr>
          <w:rStyle w:val="normaltextrun"/>
          <w:spacing w:val="-2"/>
        </w:rPr>
        <w:t>.</w:t>
      </w:r>
    </w:p>
    <w:p w14:paraId="54F0C12E" w14:textId="77777777" w:rsidR="00150DF2" w:rsidRDefault="00150DF2" w:rsidP="002F370B">
      <w:pPr>
        <w:pStyle w:val="FigureTableHeading"/>
        <w:spacing w:after="0"/>
        <w:rPr>
          <w:vertAlign w:val="superscript"/>
        </w:rPr>
      </w:pPr>
      <w:r>
        <w:t>Table 1</w:t>
      </w:r>
      <w:r>
        <w:rPr>
          <w:noProof/>
        </w:rPr>
        <w:t xml:space="preserve"> </w:t>
      </w:r>
      <w:r w:rsidRPr="4E466971">
        <w:rPr>
          <w:noProof/>
        </w:rPr>
        <w:t xml:space="preserve">– </w:t>
      </w:r>
      <w:r>
        <w:t xml:space="preserve">Aggregate productivity </w:t>
      </w:r>
      <w:proofErr w:type="spellStart"/>
      <w:proofErr w:type="gramStart"/>
      <w:r>
        <w:t>statistics</w:t>
      </w:r>
      <w:r w:rsidRPr="4E466971">
        <w:rPr>
          <w:vertAlign w:val="superscript"/>
        </w:rPr>
        <w:t>a,b</w:t>
      </w:r>
      <w:proofErr w:type="spellEnd"/>
      <w:proofErr w:type="gramEnd"/>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977"/>
        <w:gridCol w:w="1134"/>
        <w:gridCol w:w="1134"/>
        <w:gridCol w:w="2126"/>
        <w:gridCol w:w="2268"/>
      </w:tblGrid>
      <w:tr w:rsidR="00150DF2" w:rsidRPr="00030C67" w14:paraId="6FAA5D3C" w14:textId="77777777">
        <w:trPr>
          <w:tblHeader/>
        </w:trPr>
        <w:tc>
          <w:tcPr>
            <w:tcW w:w="2977" w:type="dxa"/>
            <w:vMerge w:val="restart"/>
            <w:tcBorders>
              <w:bottom w:val="nil"/>
            </w:tcBorders>
            <w:shd w:val="clear" w:color="auto" w:fill="auto"/>
            <w:vAlign w:val="bottom"/>
          </w:tcPr>
          <w:p w14:paraId="332FF0C1" w14:textId="77777777" w:rsidR="00150DF2" w:rsidRPr="00030C67" w:rsidRDefault="00150DF2">
            <w:pPr>
              <w:spacing w:before="45" w:after="45"/>
              <w:ind w:right="108"/>
              <w:rPr>
                <w:rFonts w:ascii="Arial (Body)" w:hAnsi="Arial (Body)"/>
                <w:color w:val="265A9A"/>
              </w:rPr>
            </w:pPr>
          </w:p>
        </w:tc>
        <w:tc>
          <w:tcPr>
            <w:tcW w:w="2268" w:type="dxa"/>
            <w:gridSpan w:val="2"/>
            <w:tcBorders>
              <w:bottom w:val="nil"/>
            </w:tcBorders>
            <w:shd w:val="clear" w:color="auto" w:fill="auto"/>
            <w:vAlign w:val="bottom"/>
          </w:tcPr>
          <w:p w14:paraId="5133FD4B" w14:textId="77777777" w:rsidR="00150DF2" w:rsidRPr="00030C67" w:rsidRDefault="00150DF2" w:rsidP="002F370B">
            <w:pPr>
              <w:pStyle w:val="TableHeading"/>
              <w:ind w:right="57"/>
              <w:jc w:val="right"/>
            </w:pPr>
            <w:r>
              <w:t>Latest years</w:t>
            </w:r>
          </w:p>
        </w:tc>
        <w:tc>
          <w:tcPr>
            <w:tcW w:w="2126" w:type="dxa"/>
            <w:tcBorders>
              <w:bottom w:val="nil"/>
            </w:tcBorders>
            <w:shd w:val="clear" w:color="auto" w:fill="auto"/>
            <w:vAlign w:val="bottom"/>
          </w:tcPr>
          <w:p w14:paraId="528916A3" w14:textId="77777777" w:rsidR="00150DF2" w:rsidRPr="00030C67" w:rsidRDefault="00150DF2" w:rsidP="002F370B">
            <w:pPr>
              <w:pStyle w:val="TableHeading"/>
              <w:ind w:right="57"/>
              <w:jc w:val="right"/>
            </w:pPr>
            <w:r>
              <w:t>Most recent five years</w:t>
            </w:r>
          </w:p>
        </w:tc>
        <w:tc>
          <w:tcPr>
            <w:tcW w:w="2268" w:type="dxa"/>
            <w:tcBorders>
              <w:bottom w:val="nil"/>
            </w:tcBorders>
            <w:shd w:val="clear" w:color="auto" w:fill="auto"/>
            <w:vAlign w:val="bottom"/>
          </w:tcPr>
          <w:p w14:paraId="703656BC" w14:textId="77777777" w:rsidR="00150DF2" w:rsidRPr="00030C67" w:rsidRDefault="00150DF2" w:rsidP="009F3CEF">
            <w:pPr>
              <w:pStyle w:val="TableHeading"/>
              <w:ind w:right="57"/>
              <w:jc w:val="right"/>
            </w:pPr>
            <w:r>
              <w:t>Long-term growth rate</w:t>
            </w:r>
          </w:p>
        </w:tc>
      </w:tr>
      <w:tr w:rsidR="00150DF2" w:rsidRPr="00030C67" w14:paraId="5FE040CA" w14:textId="77777777">
        <w:trPr>
          <w:tblHeader/>
        </w:trPr>
        <w:tc>
          <w:tcPr>
            <w:tcW w:w="2977" w:type="dxa"/>
            <w:vMerge/>
            <w:tcBorders>
              <w:top w:val="single" w:sz="4" w:space="0" w:color="BFBFBF" w:themeColor="background1" w:themeShade="BF"/>
              <w:bottom w:val="nil"/>
            </w:tcBorders>
            <w:vAlign w:val="bottom"/>
          </w:tcPr>
          <w:p w14:paraId="75C7B936" w14:textId="77777777" w:rsidR="00150DF2" w:rsidRPr="00030C67" w:rsidRDefault="00150DF2">
            <w:pPr>
              <w:spacing w:before="45" w:after="45"/>
              <w:ind w:right="108"/>
              <w:rPr>
                <w:rFonts w:ascii="Arial (Body)" w:hAnsi="Arial (Body)"/>
                <w:color w:val="265A9A"/>
              </w:rPr>
            </w:pPr>
          </w:p>
        </w:tc>
        <w:tc>
          <w:tcPr>
            <w:tcW w:w="1134" w:type="dxa"/>
            <w:tcBorders>
              <w:bottom w:val="nil"/>
            </w:tcBorders>
            <w:shd w:val="clear" w:color="auto" w:fill="auto"/>
            <w:vAlign w:val="bottom"/>
          </w:tcPr>
          <w:p w14:paraId="0A19348C" w14:textId="07604138" w:rsidR="00150DF2" w:rsidRDefault="00150DF2">
            <w:pPr>
              <w:pStyle w:val="TableHeading"/>
              <w:ind w:right="57"/>
              <w:jc w:val="right"/>
            </w:pPr>
            <w:r>
              <w:t>202</w:t>
            </w:r>
            <w:r w:rsidR="00EA2170">
              <w:t>2</w:t>
            </w:r>
            <w:r>
              <w:t>-2</w:t>
            </w:r>
            <w:r w:rsidR="00EA2170">
              <w:t>3</w:t>
            </w:r>
          </w:p>
        </w:tc>
        <w:tc>
          <w:tcPr>
            <w:tcW w:w="1134" w:type="dxa"/>
            <w:tcBorders>
              <w:bottom w:val="nil"/>
            </w:tcBorders>
            <w:shd w:val="clear" w:color="auto" w:fill="auto"/>
            <w:vAlign w:val="bottom"/>
          </w:tcPr>
          <w:p w14:paraId="04018FF1" w14:textId="61A5F421" w:rsidR="00150DF2" w:rsidRDefault="00150DF2">
            <w:pPr>
              <w:pStyle w:val="TableHeading"/>
              <w:ind w:right="57"/>
              <w:jc w:val="right"/>
            </w:pPr>
            <w:r>
              <w:t>202</w:t>
            </w:r>
            <w:r w:rsidR="00EA2170">
              <w:t>1</w:t>
            </w:r>
            <w:r>
              <w:t>-2</w:t>
            </w:r>
            <w:r w:rsidR="00EA2170">
              <w:t>2</w:t>
            </w:r>
          </w:p>
        </w:tc>
        <w:tc>
          <w:tcPr>
            <w:tcW w:w="2126" w:type="dxa"/>
            <w:tcBorders>
              <w:bottom w:val="nil"/>
            </w:tcBorders>
            <w:shd w:val="clear" w:color="auto" w:fill="auto"/>
            <w:vAlign w:val="bottom"/>
          </w:tcPr>
          <w:p w14:paraId="4AFBC30D" w14:textId="726BE500" w:rsidR="00150DF2" w:rsidRDefault="00150DF2">
            <w:pPr>
              <w:pStyle w:val="TableHeading"/>
              <w:ind w:right="57"/>
              <w:jc w:val="right"/>
            </w:pPr>
            <w:r>
              <w:t>201</w:t>
            </w:r>
            <w:r w:rsidR="00EA2170">
              <w:t>8</w:t>
            </w:r>
            <w:r>
              <w:t>-1</w:t>
            </w:r>
            <w:r w:rsidR="00EA2170">
              <w:t>9</w:t>
            </w:r>
            <w:r>
              <w:t xml:space="preserve"> to 202</w:t>
            </w:r>
            <w:r w:rsidR="00EA2170">
              <w:t>2</w:t>
            </w:r>
            <w:r>
              <w:t>-2</w:t>
            </w:r>
            <w:r w:rsidR="00EA2170">
              <w:t>3</w:t>
            </w:r>
          </w:p>
        </w:tc>
        <w:tc>
          <w:tcPr>
            <w:tcW w:w="2268" w:type="dxa"/>
            <w:tcBorders>
              <w:bottom w:val="nil"/>
            </w:tcBorders>
            <w:shd w:val="clear" w:color="auto" w:fill="auto"/>
            <w:vAlign w:val="bottom"/>
          </w:tcPr>
          <w:p w14:paraId="3776B3E6" w14:textId="7037F314" w:rsidR="00150DF2" w:rsidRDefault="00150DF2">
            <w:pPr>
              <w:pStyle w:val="TableHeading"/>
              <w:ind w:right="57"/>
              <w:jc w:val="right"/>
            </w:pPr>
            <w:r>
              <w:t>1994-95 to 202</w:t>
            </w:r>
            <w:r w:rsidR="00EA2170">
              <w:t>2</w:t>
            </w:r>
            <w:r>
              <w:t>-2</w:t>
            </w:r>
            <w:r w:rsidR="00EA2170">
              <w:t>3</w:t>
            </w:r>
          </w:p>
        </w:tc>
      </w:tr>
      <w:tr w:rsidR="00150DF2" w:rsidRPr="00AB6D01" w14:paraId="34C4CA59" w14:textId="77777777">
        <w:trPr>
          <w:tblHeader/>
        </w:trPr>
        <w:tc>
          <w:tcPr>
            <w:tcW w:w="2977" w:type="dxa"/>
            <w:tcBorders>
              <w:top w:val="nil"/>
              <w:bottom w:val="single" w:sz="4" w:space="0" w:color="B3B3B3"/>
            </w:tcBorders>
            <w:shd w:val="clear" w:color="auto" w:fill="auto"/>
          </w:tcPr>
          <w:p w14:paraId="3922751A" w14:textId="77777777" w:rsidR="00150DF2" w:rsidRPr="00AB6D01" w:rsidRDefault="00150DF2">
            <w:pPr>
              <w:pStyle w:val="TableBody"/>
              <w:rPr>
                <w:b/>
                <w:bCs/>
                <w:color w:val="265A9A" w:themeColor="background2"/>
              </w:rPr>
            </w:pPr>
          </w:p>
        </w:tc>
        <w:tc>
          <w:tcPr>
            <w:tcW w:w="1134" w:type="dxa"/>
            <w:tcBorders>
              <w:top w:val="nil"/>
              <w:bottom w:val="single" w:sz="4" w:space="0" w:color="B3B3B3"/>
            </w:tcBorders>
            <w:shd w:val="clear" w:color="auto" w:fill="auto"/>
          </w:tcPr>
          <w:p w14:paraId="79F3399D" w14:textId="77777777" w:rsidR="00150DF2" w:rsidRPr="00AB6D01" w:rsidRDefault="00150DF2">
            <w:pPr>
              <w:pStyle w:val="TableBody"/>
              <w:ind w:right="57"/>
              <w:jc w:val="right"/>
              <w:rPr>
                <w:b/>
                <w:bCs/>
                <w:color w:val="265A9A" w:themeColor="background2"/>
              </w:rPr>
            </w:pPr>
            <w:r w:rsidRPr="00AB6D01">
              <w:rPr>
                <w:b/>
                <w:bCs/>
                <w:color w:val="265A9A" w:themeColor="background2"/>
              </w:rPr>
              <w:t>%</w:t>
            </w:r>
          </w:p>
        </w:tc>
        <w:tc>
          <w:tcPr>
            <w:tcW w:w="1134" w:type="dxa"/>
            <w:tcBorders>
              <w:top w:val="nil"/>
              <w:bottom w:val="single" w:sz="4" w:space="0" w:color="B3B3B3"/>
            </w:tcBorders>
            <w:shd w:val="clear" w:color="auto" w:fill="auto"/>
          </w:tcPr>
          <w:p w14:paraId="02F62DB5" w14:textId="77777777" w:rsidR="00150DF2" w:rsidRPr="00AB6D01" w:rsidRDefault="00150DF2">
            <w:pPr>
              <w:pStyle w:val="TableBody"/>
              <w:ind w:right="57"/>
              <w:jc w:val="right"/>
              <w:rPr>
                <w:b/>
                <w:bCs/>
                <w:color w:val="265A9A" w:themeColor="background2"/>
              </w:rPr>
            </w:pPr>
            <w:r w:rsidRPr="00AB6D01">
              <w:rPr>
                <w:b/>
                <w:bCs/>
                <w:color w:val="265A9A" w:themeColor="background2"/>
              </w:rPr>
              <w:t>%</w:t>
            </w:r>
          </w:p>
        </w:tc>
        <w:tc>
          <w:tcPr>
            <w:tcW w:w="2126" w:type="dxa"/>
            <w:tcBorders>
              <w:top w:val="nil"/>
              <w:bottom w:val="single" w:sz="4" w:space="0" w:color="B3B3B3"/>
            </w:tcBorders>
            <w:shd w:val="clear" w:color="auto" w:fill="auto"/>
          </w:tcPr>
          <w:p w14:paraId="39441AFF" w14:textId="77777777" w:rsidR="00150DF2" w:rsidRPr="00AB6D01" w:rsidRDefault="00150DF2">
            <w:pPr>
              <w:pStyle w:val="TableBody"/>
              <w:ind w:right="57"/>
              <w:jc w:val="right"/>
              <w:rPr>
                <w:b/>
                <w:bCs/>
                <w:color w:val="265A9A" w:themeColor="background2"/>
              </w:rPr>
            </w:pPr>
            <w:r w:rsidRPr="00AB6D01">
              <w:rPr>
                <w:b/>
                <w:bCs/>
                <w:color w:val="265A9A" w:themeColor="background2"/>
              </w:rPr>
              <w:t>%</w:t>
            </w:r>
          </w:p>
        </w:tc>
        <w:tc>
          <w:tcPr>
            <w:tcW w:w="2268" w:type="dxa"/>
            <w:tcBorders>
              <w:top w:val="nil"/>
              <w:bottom w:val="single" w:sz="4" w:space="0" w:color="B3B3B3"/>
            </w:tcBorders>
            <w:shd w:val="clear" w:color="auto" w:fill="auto"/>
          </w:tcPr>
          <w:p w14:paraId="04CC82DB" w14:textId="77777777" w:rsidR="00150DF2" w:rsidRPr="00AB6D01" w:rsidRDefault="00150DF2">
            <w:pPr>
              <w:pStyle w:val="TableBody"/>
              <w:ind w:right="57"/>
              <w:jc w:val="right"/>
              <w:rPr>
                <w:b/>
                <w:bCs/>
                <w:color w:val="265A9A" w:themeColor="background2"/>
              </w:rPr>
            </w:pPr>
            <w:r w:rsidRPr="00AB6D01">
              <w:rPr>
                <w:b/>
                <w:bCs/>
                <w:color w:val="265A9A" w:themeColor="background2"/>
              </w:rPr>
              <w:t>%</w:t>
            </w:r>
          </w:p>
        </w:tc>
      </w:tr>
      <w:tr w:rsidR="00150DF2" w:rsidRPr="00AB6D01" w14:paraId="332B5773" w14:textId="77777777">
        <w:tc>
          <w:tcPr>
            <w:tcW w:w="2977" w:type="dxa"/>
            <w:tcBorders>
              <w:top w:val="single" w:sz="4" w:space="0" w:color="B3B3B3"/>
              <w:bottom w:val="nil"/>
            </w:tcBorders>
            <w:shd w:val="clear" w:color="auto" w:fill="E0F1F7" w:themeFill="text2" w:themeFillTint="33"/>
          </w:tcPr>
          <w:p w14:paraId="7C939A69" w14:textId="77777777" w:rsidR="00150DF2" w:rsidRPr="00AB6D01" w:rsidRDefault="00150DF2" w:rsidP="002C6024">
            <w:pPr>
              <w:pStyle w:val="TableBody"/>
              <w:spacing w:line="260" w:lineRule="atLeast"/>
              <w:rPr>
                <w:b/>
                <w:bCs/>
                <w:color w:val="265A9A" w:themeColor="background2"/>
              </w:rPr>
            </w:pPr>
            <w:r w:rsidRPr="00AB6D01">
              <w:rPr>
                <w:b/>
                <w:bCs/>
                <w:color w:val="265A9A" w:themeColor="background2"/>
              </w:rPr>
              <w:t xml:space="preserve">Whole </w:t>
            </w:r>
            <w:r>
              <w:rPr>
                <w:b/>
                <w:bCs/>
                <w:color w:val="265A9A" w:themeColor="background2"/>
              </w:rPr>
              <w:t>e</w:t>
            </w:r>
            <w:r w:rsidRPr="00AB6D01">
              <w:rPr>
                <w:b/>
                <w:bCs/>
                <w:color w:val="265A9A" w:themeColor="background2"/>
              </w:rPr>
              <w:t>conomy</w:t>
            </w:r>
          </w:p>
        </w:tc>
        <w:tc>
          <w:tcPr>
            <w:tcW w:w="1134" w:type="dxa"/>
            <w:tcBorders>
              <w:top w:val="single" w:sz="4" w:space="0" w:color="B3B3B3"/>
              <w:bottom w:val="nil"/>
            </w:tcBorders>
            <w:shd w:val="clear" w:color="auto" w:fill="E0F1F7" w:themeFill="text2" w:themeFillTint="33"/>
          </w:tcPr>
          <w:p w14:paraId="4597A56E" w14:textId="77777777" w:rsidR="00150DF2" w:rsidRPr="00AB6D01" w:rsidRDefault="00150DF2" w:rsidP="002C6024">
            <w:pPr>
              <w:pStyle w:val="TableBody"/>
              <w:spacing w:line="260" w:lineRule="atLeast"/>
              <w:ind w:right="57"/>
              <w:jc w:val="right"/>
              <w:rPr>
                <w:b/>
                <w:bCs/>
              </w:rPr>
            </w:pPr>
          </w:p>
        </w:tc>
        <w:tc>
          <w:tcPr>
            <w:tcW w:w="1134" w:type="dxa"/>
            <w:tcBorders>
              <w:top w:val="single" w:sz="4" w:space="0" w:color="B3B3B3"/>
              <w:bottom w:val="nil"/>
            </w:tcBorders>
            <w:shd w:val="clear" w:color="auto" w:fill="E0F1F7" w:themeFill="text2" w:themeFillTint="33"/>
          </w:tcPr>
          <w:p w14:paraId="65B24D64" w14:textId="77777777" w:rsidR="00150DF2" w:rsidRPr="00AB6D01" w:rsidRDefault="00150DF2" w:rsidP="002C6024">
            <w:pPr>
              <w:pStyle w:val="TableBody"/>
              <w:spacing w:line="260" w:lineRule="atLeast"/>
              <w:ind w:right="57"/>
              <w:jc w:val="right"/>
              <w:rPr>
                <w:b/>
                <w:bCs/>
              </w:rPr>
            </w:pPr>
          </w:p>
        </w:tc>
        <w:tc>
          <w:tcPr>
            <w:tcW w:w="2126" w:type="dxa"/>
            <w:tcBorders>
              <w:top w:val="single" w:sz="4" w:space="0" w:color="B3B3B3"/>
              <w:bottom w:val="nil"/>
            </w:tcBorders>
            <w:shd w:val="clear" w:color="auto" w:fill="E0F1F7" w:themeFill="text2" w:themeFillTint="33"/>
          </w:tcPr>
          <w:p w14:paraId="044FECC5" w14:textId="77777777" w:rsidR="00150DF2" w:rsidRPr="00AB6D01" w:rsidRDefault="00150DF2" w:rsidP="002C6024">
            <w:pPr>
              <w:pStyle w:val="TableBody"/>
              <w:spacing w:line="260" w:lineRule="atLeast"/>
              <w:ind w:right="57"/>
              <w:jc w:val="right"/>
              <w:rPr>
                <w:b/>
                <w:bCs/>
              </w:rPr>
            </w:pPr>
          </w:p>
        </w:tc>
        <w:tc>
          <w:tcPr>
            <w:tcW w:w="2268" w:type="dxa"/>
            <w:tcBorders>
              <w:top w:val="single" w:sz="4" w:space="0" w:color="B3B3B3"/>
              <w:bottom w:val="nil"/>
            </w:tcBorders>
            <w:shd w:val="clear" w:color="auto" w:fill="E0F1F7" w:themeFill="text2" w:themeFillTint="33"/>
          </w:tcPr>
          <w:p w14:paraId="093AE336" w14:textId="77777777" w:rsidR="00150DF2" w:rsidRPr="00AB6D01" w:rsidRDefault="00150DF2" w:rsidP="002C6024">
            <w:pPr>
              <w:pStyle w:val="TableBody"/>
              <w:spacing w:line="260" w:lineRule="atLeast"/>
              <w:ind w:right="57"/>
              <w:jc w:val="right"/>
              <w:rPr>
                <w:b/>
                <w:bCs/>
              </w:rPr>
            </w:pPr>
          </w:p>
        </w:tc>
      </w:tr>
      <w:tr w:rsidR="00150DF2" w:rsidRPr="00030C67" w14:paraId="3B985280" w14:textId="77777777">
        <w:tc>
          <w:tcPr>
            <w:tcW w:w="2977" w:type="dxa"/>
            <w:tcBorders>
              <w:top w:val="nil"/>
              <w:bottom w:val="nil"/>
            </w:tcBorders>
            <w:shd w:val="clear" w:color="auto" w:fill="FFFFFF" w:themeFill="background1"/>
          </w:tcPr>
          <w:p w14:paraId="20C69F89" w14:textId="77777777" w:rsidR="00150DF2" w:rsidRPr="001E0201" w:rsidRDefault="00150DF2" w:rsidP="002C6024">
            <w:pPr>
              <w:pStyle w:val="TableBody"/>
              <w:spacing w:line="260" w:lineRule="atLeast"/>
            </w:pPr>
            <w:r w:rsidRPr="001E0201">
              <w:t>Output (real GDP)</w:t>
            </w:r>
          </w:p>
        </w:tc>
        <w:tc>
          <w:tcPr>
            <w:tcW w:w="1134" w:type="dxa"/>
            <w:tcBorders>
              <w:top w:val="nil"/>
              <w:bottom w:val="nil"/>
            </w:tcBorders>
            <w:shd w:val="clear" w:color="auto" w:fill="FFFFFF" w:themeFill="background1"/>
          </w:tcPr>
          <w:p w14:paraId="7EE30C8E" w14:textId="5E71F35F" w:rsidR="00150DF2" w:rsidRPr="00FB089B" w:rsidRDefault="00150DF2" w:rsidP="002C6024">
            <w:pPr>
              <w:pStyle w:val="TableBody"/>
              <w:spacing w:line="260" w:lineRule="atLeast"/>
              <w:ind w:right="57"/>
              <w:jc w:val="right"/>
            </w:pPr>
            <w:r w:rsidRPr="00FB089B">
              <w:t>3.</w:t>
            </w:r>
            <w:r w:rsidR="007B0642" w:rsidRPr="00FB089B">
              <w:t>0</w:t>
            </w:r>
          </w:p>
        </w:tc>
        <w:tc>
          <w:tcPr>
            <w:tcW w:w="1134" w:type="dxa"/>
            <w:tcBorders>
              <w:top w:val="nil"/>
              <w:bottom w:val="nil"/>
            </w:tcBorders>
            <w:shd w:val="clear" w:color="auto" w:fill="FFFFFF" w:themeFill="background1"/>
          </w:tcPr>
          <w:p w14:paraId="67658FDB" w14:textId="7D71B5BA" w:rsidR="00150DF2" w:rsidRPr="00FB089B" w:rsidRDefault="00EA2170" w:rsidP="002C6024">
            <w:pPr>
              <w:pStyle w:val="TableBody"/>
              <w:spacing w:line="260" w:lineRule="atLeast"/>
              <w:ind w:right="57"/>
              <w:jc w:val="right"/>
            </w:pPr>
            <w:r w:rsidRPr="00FB089B">
              <w:t>4.3</w:t>
            </w:r>
          </w:p>
        </w:tc>
        <w:tc>
          <w:tcPr>
            <w:tcW w:w="2126" w:type="dxa"/>
            <w:tcBorders>
              <w:top w:val="nil"/>
              <w:bottom w:val="nil"/>
            </w:tcBorders>
            <w:shd w:val="clear" w:color="auto" w:fill="FFFFFF" w:themeFill="background1"/>
          </w:tcPr>
          <w:p w14:paraId="3E4CB088" w14:textId="55E0D472" w:rsidR="00150DF2" w:rsidRPr="00FB089B" w:rsidRDefault="00150DF2" w:rsidP="002C6024">
            <w:pPr>
              <w:pStyle w:val="TableBody"/>
              <w:spacing w:line="260" w:lineRule="atLeast"/>
              <w:ind w:right="57"/>
              <w:jc w:val="right"/>
            </w:pPr>
            <w:r w:rsidRPr="00FB089B">
              <w:t>2.</w:t>
            </w:r>
            <w:r w:rsidR="008C01F9" w:rsidRPr="00FB089B">
              <w:t>3</w:t>
            </w:r>
          </w:p>
        </w:tc>
        <w:tc>
          <w:tcPr>
            <w:tcW w:w="2268" w:type="dxa"/>
            <w:tcBorders>
              <w:top w:val="nil"/>
              <w:bottom w:val="nil"/>
            </w:tcBorders>
            <w:shd w:val="clear" w:color="auto" w:fill="FFFFFF" w:themeFill="background1"/>
          </w:tcPr>
          <w:p w14:paraId="1F1D216F" w14:textId="77777777" w:rsidR="00150DF2" w:rsidRPr="00FB089B" w:rsidRDefault="00150DF2" w:rsidP="002C6024">
            <w:pPr>
              <w:pStyle w:val="TableBody"/>
              <w:spacing w:line="260" w:lineRule="atLeast"/>
              <w:ind w:right="57"/>
              <w:jc w:val="right"/>
            </w:pPr>
            <w:r w:rsidRPr="00FB089B">
              <w:t>3.1</w:t>
            </w:r>
          </w:p>
        </w:tc>
      </w:tr>
      <w:tr w:rsidR="00150DF2" w:rsidRPr="00030C67" w14:paraId="3527ADCC" w14:textId="77777777">
        <w:tc>
          <w:tcPr>
            <w:tcW w:w="2977" w:type="dxa"/>
            <w:tcBorders>
              <w:top w:val="nil"/>
              <w:bottom w:val="nil"/>
            </w:tcBorders>
            <w:shd w:val="clear" w:color="auto" w:fill="FFFFFF" w:themeFill="background1"/>
          </w:tcPr>
          <w:p w14:paraId="5DA1D4A9" w14:textId="77777777" w:rsidR="00150DF2" w:rsidRPr="001E0201" w:rsidRDefault="00150DF2" w:rsidP="002C6024">
            <w:pPr>
              <w:pStyle w:val="TableBody"/>
              <w:spacing w:line="260" w:lineRule="atLeast"/>
            </w:pPr>
            <w:r w:rsidRPr="001E0201">
              <w:t>GDP per capita</w:t>
            </w:r>
          </w:p>
        </w:tc>
        <w:tc>
          <w:tcPr>
            <w:tcW w:w="1134" w:type="dxa"/>
            <w:tcBorders>
              <w:top w:val="nil"/>
              <w:bottom w:val="nil"/>
            </w:tcBorders>
            <w:shd w:val="clear" w:color="auto" w:fill="FFFFFF" w:themeFill="background1"/>
          </w:tcPr>
          <w:p w14:paraId="24684145" w14:textId="19D91CB1" w:rsidR="00150DF2" w:rsidRPr="00FB089B" w:rsidRDefault="00EE24BC" w:rsidP="002C6024">
            <w:pPr>
              <w:pStyle w:val="TableBody"/>
              <w:spacing w:line="260" w:lineRule="atLeast"/>
              <w:ind w:right="57"/>
              <w:jc w:val="right"/>
            </w:pPr>
            <w:r w:rsidRPr="00FB089B">
              <w:t>1.0</w:t>
            </w:r>
          </w:p>
        </w:tc>
        <w:tc>
          <w:tcPr>
            <w:tcW w:w="1134" w:type="dxa"/>
            <w:tcBorders>
              <w:top w:val="nil"/>
              <w:bottom w:val="nil"/>
            </w:tcBorders>
            <w:shd w:val="clear" w:color="auto" w:fill="FFFFFF" w:themeFill="background1"/>
          </w:tcPr>
          <w:p w14:paraId="4E9CC0CB" w14:textId="39C1D098" w:rsidR="00150DF2" w:rsidRPr="00FB089B" w:rsidRDefault="00EE24BC" w:rsidP="002C6024">
            <w:pPr>
              <w:pStyle w:val="TableBody"/>
              <w:spacing w:line="260" w:lineRule="atLeast"/>
              <w:ind w:right="57"/>
              <w:jc w:val="right"/>
            </w:pPr>
            <w:r w:rsidRPr="00FB089B">
              <w:t>3.7</w:t>
            </w:r>
          </w:p>
        </w:tc>
        <w:tc>
          <w:tcPr>
            <w:tcW w:w="2126" w:type="dxa"/>
            <w:tcBorders>
              <w:top w:val="nil"/>
              <w:bottom w:val="nil"/>
            </w:tcBorders>
            <w:shd w:val="clear" w:color="auto" w:fill="FFFFFF" w:themeFill="background1"/>
          </w:tcPr>
          <w:p w14:paraId="6E9D0595" w14:textId="73BFA200" w:rsidR="00150DF2" w:rsidRPr="00FB089B" w:rsidRDefault="00150DF2" w:rsidP="002C6024">
            <w:pPr>
              <w:pStyle w:val="TableBody"/>
              <w:spacing w:line="260" w:lineRule="atLeast"/>
              <w:ind w:right="57"/>
              <w:jc w:val="right"/>
            </w:pPr>
            <w:r w:rsidRPr="00FB089B">
              <w:t>1.</w:t>
            </w:r>
            <w:r w:rsidR="004579E9" w:rsidRPr="00FB089B">
              <w:t>0</w:t>
            </w:r>
          </w:p>
        </w:tc>
        <w:tc>
          <w:tcPr>
            <w:tcW w:w="2268" w:type="dxa"/>
            <w:tcBorders>
              <w:top w:val="nil"/>
              <w:bottom w:val="nil"/>
            </w:tcBorders>
            <w:shd w:val="clear" w:color="auto" w:fill="FFFFFF" w:themeFill="background1"/>
          </w:tcPr>
          <w:p w14:paraId="18EC1D2B" w14:textId="77777777" w:rsidR="00150DF2" w:rsidRPr="00FB089B" w:rsidRDefault="00150DF2" w:rsidP="002C6024">
            <w:pPr>
              <w:pStyle w:val="TableBody"/>
              <w:spacing w:line="260" w:lineRule="atLeast"/>
              <w:ind w:right="57"/>
              <w:jc w:val="right"/>
            </w:pPr>
            <w:r w:rsidRPr="00FB089B">
              <w:t>1.7</w:t>
            </w:r>
          </w:p>
        </w:tc>
      </w:tr>
      <w:tr w:rsidR="00150DF2" w:rsidRPr="00030C67" w14:paraId="0CD437F1" w14:textId="77777777">
        <w:tc>
          <w:tcPr>
            <w:tcW w:w="2977" w:type="dxa"/>
            <w:tcBorders>
              <w:top w:val="nil"/>
              <w:bottom w:val="nil"/>
            </w:tcBorders>
            <w:shd w:val="clear" w:color="auto" w:fill="FFFFFF" w:themeFill="background1"/>
          </w:tcPr>
          <w:p w14:paraId="4E434745" w14:textId="77777777" w:rsidR="00150DF2" w:rsidRPr="001E0201" w:rsidRDefault="00150DF2" w:rsidP="002C6024">
            <w:pPr>
              <w:pStyle w:val="TableBody"/>
              <w:spacing w:line="260" w:lineRule="atLeast"/>
            </w:pPr>
            <w:r w:rsidRPr="001E0201">
              <w:t>Hours worked</w:t>
            </w:r>
          </w:p>
        </w:tc>
        <w:tc>
          <w:tcPr>
            <w:tcW w:w="1134" w:type="dxa"/>
            <w:tcBorders>
              <w:top w:val="nil"/>
              <w:bottom w:val="nil"/>
            </w:tcBorders>
            <w:shd w:val="clear" w:color="auto" w:fill="FFFFFF" w:themeFill="background1"/>
          </w:tcPr>
          <w:p w14:paraId="06120BF2" w14:textId="3A80AA00" w:rsidR="00150DF2" w:rsidRPr="00FB089B" w:rsidRDefault="002A40FC" w:rsidP="002C6024">
            <w:pPr>
              <w:pStyle w:val="TableBody"/>
              <w:spacing w:line="260" w:lineRule="atLeast"/>
              <w:ind w:right="57"/>
              <w:jc w:val="right"/>
            </w:pPr>
            <w:r w:rsidRPr="00FB089B">
              <w:t>6.9</w:t>
            </w:r>
          </w:p>
        </w:tc>
        <w:tc>
          <w:tcPr>
            <w:tcW w:w="1134" w:type="dxa"/>
            <w:tcBorders>
              <w:top w:val="nil"/>
              <w:bottom w:val="nil"/>
            </w:tcBorders>
            <w:shd w:val="clear" w:color="auto" w:fill="FFFFFF" w:themeFill="background1"/>
          </w:tcPr>
          <w:p w14:paraId="7D60E946" w14:textId="790D6051" w:rsidR="00150DF2" w:rsidRPr="00FB089B" w:rsidRDefault="002A40FC" w:rsidP="002C6024">
            <w:pPr>
              <w:pStyle w:val="TableBody"/>
              <w:spacing w:line="260" w:lineRule="atLeast"/>
              <w:ind w:right="57"/>
              <w:jc w:val="right"/>
            </w:pPr>
            <w:r w:rsidRPr="00FB089B">
              <w:t>2.7</w:t>
            </w:r>
          </w:p>
        </w:tc>
        <w:tc>
          <w:tcPr>
            <w:tcW w:w="2126" w:type="dxa"/>
            <w:tcBorders>
              <w:top w:val="nil"/>
              <w:bottom w:val="nil"/>
            </w:tcBorders>
            <w:shd w:val="clear" w:color="auto" w:fill="FFFFFF" w:themeFill="background1"/>
          </w:tcPr>
          <w:p w14:paraId="09E222A3" w14:textId="5DA96F03" w:rsidR="00150DF2" w:rsidRPr="00FB089B" w:rsidRDefault="002A40FC" w:rsidP="002C6024">
            <w:pPr>
              <w:pStyle w:val="TableBody"/>
              <w:spacing w:line="260" w:lineRule="atLeast"/>
              <w:ind w:right="57"/>
              <w:jc w:val="right"/>
            </w:pPr>
            <w:r w:rsidRPr="00FB089B">
              <w:t>2.1</w:t>
            </w:r>
          </w:p>
        </w:tc>
        <w:tc>
          <w:tcPr>
            <w:tcW w:w="2268" w:type="dxa"/>
            <w:tcBorders>
              <w:top w:val="nil"/>
              <w:bottom w:val="nil"/>
            </w:tcBorders>
            <w:shd w:val="clear" w:color="auto" w:fill="FFFFFF" w:themeFill="background1"/>
          </w:tcPr>
          <w:p w14:paraId="43577299" w14:textId="411DEF58" w:rsidR="00150DF2" w:rsidRPr="00FB089B" w:rsidRDefault="00150DF2" w:rsidP="002C6024">
            <w:pPr>
              <w:pStyle w:val="TableBody"/>
              <w:spacing w:line="260" w:lineRule="atLeast"/>
              <w:ind w:right="57"/>
              <w:jc w:val="right"/>
            </w:pPr>
            <w:r w:rsidRPr="00FB089B">
              <w:t>1.</w:t>
            </w:r>
            <w:r w:rsidR="002A40FC" w:rsidRPr="00FB089B">
              <w:t>7</w:t>
            </w:r>
          </w:p>
        </w:tc>
      </w:tr>
      <w:tr w:rsidR="00150DF2" w:rsidRPr="00030C67" w14:paraId="65DCE93A" w14:textId="77777777">
        <w:tc>
          <w:tcPr>
            <w:tcW w:w="2977" w:type="dxa"/>
            <w:tcBorders>
              <w:top w:val="nil"/>
              <w:bottom w:val="nil"/>
            </w:tcBorders>
            <w:shd w:val="clear" w:color="auto" w:fill="FFFFFF" w:themeFill="background1"/>
          </w:tcPr>
          <w:p w14:paraId="4472E2A8" w14:textId="77777777" w:rsidR="00150DF2" w:rsidRPr="001E0201" w:rsidRDefault="00150DF2" w:rsidP="002C6024">
            <w:pPr>
              <w:pStyle w:val="TableBody"/>
              <w:spacing w:line="260" w:lineRule="atLeast"/>
              <w:rPr>
                <w:b/>
                <w:bCs/>
              </w:rPr>
            </w:pPr>
            <w:r w:rsidRPr="001E0201">
              <w:rPr>
                <w:b/>
                <w:bCs/>
              </w:rPr>
              <w:t>Labour Productivity</w:t>
            </w:r>
          </w:p>
        </w:tc>
        <w:tc>
          <w:tcPr>
            <w:tcW w:w="1134" w:type="dxa"/>
            <w:tcBorders>
              <w:top w:val="nil"/>
              <w:bottom w:val="nil"/>
            </w:tcBorders>
            <w:shd w:val="clear" w:color="auto" w:fill="FFFFFF" w:themeFill="background1"/>
          </w:tcPr>
          <w:p w14:paraId="066E132A" w14:textId="5623D4E1" w:rsidR="00150DF2" w:rsidRPr="00C94C36" w:rsidRDefault="00707D49" w:rsidP="002C6024">
            <w:pPr>
              <w:pStyle w:val="TableBody"/>
              <w:spacing w:line="260" w:lineRule="atLeast"/>
              <w:ind w:right="57"/>
              <w:jc w:val="right"/>
              <w:rPr>
                <w:b/>
                <w:color w:val="A52828" w:themeColor="accent5"/>
              </w:rPr>
            </w:pPr>
            <w:r w:rsidRPr="00C94C36">
              <w:rPr>
                <w:b/>
                <w:color w:val="A52828" w:themeColor="accent5"/>
              </w:rPr>
              <w:t>-3.7</w:t>
            </w:r>
          </w:p>
        </w:tc>
        <w:tc>
          <w:tcPr>
            <w:tcW w:w="1134" w:type="dxa"/>
            <w:tcBorders>
              <w:top w:val="nil"/>
              <w:bottom w:val="nil"/>
            </w:tcBorders>
            <w:shd w:val="clear" w:color="auto" w:fill="FFFFFF" w:themeFill="background1"/>
          </w:tcPr>
          <w:p w14:paraId="47E1D45A" w14:textId="5C97BC87" w:rsidR="00150DF2" w:rsidRPr="00FB089B" w:rsidRDefault="00D01F8A" w:rsidP="002C6024">
            <w:pPr>
              <w:pStyle w:val="TableBody"/>
              <w:spacing w:line="260" w:lineRule="atLeast"/>
              <w:ind w:right="57"/>
              <w:jc w:val="right"/>
              <w:rPr>
                <w:b/>
                <w:bCs/>
              </w:rPr>
            </w:pPr>
            <w:r w:rsidRPr="00FB089B">
              <w:rPr>
                <w:b/>
                <w:bCs/>
              </w:rPr>
              <w:t>1.6</w:t>
            </w:r>
          </w:p>
        </w:tc>
        <w:tc>
          <w:tcPr>
            <w:tcW w:w="2126" w:type="dxa"/>
            <w:tcBorders>
              <w:top w:val="nil"/>
              <w:bottom w:val="nil"/>
            </w:tcBorders>
            <w:shd w:val="clear" w:color="auto" w:fill="FFFFFF" w:themeFill="background1"/>
          </w:tcPr>
          <w:p w14:paraId="3D9C4CF9" w14:textId="39A7967D" w:rsidR="00150DF2" w:rsidRPr="00FB089B" w:rsidRDefault="00D01F8A" w:rsidP="002C6024">
            <w:pPr>
              <w:pStyle w:val="TableBody"/>
              <w:spacing w:line="260" w:lineRule="atLeast"/>
              <w:ind w:right="57"/>
              <w:jc w:val="right"/>
              <w:rPr>
                <w:b/>
                <w:bCs/>
              </w:rPr>
            </w:pPr>
            <w:r w:rsidRPr="00FB089B">
              <w:rPr>
                <w:b/>
                <w:bCs/>
              </w:rPr>
              <w:t>0.2</w:t>
            </w:r>
          </w:p>
        </w:tc>
        <w:tc>
          <w:tcPr>
            <w:tcW w:w="2268" w:type="dxa"/>
            <w:tcBorders>
              <w:top w:val="nil"/>
              <w:bottom w:val="nil"/>
            </w:tcBorders>
            <w:shd w:val="clear" w:color="auto" w:fill="FFFFFF" w:themeFill="background1"/>
          </w:tcPr>
          <w:p w14:paraId="3041C2DA" w14:textId="52CE723A" w:rsidR="00150DF2" w:rsidRPr="00FB089B" w:rsidRDefault="00150DF2" w:rsidP="002C6024">
            <w:pPr>
              <w:pStyle w:val="TableBody"/>
              <w:spacing w:line="260" w:lineRule="atLeast"/>
              <w:ind w:right="57"/>
              <w:jc w:val="right"/>
              <w:rPr>
                <w:b/>
                <w:bCs/>
              </w:rPr>
            </w:pPr>
            <w:r w:rsidRPr="00FB089B">
              <w:rPr>
                <w:b/>
                <w:bCs/>
              </w:rPr>
              <w:t>1</w:t>
            </w:r>
            <w:r w:rsidR="00D01F8A" w:rsidRPr="00FB089B">
              <w:rPr>
                <w:b/>
                <w:bCs/>
              </w:rPr>
              <w:t>.3</w:t>
            </w:r>
          </w:p>
        </w:tc>
      </w:tr>
      <w:tr w:rsidR="00150DF2" w:rsidRPr="00030C67" w14:paraId="70B5D32D" w14:textId="77777777">
        <w:tc>
          <w:tcPr>
            <w:tcW w:w="2977" w:type="dxa"/>
            <w:tcBorders>
              <w:top w:val="nil"/>
              <w:bottom w:val="nil"/>
            </w:tcBorders>
            <w:shd w:val="clear" w:color="auto" w:fill="FFFFFF" w:themeFill="background1"/>
          </w:tcPr>
          <w:p w14:paraId="66EC5393" w14:textId="77777777" w:rsidR="00150DF2" w:rsidRPr="001E0201" w:rsidRDefault="00150DF2" w:rsidP="002C6024">
            <w:pPr>
              <w:pStyle w:val="TableBody"/>
              <w:spacing w:line="260" w:lineRule="atLeast"/>
            </w:pPr>
            <w:r w:rsidRPr="001E0201">
              <w:t>Terms of trade</w:t>
            </w:r>
          </w:p>
        </w:tc>
        <w:tc>
          <w:tcPr>
            <w:tcW w:w="1134" w:type="dxa"/>
            <w:tcBorders>
              <w:top w:val="nil"/>
              <w:bottom w:val="nil"/>
            </w:tcBorders>
            <w:shd w:val="clear" w:color="auto" w:fill="FFFFFF" w:themeFill="background1"/>
          </w:tcPr>
          <w:p w14:paraId="134F11C3" w14:textId="497EDED8" w:rsidR="00150DF2" w:rsidRPr="00C94C36" w:rsidRDefault="00434C19" w:rsidP="002C6024">
            <w:pPr>
              <w:pStyle w:val="TableBody"/>
              <w:spacing w:line="260" w:lineRule="atLeast"/>
              <w:ind w:right="57"/>
              <w:jc w:val="right"/>
              <w:rPr>
                <w:color w:val="A52828" w:themeColor="accent5"/>
              </w:rPr>
            </w:pPr>
            <w:r w:rsidRPr="00C94C36">
              <w:rPr>
                <w:color w:val="A52828" w:themeColor="accent5"/>
              </w:rPr>
              <w:t>-0.5</w:t>
            </w:r>
          </w:p>
        </w:tc>
        <w:tc>
          <w:tcPr>
            <w:tcW w:w="1134" w:type="dxa"/>
            <w:tcBorders>
              <w:top w:val="nil"/>
              <w:bottom w:val="nil"/>
            </w:tcBorders>
            <w:shd w:val="clear" w:color="auto" w:fill="FFFFFF" w:themeFill="background1"/>
          </w:tcPr>
          <w:p w14:paraId="5B6913C5" w14:textId="0C755587" w:rsidR="00150DF2" w:rsidRPr="00FB089B" w:rsidRDefault="00150DF2" w:rsidP="002C6024">
            <w:pPr>
              <w:pStyle w:val="TableBody"/>
              <w:spacing w:line="260" w:lineRule="atLeast"/>
              <w:ind w:right="57"/>
              <w:jc w:val="right"/>
            </w:pPr>
            <w:r w:rsidRPr="00FB089B">
              <w:t>1</w:t>
            </w:r>
            <w:r w:rsidR="00823F66" w:rsidRPr="00FB089B">
              <w:t>1.8</w:t>
            </w:r>
          </w:p>
        </w:tc>
        <w:tc>
          <w:tcPr>
            <w:tcW w:w="2126" w:type="dxa"/>
            <w:tcBorders>
              <w:top w:val="nil"/>
              <w:bottom w:val="nil"/>
            </w:tcBorders>
            <w:shd w:val="clear" w:color="auto" w:fill="FFFFFF" w:themeFill="background1"/>
          </w:tcPr>
          <w:p w14:paraId="692853AA" w14:textId="06580BED" w:rsidR="00150DF2" w:rsidRPr="00FB089B" w:rsidRDefault="00823F66" w:rsidP="002C6024">
            <w:pPr>
              <w:pStyle w:val="TableBody"/>
              <w:spacing w:line="260" w:lineRule="atLeast"/>
              <w:ind w:right="57"/>
              <w:jc w:val="right"/>
            </w:pPr>
            <w:r w:rsidRPr="00FB089B">
              <w:t>5.9</w:t>
            </w:r>
          </w:p>
        </w:tc>
        <w:tc>
          <w:tcPr>
            <w:tcW w:w="2268" w:type="dxa"/>
            <w:tcBorders>
              <w:top w:val="nil"/>
              <w:bottom w:val="nil"/>
            </w:tcBorders>
            <w:shd w:val="clear" w:color="auto" w:fill="FFFFFF" w:themeFill="background1"/>
          </w:tcPr>
          <w:p w14:paraId="4B1E9E90" w14:textId="7FBA69E4" w:rsidR="00150DF2" w:rsidRPr="00FB089B" w:rsidRDefault="00823F66" w:rsidP="002C6024">
            <w:pPr>
              <w:pStyle w:val="TableBody"/>
              <w:spacing w:line="260" w:lineRule="atLeast"/>
              <w:ind w:right="57"/>
              <w:jc w:val="right"/>
            </w:pPr>
            <w:r w:rsidRPr="00FB089B">
              <w:t>3.1</w:t>
            </w:r>
          </w:p>
        </w:tc>
      </w:tr>
      <w:tr w:rsidR="00150DF2" w:rsidRPr="00030C67" w14:paraId="7CCA8569" w14:textId="77777777">
        <w:tc>
          <w:tcPr>
            <w:tcW w:w="2977" w:type="dxa"/>
            <w:tcBorders>
              <w:top w:val="nil"/>
              <w:bottom w:val="nil"/>
            </w:tcBorders>
            <w:shd w:val="clear" w:color="auto" w:fill="auto"/>
          </w:tcPr>
          <w:p w14:paraId="0A734F86" w14:textId="77777777" w:rsidR="00150DF2" w:rsidRPr="001E0201" w:rsidRDefault="00150DF2" w:rsidP="002C6024">
            <w:pPr>
              <w:pStyle w:val="TableBody"/>
              <w:spacing w:line="260" w:lineRule="atLeast"/>
            </w:pPr>
            <w:r w:rsidRPr="001E0201">
              <w:t>Gross national income per capita</w:t>
            </w:r>
          </w:p>
        </w:tc>
        <w:tc>
          <w:tcPr>
            <w:tcW w:w="1134" w:type="dxa"/>
            <w:tcBorders>
              <w:top w:val="nil"/>
              <w:bottom w:val="nil"/>
            </w:tcBorders>
            <w:shd w:val="clear" w:color="auto" w:fill="auto"/>
          </w:tcPr>
          <w:p w14:paraId="04BE89FF" w14:textId="68C9FF1F" w:rsidR="00150DF2" w:rsidRPr="00FB089B" w:rsidRDefault="00B05834" w:rsidP="002C6024">
            <w:pPr>
              <w:pStyle w:val="TableBody"/>
              <w:spacing w:line="260" w:lineRule="atLeast"/>
              <w:ind w:right="57"/>
              <w:jc w:val="right"/>
            </w:pPr>
            <w:r w:rsidRPr="00FB089B">
              <w:t>0.4</w:t>
            </w:r>
          </w:p>
        </w:tc>
        <w:tc>
          <w:tcPr>
            <w:tcW w:w="1134" w:type="dxa"/>
            <w:tcBorders>
              <w:top w:val="nil"/>
              <w:bottom w:val="nil"/>
            </w:tcBorders>
            <w:shd w:val="clear" w:color="auto" w:fill="auto"/>
          </w:tcPr>
          <w:p w14:paraId="1CC0A599" w14:textId="00E52A05" w:rsidR="00150DF2" w:rsidRPr="00FB089B" w:rsidRDefault="00B05834" w:rsidP="002C6024">
            <w:pPr>
              <w:pStyle w:val="TableBody"/>
              <w:spacing w:line="260" w:lineRule="atLeast"/>
              <w:ind w:right="57"/>
              <w:jc w:val="right"/>
            </w:pPr>
            <w:r w:rsidRPr="00FB089B">
              <w:t>3.3</w:t>
            </w:r>
          </w:p>
        </w:tc>
        <w:tc>
          <w:tcPr>
            <w:tcW w:w="2126" w:type="dxa"/>
            <w:tcBorders>
              <w:top w:val="nil"/>
              <w:bottom w:val="nil"/>
            </w:tcBorders>
            <w:shd w:val="clear" w:color="auto" w:fill="auto"/>
          </w:tcPr>
          <w:p w14:paraId="259DADA2" w14:textId="69A654BA" w:rsidR="00150DF2" w:rsidRPr="00FB089B" w:rsidRDefault="00150DF2" w:rsidP="002C6024">
            <w:pPr>
              <w:pStyle w:val="TableBody"/>
              <w:spacing w:line="260" w:lineRule="atLeast"/>
              <w:ind w:right="57"/>
              <w:jc w:val="right"/>
            </w:pPr>
            <w:r w:rsidRPr="00FB089B">
              <w:t>2.</w:t>
            </w:r>
            <w:r w:rsidR="00B05834" w:rsidRPr="00FB089B">
              <w:t>1</w:t>
            </w:r>
          </w:p>
        </w:tc>
        <w:tc>
          <w:tcPr>
            <w:tcW w:w="2268" w:type="dxa"/>
            <w:tcBorders>
              <w:top w:val="nil"/>
              <w:bottom w:val="nil"/>
            </w:tcBorders>
            <w:shd w:val="clear" w:color="auto" w:fill="auto"/>
          </w:tcPr>
          <w:p w14:paraId="2D1AEB88" w14:textId="67816E4E" w:rsidR="00150DF2" w:rsidRPr="00FB089B" w:rsidRDefault="00150DF2" w:rsidP="002C6024">
            <w:pPr>
              <w:pStyle w:val="TableBody"/>
              <w:spacing w:line="260" w:lineRule="atLeast"/>
              <w:ind w:right="57"/>
              <w:jc w:val="right"/>
            </w:pPr>
            <w:r w:rsidRPr="00FB089B">
              <w:t>2.</w:t>
            </w:r>
            <w:r w:rsidR="00B05834" w:rsidRPr="00FB089B">
              <w:t>2</w:t>
            </w:r>
          </w:p>
        </w:tc>
      </w:tr>
      <w:tr w:rsidR="00150DF2" w:rsidRPr="00030C67" w14:paraId="7D7D509E" w14:textId="77777777">
        <w:tc>
          <w:tcPr>
            <w:tcW w:w="2977" w:type="dxa"/>
            <w:tcBorders>
              <w:top w:val="nil"/>
              <w:bottom w:val="nil"/>
            </w:tcBorders>
            <w:shd w:val="clear" w:color="auto" w:fill="auto"/>
          </w:tcPr>
          <w:p w14:paraId="006D1884" w14:textId="77777777" w:rsidR="00150DF2" w:rsidRPr="001E0201" w:rsidRDefault="00150DF2" w:rsidP="002C6024">
            <w:pPr>
              <w:pStyle w:val="TableBody"/>
              <w:spacing w:line="260" w:lineRule="atLeast"/>
            </w:pPr>
            <w:r w:rsidRPr="001E0201">
              <w:t>Gross domestic income per capita</w:t>
            </w:r>
          </w:p>
        </w:tc>
        <w:tc>
          <w:tcPr>
            <w:tcW w:w="1134" w:type="dxa"/>
            <w:tcBorders>
              <w:top w:val="nil"/>
              <w:bottom w:val="nil"/>
            </w:tcBorders>
            <w:shd w:val="clear" w:color="auto" w:fill="auto"/>
          </w:tcPr>
          <w:p w14:paraId="74522DBB" w14:textId="67D6D4D1" w:rsidR="00150DF2" w:rsidRPr="00FB089B" w:rsidRDefault="003E689E" w:rsidP="002C6024">
            <w:pPr>
              <w:pStyle w:val="TableBody"/>
              <w:spacing w:line="260" w:lineRule="atLeast"/>
              <w:ind w:right="57"/>
              <w:jc w:val="right"/>
            </w:pPr>
            <w:r w:rsidRPr="00FB089B">
              <w:t>0.9</w:t>
            </w:r>
          </w:p>
        </w:tc>
        <w:tc>
          <w:tcPr>
            <w:tcW w:w="1134" w:type="dxa"/>
            <w:tcBorders>
              <w:top w:val="nil"/>
              <w:bottom w:val="nil"/>
            </w:tcBorders>
            <w:shd w:val="clear" w:color="auto" w:fill="auto"/>
          </w:tcPr>
          <w:p w14:paraId="0FB15E77" w14:textId="235B6F67" w:rsidR="00150DF2" w:rsidRPr="00FB089B" w:rsidRDefault="003E689E" w:rsidP="002C6024">
            <w:pPr>
              <w:pStyle w:val="TableBody"/>
              <w:spacing w:line="260" w:lineRule="atLeast"/>
              <w:ind w:right="57"/>
              <w:jc w:val="right"/>
            </w:pPr>
            <w:r w:rsidRPr="00FB089B">
              <w:t>6.3</w:t>
            </w:r>
          </w:p>
        </w:tc>
        <w:tc>
          <w:tcPr>
            <w:tcW w:w="2126" w:type="dxa"/>
            <w:tcBorders>
              <w:top w:val="nil"/>
              <w:bottom w:val="nil"/>
            </w:tcBorders>
            <w:shd w:val="clear" w:color="auto" w:fill="auto"/>
          </w:tcPr>
          <w:p w14:paraId="2281C017" w14:textId="1E97C34E" w:rsidR="00150DF2" w:rsidRPr="00FB089B" w:rsidRDefault="00150DF2" w:rsidP="002C6024">
            <w:pPr>
              <w:pStyle w:val="TableBody"/>
              <w:spacing w:line="260" w:lineRule="atLeast"/>
              <w:ind w:right="57"/>
              <w:jc w:val="right"/>
            </w:pPr>
            <w:r w:rsidRPr="00FB089B">
              <w:t>2.</w:t>
            </w:r>
            <w:r w:rsidR="003E689E" w:rsidRPr="00FB089B">
              <w:t>3</w:t>
            </w:r>
          </w:p>
        </w:tc>
        <w:tc>
          <w:tcPr>
            <w:tcW w:w="2268" w:type="dxa"/>
            <w:tcBorders>
              <w:top w:val="nil"/>
              <w:bottom w:val="nil"/>
            </w:tcBorders>
            <w:shd w:val="clear" w:color="auto" w:fill="auto"/>
          </w:tcPr>
          <w:p w14:paraId="66B3096C" w14:textId="77777777" w:rsidR="00150DF2" w:rsidRPr="00FB089B" w:rsidRDefault="00150DF2" w:rsidP="002C6024">
            <w:pPr>
              <w:pStyle w:val="TableBody"/>
              <w:spacing w:line="260" w:lineRule="atLeast"/>
              <w:ind w:right="57"/>
              <w:jc w:val="right"/>
            </w:pPr>
            <w:r w:rsidRPr="00FB089B">
              <w:t>2.3</w:t>
            </w:r>
          </w:p>
        </w:tc>
      </w:tr>
      <w:tr w:rsidR="00150DF2" w:rsidRPr="00030C67" w14:paraId="2461F114" w14:textId="77777777">
        <w:tc>
          <w:tcPr>
            <w:tcW w:w="9639" w:type="dxa"/>
            <w:gridSpan w:val="5"/>
            <w:tcBorders>
              <w:top w:val="nil"/>
              <w:bottom w:val="nil"/>
            </w:tcBorders>
            <w:shd w:val="clear" w:color="auto" w:fill="E0F1F7" w:themeFill="text2" w:themeFillTint="33"/>
          </w:tcPr>
          <w:p w14:paraId="4B8ABC2D" w14:textId="77777777" w:rsidR="00150DF2" w:rsidRPr="00FB089B" w:rsidRDefault="00150DF2" w:rsidP="002C6024">
            <w:pPr>
              <w:pStyle w:val="TableHeading"/>
              <w:spacing w:line="260" w:lineRule="atLeast"/>
              <w:rPr>
                <w:rFonts w:ascii="Arial (Body)" w:hAnsi="Arial (Body)"/>
                <w:color w:val="000000"/>
              </w:rPr>
            </w:pPr>
            <w:r w:rsidRPr="00FB089B">
              <w:t>Market sector</w:t>
            </w:r>
          </w:p>
        </w:tc>
      </w:tr>
      <w:tr w:rsidR="00150DF2" w:rsidRPr="00030C67" w14:paraId="41AA6B80" w14:textId="77777777">
        <w:tc>
          <w:tcPr>
            <w:tcW w:w="2977" w:type="dxa"/>
            <w:tcBorders>
              <w:top w:val="nil"/>
              <w:bottom w:val="nil"/>
            </w:tcBorders>
            <w:shd w:val="clear" w:color="auto" w:fill="auto"/>
          </w:tcPr>
          <w:p w14:paraId="5C6A40DD" w14:textId="77777777" w:rsidR="00150DF2" w:rsidRPr="001E0201" w:rsidRDefault="00150DF2" w:rsidP="002C6024">
            <w:pPr>
              <w:pStyle w:val="TableBody"/>
              <w:spacing w:line="260" w:lineRule="atLeast"/>
            </w:pPr>
            <w:r w:rsidRPr="001E0201">
              <w:t>Output (GVA)</w:t>
            </w:r>
          </w:p>
        </w:tc>
        <w:tc>
          <w:tcPr>
            <w:tcW w:w="1134" w:type="dxa"/>
            <w:tcBorders>
              <w:top w:val="nil"/>
              <w:bottom w:val="nil"/>
            </w:tcBorders>
            <w:shd w:val="clear" w:color="auto" w:fill="auto"/>
          </w:tcPr>
          <w:p w14:paraId="73474BC1" w14:textId="30784AE7" w:rsidR="00150DF2" w:rsidRPr="00FB089B" w:rsidRDefault="0046033D" w:rsidP="002C6024">
            <w:pPr>
              <w:pStyle w:val="TableBody"/>
              <w:spacing w:line="260" w:lineRule="atLeast"/>
              <w:ind w:right="57"/>
              <w:jc w:val="right"/>
            </w:pPr>
            <w:r w:rsidRPr="00FB089B">
              <w:t>3.8</w:t>
            </w:r>
          </w:p>
        </w:tc>
        <w:tc>
          <w:tcPr>
            <w:tcW w:w="1134" w:type="dxa"/>
            <w:tcBorders>
              <w:top w:val="nil"/>
              <w:bottom w:val="nil"/>
            </w:tcBorders>
            <w:shd w:val="clear" w:color="auto" w:fill="auto"/>
          </w:tcPr>
          <w:p w14:paraId="1132136B" w14:textId="006FD0AE" w:rsidR="00150DF2" w:rsidRPr="00FB089B" w:rsidRDefault="0046033D" w:rsidP="002C6024">
            <w:pPr>
              <w:pStyle w:val="TableBody"/>
              <w:spacing w:line="260" w:lineRule="atLeast"/>
              <w:ind w:right="57"/>
              <w:jc w:val="right"/>
            </w:pPr>
            <w:r w:rsidRPr="00FB089B">
              <w:t>4.5</w:t>
            </w:r>
          </w:p>
        </w:tc>
        <w:tc>
          <w:tcPr>
            <w:tcW w:w="2126" w:type="dxa"/>
            <w:tcBorders>
              <w:top w:val="nil"/>
              <w:bottom w:val="nil"/>
            </w:tcBorders>
            <w:shd w:val="clear" w:color="auto" w:fill="auto"/>
          </w:tcPr>
          <w:p w14:paraId="491F9D5A" w14:textId="230AD0B6" w:rsidR="00150DF2" w:rsidRPr="00FB089B" w:rsidRDefault="0046033D" w:rsidP="002C6024">
            <w:pPr>
              <w:pStyle w:val="TableBody"/>
              <w:spacing w:line="260" w:lineRule="atLeast"/>
              <w:ind w:right="57"/>
              <w:jc w:val="right"/>
            </w:pPr>
            <w:r w:rsidRPr="00FB089B">
              <w:t>2.0</w:t>
            </w:r>
          </w:p>
        </w:tc>
        <w:tc>
          <w:tcPr>
            <w:tcW w:w="2268" w:type="dxa"/>
            <w:tcBorders>
              <w:top w:val="nil"/>
              <w:bottom w:val="nil"/>
            </w:tcBorders>
            <w:shd w:val="clear" w:color="auto" w:fill="auto"/>
          </w:tcPr>
          <w:p w14:paraId="5CE46959" w14:textId="6804B7D0" w:rsidR="00150DF2" w:rsidRPr="00FB089B" w:rsidRDefault="00150DF2" w:rsidP="002C6024">
            <w:pPr>
              <w:pStyle w:val="TableBody"/>
              <w:spacing w:line="260" w:lineRule="atLeast"/>
              <w:ind w:right="57"/>
              <w:jc w:val="right"/>
            </w:pPr>
            <w:r w:rsidRPr="00FB089B">
              <w:t>3.</w:t>
            </w:r>
            <w:r w:rsidR="00C62D9E">
              <w:t>2</w:t>
            </w:r>
          </w:p>
        </w:tc>
      </w:tr>
      <w:tr w:rsidR="00150DF2" w:rsidRPr="00030C67" w14:paraId="6D399B59" w14:textId="77777777">
        <w:tc>
          <w:tcPr>
            <w:tcW w:w="2977" w:type="dxa"/>
            <w:tcBorders>
              <w:top w:val="nil"/>
              <w:bottom w:val="nil"/>
            </w:tcBorders>
            <w:shd w:val="clear" w:color="auto" w:fill="auto"/>
          </w:tcPr>
          <w:p w14:paraId="41EAE41E" w14:textId="77777777" w:rsidR="00150DF2" w:rsidRPr="001E0201" w:rsidRDefault="00150DF2" w:rsidP="002C6024">
            <w:pPr>
              <w:pStyle w:val="TableBody"/>
              <w:spacing w:line="260" w:lineRule="atLeast"/>
            </w:pPr>
            <w:r w:rsidRPr="001E0201">
              <w:t>Inputs</w:t>
            </w:r>
          </w:p>
        </w:tc>
        <w:tc>
          <w:tcPr>
            <w:tcW w:w="1134" w:type="dxa"/>
            <w:tcBorders>
              <w:top w:val="nil"/>
              <w:bottom w:val="nil"/>
            </w:tcBorders>
            <w:shd w:val="clear" w:color="auto" w:fill="auto"/>
          </w:tcPr>
          <w:p w14:paraId="6B3E2BD6" w14:textId="1B8F04D0" w:rsidR="00150DF2" w:rsidRPr="00FB089B" w:rsidRDefault="001E13BA" w:rsidP="002C6024">
            <w:pPr>
              <w:pStyle w:val="TableBody"/>
              <w:spacing w:line="260" w:lineRule="atLeast"/>
              <w:ind w:right="57"/>
              <w:jc w:val="right"/>
            </w:pPr>
            <w:r w:rsidRPr="00FB089B">
              <w:t>4.3</w:t>
            </w:r>
          </w:p>
        </w:tc>
        <w:tc>
          <w:tcPr>
            <w:tcW w:w="1134" w:type="dxa"/>
            <w:tcBorders>
              <w:top w:val="nil"/>
              <w:bottom w:val="nil"/>
            </w:tcBorders>
            <w:shd w:val="clear" w:color="auto" w:fill="auto"/>
          </w:tcPr>
          <w:p w14:paraId="4B24A1E2" w14:textId="7E8809F2" w:rsidR="00150DF2" w:rsidRPr="00FB089B" w:rsidRDefault="001E13BA" w:rsidP="002C6024">
            <w:pPr>
              <w:pStyle w:val="TableBody"/>
              <w:spacing w:line="260" w:lineRule="atLeast"/>
              <w:ind w:right="57"/>
              <w:jc w:val="right"/>
            </w:pPr>
            <w:r w:rsidRPr="00FB089B">
              <w:t>1.9</w:t>
            </w:r>
          </w:p>
        </w:tc>
        <w:tc>
          <w:tcPr>
            <w:tcW w:w="2126" w:type="dxa"/>
            <w:tcBorders>
              <w:top w:val="nil"/>
              <w:bottom w:val="nil"/>
            </w:tcBorders>
            <w:shd w:val="clear" w:color="auto" w:fill="auto"/>
          </w:tcPr>
          <w:p w14:paraId="57633FBB" w14:textId="7F79E459" w:rsidR="00150DF2" w:rsidRPr="00FB089B" w:rsidRDefault="00150DF2" w:rsidP="002C6024">
            <w:pPr>
              <w:pStyle w:val="TableBody"/>
              <w:spacing w:line="260" w:lineRule="atLeast"/>
              <w:ind w:right="57"/>
              <w:jc w:val="right"/>
            </w:pPr>
            <w:r w:rsidRPr="00FB089B">
              <w:t>1.</w:t>
            </w:r>
            <w:r w:rsidR="001E13BA" w:rsidRPr="00FB089B">
              <w:t>5</w:t>
            </w:r>
          </w:p>
        </w:tc>
        <w:tc>
          <w:tcPr>
            <w:tcW w:w="2268" w:type="dxa"/>
            <w:tcBorders>
              <w:top w:val="nil"/>
              <w:bottom w:val="nil"/>
            </w:tcBorders>
            <w:shd w:val="clear" w:color="auto" w:fill="auto"/>
          </w:tcPr>
          <w:p w14:paraId="1590C09A" w14:textId="783733DA" w:rsidR="00150DF2" w:rsidRPr="00FB089B" w:rsidRDefault="00150DF2" w:rsidP="002C6024">
            <w:pPr>
              <w:pStyle w:val="TableBody"/>
              <w:spacing w:line="260" w:lineRule="atLeast"/>
              <w:ind w:right="57"/>
              <w:jc w:val="right"/>
            </w:pPr>
            <w:r w:rsidRPr="00FB089B">
              <w:t>2.</w:t>
            </w:r>
            <w:r w:rsidR="0080735F" w:rsidRPr="00FB089B">
              <w:t>4</w:t>
            </w:r>
          </w:p>
        </w:tc>
      </w:tr>
      <w:tr w:rsidR="00150DF2" w:rsidRPr="00030C67" w14:paraId="6324AAE0" w14:textId="77777777">
        <w:tc>
          <w:tcPr>
            <w:tcW w:w="2977" w:type="dxa"/>
            <w:tcBorders>
              <w:top w:val="nil"/>
              <w:bottom w:val="nil"/>
            </w:tcBorders>
            <w:shd w:val="clear" w:color="auto" w:fill="auto"/>
          </w:tcPr>
          <w:p w14:paraId="5609A981" w14:textId="77777777" w:rsidR="00150DF2" w:rsidRPr="00FB089B" w:rsidRDefault="00150DF2" w:rsidP="002C6024">
            <w:pPr>
              <w:pStyle w:val="TableBody"/>
              <w:spacing w:line="260" w:lineRule="atLeast"/>
            </w:pPr>
            <w:r w:rsidRPr="00FB089B">
              <w:t>Hours worked</w:t>
            </w:r>
          </w:p>
        </w:tc>
        <w:tc>
          <w:tcPr>
            <w:tcW w:w="1134" w:type="dxa"/>
            <w:tcBorders>
              <w:top w:val="nil"/>
              <w:bottom w:val="nil"/>
            </w:tcBorders>
            <w:shd w:val="clear" w:color="auto" w:fill="auto"/>
          </w:tcPr>
          <w:p w14:paraId="4BB8A396" w14:textId="5C0ABBC0" w:rsidR="00150DF2" w:rsidRPr="00FB089B" w:rsidRDefault="00342B45" w:rsidP="002C6024">
            <w:pPr>
              <w:pStyle w:val="TableBody"/>
              <w:spacing w:line="260" w:lineRule="atLeast"/>
              <w:ind w:right="57"/>
              <w:jc w:val="right"/>
            </w:pPr>
            <w:r w:rsidRPr="00FB089B">
              <w:t>6.9</w:t>
            </w:r>
          </w:p>
        </w:tc>
        <w:tc>
          <w:tcPr>
            <w:tcW w:w="1134" w:type="dxa"/>
            <w:tcBorders>
              <w:top w:val="nil"/>
              <w:bottom w:val="nil"/>
            </w:tcBorders>
            <w:shd w:val="clear" w:color="auto" w:fill="auto"/>
          </w:tcPr>
          <w:p w14:paraId="056896A6" w14:textId="7BC9AC35" w:rsidR="00150DF2" w:rsidRPr="00FB089B" w:rsidRDefault="00342B45" w:rsidP="002C6024">
            <w:pPr>
              <w:pStyle w:val="TableBody"/>
              <w:spacing w:line="260" w:lineRule="atLeast"/>
              <w:ind w:right="57"/>
              <w:jc w:val="right"/>
            </w:pPr>
            <w:r w:rsidRPr="00FB089B">
              <w:t>2.0</w:t>
            </w:r>
          </w:p>
        </w:tc>
        <w:tc>
          <w:tcPr>
            <w:tcW w:w="2126" w:type="dxa"/>
            <w:tcBorders>
              <w:top w:val="nil"/>
              <w:bottom w:val="nil"/>
            </w:tcBorders>
            <w:shd w:val="clear" w:color="auto" w:fill="auto"/>
          </w:tcPr>
          <w:p w14:paraId="18681A06" w14:textId="59F32A3C" w:rsidR="00150DF2" w:rsidRPr="00FB089B" w:rsidRDefault="00342B45" w:rsidP="002C6024">
            <w:pPr>
              <w:pStyle w:val="TableBody"/>
              <w:spacing w:line="260" w:lineRule="atLeast"/>
              <w:ind w:right="57"/>
              <w:jc w:val="right"/>
            </w:pPr>
            <w:r w:rsidRPr="00FB089B">
              <w:t>1.5</w:t>
            </w:r>
          </w:p>
        </w:tc>
        <w:tc>
          <w:tcPr>
            <w:tcW w:w="2268" w:type="dxa"/>
            <w:tcBorders>
              <w:top w:val="nil"/>
              <w:bottom w:val="nil"/>
            </w:tcBorders>
            <w:shd w:val="clear" w:color="auto" w:fill="auto"/>
          </w:tcPr>
          <w:p w14:paraId="6CBB291A" w14:textId="572C84C5" w:rsidR="00150DF2" w:rsidRPr="00FB089B" w:rsidRDefault="00150DF2" w:rsidP="002C6024">
            <w:pPr>
              <w:pStyle w:val="TableBody"/>
              <w:spacing w:line="260" w:lineRule="atLeast"/>
              <w:ind w:right="57"/>
              <w:jc w:val="right"/>
            </w:pPr>
            <w:r w:rsidRPr="00FB089B">
              <w:t>1.</w:t>
            </w:r>
            <w:r w:rsidR="001B4FCF" w:rsidRPr="00FB089B">
              <w:t>4</w:t>
            </w:r>
          </w:p>
        </w:tc>
      </w:tr>
      <w:tr w:rsidR="00150DF2" w:rsidRPr="00030C67" w14:paraId="3D57B3E0" w14:textId="77777777">
        <w:tc>
          <w:tcPr>
            <w:tcW w:w="2977" w:type="dxa"/>
            <w:tcBorders>
              <w:top w:val="nil"/>
              <w:bottom w:val="nil"/>
            </w:tcBorders>
            <w:shd w:val="clear" w:color="auto" w:fill="auto"/>
          </w:tcPr>
          <w:p w14:paraId="10BC4AE4" w14:textId="77777777" w:rsidR="00150DF2" w:rsidRPr="00FB089B" w:rsidRDefault="00150DF2" w:rsidP="002C6024">
            <w:pPr>
              <w:pStyle w:val="TableBody"/>
              <w:spacing w:line="260" w:lineRule="atLeast"/>
            </w:pPr>
            <w:r w:rsidRPr="00FB089B">
              <w:t>Capital services</w:t>
            </w:r>
          </w:p>
        </w:tc>
        <w:tc>
          <w:tcPr>
            <w:tcW w:w="1134" w:type="dxa"/>
            <w:tcBorders>
              <w:top w:val="nil"/>
              <w:bottom w:val="nil"/>
            </w:tcBorders>
            <w:shd w:val="clear" w:color="auto" w:fill="auto"/>
          </w:tcPr>
          <w:p w14:paraId="2291B571" w14:textId="4C463A7F" w:rsidR="00150DF2" w:rsidRPr="00FB089B" w:rsidRDefault="00150DF2" w:rsidP="002C6024">
            <w:pPr>
              <w:pStyle w:val="TableBody"/>
              <w:spacing w:line="260" w:lineRule="atLeast"/>
              <w:ind w:right="57"/>
              <w:jc w:val="right"/>
            </w:pPr>
            <w:r w:rsidRPr="00FB089B">
              <w:t>1.</w:t>
            </w:r>
            <w:r w:rsidR="0080735F" w:rsidRPr="00FB089B">
              <w:t>6</w:t>
            </w:r>
          </w:p>
        </w:tc>
        <w:tc>
          <w:tcPr>
            <w:tcW w:w="1134" w:type="dxa"/>
            <w:tcBorders>
              <w:top w:val="nil"/>
              <w:bottom w:val="nil"/>
            </w:tcBorders>
            <w:shd w:val="clear" w:color="auto" w:fill="auto"/>
          </w:tcPr>
          <w:p w14:paraId="4AEA74C2" w14:textId="676172F7" w:rsidR="00150DF2" w:rsidRPr="00FB089B" w:rsidRDefault="00150DF2" w:rsidP="002C6024">
            <w:pPr>
              <w:pStyle w:val="TableBody"/>
              <w:spacing w:line="260" w:lineRule="atLeast"/>
              <w:ind w:right="57"/>
              <w:jc w:val="right"/>
            </w:pPr>
            <w:r w:rsidRPr="00FB089B">
              <w:t>1.</w:t>
            </w:r>
            <w:r w:rsidR="0080735F" w:rsidRPr="00FB089B">
              <w:t>8</w:t>
            </w:r>
          </w:p>
        </w:tc>
        <w:tc>
          <w:tcPr>
            <w:tcW w:w="2126" w:type="dxa"/>
            <w:tcBorders>
              <w:top w:val="nil"/>
              <w:bottom w:val="nil"/>
            </w:tcBorders>
            <w:shd w:val="clear" w:color="auto" w:fill="auto"/>
          </w:tcPr>
          <w:p w14:paraId="1F8E25F9" w14:textId="77777777" w:rsidR="00150DF2" w:rsidRPr="00FB089B" w:rsidRDefault="00150DF2" w:rsidP="002C6024">
            <w:pPr>
              <w:pStyle w:val="TableBody"/>
              <w:spacing w:line="260" w:lineRule="atLeast"/>
              <w:ind w:right="57"/>
              <w:jc w:val="right"/>
            </w:pPr>
            <w:r w:rsidRPr="00FB089B">
              <w:t>1.5</w:t>
            </w:r>
          </w:p>
        </w:tc>
        <w:tc>
          <w:tcPr>
            <w:tcW w:w="2268" w:type="dxa"/>
            <w:tcBorders>
              <w:top w:val="nil"/>
              <w:bottom w:val="nil"/>
            </w:tcBorders>
            <w:shd w:val="clear" w:color="auto" w:fill="auto"/>
          </w:tcPr>
          <w:p w14:paraId="2B537FB9" w14:textId="464D7091" w:rsidR="00150DF2" w:rsidRPr="00FB089B" w:rsidRDefault="00150DF2" w:rsidP="002C6024">
            <w:pPr>
              <w:pStyle w:val="TableBody"/>
              <w:spacing w:line="260" w:lineRule="atLeast"/>
              <w:ind w:right="57"/>
              <w:jc w:val="right"/>
            </w:pPr>
            <w:r w:rsidRPr="00FB089B">
              <w:t>3.</w:t>
            </w:r>
            <w:r w:rsidR="0080735F" w:rsidRPr="00FB089B">
              <w:t>8</w:t>
            </w:r>
          </w:p>
        </w:tc>
      </w:tr>
      <w:tr w:rsidR="00150DF2" w:rsidRPr="00030C67" w14:paraId="202FCAF1" w14:textId="77777777">
        <w:tc>
          <w:tcPr>
            <w:tcW w:w="2977" w:type="dxa"/>
            <w:tcBorders>
              <w:top w:val="nil"/>
              <w:bottom w:val="nil"/>
            </w:tcBorders>
            <w:shd w:val="clear" w:color="auto" w:fill="auto"/>
          </w:tcPr>
          <w:p w14:paraId="689C5FC8" w14:textId="77777777" w:rsidR="00150DF2" w:rsidRPr="001E0201" w:rsidRDefault="00150DF2" w:rsidP="002C6024">
            <w:pPr>
              <w:pStyle w:val="TableBody"/>
              <w:spacing w:line="260" w:lineRule="atLeast"/>
              <w:rPr>
                <w:b/>
                <w:bCs/>
              </w:rPr>
            </w:pPr>
            <w:r w:rsidRPr="001E0201">
              <w:rPr>
                <w:b/>
                <w:bCs/>
              </w:rPr>
              <w:t>Labour productivity</w:t>
            </w:r>
          </w:p>
        </w:tc>
        <w:tc>
          <w:tcPr>
            <w:tcW w:w="1134" w:type="dxa"/>
            <w:tcBorders>
              <w:top w:val="nil"/>
              <w:bottom w:val="nil"/>
            </w:tcBorders>
            <w:shd w:val="clear" w:color="auto" w:fill="auto"/>
          </w:tcPr>
          <w:p w14:paraId="52135977" w14:textId="729EFBBA" w:rsidR="00150DF2" w:rsidRPr="00C94C36" w:rsidRDefault="0046033D" w:rsidP="002C6024">
            <w:pPr>
              <w:pStyle w:val="TableBody"/>
              <w:spacing w:line="260" w:lineRule="atLeast"/>
              <w:ind w:right="57"/>
              <w:jc w:val="right"/>
              <w:rPr>
                <w:b/>
                <w:color w:val="A52828" w:themeColor="accent5"/>
              </w:rPr>
            </w:pPr>
            <w:r w:rsidRPr="00C94C36">
              <w:rPr>
                <w:b/>
                <w:color w:val="A52828" w:themeColor="accent5"/>
              </w:rPr>
              <w:t>-2.9</w:t>
            </w:r>
          </w:p>
        </w:tc>
        <w:tc>
          <w:tcPr>
            <w:tcW w:w="1134" w:type="dxa"/>
            <w:tcBorders>
              <w:top w:val="nil"/>
              <w:bottom w:val="nil"/>
            </w:tcBorders>
            <w:shd w:val="clear" w:color="auto" w:fill="auto"/>
          </w:tcPr>
          <w:p w14:paraId="4B5C13F4" w14:textId="0853CBDA" w:rsidR="00150DF2" w:rsidRPr="00FB089B" w:rsidRDefault="002A735A" w:rsidP="002C6024">
            <w:pPr>
              <w:pStyle w:val="TableBody"/>
              <w:spacing w:line="260" w:lineRule="atLeast"/>
              <w:ind w:right="57"/>
              <w:jc w:val="right"/>
              <w:rPr>
                <w:b/>
                <w:bCs/>
              </w:rPr>
            </w:pPr>
            <w:r w:rsidRPr="00FB089B">
              <w:rPr>
                <w:b/>
                <w:bCs/>
              </w:rPr>
              <w:t>2.5</w:t>
            </w:r>
          </w:p>
        </w:tc>
        <w:tc>
          <w:tcPr>
            <w:tcW w:w="2126" w:type="dxa"/>
            <w:tcBorders>
              <w:top w:val="nil"/>
              <w:bottom w:val="nil"/>
            </w:tcBorders>
            <w:shd w:val="clear" w:color="auto" w:fill="auto"/>
          </w:tcPr>
          <w:p w14:paraId="26765CCC" w14:textId="2ADE8E6A" w:rsidR="00150DF2" w:rsidRPr="00FB089B" w:rsidRDefault="002A735A" w:rsidP="002C6024">
            <w:pPr>
              <w:pStyle w:val="TableBody"/>
              <w:spacing w:line="260" w:lineRule="atLeast"/>
              <w:ind w:right="57"/>
              <w:jc w:val="right"/>
              <w:rPr>
                <w:b/>
                <w:bCs/>
              </w:rPr>
            </w:pPr>
            <w:r w:rsidRPr="00FB089B">
              <w:rPr>
                <w:b/>
                <w:bCs/>
              </w:rPr>
              <w:t>0.5</w:t>
            </w:r>
          </w:p>
        </w:tc>
        <w:tc>
          <w:tcPr>
            <w:tcW w:w="2268" w:type="dxa"/>
            <w:tcBorders>
              <w:top w:val="nil"/>
              <w:bottom w:val="nil"/>
            </w:tcBorders>
            <w:shd w:val="clear" w:color="auto" w:fill="auto"/>
          </w:tcPr>
          <w:p w14:paraId="25D2B9D4" w14:textId="7F238C88" w:rsidR="00150DF2" w:rsidRPr="00FB089B" w:rsidRDefault="00150DF2" w:rsidP="002C6024">
            <w:pPr>
              <w:pStyle w:val="TableBody"/>
              <w:spacing w:line="260" w:lineRule="atLeast"/>
              <w:ind w:right="57"/>
              <w:jc w:val="right"/>
              <w:rPr>
                <w:b/>
                <w:bCs/>
              </w:rPr>
            </w:pPr>
            <w:r w:rsidRPr="00FB089B">
              <w:rPr>
                <w:b/>
                <w:bCs/>
              </w:rPr>
              <w:t>1.</w:t>
            </w:r>
            <w:r w:rsidR="002A735A" w:rsidRPr="00FB089B">
              <w:rPr>
                <w:b/>
                <w:bCs/>
              </w:rPr>
              <w:t>8</w:t>
            </w:r>
          </w:p>
        </w:tc>
      </w:tr>
      <w:tr w:rsidR="00150DF2" w:rsidRPr="00030C67" w14:paraId="7908C024" w14:textId="77777777">
        <w:tc>
          <w:tcPr>
            <w:tcW w:w="2977" w:type="dxa"/>
            <w:tcBorders>
              <w:top w:val="nil"/>
              <w:bottom w:val="single" w:sz="4" w:space="0" w:color="BFBFBF" w:themeColor="background1" w:themeShade="BF"/>
            </w:tcBorders>
            <w:shd w:val="clear" w:color="auto" w:fill="auto"/>
          </w:tcPr>
          <w:p w14:paraId="6489399E" w14:textId="77777777" w:rsidR="00150DF2" w:rsidRPr="001E0201" w:rsidRDefault="00150DF2" w:rsidP="002C6024">
            <w:pPr>
              <w:pStyle w:val="TableBody"/>
              <w:spacing w:line="260" w:lineRule="atLeast"/>
              <w:rPr>
                <w:b/>
                <w:bCs/>
              </w:rPr>
            </w:pPr>
            <w:r w:rsidRPr="001E0201">
              <w:rPr>
                <w:b/>
                <w:bCs/>
              </w:rPr>
              <w:t>MFP</w:t>
            </w:r>
          </w:p>
        </w:tc>
        <w:tc>
          <w:tcPr>
            <w:tcW w:w="1134" w:type="dxa"/>
            <w:tcBorders>
              <w:top w:val="nil"/>
              <w:bottom w:val="single" w:sz="4" w:space="0" w:color="BFBFBF" w:themeColor="background1" w:themeShade="BF"/>
            </w:tcBorders>
            <w:shd w:val="clear" w:color="auto" w:fill="auto"/>
          </w:tcPr>
          <w:p w14:paraId="7F7459D5" w14:textId="7A113068" w:rsidR="00150DF2" w:rsidRPr="00C94C36" w:rsidRDefault="004E5931" w:rsidP="002C6024">
            <w:pPr>
              <w:pStyle w:val="TableBody"/>
              <w:spacing w:line="260" w:lineRule="atLeast"/>
              <w:ind w:right="57"/>
              <w:jc w:val="right"/>
              <w:rPr>
                <w:b/>
                <w:color w:val="A52828" w:themeColor="accent5"/>
              </w:rPr>
            </w:pPr>
            <w:r w:rsidRPr="00C94C36">
              <w:rPr>
                <w:b/>
                <w:color w:val="A52828" w:themeColor="accent5"/>
              </w:rPr>
              <w:t>-0.5</w:t>
            </w:r>
          </w:p>
        </w:tc>
        <w:tc>
          <w:tcPr>
            <w:tcW w:w="1134" w:type="dxa"/>
            <w:tcBorders>
              <w:top w:val="nil"/>
              <w:bottom w:val="single" w:sz="4" w:space="0" w:color="BFBFBF" w:themeColor="background1" w:themeShade="BF"/>
            </w:tcBorders>
            <w:shd w:val="clear" w:color="auto" w:fill="auto"/>
          </w:tcPr>
          <w:p w14:paraId="2DA72EC0" w14:textId="1FEE86D2" w:rsidR="00150DF2" w:rsidRPr="00FB089B" w:rsidRDefault="004E5931" w:rsidP="002C6024">
            <w:pPr>
              <w:pStyle w:val="TableBody"/>
              <w:spacing w:line="260" w:lineRule="atLeast"/>
              <w:ind w:right="57"/>
              <w:jc w:val="right"/>
              <w:rPr>
                <w:b/>
                <w:bCs/>
              </w:rPr>
            </w:pPr>
            <w:r w:rsidRPr="00FB089B">
              <w:rPr>
                <w:b/>
                <w:bCs/>
              </w:rPr>
              <w:t>2.6</w:t>
            </w:r>
          </w:p>
        </w:tc>
        <w:tc>
          <w:tcPr>
            <w:tcW w:w="2126" w:type="dxa"/>
            <w:tcBorders>
              <w:top w:val="nil"/>
              <w:bottom w:val="single" w:sz="4" w:space="0" w:color="BFBFBF" w:themeColor="background1" w:themeShade="BF"/>
            </w:tcBorders>
            <w:shd w:val="clear" w:color="auto" w:fill="auto"/>
          </w:tcPr>
          <w:p w14:paraId="01B944A9" w14:textId="2743EC82" w:rsidR="00150DF2" w:rsidRPr="00FB089B" w:rsidRDefault="00150DF2" w:rsidP="002C6024">
            <w:pPr>
              <w:pStyle w:val="TableBody"/>
              <w:spacing w:line="260" w:lineRule="atLeast"/>
              <w:ind w:right="57"/>
              <w:jc w:val="right"/>
              <w:rPr>
                <w:b/>
                <w:bCs/>
              </w:rPr>
            </w:pPr>
            <w:r w:rsidRPr="00FB089B">
              <w:rPr>
                <w:b/>
                <w:bCs/>
              </w:rPr>
              <w:t>0.</w:t>
            </w:r>
            <w:r w:rsidR="004E5931" w:rsidRPr="00FB089B">
              <w:rPr>
                <w:b/>
                <w:bCs/>
              </w:rPr>
              <w:t>5</w:t>
            </w:r>
          </w:p>
        </w:tc>
        <w:tc>
          <w:tcPr>
            <w:tcW w:w="2268" w:type="dxa"/>
            <w:tcBorders>
              <w:top w:val="nil"/>
              <w:bottom w:val="single" w:sz="4" w:space="0" w:color="BFBFBF" w:themeColor="background1" w:themeShade="BF"/>
            </w:tcBorders>
            <w:shd w:val="clear" w:color="auto" w:fill="auto"/>
          </w:tcPr>
          <w:p w14:paraId="3B8BB0C1" w14:textId="4999843F" w:rsidR="00150DF2" w:rsidRPr="00FB089B" w:rsidRDefault="00150DF2" w:rsidP="002C6024">
            <w:pPr>
              <w:pStyle w:val="TableBody"/>
              <w:spacing w:line="260" w:lineRule="atLeast"/>
              <w:ind w:right="57"/>
              <w:jc w:val="right"/>
              <w:rPr>
                <w:b/>
                <w:bCs/>
              </w:rPr>
            </w:pPr>
            <w:r w:rsidRPr="00FB089B">
              <w:rPr>
                <w:b/>
                <w:bCs/>
              </w:rPr>
              <w:t>0.</w:t>
            </w:r>
            <w:r w:rsidR="00BF48D7">
              <w:rPr>
                <w:b/>
                <w:bCs/>
              </w:rPr>
              <w:t>8</w:t>
            </w:r>
          </w:p>
        </w:tc>
      </w:tr>
    </w:tbl>
    <w:p w14:paraId="5FC028BA" w14:textId="77777777" w:rsidR="00150DF2" w:rsidRPr="009F3CEF" w:rsidRDefault="00150DF2" w:rsidP="00150DF2">
      <w:pPr>
        <w:pStyle w:val="Note"/>
        <w:rPr>
          <w:spacing w:val="-6"/>
        </w:rPr>
      </w:pPr>
      <w:r w:rsidRPr="009F3CEF">
        <w:rPr>
          <w:b/>
          <w:bCs/>
          <w:spacing w:val="-6"/>
        </w:rPr>
        <w:t>a.</w:t>
      </w:r>
      <w:r w:rsidRPr="009F3CEF">
        <w:rPr>
          <w:spacing w:val="-6"/>
        </w:rPr>
        <w:t xml:space="preserve"> Some figures will not appear to add correctly due to rounding to one decimal place. Gross value added (GVA) output is Gross domestic product (GDP) less taxes less subsidies on products and the statistical discrepancy. Labour productivity is the growth in output per unit of labour input. Multifactor productivity growth is the growth in gross value added less the growth of hours worked and capital services, each weighted by their share of total factor income. </w:t>
      </w:r>
      <w:r w:rsidRPr="009F3CEF">
        <w:rPr>
          <w:b/>
          <w:bCs/>
          <w:spacing w:val="-6"/>
        </w:rPr>
        <w:t>b.</w:t>
      </w:r>
      <w:r w:rsidRPr="009F3CEF">
        <w:rPr>
          <w:spacing w:val="-6"/>
        </w:rPr>
        <w:t xml:space="preserve"> All values are in real, chain weighted, terms.</w:t>
      </w:r>
    </w:p>
    <w:p w14:paraId="23DF069E" w14:textId="1D0CCF31" w:rsidR="00355FBC" w:rsidRDefault="00150DF2" w:rsidP="00F26BA6">
      <w:pPr>
        <w:pStyle w:val="Source"/>
        <w:rPr>
          <w:spacing w:val="-4"/>
        </w:rPr>
      </w:pPr>
      <w:r w:rsidRPr="00AB6D01">
        <w:rPr>
          <w:spacing w:val="-4"/>
        </w:rPr>
        <w:t>Sources: Estimates based on: ABS (202</w:t>
      </w:r>
      <w:r w:rsidR="005D7C26">
        <w:rPr>
          <w:spacing w:val="-4"/>
        </w:rPr>
        <w:t>3</w:t>
      </w:r>
      <w:r w:rsidRPr="00AB6D01">
        <w:rPr>
          <w:spacing w:val="-4"/>
        </w:rPr>
        <w:t>, Australian System of National Accounts, 202</w:t>
      </w:r>
      <w:r w:rsidR="005D7C26">
        <w:rPr>
          <w:spacing w:val="-4"/>
        </w:rPr>
        <w:t>2</w:t>
      </w:r>
      <w:r w:rsidRPr="00AB6D01">
        <w:rPr>
          <w:spacing w:val="-4"/>
        </w:rPr>
        <w:t>-2</w:t>
      </w:r>
      <w:r w:rsidR="005D7C26">
        <w:rPr>
          <w:spacing w:val="-4"/>
        </w:rPr>
        <w:t>3</w:t>
      </w:r>
      <w:r w:rsidRPr="00AB6D01">
        <w:rPr>
          <w:spacing w:val="-4"/>
        </w:rPr>
        <w:t>, 5204.0, tables 1 and 13).</w:t>
      </w:r>
    </w:p>
    <w:p w14:paraId="5B3841B3" w14:textId="77777777" w:rsidR="00DD1FE7" w:rsidRDefault="00DD1FE7" w:rsidP="00E27AC9">
      <w:pPr>
        <w:pStyle w:val="BodyText"/>
        <w:spacing w:line="290" w:lineRule="atLeast"/>
      </w:pPr>
      <w:r w:rsidRPr="00613665">
        <w:rPr>
          <w:rStyle w:val="normaltextrun"/>
        </w:rPr>
        <w:lastRenderedPageBreak/>
        <w:t>Changes in capital per worker are a key driver of changes in labour productivity.</w:t>
      </w:r>
      <w:r>
        <w:rPr>
          <w:rStyle w:val="normaltextrun"/>
        </w:rPr>
        <w:t xml:space="preserve"> </w:t>
      </w:r>
      <w:r w:rsidRPr="00613665" w:rsidDel="007A3436">
        <w:rPr>
          <w:rStyle w:val="normaltextrun"/>
        </w:rPr>
        <w:t xml:space="preserve">The increase in hours worked led to a decline in the </w:t>
      </w:r>
      <w:r w:rsidRPr="00613665" w:rsidDel="007A3436">
        <w:t xml:space="preserve">capital-labour ratio </w:t>
      </w:r>
      <w:r>
        <w:t>(</w:t>
      </w:r>
      <w:r w:rsidRPr="00613665" w:rsidDel="007A3436">
        <w:t>4.9% </w:t>
      </w:r>
      <w:r w:rsidRPr="00613665" w:rsidDel="007A3436">
        <w:rPr>
          <w:rStyle w:val="normaltextrun"/>
        </w:rPr>
        <w:t xml:space="preserve">– </w:t>
      </w:r>
      <w:r w:rsidRPr="00613665" w:rsidDel="007A3436">
        <w:t xml:space="preserve">the largest decline on record), as the capital stock did not keep pace. </w:t>
      </w:r>
      <w:r>
        <w:t xml:space="preserve">This resulted in a decline in labour productivity as workers had access to less capital, and as a result were, on average, less productive. </w:t>
      </w:r>
    </w:p>
    <w:p w14:paraId="183D606C" w14:textId="521054B1" w:rsidR="00DD1FE7" w:rsidRDefault="00DD1FE7" w:rsidP="00E27AC9">
      <w:pPr>
        <w:pStyle w:val="BodyText"/>
        <w:spacing w:line="290" w:lineRule="atLeast"/>
      </w:pPr>
      <w:r>
        <w:t>Last years’</w:t>
      </w:r>
      <w:r w:rsidRPr="0056078F">
        <w:t xml:space="preserve"> annual bulletin </w:t>
      </w:r>
      <w:r>
        <w:t>observed</w:t>
      </w:r>
      <w:r w:rsidRPr="0056078F">
        <w:t xml:space="preserve"> that labour productivity increased rapidly at the start of the pandemic, </w:t>
      </w:r>
      <w:r>
        <w:t>citing</w:t>
      </w:r>
      <w:r w:rsidRPr="0056078F">
        <w:t xml:space="preserve"> a rapid drop in hours worked, </w:t>
      </w:r>
      <w:r>
        <w:t>combined with</w:t>
      </w:r>
      <w:r w:rsidRPr="0056078F">
        <w:t xml:space="preserve"> relatively sticky output (PC 2023a). The decrease in labour productivity </w:t>
      </w:r>
      <w:r>
        <w:t>in 2022-23</w:t>
      </w:r>
      <w:r w:rsidRPr="0056078F">
        <w:t xml:space="preserve"> reversed gains observed at the start of the COVID-19 pandemic. The fall in labour productivity reflects, in part, an unwinding of the distortionary effects of the COVID</w:t>
      </w:r>
      <w:r w:rsidRPr="0056078F">
        <w:noBreakHyphen/>
        <w:t>19 pandemic (PC 2023c, p. 2)</w:t>
      </w:r>
      <w:r>
        <w:t xml:space="preserve">. </w:t>
      </w:r>
      <w:r w:rsidRPr="0056078F">
        <w:t>Overall</w:t>
      </w:r>
      <w:r>
        <w:t>,</w:t>
      </w:r>
      <w:r w:rsidRPr="0056078F">
        <w:t xml:space="preserve"> labour productivity was 0.8% above its pre-pandemic average at the end of 2023</w:t>
      </w:r>
      <w:r>
        <w:noBreakHyphen/>
      </w:r>
      <w:r w:rsidRPr="0056078F">
        <w:t>23</w:t>
      </w:r>
      <w:r>
        <w:t>, and</w:t>
      </w:r>
      <w:r w:rsidRPr="0056078F">
        <w:t xml:space="preserve"> 2.</w:t>
      </w:r>
      <w:r>
        <w:t>4</w:t>
      </w:r>
      <w:r w:rsidRPr="0056078F">
        <w:t>% above its pre-pandemic average at the end of 2022-23</w:t>
      </w:r>
      <w:r>
        <w:t xml:space="preserve"> within the market sector</w:t>
      </w:r>
      <w:r w:rsidRPr="44D285B0">
        <w:rPr>
          <w:rStyle w:val="normaltextrun"/>
        </w:rPr>
        <w:t>.</w:t>
      </w:r>
      <w:r>
        <w:rPr>
          <w:rStyle w:val="FootnoteReference"/>
        </w:rPr>
        <w:footnoteReference w:id="4"/>
      </w:r>
      <w:r>
        <w:rPr>
          <w:rStyle w:val="normaltextrun"/>
          <w:vertAlign w:val="superscript"/>
        </w:rPr>
        <w:t>,</w:t>
      </w:r>
      <w:r>
        <w:rPr>
          <w:rStyle w:val="FootnoteReference"/>
        </w:rPr>
        <w:footnoteReference w:id="5"/>
      </w:r>
    </w:p>
    <w:p w14:paraId="05A8D466" w14:textId="072ED680" w:rsidR="00DD1FE7" w:rsidRPr="00595787" w:rsidRDefault="00DD1FE7" w:rsidP="00E27AC9">
      <w:pPr>
        <w:pStyle w:val="BodyText"/>
        <w:spacing w:line="290" w:lineRule="atLeast"/>
        <w:rPr>
          <w:spacing w:val="-4"/>
        </w:rPr>
      </w:pPr>
      <w:r w:rsidRPr="00595787">
        <w:rPr>
          <w:spacing w:val="-4"/>
        </w:rPr>
        <w:t>Looking beyond the 2022-23 annual data, the decline in labour productivity appears to have halted in the first quarter of the 2023-24 financial year, although this is largely attributable to a fall in hours worked (PC 2023c, p. 2).</w:t>
      </w:r>
    </w:p>
    <w:p w14:paraId="035BDE75" w14:textId="01E7526E" w:rsidR="001E293D" w:rsidRPr="0056078F" w:rsidRDefault="001E293D" w:rsidP="0056078F">
      <w:pPr>
        <w:pStyle w:val="Heading4"/>
        <w:rPr>
          <w:rStyle w:val="normaltextrun"/>
        </w:rPr>
      </w:pPr>
      <w:r w:rsidRPr="44B41408">
        <w:rPr>
          <w:rStyle w:val="normaltextrun"/>
        </w:rPr>
        <w:t xml:space="preserve">Multifactor productivity </w:t>
      </w:r>
      <w:r w:rsidR="005C4ED2" w:rsidRPr="44B41408">
        <w:rPr>
          <w:rStyle w:val="normaltextrun"/>
        </w:rPr>
        <w:t>decline</w:t>
      </w:r>
      <w:r w:rsidR="00B74DEE" w:rsidRPr="44B41408">
        <w:rPr>
          <w:rStyle w:val="normaltextrun"/>
        </w:rPr>
        <w:t>d</w:t>
      </w:r>
      <w:r w:rsidR="005C4ED2" w:rsidRPr="44B41408">
        <w:rPr>
          <w:rStyle w:val="normaltextrun"/>
        </w:rPr>
        <w:t xml:space="preserve"> </w:t>
      </w:r>
      <w:r w:rsidR="009748D8" w:rsidRPr="44B41408">
        <w:rPr>
          <w:rStyle w:val="normaltextrun"/>
        </w:rPr>
        <w:t>possibly</w:t>
      </w:r>
      <w:r w:rsidR="005C4ED2" w:rsidRPr="44B41408">
        <w:rPr>
          <w:rStyle w:val="normaltextrun"/>
        </w:rPr>
        <w:t xml:space="preserve"> due to a labour </w:t>
      </w:r>
      <w:r w:rsidR="00C57136">
        <w:rPr>
          <w:rStyle w:val="normaltextrun"/>
        </w:rPr>
        <w:t xml:space="preserve">measurement </w:t>
      </w:r>
      <w:r w:rsidR="005C4ED2" w:rsidRPr="44B41408">
        <w:rPr>
          <w:rStyle w:val="normaltextrun"/>
        </w:rPr>
        <w:t>effect</w:t>
      </w:r>
    </w:p>
    <w:p w14:paraId="7671E80C" w14:textId="055A5637" w:rsidR="001E293D" w:rsidRPr="0091087B" w:rsidRDefault="001E293D" w:rsidP="00E27AC9">
      <w:pPr>
        <w:pStyle w:val="BodyText"/>
        <w:spacing w:line="290" w:lineRule="atLeast"/>
        <w:rPr>
          <w:rStyle w:val="normaltextrun"/>
          <w:spacing w:val="-2"/>
        </w:rPr>
      </w:pPr>
      <w:r w:rsidRPr="0091087B">
        <w:rPr>
          <w:rStyle w:val="normaltextrun"/>
          <w:spacing w:val="-2"/>
        </w:rPr>
        <w:t>MFP fell by 0.5% in the market sector as growth in combined inputs</w:t>
      </w:r>
      <w:r w:rsidRPr="0091087B">
        <w:rPr>
          <w:rStyle w:val="FootnoteReference"/>
          <w:spacing w:val="-2"/>
        </w:rPr>
        <w:footnoteReference w:id="6"/>
      </w:r>
      <w:r w:rsidRPr="0091087B">
        <w:rPr>
          <w:rStyle w:val="normaltextrun"/>
          <w:spacing w:val="-2"/>
        </w:rPr>
        <w:t xml:space="preserve"> (4.3%) outpaced growth in </w:t>
      </w:r>
      <w:r w:rsidRPr="0091087B">
        <w:rPr>
          <w:spacing w:val="-2"/>
        </w:rPr>
        <w:t>output</w:t>
      </w:r>
      <w:r w:rsidR="0085325B" w:rsidRPr="0091087B">
        <w:rPr>
          <w:spacing w:val="-2"/>
        </w:rPr>
        <w:t> </w:t>
      </w:r>
      <w:r w:rsidRPr="0091087B">
        <w:rPr>
          <w:spacing w:val="-2"/>
        </w:rPr>
        <w:t>(3.8%).</w:t>
      </w:r>
    </w:p>
    <w:p w14:paraId="6616FF98" w14:textId="77777777" w:rsidR="00E27AC9" w:rsidRDefault="00BF6C26" w:rsidP="00E27AC9">
      <w:pPr>
        <w:pStyle w:val="BodyText"/>
        <w:spacing w:line="290" w:lineRule="atLeast"/>
      </w:pPr>
      <w:r>
        <w:rPr>
          <w:rStyle w:val="ui-provider"/>
        </w:rPr>
        <w:t>Figure 1 decomposes labour productivity growth into MFP growth and productivity growth attributable to capital deepening.</w:t>
      </w:r>
      <w:r w:rsidR="00D90E38">
        <w:rPr>
          <w:rStyle w:val="normaltextrun"/>
          <w:spacing w:val="-4"/>
        </w:rPr>
        <w:t xml:space="preserve"> </w:t>
      </w:r>
      <w:r w:rsidR="00D90E38" w:rsidRPr="00425173">
        <w:t>While the increase in hours worked drove most of the fall in labour productivity</w:t>
      </w:r>
      <w:r w:rsidR="006E1337">
        <w:t>,</w:t>
      </w:r>
      <w:r w:rsidR="005A61E2" w:rsidRPr="00425173">
        <w:t xml:space="preserve"> a negative MFP also contributed to the decline</w:t>
      </w:r>
      <w:r w:rsidR="005A61E2">
        <w:t>.</w:t>
      </w:r>
      <w:r w:rsidR="00D90E38">
        <w:t xml:space="preserve"> </w:t>
      </w:r>
      <w:r w:rsidR="00646F3A" w:rsidRPr="00646F3A">
        <w:t>As hours worked increase, and capital per worker declined, we would expect labour productivity to fall, which is consistent with what is observed. MFP however is not traditionally impacted by declines in the capital</w:t>
      </w:r>
      <w:r w:rsidR="00646F3A" w:rsidRPr="00646F3A">
        <w:rPr>
          <w:rFonts w:ascii="Cambria Math" w:hAnsi="Cambria Math" w:cs="Cambria Math"/>
        </w:rPr>
        <w:t>‑</w:t>
      </w:r>
      <w:r w:rsidR="00646F3A" w:rsidRPr="00646F3A">
        <w:t xml:space="preserve">labour ratio, but in a tight labour market the negative MFP may be due to a labour measurement effect. </w:t>
      </w:r>
    </w:p>
    <w:p w14:paraId="2E73E8FD" w14:textId="503A4286" w:rsidR="00D90E38" w:rsidRPr="00425173" w:rsidRDefault="00646F3A" w:rsidP="00E27AC9">
      <w:pPr>
        <w:pStyle w:val="BodyText"/>
        <w:spacing w:line="290" w:lineRule="atLeast"/>
      </w:pPr>
      <w:r w:rsidRPr="00646F3A">
        <w:t>The 2022</w:t>
      </w:r>
      <w:r w:rsidRPr="00646F3A">
        <w:rPr>
          <w:rFonts w:ascii="Cambria Math" w:hAnsi="Cambria Math" w:cs="Cambria Math"/>
        </w:rPr>
        <w:t>‑</w:t>
      </w:r>
      <w:r w:rsidRPr="00646F3A">
        <w:t>23 fall in MFP suggests that the additional hours worked did not produce a commensurate increase in output. In other words, on average, new workers did not match the (measured) productivity of those already in the workforce, bringing overall productivity down. Because the labour productivity figures do not adjust for the quality of labour, any change in quality is captured by MFP. A decline in MFP there partly reflects that some of the additional hours were worked by less experienced or less productive labour. The decline in MFP also, in part, reflects that the increase in hours was more likely to occur in relatively low</w:t>
      </w:r>
      <w:r w:rsidRPr="00646F3A">
        <w:rPr>
          <w:rFonts w:ascii="Cambria Math" w:hAnsi="Cambria Math" w:cs="Cambria Math"/>
        </w:rPr>
        <w:t>‑</w:t>
      </w:r>
      <w:r w:rsidRPr="00646F3A">
        <w:t>productivity sectors.</w:t>
      </w:r>
    </w:p>
    <w:p w14:paraId="054AEA0F" w14:textId="2613B1EE" w:rsidR="005A7574" w:rsidRPr="00146382" w:rsidRDefault="005A7574" w:rsidP="005A7574">
      <w:pPr>
        <w:pStyle w:val="FigureTableHeading"/>
      </w:pPr>
      <w:r>
        <w:lastRenderedPageBreak/>
        <w:t xml:space="preserve">Figure 1 – MFP fell </w:t>
      </w:r>
      <w:r w:rsidR="008825BD">
        <w:t xml:space="preserve">by 0.5% in the market sector </w:t>
      </w:r>
      <w:r>
        <w:t>in 2022-23</w:t>
      </w:r>
    </w:p>
    <w:p w14:paraId="57DABCA6" w14:textId="1733723F" w:rsidR="00BE4CDB" w:rsidRDefault="00A35B5B" w:rsidP="00B46B93">
      <w:pPr>
        <w:pStyle w:val="FigureTableSubheading"/>
        <w:keepLines/>
        <w:rPr>
          <w:noProof/>
        </w:rPr>
      </w:pPr>
      <w:r>
        <w:t xml:space="preserve">Labour productivity growth and </w:t>
      </w:r>
      <w:r w:rsidR="003B05F3">
        <w:t xml:space="preserve">the </w:t>
      </w:r>
      <w:r>
        <w:t xml:space="preserve">contributions </w:t>
      </w:r>
      <w:r w:rsidR="007D62DE">
        <w:t xml:space="preserve">from </w:t>
      </w:r>
      <w:r w:rsidR="005A7574">
        <w:t xml:space="preserve">capital </w:t>
      </w:r>
      <w:r w:rsidR="00DA72F9">
        <w:t>deepening</w:t>
      </w:r>
      <w:r w:rsidR="005A7574">
        <w:t xml:space="preserve"> and </w:t>
      </w:r>
      <w:r w:rsidR="007D62DE">
        <w:t>M</w:t>
      </w:r>
      <w:r w:rsidR="003B05F3">
        <w:t>F</w:t>
      </w:r>
      <w:r w:rsidR="007D62DE">
        <w:t xml:space="preserve">P </w:t>
      </w:r>
      <w:r w:rsidR="005A7574">
        <w:t>in the market sector</w:t>
      </w:r>
    </w:p>
    <w:p w14:paraId="323B0F7F" w14:textId="7274B0F8" w:rsidR="005A7574" w:rsidRDefault="00590AF7" w:rsidP="005A7574">
      <w:pPr>
        <w:pStyle w:val="Note"/>
        <w:keepLines/>
      </w:pPr>
      <w:r w:rsidRPr="00590AF7">
        <w:rPr>
          <w:noProof/>
        </w:rPr>
        <w:drawing>
          <wp:inline distT="0" distB="0" distL="0" distR="0" wp14:anchorId="6C28760C" wp14:editId="5507E2AF">
            <wp:extent cx="6120130" cy="2877820"/>
            <wp:effectExtent l="0" t="0" r="0" b="0"/>
            <wp:docPr id="393898475" name="Picture 8" descr="This figure is a stacked column chart that has financial years on the x-axis and growth rate on the y-axis. The chart decomposes labour productivity growth from 1998 to 2023 into growth from Multifactor Productivity and growth from capital deepening; that is, growth from increases in the capital to labour ratio. The chart shows that MFP fell in 2022-23 for only the second time since 2011. It also shows that the major driver of the decline in labour productivity in 2022-23 was from capital shallowing, where each unit of labour had less capital to utilise. MFP was also negative suggesting firms were using the inputs they did have less effici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98475" name="Picture 8" descr="This figure is a stacked column chart that has financial years on the x-axis and growth rate on the y-axis. The chart decomposes labour productivity growth from 1998 to 2023 into growth from Multifactor Productivity and growth from capital deepening; that is, growth from increases in the capital to labour ratio. The chart shows that MFP fell in 2022-23 for only the second time since 2011. It also shows that the major driver of the decline in labour productivity in 2022-23 was from capital shallowing, where each unit of labour had less capital to utilise. MFP was also negative suggesting firms were using the inputs they did have less efficientl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2877820"/>
                    </a:xfrm>
                    <a:prstGeom prst="rect">
                      <a:avLst/>
                    </a:prstGeom>
                    <a:noFill/>
                    <a:ln>
                      <a:noFill/>
                    </a:ln>
                  </pic:spPr>
                </pic:pic>
              </a:graphicData>
            </a:graphic>
          </wp:inline>
        </w:drawing>
      </w:r>
      <w:r w:rsidR="005A7574">
        <w:t xml:space="preserve"> </w:t>
      </w:r>
    </w:p>
    <w:p w14:paraId="1ECE5654" w14:textId="50DC6932" w:rsidR="005A7574" w:rsidRPr="00922A09" w:rsidRDefault="005A7574" w:rsidP="005A7574">
      <w:pPr>
        <w:pStyle w:val="Source"/>
      </w:pPr>
      <w:r w:rsidRPr="00AB6D01">
        <w:t>Source: Commission estimates using ABS (202</w:t>
      </w:r>
      <w:r>
        <w:t>3</w:t>
      </w:r>
      <w:r w:rsidRPr="00AB6D01">
        <w:t xml:space="preserve">, </w:t>
      </w:r>
      <w:r w:rsidRPr="00922A09">
        <w:t>Australian System of National Accounts</w:t>
      </w:r>
      <w:r w:rsidRPr="00AB6D01">
        <w:t>, 202</w:t>
      </w:r>
      <w:r>
        <w:t>2</w:t>
      </w:r>
      <w:r w:rsidRPr="00AB6D01">
        <w:t>-2</w:t>
      </w:r>
      <w:r>
        <w:t>3</w:t>
      </w:r>
      <w:r w:rsidRPr="00AB6D01">
        <w:t>, 5204.0, table 1</w:t>
      </w:r>
      <w:r w:rsidR="0090550D">
        <w:t>3</w:t>
      </w:r>
      <w:r w:rsidRPr="00AB6D01">
        <w:t>).</w:t>
      </w:r>
    </w:p>
    <w:p w14:paraId="0A4C5741" w14:textId="350C5E7B" w:rsidR="00B93DE1" w:rsidRPr="00406C70" w:rsidDel="00BA5C83" w:rsidRDefault="002C43FC" w:rsidP="00406C70">
      <w:pPr>
        <w:pStyle w:val="BodyText"/>
      </w:pPr>
      <w:r w:rsidRPr="00406C70">
        <w:t xml:space="preserve">At an industry-level, </w:t>
      </w:r>
      <w:r w:rsidR="00662E13" w:rsidRPr="00406C70">
        <w:t xml:space="preserve">the </w:t>
      </w:r>
      <w:r w:rsidR="00186E8E" w:rsidRPr="00406C70">
        <w:t>w</w:t>
      </w:r>
      <w:r w:rsidR="00F564CA" w:rsidRPr="00406C70">
        <w:t xml:space="preserve">holesale trade </w:t>
      </w:r>
      <w:r w:rsidR="00D36D3C" w:rsidRPr="00406C70">
        <w:t>industry contribute</w:t>
      </w:r>
      <w:r w:rsidR="00F564CA" w:rsidRPr="00406C70">
        <w:t>d</w:t>
      </w:r>
      <w:r w:rsidR="00D36D3C" w:rsidRPr="00406C70">
        <w:t xml:space="preserve"> to the largest decline in market sector MFP growth</w:t>
      </w:r>
      <w:r w:rsidR="002E3CE0" w:rsidRPr="00406C70">
        <w:t xml:space="preserve">; </w:t>
      </w:r>
      <w:r w:rsidR="00F564CA" w:rsidRPr="00406C70">
        <w:t xml:space="preserve">accounting for </w:t>
      </w:r>
      <w:r w:rsidR="002E3CE0" w:rsidRPr="00406C70">
        <w:t>0.4 percentage points of the 0.5</w:t>
      </w:r>
      <w:r w:rsidR="008D78DB" w:rsidRPr="00406C70">
        <w:t>% decrease</w:t>
      </w:r>
      <w:r w:rsidR="009A5E6D" w:rsidRPr="00406C70">
        <w:t xml:space="preserve">, followed by </w:t>
      </w:r>
      <w:r w:rsidR="00EF0092" w:rsidRPr="00406C70">
        <w:t xml:space="preserve">rental, hiring and </w:t>
      </w:r>
      <w:r w:rsidR="00CC7815" w:rsidRPr="00406C70">
        <w:t xml:space="preserve">real estate services </w:t>
      </w:r>
      <w:r w:rsidR="00CC7815">
        <w:t>(</w:t>
      </w:r>
      <w:r w:rsidR="00E70CC8" w:rsidRPr="00406C70">
        <w:t>0.2 percentage points)</w:t>
      </w:r>
      <w:r w:rsidR="001864BC" w:rsidRPr="00406C70">
        <w:t xml:space="preserve">. </w:t>
      </w:r>
      <w:r w:rsidR="00CC7815" w:rsidRPr="00406C70">
        <w:t xml:space="preserve">These industries had slightly different </w:t>
      </w:r>
      <w:r w:rsidR="00186E8E" w:rsidRPr="00406C70">
        <w:t>changes in input</w:t>
      </w:r>
      <w:r w:rsidR="00490423" w:rsidRPr="00406C70">
        <w:t>s</w:t>
      </w:r>
      <w:r w:rsidR="00186E8E" w:rsidRPr="00406C70">
        <w:t xml:space="preserve"> – wholesale trade </w:t>
      </w:r>
      <w:r w:rsidRPr="00406C70">
        <w:t>had</w:t>
      </w:r>
      <w:r w:rsidR="00162B14" w:rsidRPr="00406C70">
        <w:t xml:space="preserve"> the </w:t>
      </w:r>
      <w:r w:rsidR="00856F61" w:rsidRPr="00406C70">
        <w:t>third</w:t>
      </w:r>
      <w:r w:rsidR="001864BC" w:rsidRPr="00406C70">
        <w:t xml:space="preserve"> </w:t>
      </w:r>
      <w:r w:rsidR="00162B14" w:rsidRPr="00406C70">
        <w:t xml:space="preserve">largest </w:t>
      </w:r>
      <w:r w:rsidR="001864BC" w:rsidRPr="00406C70">
        <w:t>increase</w:t>
      </w:r>
      <w:r w:rsidR="00162B14" w:rsidRPr="00406C70">
        <w:t xml:space="preserve"> in hours worked</w:t>
      </w:r>
      <w:r w:rsidR="001864BC" w:rsidRPr="00406C70">
        <w:t xml:space="preserve"> </w:t>
      </w:r>
      <w:r w:rsidR="00186E8E" w:rsidRPr="00406C70">
        <w:t>(</w:t>
      </w:r>
      <w:r w:rsidR="00F564CA" w:rsidRPr="00406C70">
        <w:t>15.7%</w:t>
      </w:r>
      <w:r w:rsidR="00186E8E" w:rsidRPr="00406C70">
        <w:t>)</w:t>
      </w:r>
      <w:r w:rsidR="003D424E" w:rsidRPr="00406C70">
        <w:t>,</w:t>
      </w:r>
      <w:r w:rsidR="00186E8E" w:rsidRPr="00406C70">
        <w:t xml:space="preserve"> which was not matched by increased output (only </w:t>
      </w:r>
      <w:r w:rsidR="0018240E" w:rsidRPr="00406C70">
        <w:t>2.5%)</w:t>
      </w:r>
      <w:r w:rsidR="002A60DF" w:rsidRPr="00406C70">
        <w:t xml:space="preserve">, indicating possible difficulties </w:t>
      </w:r>
      <w:r w:rsidR="002673AF">
        <w:t xml:space="preserve">to </w:t>
      </w:r>
      <w:r w:rsidR="002A60DF" w:rsidRPr="00406C70">
        <w:t>absorb new labour</w:t>
      </w:r>
      <w:r w:rsidR="0018240E" w:rsidRPr="00406C70">
        <w:t>. Rental, hiring and real estate services</w:t>
      </w:r>
      <w:r w:rsidR="00CB1402" w:rsidRPr="00406C70">
        <w:t xml:space="preserve"> </w:t>
      </w:r>
      <w:r w:rsidR="0018240E" w:rsidRPr="00406C70">
        <w:t>had relatively modest growth in hours worked (</w:t>
      </w:r>
      <w:r w:rsidR="00CE47F5" w:rsidRPr="00406C70">
        <w:t>6.1%) but almost no growth in output</w:t>
      </w:r>
      <w:r w:rsidR="00BB41BF" w:rsidRPr="00406C70">
        <w:t>.</w:t>
      </w:r>
    </w:p>
    <w:p w14:paraId="05EC5CC9" w14:textId="38C28E1A" w:rsidR="00B845AF" w:rsidRPr="00406C70" w:rsidRDefault="00625666" w:rsidP="00406C70">
      <w:pPr>
        <w:pStyle w:val="BodyText"/>
        <w:rPr>
          <w:rStyle w:val="normaltextrun"/>
        </w:rPr>
      </w:pPr>
      <w:r w:rsidRPr="00406C70">
        <w:t>Despite this fall, MFP was 2.</w:t>
      </w:r>
      <w:r w:rsidR="0040786B">
        <w:t>6</w:t>
      </w:r>
      <w:r w:rsidRPr="00406C70">
        <w:t xml:space="preserve">% </w:t>
      </w:r>
      <w:r w:rsidRPr="00406C70">
        <w:rPr>
          <w:rStyle w:val="normaltextrun"/>
        </w:rPr>
        <w:t>higher at the end of 2022-23 than it was pre-COVID (2018-19)</w:t>
      </w:r>
      <w:r w:rsidRPr="00406C70">
        <w:t xml:space="preserve">, </w:t>
      </w:r>
      <w:r w:rsidR="00B845AF" w:rsidRPr="00406C70">
        <w:rPr>
          <w:rStyle w:val="normaltextrun"/>
        </w:rPr>
        <w:t xml:space="preserve">as output in the market sector has grown faster than combined inputs over the past five years. </w:t>
      </w:r>
    </w:p>
    <w:p w14:paraId="67FE3F38" w14:textId="5EB1620D" w:rsidR="00720349" w:rsidRPr="00C94C36" w:rsidRDefault="00720349" w:rsidP="00720349">
      <w:pPr>
        <w:pStyle w:val="Heading3"/>
      </w:pPr>
      <w:r>
        <w:t>The fall in labour productivity hurt incomes</w:t>
      </w:r>
    </w:p>
    <w:p w14:paraId="1FCC3604" w14:textId="073E7696" w:rsidR="00720349" w:rsidRDefault="00720349" w:rsidP="00720349">
      <w:pPr>
        <w:pStyle w:val="BodyText"/>
        <w:rPr>
          <w:rStyle w:val="normaltextrun"/>
        </w:rPr>
      </w:pPr>
      <w:r w:rsidRPr="00CB5AB2">
        <w:t>Productivity growth is the main driver of long-term income growth.</w:t>
      </w:r>
      <w:r w:rsidRPr="00DF5C26">
        <w:rPr>
          <w:rStyle w:val="FootnoteReference"/>
        </w:rPr>
        <w:footnoteReference w:id="7"/>
      </w:r>
      <w:r w:rsidRPr="00CB5AB2">
        <w:rPr>
          <w:rStyle w:val="normaltextrun"/>
        </w:rPr>
        <w:t xml:space="preserve"> </w:t>
      </w:r>
      <w:r>
        <w:t>This is because</w:t>
      </w:r>
      <w:r w:rsidRPr="007E38E9">
        <w:t xml:space="preserve"> real income growth </w:t>
      </w:r>
      <w:r>
        <w:t>generally follows its</w:t>
      </w:r>
      <w:r w:rsidRPr="007E38E9">
        <w:t xml:space="preserve"> longer-term</w:t>
      </w:r>
      <w:r>
        <w:rPr>
          <w:rStyle w:val="normaltextrun"/>
        </w:rPr>
        <w:t xml:space="preserve"> </w:t>
      </w:r>
      <w:r w:rsidRPr="007E38E9">
        <w:t xml:space="preserve">relationship with labour productivity growth </w:t>
      </w:r>
      <w:r w:rsidR="006C30D0" w:rsidRPr="006C30D0">
        <w:rPr>
          <w:rFonts w:ascii="Arial" w:hAnsi="Arial" w:cs="Arial"/>
        </w:rPr>
        <w:t>(PC 2022, pp. 13–14)</w:t>
      </w:r>
      <w:r w:rsidRPr="007E38E9">
        <w:t>.</w:t>
      </w:r>
    </w:p>
    <w:p w14:paraId="7FD68386" w14:textId="6AC3684F" w:rsidR="008443B1" w:rsidRPr="00BF7DE7" w:rsidRDefault="00720349" w:rsidP="00190115">
      <w:pPr>
        <w:pStyle w:val="BodyText"/>
        <w:rPr>
          <w:rStyle w:val="normaltextrun"/>
        </w:rPr>
      </w:pPr>
      <w:r w:rsidRPr="00CB5AB2">
        <w:t xml:space="preserve">Despite </w:t>
      </w:r>
      <w:r>
        <w:t xml:space="preserve">a fall in </w:t>
      </w:r>
      <w:r w:rsidRPr="00CB5AB2">
        <w:t xml:space="preserve">labour productivity </w:t>
      </w:r>
      <w:r>
        <w:t>over 2022-23</w:t>
      </w:r>
      <w:r w:rsidRPr="00CB5AB2">
        <w:t xml:space="preserve">, </w:t>
      </w:r>
      <w:r w:rsidR="00C92A0E">
        <w:t xml:space="preserve">gross national income </w:t>
      </w:r>
      <w:r w:rsidR="003A590B">
        <w:t>grew</w:t>
      </w:r>
      <w:r w:rsidRPr="00CB5AB2">
        <w:t xml:space="preserve"> </w:t>
      </w:r>
      <w:r>
        <w:t xml:space="preserve">by 0.4% </w:t>
      </w:r>
      <w:r w:rsidRPr="00CB5AB2">
        <w:t xml:space="preserve">(figure </w:t>
      </w:r>
      <w:r>
        <w:t>2</w:t>
      </w:r>
      <w:r w:rsidRPr="00CB5AB2">
        <w:t>)</w:t>
      </w:r>
      <w:r>
        <w:t xml:space="preserve">. </w:t>
      </w:r>
      <w:r w:rsidR="000D1219">
        <w:t xml:space="preserve">The growth in income </w:t>
      </w:r>
      <w:r w:rsidRPr="00CB5AB2">
        <w:t xml:space="preserve">was </w:t>
      </w:r>
      <w:r>
        <w:t>driven by increased labour utilisation as Australians worked more hours.</w:t>
      </w:r>
      <w:r w:rsidR="00BF7DE7">
        <w:t xml:space="preserve"> </w:t>
      </w:r>
      <w:r w:rsidR="00F936EE">
        <w:t>G</w:t>
      </w:r>
      <w:r w:rsidR="00BF7DE7">
        <w:t xml:space="preserve">iven Australia </w:t>
      </w:r>
      <w:r w:rsidR="007D5413">
        <w:t xml:space="preserve">was </w:t>
      </w:r>
      <w:r w:rsidR="00BF7DE7">
        <w:t>near historical high levels of labour force participation</w:t>
      </w:r>
      <w:r w:rsidR="007D5413">
        <w:t xml:space="preserve"> at the end of 2022-23</w:t>
      </w:r>
      <w:r w:rsidR="00517DA8">
        <w:t>,</w:t>
      </w:r>
      <w:r>
        <w:t xml:space="preserve"> </w:t>
      </w:r>
      <w:r w:rsidR="00894129">
        <w:rPr>
          <w:rStyle w:val="ui-provider"/>
        </w:rPr>
        <w:t>l</w:t>
      </w:r>
      <w:r w:rsidR="005061CC">
        <w:rPr>
          <w:rStyle w:val="ui-provider"/>
        </w:rPr>
        <w:t>abo</w:t>
      </w:r>
      <w:r w:rsidR="00894129">
        <w:rPr>
          <w:rStyle w:val="ui-provider"/>
        </w:rPr>
        <w:t>u</w:t>
      </w:r>
      <w:r w:rsidR="005061CC">
        <w:rPr>
          <w:rStyle w:val="ui-provider"/>
        </w:rPr>
        <w:t>r utilisation is unlikely to be a major driver of future income growth. </w:t>
      </w:r>
    </w:p>
    <w:p w14:paraId="2AA5DB2C" w14:textId="57003561" w:rsidR="003A4A12" w:rsidRPr="00146382" w:rsidRDefault="003A4A12" w:rsidP="003A4A12">
      <w:pPr>
        <w:pStyle w:val="FigureTableHeading"/>
      </w:pPr>
      <w:r>
        <w:lastRenderedPageBreak/>
        <w:t xml:space="preserve">Figure </w:t>
      </w:r>
      <w:r w:rsidR="001B5C80">
        <w:t>2</w:t>
      </w:r>
      <w:r>
        <w:rPr>
          <w:noProof/>
        </w:rPr>
        <w:t xml:space="preserve"> </w:t>
      </w:r>
      <w:r>
        <w:t>–</w:t>
      </w:r>
      <w:r w:rsidR="007704EC">
        <w:t xml:space="preserve"> </w:t>
      </w:r>
      <w:r w:rsidR="00824E3E">
        <w:t xml:space="preserve">The fall in labour productivity </w:t>
      </w:r>
      <w:r w:rsidR="008A21AE">
        <w:t>weighed down national income growth</w:t>
      </w:r>
    </w:p>
    <w:p w14:paraId="37D5F24A" w14:textId="379D5EC0" w:rsidR="003A4A12" w:rsidRPr="008C432B" w:rsidRDefault="004D30A9" w:rsidP="003A4A12">
      <w:pPr>
        <w:pStyle w:val="FigureTableSubheading"/>
        <w:keepLines/>
        <w:rPr>
          <w:spacing w:val="-8"/>
          <w:vertAlign w:val="superscript"/>
        </w:rPr>
      </w:pPr>
      <w:r>
        <w:rPr>
          <w:spacing w:val="-8"/>
        </w:rPr>
        <w:t>G</w:t>
      </w:r>
      <w:r w:rsidR="003A4A12" w:rsidRPr="008C432B">
        <w:rPr>
          <w:spacing w:val="-8"/>
        </w:rPr>
        <w:t xml:space="preserve">rowth in gross national income and labour productivity, and the contributions from labour </w:t>
      </w:r>
      <w:proofErr w:type="spellStart"/>
      <w:r w:rsidR="003A4A12" w:rsidRPr="008C432B">
        <w:rPr>
          <w:spacing w:val="-8"/>
        </w:rPr>
        <w:t>utilisation</w:t>
      </w:r>
      <w:r w:rsidR="003A4A12" w:rsidRPr="008C432B">
        <w:rPr>
          <w:spacing w:val="-8"/>
          <w:vertAlign w:val="superscript"/>
        </w:rPr>
        <w:t>a</w:t>
      </w:r>
      <w:proofErr w:type="spellEnd"/>
      <w:r w:rsidR="003A4A12" w:rsidRPr="008C432B">
        <w:rPr>
          <w:spacing w:val="-8"/>
        </w:rPr>
        <w:t xml:space="preserve">, the terms of </w:t>
      </w:r>
      <w:proofErr w:type="spellStart"/>
      <w:r w:rsidR="003A4A12" w:rsidRPr="008C432B">
        <w:rPr>
          <w:spacing w:val="-8"/>
        </w:rPr>
        <w:t>trade</w:t>
      </w:r>
      <w:r w:rsidR="003A4A12" w:rsidRPr="008C432B">
        <w:rPr>
          <w:spacing w:val="-8"/>
          <w:vertAlign w:val="superscript"/>
        </w:rPr>
        <w:t>b</w:t>
      </w:r>
      <w:proofErr w:type="spellEnd"/>
      <w:r w:rsidR="003A4A12" w:rsidRPr="008C432B">
        <w:rPr>
          <w:spacing w:val="-8"/>
        </w:rPr>
        <w:t xml:space="preserve">, and the net inflow of foreign </w:t>
      </w:r>
      <w:proofErr w:type="spellStart"/>
      <w:r w:rsidR="003A4A12" w:rsidRPr="008C432B">
        <w:rPr>
          <w:spacing w:val="-8"/>
        </w:rPr>
        <w:t>income</w:t>
      </w:r>
      <w:r w:rsidR="003A4A12" w:rsidRPr="008C432B">
        <w:rPr>
          <w:spacing w:val="-8"/>
          <w:vertAlign w:val="superscript"/>
        </w:rPr>
        <w:t>c</w:t>
      </w:r>
      <w:proofErr w:type="spellEnd"/>
    </w:p>
    <w:p w14:paraId="25BCC96A" w14:textId="3E0A7242" w:rsidR="003A4A12" w:rsidRDefault="0031793E" w:rsidP="003A4A12">
      <w:pPr>
        <w:pStyle w:val="Note"/>
        <w:rPr>
          <w:b/>
          <w:bCs/>
        </w:rPr>
      </w:pPr>
      <w:r w:rsidRPr="0031793E">
        <w:rPr>
          <w:noProof/>
        </w:rPr>
        <w:drawing>
          <wp:inline distT="0" distB="0" distL="0" distR="0" wp14:anchorId="76BB356E" wp14:editId="0DB0D1DC">
            <wp:extent cx="6120130" cy="2874010"/>
            <wp:effectExtent l="0" t="0" r="0" b="0"/>
            <wp:docPr id="1795271224" name="Picture 4" descr="This figure is a column chart. The figure shows the components of gross national income (GNI) per capita from 1998 to 2023. Growth in GNI per capita can be decomposed into the contributions from: labour productivity (production per hour); labour utilisation; the terms of trade (which boost the income from production); and the net flow of foreign income (the income from overseas assets owned by Australians minus the income paid to foreigners from domestic assets).&#10;The figure shows the fall in labour productivity weighed down on national income growth. However, despite a fall in labour productivity over 2022-23, incomes grew by 0.4%. The growth in income was driven by increased labour utilisation as Australians worked more hou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71224" name="Picture 4" descr="This figure is a column chart. The figure shows the components of gross national income (GNI) per capita from 1998 to 2023. Growth in GNI per capita can be decomposed into the contributions from: labour productivity (production per hour); labour utilisation; the terms of trade (which boost the income from production); and the net flow of foreign income (the income from overseas assets owned by Australians minus the income paid to foreigners from domestic assets).&#10;The figure shows the fall in labour productivity weighed down on national income growth. However, despite a fall in labour productivity over 2022-23, incomes grew by 0.4%. The growth in income was driven by increased labour utilisation as Australians worked more hours.&#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2874010"/>
                    </a:xfrm>
                    <a:prstGeom prst="rect">
                      <a:avLst/>
                    </a:prstGeom>
                    <a:noFill/>
                    <a:ln>
                      <a:noFill/>
                    </a:ln>
                  </pic:spPr>
                </pic:pic>
              </a:graphicData>
            </a:graphic>
          </wp:inline>
        </w:drawing>
      </w:r>
      <w:r w:rsidR="416E7B05" w:rsidRPr="0CF3005A">
        <w:rPr>
          <w:b/>
          <w:bCs/>
        </w:rPr>
        <w:t xml:space="preserve"> </w:t>
      </w:r>
    </w:p>
    <w:p w14:paraId="5687BAC1" w14:textId="425CDFAA" w:rsidR="003A4A12" w:rsidRDefault="003A4A12" w:rsidP="003A4A12">
      <w:pPr>
        <w:pStyle w:val="Note"/>
      </w:pPr>
      <w:r w:rsidRPr="00180E66">
        <w:rPr>
          <w:b/>
          <w:bCs/>
        </w:rPr>
        <w:t>a.</w:t>
      </w:r>
      <w:r>
        <w:t xml:space="preserve"> The effect of labour utilisation is defined as the difference between </w:t>
      </w:r>
      <w:proofErr w:type="gramStart"/>
      <w:r>
        <w:t>GDP</w:t>
      </w:r>
      <w:proofErr w:type="gramEnd"/>
      <w:r>
        <w:t xml:space="preserve"> per capita growth and labour productivity growth. </w:t>
      </w:r>
      <w:r w:rsidRPr="00180E66">
        <w:rPr>
          <w:b/>
          <w:bCs/>
        </w:rPr>
        <w:t>b.</w:t>
      </w:r>
      <w:r>
        <w:t xml:space="preserve"> The terms of trade effect is defined as the difference between GDI growth and GDP growth</w:t>
      </w:r>
      <w:r>
        <w:rPr>
          <w:b/>
          <w:bCs/>
        </w:rPr>
        <w:t xml:space="preserve">. c. </w:t>
      </w:r>
      <w:r>
        <w:t>The net foreign income effect i</w:t>
      </w:r>
      <w:r w:rsidR="003E310D">
        <w:t>s</w:t>
      </w:r>
      <w:r>
        <w:t xml:space="preserve"> defined as the difference between growth in GNI and growth in GDI.</w:t>
      </w:r>
    </w:p>
    <w:p w14:paraId="1BB62BD9" w14:textId="3F969A39" w:rsidR="00F160D3" w:rsidRPr="0031793E" w:rsidRDefault="003A4A12" w:rsidP="008237E3">
      <w:pPr>
        <w:pStyle w:val="Source"/>
        <w:rPr>
          <w:spacing w:val="-4"/>
        </w:rPr>
      </w:pPr>
      <w:r w:rsidRPr="0031793E">
        <w:rPr>
          <w:spacing w:val="-4"/>
        </w:rPr>
        <w:t>Source: Commission estimates using ABS (202</w:t>
      </w:r>
      <w:r w:rsidR="00843FCF" w:rsidRPr="0031793E">
        <w:rPr>
          <w:spacing w:val="-4"/>
        </w:rPr>
        <w:t>3</w:t>
      </w:r>
      <w:r w:rsidRPr="0031793E">
        <w:rPr>
          <w:spacing w:val="-4"/>
        </w:rPr>
        <w:t xml:space="preserve">, </w:t>
      </w:r>
      <w:r w:rsidRPr="0031793E">
        <w:rPr>
          <w:i/>
          <w:iCs/>
          <w:spacing w:val="-4"/>
        </w:rPr>
        <w:t>Australian System of National Accounts</w:t>
      </w:r>
      <w:r w:rsidRPr="0031793E">
        <w:rPr>
          <w:spacing w:val="-4"/>
        </w:rPr>
        <w:t>, 202</w:t>
      </w:r>
      <w:r w:rsidR="00843FCF" w:rsidRPr="0031793E">
        <w:rPr>
          <w:spacing w:val="-4"/>
        </w:rPr>
        <w:t>2</w:t>
      </w:r>
      <w:r w:rsidRPr="0031793E">
        <w:rPr>
          <w:spacing w:val="-4"/>
        </w:rPr>
        <w:t>-2</w:t>
      </w:r>
      <w:r w:rsidR="00843FCF" w:rsidRPr="0031793E">
        <w:rPr>
          <w:spacing w:val="-4"/>
        </w:rPr>
        <w:t>3</w:t>
      </w:r>
      <w:r w:rsidRPr="0031793E">
        <w:rPr>
          <w:spacing w:val="-4"/>
        </w:rPr>
        <w:t>, Cat. no. 5204.0, table 1).</w:t>
      </w:r>
    </w:p>
    <w:p w14:paraId="1DBD1581" w14:textId="33F5B8BA" w:rsidR="00FD3D75" w:rsidRDefault="00632F9F" w:rsidP="00632F9F">
      <w:pPr>
        <w:pStyle w:val="Heading2-nonumber"/>
      </w:pPr>
      <w:bookmarkStart w:id="1" w:name="_Toc159929293"/>
      <w:r>
        <w:t>2.</w:t>
      </w:r>
      <w:r>
        <w:tab/>
      </w:r>
      <w:r w:rsidR="00FD3D75">
        <w:t>Industry-level productivity</w:t>
      </w:r>
      <w:bookmarkEnd w:id="1"/>
      <w:r w:rsidR="00FD3D75">
        <w:t xml:space="preserve"> </w:t>
      </w:r>
    </w:p>
    <w:p w14:paraId="79EEC8F5" w14:textId="32BC7EA5" w:rsidR="00D62996" w:rsidRDefault="00D62996" w:rsidP="007F5081">
      <w:pPr>
        <w:pStyle w:val="Heading3"/>
      </w:pPr>
      <w:r>
        <w:t xml:space="preserve">Productivity </w:t>
      </w:r>
      <w:r w:rsidR="003452F8">
        <w:t>decreased</w:t>
      </w:r>
      <w:r>
        <w:t xml:space="preserve"> in </w:t>
      </w:r>
      <w:r w:rsidR="0A824A30">
        <w:t>11 out of 16</w:t>
      </w:r>
      <w:r>
        <w:t xml:space="preserve"> industries</w:t>
      </w:r>
    </w:p>
    <w:p w14:paraId="58A049B3" w14:textId="3B30D041" w:rsidR="007F5B0F" w:rsidRDefault="00860A01" w:rsidP="003C0A75">
      <w:pPr>
        <w:pStyle w:val="BodyText"/>
      </w:pPr>
      <w:r>
        <w:t xml:space="preserve">Labour productivity grew most </w:t>
      </w:r>
      <w:r w:rsidR="00D62996" w:rsidRPr="001A4AB5">
        <w:t xml:space="preserve">in the </w:t>
      </w:r>
      <w:r w:rsidR="005E0B6B">
        <w:t>p</w:t>
      </w:r>
      <w:r w:rsidR="005F26EE" w:rsidRPr="001A4AB5">
        <w:t xml:space="preserve">rofessional, scientific and technical services </w:t>
      </w:r>
      <w:r w:rsidR="00D62996" w:rsidRPr="001A4AB5">
        <w:t xml:space="preserve">industry </w:t>
      </w:r>
      <w:r w:rsidR="00811442">
        <w:t>(</w:t>
      </w:r>
      <w:r w:rsidR="005F26EE" w:rsidRPr="001A4AB5">
        <w:t>3</w:t>
      </w:r>
      <w:r w:rsidR="005175C5">
        <w:t>.0</w:t>
      </w:r>
      <w:r w:rsidR="00D62996">
        <w:t>%</w:t>
      </w:r>
      <w:r w:rsidR="00811442">
        <w:t>)</w:t>
      </w:r>
      <w:r w:rsidR="00633CFF">
        <w:t>,</w:t>
      </w:r>
      <w:r w:rsidR="007E2FBB">
        <w:t xml:space="preserve"> while the wholesale trade </w:t>
      </w:r>
      <w:r w:rsidR="000F6B48">
        <w:t xml:space="preserve">industry </w:t>
      </w:r>
      <w:r w:rsidR="007E2FBB">
        <w:t xml:space="preserve">experienced the largest fall </w:t>
      </w:r>
      <w:r w:rsidR="00811442">
        <w:t>(</w:t>
      </w:r>
      <w:r w:rsidR="007E2FBB">
        <w:t>11.4%</w:t>
      </w:r>
      <w:r w:rsidR="00811442">
        <w:t>)</w:t>
      </w:r>
      <w:r w:rsidR="00D62996">
        <w:t xml:space="preserve">. </w:t>
      </w:r>
      <w:r w:rsidR="00056022">
        <w:t xml:space="preserve">Labour productivity </w:t>
      </w:r>
      <w:r w:rsidR="00F54C37">
        <w:t>decreased</w:t>
      </w:r>
      <w:r w:rsidR="00056022">
        <w:t xml:space="preserve"> in </w:t>
      </w:r>
      <w:r w:rsidR="00F54C37">
        <w:t>11</w:t>
      </w:r>
      <w:r w:rsidR="007E2FBB">
        <w:t xml:space="preserve"> </w:t>
      </w:r>
      <w:r w:rsidR="00D62996">
        <w:t>out of the 16 market sector industries</w:t>
      </w:r>
      <w:r w:rsidR="007E2FBB">
        <w:t>.</w:t>
      </w:r>
      <w:r w:rsidR="003D79A8" w:rsidRPr="003D79A8">
        <w:t xml:space="preserve"> </w:t>
      </w:r>
    </w:p>
    <w:p w14:paraId="2C46F36E" w14:textId="765ACC82" w:rsidR="00D62996" w:rsidRDefault="00D62996" w:rsidP="003C0A75">
      <w:pPr>
        <w:pStyle w:val="BodyText"/>
      </w:pPr>
      <w:r>
        <w:t>MFP also varied by industry (table 2)</w:t>
      </w:r>
      <w:r w:rsidR="00C950E1">
        <w:t xml:space="preserve">, with </w:t>
      </w:r>
      <w:r w:rsidR="00FC01CF">
        <w:t xml:space="preserve">half of the </w:t>
      </w:r>
      <w:r w:rsidR="00C950E1">
        <w:t xml:space="preserve">market sector industries experiencing positive and </w:t>
      </w:r>
      <w:r w:rsidR="00FC01CF">
        <w:t>half</w:t>
      </w:r>
      <w:r w:rsidR="00073B5C">
        <w:t xml:space="preserve"> experiencing </w:t>
      </w:r>
      <w:r w:rsidR="00FC01CF">
        <w:t xml:space="preserve">negative </w:t>
      </w:r>
      <w:r w:rsidR="00C950E1">
        <w:t>MFP growth</w:t>
      </w:r>
      <w:r>
        <w:t xml:space="preserve">. </w:t>
      </w:r>
      <w:r w:rsidR="00AD380F">
        <w:t xml:space="preserve">MFP and labour </w:t>
      </w:r>
      <w:r w:rsidR="00481BA2">
        <w:t>productivity</w:t>
      </w:r>
      <w:r w:rsidR="00D70C09">
        <w:t xml:space="preserve"> growth </w:t>
      </w:r>
      <w:r w:rsidR="00531B48">
        <w:t xml:space="preserve">mostly </w:t>
      </w:r>
      <w:r w:rsidR="00D70C09">
        <w:t>follow</w:t>
      </w:r>
      <w:r w:rsidR="00362D90">
        <w:t>ed</w:t>
      </w:r>
      <w:r w:rsidR="00D70C09">
        <w:t xml:space="preserve"> similar patterns</w:t>
      </w:r>
      <w:r w:rsidR="003F5990">
        <w:t xml:space="preserve">. For example, </w:t>
      </w:r>
      <w:r w:rsidR="00177E40">
        <w:t>labour productivity and MFP both grew strongly in the agriculture, forestry and fishing industry</w:t>
      </w:r>
      <w:r w:rsidR="002F4180">
        <w:t>,</w:t>
      </w:r>
      <w:r w:rsidR="00177E40">
        <w:t xml:space="preserve"> while the wholesale trade industry had the weakest MFP and labour productivity growth. </w:t>
      </w:r>
    </w:p>
    <w:p w14:paraId="29903334" w14:textId="77777777" w:rsidR="00FE5EFC" w:rsidRPr="00EF53AA" w:rsidRDefault="00FE5EFC" w:rsidP="00FE5EFC">
      <w:pPr>
        <w:pStyle w:val="BodyText"/>
      </w:pPr>
      <w:r>
        <w:t>When labour productivity and MFP growth is decomposed by industry (figure 3)</w:t>
      </w:r>
      <w:r>
        <w:rPr>
          <w:rStyle w:val="FootnoteReference"/>
        </w:rPr>
        <w:footnoteReference w:id="8"/>
      </w:r>
      <w:r>
        <w:t xml:space="preserve"> and weighted by industry size, the results show that two industries account for over 50% of the decline in </w:t>
      </w:r>
      <w:r w:rsidRPr="004F0685">
        <w:t>labour productivity</w:t>
      </w:r>
      <w:r>
        <w:t xml:space="preserve"> in the market sector. </w:t>
      </w:r>
      <w:r w:rsidRPr="00EF53AA">
        <w:t>The accommodation and food services industry contributed the largest decline (0.9</w:t>
      </w:r>
      <w:r>
        <w:t> percentage points</w:t>
      </w:r>
      <w:r w:rsidRPr="00EF53AA">
        <w:t>),</w:t>
      </w:r>
      <w:r>
        <w:t xml:space="preserve"> </w:t>
      </w:r>
      <w:r w:rsidRPr="00EF53AA">
        <w:t xml:space="preserve">followed by the wholesale trade industry </w:t>
      </w:r>
      <w:r>
        <w:t>(</w:t>
      </w:r>
      <w:r w:rsidRPr="00EF53AA">
        <w:t>0.</w:t>
      </w:r>
      <w:r>
        <w:t>8 percentage points</w:t>
      </w:r>
      <w:r w:rsidRPr="00EF53AA">
        <w:t>).</w:t>
      </w:r>
      <w:r>
        <w:t xml:space="preserve"> </w:t>
      </w:r>
      <w:proofErr w:type="gramStart"/>
      <w:r>
        <w:t>Both of these</w:t>
      </w:r>
      <w:proofErr w:type="gramEnd"/>
      <w:r>
        <w:t xml:space="preserve"> industries experienced strong increases in hours worked, likely reflecting post COVID</w:t>
      </w:r>
      <w:r>
        <w:noBreakHyphen/>
        <w:t>19 demand for transport, hospitality and tourism. Of industries where improved labour productivity was observed, the</w:t>
      </w:r>
      <w:r w:rsidRPr="00EF53AA">
        <w:t xml:space="preserve"> </w:t>
      </w:r>
      <w:r w:rsidRPr="00EF53AA">
        <w:lastRenderedPageBreak/>
        <w:t>professional, scientific, and technical services and information, media, and telecommunications sectors</w:t>
      </w:r>
      <w:r>
        <w:t xml:space="preserve"> together</w:t>
      </w:r>
      <w:r w:rsidRPr="00EF53AA">
        <w:t xml:space="preserve"> increased aggregate labour productivity by 0.5 percentage points.</w:t>
      </w:r>
    </w:p>
    <w:p w14:paraId="131A2163" w14:textId="7EAA4A78" w:rsidR="00C13195" w:rsidRPr="00C6160E" w:rsidRDefault="00F160D3" w:rsidP="00FE5EFC">
      <w:pPr>
        <w:pStyle w:val="FigureTableHeading"/>
        <w:spacing w:after="0"/>
        <w:rPr>
          <w:vertAlign w:val="superscript"/>
        </w:rPr>
      </w:pPr>
      <w:r>
        <w:t>Table 2</w:t>
      </w:r>
      <w:r w:rsidRPr="0326B93A">
        <w:rPr>
          <w:noProof/>
        </w:rPr>
        <w:t xml:space="preserve"> – </w:t>
      </w:r>
      <w:r>
        <w:t>Industry productivity growth, hours worked basis, 2022-23</w:t>
      </w:r>
      <w:r w:rsidRPr="0326B93A">
        <w:rPr>
          <w:vertAlign w:val="superscript"/>
        </w:rPr>
        <w:t>a</w:t>
      </w:r>
    </w:p>
    <w:tbl>
      <w:tblPr>
        <w:tblpPr w:leftFromText="180" w:rightFromText="180" w:vertAnchor="text" w:horzAnchor="margin" w:tblpY="99"/>
        <w:tblW w:w="9590" w:type="dxa"/>
        <w:tblBorders>
          <w:bottom w:val="single" w:sz="4" w:space="0" w:color="B3B3B3"/>
        </w:tblBorders>
        <w:tblCellMar>
          <w:left w:w="0" w:type="dxa"/>
          <w:right w:w="0" w:type="dxa"/>
        </w:tblCellMar>
        <w:tblLook w:val="04A0" w:firstRow="1" w:lastRow="0" w:firstColumn="1" w:lastColumn="0" w:noHBand="0" w:noVBand="1"/>
      </w:tblPr>
      <w:tblGrid>
        <w:gridCol w:w="6"/>
        <w:gridCol w:w="3396"/>
        <w:gridCol w:w="1477"/>
        <w:gridCol w:w="1224"/>
        <w:gridCol w:w="1239"/>
        <w:gridCol w:w="1240"/>
        <w:gridCol w:w="903"/>
        <w:gridCol w:w="105"/>
      </w:tblGrid>
      <w:tr w:rsidR="00031834" w:rsidRPr="006A100F" w14:paraId="46995264" w14:textId="77777777" w:rsidTr="00FB3DFC">
        <w:trPr>
          <w:gridAfter w:val="1"/>
          <w:wAfter w:w="105" w:type="dxa"/>
          <w:trHeight w:val="428"/>
          <w:tblHeader/>
        </w:trPr>
        <w:tc>
          <w:tcPr>
            <w:tcW w:w="3402" w:type="dxa"/>
            <w:gridSpan w:val="2"/>
            <w:tcBorders>
              <w:bottom w:val="nil"/>
            </w:tcBorders>
            <w:shd w:val="clear" w:color="auto" w:fill="auto"/>
            <w:vAlign w:val="bottom"/>
          </w:tcPr>
          <w:p w14:paraId="68B0DDCF" w14:textId="77777777" w:rsidR="00031834" w:rsidRPr="006A100F" w:rsidRDefault="00031834" w:rsidP="00FE5EFC">
            <w:pPr>
              <w:spacing w:before="20" w:after="20"/>
              <w:ind w:left="57" w:right="108"/>
              <w:jc w:val="right"/>
              <w:rPr>
                <w:rFonts w:ascii="Arial (Body)" w:hAnsi="Arial (Body)"/>
                <w:b/>
                <w:sz w:val="18"/>
              </w:rPr>
            </w:pPr>
          </w:p>
        </w:tc>
        <w:tc>
          <w:tcPr>
            <w:tcW w:w="1477" w:type="dxa"/>
            <w:tcBorders>
              <w:bottom w:val="nil"/>
            </w:tcBorders>
            <w:vAlign w:val="bottom"/>
          </w:tcPr>
          <w:p w14:paraId="643A4AF4" w14:textId="77777777" w:rsidR="00031834" w:rsidRPr="006A100F" w:rsidRDefault="00031834" w:rsidP="00FE5EFC">
            <w:pPr>
              <w:pStyle w:val="TableHeading"/>
              <w:ind w:right="57"/>
              <w:jc w:val="right"/>
            </w:pPr>
            <w:r w:rsidRPr="006A100F">
              <w:t>Labour productivity</w:t>
            </w:r>
          </w:p>
        </w:tc>
        <w:tc>
          <w:tcPr>
            <w:tcW w:w="1224" w:type="dxa"/>
            <w:tcBorders>
              <w:bottom w:val="nil"/>
            </w:tcBorders>
            <w:vAlign w:val="bottom"/>
          </w:tcPr>
          <w:p w14:paraId="2B5A5D0A" w14:textId="77777777" w:rsidR="00031834" w:rsidRPr="006A100F" w:rsidRDefault="00031834" w:rsidP="00FE5EFC">
            <w:pPr>
              <w:pStyle w:val="TableHeading"/>
              <w:ind w:right="57"/>
              <w:jc w:val="right"/>
            </w:pPr>
            <w:r w:rsidRPr="006A100F">
              <w:t>MFP</w:t>
            </w:r>
          </w:p>
        </w:tc>
        <w:tc>
          <w:tcPr>
            <w:tcW w:w="1239" w:type="dxa"/>
            <w:tcBorders>
              <w:bottom w:val="nil"/>
            </w:tcBorders>
            <w:shd w:val="clear" w:color="auto" w:fill="auto"/>
            <w:vAlign w:val="bottom"/>
          </w:tcPr>
          <w:p w14:paraId="44B01FC6" w14:textId="77777777" w:rsidR="00031834" w:rsidRPr="006A100F" w:rsidRDefault="00031834" w:rsidP="00FE5EFC">
            <w:pPr>
              <w:pStyle w:val="TableHeading"/>
              <w:ind w:right="57"/>
              <w:jc w:val="right"/>
            </w:pPr>
            <w:r w:rsidRPr="006A100F">
              <w:t xml:space="preserve">Hours </w:t>
            </w:r>
          </w:p>
          <w:p w14:paraId="33BFD249" w14:textId="77777777" w:rsidR="00031834" w:rsidRPr="006A100F" w:rsidRDefault="00031834" w:rsidP="00FE5EFC">
            <w:pPr>
              <w:pStyle w:val="TableHeading"/>
              <w:ind w:right="57"/>
              <w:jc w:val="right"/>
            </w:pPr>
            <w:r w:rsidRPr="006A100F">
              <w:t>worked</w:t>
            </w:r>
          </w:p>
        </w:tc>
        <w:tc>
          <w:tcPr>
            <w:tcW w:w="1240" w:type="dxa"/>
            <w:tcBorders>
              <w:bottom w:val="nil"/>
            </w:tcBorders>
            <w:shd w:val="clear" w:color="auto" w:fill="auto"/>
            <w:vAlign w:val="bottom"/>
          </w:tcPr>
          <w:p w14:paraId="60F30ED0" w14:textId="77777777" w:rsidR="00031834" w:rsidRPr="006A100F" w:rsidRDefault="00031834" w:rsidP="00FE5EFC">
            <w:pPr>
              <w:pStyle w:val="TableHeading"/>
              <w:ind w:right="57"/>
              <w:jc w:val="right"/>
            </w:pPr>
            <w:r w:rsidRPr="006A100F">
              <w:t xml:space="preserve">Capital </w:t>
            </w:r>
            <w:r w:rsidR="001A5979">
              <w:t>s</w:t>
            </w:r>
            <w:r w:rsidRPr="006A100F">
              <w:t>ervices</w:t>
            </w:r>
          </w:p>
        </w:tc>
        <w:tc>
          <w:tcPr>
            <w:tcW w:w="903" w:type="dxa"/>
            <w:tcBorders>
              <w:bottom w:val="nil"/>
            </w:tcBorders>
            <w:vAlign w:val="bottom"/>
          </w:tcPr>
          <w:p w14:paraId="678C28A9" w14:textId="77777777" w:rsidR="00031834" w:rsidRPr="006A100F" w:rsidRDefault="00031834" w:rsidP="00FE5EFC">
            <w:pPr>
              <w:pStyle w:val="TableHeading"/>
              <w:ind w:right="57"/>
              <w:jc w:val="right"/>
            </w:pPr>
            <w:r w:rsidRPr="006A100F">
              <w:t xml:space="preserve">Output </w:t>
            </w:r>
          </w:p>
          <w:p w14:paraId="0700D934" w14:textId="77777777" w:rsidR="00031834" w:rsidRPr="006A100F" w:rsidRDefault="00031834" w:rsidP="00FE5EFC">
            <w:pPr>
              <w:pStyle w:val="TableHeading"/>
              <w:ind w:right="57"/>
              <w:jc w:val="right"/>
            </w:pPr>
            <w:r w:rsidRPr="006A100F">
              <w:t>(GVA)</w:t>
            </w:r>
          </w:p>
        </w:tc>
      </w:tr>
      <w:tr w:rsidR="00031834" w:rsidRPr="006A100F" w14:paraId="453CD642" w14:textId="77777777" w:rsidTr="00FB3DFC">
        <w:trPr>
          <w:gridAfter w:val="1"/>
          <w:wAfter w:w="105" w:type="dxa"/>
          <w:trHeight w:val="233"/>
          <w:tblHeader/>
        </w:trPr>
        <w:tc>
          <w:tcPr>
            <w:tcW w:w="3402" w:type="dxa"/>
            <w:gridSpan w:val="2"/>
            <w:tcBorders>
              <w:bottom w:val="single" w:sz="4" w:space="0" w:color="B3B3B3"/>
            </w:tcBorders>
            <w:shd w:val="clear" w:color="auto" w:fill="auto"/>
            <w:vAlign w:val="bottom"/>
          </w:tcPr>
          <w:p w14:paraId="02FAB081" w14:textId="77777777" w:rsidR="00031834" w:rsidRPr="00547198" w:rsidRDefault="00031834" w:rsidP="00FE5EFC">
            <w:pPr>
              <w:spacing w:before="20" w:after="20"/>
              <w:ind w:left="57" w:right="108"/>
              <w:jc w:val="right"/>
              <w:rPr>
                <w:rFonts w:ascii="Arial (Body)" w:hAnsi="Arial (Body)"/>
                <w:b/>
                <w:sz w:val="18"/>
              </w:rPr>
            </w:pPr>
          </w:p>
        </w:tc>
        <w:tc>
          <w:tcPr>
            <w:tcW w:w="1477" w:type="dxa"/>
            <w:tcBorders>
              <w:bottom w:val="single" w:sz="4" w:space="0" w:color="B3B3B3"/>
            </w:tcBorders>
            <w:vAlign w:val="bottom"/>
          </w:tcPr>
          <w:p w14:paraId="66520719" w14:textId="77777777" w:rsidR="00031834" w:rsidRPr="009237F9" w:rsidRDefault="00031834" w:rsidP="00FE5EFC">
            <w:pPr>
              <w:pStyle w:val="TableHeading"/>
              <w:spacing w:before="20"/>
              <w:ind w:right="57"/>
              <w:jc w:val="right"/>
            </w:pPr>
            <w:r w:rsidRPr="009237F9">
              <w:t>%</w:t>
            </w:r>
          </w:p>
        </w:tc>
        <w:tc>
          <w:tcPr>
            <w:tcW w:w="1224" w:type="dxa"/>
            <w:tcBorders>
              <w:bottom w:val="single" w:sz="4" w:space="0" w:color="B3B3B3"/>
            </w:tcBorders>
            <w:vAlign w:val="bottom"/>
          </w:tcPr>
          <w:p w14:paraId="73E739CD" w14:textId="77777777" w:rsidR="00031834" w:rsidRPr="009237F9" w:rsidRDefault="00031834" w:rsidP="00FE5EFC">
            <w:pPr>
              <w:pStyle w:val="TableHeading"/>
              <w:spacing w:before="20"/>
              <w:ind w:right="57"/>
              <w:jc w:val="right"/>
            </w:pPr>
            <w:r w:rsidRPr="009237F9">
              <w:t>%</w:t>
            </w:r>
          </w:p>
        </w:tc>
        <w:tc>
          <w:tcPr>
            <w:tcW w:w="1239" w:type="dxa"/>
            <w:tcBorders>
              <w:bottom w:val="single" w:sz="4" w:space="0" w:color="B3B3B3"/>
            </w:tcBorders>
            <w:shd w:val="clear" w:color="auto" w:fill="auto"/>
            <w:vAlign w:val="bottom"/>
          </w:tcPr>
          <w:p w14:paraId="08A157A6" w14:textId="77777777" w:rsidR="00031834" w:rsidRPr="009237F9" w:rsidRDefault="00031834" w:rsidP="00FE5EFC">
            <w:pPr>
              <w:pStyle w:val="TableHeading"/>
              <w:spacing w:before="20"/>
              <w:ind w:right="57"/>
              <w:jc w:val="right"/>
            </w:pPr>
            <w:r w:rsidRPr="009237F9">
              <w:t>%</w:t>
            </w:r>
          </w:p>
        </w:tc>
        <w:tc>
          <w:tcPr>
            <w:tcW w:w="1240" w:type="dxa"/>
            <w:tcBorders>
              <w:bottom w:val="single" w:sz="4" w:space="0" w:color="B3B3B3"/>
            </w:tcBorders>
            <w:shd w:val="clear" w:color="auto" w:fill="auto"/>
            <w:vAlign w:val="bottom"/>
          </w:tcPr>
          <w:p w14:paraId="30AC3D9E" w14:textId="77777777" w:rsidR="00031834" w:rsidRPr="009237F9" w:rsidRDefault="00031834" w:rsidP="00FE5EFC">
            <w:pPr>
              <w:pStyle w:val="TableHeading"/>
              <w:spacing w:before="20"/>
              <w:ind w:right="57"/>
              <w:jc w:val="right"/>
            </w:pPr>
            <w:r w:rsidRPr="009237F9">
              <w:t>%</w:t>
            </w:r>
          </w:p>
        </w:tc>
        <w:tc>
          <w:tcPr>
            <w:tcW w:w="903" w:type="dxa"/>
            <w:tcBorders>
              <w:bottom w:val="single" w:sz="4" w:space="0" w:color="B3B3B3"/>
            </w:tcBorders>
            <w:vAlign w:val="bottom"/>
          </w:tcPr>
          <w:p w14:paraId="5AC4A6B8" w14:textId="77777777" w:rsidR="00031834" w:rsidRPr="009237F9" w:rsidRDefault="00031834" w:rsidP="00FE5EFC">
            <w:pPr>
              <w:pStyle w:val="TableHeading"/>
              <w:spacing w:before="20"/>
              <w:ind w:right="57"/>
              <w:jc w:val="right"/>
            </w:pPr>
            <w:r w:rsidRPr="009237F9">
              <w:t>%</w:t>
            </w:r>
          </w:p>
        </w:tc>
      </w:tr>
      <w:tr w:rsidR="00031834" w:rsidRPr="006A100F" w14:paraId="411F8B0A" w14:textId="77777777" w:rsidTr="00FB3DFC">
        <w:trPr>
          <w:gridBefore w:val="1"/>
          <w:wBefore w:w="6" w:type="dxa"/>
          <w:trHeight w:val="334"/>
        </w:trPr>
        <w:tc>
          <w:tcPr>
            <w:tcW w:w="9584" w:type="dxa"/>
            <w:gridSpan w:val="7"/>
            <w:tcBorders>
              <w:top w:val="single" w:sz="4" w:space="0" w:color="B3B3B3"/>
              <w:bottom w:val="nil"/>
            </w:tcBorders>
            <w:shd w:val="clear" w:color="auto" w:fill="E0F1F7" w:themeFill="text2" w:themeFillTint="33"/>
            <w:vAlign w:val="bottom"/>
          </w:tcPr>
          <w:p w14:paraId="49F46DA7" w14:textId="77777777" w:rsidR="00031834" w:rsidRPr="009237F9" w:rsidRDefault="00031834">
            <w:pPr>
              <w:pStyle w:val="TableBody"/>
              <w:ind w:right="57"/>
              <w:rPr>
                <w:b/>
                <w:bCs/>
                <w:color w:val="000000"/>
              </w:rPr>
            </w:pPr>
            <w:r w:rsidRPr="009237F9">
              <w:rPr>
                <w:b/>
                <w:bCs/>
                <w:color w:val="265A9A" w:themeColor="background2"/>
              </w:rPr>
              <w:t>Market sector (16 industries)</w:t>
            </w:r>
          </w:p>
        </w:tc>
      </w:tr>
      <w:tr w:rsidR="009E26EA" w:rsidRPr="006A100F" w14:paraId="7A85FE5F" w14:textId="77777777" w:rsidTr="00ED54AD">
        <w:trPr>
          <w:gridAfter w:val="1"/>
          <w:wAfter w:w="105" w:type="dxa"/>
          <w:trHeight w:val="334"/>
        </w:trPr>
        <w:tc>
          <w:tcPr>
            <w:tcW w:w="3402" w:type="dxa"/>
            <w:gridSpan w:val="2"/>
            <w:tcBorders>
              <w:top w:val="nil"/>
              <w:bottom w:val="nil"/>
            </w:tcBorders>
            <w:shd w:val="clear" w:color="auto" w:fill="F2F2F2" w:themeFill="background1" w:themeFillShade="F2"/>
            <w:vAlign w:val="center"/>
          </w:tcPr>
          <w:p w14:paraId="7225E3A2" w14:textId="77777777" w:rsidR="002824B4" w:rsidRPr="00B227F8" w:rsidRDefault="002824B4" w:rsidP="002824B4">
            <w:pPr>
              <w:pStyle w:val="TableBody"/>
            </w:pPr>
            <w:r>
              <w:rPr>
                <w:rFonts w:ascii="Arial" w:hAnsi="Arial" w:cs="Arial"/>
                <w:szCs w:val="18"/>
              </w:rPr>
              <w:t>Professional, scientific and technical services</w:t>
            </w:r>
          </w:p>
        </w:tc>
        <w:tc>
          <w:tcPr>
            <w:tcW w:w="1477" w:type="dxa"/>
            <w:tcBorders>
              <w:top w:val="nil"/>
              <w:bottom w:val="nil"/>
            </w:tcBorders>
            <w:shd w:val="clear" w:color="auto" w:fill="F2F2F2" w:themeFill="background1" w:themeFillShade="F2"/>
            <w:vAlign w:val="center"/>
          </w:tcPr>
          <w:p w14:paraId="329AB85C" w14:textId="77777777" w:rsidR="002824B4" w:rsidRPr="009237F9" w:rsidRDefault="002824B4" w:rsidP="00C74238">
            <w:pPr>
              <w:pStyle w:val="TableBody"/>
              <w:ind w:right="57"/>
              <w:jc w:val="right"/>
            </w:pPr>
            <w:r>
              <w:rPr>
                <w:rFonts w:ascii="Arial" w:hAnsi="Arial" w:cs="Arial"/>
                <w:szCs w:val="18"/>
              </w:rPr>
              <w:t>3</w:t>
            </w:r>
          </w:p>
        </w:tc>
        <w:tc>
          <w:tcPr>
            <w:tcW w:w="1224" w:type="dxa"/>
            <w:tcBorders>
              <w:top w:val="nil"/>
              <w:bottom w:val="nil"/>
            </w:tcBorders>
            <w:shd w:val="clear" w:color="auto" w:fill="F2F2F2" w:themeFill="background1" w:themeFillShade="F2"/>
            <w:vAlign w:val="center"/>
          </w:tcPr>
          <w:p w14:paraId="749F7AA9" w14:textId="77777777" w:rsidR="002824B4" w:rsidRPr="009237F9" w:rsidRDefault="002824B4" w:rsidP="00C74238">
            <w:pPr>
              <w:pStyle w:val="TableBody"/>
              <w:ind w:right="57"/>
              <w:jc w:val="right"/>
            </w:pPr>
            <w:r>
              <w:rPr>
                <w:rFonts w:ascii="Arial" w:hAnsi="Arial" w:cs="Arial"/>
                <w:szCs w:val="18"/>
              </w:rPr>
              <w:t>2.1</w:t>
            </w:r>
          </w:p>
        </w:tc>
        <w:tc>
          <w:tcPr>
            <w:tcW w:w="1239" w:type="dxa"/>
            <w:tcBorders>
              <w:top w:val="nil"/>
              <w:bottom w:val="nil"/>
            </w:tcBorders>
            <w:shd w:val="clear" w:color="auto" w:fill="F2F2F2" w:themeFill="background1" w:themeFillShade="F2"/>
            <w:vAlign w:val="center"/>
          </w:tcPr>
          <w:p w14:paraId="25318C0C" w14:textId="77777777" w:rsidR="002824B4" w:rsidRPr="009237F9" w:rsidRDefault="002824B4" w:rsidP="00C74238">
            <w:pPr>
              <w:pStyle w:val="TableBody"/>
              <w:ind w:right="57"/>
              <w:jc w:val="right"/>
            </w:pPr>
            <w:r>
              <w:rPr>
                <w:rFonts w:ascii="Arial" w:hAnsi="Arial" w:cs="Arial"/>
                <w:szCs w:val="18"/>
              </w:rPr>
              <w:t>0.8</w:t>
            </w:r>
          </w:p>
        </w:tc>
        <w:tc>
          <w:tcPr>
            <w:tcW w:w="1240" w:type="dxa"/>
            <w:tcBorders>
              <w:top w:val="nil"/>
              <w:bottom w:val="nil"/>
            </w:tcBorders>
            <w:shd w:val="clear" w:color="auto" w:fill="F2F2F2" w:themeFill="background1" w:themeFillShade="F2"/>
            <w:vAlign w:val="center"/>
          </w:tcPr>
          <w:p w14:paraId="78D67C80" w14:textId="77777777" w:rsidR="002824B4" w:rsidRPr="009237F9" w:rsidRDefault="002824B4" w:rsidP="00C74238">
            <w:pPr>
              <w:pStyle w:val="TableBody"/>
              <w:ind w:right="57"/>
              <w:jc w:val="right"/>
            </w:pPr>
            <w:r>
              <w:rPr>
                <w:rFonts w:ascii="Arial" w:hAnsi="Arial" w:cs="Arial"/>
                <w:szCs w:val="18"/>
              </w:rPr>
              <w:t>6.4</w:t>
            </w:r>
          </w:p>
        </w:tc>
        <w:tc>
          <w:tcPr>
            <w:tcW w:w="903" w:type="dxa"/>
            <w:tcBorders>
              <w:top w:val="nil"/>
              <w:bottom w:val="nil"/>
            </w:tcBorders>
            <w:shd w:val="clear" w:color="auto" w:fill="F2F2F2" w:themeFill="background1" w:themeFillShade="F2"/>
            <w:vAlign w:val="center"/>
          </w:tcPr>
          <w:p w14:paraId="57733A07" w14:textId="77777777" w:rsidR="002824B4" w:rsidRPr="009237F9" w:rsidRDefault="002824B4" w:rsidP="00C74238">
            <w:pPr>
              <w:pStyle w:val="TableBody"/>
              <w:ind w:right="57"/>
              <w:jc w:val="right"/>
            </w:pPr>
            <w:r>
              <w:rPr>
                <w:rFonts w:ascii="Arial" w:hAnsi="Arial" w:cs="Arial"/>
                <w:szCs w:val="18"/>
              </w:rPr>
              <w:t>3.9</w:t>
            </w:r>
          </w:p>
        </w:tc>
      </w:tr>
      <w:tr w:rsidR="002824B4" w:rsidRPr="00151B7F" w14:paraId="18ABA72E" w14:textId="77777777" w:rsidTr="00ED54AD">
        <w:trPr>
          <w:gridAfter w:val="1"/>
          <w:wAfter w:w="105" w:type="dxa"/>
          <w:trHeight w:val="334"/>
        </w:trPr>
        <w:tc>
          <w:tcPr>
            <w:tcW w:w="3402" w:type="dxa"/>
            <w:gridSpan w:val="2"/>
            <w:tcBorders>
              <w:top w:val="nil"/>
              <w:bottom w:val="nil"/>
            </w:tcBorders>
            <w:shd w:val="clear" w:color="auto" w:fill="auto"/>
            <w:vAlign w:val="center"/>
          </w:tcPr>
          <w:p w14:paraId="017C8EEE" w14:textId="77777777" w:rsidR="002824B4" w:rsidRPr="00B227F8" w:rsidRDefault="002824B4" w:rsidP="002824B4">
            <w:pPr>
              <w:pStyle w:val="TableBody"/>
            </w:pPr>
            <w:r>
              <w:rPr>
                <w:rFonts w:ascii="Arial" w:hAnsi="Arial" w:cs="Arial"/>
                <w:szCs w:val="18"/>
              </w:rPr>
              <w:t>Agriculture, forestry and fishing</w:t>
            </w:r>
          </w:p>
        </w:tc>
        <w:tc>
          <w:tcPr>
            <w:tcW w:w="1477" w:type="dxa"/>
            <w:tcBorders>
              <w:top w:val="nil"/>
              <w:bottom w:val="nil"/>
            </w:tcBorders>
            <w:vAlign w:val="center"/>
          </w:tcPr>
          <w:p w14:paraId="22840339" w14:textId="77777777" w:rsidR="002824B4" w:rsidRPr="009237F9" w:rsidRDefault="002824B4" w:rsidP="00C74238">
            <w:pPr>
              <w:pStyle w:val="TableBody"/>
              <w:ind w:right="57"/>
              <w:jc w:val="right"/>
            </w:pPr>
            <w:r>
              <w:rPr>
                <w:rFonts w:ascii="Arial" w:hAnsi="Arial" w:cs="Arial"/>
                <w:szCs w:val="18"/>
              </w:rPr>
              <w:t>2.4</w:t>
            </w:r>
          </w:p>
        </w:tc>
        <w:tc>
          <w:tcPr>
            <w:tcW w:w="1224" w:type="dxa"/>
            <w:tcBorders>
              <w:top w:val="nil"/>
              <w:bottom w:val="nil"/>
            </w:tcBorders>
            <w:shd w:val="clear" w:color="auto" w:fill="auto"/>
            <w:vAlign w:val="center"/>
          </w:tcPr>
          <w:p w14:paraId="3D7C757A" w14:textId="77777777" w:rsidR="002824B4" w:rsidRPr="009237F9" w:rsidRDefault="002824B4" w:rsidP="00C74238">
            <w:pPr>
              <w:pStyle w:val="TableBody"/>
              <w:ind w:right="57"/>
              <w:jc w:val="right"/>
            </w:pPr>
            <w:r>
              <w:rPr>
                <w:rFonts w:ascii="Arial" w:hAnsi="Arial" w:cs="Arial"/>
                <w:szCs w:val="18"/>
              </w:rPr>
              <w:t>3.7</w:t>
            </w:r>
          </w:p>
        </w:tc>
        <w:tc>
          <w:tcPr>
            <w:tcW w:w="1239" w:type="dxa"/>
            <w:tcBorders>
              <w:top w:val="nil"/>
              <w:bottom w:val="nil"/>
            </w:tcBorders>
            <w:shd w:val="clear" w:color="auto" w:fill="auto"/>
            <w:vAlign w:val="center"/>
          </w:tcPr>
          <w:p w14:paraId="6AB3B181" w14:textId="77777777" w:rsidR="002824B4" w:rsidRPr="009237F9" w:rsidRDefault="002824B4" w:rsidP="00C74238">
            <w:pPr>
              <w:pStyle w:val="TableBody"/>
              <w:ind w:right="57"/>
              <w:jc w:val="right"/>
            </w:pPr>
            <w:r>
              <w:rPr>
                <w:rFonts w:ascii="Arial" w:hAnsi="Arial" w:cs="Arial"/>
                <w:szCs w:val="18"/>
              </w:rPr>
              <w:t>0.8</w:t>
            </w:r>
          </w:p>
        </w:tc>
        <w:tc>
          <w:tcPr>
            <w:tcW w:w="1240" w:type="dxa"/>
            <w:tcBorders>
              <w:top w:val="nil"/>
              <w:bottom w:val="nil"/>
            </w:tcBorders>
            <w:shd w:val="clear" w:color="auto" w:fill="auto"/>
            <w:vAlign w:val="center"/>
          </w:tcPr>
          <w:p w14:paraId="0AADA4D7" w14:textId="77777777" w:rsidR="002824B4" w:rsidRPr="00C94C36" w:rsidRDefault="002824B4" w:rsidP="00C74238">
            <w:pPr>
              <w:pStyle w:val="TableBody"/>
              <w:ind w:right="57"/>
              <w:jc w:val="right"/>
              <w:rPr>
                <w:color w:val="A52828" w:themeColor="accent5"/>
              </w:rPr>
            </w:pPr>
            <w:r w:rsidRPr="00C94C36">
              <w:rPr>
                <w:rFonts w:ascii="Arial" w:hAnsi="Arial" w:cs="Arial"/>
                <w:color w:val="A52828" w:themeColor="accent5"/>
              </w:rPr>
              <w:t>-0.9</w:t>
            </w:r>
          </w:p>
        </w:tc>
        <w:tc>
          <w:tcPr>
            <w:tcW w:w="903" w:type="dxa"/>
            <w:tcBorders>
              <w:top w:val="nil"/>
              <w:bottom w:val="nil"/>
            </w:tcBorders>
            <w:vAlign w:val="center"/>
          </w:tcPr>
          <w:p w14:paraId="42999310" w14:textId="77777777" w:rsidR="002824B4" w:rsidRPr="009237F9" w:rsidRDefault="002824B4" w:rsidP="00C74238">
            <w:pPr>
              <w:pStyle w:val="TableBody"/>
              <w:ind w:right="57"/>
              <w:jc w:val="right"/>
            </w:pPr>
            <w:r>
              <w:rPr>
                <w:rFonts w:ascii="Arial" w:hAnsi="Arial" w:cs="Arial"/>
                <w:szCs w:val="18"/>
              </w:rPr>
              <w:t>3.2</w:t>
            </w:r>
          </w:p>
        </w:tc>
      </w:tr>
      <w:tr w:rsidR="009E26EA" w:rsidRPr="00151B7F" w14:paraId="78601C90" w14:textId="77777777" w:rsidTr="00ED54AD">
        <w:trPr>
          <w:gridAfter w:val="1"/>
          <w:wAfter w:w="105" w:type="dxa"/>
          <w:trHeight w:val="334"/>
        </w:trPr>
        <w:tc>
          <w:tcPr>
            <w:tcW w:w="3402" w:type="dxa"/>
            <w:gridSpan w:val="2"/>
            <w:tcBorders>
              <w:bottom w:val="nil"/>
            </w:tcBorders>
            <w:shd w:val="clear" w:color="auto" w:fill="F2F2F2" w:themeFill="background1" w:themeFillShade="F2"/>
            <w:vAlign w:val="center"/>
          </w:tcPr>
          <w:p w14:paraId="0C394570" w14:textId="77777777" w:rsidR="002824B4" w:rsidRPr="00CE59E8" w:rsidRDefault="002824B4" w:rsidP="002824B4">
            <w:pPr>
              <w:pStyle w:val="TableBody"/>
            </w:pPr>
            <w:r>
              <w:rPr>
                <w:rFonts w:ascii="Arial" w:hAnsi="Arial" w:cs="Arial"/>
                <w:color w:val="000000"/>
                <w:szCs w:val="18"/>
              </w:rPr>
              <w:t>Information, media and telecommunications</w:t>
            </w:r>
          </w:p>
        </w:tc>
        <w:tc>
          <w:tcPr>
            <w:tcW w:w="1477" w:type="dxa"/>
            <w:tcBorders>
              <w:bottom w:val="nil"/>
            </w:tcBorders>
            <w:shd w:val="clear" w:color="auto" w:fill="F2F2F2" w:themeFill="background1" w:themeFillShade="F2"/>
            <w:vAlign w:val="center"/>
          </w:tcPr>
          <w:p w14:paraId="0C29963C" w14:textId="77777777" w:rsidR="002824B4" w:rsidRPr="009237F9" w:rsidRDefault="002824B4" w:rsidP="00C74238">
            <w:pPr>
              <w:pStyle w:val="TableBody"/>
              <w:ind w:right="57"/>
              <w:jc w:val="right"/>
            </w:pPr>
            <w:r w:rsidRPr="002C4EEF">
              <w:rPr>
                <w:rFonts w:ascii="Arial" w:hAnsi="Arial" w:cs="Arial"/>
                <w:szCs w:val="18"/>
              </w:rPr>
              <w:t>1.7</w:t>
            </w:r>
          </w:p>
        </w:tc>
        <w:tc>
          <w:tcPr>
            <w:tcW w:w="1224" w:type="dxa"/>
            <w:tcBorders>
              <w:bottom w:val="nil"/>
            </w:tcBorders>
            <w:shd w:val="clear" w:color="auto" w:fill="F2F2F2" w:themeFill="background1" w:themeFillShade="F2"/>
            <w:vAlign w:val="center"/>
          </w:tcPr>
          <w:p w14:paraId="32752648" w14:textId="77777777" w:rsidR="002824B4" w:rsidRPr="009237F9" w:rsidRDefault="002824B4" w:rsidP="00C74238">
            <w:pPr>
              <w:pStyle w:val="TableBody"/>
              <w:ind w:right="57"/>
              <w:jc w:val="right"/>
            </w:pPr>
            <w:r w:rsidRPr="002C4EEF">
              <w:rPr>
                <w:rFonts w:ascii="Arial" w:hAnsi="Arial" w:cs="Arial"/>
                <w:szCs w:val="18"/>
              </w:rPr>
              <w:t>4.3</w:t>
            </w:r>
          </w:p>
        </w:tc>
        <w:tc>
          <w:tcPr>
            <w:tcW w:w="1239" w:type="dxa"/>
            <w:tcBorders>
              <w:bottom w:val="nil"/>
            </w:tcBorders>
            <w:shd w:val="clear" w:color="auto" w:fill="F2F2F2" w:themeFill="background1" w:themeFillShade="F2"/>
            <w:vAlign w:val="center"/>
          </w:tcPr>
          <w:p w14:paraId="534A719F" w14:textId="77777777" w:rsidR="002824B4" w:rsidRPr="009237F9" w:rsidRDefault="002824B4" w:rsidP="00C74238">
            <w:pPr>
              <w:pStyle w:val="TableBody"/>
              <w:ind w:right="57"/>
              <w:jc w:val="right"/>
            </w:pPr>
            <w:r w:rsidRPr="002C4EEF">
              <w:rPr>
                <w:rFonts w:ascii="Arial" w:hAnsi="Arial" w:cs="Arial"/>
                <w:szCs w:val="18"/>
              </w:rPr>
              <w:t>8.6</w:t>
            </w:r>
          </w:p>
        </w:tc>
        <w:tc>
          <w:tcPr>
            <w:tcW w:w="1240" w:type="dxa"/>
            <w:tcBorders>
              <w:bottom w:val="nil"/>
            </w:tcBorders>
            <w:shd w:val="clear" w:color="auto" w:fill="F2F2F2" w:themeFill="background1" w:themeFillShade="F2"/>
            <w:vAlign w:val="center"/>
          </w:tcPr>
          <w:p w14:paraId="69F5B5F4" w14:textId="77777777" w:rsidR="002824B4" w:rsidRPr="009237F9" w:rsidRDefault="002824B4" w:rsidP="00C74238">
            <w:pPr>
              <w:pStyle w:val="TableBody"/>
              <w:ind w:right="57"/>
              <w:jc w:val="right"/>
            </w:pPr>
            <w:r w:rsidRPr="002C4EEF">
              <w:rPr>
                <w:rFonts w:ascii="Arial" w:hAnsi="Arial" w:cs="Arial"/>
                <w:szCs w:val="18"/>
              </w:rPr>
              <w:t>3.3</w:t>
            </w:r>
          </w:p>
        </w:tc>
        <w:tc>
          <w:tcPr>
            <w:tcW w:w="903" w:type="dxa"/>
            <w:tcBorders>
              <w:bottom w:val="nil"/>
            </w:tcBorders>
            <w:shd w:val="clear" w:color="auto" w:fill="F2F2F2" w:themeFill="background1" w:themeFillShade="F2"/>
            <w:vAlign w:val="center"/>
          </w:tcPr>
          <w:p w14:paraId="12523FA3" w14:textId="77777777" w:rsidR="002824B4" w:rsidRPr="009237F9" w:rsidRDefault="002824B4" w:rsidP="00C74238">
            <w:pPr>
              <w:pStyle w:val="TableBody"/>
              <w:ind w:right="57"/>
              <w:jc w:val="right"/>
            </w:pPr>
            <w:r w:rsidRPr="002C4EEF">
              <w:rPr>
                <w:rFonts w:ascii="Arial" w:hAnsi="Arial" w:cs="Arial"/>
                <w:szCs w:val="18"/>
              </w:rPr>
              <w:t>10.5</w:t>
            </w:r>
          </w:p>
        </w:tc>
      </w:tr>
      <w:tr w:rsidR="002824B4" w:rsidRPr="00091681" w14:paraId="7C2D829C" w14:textId="77777777" w:rsidTr="00ED54AD">
        <w:trPr>
          <w:gridAfter w:val="1"/>
          <w:wAfter w:w="105" w:type="dxa"/>
          <w:trHeight w:val="334"/>
        </w:trPr>
        <w:tc>
          <w:tcPr>
            <w:tcW w:w="3402" w:type="dxa"/>
            <w:gridSpan w:val="2"/>
            <w:tcBorders>
              <w:bottom w:val="nil"/>
            </w:tcBorders>
            <w:shd w:val="clear" w:color="auto" w:fill="auto"/>
            <w:vAlign w:val="center"/>
          </w:tcPr>
          <w:p w14:paraId="1A34C40A" w14:textId="77777777" w:rsidR="002824B4" w:rsidRPr="00CE59E8" w:rsidRDefault="002824B4" w:rsidP="002824B4">
            <w:pPr>
              <w:pStyle w:val="TableBody"/>
            </w:pPr>
            <w:r>
              <w:rPr>
                <w:rFonts w:ascii="Arial" w:hAnsi="Arial" w:cs="Arial"/>
                <w:color w:val="000000"/>
                <w:szCs w:val="18"/>
              </w:rPr>
              <w:t>Other services</w:t>
            </w:r>
          </w:p>
        </w:tc>
        <w:tc>
          <w:tcPr>
            <w:tcW w:w="1477" w:type="dxa"/>
            <w:tcBorders>
              <w:bottom w:val="nil"/>
            </w:tcBorders>
            <w:vAlign w:val="center"/>
          </w:tcPr>
          <w:p w14:paraId="755173B2" w14:textId="77777777" w:rsidR="002824B4" w:rsidRPr="009237F9" w:rsidRDefault="002824B4" w:rsidP="00C74238">
            <w:pPr>
              <w:pStyle w:val="TableBody"/>
              <w:ind w:right="57"/>
              <w:jc w:val="right"/>
            </w:pPr>
            <w:r w:rsidRPr="002C4EEF">
              <w:rPr>
                <w:rFonts w:ascii="Arial" w:hAnsi="Arial" w:cs="Arial"/>
                <w:szCs w:val="18"/>
              </w:rPr>
              <w:t>0.9</w:t>
            </w:r>
          </w:p>
        </w:tc>
        <w:tc>
          <w:tcPr>
            <w:tcW w:w="1224" w:type="dxa"/>
            <w:tcBorders>
              <w:bottom w:val="nil"/>
            </w:tcBorders>
            <w:shd w:val="clear" w:color="auto" w:fill="auto"/>
            <w:vAlign w:val="center"/>
          </w:tcPr>
          <w:p w14:paraId="50D0591E" w14:textId="77777777" w:rsidR="002824B4" w:rsidRPr="009237F9" w:rsidRDefault="002824B4" w:rsidP="00C74238">
            <w:pPr>
              <w:pStyle w:val="TableBody"/>
              <w:ind w:right="57"/>
              <w:jc w:val="right"/>
            </w:pPr>
            <w:r w:rsidRPr="002C4EEF">
              <w:rPr>
                <w:rFonts w:ascii="Arial" w:hAnsi="Arial" w:cs="Arial"/>
                <w:szCs w:val="18"/>
              </w:rPr>
              <w:t>0.7</w:t>
            </w:r>
          </w:p>
        </w:tc>
        <w:tc>
          <w:tcPr>
            <w:tcW w:w="1239" w:type="dxa"/>
            <w:tcBorders>
              <w:bottom w:val="nil"/>
            </w:tcBorders>
            <w:shd w:val="clear" w:color="auto" w:fill="auto"/>
            <w:vAlign w:val="center"/>
          </w:tcPr>
          <w:p w14:paraId="63F7ABA3" w14:textId="77777777" w:rsidR="002824B4" w:rsidRPr="009237F9" w:rsidRDefault="002824B4" w:rsidP="00C74238">
            <w:pPr>
              <w:pStyle w:val="TableBody"/>
              <w:ind w:right="57"/>
              <w:jc w:val="right"/>
            </w:pPr>
            <w:r w:rsidRPr="002C4EEF">
              <w:rPr>
                <w:rFonts w:ascii="Arial" w:hAnsi="Arial" w:cs="Arial"/>
                <w:szCs w:val="18"/>
              </w:rPr>
              <w:t>6.4</w:t>
            </w:r>
          </w:p>
        </w:tc>
        <w:tc>
          <w:tcPr>
            <w:tcW w:w="1240" w:type="dxa"/>
            <w:tcBorders>
              <w:bottom w:val="nil"/>
            </w:tcBorders>
            <w:shd w:val="clear" w:color="auto" w:fill="auto"/>
            <w:vAlign w:val="center"/>
          </w:tcPr>
          <w:p w14:paraId="2F8080F4" w14:textId="618CFC57" w:rsidR="002824B4" w:rsidRPr="009237F9" w:rsidRDefault="00221D4E" w:rsidP="00C74238">
            <w:pPr>
              <w:pStyle w:val="TableBody"/>
              <w:ind w:right="57"/>
              <w:jc w:val="right"/>
            </w:pPr>
            <w:r>
              <w:rPr>
                <w:rFonts w:ascii="Arial" w:hAnsi="Arial" w:cs="Arial"/>
                <w:szCs w:val="18"/>
              </w:rPr>
              <w:t>8</w:t>
            </w:r>
            <w:r w:rsidR="002824B4" w:rsidRPr="002C4EEF">
              <w:rPr>
                <w:rFonts w:ascii="Arial" w:hAnsi="Arial" w:cs="Arial"/>
                <w:szCs w:val="18"/>
              </w:rPr>
              <w:t>.8</w:t>
            </w:r>
          </w:p>
        </w:tc>
        <w:tc>
          <w:tcPr>
            <w:tcW w:w="903" w:type="dxa"/>
            <w:tcBorders>
              <w:bottom w:val="nil"/>
            </w:tcBorders>
            <w:shd w:val="clear" w:color="auto" w:fill="auto"/>
            <w:vAlign w:val="center"/>
          </w:tcPr>
          <w:p w14:paraId="6FDFEA54" w14:textId="77777777" w:rsidR="002824B4" w:rsidRPr="009237F9" w:rsidRDefault="002824B4" w:rsidP="00C74238">
            <w:pPr>
              <w:pStyle w:val="TableBody"/>
              <w:ind w:right="57"/>
              <w:jc w:val="right"/>
            </w:pPr>
            <w:r w:rsidRPr="002C4EEF">
              <w:rPr>
                <w:rFonts w:ascii="Arial" w:hAnsi="Arial" w:cs="Arial"/>
                <w:szCs w:val="18"/>
              </w:rPr>
              <w:t>7.4</w:t>
            </w:r>
          </w:p>
        </w:tc>
      </w:tr>
      <w:tr w:rsidR="009E26EA" w:rsidRPr="006A100F" w14:paraId="4311A2AA" w14:textId="77777777" w:rsidTr="00ED54AD">
        <w:trPr>
          <w:gridAfter w:val="1"/>
          <w:wAfter w:w="105" w:type="dxa"/>
          <w:trHeight w:val="334"/>
        </w:trPr>
        <w:tc>
          <w:tcPr>
            <w:tcW w:w="3402" w:type="dxa"/>
            <w:gridSpan w:val="2"/>
            <w:tcBorders>
              <w:bottom w:val="nil"/>
            </w:tcBorders>
            <w:shd w:val="clear" w:color="auto" w:fill="F2F2F2" w:themeFill="background1" w:themeFillShade="F2"/>
            <w:vAlign w:val="center"/>
          </w:tcPr>
          <w:p w14:paraId="78F8A2AA" w14:textId="77777777" w:rsidR="002824B4" w:rsidRPr="00CE59E8" w:rsidRDefault="002824B4" w:rsidP="002824B4">
            <w:pPr>
              <w:pStyle w:val="TableBody"/>
            </w:pPr>
            <w:r>
              <w:rPr>
                <w:rFonts w:ascii="Arial" w:hAnsi="Arial" w:cs="Arial"/>
                <w:color w:val="000000"/>
                <w:szCs w:val="18"/>
              </w:rPr>
              <w:t>Administrative and support services</w:t>
            </w:r>
          </w:p>
        </w:tc>
        <w:tc>
          <w:tcPr>
            <w:tcW w:w="1477" w:type="dxa"/>
            <w:tcBorders>
              <w:bottom w:val="nil"/>
            </w:tcBorders>
            <w:shd w:val="clear" w:color="auto" w:fill="F2F2F2" w:themeFill="background1" w:themeFillShade="F2"/>
            <w:vAlign w:val="center"/>
          </w:tcPr>
          <w:p w14:paraId="758547AB" w14:textId="77777777" w:rsidR="002824B4" w:rsidRPr="009237F9" w:rsidRDefault="002824B4" w:rsidP="00C74238">
            <w:pPr>
              <w:pStyle w:val="TableBody"/>
              <w:ind w:right="57"/>
              <w:jc w:val="right"/>
            </w:pPr>
            <w:r w:rsidRPr="002C4EEF">
              <w:rPr>
                <w:rFonts w:ascii="Arial" w:hAnsi="Arial" w:cs="Arial"/>
                <w:szCs w:val="18"/>
              </w:rPr>
              <w:t>0.2</w:t>
            </w:r>
          </w:p>
        </w:tc>
        <w:tc>
          <w:tcPr>
            <w:tcW w:w="1224" w:type="dxa"/>
            <w:tcBorders>
              <w:bottom w:val="nil"/>
            </w:tcBorders>
            <w:shd w:val="clear" w:color="auto" w:fill="F2F2F2" w:themeFill="background1" w:themeFillShade="F2"/>
            <w:vAlign w:val="center"/>
          </w:tcPr>
          <w:p w14:paraId="151B6B54" w14:textId="77777777" w:rsidR="002824B4" w:rsidRPr="009237F9" w:rsidRDefault="002824B4" w:rsidP="00C74238">
            <w:pPr>
              <w:pStyle w:val="TableBody"/>
              <w:ind w:right="57"/>
              <w:jc w:val="right"/>
            </w:pPr>
            <w:r w:rsidRPr="002C4EEF">
              <w:rPr>
                <w:rFonts w:ascii="Arial" w:hAnsi="Arial" w:cs="Arial"/>
                <w:szCs w:val="18"/>
              </w:rPr>
              <w:t>0.4</w:t>
            </w:r>
          </w:p>
        </w:tc>
        <w:tc>
          <w:tcPr>
            <w:tcW w:w="1239" w:type="dxa"/>
            <w:tcBorders>
              <w:bottom w:val="nil"/>
            </w:tcBorders>
            <w:shd w:val="clear" w:color="auto" w:fill="F2F2F2" w:themeFill="background1" w:themeFillShade="F2"/>
            <w:vAlign w:val="center"/>
          </w:tcPr>
          <w:p w14:paraId="57F120E6" w14:textId="77777777" w:rsidR="002824B4" w:rsidRPr="009237F9" w:rsidRDefault="002824B4" w:rsidP="00C74238">
            <w:pPr>
              <w:pStyle w:val="TableBody"/>
              <w:ind w:right="57"/>
              <w:jc w:val="right"/>
            </w:pPr>
            <w:r w:rsidRPr="002C4EEF">
              <w:rPr>
                <w:rFonts w:ascii="Arial" w:hAnsi="Arial" w:cs="Arial"/>
                <w:szCs w:val="18"/>
              </w:rPr>
              <w:t>6.7</w:t>
            </w:r>
          </w:p>
        </w:tc>
        <w:tc>
          <w:tcPr>
            <w:tcW w:w="1240" w:type="dxa"/>
            <w:tcBorders>
              <w:bottom w:val="nil"/>
            </w:tcBorders>
            <w:shd w:val="clear" w:color="auto" w:fill="F2F2F2" w:themeFill="background1" w:themeFillShade="F2"/>
            <w:vAlign w:val="center"/>
          </w:tcPr>
          <w:p w14:paraId="5887F7E9" w14:textId="77777777" w:rsidR="002824B4" w:rsidRPr="009237F9" w:rsidRDefault="002824B4" w:rsidP="00C74238">
            <w:pPr>
              <w:pStyle w:val="TableBody"/>
              <w:ind w:right="57"/>
              <w:jc w:val="right"/>
            </w:pPr>
            <w:r w:rsidRPr="002C4EEF">
              <w:rPr>
                <w:rFonts w:ascii="Arial" w:hAnsi="Arial" w:cs="Arial"/>
                <w:szCs w:val="18"/>
              </w:rPr>
              <w:t>1.2</w:t>
            </w:r>
          </w:p>
        </w:tc>
        <w:tc>
          <w:tcPr>
            <w:tcW w:w="903" w:type="dxa"/>
            <w:tcBorders>
              <w:bottom w:val="nil"/>
            </w:tcBorders>
            <w:shd w:val="clear" w:color="auto" w:fill="F2F2F2" w:themeFill="background1" w:themeFillShade="F2"/>
            <w:vAlign w:val="center"/>
          </w:tcPr>
          <w:p w14:paraId="733E961C" w14:textId="77777777" w:rsidR="002824B4" w:rsidRPr="009237F9" w:rsidRDefault="002824B4" w:rsidP="00C74238">
            <w:pPr>
              <w:pStyle w:val="TableBody"/>
              <w:ind w:right="57"/>
              <w:jc w:val="right"/>
            </w:pPr>
            <w:r w:rsidRPr="002C4EEF">
              <w:rPr>
                <w:rFonts w:ascii="Arial" w:hAnsi="Arial" w:cs="Arial"/>
                <w:szCs w:val="18"/>
              </w:rPr>
              <w:t>6.9</w:t>
            </w:r>
          </w:p>
        </w:tc>
      </w:tr>
      <w:tr w:rsidR="002824B4" w:rsidRPr="006A100F" w14:paraId="379F884D" w14:textId="77777777" w:rsidTr="00ED54AD">
        <w:trPr>
          <w:gridAfter w:val="1"/>
          <w:wAfter w:w="105" w:type="dxa"/>
          <w:trHeight w:val="334"/>
        </w:trPr>
        <w:tc>
          <w:tcPr>
            <w:tcW w:w="3402" w:type="dxa"/>
            <w:gridSpan w:val="2"/>
            <w:tcBorders>
              <w:bottom w:val="nil"/>
            </w:tcBorders>
            <w:shd w:val="clear" w:color="auto" w:fill="auto"/>
            <w:vAlign w:val="center"/>
          </w:tcPr>
          <w:p w14:paraId="169A1C37" w14:textId="77777777" w:rsidR="002824B4" w:rsidRPr="00CE59E8" w:rsidRDefault="002824B4" w:rsidP="002824B4">
            <w:pPr>
              <w:pStyle w:val="TableBody"/>
            </w:pPr>
            <w:r>
              <w:rPr>
                <w:rFonts w:ascii="Arial" w:hAnsi="Arial" w:cs="Arial"/>
                <w:szCs w:val="18"/>
              </w:rPr>
              <w:t>Manufacturing</w:t>
            </w:r>
          </w:p>
        </w:tc>
        <w:tc>
          <w:tcPr>
            <w:tcW w:w="1477" w:type="dxa"/>
            <w:tcBorders>
              <w:bottom w:val="nil"/>
            </w:tcBorders>
            <w:vAlign w:val="center"/>
          </w:tcPr>
          <w:p w14:paraId="31393642"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-1</w:t>
            </w:r>
          </w:p>
        </w:tc>
        <w:tc>
          <w:tcPr>
            <w:tcW w:w="1224" w:type="dxa"/>
            <w:tcBorders>
              <w:bottom w:val="nil"/>
            </w:tcBorders>
            <w:shd w:val="clear" w:color="auto" w:fill="auto"/>
            <w:vAlign w:val="center"/>
          </w:tcPr>
          <w:p w14:paraId="7AE3585E"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-1.3</w:t>
            </w:r>
          </w:p>
        </w:tc>
        <w:tc>
          <w:tcPr>
            <w:tcW w:w="1239" w:type="dxa"/>
            <w:tcBorders>
              <w:bottom w:val="nil"/>
            </w:tcBorders>
            <w:shd w:val="clear" w:color="auto" w:fill="auto"/>
            <w:vAlign w:val="center"/>
          </w:tcPr>
          <w:p w14:paraId="7EC1F88B" w14:textId="77777777" w:rsidR="002824B4" w:rsidRPr="009237F9" w:rsidRDefault="002824B4" w:rsidP="00C74238">
            <w:pPr>
              <w:pStyle w:val="TableBody"/>
              <w:ind w:right="57"/>
              <w:jc w:val="right"/>
            </w:pPr>
            <w:r>
              <w:rPr>
                <w:rFonts w:ascii="Arial" w:hAnsi="Arial" w:cs="Arial"/>
                <w:szCs w:val="18"/>
              </w:rPr>
              <w:t>0</w:t>
            </w:r>
          </w:p>
        </w:tc>
        <w:tc>
          <w:tcPr>
            <w:tcW w:w="1240" w:type="dxa"/>
            <w:tcBorders>
              <w:bottom w:val="nil"/>
            </w:tcBorders>
            <w:shd w:val="clear" w:color="auto" w:fill="auto"/>
            <w:vAlign w:val="center"/>
          </w:tcPr>
          <w:p w14:paraId="7268EA00" w14:textId="77777777" w:rsidR="002824B4" w:rsidRPr="009237F9" w:rsidRDefault="002824B4" w:rsidP="00C74238">
            <w:pPr>
              <w:pStyle w:val="TableBody"/>
              <w:ind w:right="57"/>
              <w:jc w:val="right"/>
            </w:pPr>
            <w:r>
              <w:rPr>
                <w:rFonts w:ascii="Arial" w:hAnsi="Arial" w:cs="Arial"/>
                <w:szCs w:val="18"/>
              </w:rPr>
              <w:t>0.8</w:t>
            </w:r>
          </w:p>
        </w:tc>
        <w:tc>
          <w:tcPr>
            <w:tcW w:w="903" w:type="dxa"/>
            <w:tcBorders>
              <w:bottom w:val="nil"/>
            </w:tcBorders>
            <w:shd w:val="clear" w:color="auto" w:fill="auto"/>
            <w:vAlign w:val="center"/>
          </w:tcPr>
          <w:p w14:paraId="3DE5E56E" w14:textId="77777777" w:rsidR="002824B4" w:rsidRPr="009237F9" w:rsidRDefault="002824B4" w:rsidP="00C74238">
            <w:pPr>
              <w:pStyle w:val="TableBody"/>
              <w:ind w:right="57"/>
              <w:jc w:val="right"/>
            </w:pPr>
            <w:r w:rsidRPr="009843F9">
              <w:rPr>
                <w:rFonts w:ascii="Arial" w:hAnsi="Arial" w:cs="Arial"/>
                <w:color w:val="A52828" w:themeColor="accent5"/>
              </w:rPr>
              <w:t>-1.1</w:t>
            </w:r>
          </w:p>
        </w:tc>
      </w:tr>
      <w:tr w:rsidR="009E26EA" w:rsidRPr="006A100F" w14:paraId="47462942" w14:textId="77777777" w:rsidTr="00ED54AD">
        <w:trPr>
          <w:gridAfter w:val="1"/>
          <w:wAfter w:w="105" w:type="dxa"/>
          <w:trHeight w:val="334"/>
        </w:trPr>
        <w:tc>
          <w:tcPr>
            <w:tcW w:w="3402" w:type="dxa"/>
            <w:gridSpan w:val="2"/>
            <w:tcBorders>
              <w:bottom w:val="nil"/>
            </w:tcBorders>
            <w:shd w:val="clear" w:color="auto" w:fill="F2F2F2" w:themeFill="background1" w:themeFillShade="F2"/>
            <w:vAlign w:val="center"/>
          </w:tcPr>
          <w:p w14:paraId="7E3CB58E" w14:textId="77777777" w:rsidR="002824B4" w:rsidRPr="00CE59E8" w:rsidRDefault="002824B4" w:rsidP="002824B4">
            <w:pPr>
              <w:pStyle w:val="TableBody"/>
            </w:pPr>
            <w:r>
              <w:rPr>
                <w:rFonts w:ascii="Arial" w:hAnsi="Arial" w:cs="Arial"/>
                <w:color w:val="000000"/>
                <w:szCs w:val="18"/>
              </w:rPr>
              <w:t>Transport, postal and warehousing</w:t>
            </w:r>
          </w:p>
        </w:tc>
        <w:tc>
          <w:tcPr>
            <w:tcW w:w="1477" w:type="dxa"/>
            <w:tcBorders>
              <w:bottom w:val="nil"/>
            </w:tcBorders>
            <w:shd w:val="clear" w:color="auto" w:fill="F2F2F2" w:themeFill="background1" w:themeFillShade="F2"/>
            <w:vAlign w:val="center"/>
          </w:tcPr>
          <w:p w14:paraId="7A0E02A4"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-1.2</w:t>
            </w:r>
          </w:p>
        </w:tc>
        <w:tc>
          <w:tcPr>
            <w:tcW w:w="1224" w:type="dxa"/>
            <w:tcBorders>
              <w:bottom w:val="nil"/>
            </w:tcBorders>
            <w:shd w:val="clear" w:color="auto" w:fill="F2F2F2" w:themeFill="background1" w:themeFillShade="F2"/>
            <w:vAlign w:val="center"/>
          </w:tcPr>
          <w:p w14:paraId="068849BD" w14:textId="77777777" w:rsidR="002824B4" w:rsidRPr="00C94C36" w:rsidRDefault="002824B4" w:rsidP="00C74238">
            <w:pPr>
              <w:pStyle w:val="TableBody"/>
              <w:ind w:right="57"/>
              <w:jc w:val="right"/>
              <w:rPr>
                <w:color w:val="A52828" w:themeColor="accent5"/>
              </w:rPr>
            </w:pPr>
            <w:r w:rsidRPr="00C94C36">
              <w:rPr>
                <w:rFonts w:ascii="Arial" w:hAnsi="Arial" w:cs="Arial"/>
                <w:color w:val="A52828" w:themeColor="accent5"/>
                <w:szCs w:val="18"/>
              </w:rPr>
              <w:t>3.3</w:t>
            </w:r>
          </w:p>
        </w:tc>
        <w:tc>
          <w:tcPr>
            <w:tcW w:w="1239" w:type="dxa"/>
            <w:tcBorders>
              <w:bottom w:val="nil"/>
            </w:tcBorders>
            <w:shd w:val="clear" w:color="auto" w:fill="F2F2F2" w:themeFill="background1" w:themeFillShade="F2"/>
            <w:vAlign w:val="center"/>
          </w:tcPr>
          <w:p w14:paraId="35818A63" w14:textId="77777777" w:rsidR="002824B4" w:rsidRPr="009237F9" w:rsidRDefault="002824B4" w:rsidP="00C74238">
            <w:pPr>
              <w:pStyle w:val="TableBody"/>
              <w:ind w:right="57"/>
              <w:jc w:val="right"/>
            </w:pPr>
            <w:r w:rsidRPr="002C4EEF">
              <w:rPr>
                <w:rFonts w:ascii="Arial" w:hAnsi="Arial" w:cs="Arial"/>
                <w:szCs w:val="18"/>
              </w:rPr>
              <w:t>15.7</w:t>
            </w:r>
          </w:p>
        </w:tc>
        <w:tc>
          <w:tcPr>
            <w:tcW w:w="1240" w:type="dxa"/>
            <w:tcBorders>
              <w:bottom w:val="nil"/>
            </w:tcBorders>
            <w:shd w:val="clear" w:color="auto" w:fill="F2F2F2" w:themeFill="background1" w:themeFillShade="F2"/>
            <w:vAlign w:val="center"/>
          </w:tcPr>
          <w:p w14:paraId="45A6D0AE" w14:textId="77777777" w:rsidR="002824B4" w:rsidRPr="009237F9" w:rsidRDefault="002824B4" w:rsidP="00C74238">
            <w:pPr>
              <w:pStyle w:val="TableBody"/>
              <w:ind w:right="57"/>
              <w:jc w:val="right"/>
            </w:pPr>
            <w:r w:rsidRPr="002C4EEF">
              <w:rPr>
                <w:rFonts w:ascii="Arial" w:hAnsi="Arial" w:cs="Arial"/>
                <w:szCs w:val="18"/>
              </w:rPr>
              <w:t>3.9</w:t>
            </w:r>
          </w:p>
        </w:tc>
        <w:tc>
          <w:tcPr>
            <w:tcW w:w="903" w:type="dxa"/>
            <w:tcBorders>
              <w:bottom w:val="nil"/>
            </w:tcBorders>
            <w:shd w:val="clear" w:color="auto" w:fill="F2F2F2" w:themeFill="background1" w:themeFillShade="F2"/>
            <w:vAlign w:val="center"/>
          </w:tcPr>
          <w:p w14:paraId="2BA07F73" w14:textId="77777777" w:rsidR="002824B4" w:rsidRPr="009237F9" w:rsidRDefault="002824B4" w:rsidP="00C74238">
            <w:pPr>
              <w:pStyle w:val="TableBody"/>
              <w:ind w:right="57"/>
              <w:jc w:val="right"/>
            </w:pPr>
            <w:r w:rsidRPr="002C4EEF">
              <w:rPr>
                <w:rFonts w:ascii="Arial" w:hAnsi="Arial" w:cs="Arial"/>
                <w:szCs w:val="18"/>
              </w:rPr>
              <w:t>14.4</w:t>
            </w:r>
          </w:p>
        </w:tc>
      </w:tr>
      <w:tr w:rsidR="002824B4" w:rsidRPr="006A100F" w14:paraId="5FA0FB00" w14:textId="77777777" w:rsidTr="00ED54AD">
        <w:trPr>
          <w:gridAfter w:val="1"/>
          <w:wAfter w:w="105" w:type="dxa"/>
          <w:trHeight w:val="334"/>
        </w:trPr>
        <w:tc>
          <w:tcPr>
            <w:tcW w:w="3402" w:type="dxa"/>
            <w:gridSpan w:val="2"/>
            <w:tcBorders>
              <w:bottom w:val="nil"/>
            </w:tcBorders>
            <w:shd w:val="clear" w:color="auto" w:fill="auto"/>
            <w:vAlign w:val="center"/>
          </w:tcPr>
          <w:p w14:paraId="69A99194" w14:textId="77777777" w:rsidR="002824B4" w:rsidRPr="00CE59E8" w:rsidRDefault="002824B4" w:rsidP="002824B4">
            <w:pPr>
              <w:pStyle w:val="TableBody"/>
            </w:pPr>
            <w:r>
              <w:rPr>
                <w:rFonts w:ascii="Arial" w:hAnsi="Arial" w:cs="Arial"/>
                <w:color w:val="000000"/>
                <w:szCs w:val="18"/>
              </w:rPr>
              <w:t>Retail trade</w:t>
            </w:r>
          </w:p>
        </w:tc>
        <w:tc>
          <w:tcPr>
            <w:tcW w:w="1477" w:type="dxa"/>
            <w:tcBorders>
              <w:bottom w:val="nil"/>
            </w:tcBorders>
            <w:vAlign w:val="center"/>
          </w:tcPr>
          <w:p w14:paraId="2942DB58"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-1.4</w:t>
            </w:r>
          </w:p>
        </w:tc>
        <w:tc>
          <w:tcPr>
            <w:tcW w:w="1224" w:type="dxa"/>
            <w:tcBorders>
              <w:bottom w:val="nil"/>
            </w:tcBorders>
            <w:shd w:val="clear" w:color="auto" w:fill="auto"/>
            <w:vAlign w:val="center"/>
          </w:tcPr>
          <w:p w14:paraId="04E58D1F"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-1.4</w:t>
            </w:r>
          </w:p>
        </w:tc>
        <w:tc>
          <w:tcPr>
            <w:tcW w:w="1239" w:type="dxa"/>
            <w:tcBorders>
              <w:bottom w:val="nil"/>
            </w:tcBorders>
            <w:shd w:val="clear" w:color="auto" w:fill="auto"/>
            <w:vAlign w:val="center"/>
          </w:tcPr>
          <w:p w14:paraId="7563A30B" w14:textId="77777777" w:rsidR="002824B4" w:rsidRPr="009237F9" w:rsidRDefault="002824B4" w:rsidP="00C74238">
            <w:pPr>
              <w:pStyle w:val="TableBody"/>
              <w:ind w:right="57"/>
              <w:jc w:val="right"/>
            </w:pPr>
            <w:r w:rsidRPr="002C4EEF">
              <w:rPr>
                <w:rFonts w:ascii="Arial" w:hAnsi="Arial" w:cs="Arial"/>
                <w:szCs w:val="18"/>
              </w:rPr>
              <w:t>2.8</w:t>
            </w:r>
          </w:p>
        </w:tc>
        <w:tc>
          <w:tcPr>
            <w:tcW w:w="1240" w:type="dxa"/>
            <w:tcBorders>
              <w:bottom w:val="nil"/>
            </w:tcBorders>
            <w:shd w:val="clear" w:color="auto" w:fill="auto"/>
            <w:vAlign w:val="center"/>
          </w:tcPr>
          <w:p w14:paraId="0A72D376" w14:textId="77777777" w:rsidR="002824B4" w:rsidRPr="009237F9" w:rsidRDefault="002824B4" w:rsidP="00C74238">
            <w:pPr>
              <w:pStyle w:val="TableBody"/>
              <w:ind w:right="57"/>
              <w:jc w:val="right"/>
            </w:pPr>
            <w:r w:rsidRPr="002C4EEF">
              <w:rPr>
                <w:rFonts w:ascii="Arial" w:hAnsi="Arial" w:cs="Arial"/>
                <w:szCs w:val="18"/>
              </w:rPr>
              <w:t>2.8</w:t>
            </w:r>
          </w:p>
        </w:tc>
        <w:tc>
          <w:tcPr>
            <w:tcW w:w="903" w:type="dxa"/>
            <w:tcBorders>
              <w:bottom w:val="nil"/>
            </w:tcBorders>
            <w:shd w:val="clear" w:color="auto" w:fill="auto"/>
            <w:vAlign w:val="center"/>
          </w:tcPr>
          <w:p w14:paraId="72271015" w14:textId="77777777" w:rsidR="002824B4" w:rsidRPr="009237F9" w:rsidRDefault="002824B4" w:rsidP="00C74238">
            <w:pPr>
              <w:pStyle w:val="TableBody"/>
              <w:ind w:right="57"/>
              <w:jc w:val="right"/>
            </w:pPr>
            <w:r w:rsidRPr="002C4EEF">
              <w:rPr>
                <w:rFonts w:ascii="Arial" w:hAnsi="Arial" w:cs="Arial"/>
                <w:szCs w:val="18"/>
              </w:rPr>
              <w:t>1.4</w:t>
            </w:r>
          </w:p>
        </w:tc>
      </w:tr>
      <w:tr w:rsidR="009E26EA" w:rsidRPr="006A100F" w14:paraId="20BAAE93" w14:textId="77777777" w:rsidTr="00ED54AD">
        <w:trPr>
          <w:gridAfter w:val="1"/>
          <w:wAfter w:w="105" w:type="dxa"/>
          <w:trHeight w:val="334"/>
        </w:trPr>
        <w:tc>
          <w:tcPr>
            <w:tcW w:w="3402" w:type="dxa"/>
            <w:gridSpan w:val="2"/>
            <w:tcBorders>
              <w:bottom w:val="nil"/>
            </w:tcBorders>
            <w:shd w:val="clear" w:color="auto" w:fill="F2F2F2" w:themeFill="background1" w:themeFillShade="F2"/>
            <w:vAlign w:val="center"/>
          </w:tcPr>
          <w:p w14:paraId="3DCA1521" w14:textId="77777777" w:rsidR="002824B4" w:rsidRPr="00B227F8" w:rsidRDefault="002824B4" w:rsidP="002824B4">
            <w:pPr>
              <w:pStyle w:val="TableBody"/>
            </w:pPr>
            <w:r>
              <w:rPr>
                <w:rFonts w:ascii="Arial" w:hAnsi="Arial" w:cs="Arial"/>
                <w:szCs w:val="18"/>
              </w:rPr>
              <w:t>Construction</w:t>
            </w:r>
          </w:p>
        </w:tc>
        <w:tc>
          <w:tcPr>
            <w:tcW w:w="1477" w:type="dxa"/>
            <w:tcBorders>
              <w:bottom w:val="nil"/>
            </w:tcBorders>
            <w:shd w:val="clear" w:color="auto" w:fill="F2F2F2" w:themeFill="background1" w:themeFillShade="F2"/>
            <w:vAlign w:val="center"/>
          </w:tcPr>
          <w:p w14:paraId="0C995C92"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-1.8</w:t>
            </w:r>
          </w:p>
        </w:tc>
        <w:tc>
          <w:tcPr>
            <w:tcW w:w="1224" w:type="dxa"/>
            <w:tcBorders>
              <w:bottom w:val="nil"/>
            </w:tcBorders>
            <w:shd w:val="clear" w:color="auto" w:fill="F2F2F2" w:themeFill="background1" w:themeFillShade="F2"/>
            <w:vAlign w:val="center"/>
          </w:tcPr>
          <w:p w14:paraId="72810EC0" w14:textId="77777777" w:rsidR="002824B4" w:rsidRPr="00C94C36" w:rsidRDefault="002824B4" w:rsidP="00C74238">
            <w:pPr>
              <w:pStyle w:val="TableBody"/>
              <w:ind w:right="57"/>
              <w:jc w:val="right"/>
              <w:rPr>
                <w:color w:val="A52828" w:themeColor="accent5"/>
              </w:rPr>
            </w:pPr>
            <w:r w:rsidRPr="00C94C36">
              <w:rPr>
                <w:rFonts w:ascii="Arial" w:hAnsi="Arial" w:cs="Arial"/>
                <w:color w:val="A52828" w:themeColor="accent5"/>
              </w:rPr>
              <w:t>-0.8</w:t>
            </w:r>
          </w:p>
        </w:tc>
        <w:tc>
          <w:tcPr>
            <w:tcW w:w="1239" w:type="dxa"/>
            <w:tcBorders>
              <w:bottom w:val="nil"/>
            </w:tcBorders>
            <w:shd w:val="clear" w:color="auto" w:fill="F2F2F2" w:themeFill="background1" w:themeFillShade="F2"/>
            <w:vAlign w:val="center"/>
          </w:tcPr>
          <w:p w14:paraId="5C1FC10D" w14:textId="77777777" w:rsidR="002824B4" w:rsidRPr="009237F9" w:rsidRDefault="002824B4" w:rsidP="00C74238">
            <w:pPr>
              <w:pStyle w:val="TableBody"/>
              <w:ind w:right="57"/>
              <w:jc w:val="right"/>
            </w:pPr>
            <w:r>
              <w:rPr>
                <w:rFonts w:ascii="Arial" w:hAnsi="Arial" w:cs="Arial"/>
                <w:szCs w:val="18"/>
              </w:rPr>
              <w:t>5.7</w:t>
            </w:r>
          </w:p>
        </w:tc>
        <w:tc>
          <w:tcPr>
            <w:tcW w:w="1240" w:type="dxa"/>
            <w:tcBorders>
              <w:bottom w:val="nil"/>
            </w:tcBorders>
            <w:shd w:val="clear" w:color="auto" w:fill="F2F2F2" w:themeFill="background1" w:themeFillShade="F2"/>
            <w:vAlign w:val="center"/>
          </w:tcPr>
          <w:p w14:paraId="493DFFBD" w14:textId="77777777" w:rsidR="002824B4" w:rsidRPr="009237F9" w:rsidRDefault="002824B4" w:rsidP="00C74238">
            <w:pPr>
              <w:pStyle w:val="TableBody"/>
              <w:ind w:right="57"/>
              <w:jc w:val="right"/>
            </w:pPr>
            <w:r>
              <w:rPr>
                <w:rFonts w:ascii="Arial" w:hAnsi="Arial" w:cs="Arial"/>
                <w:szCs w:val="18"/>
              </w:rPr>
              <w:t>2</w:t>
            </w:r>
          </w:p>
        </w:tc>
        <w:tc>
          <w:tcPr>
            <w:tcW w:w="903" w:type="dxa"/>
            <w:tcBorders>
              <w:bottom w:val="nil"/>
            </w:tcBorders>
            <w:shd w:val="clear" w:color="auto" w:fill="F2F2F2" w:themeFill="background1" w:themeFillShade="F2"/>
            <w:vAlign w:val="center"/>
          </w:tcPr>
          <w:p w14:paraId="6A88E4B4" w14:textId="77777777" w:rsidR="002824B4" w:rsidRPr="009237F9" w:rsidRDefault="002824B4" w:rsidP="00C74238">
            <w:pPr>
              <w:pStyle w:val="TableBody"/>
              <w:ind w:right="57"/>
              <w:jc w:val="right"/>
            </w:pPr>
            <w:r>
              <w:rPr>
                <w:rFonts w:ascii="Arial" w:hAnsi="Arial" w:cs="Arial"/>
                <w:szCs w:val="18"/>
              </w:rPr>
              <w:t>3.8</w:t>
            </w:r>
          </w:p>
        </w:tc>
      </w:tr>
      <w:tr w:rsidR="002824B4" w:rsidRPr="006A100F" w14:paraId="75F3ED1D" w14:textId="77777777" w:rsidTr="00ED54AD">
        <w:trPr>
          <w:gridAfter w:val="1"/>
          <w:wAfter w:w="105" w:type="dxa"/>
          <w:trHeight w:val="334"/>
        </w:trPr>
        <w:tc>
          <w:tcPr>
            <w:tcW w:w="3402" w:type="dxa"/>
            <w:gridSpan w:val="2"/>
            <w:tcBorders>
              <w:bottom w:val="nil"/>
            </w:tcBorders>
            <w:shd w:val="clear" w:color="auto" w:fill="auto"/>
            <w:vAlign w:val="center"/>
          </w:tcPr>
          <w:p w14:paraId="34C8076F" w14:textId="77777777" w:rsidR="002824B4" w:rsidRPr="00B227F8" w:rsidRDefault="002824B4" w:rsidP="002824B4">
            <w:pPr>
              <w:pStyle w:val="TableBody"/>
            </w:pPr>
            <w:r>
              <w:rPr>
                <w:rFonts w:ascii="Arial" w:hAnsi="Arial" w:cs="Arial"/>
                <w:szCs w:val="18"/>
              </w:rPr>
              <w:t>Accommodation and food services</w:t>
            </w:r>
          </w:p>
        </w:tc>
        <w:tc>
          <w:tcPr>
            <w:tcW w:w="1477" w:type="dxa"/>
            <w:tcBorders>
              <w:bottom w:val="nil"/>
            </w:tcBorders>
            <w:vAlign w:val="center"/>
          </w:tcPr>
          <w:p w14:paraId="78D1F27B"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-2.3</w:t>
            </w:r>
          </w:p>
        </w:tc>
        <w:tc>
          <w:tcPr>
            <w:tcW w:w="1224" w:type="dxa"/>
            <w:tcBorders>
              <w:bottom w:val="nil"/>
            </w:tcBorders>
            <w:shd w:val="clear" w:color="auto" w:fill="auto"/>
            <w:vAlign w:val="center"/>
          </w:tcPr>
          <w:p w14:paraId="29504BA0" w14:textId="77777777" w:rsidR="002824B4" w:rsidRPr="009237F9" w:rsidRDefault="002824B4" w:rsidP="00C74238">
            <w:pPr>
              <w:pStyle w:val="TableBody"/>
              <w:ind w:right="57"/>
              <w:jc w:val="right"/>
            </w:pPr>
            <w:r>
              <w:rPr>
                <w:rFonts w:ascii="Arial" w:hAnsi="Arial" w:cs="Arial"/>
                <w:szCs w:val="18"/>
              </w:rPr>
              <w:t>2.3</w:t>
            </w:r>
          </w:p>
        </w:tc>
        <w:tc>
          <w:tcPr>
            <w:tcW w:w="1239" w:type="dxa"/>
            <w:tcBorders>
              <w:bottom w:val="nil"/>
            </w:tcBorders>
            <w:shd w:val="clear" w:color="auto" w:fill="auto"/>
            <w:vAlign w:val="center"/>
          </w:tcPr>
          <w:p w14:paraId="0872052E" w14:textId="4D7C4BA6" w:rsidR="002824B4" w:rsidRPr="009237F9" w:rsidRDefault="002824B4" w:rsidP="00C74238">
            <w:pPr>
              <w:pStyle w:val="TableBody"/>
              <w:ind w:right="57"/>
              <w:jc w:val="right"/>
            </w:pPr>
            <w:r>
              <w:rPr>
                <w:rFonts w:ascii="Arial" w:hAnsi="Arial" w:cs="Arial"/>
                <w:szCs w:val="18"/>
              </w:rPr>
              <w:t>24.</w:t>
            </w:r>
            <w:r w:rsidR="00732F2D">
              <w:rPr>
                <w:rFonts w:ascii="Arial" w:hAnsi="Arial" w:cs="Arial"/>
                <w:szCs w:val="18"/>
              </w:rPr>
              <w:t>5</w:t>
            </w:r>
          </w:p>
        </w:tc>
        <w:tc>
          <w:tcPr>
            <w:tcW w:w="1240" w:type="dxa"/>
            <w:tcBorders>
              <w:bottom w:val="nil"/>
            </w:tcBorders>
            <w:shd w:val="clear" w:color="auto" w:fill="auto"/>
            <w:vAlign w:val="center"/>
          </w:tcPr>
          <w:p w14:paraId="193D7733" w14:textId="77777777" w:rsidR="002824B4" w:rsidRPr="009237F9" w:rsidRDefault="002824B4" w:rsidP="00C74238">
            <w:pPr>
              <w:pStyle w:val="TableBody"/>
              <w:ind w:right="57"/>
              <w:jc w:val="right"/>
            </w:pPr>
            <w:r>
              <w:rPr>
                <w:rFonts w:ascii="Arial" w:hAnsi="Arial" w:cs="Arial"/>
                <w:szCs w:val="18"/>
              </w:rPr>
              <w:t>1.6</w:t>
            </w:r>
          </w:p>
        </w:tc>
        <w:tc>
          <w:tcPr>
            <w:tcW w:w="903" w:type="dxa"/>
            <w:tcBorders>
              <w:bottom w:val="nil"/>
            </w:tcBorders>
            <w:shd w:val="clear" w:color="auto" w:fill="auto"/>
            <w:vAlign w:val="center"/>
          </w:tcPr>
          <w:p w14:paraId="6612AFEC" w14:textId="77777777" w:rsidR="002824B4" w:rsidRPr="009237F9" w:rsidRDefault="002824B4" w:rsidP="00C74238">
            <w:pPr>
              <w:pStyle w:val="TableBody"/>
              <w:ind w:right="57"/>
              <w:jc w:val="right"/>
            </w:pPr>
            <w:r>
              <w:rPr>
                <w:rFonts w:ascii="Arial" w:hAnsi="Arial" w:cs="Arial"/>
                <w:szCs w:val="18"/>
              </w:rPr>
              <w:t>21.7</w:t>
            </w:r>
          </w:p>
        </w:tc>
      </w:tr>
      <w:tr w:rsidR="009E26EA" w:rsidRPr="006A100F" w14:paraId="0A93D100" w14:textId="77777777" w:rsidTr="00ED54AD">
        <w:trPr>
          <w:gridAfter w:val="1"/>
          <w:wAfter w:w="105" w:type="dxa"/>
          <w:trHeight w:val="334"/>
        </w:trPr>
        <w:tc>
          <w:tcPr>
            <w:tcW w:w="3402" w:type="dxa"/>
            <w:gridSpan w:val="2"/>
            <w:tcBorders>
              <w:bottom w:val="nil"/>
            </w:tcBorders>
            <w:shd w:val="clear" w:color="auto" w:fill="F2F2F2" w:themeFill="background1" w:themeFillShade="F2"/>
            <w:vAlign w:val="center"/>
          </w:tcPr>
          <w:p w14:paraId="29DC5F75" w14:textId="77777777" w:rsidR="002824B4" w:rsidRPr="00CE59E8" w:rsidRDefault="002824B4" w:rsidP="002824B4">
            <w:pPr>
              <w:pStyle w:val="TableBody"/>
            </w:pPr>
            <w:r>
              <w:rPr>
                <w:rFonts w:ascii="Arial" w:hAnsi="Arial" w:cs="Arial"/>
                <w:color w:val="000000"/>
                <w:szCs w:val="18"/>
              </w:rPr>
              <w:t>Financial and insurance services</w:t>
            </w:r>
          </w:p>
        </w:tc>
        <w:tc>
          <w:tcPr>
            <w:tcW w:w="1477" w:type="dxa"/>
            <w:tcBorders>
              <w:bottom w:val="nil"/>
            </w:tcBorders>
            <w:shd w:val="clear" w:color="auto" w:fill="F2F2F2" w:themeFill="background1" w:themeFillShade="F2"/>
            <w:vAlign w:val="center"/>
          </w:tcPr>
          <w:p w14:paraId="0646D0F7"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-2.6</w:t>
            </w:r>
          </w:p>
        </w:tc>
        <w:tc>
          <w:tcPr>
            <w:tcW w:w="1224" w:type="dxa"/>
            <w:tcBorders>
              <w:bottom w:val="nil"/>
            </w:tcBorders>
            <w:shd w:val="clear" w:color="auto" w:fill="F2F2F2" w:themeFill="background1" w:themeFillShade="F2"/>
            <w:vAlign w:val="center"/>
          </w:tcPr>
          <w:p w14:paraId="65CB55D1" w14:textId="77777777" w:rsidR="002824B4" w:rsidRPr="009237F9" w:rsidRDefault="002824B4" w:rsidP="00C74238">
            <w:pPr>
              <w:pStyle w:val="TableBody"/>
              <w:ind w:right="57"/>
              <w:jc w:val="right"/>
            </w:pPr>
            <w:r w:rsidRPr="002C4EEF">
              <w:rPr>
                <w:rFonts w:ascii="Arial" w:hAnsi="Arial" w:cs="Arial"/>
                <w:szCs w:val="18"/>
              </w:rPr>
              <w:t>0.3</w:t>
            </w:r>
          </w:p>
        </w:tc>
        <w:tc>
          <w:tcPr>
            <w:tcW w:w="1239" w:type="dxa"/>
            <w:tcBorders>
              <w:bottom w:val="nil"/>
            </w:tcBorders>
            <w:shd w:val="clear" w:color="auto" w:fill="F2F2F2" w:themeFill="background1" w:themeFillShade="F2"/>
            <w:vAlign w:val="center"/>
          </w:tcPr>
          <w:p w14:paraId="44A814B5" w14:textId="77777777" w:rsidR="002824B4" w:rsidRPr="009237F9" w:rsidRDefault="002824B4" w:rsidP="00C74238">
            <w:pPr>
              <w:pStyle w:val="TableBody"/>
              <w:ind w:right="57"/>
              <w:jc w:val="right"/>
            </w:pPr>
            <w:r w:rsidRPr="002C4EEF">
              <w:rPr>
                <w:rFonts w:ascii="Arial" w:hAnsi="Arial" w:cs="Arial"/>
                <w:szCs w:val="18"/>
              </w:rPr>
              <w:t>4.1</w:t>
            </w:r>
          </w:p>
        </w:tc>
        <w:tc>
          <w:tcPr>
            <w:tcW w:w="1240" w:type="dxa"/>
            <w:tcBorders>
              <w:bottom w:val="nil"/>
            </w:tcBorders>
            <w:shd w:val="clear" w:color="auto" w:fill="F2F2F2" w:themeFill="background1" w:themeFillShade="F2"/>
            <w:vAlign w:val="center"/>
          </w:tcPr>
          <w:p w14:paraId="7F2F3F2A" w14:textId="77777777" w:rsidR="002824B4" w:rsidRPr="002C4EEF" w:rsidRDefault="002824B4" w:rsidP="00C74238">
            <w:pPr>
              <w:pStyle w:val="TableBody"/>
              <w:ind w:right="57"/>
              <w:jc w:val="right"/>
              <w:rPr>
                <w:rFonts w:ascii="Arial" w:hAnsi="Arial" w:cs="Arial"/>
              </w:rPr>
            </w:pPr>
            <w:r w:rsidRPr="00C94C36">
              <w:rPr>
                <w:rFonts w:ascii="Arial" w:hAnsi="Arial" w:cs="Arial"/>
                <w:color w:val="A52828" w:themeColor="accent5"/>
              </w:rPr>
              <w:t>-0.5</w:t>
            </w:r>
          </w:p>
        </w:tc>
        <w:tc>
          <w:tcPr>
            <w:tcW w:w="903" w:type="dxa"/>
            <w:tcBorders>
              <w:bottom w:val="nil"/>
            </w:tcBorders>
            <w:shd w:val="clear" w:color="auto" w:fill="F2F2F2" w:themeFill="background1" w:themeFillShade="F2"/>
            <w:vAlign w:val="center"/>
          </w:tcPr>
          <w:p w14:paraId="52971F2D" w14:textId="77777777" w:rsidR="002824B4" w:rsidRPr="009237F9" w:rsidRDefault="002824B4" w:rsidP="00C74238">
            <w:pPr>
              <w:pStyle w:val="TableBody"/>
              <w:ind w:right="57"/>
              <w:jc w:val="right"/>
            </w:pPr>
            <w:r w:rsidRPr="002C4EEF">
              <w:rPr>
                <w:rFonts w:ascii="Arial" w:hAnsi="Arial" w:cs="Arial"/>
                <w:szCs w:val="18"/>
              </w:rPr>
              <w:t>1.4</w:t>
            </w:r>
          </w:p>
        </w:tc>
      </w:tr>
      <w:tr w:rsidR="002824B4" w:rsidRPr="006A100F" w14:paraId="40611AE0" w14:textId="77777777" w:rsidTr="00ED54AD">
        <w:trPr>
          <w:gridAfter w:val="1"/>
          <w:wAfter w:w="105" w:type="dxa"/>
          <w:trHeight w:val="334"/>
        </w:trPr>
        <w:tc>
          <w:tcPr>
            <w:tcW w:w="3402" w:type="dxa"/>
            <w:gridSpan w:val="2"/>
            <w:tcBorders>
              <w:bottom w:val="nil"/>
            </w:tcBorders>
            <w:shd w:val="clear" w:color="auto" w:fill="auto"/>
            <w:vAlign w:val="center"/>
          </w:tcPr>
          <w:p w14:paraId="63C5A3B2" w14:textId="77777777" w:rsidR="002824B4" w:rsidRPr="00CE59E8" w:rsidRDefault="002824B4" w:rsidP="002824B4">
            <w:pPr>
              <w:pStyle w:val="TableBody"/>
            </w:pPr>
            <w:r>
              <w:rPr>
                <w:rFonts w:ascii="Arial" w:hAnsi="Arial" w:cs="Arial"/>
                <w:color w:val="000000"/>
                <w:szCs w:val="18"/>
              </w:rPr>
              <w:t>Mining</w:t>
            </w:r>
          </w:p>
        </w:tc>
        <w:tc>
          <w:tcPr>
            <w:tcW w:w="1477" w:type="dxa"/>
            <w:tcBorders>
              <w:bottom w:val="nil"/>
            </w:tcBorders>
            <w:vAlign w:val="center"/>
          </w:tcPr>
          <w:p w14:paraId="3025D46F"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-4.1</w:t>
            </w:r>
          </w:p>
        </w:tc>
        <w:tc>
          <w:tcPr>
            <w:tcW w:w="1224" w:type="dxa"/>
            <w:tcBorders>
              <w:bottom w:val="nil"/>
            </w:tcBorders>
            <w:shd w:val="clear" w:color="auto" w:fill="auto"/>
            <w:vAlign w:val="center"/>
          </w:tcPr>
          <w:p w14:paraId="365367F6" w14:textId="0E36E90F"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-0.6</w:t>
            </w:r>
          </w:p>
        </w:tc>
        <w:tc>
          <w:tcPr>
            <w:tcW w:w="1239" w:type="dxa"/>
            <w:tcBorders>
              <w:bottom w:val="nil"/>
            </w:tcBorders>
            <w:shd w:val="clear" w:color="auto" w:fill="auto"/>
            <w:vAlign w:val="center"/>
          </w:tcPr>
          <w:p w14:paraId="38C826B4" w14:textId="77777777" w:rsidR="002824B4" w:rsidRPr="009237F9" w:rsidRDefault="002824B4" w:rsidP="00C74238">
            <w:pPr>
              <w:pStyle w:val="TableBody"/>
              <w:ind w:right="57"/>
              <w:jc w:val="right"/>
            </w:pPr>
            <w:r w:rsidRPr="002C4EEF">
              <w:rPr>
                <w:rFonts w:ascii="Arial" w:hAnsi="Arial" w:cs="Arial"/>
                <w:szCs w:val="18"/>
              </w:rPr>
              <w:t>5.5</w:t>
            </w:r>
          </w:p>
        </w:tc>
        <w:tc>
          <w:tcPr>
            <w:tcW w:w="1240" w:type="dxa"/>
            <w:tcBorders>
              <w:bottom w:val="nil"/>
            </w:tcBorders>
            <w:shd w:val="clear" w:color="auto" w:fill="auto"/>
            <w:vAlign w:val="center"/>
          </w:tcPr>
          <w:p w14:paraId="7181952A" w14:textId="77777777" w:rsidR="002824B4" w:rsidRPr="009237F9" w:rsidRDefault="002824B4" w:rsidP="00C74238">
            <w:pPr>
              <w:pStyle w:val="TableBody"/>
              <w:ind w:right="57"/>
              <w:jc w:val="right"/>
            </w:pPr>
            <w:r w:rsidRPr="002C4EEF">
              <w:rPr>
                <w:rFonts w:ascii="Arial" w:hAnsi="Arial" w:cs="Arial"/>
                <w:szCs w:val="18"/>
              </w:rPr>
              <w:t>1.3</w:t>
            </w:r>
          </w:p>
        </w:tc>
        <w:tc>
          <w:tcPr>
            <w:tcW w:w="903" w:type="dxa"/>
            <w:tcBorders>
              <w:bottom w:val="nil"/>
            </w:tcBorders>
            <w:shd w:val="clear" w:color="auto" w:fill="auto"/>
            <w:vAlign w:val="center"/>
          </w:tcPr>
          <w:p w14:paraId="13445AEE" w14:textId="77777777" w:rsidR="002824B4" w:rsidRPr="009237F9" w:rsidRDefault="002824B4" w:rsidP="00C74238">
            <w:pPr>
              <w:pStyle w:val="TableBody"/>
              <w:ind w:right="57"/>
              <w:jc w:val="right"/>
            </w:pPr>
            <w:r w:rsidRPr="002C4EEF">
              <w:rPr>
                <w:rFonts w:ascii="Arial" w:hAnsi="Arial" w:cs="Arial"/>
                <w:szCs w:val="18"/>
              </w:rPr>
              <w:t>1.2</w:t>
            </w:r>
          </w:p>
        </w:tc>
      </w:tr>
      <w:tr w:rsidR="009E26EA" w:rsidRPr="00AD742B" w14:paraId="0B36072D" w14:textId="77777777" w:rsidTr="00ED54AD">
        <w:trPr>
          <w:gridAfter w:val="1"/>
          <w:wAfter w:w="105" w:type="dxa"/>
          <w:trHeight w:val="334"/>
        </w:trPr>
        <w:tc>
          <w:tcPr>
            <w:tcW w:w="3402" w:type="dxa"/>
            <w:gridSpan w:val="2"/>
            <w:tcBorders>
              <w:bottom w:val="nil"/>
            </w:tcBorders>
            <w:shd w:val="clear" w:color="auto" w:fill="F2F2F2" w:themeFill="background1" w:themeFillShade="F2"/>
            <w:vAlign w:val="center"/>
          </w:tcPr>
          <w:p w14:paraId="6850E8FA" w14:textId="77777777" w:rsidR="002824B4" w:rsidRDefault="002824B4" w:rsidP="002824B4">
            <w:pPr>
              <w:pStyle w:val="TableBody"/>
            </w:pPr>
            <w:r>
              <w:rPr>
                <w:rFonts w:ascii="Arial" w:hAnsi="Arial" w:cs="Arial"/>
                <w:szCs w:val="18"/>
              </w:rPr>
              <w:t>Rental, hiring and real estate services</w:t>
            </w:r>
          </w:p>
        </w:tc>
        <w:tc>
          <w:tcPr>
            <w:tcW w:w="1477" w:type="dxa"/>
            <w:tcBorders>
              <w:bottom w:val="nil"/>
            </w:tcBorders>
            <w:shd w:val="clear" w:color="auto" w:fill="F2F2F2" w:themeFill="background1" w:themeFillShade="F2"/>
            <w:vAlign w:val="center"/>
          </w:tcPr>
          <w:p w14:paraId="0306A45A"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-5.3</w:t>
            </w:r>
          </w:p>
        </w:tc>
        <w:tc>
          <w:tcPr>
            <w:tcW w:w="1224" w:type="dxa"/>
            <w:tcBorders>
              <w:bottom w:val="nil"/>
            </w:tcBorders>
            <w:shd w:val="clear" w:color="auto" w:fill="F2F2F2" w:themeFill="background1" w:themeFillShade="F2"/>
            <w:vAlign w:val="center"/>
          </w:tcPr>
          <w:p w14:paraId="30DBC8E5"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-3.9</w:t>
            </w:r>
          </w:p>
        </w:tc>
        <w:tc>
          <w:tcPr>
            <w:tcW w:w="1239" w:type="dxa"/>
            <w:tcBorders>
              <w:bottom w:val="nil"/>
            </w:tcBorders>
            <w:shd w:val="clear" w:color="auto" w:fill="F2F2F2" w:themeFill="background1" w:themeFillShade="F2"/>
            <w:vAlign w:val="center"/>
          </w:tcPr>
          <w:p w14:paraId="7AB6B582" w14:textId="77777777" w:rsidR="002824B4" w:rsidRPr="009237F9" w:rsidRDefault="002824B4" w:rsidP="00C74238">
            <w:pPr>
              <w:pStyle w:val="TableBody"/>
              <w:ind w:right="57"/>
              <w:jc w:val="right"/>
            </w:pPr>
            <w:r>
              <w:rPr>
                <w:rFonts w:ascii="Arial" w:hAnsi="Arial" w:cs="Arial"/>
                <w:szCs w:val="18"/>
              </w:rPr>
              <w:t>6.1</w:t>
            </w:r>
          </w:p>
        </w:tc>
        <w:tc>
          <w:tcPr>
            <w:tcW w:w="1240" w:type="dxa"/>
            <w:tcBorders>
              <w:bottom w:val="nil"/>
            </w:tcBorders>
            <w:shd w:val="clear" w:color="auto" w:fill="F2F2F2" w:themeFill="background1" w:themeFillShade="F2"/>
            <w:vAlign w:val="center"/>
          </w:tcPr>
          <w:p w14:paraId="4E5E3589" w14:textId="77777777" w:rsidR="002824B4" w:rsidRPr="009237F9" w:rsidRDefault="002824B4" w:rsidP="00C74238">
            <w:pPr>
              <w:pStyle w:val="TableBody"/>
              <w:ind w:right="57"/>
              <w:jc w:val="right"/>
            </w:pPr>
            <w:r>
              <w:rPr>
                <w:rFonts w:ascii="Arial" w:hAnsi="Arial" w:cs="Arial"/>
                <w:szCs w:val="18"/>
              </w:rPr>
              <w:t>3.4</w:t>
            </w:r>
          </w:p>
        </w:tc>
        <w:tc>
          <w:tcPr>
            <w:tcW w:w="903" w:type="dxa"/>
            <w:tcBorders>
              <w:bottom w:val="nil"/>
            </w:tcBorders>
            <w:shd w:val="clear" w:color="auto" w:fill="F2F2F2" w:themeFill="background1" w:themeFillShade="F2"/>
            <w:vAlign w:val="center"/>
          </w:tcPr>
          <w:p w14:paraId="0F38A59C" w14:textId="77777777" w:rsidR="002824B4" w:rsidRPr="009237F9" w:rsidRDefault="002824B4" w:rsidP="00C74238">
            <w:pPr>
              <w:pStyle w:val="TableBody"/>
              <w:ind w:right="57"/>
              <w:jc w:val="right"/>
            </w:pPr>
            <w:r>
              <w:rPr>
                <w:rFonts w:ascii="Arial" w:hAnsi="Arial" w:cs="Arial"/>
                <w:szCs w:val="18"/>
              </w:rPr>
              <w:t>0.5</w:t>
            </w:r>
          </w:p>
        </w:tc>
      </w:tr>
      <w:tr w:rsidR="002824B4" w:rsidRPr="006A100F" w14:paraId="049F7052" w14:textId="77777777" w:rsidTr="00ED54AD">
        <w:trPr>
          <w:gridAfter w:val="1"/>
          <w:wAfter w:w="105" w:type="dxa"/>
          <w:trHeight w:val="334"/>
        </w:trPr>
        <w:tc>
          <w:tcPr>
            <w:tcW w:w="3402" w:type="dxa"/>
            <w:gridSpan w:val="2"/>
            <w:tcBorders>
              <w:bottom w:val="nil"/>
            </w:tcBorders>
            <w:shd w:val="clear" w:color="auto" w:fill="auto"/>
            <w:vAlign w:val="center"/>
          </w:tcPr>
          <w:p w14:paraId="32BDF0FC" w14:textId="77777777" w:rsidR="002824B4" w:rsidRDefault="002824B4" w:rsidP="002824B4">
            <w:pPr>
              <w:pStyle w:val="TableBody"/>
            </w:pPr>
            <w:r>
              <w:rPr>
                <w:rFonts w:ascii="Arial" w:hAnsi="Arial" w:cs="Arial"/>
                <w:color w:val="000000"/>
                <w:szCs w:val="18"/>
              </w:rPr>
              <w:t>Electricity, gas, water and waste services</w:t>
            </w:r>
          </w:p>
        </w:tc>
        <w:tc>
          <w:tcPr>
            <w:tcW w:w="1477" w:type="dxa"/>
            <w:tcBorders>
              <w:bottom w:val="nil"/>
            </w:tcBorders>
            <w:vAlign w:val="center"/>
          </w:tcPr>
          <w:p w14:paraId="3BD2D0C2"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-7.2</w:t>
            </w:r>
          </w:p>
        </w:tc>
        <w:tc>
          <w:tcPr>
            <w:tcW w:w="1224" w:type="dxa"/>
            <w:tcBorders>
              <w:bottom w:val="nil"/>
            </w:tcBorders>
            <w:shd w:val="clear" w:color="auto" w:fill="auto"/>
            <w:vAlign w:val="center"/>
          </w:tcPr>
          <w:p w14:paraId="219F7AD2"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-4.3</w:t>
            </w:r>
          </w:p>
        </w:tc>
        <w:tc>
          <w:tcPr>
            <w:tcW w:w="1239" w:type="dxa"/>
            <w:tcBorders>
              <w:bottom w:val="nil"/>
            </w:tcBorders>
            <w:shd w:val="clear" w:color="auto" w:fill="auto"/>
            <w:vAlign w:val="center"/>
          </w:tcPr>
          <w:p w14:paraId="7E3783AE" w14:textId="77777777" w:rsidR="002824B4" w:rsidRPr="009237F9" w:rsidRDefault="002824B4" w:rsidP="00C74238">
            <w:pPr>
              <w:pStyle w:val="TableBody"/>
              <w:ind w:right="57"/>
              <w:jc w:val="right"/>
            </w:pPr>
            <w:r w:rsidRPr="002C4EEF">
              <w:rPr>
                <w:rFonts w:ascii="Arial" w:hAnsi="Arial" w:cs="Arial"/>
                <w:szCs w:val="18"/>
              </w:rPr>
              <w:t>8.6</w:t>
            </w:r>
          </w:p>
        </w:tc>
        <w:tc>
          <w:tcPr>
            <w:tcW w:w="1240" w:type="dxa"/>
            <w:tcBorders>
              <w:bottom w:val="nil"/>
            </w:tcBorders>
            <w:shd w:val="clear" w:color="auto" w:fill="auto"/>
            <w:vAlign w:val="center"/>
          </w:tcPr>
          <w:p w14:paraId="32C3AFA9" w14:textId="77777777" w:rsidR="002824B4" w:rsidRPr="009237F9" w:rsidRDefault="002824B4" w:rsidP="00C74238">
            <w:pPr>
              <w:pStyle w:val="TableBody"/>
              <w:ind w:right="57"/>
              <w:jc w:val="right"/>
            </w:pPr>
            <w:r w:rsidRPr="002C4EEF">
              <w:rPr>
                <w:rFonts w:ascii="Arial" w:hAnsi="Arial" w:cs="Arial"/>
                <w:szCs w:val="18"/>
              </w:rPr>
              <w:t>3.1</w:t>
            </w:r>
          </w:p>
        </w:tc>
        <w:tc>
          <w:tcPr>
            <w:tcW w:w="903" w:type="dxa"/>
            <w:tcBorders>
              <w:bottom w:val="nil"/>
            </w:tcBorders>
            <w:shd w:val="clear" w:color="auto" w:fill="auto"/>
            <w:vAlign w:val="center"/>
          </w:tcPr>
          <w:p w14:paraId="1836AD34" w14:textId="77777777" w:rsidR="002824B4" w:rsidRPr="009237F9" w:rsidRDefault="002824B4" w:rsidP="00C74238">
            <w:pPr>
              <w:pStyle w:val="TableBody"/>
              <w:ind w:right="57"/>
              <w:jc w:val="right"/>
            </w:pPr>
            <w:r w:rsidRPr="002C4EEF">
              <w:rPr>
                <w:rFonts w:ascii="Arial" w:hAnsi="Arial" w:cs="Arial"/>
                <w:szCs w:val="18"/>
              </w:rPr>
              <w:t>0.8</w:t>
            </w:r>
          </w:p>
        </w:tc>
      </w:tr>
      <w:tr w:rsidR="009E26EA" w:rsidRPr="006A100F" w14:paraId="549DF83F" w14:textId="77777777" w:rsidTr="00ED54AD">
        <w:trPr>
          <w:gridAfter w:val="1"/>
          <w:wAfter w:w="105" w:type="dxa"/>
          <w:trHeight w:val="334"/>
        </w:trPr>
        <w:tc>
          <w:tcPr>
            <w:tcW w:w="3402" w:type="dxa"/>
            <w:gridSpan w:val="2"/>
            <w:tcBorders>
              <w:bottom w:val="nil"/>
            </w:tcBorders>
            <w:shd w:val="clear" w:color="auto" w:fill="F2F2F2" w:themeFill="background1" w:themeFillShade="F2"/>
            <w:vAlign w:val="center"/>
          </w:tcPr>
          <w:p w14:paraId="73A4B7C0" w14:textId="77777777" w:rsidR="002824B4" w:rsidRDefault="002824B4" w:rsidP="002824B4">
            <w:pPr>
              <w:pStyle w:val="TableBody"/>
            </w:pPr>
            <w:r>
              <w:rPr>
                <w:rFonts w:ascii="Arial" w:hAnsi="Arial" w:cs="Arial"/>
                <w:szCs w:val="18"/>
              </w:rPr>
              <w:t>Arts and recreation services</w:t>
            </w:r>
          </w:p>
        </w:tc>
        <w:tc>
          <w:tcPr>
            <w:tcW w:w="1477" w:type="dxa"/>
            <w:tcBorders>
              <w:bottom w:val="nil"/>
            </w:tcBorders>
            <w:shd w:val="clear" w:color="auto" w:fill="F2F2F2" w:themeFill="background1" w:themeFillShade="F2"/>
            <w:vAlign w:val="center"/>
          </w:tcPr>
          <w:p w14:paraId="112A4946"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-10.2</w:t>
            </w:r>
          </w:p>
        </w:tc>
        <w:tc>
          <w:tcPr>
            <w:tcW w:w="1224" w:type="dxa"/>
            <w:tcBorders>
              <w:bottom w:val="nil"/>
            </w:tcBorders>
            <w:shd w:val="clear" w:color="auto" w:fill="F2F2F2" w:themeFill="background1" w:themeFillShade="F2"/>
            <w:vAlign w:val="center"/>
          </w:tcPr>
          <w:p w14:paraId="1E49B41C"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-6.4</w:t>
            </w:r>
          </w:p>
        </w:tc>
        <w:tc>
          <w:tcPr>
            <w:tcW w:w="1239" w:type="dxa"/>
            <w:tcBorders>
              <w:bottom w:val="nil"/>
            </w:tcBorders>
            <w:shd w:val="clear" w:color="auto" w:fill="F2F2F2" w:themeFill="background1" w:themeFillShade="F2"/>
            <w:vAlign w:val="center"/>
          </w:tcPr>
          <w:p w14:paraId="0C8F5A0F" w14:textId="77777777" w:rsidR="002824B4" w:rsidRPr="009237F9" w:rsidRDefault="002824B4" w:rsidP="00C74238">
            <w:pPr>
              <w:pStyle w:val="TableBody"/>
              <w:ind w:right="57"/>
              <w:jc w:val="right"/>
            </w:pPr>
            <w:r>
              <w:rPr>
                <w:rFonts w:ascii="Arial" w:hAnsi="Arial" w:cs="Arial"/>
                <w:szCs w:val="18"/>
              </w:rPr>
              <w:t>19.7</w:t>
            </w:r>
          </w:p>
        </w:tc>
        <w:tc>
          <w:tcPr>
            <w:tcW w:w="1240" w:type="dxa"/>
            <w:tcBorders>
              <w:bottom w:val="nil"/>
            </w:tcBorders>
            <w:shd w:val="clear" w:color="auto" w:fill="F2F2F2" w:themeFill="background1" w:themeFillShade="F2"/>
            <w:vAlign w:val="center"/>
          </w:tcPr>
          <w:p w14:paraId="727EBAA7" w14:textId="77777777" w:rsidR="002824B4" w:rsidRPr="009237F9" w:rsidRDefault="002824B4" w:rsidP="00C74238">
            <w:pPr>
              <w:pStyle w:val="TableBody"/>
              <w:ind w:right="57"/>
              <w:jc w:val="right"/>
            </w:pPr>
            <w:r>
              <w:rPr>
                <w:rFonts w:ascii="Arial" w:hAnsi="Arial" w:cs="Arial"/>
                <w:szCs w:val="18"/>
              </w:rPr>
              <w:t>3.7</w:t>
            </w:r>
          </w:p>
        </w:tc>
        <w:tc>
          <w:tcPr>
            <w:tcW w:w="903" w:type="dxa"/>
            <w:tcBorders>
              <w:bottom w:val="nil"/>
            </w:tcBorders>
            <w:shd w:val="clear" w:color="auto" w:fill="F2F2F2" w:themeFill="background1" w:themeFillShade="F2"/>
            <w:vAlign w:val="center"/>
          </w:tcPr>
          <w:p w14:paraId="02CB8445" w14:textId="77777777" w:rsidR="002824B4" w:rsidRPr="009237F9" w:rsidRDefault="002824B4" w:rsidP="00C74238">
            <w:pPr>
              <w:pStyle w:val="TableBody"/>
              <w:ind w:right="57"/>
              <w:jc w:val="right"/>
            </w:pPr>
            <w:r>
              <w:rPr>
                <w:rFonts w:ascii="Arial" w:hAnsi="Arial" w:cs="Arial"/>
                <w:szCs w:val="18"/>
              </w:rPr>
              <w:t>7.5</w:t>
            </w:r>
          </w:p>
        </w:tc>
      </w:tr>
      <w:tr w:rsidR="002824B4" w:rsidRPr="006A100F" w14:paraId="4673526A" w14:textId="77777777" w:rsidTr="00ED54AD">
        <w:trPr>
          <w:gridAfter w:val="1"/>
          <w:wAfter w:w="105" w:type="dxa"/>
          <w:trHeight w:val="334"/>
        </w:trPr>
        <w:tc>
          <w:tcPr>
            <w:tcW w:w="3402" w:type="dxa"/>
            <w:gridSpan w:val="2"/>
            <w:tcBorders>
              <w:bottom w:val="nil"/>
            </w:tcBorders>
            <w:shd w:val="clear" w:color="auto" w:fill="auto"/>
            <w:vAlign w:val="center"/>
          </w:tcPr>
          <w:p w14:paraId="4B497709" w14:textId="77777777" w:rsidR="002824B4" w:rsidRDefault="002824B4" w:rsidP="002824B4">
            <w:pPr>
              <w:pStyle w:val="TableBody"/>
            </w:pPr>
            <w:r>
              <w:rPr>
                <w:rFonts w:ascii="Arial" w:hAnsi="Arial" w:cs="Arial"/>
                <w:szCs w:val="18"/>
              </w:rPr>
              <w:t>Wholesale trade</w:t>
            </w:r>
          </w:p>
        </w:tc>
        <w:tc>
          <w:tcPr>
            <w:tcW w:w="1477" w:type="dxa"/>
            <w:tcBorders>
              <w:bottom w:val="nil"/>
            </w:tcBorders>
            <w:vAlign w:val="center"/>
          </w:tcPr>
          <w:p w14:paraId="5C685F32"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-11.4</w:t>
            </w:r>
          </w:p>
        </w:tc>
        <w:tc>
          <w:tcPr>
            <w:tcW w:w="1224" w:type="dxa"/>
            <w:tcBorders>
              <w:bottom w:val="nil"/>
            </w:tcBorders>
            <w:shd w:val="clear" w:color="auto" w:fill="auto"/>
            <w:vAlign w:val="center"/>
          </w:tcPr>
          <w:p w14:paraId="2B18F395" w14:textId="77777777" w:rsidR="002824B4" w:rsidRPr="00C94C36" w:rsidRDefault="002824B4" w:rsidP="00C74238">
            <w:pPr>
              <w:pStyle w:val="TableBody"/>
              <w:ind w:right="57"/>
              <w:jc w:val="right"/>
              <w:rPr>
                <w:rFonts w:ascii="Arial" w:hAnsi="Arial" w:cs="Arial"/>
                <w:color w:val="A52828" w:themeColor="accent5"/>
              </w:rPr>
            </w:pPr>
            <w:r w:rsidRPr="00C94C36">
              <w:rPr>
                <w:rFonts w:ascii="Arial" w:hAnsi="Arial" w:cs="Arial"/>
                <w:color w:val="A52828" w:themeColor="accent5"/>
              </w:rPr>
              <w:t>-7.2</w:t>
            </w:r>
          </w:p>
        </w:tc>
        <w:tc>
          <w:tcPr>
            <w:tcW w:w="1239" w:type="dxa"/>
            <w:tcBorders>
              <w:bottom w:val="nil"/>
            </w:tcBorders>
            <w:shd w:val="clear" w:color="auto" w:fill="auto"/>
            <w:vAlign w:val="center"/>
          </w:tcPr>
          <w:p w14:paraId="77455C9D" w14:textId="77777777" w:rsidR="002824B4" w:rsidRPr="009237F9" w:rsidRDefault="002824B4" w:rsidP="00C74238">
            <w:pPr>
              <w:pStyle w:val="TableBody"/>
              <w:ind w:right="57"/>
              <w:jc w:val="right"/>
            </w:pPr>
            <w:r>
              <w:rPr>
                <w:rFonts w:ascii="Arial" w:hAnsi="Arial" w:cs="Arial"/>
                <w:szCs w:val="18"/>
              </w:rPr>
              <w:t>15.7</w:t>
            </w:r>
          </w:p>
        </w:tc>
        <w:tc>
          <w:tcPr>
            <w:tcW w:w="1240" w:type="dxa"/>
            <w:tcBorders>
              <w:bottom w:val="nil"/>
            </w:tcBorders>
            <w:shd w:val="clear" w:color="auto" w:fill="auto"/>
            <w:vAlign w:val="center"/>
          </w:tcPr>
          <w:p w14:paraId="3AFEE9CC" w14:textId="77777777" w:rsidR="002824B4" w:rsidRPr="009237F9" w:rsidRDefault="002824B4" w:rsidP="00C74238">
            <w:pPr>
              <w:pStyle w:val="TableBody"/>
              <w:ind w:right="57"/>
              <w:jc w:val="right"/>
            </w:pPr>
            <w:r>
              <w:rPr>
                <w:rFonts w:ascii="Arial" w:hAnsi="Arial" w:cs="Arial"/>
                <w:szCs w:val="18"/>
              </w:rPr>
              <w:t>3</w:t>
            </w:r>
          </w:p>
        </w:tc>
        <w:tc>
          <w:tcPr>
            <w:tcW w:w="903" w:type="dxa"/>
            <w:tcBorders>
              <w:bottom w:val="nil"/>
            </w:tcBorders>
            <w:shd w:val="clear" w:color="auto" w:fill="auto"/>
            <w:vAlign w:val="center"/>
          </w:tcPr>
          <w:p w14:paraId="605C0D33" w14:textId="77777777" w:rsidR="002824B4" w:rsidRPr="009237F9" w:rsidRDefault="002824B4" w:rsidP="00C74238">
            <w:pPr>
              <w:pStyle w:val="TableBody"/>
              <w:ind w:right="57"/>
              <w:jc w:val="right"/>
            </w:pPr>
            <w:r>
              <w:rPr>
                <w:rFonts w:ascii="Arial" w:hAnsi="Arial" w:cs="Arial"/>
                <w:szCs w:val="18"/>
              </w:rPr>
              <w:t>2.5</w:t>
            </w:r>
          </w:p>
        </w:tc>
      </w:tr>
      <w:tr w:rsidR="00031834" w:rsidRPr="006A100F" w14:paraId="5C98BE35" w14:textId="77777777" w:rsidTr="00FB3DFC">
        <w:trPr>
          <w:gridBefore w:val="1"/>
          <w:wBefore w:w="6" w:type="dxa"/>
          <w:trHeight w:val="334"/>
        </w:trPr>
        <w:tc>
          <w:tcPr>
            <w:tcW w:w="9584" w:type="dxa"/>
            <w:gridSpan w:val="7"/>
            <w:tcBorders>
              <w:bottom w:val="nil"/>
            </w:tcBorders>
            <w:shd w:val="clear" w:color="auto" w:fill="E0F1F7" w:themeFill="text2" w:themeFillTint="33"/>
            <w:vAlign w:val="bottom"/>
          </w:tcPr>
          <w:p w14:paraId="512D9422" w14:textId="77777777" w:rsidR="00031834" w:rsidRPr="009237F9" w:rsidRDefault="00031834">
            <w:pPr>
              <w:pStyle w:val="TableBody"/>
              <w:ind w:right="57"/>
              <w:rPr>
                <w:rFonts w:ascii="Arial (Body)" w:hAnsi="Arial (Body)"/>
                <w:color w:val="000000"/>
              </w:rPr>
            </w:pPr>
            <w:r w:rsidRPr="009237F9">
              <w:rPr>
                <w:rFonts w:ascii="Arial (Body)" w:hAnsi="Arial (Body)"/>
                <w:b/>
                <w:bCs/>
                <w:color w:val="265A9A" w:themeColor="background2"/>
              </w:rPr>
              <w:t>Non-market sector</w:t>
            </w:r>
          </w:p>
        </w:tc>
      </w:tr>
      <w:tr w:rsidR="009E26EA" w:rsidRPr="004C7145" w14:paraId="63BD8532" w14:textId="77777777" w:rsidTr="00ED54AD">
        <w:trPr>
          <w:gridAfter w:val="1"/>
          <w:wAfter w:w="105" w:type="dxa"/>
          <w:trHeight w:val="334"/>
        </w:trPr>
        <w:tc>
          <w:tcPr>
            <w:tcW w:w="3402" w:type="dxa"/>
            <w:gridSpan w:val="2"/>
            <w:tcBorders>
              <w:bottom w:val="nil"/>
            </w:tcBorders>
            <w:shd w:val="clear" w:color="auto" w:fill="F2F2F2" w:themeFill="background1" w:themeFillShade="F2"/>
            <w:vAlign w:val="bottom"/>
          </w:tcPr>
          <w:p w14:paraId="6AC5D9A2" w14:textId="77777777" w:rsidR="00031834" w:rsidRPr="007972C5" w:rsidRDefault="00031834">
            <w:pPr>
              <w:pStyle w:val="TableBody"/>
            </w:pPr>
            <w:r w:rsidRPr="007972C5">
              <w:t>Education and training</w:t>
            </w:r>
          </w:p>
        </w:tc>
        <w:tc>
          <w:tcPr>
            <w:tcW w:w="1477" w:type="dxa"/>
            <w:tcBorders>
              <w:bottom w:val="nil"/>
            </w:tcBorders>
            <w:shd w:val="clear" w:color="auto" w:fill="F2F2F2" w:themeFill="background1" w:themeFillShade="F2"/>
            <w:vAlign w:val="center"/>
          </w:tcPr>
          <w:p w14:paraId="433B08A6" w14:textId="77777777" w:rsidR="00031834" w:rsidRPr="00C94C36" w:rsidRDefault="00031834" w:rsidP="00C74238">
            <w:pPr>
              <w:pStyle w:val="TableBody"/>
              <w:ind w:right="57"/>
              <w:jc w:val="right"/>
              <w:rPr>
                <w:color w:val="A52828" w:themeColor="accent5"/>
              </w:rPr>
            </w:pPr>
            <w:r w:rsidRPr="00C94C36">
              <w:rPr>
                <w:color w:val="A52828" w:themeColor="accent5"/>
              </w:rPr>
              <w:t>-</w:t>
            </w:r>
            <w:r w:rsidR="001E1C2C" w:rsidRPr="00C94C36">
              <w:rPr>
                <w:color w:val="A52828" w:themeColor="accent5"/>
              </w:rPr>
              <w:t>4.8</w:t>
            </w:r>
          </w:p>
        </w:tc>
        <w:tc>
          <w:tcPr>
            <w:tcW w:w="1224" w:type="dxa"/>
            <w:tcBorders>
              <w:bottom w:val="nil"/>
            </w:tcBorders>
            <w:shd w:val="clear" w:color="auto" w:fill="F2F2F2" w:themeFill="background1" w:themeFillShade="F2"/>
            <w:vAlign w:val="center"/>
          </w:tcPr>
          <w:p w14:paraId="4AC79841" w14:textId="77777777" w:rsidR="00031834" w:rsidRPr="009237F9" w:rsidRDefault="00031834">
            <w:pPr>
              <w:pStyle w:val="TableBody"/>
              <w:ind w:right="57"/>
              <w:jc w:val="right"/>
            </w:pPr>
            <w:r w:rsidRPr="009237F9">
              <w:t>NA</w:t>
            </w:r>
          </w:p>
        </w:tc>
        <w:tc>
          <w:tcPr>
            <w:tcW w:w="1239" w:type="dxa"/>
            <w:tcBorders>
              <w:bottom w:val="nil"/>
            </w:tcBorders>
            <w:shd w:val="clear" w:color="auto" w:fill="F2F2F2" w:themeFill="background1" w:themeFillShade="F2"/>
            <w:vAlign w:val="center"/>
          </w:tcPr>
          <w:p w14:paraId="6628C82F" w14:textId="77777777" w:rsidR="00031834" w:rsidRPr="009237F9" w:rsidRDefault="000A5810">
            <w:pPr>
              <w:pStyle w:val="TableBody"/>
              <w:ind w:right="57"/>
              <w:jc w:val="right"/>
            </w:pPr>
            <w:r w:rsidRPr="009237F9">
              <w:t>6</w:t>
            </w:r>
            <w:r w:rsidR="00031834" w:rsidRPr="009237F9">
              <w:t>.7</w:t>
            </w:r>
          </w:p>
        </w:tc>
        <w:tc>
          <w:tcPr>
            <w:tcW w:w="1240" w:type="dxa"/>
            <w:tcBorders>
              <w:bottom w:val="nil"/>
            </w:tcBorders>
            <w:shd w:val="clear" w:color="auto" w:fill="F2F2F2" w:themeFill="background1" w:themeFillShade="F2"/>
            <w:vAlign w:val="center"/>
          </w:tcPr>
          <w:p w14:paraId="4594935B" w14:textId="77777777" w:rsidR="00031834" w:rsidRPr="009237F9" w:rsidRDefault="00031834">
            <w:pPr>
              <w:pStyle w:val="TableBody"/>
              <w:ind w:right="57"/>
              <w:jc w:val="right"/>
            </w:pPr>
            <w:r w:rsidRPr="009237F9">
              <w:t>NA</w:t>
            </w:r>
          </w:p>
        </w:tc>
        <w:tc>
          <w:tcPr>
            <w:tcW w:w="903" w:type="dxa"/>
            <w:tcBorders>
              <w:bottom w:val="nil"/>
            </w:tcBorders>
            <w:shd w:val="clear" w:color="auto" w:fill="F2F2F2" w:themeFill="background1" w:themeFillShade="F2"/>
            <w:vAlign w:val="center"/>
          </w:tcPr>
          <w:p w14:paraId="6FE5F38E" w14:textId="77777777" w:rsidR="00031834" w:rsidRPr="009237F9" w:rsidRDefault="00F01ECF">
            <w:pPr>
              <w:pStyle w:val="TableBody"/>
              <w:ind w:right="57"/>
              <w:jc w:val="right"/>
            </w:pPr>
            <w:r w:rsidRPr="009237F9">
              <w:t>1.6</w:t>
            </w:r>
          </w:p>
        </w:tc>
      </w:tr>
      <w:tr w:rsidR="009E26EA" w:rsidRPr="004C7145" w14:paraId="4A5982FD" w14:textId="77777777" w:rsidTr="00ED54AD">
        <w:trPr>
          <w:gridAfter w:val="1"/>
          <w:wAfter w:w="105" w:type="dxa"/>
          <w:trHeight w:val="334"/>
        </w:trPr>
        <w:tc>
          <w:tcPr>
            <w:tcW w:w="3402" w:type="dxa"/>
            <w:gridSpan w:val="2"/>
            <w:tcBorders>
              <w:bottom w:val="nil"/>
            </w:tcBorders>
            <w:shd w:val="clear" w:color="auto" w:fill="FFFFFF" w:themeFill="background1"/>
            <w:vAlign w:val="bottom"/>
          </w:tcPr>
          <w:p w14:paraId="78ABBDAE" w14:textId="77777777" w:rsidR="00031834" w:rsidRPr="007972C5" w:rsidRDefault="00031834">
            <w:pPr>
              <w:pStyle w:val="TableBody"/>
            </w:pPr>
            <w:r w:rsidRPr="007972C5">
              <w:t>Health care and social assistance</w:t>
            </w:r>
          </w:p>
        </w:tc>
        <w:tc>
          <w:tcPr>
            <w:tcW w:w="1477" w:type="dxa"/>
            <w:tcBorders>
              <w:bottom w:val="nil"/>
            </w:tcBorders>
            <w:shd w:val="clear" w:color="auto" w:fill="FFFFFF" w:themeFill="background1"/>
            <w:vAlign w:val="center"/>
          </w:tcPr>
          <w:p w14:paraId="6F98B957" w14:textId="77777777" w:rsidR="00031834" w:rsidRPr="00C94C36" w:rsidRDefault="001E1C2C">
            <w:pPr>
              <w:pStyle w:val="TableBody"/>
              <w:ind w:right="57"/>
              <w:jc w:val="right"/>
              <w:rPr>
                <w:color w:val="A52828" w:themeColor="accent5"/>
              </w:rPr>
            </w:pPr>
            <w:r w:rsidRPr="00C94C36">
              <w:rPr>
                <w:color w:val="A52828" w:themeColor="accent5"/>
              </w:rPr>
              <w:t>-</w:t>
            </w:r>
            <w:r w:rsidR="00031834" w:rsidRPr="00C94C36">
              <w:rPr>
                <w:color w:val="A52828" w:themeColor="accent5"/>
              </w:rPr>
              <w:t>4.</w:t>
            </w:r>
            <w:r w:rsidRPr="00C94C36">
              <w:rPr>
                <w:color w:val="A52828" w:themeColor="accent5"/>
              </w:rPr>
              <w:t>0</w:t>
            </w:r>
          </w:p>
        </w:tc>
        <w:tc>
          <w:tcPr>
            <w:tcW w:w="1224" w:type="dxa"/>
            <w:tcBorders>
              <w:bottom w:val="nil"/>
            </w:tcBorders>
            <w:shd w:val="clear" w:color="auto" w:fill="FFFFFF" w:themeFill="background1"/>
            <w:vAlign w:val="center"/>
          </w:tcPr>
          <w:p w14:paraId="510B25A2" w14:textId="77777777" w:rsidR="00031834" w:rsidRPr="009237F9" w:rsidRDefault="00031834">
            <w:pPr>
              <w:pStyle w:val="TableBody"/>
              <w:ind w:right="57"/>
              <w:jc w:val="right"/>
            </w:pPr>
            <w:r w:rsidRPr="009237F9">
              <w:t>NA</w:t>
            </w:r>
          </w:p>
        </w:tc>
        <w:tc>
          <w:tcPr>
            <w:tcW w:w="1239" w:type="dxa"/>
            <w:tcBorders>
              <w:bottom w:val="nil"/>
            </w:tcBorders>
            <w:shd w:val="clear" w:color="auto" w:fill="FFFFFF" w:themeFill="background1"/>
            <w:vAlign w:val="center"/>
          </w:tcPr>
          <w:p w14:paraId="33AF8867" w14:textId="77777777" w:rsidR="00031834" w:rsidRPr="009237F9" w:rsidRDefault="00A62CFF">
            <w:pPr>
              <w:pStyle w:val="TableBody"/>
              <w:ind w:right="57"/>
              <w:jc w:val="right"/>
            </w:pPr>
            <w:r w:rsidRPr="009237F9">
              <w:t>8.2</w:t>
            </w:r>
          </w:p>
        </w:tc>
        <w:tc>
          <w:tcPr>
            <w:tcW w:w="1240" w:type="dxa"/>
            <w:tcBorders>
              <w:bottom w:val="nil"/>
            </w:tcBorders>
            <w:shd w:val="clear" w:color="auto" w:fill="FFFFFF" w:themeFill="background1"/>
            <w:vAlign w:val="center"/>
          </w:tcPr>
          <w:p w14:paraId="70109502" w14:textId="77777777" w:rsidR="00031834" w:rsidRPr="009237F9" w:rsidRDefault="00031834">
            <w:pPr>
              <w:pStyle w:val="TableBody"/>
              <w:ind w:right="57"/>
              <w:jc w:val="right"/>
            </w:pPr>
            <w:r w:rsidRPr="009237F9">
              <w:t>NA</w:t>
            </w:r>
          </w:p>
        </w:tc>
        <w:tc>
          <w:tcPr>
            <w:tcW w:w="903" w:type="dxa"/>
            <w:tcBorders>
              <w:bottom w:val="nil"/>
            </w:tcBorders>
            <w:shd w:val="clear" w:color="auto" w:fill="FFFFFF" w:themeFill="background1"/>
            <w:vAlign w:val="center"/>
          </w:tcPr>
          <w:p w14:paraId="47315367" w14:textId="77777777" w:rsidR="00031834" w:rsidRPr="009237F9" w:rsidRDefault="00865A39">
            <w:pPr>
              <w:pStyle w:val="TableBody"/>
              <w:ind w:right="57"/>
              <w:jc w:val="right"/>
            </w:pPr>
            <w:r w:rsidRPr="009237F9">
              <w:t>3.8</w:t>
            </w:r>
          </w:p>
        </w:tc>
      </w:tr>
      <w:tr w:rsidR="009E26EA" w:rsidRPr="004C7145" w14:paraId="158B7C27" w14:textId="77777777" w:rsidTr="00ED54AD">
        <w:trPr>
          <w:gridAfter w:val="1"/>
          <w:wAfter w:w="105" w:type="dxa"/>
          <w:trHeight w:val="334"/>
        </w:trPr>
        <w:tc>
          <w:tcPr>
            <w:tcW w:w="3402" w:type="dxa"/>
            <w:gridSpan w:val="2"/>
            <w:tcBorders>
              <w:bottom w:val="nil"/>
            </w:tcBorders>
            <w:shd w:val="clear" w:color="auto" w:fill="F2F2F2" w:themeFill="background1" w:themeFillShade="F2"/>
            <w:vAlign w:val="bottom"/>
          </w:tcPr>
          <w:p w14:paraId="67030551" w14:textId="77777777" w:rsidR="00DB3304" w:rsidRPr="007972C5" w:rsidRDefault="00DB3304" w:rsidP="00DB3304">
            <w:pPr>
              <w:pStyle w:val="TableBody"/>
            </w:pPr>
            <w:r w:rsidRPr="007972C5">
              <w:t>Public administration and safety</w:t>
            </w:r>
          </w:p>
        </w:tc>
        <w:tc>
          <w:tcPr>
            <w:tcW w:w="1477" w:type="dxa"/>
            <w:tcBorders>
              <w:bottom w:val="nil"/>
            </w:tcBorders>
            <w:shd w:val="clear" w:color="auto" w:fill="F2F2F2" w:themeFill="background1" w:themeFillShade="F2"/>
            <w:vAlign w:val="center"/>
          </w:tcPr>
          <w:p w14:paraId="79EFD35B" w14:textId="77777777" w:rsidR="00DB3304" w:rsidRPr="00C94C36" w:rsidRDefault="00DB3304" w:rsidP="00DB3304">
            <w:pPr>
              <w:pStyle w:val="TableBody"/>
              <w:ind w:right="57"/>
              <w:jc w:val="right"/>
              <w:rPr>
                <w:color w:val="A52828" w:themeColor="accent5"/>
              </w:rPr>
            </w:pPr>
            <w:r w:rsidRPr="00C94C36">
              <w:rPr>
                <w:color w:val="A52828" w:themeColor="accent5"/>
              </w:rPr>
              <w:t>-3.6</w:t>
            </w:r>
          </w:p>
        </w:tc>
        <w:tc>
          <w:tcPr>
            <w:tcW w:w="1224" w:type="dxa"/>
            <w:tcBorders>
              <w:bottom w:val="nil"/>
            </w:tcBorders>
            <w:shd w:val="clear" w:color="auto" w:fill="F2F2F2" w:themeFill="background1" w:themeFillShade="F2"/>
            <w:vAlign w:val="center"/>
          </w:tcPr>
          <w:p w14:paraId="008C4F96" w14:textId="77777777" w:rsidR="00DB3304" w:rsidRPr="009237F9" w:rsidRDefault="00DB3304" w:rsidP="00DB3304">
            <w:pPr>
              <w:pStyle w:val="TableBody"/>
              <w:ind w:right="57"/>
              <w:jc w:val="right"/>
            </w:pPr>
            <w:r w:rsidRPr="009237F9">
              <w:t>NA</w:t>
            </w:r>
          </w:p>
        </w:tc>
        <w:tc>
          <w:tcPr>
            <w:tcW w:w="1239" w:type="dxa"/>
            <w:tcBorders>
              <w:bottom w:val="nil"/>
            </w:tcBorders>
            <w:shd w:val="clear" w:color="auto" w:fill="F2F2F2" w:themeFill="background1" w:themeFillShade="F2"/>
            <w:vAlign w:val="center"/>
          </w:tcPr>
          <w:p w14:paraId="21D5D4FB" w14:textId="77777777" w:rsidR="00DB3304" w:rsidRPr="009237F9" w:rsidRDefault="00DB3304" w:rsidP="00DB3304">
            <w:pPr>
              <w:pStyle w:val="TableBody"/>
              <w:ind w:right="57"/>
              <w:jc w:val="right"/>
            </w:pPr>
            <w:r w:rsidRPr="009237F9">
              <w:t>5.4</w:t>
            </w:r>
          </w:p>
        </w:tc>
        <w:tc>
          <w:tcPr>
            <w:tcW w:w="1240" w:type="dxa"/>
            <w:tcBorders>
              <w:bottom w:val="nil"/>
            </w:tcBorders>
            <w:shd w:val="clear" w:color="auto" w:fill="F2F2F2" w:themeFill="background1" w:themeFillShade="F2"/>
            <w:vAlign w:val="center"/>
          </w:tcPr>
          <w:p w14:paraId="23587076" w14:textId="77777777" w:rsidR="00DB3304" w:rsidRPr="009237F9" w:rsidRDefault="00DB3304" w:rsidP="00DB3304">
            <w:pPr>
              <w:pStyle w:val="TableBody"/>
              <w:ind w:right="57"/>
              <w:jc w:val="right"/>
            </w:pPr>
            <w:r w:rsidRPr="009237F9">
              <w:t>NA</w:t>
            </w:r>
          </w:p>
        </w:tc>
        <w:tc>
          <w:tcPr>
            <w:tcW w:w="903" w:type="dxa"/>
            <w:tcBorders>
              <w:bottom w:val="nil"/>
            </w:tcBorders>
            <w:shd w:val="clear" w:color="auto" w:fill="F2F2F2" w:themeFill="background1" w:themeFillShade="F2"/>
            <w:vAlign w:val="center"/>
          </w:tcPr>
          <w:p w14:paraId="12DF2497" w14:textId="77777777" w:rsidR="00DB3304" w:rsidRPr="009237F9" w:rsidRDefault="00DB3304" w:rsidP="00DB3304">
            <w:pPr>
              <w:pStyle w:val="TableBody"/>
              <w:ind w:right="57"/>
              <w:jc w:val="right"/>
            </w:pPr>
            <w:r w:rsidRPr="009237F9">
              <w:t>1.6</w:t>
            </w:r>
          </w:p>
        </w:tc>
      </w:tr>
      <w:tr w:rsidR="009E26EA" w:rsidRPr="005F78EE" w14:paraId="01A0ECAC" w14:textId="77777777" w:rsidTr="00ED54AD">
        <w:trPr>
          <w:gridAfter w:val="1"/>
          <w:wAfter w:w="105" w:type="dxa"/>
          <w:trHeight w:val="334"/>
        </w:trPr>
        <w:tc>
          <w:tcPr>
            <w:tcW w:w="3402" w:type="dxa"/>
            <w:gridSpan w:val="2"/>
            <w:tcBorders>
              <w:bottom w:val="single" w:sz="4" w:space="0" w:color="BFBFBF" w:themeColor="background1" w:themeShade="BF"/>
            </w:tcBorders>
            <w:shd w:val="clear" w:color="auto" w:fill="E0F1F7" w:themeFill="text2" w:themeFillTint="33"/>
            <w:vAlign w:val="bottom"/>
          </w:tcPr>
          <w:p w14:paraId="2326A459" w14:textId="77777777" w:rsidR="00DB3304" w:rsidRPr="00AB6D01" w:rsidRDefault="00DB3304" w:rsidP="00DB3304">
            <w:pPr>
              <w:pStyle w:val="TableBody"/>
              <w:rPr>
                <w:rFonts w:ascii="Arial (Body)" w:hAnsi="Arial (Body)"/>
                <w:b/>
                <w:bCs/>
                <w:color w:val="000000"/>
              </w:rPr>
            </w:pPr>
            <w:r w:rsidRPr="00AB6D01">
              <w:rPr>
                <w:rFonts w:ascii="Arial (Body)" w:hAnsi="Arial (Body)"/>
                <w:b/>
                <w:bCs/>
                <w:color w:val="000000"/>
              </w:rPr>
              <w:t>All industries</w:t>
            </w:r>
          </w:p>
        </w:tc>
        <w:tc>
          <w:tcPr>
            <w:tcW w:w="1477" w:type="dxa"/>
            <w:tcBorders>
              <w:bottom w:val="single" w:sz="4" w:space="0" w:color="BFBFBF" w:themeColor="background1" w:themeShade="BF"/>
            </w:tcBorders>
            <w:shd w:val="clear" w:color="auto" w:fill="E0F1F7" w:themeFill="text2" w:themeFillTint="33"/>
            <w:vAlign w:val="center"/>
          </w:tcPr>
          <w:p w14:paraId="1C7BA0B2" w14:textId="77777777" w:rsidR="00DB3304" w:rsidRPr="00C94C36" w:rsidRDefault="00DB3304" w:rsidP="00DB3304">
            <w:pPr>
              <w:pStyle w:val="TableBody"/>
              <w:ind w:right="57"/>
              <w:jc w:val="right"/>
              <w:rPr>
                <w:b/>
                <w:bCs/>
                <w:color w:val="A52828" w:themeColor="accent5"/>
              </w:rPr>
            </w:pPr>
            <w:r w:rsidRPr="00C94C36">
              <w:rPr>
                <w:b/>
                <w:color w:val="A52828" w:themeColor="accent5"/>
              </w:rPr>
              <w:t>-3.3</w:t>
            </w:r>
          </w:p>
        </w:tc>
        <w:tc>
          <w:tcPr>
            <w:tcW w:w="1224" w:type="dxa"/>
            <w:tcBorders>
              <w:bottom w:val="single" w:sz="4" w:space="0" w:color="BFBFBF" w:themeColor="background1" w:themeShade="BF"/>
            </w:tcBorders>
            <w:shd w:val="clear" w:color="auto" w:fill="E0F1F7" w:themeFill="text2" w:themeFillTint="33"/>
            <w:vAlign w:val="center"/>
          </w:tcPr>
          <w:p w14:paraId="4DD08AE4" w14:textId="77777777" w:rsidR="00DB3304" w:rsidRPr="009237F9" w:rsidRDefault="00DB3304" w:rsidP="00DB3304">
            <w:pPr>
              <w:pStyle w:val="TableBody"/>
              <w:ind w:right="57"/>
              <w:jc w:val="right"/>
              <w:rPr>
                <w:b/>
                <w:bCs/>
              </w:rPr>
            </w:pPr>
            <w:r w:rsidRPr="009237F9">
              <w:rPr>
                <w:b/>
                <w:bCs/>
              </w:rPr>
              <w:t>NA</w:t>
            </w:r>
          </w:p>
        </w:tc>
        <w:tc>
          <w:tcPr>
            <w:tcW w:w="1239" w:type="dxa"/>
            <w:tcBorders>
              <w:bottom w:val="single" w:sz="4" w:space="0" w:color="BFBFBF" w:themeColor="background1" w:themeShade="BF"/>
            </w:tcBorders>
            <w:shd w:val="clear" w:color="auto" w:fill="E0F1F7" w:themeFill="text2" w:themeFillTint="33"/>
            <w:vAlign w:val="center"/>
          </w:tcPr>
          <w:p w14:paraId="546D3431" w14:textId="77777777" w:rsidR="00DB3304" w:rsidRPr="009237F9" w:rsidRDefault="00DB3304" w:rsidP="00DB3304">
            <w:pPr>
              <w:pStyle w:val="TableBody"/>
              <w:ind w:right="57"/>
              <w:jc w:val="right"/>
              <w:rPr>
                <w:b/>
                <w:bCs/>
              </w:rPr>
            </w:pPr>
            <w:r w:rsidRPr="009237F9">
              <w:rPr>
                <w:b/>
                <w:bCs/>
              </w:rPr>
              <w:t>6.9</w:t>
            </w:r>
          </w:p>
        </w:tc>
        <w:tc>
          <w:tcPr>
            <w:tcW w:w="1240" w:type="dxa"/>
            <w:tcBorders>
              <w:bottom w:val="single" w:sz="4" w:space="0" w:color="BFBFBF" w:themeColor="background1" w:themeShade="BF"/>
            </w:tcBorders>
            <w:shd w:val="clear" w:color="auto" w:fill="E0F1F7" w:themeFill="text2" w:themeFillTint="33"/>
            <w:vAlign w:val="center"/>
          </w:tcPr>
          <w:p w14:paraId="7C781869" w14:textId="77777777" w:rsidR="00DB3304" w:rsidRPr="009237F9" w:rsidRDefault="00DB3304" w:rsidP="00DB3304">
            <w:pPr>
              <w:pStyle w:val="TableBody"/>
              <w:ind w:right="57"/>
              <w:jc w:val="right"/>
              <w:rPr>
                <w:b/>
                <w:bCs/>
              </w:rPr>
            </w:pPr>
            <w:r w:rsidRPr="009237F9">
              <w:rPr>
                <w:b/>
                <w:bCs/>
              </w:rPr>
              <w:t>NA</w:t>
            </w:r>
          </w:p>
        </w:tc>
        <w:tc>
          <w:tcPr>
            <w:tcW w:w="903" w:type="dxa"/>
            <w:tcBorders>
              <w:bottom w:val="single" w:sz="4" w:space="0" w:color="BFBFBF" w:themeColor="background1" w:themeShade="BF"/>
            </w:tcBorders>
            <w:shd w:val="clear" w:color="auto" w:fill="E0F1F7" w:themeFill="text2" w:themeFillTint="33"/>
            <w:vAlign w:val="center"/>
          </w:tcPr>
          <w:p w14:paraId="264D6178" w14:textId="77777777" w:rsidR="00DB3304" w:rsidRPr="009237F9" w:rsidRDefault="00DB3304" w:rsidP="00DB3304">
            <w:pPr>
              <w:pStyle w:val="TableBody"/>
              <w:ind w:right="57"/>
              <w:jc w:val="right"/>
              <w:rPr>
                <w:b/>
                <w:bCs/>
              </w:rPr>
            </w:pPr>
            <w:r w:rsidRPr="009237F9">
              <w:rPr>
                <w:b/>
                <w:bCs/>
              </w:rPr>
              <w:t>3.4</w:t>
            </w:r>
          </w:p>
        </w:tc>
      </w:tr>
    </w:tbl>
    <w:p w14:paraId="15A43F2E" w14:textId="77777777" w:rsidR="00031834" w:rsidRDefault="00031834" w:rsidP="00031834">
      <w:pPr>
        <w:pStyle w:val="Note"/>
      </w:pPr>
      <w:r w:rsidRPr="00C36914">
        <w:rPr>
          <w:b/>
          <w:bCs/>
        </w:rPr>
        <w:t>a.</w:t>
      </w:r>
      <w:r w:rsidRPr="00C36914">
        <w:t xml:space="preserve"> </w:t>
      </w:r>
      <w:r>
        <w:t xml:space="preserve">Some figures will not appear to add correctly due to rounding to one decimal place, for example labour productivity growth and hours growth not appearing to add to GVA. </w:t>
      </w:r>
    </w:p>
    <w:p w14:paraId="0D1F3943" w14:textId="06ED4163" w:rsidR="00F160D3" w:rsidRDefault="00031834" w:rsidP="002C4EEF">
      <w:pPr>
        <w:pStyle w:val="Source"/>
        <w:rPr>
          <w:spacing w:val="-4"/>
        </w:rPr>
      </w:pPr>
      <w:r w:rsidRPr="001E2A8A">
        <w:rPr>
          <w:spacing w:val="-4"/>
        </w:rPr>
        <w:t>Sources: estimates based on: ABS (202</w:t>
      </w:r>
      <w:r w:rsidR="00D77F2F">
        <w:rPr>
          <w:spacing w:val="-4"/>
        </w:rPr>
        <w:t>3</w:t>
      </w:r>
      <w:r w:rsidRPr="001E2A8A">
        <w:rPr>
          <w:spacing w:val="-4"/>
        </w:rPr>
        <w:t>, Australian System of National Accounts, 202</w:t>
      </w:r>
      <w:r w:rsidR="00D77F2F">
        <w:rPr>
          <w:spacing w:val="-4"/>
        </w:rPr>
        <w:t>2</w:t>
      </w:r>
      <w:r w:rsidRPr="001E2A8A">
        <w:rPr>
          <w:spacing w:val="-4"/>
        </w:rPr>
        <w:t>-2</w:t>
      </w:r>
      <w:r w:rsidR="00D77F2F">
        <w:rPr>
          <w:spacing w:val="-4"/>
        </w:rPr>
        <w:t>3</w:t>
      </w:r>
      <w:r w:rsidRPr="001E2A8A">
        <w:rPr>
          <w:spacing w:val="-4"/>
        </w:rPr>
        <w:t>, Cat. no. 5204.0, table</w:t>
      </w:r>
      <w:r w:rsidR="00D77F2F">
        <w:rPr>
          <w:spacing w:val="-4"/>
        </w:rPr>
        <w:t>s</w:t>
      </w:r>
      <w:r w:rsidR="00FE5C2E">
        <w:rPr>
          <w:spacing w:val="-4"/>
        </w:rPr>
        <w:t xml:space="preserve"> </w:t>
      </w:r>
      <w:r w:rsidRPr="001E2A8A">
        <w:rPr>
          <w:spacing w:val="-4"/>
        </w:rPr>
        <w:t>5</w:t>
      </w:r>
      <w:r w:rsidR="00D77F2F">
        <w:rPr>
          <w:spacing w:val="-4"/>
        </w:rPr>
        <w:t xml:space="preserve"> and 15</w:t>
      </w:r>
      <w:r w:rsidRPr="001E2A8A">
        <w:rPr>
          <w:spacing w:val="-4"/>
        </w:rPr>
        <w:t>); ABS (202</w:t>
      </w:r>
      <w:r w:rsidR="007C6CE6">
        <w:rPr>
          <w:spacing w:val="-4"/>
        </w:rPr>
        <w:t>3</w:t>
      </w:r>
      <w:r w:rsidRPr="001E2A8A">
        <w:rPr>
          <w:spacing w:val="-4"/>
        </w:rPr>
        <w:t>, Estimates of Industry Multifactor Productivity, 20</w:t>
      </w:r>
      <w:r w:rsidR="00671235">
        <w:rPr>
          <w:spacing w:val="-4"/>
        </w:rPr>
        <w:t>22</w:t>
      </w:r>
      <w:r w:rsidRPr="001E2A8A">
        <w:rPr>
          <w:spacing w:val="-4"/>
        </w:rPr>
        <w:t>-2</w:t>
      </w:r>
      <w:r w:rsidR="00671235">
        <w:rPr>
          <w:spacing w:val="-4"/>
        </w:rPr>
        <w:t>3</w:t>
      </w:r>
      <w:r w:rsidRPr="001E2A8A">
        <w:rPr>
          <w:spacing w:val="-4"/>
        </w:rPr>
        <w:t>, Cat. no. 5260.0.55.002, tables 1</w:t>
      </w:r>
      <w:r w:rsidR="00BB671A">
        <w:rPr>
          <w:spacing w:val="-4"/>
        </w:rPr>
        <w:t xml:space="preserve"> and </w:t>
      </w:r>
      <w:r w:rsidR="006F788F">
        <w:rPr>
          <w:spacing w:val="-4"/>
        </w:rPr>
        <w:t>10</w:t>
      </w:r>
      <w:r w:rsidRPr="001E2A8A">
        <w:rPr>
          <w:spacing w:val="-4"/>
        </w:rPr>
        <w:t>).</w:t>
      </w:r>
    </w:p>
    <w:p w14:paraId="3A34E26A" w14:textId="0A1D2581" w:rsidR="00082420" w:rsidRPr="00270299" w:rsidRDefault="00270299" w:rsidP="00F83DE0">
      <w:pPr>
        <w:pStyle w:val="BodyText"/>
        <w:rPr>
          <w:spacing w:val="-2"/>
        </w:rPr>
      </w:pPr>
      <w:r w:rsidRPr="00270299">
        <w:rPr>
          <w:spacing w:val="-2"/>
        </w:rPr>
        <w:t>T</w:t>
      </w:r>
      <w:r w:rsidR="005C6EBD" w:rsidRPr="00270299">
        <w:rPr>
          <w:spacing w:val="-2"/>
        </w:rPr>
        <w:t>he</w:t>
      </w:r>
      <w:r w:rsidR="006306B7" w:rsidRPr="00270299">
        <w:rPr>
          <w:spacing w:val="-2"/>
        </w:rPr>
        <w:t xml:space="preserve"> </w:t>
      </w:r>
      <w:r w:rsidR="00082420" w:rsidRPr="00270299">
        <w:rPr>
          <w:spacing w:val="-2"/>
        </w:rPr>
        <w:t>wholesale trade industry also contributed to the largest decline in market sector MFP (0.4</w:t>
      </w:r>
      <w:r w:rsidR="007325E9" w:rsidRPr="00270299">
        <w:rPr>
          <w:spacing w:val="-2"/>
        </w:rPr>
        <w:t xml:space="preserve"> </w:t>
      </w:r>
      <w:r w:rsidR="00082420" w:rsidRPr="00270299">
        <w:rPr>
          <w:spacing w:val="-2"/>
        </w:rPr>
        <w:t>percentage points),</w:t>
      </w:r>
      <w:r w:rsidR="007325E9" w:rsidRPr="00270299">
        <w:rPr>
          <w:spacing w:val="-2"/>
        </w:rPr>
        <w:t xml:space="preserve"> </w:t>
      </w:r>
      <w:r w:rsidR="00082420" w:rsidRPr="00270299">
        <w:rPr>
          <w:spacing w:val="-2"/>
        </w:rPr>
        <w:t>followed by rental, hiring and real estate services (0.2</w:t>
      </w:r>
      <w:r w:rsidR="007325E9" w:rsidRPr="00270299">
        <w:rPr>
          <w:spacing w:val="-2"/>
        </w:rPr>
        <w:t xml:space="preserve"> </w:t>
      </w:r>
      <w:r w:rsidR="00082420" w:rsidRPr="00270299">
        <w:rPr>
          <w:spacing w:val="-2"/>
        </w:rPr>
        <w:t xml:space="preserve">percentage points). The total MFP decline was </w:t>
      </w:r>
      <w:r w:rsidR="005774C0" w:rsidRPr="00270299">
        <w:rPr>
          <w:spacing w:val="-2"/>
        </w:rPr>
        <w:t xml:space="preserve">partly </w:t>
      </w:r>
      <w:r w:rsidR="00082420" w:rsidRPr="00270299">
        <w:rPr>
          <w:spacing w:val="-2"/>
        </w:rPr>
        <w:t xml:space="preserve">offset by positive MFP growth, </w:t>
      </w:r>
      <w:r w:rsidR="00BF0D87" w:rsidRPr="00270299">
        <w:rPr>
          <w:spacing w:val="-2"/>
        </w:rPr>
        <w:t xml:space="preserve">mainly </w:t>
      </w:r>
      <w:r w:rsidR="00082420" w:rsidRPr="00270299">
        <w:rPr>
          <w:spacing w:val="-2"/>
        </w:rPr>
        <w:t xml:space="preserve">driven by </w:t>
      </w:r>
      <w:r w:rsidR="001369D5" w:rsidRPr="00270299">
        <w:rPr>
          <w:spacing w:val="-2"/>
        </w:rPr>
        <w:t xml:space="preserve">the </w:t>
      </w:r>
      <w:r w:rsidR="00082420" w:rsidRPr="00270299">
        <w:rPr>
          <w:spacing w:val="-2"/>
        </w:rPr>
        <w:t>professional, scientific, and technical services and transport, postal and warehousing industries, which together increased the total MFP by 0.4 percentage points.</w:t>
      </w:r>
    </w:p>
    <w:p w14:paraId="66AD86A9" w14:textId="77777777" w:rsidR="00E21423" w:rsidRPr="00146382" w:rsidRDefault="00E21423" w:rsidP="00FD6AAA">
      <w:pPr>
        <w:pStyle w:val="FigureTableHeading"/>
      </w:pPr>
      <w:r>
        <w:lastRenderedPageBreak/>
        <w:t>Figure 3</w:t>
      </w:r>
      <w:r>
        <w:rPr>
          <w:noProof/>
        </w:rPr>
        <w:t xml:space="preserve"> </w:t>
      </w:r>
      <w:r>
        <w:t xml:space="preserve">– </w:t>
      </w:r>
      <w:r w:rsidR="00C352EC">
        <w:t>Decomposition of market sector MFP and Labour productivity growth</w:t>
      </w:r>
    </w:p>
    <w:p w14:paraId="204B1BA7" w14:textId="06110133" w:rsidR="00544B50" w:rsidRPr="00146382" w:rsidRDefault="00737AEA" w:rsidP="00737AEA">
      <w:pPr>
        <w:pStyle w:val="FigureTableSubheading"/>
      </w:pPr>
      <w:r>
        <w:t xml:space="preserve">Growth in market sector MFP </w:t>
      </w:r>
      <w:r w:rsidR="004C7C12">
        <w:t xml:space="preserve">and labour productivity </w:t>
      </w:r>
      <w:r w:rsidR="00E17A4D">
        <w:t xml:space="preserve">decomposed </w:t>
      </w:r>
      <w:r w:rsidR="00B66104">
        <w:t>by industry,</w:t>
      </w:r>
      <w:r w:rsidR="00E17A4D">
        <w:t xml:space="preserve"> </w:t>
      </w:r>
      <w:r>
        <w:t>20</w:t>
      </w:r>
      <w:r w:rsidR="00E17A4D">
        <w:t>22-23</w:t>
      </w:r>
    </w:p>
    <w:p w14:paraId="73507919" w14:textId="0B4F1729" w:rsidR="00E21423" w:rsidRDefault="000D7B3D" w:rsidP="0012337F">
      <w:pPr>
        <w:pStyle w:val="BodyText"/>
      </w:pPr>
      <w:r w:rsidRPr="000D7B3D">
        <w:rPr>
          <w:noProof/>
        </w:rPr>
        <w:drawing>
          <wp:inline distT="0" distB="0" distL="0" distR="0" wp14:anchorId="4F31342E" wp14:editId="0C103876">
            <wp:extent cx="6119811" cy="3996055"/>
            <wp:effectExtent l="0" t="0" r="0" b="4445"/>
            <wp:docPr id="277097700" name="Picture 1" descr="This figure contains two stacked bar charts that decompose market sector labour productivity and multifactor productivity growth by industry in 2022-23. The figure highlights that two industries accounted for over 50% of the labour productivity decline. The accommodation and food services industry contributed the largest decline (0.9 percentage points), followed by the wholesale trade industry (0.8 percentage points). Of those industries that improved labour productivity, the professional, scientific, and technical services and information, media, and telecommunications sectors increased aggregate labour productivity by 0.5 percentage points.&#10;The figure also shows that the wholesale trade industry also contributed to the largest decline in market sector MFP (0.4 percentage points), followed by rental, hiring and real estate services (0.2 percentage points). The total MFP decline was largely offset by positive MFP growth, driven by professional, scientific, and technical services and transport, postal and warehousing industries, which together increased the total MFP by 0.4 percentage poi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97700" name="Picture 1" descr="This figure contains two stacked bar charts that decompose market sector labour productivity and multifactor productivity growth by industry in 2022-23. The figure highlights that two industries accounted for over 50% of the labour productivity decline. The accommodation and food services industry contributed the largest decline (0.9 percentage points), followed by the wholesale trade industry (0.8 percentage points). Of those industries that improved labour productivity, the professional, scientific, and technical services and information, media, and telecommunications sectors increased aggregate labour productivity by 0.5 percentage points.&#10;The figure also shows that the wholesale trade industry also contributed to the largest decline in market sector MFP (0.4 percentage points), followed by rental, hiring and real estate services (0.2 percentage points). The total MFP decline was largely offset by positive MFP growth, driven by professional, scientific, and technical services and transport, postal and warehousing industries, which together increased the total MFP by 0.4 percentage points.&#1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813" b="3136"/>
                    <a:stretch/>
                  </pic:blipFill>
                  <pic:spPr bwMode="auto">
                    <a:xfrm>
                      <a:off x="0" y="0"/>
                      <a:ext cx="6120130" cy="3996263"/>
                    </a:xfrm>
                    <a:prstGeom prst="rect">
                      <a:avLst/>
                    </a:prstGeom>
                    <a:noFill/>
                    <a:ln>
                      <a:noFill/>
                    </a:ln>
                    <a:extLst>
                      <a:ext uri="{53640926-AAD7-44D8-BBD7-CCE9431645EC}">
                        <a14:shadowObscured xmlns:a14="http://schemas.microsoft.com/office/drawing/2010/main"/>
                      </a:ext>
                    </a:extLst>
                  </pic:spPr>
                </pic:pic>
              </a:graphicData>
            </a:graphic>
          </wp:inline>
        </w:drawing>
      </w:r>
    </w:p>
    <w:p w14:paraId="26CB8396" w14:textId="09C2A7A4" w:rsidR="0098713A" w:rsidRPr="001271A3" w:rsidRDefault="00E21423" w:rsidP="007F616C">
      <w:pPr>
        <w:pStyle w:val="Source"/>
        <w:rPr>
          <w:spacing w:val="-2"/>
        </w:rPr>
      </w:pPr>
      <w:r w:rsidRPr="001271A3">
        <w:rPr>
          <w:spacing w:val="-2"/>
        </w:rPr>
        <w:t>Source: ABS (2023, Estimates of Industry Multifactor Productivity, 2022-23 financial year, 5260.0.55.002, table</w:t>
      </w:r>
      <w:r w:rsidR="00666322" w:rsidRPr="001271A3">
        <w:rPr>
          <w:spacing w:val="-2"/>
        </w:rPr>
        <w:t>s</w:t>
      </w:r>
      <w:r w:rsidRPr="001271A3">
        <w:rPr>
          <w:spacing w:val="-2"/>
        </w:rPr>
        <w:t xml:space="preserve"> 22 </w:t>
      </w:r>
      <w:r w:rsidR="00146FEE" w:rsidRPr="001271A3">
        <w:rPr>
          <w:spacing w:val="-2"/>
        </w:rPr>
        <w:t>&amp;</w:t>
      </w:r>
      <w:r w:rsidRPr="001271A3">
        <w:rPr>
          <w:spacing w:val="-2"/>
        </w:rPr>
        <w:t xml:space="preserve"> 23).</w:t>
      </w:r>
    </w:p>
    <w:p w14:paraId="127EB794" w14:textId="79EFC027" w:rsidR="009D06FD" w:rsidRDefault="00632F9F" w:rsidP="00632F9F">
      <w:pPr>
        <w:pStyle w:val="Heading2-nonumber"/>
      </w:pPr>
      <w:bookmarkStart w:id="2" w:name="_Toc159929294"/>
      <w:r>
        <w:t>3</w:t>
      </w:r>
      <w:r w:rsidR="00C63FB4">
        <w:t>.</w:t>
      </w:r>
      <w:r>
        <w:tab/>
      </w:r>
      <w:r w:rsidR="009D06FD">
        <w:t>W</w:t>
      </w:r>
      <w:r w:rsidR="0031738C">
        <w:t>age decoupling – an update</w:t>
      </w:r>
      <w:bookmarkEnd w:id="2"/>
    </w:p>
    <w:p w14:paraId="3B680747" w14:textId="08848DD5" w:rsidR="008D0A03" w:rsidRDefault="008D0A03" w:rsidP="008D0A03">
      <w:pPr>
        <w:pStyle w:val="BodyText"/>
      </w:pPr>
      <w:r>
        <w:t xml:space="preserve">In 2023, the Commission released an analysis of productivity growth and wages </w:t>
      </w:r>
      <w:r w:rsidR="00516ABE" w:rsidRPr="00516ABE">
        <w:rPr>
          <w:rFonts w:ascii="Arial" w:hAnsi="Arial" w:cs="Arial"/>
        </w:rPr>
        <w:t>(PC 2023b)</w:t>
      </w:r>
      <w:r>
        <w:t xml:space="preserve">. The analysis (and </w:t>
      </w:r>
      <w:r w:rsidRPr="00F06C0E">
        <w:t>accompanying technical appendix) present</w:t>
      </w:r>
      <w:r w:rsidR="006E5BDF" w:rsidRPr="00F06C0E">
        <w:t>ed</w:t>
      </w:r>
      <w:r w:rsidRPr="00F06C0E">
        <w:t xml:space="preserve"> a </w:t>
      </w:r>
      <w:r w:rsidR="006E5BDF" w:rsidRPr="00F06C0E">
        <w:t xml:space="preserve">holistic </w:t>
      </w:r>
      <w:r w:rsidRPr="00F06C0E">
        <w:t xml:space="preserve">picture of the relationship between real wages and productivity </w:t>
      </w:r>
      <w:r w:rsidR="006E5BDF" w:rsidRPr="00F06C0E">
        <w:t xml:space="preserve">to </w:t>
      </w:r>
      <w:r w:rsidRPr="00F06C0E">
        <w:t>determine whether growth in real wages depart</w:t>
      </w:r>
      <w:r w:rsidR="00EB016F" w:rsidRPr="00F06C0E">
        <w:t>ed</w:t>
      </w:r>
      <w:r w:rsidRPr="00F06C0E">
        <w:t xml:space="preserve"> from growth in labour productivity (referred to as wage decoupling).</w:t>
      </w:r>
    </w:p>
    <w:p w14:paraId="020456C8" w14:textId="1843D6B0" w:rsidR="007113F8" w:rsidRPr="005B201B" w:rsidRDefault="008D0A03" w:rsidP="007113F8">
      <w:pPr>
        <w:pStyle w:val="BodyText"/>
        <w:rPr>
          <w:spacing w:val="-4"/>
        </w:rPr>
      </w:pPr>
      <w:r w:rsidRPr="005B201B">
        <w:rPr>
          <w:spacing w:val="-4"/>
        </w:rPr>
        <w:t xml:space="preserve">This </w:t>
      </w:r>
      <w:r w:rsidR="007113F8" w:rsidRPr="005B201B">
        <w:rPr>
          <w:spacing w:val="-4"/>
        </w:rPr>
        <w:t>section</w:t>
      </w:r>
      <w:r w:rsidRPr="005B201B">
        <w:rPr>
          <w:spacing w:val="-4"/>
        </w:rPr>
        <w:t xml:space="preserve"> provides an update on the link between real wages and productivity, particularly </w:t>
      </w:r>
      <w:proofErr w:type="gramStart"/>
      <w:r w:rsidRPr="005B201B">
        <w:rPr>
          <w:spacing w:val="-4"/>
        </w:rPr>
        <w:t>in light of</w:t>
      </w:r>
      <w:proofErr w:type="gramEnd"/>
      <w:r w:rsidRPr="005B201B">
        <w:rPr>
          <w:spacing w:val="-4"/>
        </w:rPr>
        <w:t xml:space="preserve"> the </w:t>
      </w:r>
      <w:proofErr w:type="gramStart"/>
      <w:r w:rsidRPr="005B201B">
        <w:rPr>
          <w:spacing w:val="-4"/>
        </w:rPr>
        <w:t>cost</w:t>
      </w:r>
      <w:r w:rsidR="0025550D" w:rsidRPr="005B201B">
        <w:rPr>
          <w:spacing w:val="-4"/>
        </w:rPr>
        <w:t xml:space="preserve"> </w:t>
      </w:r>
      <w:r w:rsidRPr="005B201B">
        <w:rPr>
          <w:spacing w:val="-4"/>
        </w:rPr>
        <w:t>of</w:t>
      </w:r>
      <w:r w:rsidR="0025550D" w:rsidRPr="005B201B">
        <w:rPr>
          <w:spacing w:val="-4"/>
        </w:rPr>
        <w:t xml:space="preserve"> </w:t>
      </w:r>
      <w:r w:rsidRPr="005B201B">
        <w:rPr>
          <w:spacing w:val="-4"/>
        </w:rPr>
        <w:t>living</w:t>
      </w:r>
      <w:proofErr w:type="gramEnd"/>
      <w:r w:rsidRPr="005B201B">
        <w:rPr>
          <w:spacing w:val="-4"/>
        </w:rPr>
        <w:t xml:space="preserve"> pressures experienced over the past 12 months.</w:t>
      </w:r>
      <w:r w:rsidR="007113F8" w:rsidRPr="005B201B">
        <w:rPr>
          <w:spacing w:val="-4"/>
        </w:rPr>
        <w:t xml:space="preserve"> </w:t>
      </w:r>
      <w:r w:rsidR="00C532A1" w:rsidRPr="005B201B">
        <w:rPr>
          <w:spacing w:val="-4"/>
        </w:rPr>
        <w:t xml:space="preserve">As a reminder, this analysis </w:t>
      </w:r>
      <w:r w:rsidR="00FA67B1" w:rsidRPr="005B201B">
        <w:rPr>
          <w:spacing w:val="-4"/>
        </w:rPr>
        <w:t xml:space="preserve">relies </w:t>
      </w:r>
      <w:r w:rsidR="00C532A1" w:rsidRPr="005B201B">
        <w:rPr>
          <w:spacing w:val="-4"/>
        </w:rPr>
        <w:t xml:space="preserve">on producer wages </w:t>
      </w:r>
      <w:r w:rsidR="0065595A" w:rsidRPr="005B201B">
        <w:rPr>
          <w:spacing w:val="-4"/>
        </w:rPr>
        <w:t xml:space="preserve">(the wage costs producers face) </w:t>
      </w:r>
      <w:r w:rsidR="00C532A1" w:rsidRPr="005B201B">
        <w:rPr>
          <w:spacing w:val="-4"/>
        </w:rPr>
        <w:t>as distinct from consumer wages</w:t>
      </w:r>
      <w:r w:rsidR="00FA5F42" w:rsidRPr="005B201B">
        <w:rPr>
          <w:spacing w:val="-4"/>
        </w:rPr>
        <w:t xml:space="preserve"> </w:t>
      </w:r>
      <w:r w:rsidR="0065595A" w:rsidRPr="005B201B">
        <w:rPr>
          <w:spacing w:val="-4"/>
        </w:rPr>
        <w:t xml:space="preserve">(the </w:t>
      </w:r>
      <w:r w:rsidR="00FA5F42" w:rsidRPr="005B201B">
        <w:rPr>
          <w:spacing w:val="-4"/>
        </w:rPr>
        <w:t>purchasing power of the wages consumers receive</w:t>
      </w:r>
      <w:r w:rsidR="00FA5F42" w:rsidRPr="005B201B" w:rsidDel="00C752E7">
        <w:rPr>
          <w:spacing w:val="-4"/>
        </w:rPr>
        <w:t>)</w:t>
      </w:r>
      <w:r w:rsidR="00C532A1" w:rsidRPr="005B201B">
        <w:rPr>
          <w:spacing w:val="-4"/>
        </w:rPr>
        <w:t xml:space="preserve"> as the measure of wages. </w:t>
      </w:r>
      <w:r w:rsidR="00FA67B1" w:rsidRPr="005B201B">
        <w:rPr>
          <w:spacing w:val="-4"/>
        </w:rPr>
        <w:t>This is because businesses have control over the prices they set and wages they offer; but limited control over the prices people pay for other goods and services. Their capacity to pay wages depends on the prices they receive for their goods and services rather than the other prices consumers pay. While changes in the prices set by producers and the prices paid by consumers often track closely, there are reasons for them to diverge</w:t>
      </w:r>
      <w:r w:rsidR="0060417D" w:rsidRPr="005B201B">
        <w:rPr>
          <w:spacing w:val="-4"/>
        </w:rPr>
        <w:t xml:space="preserve"> – in particular, due to the prices of imports</w:t>
      </w:r>
      <w:r w:rsidR="00F07840" w:rsidRPr="005B201B">
        <w:rPr>
          <w:spacing w:val="-4"/>
        </w:rPr>
        <w:t>, taxes, and subsidies.</w:t>
      </w:r>
      <w:r w:rsidR="0060417D" w:rsidRPr="005B201B">
        <w:rPr>
          <w:spacing w:val="-4"/>
        </w:rPr>
        <w:t xml:space="preserve"> </w:t>
      </w:r>
    </w:p>
    <w:p w14:paraId="0B1A9570" w14:textId="33A90E19" w:rsidR="00404978" w:rsidRDefault="009F1658" w:rsidP="00404978">
      <w:pPr>
        <w:pStyle w:val="BodyText"/>
      </w:pPr>
      <w:r>
        <w:t xml:space="preserve">Considering the </w:t>
      </w:r>
      <w:proofErr w:type="gramStart"/>
      <w:r>
        <w:t>economy as a whole</w:t>
      </w:r>
      <w:r w:rsidR="00404978">
        <w:t>, there</w:t>
      </w:r>
      <w:proofErr w:type="gramEnd"/>
      <w:r w:rsidR="00404978">
        <w:t xml:space="preserve"> is evidence that the growth in labour productivity exceeds growth in producer wages</w:t>
      </w:r>
      <w:r w:rsidR="00C57E0D">
        <w:t xml:space="preserve"> – a </w:t>
      </w:r>
      <w:r w:rsidR="00090C78">
        <w:t>signal of wage decoupling</w:t>
      </w:r>
      <w:r w:rsidR="00404978">
        <w:t xml:space="preserve">. Wage decoupling across the economy is estimated to be </w:t>
      </w:r>
      <w:r w:rsidR="00D52260">
        <w:t>54</w:t>
      </w:r>
      <w:r w:rsidR="00404978">
        <w:t xml:space="preserve"> percentage points per year between </w:t>
      </w:r>
      <w:r w:rsidR="00DA3899">
        <w:t>1994-</w:t>
      </w:r>
      <w:r w:rsidR="00404978">
        <w:t>95 and 20</w:t>
      </w:r>
      <w:r w:rsidR="00DA3899">
        <w:t>22-</w:t>
      </w:r>
      <w:r w:rsidR="00404978">
        <w:t>23</w:t>
      </w:r>
      <w:r w:rsidR="00F30D3E">
        <w:t xml:space="preserve"> (figure 4)</w:t>
      </w:r>
      <w:r w:rsidR="00371DD9">
        <w:t xml:space="preserve">. This is </w:t>
      </w:r>
      <w:r w:rsidR="00E17D1F">
        <w:t xml:space="preserve">a slight </w:t>
      </w:r>
      <w:r w:rsidR="00184F25">
        <w:t>de</w:t>
      </w:r>
      <w:r w:rsidR="00E17D1F">
        <w:t xml:space="preserve">crease on wage decoupling estimated </w:t>
      </w:r>
      <w:r w:rsidR="000D584E">
        <w:t>between 1994-95 and 20</w:t>
      </w:r>
      <w:r w:rsidR="00DA3899">
        <w:t>21-22</w:t>
      </w:r>
      <w:r w:rsidR="009239D9">
        <w:t xml:space="preserve"> </w:t>
      </w:r>
      <w:r w:rsidR="00371DD9">
        <w:t>last year (</w:t>
      </w:r>
      <w:r w:rsidR="00184F25">
        <w:t>56</w:t>
      </w:r>
      <w:r w:rsidR="00E17D1F">
        <w:t> percentage points)</w:t>
      </w:r>
      <w:r w:rsidR="00CB6FB9">
        <w:t>.</w:t>
      </w:r>
      <w:r w:rsidR="00E17D1F">
        <w:t xml:space="preserve"> </w:t>
      </w:r>
    </w:p>
    <w:p w14:paraId="7B81F944" w14:textId="705E2003" w:rsidR="007113F8" w:rsidRPr="00765A7C" w:rsidRDefault="007113F8" w:rsidP="007113F8">
      <w:pPr>
        <w:pStyle w:val="FigureTableHeading"/>
        <w:spacing w:after="0"/>
        <w:rPr>
          <w:vertAlign w:val="superscript"/>
        </w:rPr>
      </w:pPr>
      <w:r>
        <w:lastRenderedPageBreak/>
        <w:t xml:space="preserve">Figure </w:t>
      </w:r>
      <w:r w:rsidR="0020400A">
        <w:t>4</w:t>
      </w:r>
      <w:r>
        <w:rPr>
          <w:noProof/>
        </w:rPr>
        <w:t xml:space="preserve"> </w:t>
      </w:r>
      <w:r>
        <w:t xml:space="preserve">– </w:t>
      </w:r>
      <w:r w:rsidR="00095ACF">
        <w:t>T</w:t>
      </w:r>
      <w:r w:rsidR="006440BE">
        <w:t xml:space="preserve">here is a gap between </w:t>
      </w:r>
      <w:r w:rsidR="0038632D">
        <w:t>r</w:t>
      </w:r>
      <w:r>
        <w:t>eal wage</w:t>
      </w:r>
      <w:r w:rsidR="006440BE">
        <w:t xml:space="preserve"> growth</w:t>
      </w:r>
      <w:r>
        <w:t xml:space="preserve"> </w:t>
      </w:r>
      <w:r w:rsidR="006440BE">
        <w:t xml:space="preserve">and </w:t>
      </w:r>
      <w:r>
        <w:t>labour productivity</w:t>
      </w:r>
      <w:r w:rsidR="00F47E98">
        <w:t xml:space="preserve"> across the whole </w:t>
      </w:r>
      <w:proofErr w:type="spellStart"/>
      <w:proofErr w:type="gramStart"/>
      <w:r w:rsidR="00F47E98">
        <w:t>economy</w:t>
      </w:r>
      <w:r w:rsidRPr="00765A7C">
        <w:rPr>
          <w:vertAlign w:val="superscript"/>
        </w:rPr>
        <w:t>a,b</w:t>
      </w:r>
      <w:proofErr w:type="spellEnd"/>
      <w:proofErr w:type="gramEnd"/>
    </w:p>
    <w:p w14:paraId="444491E7" w14:textId="30B92520" w:rsidR="007113F8" w:rsidRDefault="007113F8" w:rsidP="007113F8">
      <w:pPr>
        <w:pStyle w:val="FigureTableSubheading"/>
      </w:pPr>
      <w:r>
        <w:t>Producer wages and labour productivity between 1994-95 and 2022-23</w:t>
      </w:r>
    </w:p>
    <w:p w14:paraId="5C3ADE69" w14:textId="69A4619E" w:rsidR="000B1C88" w:rsidRPr="00146382" w:rsidRDefault="000E5690" w:rsidP="0084738E">
      <w:pPr>
        <w:pStyle w:val="BodyText"/>
        <w:spacing w:before="0" w:after="0"/>
      </w:pPr>
      <w:r w:rsidRPr="000E5690">
        <w:rPr>
          <w:noProof/>
        </w:rPr>
        <w:drawing>
          <wp:inline distT="0" distB="0" distL="0" distR="0" wp14:anchorId="74C6AAF2" wp14:editId="1E6D7EC1">
            <wp:extent cx="5765800" cy="2878455"/>
            <wp:effectExtent l="0" t="0" r="0" b="0"/>
            <wp:docPr id="1172940350" name="Picture 2" descr="This figure contains two charts.&#10;The left hand side chart is a line chart which shows growth indexes for labour productivity and producer wages for the whole economy and the economy without agriculture and mining from 1995 to 2023, with the base year indexed to 1994-95.&#10;The right hand side chart is a column chart that shows the annual growth for producer wages  and labour productivity for the whole economy and the economy without agriculture and mining.&#10;Together the charts show that for 95% of workers, real wages continue to move together with labour productivity. However, when mining and agriculture were included there was more decoupling between productivity and w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940350" name="Picture 2" descr="This figure contains two charts.&#10;The left hand side chart is a line chart which shows growth indexes for labour productivity and producer wages for the whole economy and the economy without agriculture and mining from 1995 to 2023, with the base year indexed to 1994-95.&#10;The right hand side chart is a column chart that shows the annual growth for producer wages  and labour productivity for the whole economy and the economy without agriculture and mining.&#10;Together the charts show that for 95% of workers, real wages continue to move together with labour productivity. However, when mining and agriculture were included there was more decoupling between productivity and wag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5800" cy="2878455"/>
                    </a:xfrm>
                    <a:prstGeom prst="rect">
                      <a:avLst/>
                    </a:prstGeom>
                    <a:noFill/>
                    <a:ln>
                      <a:noFill/>
                    </a:ln>
                  </pic:spPr>
                </pic:pic>
              </a:graphicData>
            </a:graphic>
          </wp:inline>
        </w:drawing>
      </w:r>
    </w:p>
    <w:p w14:paraId="7A2FF81B" w14:textId="10FCD1DB" w:rsidR="007113F8" w:rsidRPr="00F11DC4" w:rsidRDefault="007113F8" w:rsidP="00F11DC4">
      <w:pPr>
        <w:pStyle w:val="Note"/>
      </w:pPr>
      <w:r w:rsidRPr="00F11DC4">
        <w:rPr>
          <w:b/>
          <w:bCs/>
        </w:rPr>
        <w:t>a.</w:t>
      </w:r>
      <w:r w:rsidRPr="00F11DC4">
        <w:t xml:space="preserve"> The industries excluded are Mining and quarrying, and Agriculture, forestry and fishing. </w:t>
      </w:r>
      <w:r w:rsidRPr="00F11DC4">
        <w:rPr>
          <w:b/>
          <w:bCs/>
        </w:rPr>
        <w:t>b.</w:t>
      </w:r>
      <w:r w:rsidRPr="00F11DC4">
        <w:t xml:space="preserve"> Methodology is in </w:t>
      </w:r>
      <w:r w:rsidR="0065302B">
        <w:t>a</w:t>
      </w:r>
      <w:r w:rsidRPr="00F11DC4">
        <w:t xml:space="preserve">ppendixes A and B.1 of </w:t>
      </w:r>
      <w:r w:rsidR="00231F7D">
        <w:t>PC 2023b</w:t>
      </w:r>
      <w:r w:rsidRPr="00F11DC4">
        <w:t>.</w:t>
      </w:r>
    </w:p>
    <w:p w14:paraId="1D4E224A" w14:textId="77777777" w:rsidR="007113F8" w:rsidRPr="00F11DC4" w:rsidRDefault="007113F8" w:rsidP="007113F8">
      <w:pPr>
        <w:pStyle w:val="Source"/>
        <w:rPr>
          <w:spacing w:val="-2"/>
        </w:rPr>
      </w:pPr>
      <w:r w:rsidRPr="00F11DC4">
        <w:rPr>
          <w:spacing w:val="-2"/>
        </w:rPr>
        <w:t>Source: Commission estimates using: ABS (Australian System of National Accounts, 2022</w:t>
      </w:r>
      <w:r w:rsidRPr="00F11DC4">
        <w:rPr>
          <w:spacing w:val="-2"/>
        </w:rPr>
        <w:noBreakHyphen/>
        <w:t>23, Cat. no. 5204.0., table 46; Labour Account Australia, September 2023, Cat. no. 6150.0.55.003, industry summary tables; Labour Force, Australia, Detailed, December 2023, Cat. no. 6291.0.55.001., table EQ05; Consumer Price Index, Australia, Cat. no. 6401.0., table 1).</w:t>
      </w:r>
    </w:p>
    <w:p w14:paraId="7AB00AC8" w14:textId="59D6C8AE" w:rsidR="000A6E0F" w:rsidRDefault="00771793" w:rsidP="000A6E0F">
      <w:pPr>
        <w:pStyle w:val="BodyText"/>
      </w:pPr>
      <w:r>
        <w:t>G</w:t>
      </w:r>
      <w:r w:rsidR="000A6E0F">
        <w:t>iven significant differences in labour use, capital use, methods of production and output across different industries, an aggregate view of Australia’s economy masks significant differences in wage and productivity growth within different industries. The original paper</w:t>
      </w:r>
      <w:r w:rsidR="003C55C0">
        <w:t xml:space="preserve"> (</w:t>
      </w:r>
      <w:r w:rsidR="00447FF8">
        <w:t>PC 2023b</w:t>
      </w:r>
      <w:r w:rsidR="003C55C0">
        <w:t>)</w:t>
      </w:r>
      <w:r w:rsidR="000A6E0F">
        <w:t xml:space="preserve"> highlighted two sectors which exhibit strong wage decoupling: mining and agriculture. The sectors explain a large portion of the observed wage decoupling but account for only 5% of employment.</w:t>
      </w:r>
    </w:p>
    <w:p w14:paraId="4E9A8D5F" w14:textId="366F6F3E" w:rsidR="000A6E0F" w:rsidRDefault="000A6E0F" w:rsidP="000A6E0F">
      <w:pPr>
        <w:pStyle w:val="BodyText"/>
      </w:pPr>
      <w:r w:rsidRPr="0077480E">
        <w:t>The mining and agriculture industries are unique as they are predominantly export-focussed industries. The terms of trade boom</w:t>
      </w:r>
      <w:r w:rsidR="00447FF8">
        <w:t xml:space="preserve">, </w:t>
      </w:r>
      <w:r w:rsidRPr="0077480E">
        <w:t>fuelled by increasing commodity prices</w:t>
      </w:r>
      <w:r w:rsidR="00447FF8">
        <w:t>,</w:t>
      </w:r>
      <w:r w:rsidRPr="0077480E">
        <w:t xml:space="preserve"> experienced in Australia throughout the 2000s, and again since 2016, has increased producer prices (the prices Australian businesses receive for their output) relative to consumer prices (the prices Australians’ pay for their goods and services). Rising commodity prices depress real producer wages, driving a wedge between them and real consumer wages. As a rising terms of trade depresses real producer wages</w:t>
      </w:r>
      <w:r w:rsidR="00570CAD">
        <w:t xml:space="preserve"> </w:t>
      </w:r>
      <w:r w:rsidR="00195C67" w:rsidRPr="00195C67">
        <w:t>but has little direct effect on productivity – wages and productivity ‘decouple’</w:t>
      </w:r>
      <w:r w:rsidRPr="0077480E">
        <w:t xml:space="preserve">. </w:t>
      </w:r>
    </w:p>
    <w:p w14:paraId="67593E6B" w14:textId="63E3B130" w:rsidR="0031738C" w:rsidRPr="005E124B" w:rsidRDefault="005E124B" w:rsidP="0031738C">
      <w:pPr>
        <w:pStyle w:val="BodyText"/>
        <w:rPr>
          <w:spacing w:val="-4"/>
        </w:rPr>
      </w:pPr>
      <w:r w:rsidRPr="005E124B">
        <w:rPr>
          <w:spacing w:val="-4"/>
        </w:rPr>
        <w:t xml:space="preserve">Figure 4 highlights that if we strip out mining and agriculture, wage decoupling is much less pronounced. </w:t>
      </w:r>
      <w:r w:rsidR="007113F8" w:rsidRPr="005E124B">
        <w:rPr>
          <w:spacing w:val="-4"/>
        </w:rPr>
        <w:t>Over 2022</w:t>
      </w:r>
      <w:r w:rsidR="007113F8" w:rsidRPr="005E124B">
        <w:rPr>
          <w:spacing w:val="-4"/>
        </w:rPr>
        <w:noBreakHyphen/>
        <w:t xml:space="preserve">23, labour productivity fell by </w:t>
      </w:r>
      <w:r w:rsidR="00D6141B" w:rsidRPr="005E124B">
        <w:rPr>
          <w:spacing w:val="-4"/>
        </w:rPr>
        <w:t>-</w:t>
      </w:r>
      <w:r w:rsidR="007113F8" w:rsidRPr="005E124B">
        <w:rPr>
          <w:spacing w:val="-4"/>
        </w:rPr>
        <w:t xml:space="preserve">3.5%, largely because of a sharp increase in hours worked. Real producer wages fell </w:t>
      </w:r>
      <w:r w:rsidR="006564E0" w:rsidRPr="005E124B">
        <w:rPr>
          <w:spacing w:val="-4"/>
        </w:rPr>
        <w:t>more</w:t>
      </w:r>
      <w:r w:rsidR="007113F8" w:rsidRPr="005E124B">
        <w:rPr>
          <w:spacing w:val="-4"/>
        </w:rPr>
        <w:t xml:space="preserve"> </w:t>
      </w:r>
      <w:r w:rsidR="006564E0" w:rsidRPr="005E124B">
        <w:rPr>
          <w:spacing w:val="-4"/>
        </w:rPr>
        <w:t>(</w:t>
      </w:r>
      <w:r w:rsidR="00A84E01" w:rsidRPr="005E124B">
        <w:rPr>
          <w:spacing w:val="-4"/>
        </w:rPr>
        <w:t>-</w:t>
      </w:r>
      <w:r w:rsidR="007113F8" w:rsidRPr="005E124B">
        <w:rPr>
          <w:spacing w:val="-4"/>
        </w:rPr>
        <w:t>4.6%</w:t>
      </w:r>
      <w:r w:rsidR="006564E0" w:rsidRPr="005E124B">
        <w:rPr>
          <w:spacing w:val="-4"/>
        </w:rPr>
        <w:t>)</w:t>
      </w:r>
      <w:r w:rsidR="007113F8" w:rsidRPr="005E124B">
        <w:rPr>
          <w:spacing w:val="-4"/>
        </w:rPr>
        <w:t xml:space="preserve"> largely because of rising cost</w:t>
      </w:r>
      <w:r w:rsidR="007113F8" w:rsidRPr="005E124B">
        <w:rPr>
          <w:spacing w:val="-4"/>
        </w:rPr>
        <w:noBreakHyphen/>
        <w:t>of</w:t>
      </w:r>
      <w:r w:rsidR="007113F8" w:rsidRPr="005E124B">
        <w:rPr>
          <w:spacing w:val="-4"/>
        </w:rPr>
        <w:noBreakHyphen/>
        <w:t>living pressures. As the fall in real wages exceeded that of labour productivity, there was a</w:t>
      </w:r>
      <w:r w:rsidR="00EB00B2" w:rsidRPr="005E124B">
        <w:rPr>
          <w:spacing w:val="-4"/>
        </w:rPr>
        <w:t>n</w:t>
      </w:r>
      <w:r w:rsidR="007113F8" w:rsidRPr="005E124B">
        <w:rPr>
          <w:spacing w:val="-4"/>
        </w:rPr>
        <w:t xml:space="preserve"> increase in wage decoupling over the past 28 years, with productivity growth outstripping wage growth by 0.18 percentage points per year (up from</w:t>
      </w:r>
      <w:r w:rsidR="00851B93" w:rsidRPr="005E124B">
        <w:rPr>
          <w:spacing w:val="-4"/>
        </w:rPr>
        <w:t xml:space="preserve"> </w:t>
      </w:r>
      <w:r w:rsidR="007113F8" w:rsidRPr="005E124B">
        <w:rPr>
          <w:spacing w:val="-4"/>
        </w:rPr>
        <w:t>0.15 percentage points in 2021-22).</w:t>
      </w:r>
      <w:r w:rsidR="007113F8" w:rsidRPr="005E124B">
        <w:rPr>
          <w:rStyle w:val="FootnoteReference"/>
          <w:spacing w:val="-4"/>
        </w:rPr>
        <w:footnoteReference w:id="9"/>
      </w:r>
      <w:r w:rsidR="007113F8" w:rsidRPr="005E124B">
        <w:rPr>
          <w:spacing w:val="-4"/>
        </w:rPr>
        <w:t xml:space="preserve"> Despite this uptick in decoupling, the underlying connection between labour productivity and wages remains intact, emphasising the importance of improving labour productivity to support a rebound in real wage growth.</w:t>
      </w:r>
    </w:p>
    <w:p w14:paraId="5DAB514C" w14:textId="4219A46E" w:rsidR="00A91551" w:rsidRDefault="00085ED6" w:rsidP="00A91551">
      <w:pPr>
        <w:pStyle w:val="Heading1-nobackground"/>
      </w:pPr>
      <w:bookmarkStart w:id="3" w:name="_Toc159929295"/>
      <w:r>
        <w:lastRenderedPageBreak/>
        <w:t>References</w:t>
      </w:r>
      <w:bookmarkEnd w:id="3"/>
    </w:p>
    <w:p w14:paraId="25B9775F" w14:textId="77777777" w:rsidR="009962EC" w:rsidRDefault="009962EC" w:rsidP="006C30D0">
      <w:pPr>
        <w:pStyle w:val="Bibliography"/>
        <w:sectPr w:rsidR="009962EC" w:rsidSect="00C717D1">
          <w:headerReference w:type="even" r:id="rId21"/>
          <w:headerReference w:type="default" r:id="rId22"/>
          <w:footerReference w:type="even" r:id="rId23"/>
          <w:footerReference w:type="default" r:id="rId24"/>
          <w:pgSz w:w="11906" w:h="16838" w:code="9"/>
          <w:pgMar w:top="1134" w:right="1134" w:bottom="1134" w:left="1134" w:header="624" w:footer="510" w:gutter="0"/>
          <w:cols w:space="708"/>
          <w:titlePg/>
          <w:docGrid w:linePitch="360"/>
        </w:sectPr>
      </w:pPr>
    </w:p>
    <w:p w14:paraId="72F9AB88" w14:textId="63B5C0E7" w:rsidR="006C30D0" w:rsidRPr="00516ABE" w:rsidRDefault="006C30D0" w:rsidP="00085ED6">
      <w:pPr>
        <w:pStyle w:val="Bibliography"/>
        <w:spacing w:before="0" w:after="60" w:line="200" w:lineRule="exact"/>
        <w:ind w:left="0" w:firstLine="0"/>
        <w:rPr>
          <w:rFonts w:ascii="Arial" w:hAnsi="Arial" w:cs="Arial"/>
          <w:sz w:val="16"/>
        </w:rPr>
      </w:pPr>
      <w:r w:rsidRPr="00516ABE">
        <w:rPr>
          <w:rFonts w:ascii="Arial" w:hAnsi="Arial" w:cs="Arial"/>
          <w:sz w:val="16"/>
        </w:rPr>
        <w:t xml:space="preserve">ABS (Australian Bureau of Statistics) 2023, </w:t>
      </w:r>
      <w:r w:rsidRPr="00516ABE">
        <w:rPr>
          <w:rFonts w:ascii="Arial" w:hAnsi="Arial" w:cs="Arial"/>
          <w:i/>
          <w:sz w:val="16"/>
        </w:rPr>
        <w:t>Estimates of Industry Multifactor Productivity, 2022-23 Financial Year</w:t>
      </w:r>
      <w:r w:rsidRPr="00516ABE">
        <w:rPr>
          <w:rFonts w:ascii="Arial" w:hAnsi="Arial" w:cs="Arial"/>
          <w:sz w:val="16"/>
        </w:rPr>
        <w:t>, Australian Bureau of Statistics, https://www.abs.gov.au/statistics/industry/industry-overview/estimates-industry-multifactor-productivity/latest-release (accessed 13 December 2023).</w:t>
      </w:r>
    </w:p>
    <w:p w14:paraId="6F36675B" w14:textId="39BC661D" w:rsidR="006C30D0" w:rsidRPr="00516ABE" w:rsidRDefault="006C30D0" w:rsidP="00085ED6">
      <w:pPr>
        <w:pStyle w:val="Bibliography"/>
        <w:spacing w:before="0" w:after="60" w:line="200" w:lineRule="exact"/>
        <w:ind w:left="0" w:firstLine="0"/>
        <w:rPr>
          <w:rFonts w:ascii="Arial" w:hAnsi="Arial" w:cs="Arial"/>
          <w:sz w:val="16"/>
        </w:rPr>
      </w:pPr>
      <w:r w:rsidRPr="00516ABE">
        <w:rPr>
          <w:rFonts w:ascii="Arial" w:hAnsi="Arial" w:cs="Arial"/>
          <w:sz w:val="16"/>
        </w:rPr>
        <w:t xml:space="preserve">PC (Productivity Commission) 2022, </w:t>
      </w:r>
      <w:r w:rsidRPr="00516ABE">
        <w:rPr>
          <w:rFonts w:ascii="Arial" w:hAnsi="Arial" w:cs="Arial"/>
          <w:i/>
          <w:sz w:val="16"/>
        </w:rPr>
        <w:t>5-year Productivity Inquiry: The Key to Prosperity</w:t>
      </w:r>
      <w:r w:rsidR="00D576A2" w:rsidRPr="00D77B63">
        <w:rPr>
          <w:rFonts w:ascii="Arial" w:hAnsi="Arial" w:cs="Arial"/>
          <w:iCs/>
          <w:sz w:val="16"/>
        </w:rPr>
        <w:t>,</w:t>
      </w:r>
      <w:r w:rsidR="00D77B63" w:rsidRPr="00D77B63">
        <w:rPr>
          <w:rFonts w:ascii="Arial" w:hAnsi="Arial" w:cs="Arial"/>
          <w:iCs/>
          <w:sz w:val="16"/>
        </w:rPr>
        <w:t xml:space="preserve"> Interim report, Canberra, July</w:t>
      </w:r>
      <w:r w:rsidRPr="00D77B63">
        <w:rPr>
          <w:rFonts w:ascii="Arial" w:hAnsi="Arial" w:cs="Arial"/>
          <w:iCs/>
          <w:sz w:val="16"/>
        </w:rPr>
        <w:t>.</w:t>
      </w:r>
    </w:p>
    <w:p w14:paraId="1527FE14" w14:textId="02F66928" w:rsidR="00516ABE" w:rsidRPr="00516ABE" w:rsidRDefault="006C30D0" w:rsidP="00085ED6">
      <w:pPr>
        <w:pStyle w:val="Bibliography"/>
        <w:spacing w:before="0" w:after="60" w:line="200" w:lineRule="exact"/>
        <w:ind w:left="0" w:firstLine="0"/>
        <w:rPr>
          <w:rFonts w:ascii="Arial" w:hAnsi="Arial" w:cs="Arial"/>
          <w:sz w:val="16"/>
        </w:rPr>
      </w:pPr>
      <w:r w:rsidRPr="00516ABE">
        <w:rPr>
          <w:rFonts w:ascii="Arial" w:hAnsi="Arial" w:cs="Arial"/>
          <w:sz w:val="16"/>
        </w:rPr>
        <w:t>——</w:t>
      </w:r>
      <w:r w:rsidR="00F11DC4">
        <w:rPr>
          <w:rFonts w:ascii="Arial" w:hAnsi="Arial" w:cs="Arial"/>
          <w:sz w:val="16"/>
        </w:rPr>
        <w:t> </w:t>
      </w:r>
      <w:r w:rsidRPr="00516ABE">
        <w:rPr>
          <w:rFonts w:ascii="Arial" w:hAnsi="Arial" w:cs="Arial"/>
          <w:sz w:val="16"/>
        </w:rPr>
        <w:t xml:space="preserve">2023a, </w:t>
      </w:r>
      <w:r w:rsidR="00516ABE" w:rsidRPr="00516ABE">
        <w:rPr>
          <w:rFonts w:ascii="Arial" w:hAnsi="Arial" w:cs="Arial"/>
          <w:i/>
          <w:iCs/>
          <w:sz w:val="16"/>
        </w:rPr>
        <w:t>PC Productivity Insights: Bulletin 2023</w:t>
      </w:r>
      <w:r w:rsidR="00516ABE" w:rsidRPr="00516ABE">
        <w:rPr>
          <w:rFonts w:ascii="Arial" w:hAnsi="Arial" w:cs="Arial"/>
          <w:sz w:val="16"/>
        </w:rPr>
        <w:t>, July.</w:t>
      </w:r>
    </w:p>
    <w:p w14:paraId="3A4B0E06" w14:textId="303B9253" w:rsidR="006C30D0" w:rsidRPr="00516ABE" w:rsidRDefault="00516ABE" w:rsidP="00085ED6">
      <w:pPr>
        <w:pStyle w:val="Bibliography"/>
        <w:spacing w:before="0" w:after="60" w:line="200" w:lineRule="exact"/>
        <w:ind w:left="0" w:firstLine="0"/>
        <w:rPr>
          <w:rFonts w:ascii="Arial" w:hAnsi="Arial" w:cs="Arial"/>
          <w:sz w:val="16"/>
        </w:rPr>
      </w:pPr>
      <w:r w:rsidRPr="00516ABE">
        <w:rPr>
          <w:rFonts w:ascii="Arial" w:hAnsi="Arial" w:cs="Arial"/>
          <w:sz w:val="16"/>
        </w:rPr>
        <w:t>——</w:t>
      </w:r>
      <w:r w:rsidR="00F11DC4">
        <w:rPr>
          <w:rFonts w:ascii="Arial" w:hAnsi="Arial" w:cs="Arial"/>
          <w:sz w:val="16"/>
        </w:rPr>
        <w:t> </w:t>
      </w:r>
      <w:r w:rsidRPr="00516ABE">
        <w:rPr>
          <w:rFonts w:ascii="Arial" w:hAnsi="Arial" w:cs="Arial"/>
          <w:sz w:val="16"/>
        </w:rPr>
        <w:t xml:space="preserve">2023b, </w:t>
      </w:r>
      <w:r w:rsidR="006C30D0" w:rsidRPr="00516ABE">
        <w:rPr>
          <w:rFonts w:ascii="Arial" w:hAnsi="Arial" w:cs="Arial"/>
          <w:i/>
          <w:sz w:val="16"/>
        </w:rPr>
        <w:t>Productivity growth and wages: a forensic look</w:t>
      </w:r>
      <w:r w:rsidR="006C30D0" w:rsidRPr="00516ABE">
        <w:rPr>
          <w:rFonts w:ascii="Arial" w:hAnsi="Arial" w:cs="Arial"/>
          <w:sz w:val="16"/>
        </w:rPr>
        <w:t>, PC Productivity Insight</w:t>
      </w:r>
      <w:r w:rsidR="00A551DA">
        <w:rPr>
          <w:rFonts w:ascii="Arial" w:hAnsi="Arial" w:cs="Arial"/>
          <w:sz w:val="16"/>
        </w:rPr>
        <w:t>s</w:t>
      </w:r>
      <w:r w:rsidR="006C30D0" w:rsidRPr="00516ABE">
        <w:rPr>
          <w:rFonts w:ascii="Arial" w:hAnsi="Arial" w:cs="Arial"/>
          <w:sz w:val="16"/>
        </w:rPr>
        <w:t>.</w:t>
      </w:r>
    </w:p>
    <w:p w14:paraId="6C65BDF7" w14:textId="31D8DC55" w:rsidR="00516ABE" w:rsidRPr="00516ABE" w:rsidRDefault="00516ABE" w:rsidP="00085ED6">
      <w:pPr>
        <w:pStyle w:val="Bibliography"/>
        <w:spacing w:before="0" w:after="60" w:line="200" w:lineRule="exact"/>
        <w:ind w:left="0" w:firstLine="0"/>
        <w:rPr>
          <w:rFonts w:ascii="Arial" w:hAnsi="Arial" w:cs="Arial"/>
          <w:sz w:val="16"/>
        </w:rPr>
      </w:pPr>
      <w:r w:rsidRPr="00516ABE">
        <w:rPr>
          <w:rFonts w:ascii="Arial" w:hAnsi="Arial" w:cs="Arial"/>
          <w:sz w:val="16"/>
        </w:rPr>
        <w:t>——</w:t>
      </w:r>
      <w:r w:rsidR="00F11DC4">
        <w:rPr>
          <w:rFonts w:ascii="Arial" w:hAnsi="Arial" w:cs="Arial"/>
          <w:sz w:val="16"/>
        </w:rPr>
        <w:t> </w:t>
      </w:r>
      <w:r w:rsidRPr="00516ABE">
        <w:rPr>
          <w:rFonts w:ascii="Arial" w:hAnsi="Arial" w:cs="Arial"/>
          <w:sz w:val="16"/>
        </w:rPr>
        <w:t xml:space="preserve">2023c, </w:t>
      </w:r>
      <w:r w:rsidRPr="00516ABE">
        <w:rPr>
          <w:rFonts w:ascii="Arial" w:hAnsi="Arial" w:cs="Arial"/>
          <w:i/>
          <w:iCs/>
          <w:sz w:val="16"/>
        </w:rPr>
        <w:t xml:space="preserve">Quarterly productivity bulletin </w:t>
      </w:r>
      <w:r w:rsidR="001271A3">
        <w:rPr>
          <w:rFonts w:ascii="Arial" w:hAnsi="Arial" w:cs="Arial"/>
          <w:i/>
          <w:iCs/>
          <w:sz w:val="16"/>
        </w:rPr>
        <w:t>–</w:t>
      </w:r>
      <w:r w:rsidRPr="00516ABE">
        <w:rPr>
          <w:rFonts w:ascii="Arial" w:hAnsi="Arial" w:cs="Arial"/>
          <w:i/>
          <w:iCs/>
          <w:sz w:val="16"/>
        </w:rPr>
        <w:t xml:space="preserve"> December 2023</w:t>
      </w:r>
      <w:r w:rsidRPr="00516ABE">
        <w:rPr>
          <w:rFonts w:ascii="Arial" w:hAnsi="Arial" w:cs="Arial"/>
          <w:sz w:val="16"/>
        </w:rPr>
        <w:t>, PC Productivity Insights, Canberra.</w:t>
      </w:r>
    </w:p>
    <w:p w14:paraId="16359901" w14:textId="77777777" w:rsidR="00516ABE" w:rsidRPr="00516ABE" w:rsidRDefault="00516ABE" w:rsidP="00085ED6">
      <w:pPr>
        <w:pStyle w:val="Bibliography"/>
        <w:spacing w:before="0" w:after="60" w:line="200" w:lineRule="exact"/>
        <w:ind w:left="0" w:firstLine="0"/>
        <w:rPr>
          <w:rFonts w:ascii="Arial" w:hAnsi="Arial" w:cs="Arial"/>
          <w:sz w:val="16"/>
        </w:rPr>
      </w:pPr>
      <w:r w:rsidRPr="00516ABE">
        <w:rPr>
          <w:rFonts w:ascii="Arial" w:hAnsi="Arial" w:cs="Arial"/>
          <w:sz w:val="16"/>
        </w:rPr>
        <w:t xml:space="preserve">Wei, H. 2012, </w:t>
      </w:r>
      <w:r w:rsidRPr="00516ABE">
        <w:rPr>
          <w:rFonts w:ascii="Arial" w:hAnsi="Arial" w:cs="Arial"/>
          <w:i/>
          <w:iCs/>
          <w:sz w:val="16"/>
        </w:rPr>
        <w:t>The Industry Sources of Australia’s Productivity Slowdown</w:t>
      </w:r>
      <w:r w:rsidRPr="00516ABE">
        <w:rPr>
          <w:rFonts w:ascii="Arial" w:hAnsi="Arial" w:cs="Arial"/>
          <w:sz w:val="16"/>
        </w:rPr>
        <w:t>, Australian Bureau of Statistics.</w:t>
      </w:r>
    </w:p>
    <w:p w14:paraId="57253254" w14:textId="642467FA" w:rsidR="009962EC" w:rsidRDefault="009962EC" w:rsidP="00085ED6">
      <w:pPr>
        <w:pStyle w:val="Bibliography"/>
        <w:spacing w:before="0" w:after="60" w:line="200" w:lineRule="exact"/>
        <w:ind w:left="0" w:firstLine="0"/>
        <w:sectPr w:rsidR="009962EC" w:rsidSect="00C717D1">
          <w:type w:val="continuous"/>
          <w:pgSz w:w="11906" w:h="16838" w:code="9"/>
          <w:pgMar w:top="1134" w:right="1134" w:bottom="1134" w:left="1134" w:header="794" w:footer="510" w:gutter="0"/>
          <w:cols w:num="2" w:space="709"/>
          <w:docGrid w:linePitch="360"/>
        </w:sectPr>
      </w:pPr>
    </w:p>
    <w:p w14:paraId="436AF899" w14:textId="77777777" w:rsidR="00505212" w:rsidRDefault="00505212" w:rsidP="00F471CD">
      <w:pPr>
        <w:pStyle w:val="BodyText"/>
        <w:spacing w:after="6960"/>
      </w:pPr>
    </w:p>
    <w:tbl>
      <w:tblPr>
        <w:tblStyle w:val="TableGrid"/>
        <w:tblW w:w="0" w:type="auto"/>
        <w:tblLook w:val="04A0" w:firstRow="1" w:lastRow="0" w:firstColumn="1" w:lastColumn="0" w:noHBand="0" w:noVBand="1"/>
      </w:tblPr>
      <w:tblGrid>
        <w:gridCol w:w="9628"/>
      </w:tblGrid>
      <w:tr w:rsidR="00505212" w:rsidRPr="007F7B6B" w14:paraId="05E56A5D" w14:textId="77777777">
        <w:tc>
          <w:tcPr>
            <w:tcW w:w="9628" w:type="dxa"/>
            <w:shd w:val="clear" w:color="auto" w:fill="265A9A" w:themeFill="background2"/>
            <w:tcMar>
              <w:top w:w="113" w:type="dxa"/>
              <w:bottom w:w="113" w:type="dxa"/>
            </w:tcMar>
          </w:tcPr>
          <w:p w14:paraId="79CFE377" w14:textId="26D4AA81" w:rsidR="00505212" w:rsidRPr="007F7B6B" w:rsidRDefault="00505212">
            <w:pPr>
              <w:pStyle w:val="Copyrightpage-BodyBold"/>
              <w:rPr>
                <w:rFonts w:ascii="Arial" w:hAnsi="Arial" w:cs="Arial"/>
                <w:sz w:val="20"/>
              </w:rPr>
            </w:pPr>
            <w:r w:rsidRPr="007F7B6B">
              <w:rPr>
                <w:rFonts w:ascii="Arial" w:hAnsi="Arial" w:cs="Arial"/>
                <w:sz w:val="20"/>
              </w:rPr>
              <w:t>© Commonwealth of Australia 202</w:t>
            </w:r>
            <w:r w:rsidR="009F67B9">
              <w:rPr>
                <w:rFonts w:ascii="Arial" w:hAnsi="Arial" w:cs="Arial"/>
                <w:sz w:val="20"/>
              </w:rPr>
              <w:t>4</w:t>
            </w:r>
          </w:p>
          <w:p w14:paraId="37563CEC" w14:textId="77777777" w:rsidR="00505212" w:rsidRPr="007F7B6B" w:rsidRDefault="00505212">
            <w:pPr>
              <w:pStyle w:val="Copyrightpage-Heading2"/>
              <w:spacing w:before="0"/>
              <w:ind w:right="-284"/>
              <w:rPr>
                <w:rFonts w:ascii="Arial" w:hAnsi="Arial" w:cs="Arial"/>
                <w:bCs/>
                <w:sz w:val="20"/>
                <w:szCs w:val="20"/>
              </w:rPr>
            </w:pPr>
            <w:r w:rsidRPr="007F7B6B">
              <w:rPr>
                <w:rFonts w:ascii="Arial" w:hAnsi="Arial" w:cs="Arial"/>
                <w:bCs/>
                <w:noProof/>
                <w:sz w:val="20"/>
                <w:szCs w:val="20"/>
              </w:rPr>
              <w:drawing>
                <wp:inline distT="0" distB="0" distL="0" distR="0" wp14:anchorId="4D2E1CF2" wp14:editId="7D193B5D">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74000" cy="270000"/>
                          </a:xfrm>
                          <a:prstGeom prst="rect">
                            <a:avLst/>
                          </a:prstGeom>
                        </pic:spPr>
                      </pic:pic>
                    </a:graphicData>
                  </a:graphic>
                </wp:inline>
              </w:drawing>
            </w:r>
          </w:p>
          <w:p w14:paraId="026C0AC5" w14:textId="77777777" w:rsidR="00505212" w:rsidRPr="007F7B6B" w:rsidRDefault="00505212">
            <w:pPr>
              <w:spacing w:after="60"/>
              <w:rPr>
                <w:rFonts w:ascii="Arial" w:hAnsi="Arial" w:cs="Arial"/>
                <w:color w:val="FFFFFF" w:themeColor="background1"/>
              </w:rPr>
            </w:pPr>
            <w:r w:rsidRPr="007F7B6B">
              <w:rPr>
                <w:rFonts w:ascii="Arial" w:hAnsi="Arial" w:cs="Arial"/>
                <w:color w:val="FFFFFF" w:themeColor="background1"/>
              </w:rPr>
              <w:t>An appropriate reference for this publication is:</w:t>
            </w:r>
          </w:p>
          <w:p w14:paraId="05E5E3AA" w14:textId="0B918ED8" w:rsidR="00505212" w:rsidRPr="005E1FCA" w:rsidRDefault="00505212">
            <w:pPr>
              <w:spacing w:before="0"/>
              <w:rPr>
                <w:rFonts w:ascii="Arial" w:hAnsi="Arial" w:cs="Arial"/>
                <w:color w:val="FFFFFF" w:themeColor="background1"/>
                <w:spacing w:val="-4"/>
              </w:rPr>
            </w:pPr>
            <w:r w:rsidRPr="005E1FCA">
              <w:rPr>
                <w:rFonts w:ascii="Arial" w:hAnsi="Arial" w:cs="Arial"/>
                <w:color w:val="FFFFFF" w:themeColor="background1"/>
                <w:spacing w:val="-4"/>
              </w:rPr>
              <w:t>Productivity Commission 202</w:t>
            </w:r>
            <w:r w:rsidR="009F67B9">
              <w:rPr>
                <w:rFonts w:ascii="Arial" w:hAnsi="Arial" w:cs="Arial"/>
                <w:color w:val="FFFFFF" w:themeColor="background1"/>
                <w:spacing w:val="-4"/>
              </w:rPr>
              <w:t>4</w:t>
            </w:r>
            <w:r w:rsidRPr="005E1FCA">
              <w:rPr>
                <w:rFonts w:ascii="Arial" w:hAnsi="Arial" w:cs="Arial"/>
                <w:color w:val="FFFFFF" w:themeColor="background1"/>
                <w:spacing w:val="-4"/>
              </w:rPr>
              <w:t xml:space="preserve">, </w:t>
            </w:r>
            <w:r w:rsidR="009F67B9">
              <w:rPr>
                <w:rFonts w:ascii="Arial" w:hAnsi="Arial"/>
                <w:i/>
                <w:iCs/>
                <w:color w:val="FFFFFF" w:themeColor="background1"/>
                <w:spacing w:val="-4"/>
              </w:rPr>
              <w:t xml:space="preserve">Annual </w:t>
            </w:r>
            <w:r w:rsidRPr="005E1FCA">
              <w:rPr>
                <w:rFonts w:ascii="Arial" w:hAnsi="Arial"/>
                <w:i/>
                <w:iCs/>
                <w:color w:val="FFFFFF" w:themeColor="background1"/>
                <w:spacing w:val="-4"/>
              </w:rPr>
              <w:t>productivity bulletin</w:t>
            </w:r>
            <w:r w:rsidRPr="005E1FCA">
              <w:rPr>
                <w:rFonts w:ascii="Arial" w:hAnsi="Arial" w:cs="Arial"/>
                <w:color w:val="FFFFFF" w:themeColor="background1"/>
                <w:spacing w:val="-4"/>
              </w:rPr>
              <w:t xml:space="preserve"> </w:t>
            </w:r>
            <w:r w:rsidR="009F67B9">
              <w:rPr>
                <w:rFonts w:ascii="Arial" w:hAnsi="Arial" w:cs="Arial"/>
                <w:i/>
                <w:iCs/>
                <w:color w:val="FFFFFF" w:themeColor="background1"/>
                <w:spacing w:val="-4"/>
              </w:rPr>
              <w:t>2024</w:t>
            </w:r>
            <w:r w:rsidR="00935A02" w:rsidRPr="00935A02">
              <w:rPr>
                <w:rFonts w:ascii="Arial" w:hAnsi="Arial" w:cs="Arial"/>
                <w:color w:val="FFFFFF" w:themeColor="background1"/>
                <w:spacing w:val="-4"/>
              </w:rPr>
              <w:t>,</w:t>
            </w:r>
            <w:r w:rsidRPr="005E1FCA">
              <w:rPr>
                <w:rFonts w:ascii="Arial" w:hAnsi="Arial" w:cs="Arial"/>
                <w:color w:val="FFFFFF" w:themeColor="background1"/>
                <w:spacing w:val="-4"/>
              </w:rPr>
              <w:t xml:space="preserve"> PC </w:t>
            </w:r>
            <w:r>
              <w:rPr>
                <w:rFonts w:ascii="Arial" w:hAnsi="Arial" w:cs="Arial"/>
                <w:color w:val="FFFFFF" w:themeColor="background1"/>
                <w:spacing w:val="-4"/>
              </w:rPr>
              <w:t>p</w:t>
            </w:r>
            <w:r w:rsidRPr="005E1FCA">
              <w:rPr>
                <w:rFonts w:ascii="Arial" w:hAnsi="Arial" w:cs="Arial"/>
                <w:color w:val="FFFFFF" w:themeColor="background1"/>
                <w:spacing w:val="-4"/>
              </w:rPr>
              <w:t>roductivity insights</w:t>
            </w:r>
            <w:r>
              <w:rPr>
                <w:rFonts w:ascii="Arial" w:hAnsi="Arial" w:cs="Arial"/>
                <w:color w:val="FFFFFF" w:themeColor="background1"/>
                <w:spacing w:val="-4"/>
              </w:rPr>
              <w:t xml:space="preserve">, </w:t>
            </w:r>
            <w:r w:rsidRPr="005E1FCA">
              <w:rPr>
                <w:rFonts w:ascii="Arial" w:hAnsi="Arial" w:cs="Arial"/>
                <w:color w:val="FFFFFF" w:themeColor="background1"/>
                <w:spacing w:val="-4"/>
              </w:rPr>
              <w:t>Canberra.</w:t>
            </w:r>
          </w:p>
          <w:p w14:paraId="5F5B97CC" w14:textId="77777777" w:rsidR="00505212" w:rsidRPr="007F7B6B" w:rsidRDefault="00505212">
            <w:pPr>
              <w:spacing w:after="60"/>
              <w:rPr>
                <w:rFonts w:ascii="Arial" w:hAnsi="Arial" w:cs="Arial"/>
                <w:color w:val="FFFFFF" w:themeColor="background1"/>
              </w:rPr>
            </w:pPr>
            <w:r w:rsidRPr="007F7B6B">
              <w:rPr>
                <w:rFonts w:ascii="Arial" w:hAnsi="Arial" w:cs="Arial"/>
                <w:color w:val="FFFFFF" w:themeColor="background1"/>
              </w:rPr>
              <w:t xml:space="preserve">Publication enquiries: </w:t>
            </w:r>
          </w:p>
          <w:p w14:paraId="57DB4FEE" w14:textId="3184203E" w:rsidR="00505212" w:rsidRPr="005B201B" w:rsidRDefault="00505212">
            <w:pPr>
              <w:pStyle w:val="DHHSbody"/>
              <w:rPr>
                <w:color w:val="FFFFFF" w:themeColor="background1"/>
                <w:sz w:val="20"/>
                <w:szCs w:val="20"/>
              </w:rPr>
            </w:pPr>
            <w:r w:rsidRPr="007F7B6B">
              <w:rPr>
                <w:color w:val="FFFFFF" w:themeColor="background1"/>
                <w:sz w:val="20"/>
                <w:szCs w:val="20"/>
              </w:rPr>
              <w:t xml:space="preserve">Phone 03 9653 2244 | </w:t>
            </w:r>
            <w:r w:rsidRPr="00393C22">
              <w:rPr>
                <w:color w:val="FFFFFF" w:themeColor="background1"/>
                <w:sz w:val="20"/>
                <w:szCs w:val="20"/>
              </w:rPr>
              <w:t>Em</w:t>
            </w:r>
            <w:r w:rsidRPr="005B201B">
              <w:rPr>
                <w:color w:val="FFFFFF" w:themeColor="background1"/>
                <w:sz w:val="20"/>
                <w:szCs w:val="20"/>
              </w:rPr>
              <w:t>ail publications@pc.gov.au</w:t>
            </w:r>
          </w:p>
          <w:p w14:paraId="13963E6C" w14:textId="77777777" w:rsidR="00505212" w:rsidRPr="007F7B6B" w:rsidRDefault="00505212">
            <w:pPr>
              <w:rPr>
                <w:rFonts w:ascii="Arial" w:hAnsi="Arial" w:cs="Arial"/>
                <w:b/>
                <w:bCs/>
                <w:color w:val="FFFFFF" w:themeColor="background1"/>
              </w:rPr>
            </w:pPr>
            <w:r w:rsidRPr="007F7B6B">
              <w:rPr>
                <w:rFonts w:ascii="Arial" w:hAnsi="Arial" w:cs="Arial"/>
                <w:b/>
                <w:bCs/>
                <w:color w:val="FFFFFF" w:themeColor="background1"/>
              </w:rPr>
              <w:t xml:space="preserve">www.pc.gov.au </w:t>
            </w:r>
          </w:p>
        </w:tc>
      </w:tr>
    </w:tbl>
    <w:p w14:paraId="105AACB3" w14:textId="2077F3F9" w:rsidR="00AD6614" w:rsidRDefault="00AD6614">
      <w:pPr>
        <w:spacing w:before="0" w:after="160" w:line="259" w:lineRule="auto"/>
      </w:pPr>
      <w:r>
        <w:br w:type="page"/>
      </w:r>
    </w:p>
    <w:p w14:paraId="6CD57FED" w14:textId="77777777" w:rsidR="00AD6614" w:rsidRDefault="00AD6614" w:rsidP="00AD6614">
      <w:pPr>
        <w:pStyle w:val="Heading1-nonumber"/>
      </w:pPr>
      <w:bookmarkStart w:id="4" w:name="_Toc159929296"/>
      <w:r>
        <w:lastRenderedPageBreak/>
        <w:t>Appendix</w:t>
      </w:r>
      <w:bookmarkEnd w:id="4"/>
    </w:p>
    <w:p w14:paraId="55998714" w14:textId="17CAC503" w:rsidR="00AD6614" w:rsidRDefault="00AD6614" w:rsidP="00FC0D4D">
      <w:pPr>
        <w:pStyle w:val="BodyText"/>
        <w:spacing w:after="240"/>
      </w:pPr>
      <w:r>
        <w:t xml:space="preserve">This appendix contains supporting evidence for the </w:t>
      </w:r>
      <w:r w:rsidR="00FC0D4D">
        <w:t>2024</w:t>
      </w:r>
      <w:r>
        <w:t xml:space="preserve"> Productivity Bulletin.</w:t>
      </w:r>
    </w:p>
    <w:tbl>
      <w:tblPr>
        <w:tblStyle w:val="Boxtable"/>
        <w:tblW w:w="5000" w:type="pct"/>
        <w:tblLook w:val="04A0" w:firstRow="1" w:lastRow="0" w:firstColumn="1" w:lastColumn="0" w:noHBand="0" w:noVBand="1"/>
      </w:tblPr>
      <w:tblGrid>
        <w:gridCol w:w="9638"/>
      </w:tblGrid>
      <w:tr w:rsidR="00AD6614" w14:paraId="71705ACD" w14:textId="77777777">
        <w:trPr>
          <w:tblHeader/>
        </w:trPr>
        <w:tc>
          <w:tcPr>
            <w:tcW w:w="9638" w:type="dxa"/>
            <w:shd w:val="clear" w:color="auto" w:fill="EBEBEB"/>
            <w:tcMar>
              <w:top w:w="170" w:type="dxa"/>
              <w:left w:w="170" w:type="dxa"/>
              <w:bottom w:w="113" w:type="dxa"/>
              <w:right w:w="170" w:type="dxa"/>
            </w:tcMar>
            <w:hideMark/>
          </w:tcPr>
          <w:p w14:paraId="152CC438" w14:textId="689F68A2" w:rsidR="00AD6614" w:rsidRDefault="00AD6614">
            <w:pPr>
              <w:pStyle w:val="BoxHeading1"/>
            </w:pPr>
            <w:r w:rsidRPr="00D14806">
              <w:t>A primer on productivity</w:t>
            </w:r>
          </w:p>
        </w:tc>
      </w:tr>
      <w:tr w:rsidR="00AD6614" w14:paraId="16C8EE5A" w14:textId="77777777">
        <w:tc>
          <w:tcPr>
            <w:tcW w:w="9638" w:type="dxa"/>
            <w:shd w:val="clear" w:color="auto" w:fill="EBEBEB"/>
            <w:tcMar>
              <w:top w:w="28" w:type="dxa"/>
              <w:left w:w="170" w:type="dxa"/>
              <w:bottom w:w="170" w:type="dxa"/>
              <w:right w:w="170" w:type="dxa"/>
            </w:tcMar>
            <w:hideMark/>
          </w:tcPr>
          <w:p w14:paraId="7E586F18" w14:textId="77777777" w:rsidR="00AD6614" w:rsidRDefault="00AD6614">
            <w:pPr>
              <w:pStyle w:val="BoxHeading2"/>
              <w:spacing w:after="0"/>
            </w:pPr>
            <w:r>
              <w:t xml:space="preserve">What is productivity? </w:t>
            </w:r>
          </w:p>
          <w:p w14:paraId="21AAD90B" w14:textId="77777777" w:rsidR="00AD6614" w:rsidRDefault="00AD6614">
            <w:pPr>
              <w:pStyle w:val="BodyText"/>
            </w:pPr>
            <w:r>
              <w:t xml:space="preserve">Productivity measures the rate at which output of goods and services are produced per unit of input. It is calculated as the ratio of the quantity of output produced to some measure of the quantity of inputs used. Many factors can affect productivity growth such as: technological improvements, workforce skills, changes in other inputs (such as capital), competitive pressures and the business cycle. </w:t>
            </w:r>
          </w:p>
          <w:p w14:paraId="32552F13" w14:textId="77777777" w:rsidR="00AD6614" w:rsidRDefault="00AD6614">
            <w:pPr>
              <w:pStyle w:val="BoxHeading2"/>
              <w:spacing w:after="0"/>
            </w:pPr>
            <w:r>
              <w:t xml:space="preserve">What are the main measures? </w:t>
            </w:r>
          </w:p>
          <w:p w14:paraId="08FBA899" w14:textId="77777777" w:rsidR="00AD6614" w:rsidRDefault="00AD6614">
            <w:pPr>
              <w:pStyle w:val="BodyText"/>
            </w:pPr>
            <w:r>
              <w:t xml:space="preserve">Two metrics are commonly used to measure aggregate productivity. </w:t>
            </w:r>
            <w:r w:rsidRPr="00FE7267">
              <w:rPr>
                <w:b/>
              </w:rPr>
              <w:t>Labour productivity</w:t>
            </w:r>
            <w:r>
              <w:t xml:space="preserve"> is the ratio of output to hours worked. Output is typically defined as gross value added (the total value of a firm’s production minus intermediate inputs). </w:t>
            </w:r>
            <w:r w:rsidRPr="00FE7267">
              <w:rPr>
                <w:b/>
              </w:rPr>
              <w:t>Multifactor productivity</w:t>
            </w:r>
            <w:r>
              <w:t xml:space="preserve"> (MFP) is the ratio of output to a combined input of labour and capital. It is generally considered to be a better measure of technological change and efficiency improvements than labour productivity.</w:t>
            </w:r>
            <w:r>
              <w:rPr>
                <w:rStyle w:val="FootnoteReference"/>
              </w:rPr>
              <w:footnoteReference w:id="10"/>
            </w:r>
          </w:p>
          <w:p w14:paraId="397FAE01" w14:textId="77777777" w:rsidR="00AD6614" w:rsidRDefault="00AD6614">
            <w:pPr>
              <w:pStyle w:val="BodyText"/>
            </w:pPr>
            <w:r>
              <w:t>This bulletin does not include multifactor productivity because it is not included in the quarterly national accounts.</w:t>
            </w:r>
          </w:p>
          <w:p w14:paraId="72432D95" w14:textId="77777777" w:rsidR="00AD6614" w:rsidRDefault="00AD6614">
            <w:pPr>
              <w:pStyle w:val="BoxHeading2"/>
              <w:spacing w:after="0"/>
            </w:pPr>
            <w:r>
              <w:t xml:space="preserve">What parts of the economy are we measuring? </w:t>
            </w:r>
          </w:p>
          <w:p w14:paraId="1638A970" w14:textId="77777777" w:rsidR="00AD6614" w:rsidRDefault="00AD6614">
            <w:pPr>
              <w:pStyle w:val="BodyText"/>
            </w:pPr>
            <w:r>
              <w:t>The most accurate estimates of productivity are for those industries where prices are set in markets – known as the ‘market sector’ – and where it is therefore easier to measure output (in terms of real industry gross value added). This Bulletin provides estimates for the 16 market sector industries and the 3 non-market sectors industries.</w:t>
            </w:r>
            <w:r>
              <w:rPr>
                <w:rStyle w:val="FootnoteReference"/>
              </w:rPr>
              <w:footnoteReference w:id="11"/>
            </w:r>
          </w:p>
        </w:tc>
      </w:tr>
    </w:tbl>
    <w:p w14:paraId="16208846" w14:textId="77777777" w:rsidR="00A91551" w:rsidRPr="00A91551" w:rsidRDefault="00A91551" w:rsidP="00A91551">
      <w:pPr>
        <w:pStyle w:val="BodyText"/>
      </w:pPr>
    </w:p>
    <w:sectPr w:rsidR="00A91551" w:rsidRPr="00A91551" w:rsidSect="00C717D1">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DA751" w14:textId="77777777" w:rsidR="00A51004" w:rsidRDefault="00A51004" w:rsidP="008017BC">
      <w:r>
        <w:separator/>
      </w:r>
    </w:p>
    <w:p w14:paraId="0AD8AA5E" w14:textId="77777777" w:rsidR="00A51004" w:rsidRDefault="00A51004"/>
  </w:endnote>
  <w:endnote w:type="continuationSeparator" w:id="0">
    <w:p w14:paraId="3C9A7334" w14:textId="77777777" w:rsidR="00A51004" w:rsidRDefault="00A51004" w:rsidP="008017BC">
      <w:r>
        <w:continuationSeparator/>
      </w:r>
    </w:p>
    <w:p w14:paraId="0C426A9C" w14:textId="77777777" w:rsidR="00A51004" w:rsidRDefault="00A51004"/>
  </w:endnote>
  <w:endnote w:type="continuationNotice" w:id="1">
    <w:p w14:paraId="10E8FD57" w14:textId="77777777" w:rsidR="00A51004" w:rsidRDefault="00A510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roman"/>
    <w:pitch w:val="variable"/>
    <w:sig w:usb0="E0002EFF" w:usb1="C0007843" w:usb2="00000009" w:usb3="00000000" w:csb0="000001FF" w:csb1="00000000"/>
  </w:font>
  <w:font w:name="Arial (Body)">
    <w:altName w:val="Arial"/>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247F9"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4ADFE798"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B42FC" w14:textId="77777777" w:rsidR="00A51004" w:rsidRPr="00C238D1" w:rsidRDefault="00A51004" w:rsidP="00273E86">
      <w:pPr>
        <w:spacing w:after="0" w:line="240" w:lineRule="auto"/>
        <w:rPr>
          <w:rStyle w:val="ColourDarkBlue"/>
        </w:rPr>
      </w:pPr>
      <w:r w:rsidRPr="00C238D1">
        <w:rPr>
          <w:rStyle w:val="ColourDarkBlue"/>
        </w:rPr>
        <w:continuationSeparator/>
      </w:r>
    </w:p>
  </w:footnote>
  <w:footnote w:type="continuationSeparator" w:id="0">
    <w:p w14:paraId="5A49D584" w14:textId="77777777" w:rsidR="00A51004" w:rsidRPr="001D7D9B" w:rsidRDefault="00A51004" w:rsidP="001D7D9B">
      <w:pPr>
        <w:spacing w:after="0" w:line="240" w:lineRule="auto"/>
        <w:rPr>
          <w:color w:val="265A9A" w:themeColor="background2"/>
        </w:rPr>
      </w:pPr>
      <w:r w:rsidRPr="00C238D1">
        <w:rPr>
          <w:rStyle w:val="ColourDarkBlue"/>
        </w:rPr>
        <w:continuationSeparator/>
      </w:r>
    </w:p>
  </w:footnote>
  <w:footnote w:type="continuationNotice" w:id="1">
    <w:p w14:paraId="2301CAEF" w14:textId="77777777" w:rsidR="00A51004" w:rsidRDefault="00A51004"/>
  </w:footnote>
  <w:footnote w:id="2">
    <w:p w14:paraId="4A8A4D1E" w14:textId="1F1EFB1F" w:rsidR="00A321F5" w:rsidRPr="00595787" w:rsidRDefault="00A321F5">
      <w:pPr>
        <w:pStyle w:val="FootnoteText"/>
        <w:rPr>
          <w:spacing w:val="-4"/>
        </w:rPr>
      </w:pPr>
      <w:r w:rsidRPr="00595787">
        <w:rPr>
          <w:rStyle w:val="FootnoteReference"/>
          <w:spacing w:val="-4"/>
        </w:rPr>
        <w:footnoteRef/>
      </w:r>
      <w:r w:rsidRPr="00595787">
        <w:rPr>
          <w:spacing w:val="-4"/>
        </w:rPr>
        <w:t xml:space="preserve"> </w:t>
      </w:r>
      <w:r w:rsidR="00E970C5" w:rsidRPr="00595787">
        <w:rPr>
          <w:spacing w:val="-4"/>
        </w:rPr>
        <w:t>The 2024 Annual productivity Bulletin reports on movements in productivity up to and including the 2022-23 financial year and provides data on national income and productivity to add to the Commissions’ quarterly bulletin releases. Data on multifactor productivity (MFP) and capital services is only released annually, and therefore not included in the quarterly bulletins.</w:t>
      </w:r>
    </w:p>
  </w:footnote>
  <w:footnote w:id="3">
    <w:p w14:paraId="0CDB40D3" w14:textId="554E7100" w:rsidR="00517B5B" w:rsidRDefault="00517B5B" w:rsidP="00724E36">
      <w:pPr>
        <w:pStyle w:val="FootnoteText"/>
      </w:pPr>
      <w:r>
        <w:rPr>
          <w:rStyle w:val="FootnoteReference"/>
        </w:rPr>
        <w:footnoteRef/>
      </w:r>
      <w:r w:rsidR="00AC7AF7">
        <w:t xml:space="preserve"> </w:t>
      </w:r>
      <w:r w:rsidR="00724E36">
        <w:t>The market sector refers to those industries where prices are set in markets</w:t>
      </w:r>
      <w:r w:rsidR="00ED468B">
        <w:t xml:space="preserve"> (as opposed to supplied by government)</w:t>
      </w:r>
      <w:r w:rsidR="00724E36">
        <w:t>. Importantly, multifactor productivity is only estimated for the market sector because prices better reflect the underlying demand for and supply of output. Data constraints also make it difficult to estimate MFP for non-market sectors.</w:t>
      </w:r>
    </w:p>
  </w:footnote>
  <w:footnote w:id="4">
    <w:p w14:paraId="38E8F345" w14:textId="77777777" w:rsidR="00DD1FE7" w:rsidRDefault="00DD1FE7" w:rsidP="00DD1FE7">
      <w:pPr>
        <w:pStyle w:val="FootnoteText"/>
      </w:pPr>
      <w:r>
        <w:rPr>
          <w:rStyle w:val="FootnoteReference"/>
        </w:rPr>
        <w:footnoteRef/>
      </w:r>
      <w:r>
        <w:t xml:space="preserve"> </w:t>
      </w:r>
      <w:r>
        <w:rPr>
          <w:rStyle w:val="normaltextrun"/>
        </w:rPr>
        <w:t xml:space="preserve">This </w:t>
      </w:r>
      <w:r w:rsidRPr="00705498">
        <w:t xml:space="preserve">differs slightly from the figure reported in the December 2023 quarterly bulletin as quarterly data compares labour productivity from the most recent quarter only with the five-year average prior to the </w:t>
      </w:r>
      <w:r>
        <w:t xml:space="preserve">COVID-19 </w:t>
      </w:r>
      <w:r w:rsidRPr="00705498">
        <w:t>pandemic</w:t>
      </w:r>
      <w:r>
        <w:t>.</w:t>
      </w:r>
    </w:p>
  </w:footnote>
  <w:footnote w:id="5">
    <w:p w14:paraId="5BC969F8" w14:textId="77777777" w:rsidR="00DD1FE7" w:rsidRPr="007C13EF" w:rsidRDefault="00DD1FE7" w:rsidP="00DD1FE7">
      <w:pPr>
        <w:pStyle w:val="FootnoteText"/>
      </w:pPr>
      <w:r>
        <w:rPr>
          <w:rStyle w:val="FootnoteReference"/>
        </w:rPr>
        <w:footnoteRef/>
      </w:r>
      <w:r>
        <w:t xml:space="preserve"> The corollary to this result is that productivity in the non</w:t>
      </w:r>
      <w:r>
        <w:noBreakHyphen/>
        <w:t>market sector has fallen below its pre</w:t>
      </w:r>
      <w:r>
        <w:noBreakHyphen/>
        <w:t>pandemic levels. Further research is needed to understand what has driven differences in labour productivity growth between the market and non</w:t>
      </w:r>
      <w:r>
        <w:noBreakHyphen/>
        <w:t>market sectors</w:t>
      </w:r>
      <w:r w:rsidRPr="00D01426">
        <w:t xml:space="preserve"> </w:t>
      </w:r>
      <w:r>
        <w:t>across the pandemic.</w:t>
      </w:r>
    </w:p>
  </w:footnote>
  <w:footnote w:id="6">
    <w:p w14:paraId="4EA1CB2B" w14:textId="7DC9EF9A" w:rsidR="001E293D" w:rsidRDefault="001E293D" w:rsidP="00920F95">
      <w:pPr>
        <w:pStyle w:val="FootnoteText"/>
      </w:pPr>
      <w:r w:rsidRPr="00DF5C26">
        <w:rPr>
          <w:rStyle w:val="FootnoteReference"/>
        </w:rPr>
        <w:footnoteRef/>
      </w:r>
      <w:r>
        <w:t xml:space="preserve"> Combined inputs </w:t>
      </w:r>
      <w:proofErr w:type="gramStart"/>
      <w:r>
        <w:t>refers</w:t>
      </w:r>
      <w:proofErr w:type="gramEnd"/>
      <w:r>
        <w:t xml:space="preserve"> to a combination of hours worked and capital services</w:t>
      </w:r>
      <w:r w:rsidR="005E1F0B">
        <w:t>.</w:t>
      </w:r>
    </w:p>
  </w:footnote>
  <w:footnote w:id="7">
    <w:p w14:paraId="0F620F99" w14:textId="77777777" w:rsidR="00720349" w:rsidRPr="00C94C36" w:rsidRDefault="00720349" w:rsidP="00720349">
      <w:pPr>
        <w:pStyle w:val="FootnoteText"/>
        <w:rPr>
          <w:spacing w:val="-2"/>
        </w:rPr>
      </w:pPr>
      <w:r w:rsidRPr="00C94C36">
        <w:rPr>
          <w:rStyle w:val="FootnoteReference"/>
          <w:spacing w:val="-2"/>
        </w:rPr>
        <w:footnoteRef/>
      </w:r>
      <w:r w:rsidRPr="00C94C36">
        <w:rPr>
          <w:spacing w:val="-2"/>
        </w:rPr>
        <w:t xml:space="preserve"> Growth in incomes (GNI per capita) can be decomposed into the contributions from: labour productivity (production per hour); labour utilisation; the terms of trade (which boost the income from production); and the net flow of foreign income (the income from overseas assets owned by Australians minus the income paid to foreigners from domestic assets) (figure 2).</w:t>
      </w:r>
    </w:p>
  </w:footnote>
  <w:footnote w:id="8">
    <w:p w14:paraId="1C0915B4" w14:textId="3562DE10" w:rsidR="00FE5EFC" w:rsidRPr="00AE5BF2" w:rsidRDefault="00FE5EFC" w:rsidP="00FE5EFC">
      <w:pPr>
        <w:pStyle w:val="FootnoteText"/>
        <w:rPr>
          <w:lang w:val="en-US"/>
        </w:rPr>
      </w:pPr>
      <w:r>
        <w:rPr>
          <w:rStyle w:val="FootnoteReference"/>
        </w:rPr>
        <w:footnoteRef/>
      </w:r>
      <w:r>
        <w:t xml:space="preserve"> Market sector MFP is decomposed using the experimental estimate of industry level multifactor productivity </w:t>
      </w:r>
      <w:r w:rsidRPr="006C3B50">
        <w:rPr>
          <w:rFonts w:ascii="Arial" w:hAnsi="Arial" w:cs="Arial"/>
        </w:rPr>
        <w:t>(ABS 2023)</w:t>
      </w:r>
      <w:r>
        <w:t>, and m</w:t>
      </w:r>
      <w:r w:rsidRPr="00E21423">
        <w:t xml:space="preserve">arket sector labour productivity is decomposed using ABS’s method of decomposition of aggregate labour productivity </w:t>
      </w:r>
      <w:r w:rsidRPr="001E16AE">
        <w:rPr>
          <w:rFonts w:ascii="Arial" w:hAnsi="Arial" w:cs="Arial"/>
        </w:rPr>
        <w:t>(Wei 2012)</w:t>
      </w:r>
    </w:p>
  </w:footnote>
  <w:footnote w:id="9">
    <w:p w14:paraId="1068B8FD" w14:textId="77777777" w:rsidR="007113F8" w:rsidRDefault="007113F8" w:rsidP="007113F8">
      <w:pPr>
        <w:pStyle w:val="FootnoteText"/>
      </w:pPr>
      <w:r>
        <w:rPr>
          <w:rStyle w:val="FootnoteReference"/>
        </w:rPr>
        <w:footnoteRef/>
      </w:r>
      <w:r>
        <w:t xml:space="preserve"> Revisions to ABS data – in particular, an upward revision in gross value add – resulted in the wage decoupling estimate for 2021</w:t>
      </w:r>
      <w:r>
        <w:noBreakHyphen/>
        <w:t>22 being higher than the 0.12 percentage points reported in the previous paper.</w:t>
      </w:r>
    </w:p>
  </w:footnote>
  <w:footnote w:id="10">
    <w:p w14:paraId="2888259C" w14:textId="77777777" w:rsidR="00AD6614" w:rsidRDefault="00AD6614" w:rsidP="00AD6614">
      <w:pPr>
        <w:pStyle w:val="BodyText"/>
        <w:spacing w:before="0" w:after="0"/>
      </w:pPr>
      <w:r>
        <w:rPr>
          <w:rStyle w:val="FootnoteReference"/>
        </w:rPr>
        <w:footnoteRef/>
      </w:r>
      <w:r>
        <w:t xml:space="preserve"> </w:t>
      </w:r>
      <w:r w:rsidRPr="00D02D32">
        <w:rPr>
          <w:rStyle w:val="FootnoteTextChar"/>
        </w:rPr>
        <w:t>Usually, the growth in labour productivity exceeds the growth in multifactor productivity. The difference between the two is the contribution from ‘capital deepening’.</w:t>
      </w:r>
      <w:r w:rsidRPr="005570A1">
        <w:rPr>
          <w:rStyle w:val="FootnoteTextChar"/>
        </w:rPr>
        <w:t xml:space="preserve"> </w:t>
      </w:r>
    </w:p>
  </w:footnote>
  <w:footnote w:id="11">
    <w:p w14:paraId="0A17951C" w14:textId="77777777" w:rsidR="00AD6614" w:rsidRPr="00877969" w:rsidRDefault="00AD6614" w:rsidP="00AD6614">
      <w:pPr>
        <w:pStyle w:val="BodyText"/>
        <w:spacing w:before="0" w:after="0"/>
        <w:rPr>
          <w:spacing w:val="-4"/>
        </w:rPr>
      </w:pPr>
      <w:r w:rsidRPr="00877969">
        <w:rPr>
          <w:rStyle w:val="FootnoteReference"/>
          <w:spacing w:val="-4"/>
        </w:rPr>
        <w:footnoteRef/>
      </w:r>
      <w:r w:rsidRPr="00877969">
        <w:rPr>
          <w:spacing w:val="-4"/>
        </w:rPr>
        <w:t xml:space="preserve"> </w:t>
      </w:r>
      <w:r w:rsidRPr="00877969">
        <w:rPr>
          <w:rStyle w:val="FootnoteTextChar"/>
          <w:spacing w:val="-4"/>
        </w:rPr>
        <w:t>Labour productivity can also be measured for the whole economy (in terms of real GDP per hour worked). Labour productivity measured in this way contributes to growth in living standards but is a poorer indicator of technological change and efficiency improvement because of the difficulty measuring output in health, education and public administration</w:t>
      </w:r>
      <w:r w:rsidRPr="00877969">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65FB" w14:textId="5ECEB6CD" w:rsidR="00F173EF" w:rsidRPr="007C7F99" w:rsidRDefault="007C7F99" w:rsidP="00F11DC4">
    <w:pPr>
      <w:pStyle w:val="Header-Keyline"/>
    </w:pPr>
    <w:r w:rsidRPr="007868BA">
      <w:rPr>
        <w:b/>
        <w:bCs/>
      </w:rPr>
      <w:t>PC productivity insights</w:t>
    </w:r>
    <w:r>
      <w:t xml:space="preserve"> Annual report series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9D23" w14:textId="6FA89614" w:rsidR="00F173EF" w:rsidRDefault="007868BA" w:rsidP="00F173EF">
    <w:pPr>
      <w:pStyle w:val="Header-KeylineRight"/>
    </w:pPr>
    <w:r>
      <w:t>Productivity Bulletin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18573924">
    <w:abstractNumId w:val="6"/>
  </w:num>
  <w:num w:numId="2" w16cid:durableId="1894534278">
    <w:abstractNumId w:val="2"/>
  </w:num>
  <w:num w:numId="3" w16cid:durableId="2630430">
    <w:abstractNumId w:val="9"/>
  </w:num>
  <w:num w:numId="4" w16cid:durableId="1744640028">
    <w:abstractNumId w:val="14"/>
  </w:num>
  <w:num w:numId="5" w16cid:durableId="533157685">
    <w:abstractNumId w:val="15"/>
  </w:num>
  <w:num w:numId="6" w16cid:durableId="1214348538">
    <w:abstractNumId w:val="13"/>
  </w:num>
  <w:num w:numId="7" w16cid:durableId="60294360">
    <w:abstractNumId w:val="11"/>
  </w:num>
  <w:num w:numId="8" w16cid:durableId="1953515351">
    <w:abstractNumId w:val="7"/>
  </w:num>
  <w:num w:numId="9" w16cid:durableId="457917912">
    <w:abstractNumId w:val="10"/>
  </w:num>
  <w:num w:numId="10" w16cid:durableId="473261300">
    <w:abstractNumId w:val="16"/>
  </w:num>
  <w:num w:numId="11" w16cid:durableId="169174502">
    <w:abstractNumId w:val="0"/>
  </w:num>
  <w:num w:numId="12" w16cid:durableId="1948074908">
    <w:abstractNumId w:val="3"/>
  </w:num>
  <w:num w:numId="13" w16cid:durableId="294995145">
    <w:abstractNumId w:val="8"/>
  </w:num>
  <w:num w:numId="14" w16cid:durableId="496724596">
    <w:abstractNumId w:val="5"/>
  </w:num>
  <w:num w:numId="15" w16cid:durableId="1078332581">
    <w:abstractNumId w:val="4"/>
  </w:num>
  <w:num w:numId="16" w16cid:durableId="1442148787">
    <w:abstractNumId w:val="1"/>
  </w:num>
  <w:num w:numId="17" w16cid:durableId="85099136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1M7AwszA1NTe0MDZV0lEKTi0uzszPAymwqAUA7crG9CwAAAA="/>
  </w:docVars>
  <w:rsids>
    <w:rsidRoot w:val="003C01E8"/>
    <w:rsid w:val="00000075"/>
    <w:rsid w:val="00000410"/>
    <w:rsid w:val="000006BD"/>
    <w:rsid w:val="0000074C"/>
    <w:rsid w:val="00000889"/>
    <w:rsid w:val="00000DD3"/>
    <w:rsid w:val="00000F3C"/>
    <w:rsid w:val="00001167"/>
    <w:rsid w:val="00001449"/>
    <w:rsid w:val="00002717"/>
    <w:rsid w:val="00002FA5"/>
    <w:rsid w:val="0000402B"/>
    <w:rsid w:val="00004248"/>
    <w:rsid w:val="00004404"/>
    <w:rsid w:val="00004489"/>
    <w:rsid w:val="00005430"/>
    <w:rsid w:val="00005977"/>
    <w:rsid w:val="00005C79"/>
    <w:rsid w:val="00005E88"/>
    <w:rsid w:val="00006B8B"/>
    <w:rsid w:val="00006F57"/>
    <w:rsid w:val="0000754B"/>
    <w:rsid w:val="000075B5"/>
    <w:rsid w:val="0001001E"/>
    <w:rsid w:val="000101E1"/>
    <w:rsid w:val="00010C3C"/>
    <w:rsid w:val="00010E18"/>
    <w:rsid w:val="00010E4E"/>
    <w:rsid w:val="00011C0A"/>
    <w:rsid w:val="00011C80"/>
    <w:rsid w:val="0001329A"/>
    <w:rsid w:val="00013897"/>
    <w:rsid w:val="00013DE6"/>
    <w:rsid w:val="000155CC"/>
    <w:rsid w:val="00015746"/>
    <w:rsid w:val="00015799"/>
    <w:rsid w:val="00016A6A"/>
    <w:rsid w:val="00017307"/>
    <w:rsid w:val="000173B6"/>
    <w:rsid w:val="00017470"/>
    <w:rsid w:val="00017F35"/>
    <w:rsid w:val="00020187"/>
    <w:rsid w:val="00020FBC"/>
    <w:rsid w:val="00021E54"/>
    <w:rsid w:val="00021E58"/>
    <w:rsid w:val="00021E9F"/>
    <w:rsid w:val="0002238C"/>
    <w:rsid w:val="00022BB8"/>
    <w:rsid w:val="0002323D"/>
    <w:rsid w:val="0002344D"/>
    <w:rsid w:val="00023CC9"/>
    <w:rsid w:val="00023F00"/>
    <w:rsid w:val="00024ED4"/>
    <w:rsid w:val="00024F77"/>
    <w:rsid w:val="00025FA9"/>
    <w:rsid w:val="000266DC"/>
    <w:rsid w:val="00026ACC"/>
    <w:rsid w:val="00026C04"/>
    <w:rsid w:val="00026F90"/>
    <w:rsid w:val="000272F8"/>
    <w:rsid w:val="0002763D"/>
    <w:rsid w:val="00027741"/>
    <w:rsid w:val="00027953"/>
    <w:rsid w:val="000279D9"/>
    <w:rsid w:val="000300AF"/>
    <w:rsid w:val="00030770"/>
    <w:rsid w:val="00030B5A"/>
    <w:rsid w:val="00030C01"/>
    <w:rsid w:val="000316C1"/>
    <w:rsid w:val="00031834"/>
    <w:rsid w:val="00031DC5"/>
    <w:rsid w:val="0003270F"/>
    <w:rsid w:val="00033057"/>
    <w:rsid w:val="000331E4"/>
    <w:rsid w:val="0003338D"/>
    <w:rsid w:val="000334C7"/>
    <w:rsid w:val="00033619"/>
    <w:rsid w:val="00033C6D"/>
    <w:rsid w:val="00034438"/>
    <w:rsid w:val="0003447D"/>
    <w:rsid w:val="00034B75"/>
    <w:rsid w:val="00035318"/>
    <w:rsid w:val="000353E9"/>
    <w:rsid w:val="000354D3"/>
    <w:rsid w:val="00035B00"/>
    <w:rsid w:val="00035D25"/>
    <w:rsid w:val="00035DB6"/>
    <w:rsid w:val="000361CB"/>
    <w:rsid w:val="0003679B"/>
    <w:rsid w:val="000368C9"/>
    <w:rsid w:val="00036EF8"/>
    <w:rsid w:val="00037C35"/>
    <w:rsid w:val="00040590"/>
    <w:rsid w:val="0004099F"/>
    <w:rsid w:val="000410AC"/>
    <w:rsid w:val="0004126A"/>
    <w:rsid w:val="00041CE3"/>
    <w:rsid w:val="00041FB6"/>
    <w:rsid w:val="000423AF"/>
    <w:rsid w:val="00043CA5"/>
    <w:rsid w:val="00043EFC"/>
    <w:rsid w:val="00043FDA"/>
    <w:rsid w:val="00044505"/>
    <w:rsid w:val="0004479B"/>
    <w:rsid w:val="00044C86"/>
    <w:rsid w:val="00045233"/>
    <w:rsid w:val="000457B5"/>
    <w:rsid w:val="00045C9E"/>
    <w:rsid w:val="00045F6F"/>
    <w:rsid w:val="0004654D"/>
    <w:rsid w:val="0004665A"/>
    <w:rsid w:val="0004667A"/>
    <w:rsid w:val="000469BA"/>
    <w:rsid w:val="00046F36"/>
    <w:rsid w:val="00047148"/>
    <w:rsid w:val="00047429"/>
    <w:rsid w:val="000474B0"/>
    <w:rsid w:val="00047816"/>
    <w:rsid w:val="00047894"/>
    <w:rsid w:val="00050061"/>
    <w:rsid w:val="0005030B"/>
    <w:rsid w:val="00050B74"/>
    <w:rsid w:val="00050B9E"/>
    <w:rsid w:val="0005151B"/>
    <w:rsid w:val="000515C4"/>
    <w:rsid w:val="00051B5A"/>
    <w:rsid w:val="000526D0"/>
    <w:rsid w:val="000527AF"/>
    <w:rsid w:val="00053BA8"/>
    <w:rsid w:val="00053C25"/>
    <w:rsid w:val="00054520"/>
    <w:rsid w:val="0005496C"/>
    <w:rsid w:val="00054B44"/>
    <w:rsid w:val="00054C95"/>
    <w:rsid w:val="000550F6"/>
    <w:rsid w:val="00055910"/>
    <w:rsid w:val="00055F43"/>
    <w:rsid w:val="00055F80"/>
    <w:rsid w:val="00056022"/>
    <w:rsid w:val="000561CF"/>
    <w:rsid w:val="000561FE"/>
    <w:rsid w:val="000564C3"/>
    <w:rsid w:val="000568F8"/>
    <w:rsid w:val="00056A77"/>
    <w:rsid w:val="0005710B"/>
    <w:rsid w:val="0005774F"/>
    <w:rsid w:val="000579DE"/>
    <w:rsid w:val="00057B37"/>
    <w:rsid w:val="0006003E"/>
    <w:rsid w:val="000600A3"/>
    <w:rsid w:val="0006010E"/>
    <w:rsid w:val="00060A47"/>
    <w:rsid w:val="00060CA9"/>
    <w:rsid w:val="00060D18"/>
    <w:rsid w:val="0006104A"/>
    <w:rsid w:val="00061641"/>
    <w:rsid w:val="000617AB"/>
    <w:rsid w:val="00061D25"/>
    <w:rsid w:val="000622A6"/>
    <w:rsid w:val="00062A44"/>
    <w:rsid w:val="00062A9C"/>
    <w:rsid w:val="000633C3"/>
    <w:rsid w:val="0006360F"/>
    <w:rsid w:val="000639C4"/>
    <w:rsid w:val="00063F60"/>
    <w:rsid w:val="00064049"/>
    <w:rsid w:val="00064573"/>
    <w:rsid w:val="0006491F"/>
    <w:rsid w:val="0006495C"/>
    <w:rsid w:val="00064B74"/>
    <w:rsid w:val="00064D74"/>
    <w:rsid w:val="00064E64"/>
    <w:rsid w:val="00064EC6"/>
    <w:rsid w:val="00064F18"/>
    <w:rsid w:val="000659AF"/>
    <w:rsid w:val="000659D7"/>
    <w:rsid w:val="00065F6B"/>
    <w:rsid w:val="000660A6"/>
    <w:rsid w:val="000667D1"/>
    <w:rsid w:val="00067558"/>
    <w:rsid w:val="000701E3"/>
    <w:rsid w:val="000702A0"/>
    <w:rsid w:val="00070C3C"/>
    <w:rsid w:val="00070DCD"/>
    <w:rsid w:val="000713D5"/>
    <w:rsid w:val="00071977"/>
    <w:rsid w:val="00071AC1"/>
    <w:rsid w:val="00071D82"/>
    <w:rsid w:val="00071EF7"/>
    <w:rsid w:val="000724AE"/>
    <w:rsid w:val="00072646"/>
    <w:rsid w:val="0007354B"/>
    <w:rsid w:val="00073B5C"/>
    <w:rsid w:val="00073D6F"/>
    <w:rsid w:val="00073FD8"/>
    <w:rsid w:val="0007518B"/>
    <w:rsid w:val="00075D14"/>
    <w:rsid w:val="00075FD0"/>
    <w:rsid w:val="0007720D"/>
    <w:rsid w:val="0007776A"/>
    <w:rsid w:val="00077A76"/>
    <w:rsid w:val="0008037D"/>
    <w:rsid w:val="0008056E"/>
    <w:rsid w:val="00080F0A"/>
    <w:rsid w:val="0008113A"/>
    <w:rsid w:val="0008177D"/>
    <w:rsid w:val="00081A0B"/>
    <w:rsid w:val="00081C0F"/>
    <w:rsid w:val="00081CC0"/>
    <w:rsid w:val="00082420"/>
    <w:rsid w:val="0008259B"/>
    <w:rsid w:val="00082A61"/>
    <w:rsid w:val="00082DF7"/>
    <w:rsid w:val="000832FB"/>
    <w:rsid w:val="000835C8"/>
    <w:rsid w:val="000835D6"/>
    <w:rsid w:val="0008373E"/>
    <w:rsid w:val="00083D0F"/>
    <w:rsid w:val="00084660"/>
    <w:rsid w:val="0008467F"/>
    <w:rsid w:val="000847FE"/>
    <w:rsid w:val="00084D14"/>
    <w:rsid w:val="00084E6D"/>
    <w:rsid w:val="0008555C"/>
    <w:rsid w:val="00085560"/>
    <w:rsid w:val="00085C41"/>
    <w:rsid w:val="00085C87"/>
    <w:rsid w:val="00085ED6"/>
    <w:rsid w:val="00085FB9"/>
    <w:rsid w:val="0008680E"/>
    <w:rsid w:val="00086C00"/>
    <w:rsid w:val="000872CF"/>
    <w:rsid w:val="00087C97"/>
    <w:rsid w:val="00087D33"/>
    <w:rsid w:val="00090C78"/>
    <w:rsid w:val="00090EBA"/>
    <w:rsid w:val="00091221"/>
    <w:rsid w:val="00091286"/>
    <w:rsid w:val="00091681"/>
    <w:rsid w:val="00091704"/>
    <w:rsid w:val="0009185B"/>
    <w:rsid w:val="000918BA"/>
    <w:rsid w:val="00091F6A"/>
    <w:rsid w:val="000927CD"/>
    <w:rsid w:val="00092E06"/>
    <w:rsid w:val="000930C8"/>
    <w:rsid w:val="00093686"/>
    <w:rsid w:val="00093733"/>
    <w:rsid w:val="00093900"/>
    <w:rsid w:val="000942E7"/>
    <w:rsid w:val="000943DB"/>
    <w:rsid w:val="00094A30"/>
    <w:rsid w:val="0009501B"/>
    <w:rsid w:val="0009546E"/>
    <w:rsid w:val="000954D7"/>
    <w:rsid w:val="000959C2"/>
    <w:rsid w:val="00095ACF"/>
    <w:rsid w:val="00095C84"/>
    <w:rsid w:val="00095DC1"/>
    <w:rsid w:val="00096A4E"/>
    <w:rsid w:val="00096A98"/>
    <w:rsid w:val="000971B8"/>
    <w:rsid w:val="000971F1"/>
    <w:rsid w:val="00097D83"/>
    <w:rsid w:val="000A01A4"/>
    <w:rsid w:val="000A0F08"/>
    <w:rsid w:val="000A11F9"/>
    <w:rsid w:val="000A163A"/>
    <w:rsid w:val="000A1F29"/>
    <w:rsid w:val="000A214A"/>
    <w:rsid w:val="000A254E"/>
    <w:rsid w:val="000A25F4"/>
    <w:rsid w:val="000A348E"/>
    <w:rsid w:val="000A38AA"/>
    <w:rsid w:val="000A410A"/>
    <w:rsid w:val="000A4168"/>
    <w:rsid w:val="000A4DE7"/>
    <w:rsid w:val="000A53B7"/>
    <w:rsid w:val="000A57A1"/>
    <w:rsid w:val="000A5810"/>
    <w:rsid w:val="000A6E0F"/>
    <w:rsid w:val="000A6F1B"/>
    <w:rsid w:val="000A750A"/>
    <w:rsid w:val="000A792E"/>
    <w:rsid w:val="000A7C98"/>
    <w:rsid w:val="000A7F76"/>
    <w:rsid w:val="000B03CB"/>
    <w:rsid w:val="000B04BF"/>
    <w:rsid w:val="000B0A96"/>
    <w:rsid w:val="000B0F6E"/>
    <w:rsid w:val="000B1A14"/>
    <w:rsid w:val="000B1C88"/>
    <w:rsid w:val="000B1FFF"/>
    <w:rsid w:val="000B2825"/>
    <w:rsid w:val="000B2927"/>
    <w:rsid w:val="000B3176"/>
    <w:rsid w:val="000B34B5"/>
    <w:rsid w:val="000B3C7C"/>
    <w:rsid w:val="000B430C"/>
    <w:rsid w:val="000B497F"/>
    <w:rsid w:val="000B49C7"/>
    <w:rsid w:val="000B4A72"/>
    <w:rsid w:val="000B5105"/>
    <w:rsid w:val="000B522B"/>
    <w:rsid w:val="000B56A6"/>
    <w:rsid w:val="000B585C"/>
    <w:rsid w:val="000B591A"/>
    <w:rsid w:val="000B5ABB"/>
    <w:rsid w:val="000B5ED8"/>
    <w:rsid w:val="000B65D5"/>
    <w:rsid w:val="000B6F13"/>
    <w:rsid w:val="000B706C"/>
    <w:rsid w:val="000C03D9"/>
    <w:rsid w:val="000C0D69"/>
    <w:rsid w:val="000C0F84"/>
    <w:rsid w:val="000C1070"/>
    <w:rsid w:val="000C10BC"/>
    <w:rsid w:val="000C1B7D"/>
    <w:rsid w:val="000C2E1D"/>
    <w:rsid w:val="000C2F5D"/>
    <w:rsid w:val="000C3192"/>
    <w:rsid w:val="000C3BE2"/>
    <w:rsid w:val="000C4BF4"/>
    <w:rsid w:val="000C5033"/>
    <w:rsid w:val="000C6B07"/>
    <w:rsid w:val="000C6B77"/>
    <w:rsid w:val="000C7193"/>
    <w:rsid w:val="000C737D"/>
    <w:rsid w:val="000C7589"/>
    <w:rsid w:val="000C7809"/>
    <w:rsid w:val="000C7C27"/>
    <w:rsid w:val="000C7F99"/>
    <w:rsid w:val="000D1219"/>
    <w:rsid w:val="000D1554"/>
    <w:rsid w:val="000D18D0"/>
    <w:rsid w:val="000D2729"/>
    <w:rsid w:val="000D3837"/>
    <w:rsid w:val="000D3BD6"/>
    <w:rsid w:val="000D3F36"/>
    <w:rsid w:val="000D43D9"/>
    <w:rsid w:val="000D4611"/>
    <w:rsid w:val="000D489A"/>
    <w:rsid w:val="000D4B2D"/>
    <w:rsid w:val="000D4F02"/>
    <w:rsid w:val="000D5062"/>
    <w:rsid w:val="000D5339"/>
    <w:rsid w:val="000D53D9"/>
    <w:rsid w:val="000D584E"/>
    <w:rsid w:val="000D7B3D"/>
    <w:rsid w:val="000D7DDB"/>
    <w:rsid w:val="000E06AD"/>
    <w:rsid w:val="000E072D"/>
    <w:rsid w:val="000E0775"/>
    <w:rsid w:val="000E0BC4"/>
    <w:rsid w:val="000E20E9"/>
    <w:rsid w:val="000E24F6"/>
    <w:rsid w:val="000E27C7"/>
    <w:rsid w:val="000E2F25"/>
    <w:rsid w:val="000E3672"/>
    <w:rsid w:val="000E3B84"/>
    <w:rsid w:val="000E40EB"/>
    <w:rsid w:val="000E43B0"/>
    <w:rsid w:val="000E5690"/>
    <w:rsid w:val="000E5782"/>
    <w:rsid w:val="000E6267"/>
    <w:rsid w:val="000E66A2"/>
    <w:rsid w:val="000E67DB"/>
    <w:rsid w:val="000E6F5F"/>
    <w:rsid w:val="000E7917"/>
    <w:rsid w:val="000F05CB"/>
    <w:rsid w:val="000F089A"/>
    <w:rsid w:val="000F0A7B"/>
    <w:rsid w:val="000F1424"/>
    <w:rsid w:val="000F16C1"/>
    <w:rsid w:val="000F2565"/>
    <w:rsid w:val="000F432D"/>
    <w:rsid w:val="000F4488"/>
    <w:rsid w:val="000F44D8"/>
    <w:rsid w:val="000F4729"/>
    <w:rsid w:val="000F4F24"/>
    <w:rsid w:val="000F4FD4"/>
    <w:rsid w:val="000F59C7"/>
    <w:rsid w:val="000F6B48"/>
    <w:rsid w:val="0010023A"/>
    <w:rsid w:val="001005A6"/>
    <w:rsid w:val="00100DEB"/>
    <w:rsid w:val="00100FAB"/>
    <w:rsid w:val="001010B1"/>
    <w:rsid w:val="00101E49"/>
    <w:rsid w:val="00102076"/>
    <w:rsid w:val="0010218E"/>
    <w:rsid w:val="0010245D"/>
    <w:rsid w:val="001025A3"/>
    <w:rsid w:val="00103025"/>
    <w:rsid w:val="001030B1"/>
    <w:rsid w:val="0010323F"/>
    <w:rsid w:val="001037DC"/>
    <w:rsid w:val="001041F9"/>
    <w:rsid w:val="0010424C"/>
    <w:rsid w:val="00104608"/>
    <w:rsid w:val="0010497A"/>
    <w:rsid w:val="00104C7E"/>
    <w:rsid w:val="00105302"/>
    <w:rsid w:val="0010590A"/>
    <w:rsid w:val="00105945"/>
    <w:rsid w:val="0010599D"/>
    <w:rsid w:val="00105FC7"/>
    <w:rsid w:val="001070B6"/>
    <w:rsid w:val="0010746F"/>
    <w:rsid w:val="00107813"/>
    <w:rsid w:val="00107CAB"/>
    <w:rsid w:val="00107D80"/>
    <w:rsid w:val="001103E8"/>
    <w:rsid w:val="001109FE"/>
    <w:rsid w:val="00110E23"/>
    <w:rsid w:val="00111B26"/>
    <w:rsid w:val="00112037"/>
    <w:rsid w:val="0011217E"/>
    <w:rsid w:val="001123F1"/>
    <w:rsid w:val="001125FA"/>
    <w:rsid w:val="00112E8F"/>
    <w:rsid w:val="001134AF"/>
    <w:rsid w:val="00113CFC"/>
    <w:rsid w:val="001140F7"/>
    <w:rsid w:val="00114565"/>
    <w:rsid w:val="001145B4"/>
    <w:rsid w:val="001145C4"/>
    <w:rsid w:val="001152B0"/>
    <w:rsid w:val="0011556A"/>
    <w:rsid w:val="00115AC4"/>
    <w:rsid w:val="00116056"/>
    <w:rsid w:val="00116BE7"/>
    <w:rsid w:val="00116C0E"/>
    <w:rsid w:val="00117360"/>
    <w:rsid w:val="001175DF"/>
    <w:rsid w:val="00117660"/>
    <w:rsid w:val="00117B9D"/>
    <w:rsid w:val="001204F1"/>
    <w:rsid w:val="00120792"/>
    <w:rsid w:val="00121682"/>
    <w:rsid w:val="00121949"/>
    <w:rsid w:val="00121B7E"/>
    <w:rsid w:val="001221EC"/>
    <w:rsid w:val="0012254C"/>
    <w:rsid w:val="0012281B"/>
    <w:rsid w:val="001229B4"/>
    <w:rsid w:val="0012337F"/>
    <w:rsid w:val="00123440"/>
    <w:rsid w:val="00123563"/>
    <w:rsid w:val="001239BB"/>
    <w:rsid w:val="001239EA"/>
    <w:rsid w:val="00123AFB"/>
    <w:rsid w:val="00123C6E"/>
    <w:rsid w:val="00124427"/>
    <w:rsid w:val="001249F5"/>
    <w:rsid w:val="00125295"/>
    <w:rsid w:val="00125626"/>
    <w:rsid w:val="001259F8"/>
    <w:rsid w:val="001260F4"/>
    <w:rsid w:val="00126585"/>
    <w:rsid w:val="001268BC"/>
    <w:rsid w:val="001271A3"/>
    <w:rsid w:val="0012793B"/>
    <w:rsid w:val="00127D50"/>
    <w:rsid w:val="00127FBF"/>
    <w:rsid w:val="00130A3B"/>
    <w:rsid w:val="00130A96"/>
    <w:rsid w:val="00130BF5"/>
    <w:rsid w:val="00130C48"/>
    <w:rsid w:val="00130F7A"/>
    <w:rsid w:val="00131037"/>
    <w:rsid w:val="00131150"/>
    <w:rsid w:val="001315D3"/>
    <w:rsid w:val="0013197C"/>
    <w:rsid w:val="00131AFC"/>
    <w:rsid w:val="001322DA"/>
    <w:rsid w:val="00132896"/>
    <w:rsid w:val="00132B86"/>
    <w:rsid w:val="00133309"/>
    <w:rsid w:val="001347C4"/>
    <w:rsid w:val="00134861"/>
    <w:rsid w:val="001349D1"/>
    <w:rsid w:val="0013509D"/>
    <w:rsid w:val="0013555D"/>
    <w:rsid w:val="00135629"/>
    <w:rsid w:val="0013597D"/>
    <w:rsid w:val="00135FAB"/>
    <w:rsid w:val="001361EE"/>
    <w:rsid w:val="00136319"/>
    <w:rsid w:val="00136362"/>
    <w:rsid w:val="00136444"/>
    <w:rsid w:val="001369D5"/>
    <w:rsid w:val="001369FC"/>
    <w:rsid w:val="0013722E"/>
    <w:rsid w:val="0013739D"/>
    <w:rsid w:val="00137863"/>
    <w:rsid w:val="00137B3D"/>
    <w:rsid w:val="00137D08"/>
    <w:rsid w:val="00137FAB"/>
    <w:rsid w:val="00140697"/>
    <w:rsid w:val="00140807"/>
    <w:rsid w:val="00141D95"/>
    <w:rsid w:val="00142202"/>
    <w:rsid w:val="00142679"/>
    <w:rsid w:val="00143AED"/>
    <w:rsid w:val="00143C21"/>
    <w:rsid w:val="00143C57"/>
    <w:rsid w:val="00144579"/>
    <w:rsid w:val="001447A5"/>
    <w:rsid w:val="00144AF7"/>
    <w:rsid w:val="00145198"/>
    <w:rsid w:val="001453D7"/>
    <w:rsid w:val="001458E9"/>
    <w:rsid w:val="00146067"/>
    <w:rsid w:val="00146253"/>
    <w:rsid w:val="0014626A"/>
    <w:rsid w:val="00146FEE"/>
    <w:rsid w:val="00147A69"/>
    <w:rsid w:val="00147BCC"/>
    <w:rsid w:val="00150096"/>
    <w:rsid w:val="00150678"/>
    <w:rsid w:val="00150A53"/>
    <w:rsid w:val="00150DF2"/>
    <w:rsid w:val="0015193A"/>
    <w:rsid w:val="00151B7F"/>
    <w:rsid w:val="00151BE5"/>
    <w:rsid w:val="0015224F"/>
    <w:rsid w:val="00152364"/>
    <w:rsid w:val="001531C6"/>
    <w:rsid w:val="00153598"/>
    <w:rsid w:val="00153BA6"/>
    <w:rsid w:val="00154762"/>
    <w:rsid w:val="001548AA"/>
    <w:rsid w:val="00154E0D"/>
    <w:rsid w:val="0015575C"/>
    <w:rsid w:val="0015604F"/>
    <w:rsid w:val="00156BC2"/>
    <w:rsid w:val="00156EB8"/>
    <w:rsid w:val="00160039"/>
    <w:rsid w:val="001600E9"/>
    <w:rsid w:val="00160FEC"/>
    <w:rsid w:val="001610E5"/>
    <w:rsid w:val="00161978"/>
    <w:rsid w:val="00161BC8"/>
    <w:rsid w:val="00161C1C"/>
    <w:rsid w:val="00161C8C"/>
    <w:rsid w:val="001623D0"/>
    <w:rsid w:val="00162A3A"/>
    <w:rsid w:val="00162B14"/>
    <w:rsid w:val="00162C0A"/>
    <w:rsid w:val="00162F40"/>
    <w:rsid w:val="00163015"/>
    <w:rsid w:val="001630EA"/>
    <w:rsid w:val="00163B6B"/>
    <w:rsid w:val="00164527"/>
    <w:rsid w:val="00164DC9"/>
    <w:rsid w:val="00164DF7"/>
    <w:rsid w:val="001655DE"/>
    <w:rsid w:val="00165749"/>
    <w:rsid w:val="00165ABD"/>
    <w:rsid w:val="00165D4F"/>
    <w:rsid w:val="00166836"/>
    <w:rsid w:val="00166EAF"/>
    <w:rsid w:val="00167278"/>
    <w:rsid w:val="001677AD"/>
    <w:rsid w:val="001678B5"/>
    <w:rsid w:val="001679D5"/>
    <w:rsid w:val="00170FB5"/>
    <w:rsid w:val="001710DA"/>
    <w:rsid w:val="00171211"/>
    <w:rsid w:val="001714C6"/>
    <w:rsid w:val="001714F3"/>
    <w:rsid w:val="00171800"/>
    <w:rsid w:val="0017197B"/>
    <w:rsid w:val="001720BF"/>
    <w:rsid w:val="0017294F"/>
    <w:rsid w:val="00172B0E"/>
    <w:rsid w:val="001734C8"/>
    <w:rsid w:val="001749DA"/>
    <w:rsid w:val="00174AD4"/>
    <w:rsid w:val="00175229"/>
    <w:rsid w:val="0017603B"/>
    <w:rsid w:val="0017631B"/>
    <w:rsid w:val="001763C4"/>
    <w:rsid w:val="0017641A"/>
    <w:rsid w:val="00176A64"/>
    <w:rsid w:val="00176CAB"/>
    <w:rsid w:val="00177285"/>
    <w:rsid w:val="001774EB"/>
    <w:rsid w:val="00177E40"/>
    <w:rsid w:val="00180336"/>
    <w:rsid w:val="0018037C"/>
    <w:rsid w:val="0018065C"/>
    <w:rsid w:val="0018144D"/>
    <w:rsid w:val="00181C3C"/>
    <w:rsid w:val="0018240E"/>
    <w:rsid w:val="00182A32"/>
    <w:rsid w:val="00182BF0"/>
    <w:rsid w:val="00183DFF"/>
    <w:rsid w:val="00183F24"/>
    <w:rsid w:val="0018484B"/>
    <w:rsid w:val="00184F25"/>
    <w:rsid w:val="00185E3A"/>
    <w:rsid w:val="001864BC"/>
    <w:rsid w:val="001865C3"/>
    <w:rsid w:val="0018675B"/>
    <w:rsid w:val="00186D73"/>
    <w:rsid w:val="00186E8E"/>
    <w:rsid w:val="00187105"/>
    <w:rsid w:val="001872E0"/>
    <w:rsid w:val="001879BE"/>
    <w:rsid w:val="00187A34"/>
    <w:rsid w:val="00187F05"/>
    <w:rsid w:val="00190115"/>
    <w:rsid w:val="00190420"/>
    <w:rsid w:val="00190802"/>
    <w:rsid w:val="0019199B"/>
    <w:rsid w:val="00191A26"/>
    <w:rsid w:val="001920B1"/>
    <w:rsid w:val="001932DA"/>
    <w:rsid w:val="001936EE"/>
    <w:rsid w:val="00193A11"/>
    <w:rsid w:val="00193D4B"/>
    <w:rsid w:val="00193FDB"/>
    <w:rsid w:val="00194B7B"/>
    <w:rsid w:val="001957BF"/>
    <w:rsid w:val="00195C67"/>
    <w:rsid w:val="00195FCA"/>
    <w:rsid w:val="001963EE"/>
    <w:rsid w:val="001965A5"/>
    <w:rsid w:val="00197094"/>
    <w:rsid w:val="001973C6"/>
    <w:rsid w:val="001978EA"/>
    <w:rsid w:val="00197AA5"/>
    <w:rsid w:val="00197B83"/>
    <w:rsid w:val="00197D19"/>
    <w:rsid w:val="001A0413"/>
    <w:rsid w:val="001A0D77"/>
    <w:rsid w:val="001A0DE3"/>
    <w:rsid w:val="001A0EE6"/>
    <w:rsid w:val="001A1446"/>
    <w:rsid w:val="001A196A"/>
    <w:rsid w:val="001A1B62"/>
    <w:rsid w:val="001A1C50"/>
    <w:rsid w:val="001A1C70"/>
    <w:rsid w:val="001A1D95"/>
    <w:rsid w:val="001A23DB"/>
    <w:rsid w:val="001A2565"/>
    <w:rsid w:val="001A27C2"/>
    <w:rsid w:val="001A2AA1"/>
    <w:rsid w:val="001A2F9C"/>
    <w:rsid w:val="001A31CC"/>
    <w:rsid w:val="001A37A2"/>
    <w:rsid w:val="001A3D7C"/>
    <w:rsid w:val="001A46E3"/>
    <w:rsid w:val="001A4900"/>
    <w:rsid w:val="001A4A56"/>
    <w:rsid w:val="001A4AB5"/>
    <w:rsid w:val="001A4BF0"/>
    <w:rsid w:val="001A4DA8"/>
    <w:rsid w:val="001A51B5"/>
    <w:rsid w:val="001A51DE"/>
    <w:rsid w:val="001A57E2"/>
    <w:rsid w:val="001A5979"/>
    <w:rsid w:val="001A5C3E"/>
    <w:rsid w:val="001A5F08"/>
    <w:rsid w:val="001A624A"/>
    <w:rsid w:val="001A6CEA"/>
    <w:rsid w:val="001A720D"/>
    <w:rsid w:val="001A73DF"/>
    <w:rsid w:val="001A7CC4"/>
    <w:rsid w:val="001A7CE7"/>
    <w:rsid w:val="001A7F7C"/>
    <w:rsid w:val="001B0A94"/>
    <w:rsid w:val="001B13B1"/>
    <w:rsid w:val="001B1427"/>
    <w:rsid w:val="001B1762"/>
    <w:rsid w:val="001B17AC"/>
    <w:rsid w:val="001B1D4C"/>
    <w:rsid w:val="001B2CA4"/>
    <w:rsid w:val="001B2E8E"/>
    <w:rsid w:val="001B4224"/>
    <w:rsid w:val="001B4367"/>
    <w:rsid w:val="001B45D7"/>
    <w:rsid w:val="001B4761"/>
    <w:rsid w:val="001B4FCF"/>
    <w:rsid w:val="001B541D"/>
    <w:rsid w:val="001B588D"/>
    <w:rsid w:val="001B5C80"/>
    <w:rsid w:val="001B6579"/>
    <w:rsid w:val="001B670E"/>
    <w:rsid w:val="001B6E32"/>
    <w:rsid w:val="001B7085"/>
    <w:rsid w:val="001B72EE"/>
    <w:rsid w:val="001B75AF"/>
    <w:rsid w:val="001B76EF"/>
    <w:rsid w:val="001C1219"/>
    <w:rsid w:val="001C1321"/>
    <w:rsid w:val="001C26D2"/>
    <w:rsid w:val="001C2DF7"/>
    <w:rsid w:val="001C35A6"/>
    <w:rsid w:val="001C502E"/>
    <w:rsid w:val="001C5592"/>
    <w:rsid w:val="001C5ADC"/>
    <w:rsid w:val="001C68BB"/>
    <w:rsid w:val="001C69FB"/>
    <w:rsid w:val="001C7835"/>
    <w:rsid w:val="001D00B8"/>
    <w:rsid w:val="001D02FE"/>
    <w:rsid w:val="001D0E82"/>
    <w:rsid w:val="001D1035"/>
    <w:rsid w:val="001D1430"/>
    <w:rsid w:val="001D174C"/>
    <w:rsid w:val="001D1CB5"/>
    <w:rsid w:val="001D1E05"/>
    <w:rsid w:val="001D2381"/>
    <w:rsid w:val="001D24FE"/>
    <w:rsid w:val="001D26DF"/>
    <w:rsid w:val="001D3373"/>
    <w:rsid w:val="001D38C9"/>
    <w:rsid w:val="001D4050"/>
    <w:rsid w:val="001D481D"/>
    <w:rsid w:val="001D510C"/>
    <w:rsid w:val="001D544C"/>
    <w:rsid w:val="001D5A4C"/>
    <w:rsid w:val="001D6E65"/>
    <w:rsid w:val="001D70C1"/>
    <w:rsid w:val="001D763E"/>
    <w:rsid w:val="001D78D1"/>
    <w:rsid w:val="001D7ACC"/>
    <w:rsid w:val="001D7D9B"/>
    <w:rsid w:val="001E00B6"/>
    <w:rsid w:val="001E0658"/>
    <w:rsid w:val="001E0D03"/>
    <w:rsid w:val="001E13BA"/>
    <w:rsid w:val="001E16AE"/>
    <w:rsid w:val="001E1A12"/>
    <w:rsid w:val="001E1AF6"/>
    <w:rsid w:val="001E1C2C"/>
    <w:rsid w:val="001E1CE6"/>
    <w:rsid w:val="001E203F"/>
    <w:rsid w:val="001E293D"/>
    <w:rsid w:val="001E2DEF"/>
    <w:rsid w:val="001E39B7"/>
    <w:rsid w:val="001E3CA9"/>
    <w:rsid w:val="001E4B1C"/>
    <w:rsid w:val="001E5F8C"/>
    <w:rsid w:val="001E673E"/>
    <w:rsid w:val="001E6EDE"/>
    <w:rsid w:val="001E716D"/>
    <w:rsid w:val="001E743E"/>
    <w:rsid w:val="001F0643"/>
    <w:rsid w:val="001F0A9B"/>
    <w:rsid w:val="001F13C1"/>
    <w:rsid w:val="001F15E0"/>
    <w:rsid w:val="001F163E"/>
    <w:rsid w:val="001F1E9A"/>
    <w:rsid w:val="001F1F72"/>
    <w:rsid w:val="001F207B"/>
    <w:rsid w:val="001F21A2"/>
    <w:rsid w:val="001F26C8"/>
    <w:rsid w:val="001F3444"/>
    <w:rsid w:val="001F3501"/>
    <w:rsid w:val="001F3930"/>
    <w:rsid w:val="001F3ABD"/>
    <w:rsid w:val="001F4305"/>
    <w:rsid w:val="001F443C"/>
    <w:rsid w:val="001F446D"/>
    <w:rsid w:val="001F4610"/>
    <w:rsid w:val="001F5CA1"/>
    <w:rsid w:val="001F5D9C"/>
    <w:rsid w:val="001F69C2"/>
    <w:rsid w:val="001F6A14"/>
    <w:rsid w:val="001F6B0A"/>
    <w:rsid w:val="001F6C55"/>
    <w:rsid w:val="001F791E"/>
    <w:rsid w:val="0020036B"/>
    <w:rsid w:val="00200AF6"/>
    <w:rsid w:val="00201126"/>
    <w:rsid w:val="00201320"/>
    <w:rsid w:val="00201C05"/>
    <w:rsid w:val="00201E76"/>
    <w:rsid w:val="0020204A"/>
    <w:rsid w:val="002025B8"/>
    <w:rsid w:val="00202E8F"/>
    <w:rsid w:val="0020400A"/>
    <w:rsid w:val="00204352"/>
    <w:rsid w:val="002045F7"/>
    <w:rsid w:val="0020496B"/>
    <w:rsid w:val="00205090"/>
    <w:rsid w:val="00205907"/>
    <w:rsid w:val="00205F71"/>
    <w:rsid w:val="00206EEE"/>
    <w:rsid w:val="00207607"/>
    <w:rsid w:val="00207CE1"/>
    <w:rsid w:val="0021025D"/>
    <w:rsid w:val="00210487"/>
    <w:rsid w:val="0021073A"/>
    <w:rsid w:val="00210B0A"/>
    <w:rsid w:val="002112D0"/>
    <w:rsid w:val="002112EC"/>
    <w:rsid w:val="0021217C"/>
    <w:rsid w:val="00212264"/>
    <w:rsid w:val="00212968"/>
    <w:rsid w:val="00213190"/>
    <w:rsid w:val="002145FE"/>
    <w:rsid w:val="00214C2D"/>
    <w:rsid w:val="00214E26"/>
    <w:rsid w:val="00215519"/>
    <w:rsid w:val="002200B0"/>
    <w:rsid w:val="0022107E"/>
    <w:rsid w:val="00221800"/>
    <w:rsid w:val="002218CC"/>
    <w:rsid w:val="00221A97"/>
    <w:rsid w:val="00221AB7"/>
    <w:rsid w:val="00221D4E"/>
    <w:rsid w:val="00222AA7"/>
    <w:rsid w:val="0022338D"/>
    <w:rsid w:val="0022384B"/>
    <w:rsid w:val="00224B2A"/>
    <w:rsid w:val="002257A2"/>
    <w:rsid w:val="00226275"/>
    <w:rsid w:val="00226E64"/>
    <w:rsid w:val="002275D9"/>
    <w:rsid w:val="00227712"/>
    <w:rsid w:val="00227DA8"/>
    <w:rsid w:val="00227F8B"/>
    <w:rsid w:val="002306B5"/>
    <w:rsid w:val="00230DEC"/>
    <w:rsid w:val="00230F86"/>
    <w:rsid w:val="00231ADE"/>
    <w:rsid w:val="00231DFC"/>
    <w:rsid w:val="00231F7D"/>
    <w:rsid w:val="00232160"/>
    <w:rsid w:val="00232317"/>
    <w:rsid w:val="0023271C"/>
    <w:rsid w:val="00232E32"/>
    <w:rsid w:val="0023362A"/>
    <w:rsid w:val="00233826"/>
    <w:rsid w:val="00234AAD"/>
    <w:rsid w:val="00234FD2"/>
    <w:rsid w:val="002358AE"/>
    <w:rsid w:val="00235EEA"/>
    <w:rsid w:val="0023684D"/>
    <w:rsid w:val="00237AB9"/>
    <w:rsid w:val="00237C4B"/>
    <w:rsid w:val="00237CFF"/>
    <w:rsid w:val="002406E8"/>
    <w:rsid w:val="00240DD5"/>
    <w:rsid w:val="00241A73"/>
    <w:rsid w:val="00241D40"/>
    <w:rsid w:val="00242506"/>
    <w:rsid w:val="00242CCA"/>
    <w:rsid w:val="0024352A"/>
    <w:rsid w:val="002437BA"/>
    <w:rsid w:val="00243B1F"/>
    <w:rsid w:val="002445C4"/>
    <w:rsid w:val="00244AC8"/>
    <w:rsid w:val="00244C6F"/>
    <w:rsid w:val="00244E6A"/>
    <w:rsid w:val="002457DE"/>
    <w:rsid w:val="002461CF"/>
    <w:rsid w:val="00246435"/>
    <w:rsid w:val="00246510"/>
    <w:rsid w:val="00246BCF"/>
    <w:rsid w:val="00246E11"/>
    <w:rsid w:val="002472E1"/>
    <w:rsid w:val="00247C13"/>
    <w:rsid w:val="0025067A"/>
    <w:rsid w:val="00250AC5"/>
    <w:rsid w:val="00250D37"/>
    <w:rsid w:val="002510AE"/>
    <w:rsid w:val="00251245"/>
    <w:rsid w:val="00251698"/>
    <w:rsid w:val="00251B4D"/>
    <w:rsid w:val="00251CA2"/>
    <w:rsid w:val="00251FDE"/>
    <w:rsid w:val="00252047"/>
    <w:rsid w:val="002523EB"/>
    <w:rsid w:val="00252494"/>
    <w:rsid w:val="002529A2"/>
    <w:rsid w:val="00252DEA"/>
    <w:rsid w:val="00253654"/>
    <w:rsid w:val="00254E18"/>
    <w:rsid w:val="0025529B"/>
    <w:rsid w:val="0025550D"/>
    <w:rsid w:val="00256059"/>
    <w:rsid w:val="00256143"/>
    <w:rsid w:val="00256E90"/>
    <w:rsid w:val="002573FF"/>
    <w:rsid w:val="00257908"/>
    <w:rsid w:val="002601BB"/>
    <w:rsid w:val="0026068A"/>
    <w:rsid w:val="00260941"/>
    <w:rsid w:val="00260A5D"/>
    <w:rsid w:val="00261421"/>
    <w:rsid w:val="00262ED8"/>
    <w:rsid w:val="00263343"/>
    <w:rsid w:val="00263694"/>
    <w:rsid w:val="00264205"/>
    <w:rsid w:val="002645F8"/>
    <w:rsid w:val="00264C09"/>
    <w:rsid w:val="0026539E"/>
    <w:rsid w:val="00265918"/>
    <w:rsid w:val="00265D4A"/>
    <w:rsid w:val="0026661B"/>
    <w:rsid w:val="002673AF"/>
    <w:rsid w:val="0026750F"/>
    <w:rsid w:val="00267C3D"/>
    <w:rsid w:val="00267EDD"/>
    <w:rsid w:val="00270299"/>
    <w:rsid w:val="002705EC"/>
    <w:rsid w:val="00270834"/>
    <w:rsid w:val="002712BD"/>
    <w:rsid w:val="00272C78"/>
    <w:rsid w:val="0027306B"/>
    <w:rsid w:val="00273937"/>
    <w:rsid w:val="00273E86"/>
    <w:rsid w:val="00274881"/>
    <w:rsid w:val="00274CB8"/>
    <w:rsid w:val="00274CE9"/>
    <w:rsid w:val="00274F78"/>
    <w:rsid w:val="00275292"/>
    <w:rsid w:val="00275856"/>
    <w:rsid w:val="00275B96"/>
    <w:rsid w:val="002762C4"/>
    <w:rsid w:val="002772DD"/>
    <w:rsid w:val="0027796D"/>
    <w:rsid w:val="002800A4"/>
    <w:rsid w:val="002805D6"/>
    <w:rsid w:val="0028076C"/>
    <w:rsid w:val="00280F9B"/>
    <w:rsid w:val="002811E0"/>
    <w:rsid w:val="002814E6"/>
    <w:rsid w:val="002816BC"/>
    <w:rsid w:val="002818F7"/>
    <w:rsid w:val="00281903"/>
    <w:rsid w:val="00281A54"/>
    <w:rsid w:val="002820A9"/>
    <w:rsid w:val="00282412"/>
    <w:rsid w:val="002824B4"/>
    <w:rsid w:val="002824CF"/>
    <w:rsid w:val="00282A13"/>
    <w:rsid w:val="00282AE5"/>
    <w:rsid w:val="00282BF9"/>
    <w:rsid w:val="002834BE"/>
    <w:rsid w:val="00283896"/>
    <w:rsid w:val="00283BBD"/>
    <w:rsid w:val="00283F59"/>
    <w:rsid w:val="002842E3"/>
    <w:rsid w:val="00284CB3"/>
    <w:rsid w:val="00285BEC"/>
    <w:rsid w:val="002864B7"/>
    <w:rsid w:val="002867B4"/>
    <w:rsid w:val="00287114"/>
    <w:rsid w:val="002871A0"/>
    <w:rsid w:val="00287349"/>
    <w:rsid w:val="0028737D"/>
    <w:rsid w:val="002875C1"/>
    <w:rsid w:val="0028776E"/>
    <w:rsid w:val="00287909"/>
    <w:rsid w:val="002913FB"/>
    <w:rsid w:val="002915CF"/>
    <w:rsid w:val="0029183D"/>
    <w:rsid w:val="00291965"/>
    <w:rsid w:val="00291AFB"/>
    <w:rsid w:val="00291CC8"/>
    <w:rsid w:val="00291F44"/>
    <w:rsid w:val="0029273C"/>
    <w:rsid w:val="00292998"/>
    <w:rsid w:val="00292A71"/>
    <w:rsid w:val="00293484"/>
    <w:rsid w:val="002934A3"/>
    <w:rsid w:val="002935B7"/>
    <w:rsid w:val="002936B4"/>
    <w:rsid w:val="00294D56"/>
    <w:rsid w:val="00295056"/>
    <w:rsid w:val="002951E6"/>
    <w:rsid w:val="00295330"/>
    <w:rsid w:val="00295E91"/>
    <w:rsid w:val="00296C35"/>
    <w:rsid w:val="00296EE7"/>
    <w:rsid w:val="00296FFB"/>
    <w:rsid w:val="002973CB"/>
    <w:rsid w:val="00297529"/>
    <w:rsid w:val="002A00A8"/>
    <w:rsid w:val="002A1159"/>
    <w:rsid w:val="002A143F"/>
    <w:rsid w:val="002A14B7"/>
    <w:rsid w:val="002A1DE4"/>
    <w:rsid w:val="002A1EDB"/>
    <w:rsid w:val="002A34B6"/>
    <w:rsid w:val="002A36A5"/>
    <w:rsid w:val="002A3E62"/>
    <w:rsid w:val="002A40FC"/>
    <w:rsid w:val="002A4636"/>
    <w:rsid w:val="002A4745"/>
    <w:rsid w:val="002A4918"/>
    <w:rsid w:val="002A4987"/>
    <w:rsid w:val="002A535B"/>
    <w:rsid w:val="002A5635"/>
    <w:rsid w:val="002A572C"/>
    <w:rsid w:val="002A60DF"/>
    <w:rsid w:val="002A665E"/>
    <w:rsid w:val="002A677E"/>
    <w:rsid w:val="002A6FF4"/>
    <w:rsid w:val="002A7063"/>
    <w:rsid w:val="002A735A"/>
    <w:rsid w:val="002A79A8"/>
    <w:rsid w:val="002A7AF0"/>
    <w:rsid w:val="002A7DE0"/>
    <w:rsid w:val="002B01BD"/>
    <w:rsid w:val="002B0577"/>
    <w:rsid w:val="002B134E"/>
    <w:rsid w:val="002B14F6"/>
    <w:rsid w:val="002B16BC"/>
    <w:rsid w:val="002B1EA9"/>
    <w:rsid w:val="002B1F78"/>
    <w:rsid w:val="002B210B"/>
    <w:rsid w:val="002B21EA"/>
    <w:rsid w:val="002B2729"/>
    <w:rsid w:val="002B2FC7"/>
    <w:rsid w:val="002B3409"/>
    <w:rsid w:val="002B36D4"/>
    <w:rsid w:val="002B42EC"/>
    <w:rsid w:val="002B47C4"/>
    <w:rsid w:val="002B4A63"/>
    <w:rsid w:val="002B5713"/>
    <w:rsid w:val="002B58F7"/>
    <w:rsid w:val="002B5B58"/>
    <w:rsid w:val="002B63FC"/>
    <w:rsid w:val="002B65A4"/>
    <w:rsid w:val="002B6611"/>
    <w:rsid w:val="002B69F9"/>
    <w:rsid w:val="002B6AFB"/>
    <w:rsid w:val="002B6C8B"/>
    <w:rsid w:val="002B73FC"/>
    <w:rsid w:val="002B760D"/>
    <w:rsid w:val="002B7FA9"/>
    <w:rsid w:val="002C0377"/>
    <w:rsid w:val="002C1073"/>
    <w:rsid w:val="002C1CA4"/>
    <w:rsid w:val="002C288E"/>
    <w:rsid w:val="002C2C17"/>
    <w:rsid w:val="002C313E"/>
    <w:rsid w:val="002C342E"/>
    <w:rsid w:val="002C3994"/>
    <w:rsid w:val="002C3CEE"/>
    <w:rsid w:val="002C3EA0"/>
    <w:rsid w:val="002C3FE3"/>
    <w:rsid w:val="002C43FC"/>
    <w:rsid w:val="002C44B1"/>
    <w:rsid w:val="002C4EEF"/>
    <w:rsid w:val="002C5D51"/>
    <w:rsid w:val="002C6024"/>
    <w:rsid w:val="002C63C1"/>
    <w:rsid w:val="002C6CE6"/>
    <w:rsid w:val="002C6E7F"/>
    <w:rsid w:val="002C7578"/>
    <w:rsid w:val="002C7800"/>
    <w:rsid w:val="002C797E"/>
    <w:rsid w:val="002D055F"/>
    <w:rsid w:val="002D079C"/>
    <w:rsid w:val="002D11F2"/>
    <w:rsid w:val="002D1342"/>
    <w:rsid w:val="002D196A"/>
    <w:rsid w:val="002D1C75"/>
    <w:rsid w:val="002D1D3A"/>
    <w:rsid w:val="002D209E"/>
    <w:rsid w:val="002D20D5"/>
    <w:rsid w:val="002D24EB"/>
    <w:rsid w:val="002D2B10"/>
    <w:rsid w:val="002D3873"/>
    <w:rsid w:val="002D3929"/>
    <w:rsid w:val="002D3E80"/>
    <w:rsid w:val="002D4722"/>
    <w:rsid w:val="002D4A0A"/>
    <w:rsid w:val="002D4AE3"/>
    <w:rsid w:val="002D4CA2"/>
    <w:rsid w:val="002D4DE1"/>
    <w:rsid w:val="002D50CB"/>
    <w:rsid w:val="002D6DDB"/>
    <w:rsid w:val="002D6F26"/>
    <w:rsid w:val="002D71D4"/>
    <w:rsid w:val="002D73EB"/>
    <w:rsid w:val="002D76F1"/>
    <w:rsid w:val="002D7DCA"/>
    <w:rsid w:val="002E0513"/>
    <w:rsid w:val="002E18DF"/>
    <w:rsid w:val="002E2BEA"/>
    <w:rsid w:val="002E30D9"/>
    <w:rsid w:val="002E3304"/>
    <w:rsid w:val="002E3586"/>
    <w:rsid w:val="002E3AFE"/>
    <w:rsid w:val="002E3CE0"/>
    <w:rsid w:val="002E3E4A"/>
    <w:rsid w:val="002E3F19"/>
    <w:rsid w:val="002E4AAD"/>
    <w:rsid w:val="002E50AB"/>
    <w:rsid w:val="002E5143"/>
    <w:rsid w:val="002E51D2"/>
    <w:rsid w:val="002E6034"/>
    <w:rsid w:val="002E62BD"/>
    <w:rsid w:val="002E633F"/>
    <w:rsid w:val="002E6465"/>
    <w:rsid w:val="002E6ADA"/>
    <w:rsid w:val="002E6C55"/>
    <w:rsid w:val="002E7A0E"/>
    <w:rsid w:val="002E7D6C"/>
    <w:rsid w:val="002E7EDE"/>
    <w:rsid w:val="002E7EFA"/>
    <w:rsid w:val="002F0C1E"/>
    <w:rsid w:val="002F191C"/>
    <w:rsid w:val="002F1E07"/>
    <w:rsid w:val="002F20EB"/>
    <w:rsid w:val="002F291B"/>
    <w:rsid w:val="002F2A39"/>
    <w:rsid w:val="002F2F36"/>
    <w:rsid w:val="002F2FED"/>
    <w:rsid w:val="002F32AC"/>
    <w:rsid w:val="002F346B"/>
    <w:rsid w:val="002F370B"/>
    <w:rsid w:val="002F4180"/>
    <w:rsid w:val="002F4378"/>
    <w:rsid w:val="002F4668"/>
    <w:rsid w:val="002F4918"/>
    <w:rsid w:val="002F4D3B"/>
    <w:rsid w:val="002F4FCB"/>
    <w:rsid w:val="002F5300"/>
    <w:rsid w:val="002F5425"/>
    <w:rsid w:val="002F5988"/>
    <w:rsid w:val="002F5DB7"/>
    <w:rsid w:val="002F5EBE"/>
    <w:rsid w:val="002F6386"/>
    <w:rsid w:val="002F638B"/>
    <w:rsid w:val="002F6616"/>
    <w:rsid w:val="002F66ED"/>
    <w:rsid w:val="002F746C"/>
    <w:rsid w:val="002F784E"/>
    <w:rsid w:val="002F7AA0"/>
    <w:rsid w:val="002F7D9C"/>
    <w:rsid w:val="002F7FDB"/>
    <w:rsid w:val="0030018E"/>
    <w:rsid w:val="003007A1"/>
    <w:rsid w:val="00301960"/>
    <w:rsid w:val="00301AA9"/>
    <w:rsid w:val="00301DD0"/>
    <w:rsid w:val="00301F57"/>
    <w:rsid w:val="00302732"/>
    <w:rsid w:val="00303704"/>
    <w:rsid w:val="0030386F"/>
    <w:rsid w:val="00303ADA"/>
    <w:rsid w:val="003043C1"/>
    <w:rsid w:val="00304485"/>
    <w:rsid w:val="00304D8F"/>
    <w:rsid w:val="00305171"/>
    <w:rsid w:val="00305C3A"/>
    <w:rsid w:val="003067B9"/>
    <w:rsid w:val="00306B5A"/>
    <w:rsid w:val="003072C8"/>
    <w:rsid w:val="00307F1F"/>
    <w:rsid w:val="00310CD6"/>
    <w:rsid w:val="00311919"/>
    <w:rsid w:val="00312E83"/>
    <w:rsid w:val="00313121"/>
    <w:rsid w:val="00313670"/>
    <w:rsid w:val="0031393C"/>
    <w:rsid w:val="00314A1F"/>
    <w:rsid w:val="00314C59"/>
    <w:rsid w:val="003150E0"/>
    <w:rsid w:val="0031547D"/>
    <w:rsid w:val="003156E0"/>
    <w:rsid w:val="00315BF7"/>
    <w:rsid w:val="003162CB"/>
    <w:rsid w:val="00316571"/>
    <w:rsid w:val="00316D7E"/>
    <w:rsid w:val="0031706B"/>
    <w:rsid w:val="0031738C"/>
    <w:rsid w:val="0031750A"/>
    <w:rsid w:val="00317529"/>
    <w:rsid w:val="0031793E"/>
    <w:rsid w:val="00320AA8"/>
    <w:rsid w:val="00320B00"/>
    <w:rsid w:val="003212E7"/>
    <w:rsid w:val="003213B1"/>
    <w:rsid w:val="00321628"/>
    <w:rsid w:val="00321755"/>
    <w:rsid w:val="003218FF"/>
    <w:rsid w:val="00321DAC"/>
    <w:rsid w:val="00322843"/>
    <w:rsid w:val="00323400"/>
    <w:rsid w:val="00323A5C"/>
    <w:rsid w:val="00323C62"/>
    <w:rsid w:val="00323C66"/>
    <w:rsid w:val="00324179"/>
    <w:rsid w:val="003248CA"/>
    <w:rsid w:val="0032491D"/>
    <w:rsid w:val="00324A23"/>
    <w:rsid w:val="0032530C"/>
    <w:rsid w:val="00325FA4"/>
    <w:rsid w:val="003262F3"/>
    <w:rsid w:val="00326303"/>
    <w:rsid w:val="00326A36"/>
    <w:rsid w:val="00326C35"/>
    <w:rsid w:val="00326E74"/>
    <w:rsid w:val="003271E3"/>
    <w:rsid w:val="003273AC"/>
    <w:rsid w:val="00327896"/>
    <w:rsid w:val="00327EC6"/>
    <w:rsid w:val="00330C07"/>
    <w:rsid w:val="003311D9"/>
    <w:rsid w:val="00331A39"/>
    <w:rsid w:val="00332050"/>
    <w:rsid w:val="0033225E"/>
    <w:rsid w:val="00332351"/>
    <w:rsid w:val="00332C3F"/>
    <w:rsid w:val="003333A8"/>
    <w:rsid w:val="00333601"/>
    <w:rsid w:val="00333B63"/>
    <w:rsid w:val="00334430"/>
    <w:rsid w:val="0033523B"/>
    <w:rsid w:val="003352DD"/>
    <w:rsid w:val="003357C9"/>
    <w:rsid w:val="003358BC"/>
    <w:rsid w:val="00335B3C"/>
    <w:rsid w:val="003365BC"/>
    <w:rsid w:val="0033670B"/>
    <w:rsid w:val="00336ECB"/>
    <w:rsid w:val="0033716E"/>
    <w:rsid w:val="0033727A"/>
    <w:rsid w:val="00337C5F"/>
    <w:rsid w:val="00337DE6"/>
    <w:rsid w:val="00337E17"/>
    <w:rsid w:val="00340097"/>
    <w:rsid w:val="00340418"/>
    <w:rsid w:val="003404FC"/>
    <w:rsid w:val="00340899"/>
    <w:rsid w:val="00341801"/>
    <w:rsid w:val="00341D70"/>
    <w:rsid w:val="00341D94"/>
    <w:rsid w:val="00342029"/>
    <w:rsid w:val="003429F1"/>
    <w:rsid w:val="00342B45"/>
    <w:rsid w:val="0034404D"/>
    <w:rsid w:val="0034453F"/>
    <w:rsid w:val="0034475B"/>
    <w:rsid w:val="00344C85"/>
    <w:rsid w:val="003452F8"/>
    <w:rsid w:val="00345380"/>
    <w:rsid w:val="00345426"/>
    <w:rsid w:val="00345965"/>
    <w:rsid w:val="00345B16"/>
    <w:rsid w:val="0034638D"/>
    <w:rsid w:val="0034680A"/>
    <w:rsid w:val="00346812"/>
    <w:rsid w:val="00346C64"/>
    <w:rsid w:val="00347077"/>
    <w:rsid w:val="00347328"/>
    <w:rsid w:val="00347D32"/>
    <w:rsid w:val="00347EE8"/>
    <w:rsid w:val="00350673"/>
    <w:rsid w:val="00350E3A"/>
    <w:rsid w:val="0035141A"/>
    <w:rsid w:val="00351AE4"/>
    <w:rsid w:val="00351C7B"/>
    <w:rsid w:val="0035225E"/>
    <w:rsid w:val="0035227E"/>
    <w:rsid w:val="0035236C"/>
    <w:rsid w:val="00354696"/>
    <w:rsid w:val="0035501E"/>
    <w:rsid w:val="003550D0"/>
    <w:rsid w:val="0035519A"/>
    <w:rsid w:val="00355BEE"/>
    <w:rsid w:val="00355FBC"/>
    <w:rsid w:val="00355FEB"/>
    <w:rsid w:val="003561FE"/>
    <w:rsid w:val="003566EC"/>
    <w:rsid w:val="00356B95"/>
    <w:rsid w:val="003570AE"/>
    <w:rsid w:val="003578A2"/>
    <w:rsid w:val="00357C97"/>
    <w:rsid w:val="0036059A"/>
    <w:rsid w:val="0036111E"/>
    <w:rsid w:val="003615C8"/>
    <w:rsid w:val="00361D37"/>
    <w:rsid w:val="0036210A"/>
    <w:rsid w:val="00362D90"/>
    <w:rsid w:val="00363B2B"/>
    <w:rsid w:val="00363FF8"/>
    <w:rsid w:val="003640E1"/>
    <w:rsid w:val="00364C45"/>
    <w:rsid w:val="00365432"/>
    <w:rsid w:val="00365A0B"/>
    <w:rsid w:val="00365A45"/>
    <w:rsid w:val="003679EA"/>
    <w:rsid w:val="00367DD3"/>
    <w:rsid w:val="00367DDF"/>
    <w:rsid w:val="00367F7A"/>
    <w:rsid w:val="00367FF5"/>
    <w:rsid w:val="003701C1"/>
    <w:rsid w:val="003708C2"/>
    <w:rsid w:val="00370A68"/>
    <w:rsid w:val="00370BE3"/>
    <w:rsid w:val="00370D72"/>
    <w:rsid w:val="00371374"/>
    <w:rsid w:val="00371DD9"/>
    <w:rsid w:val="003722C1"/>
    <w:rsid w:val="00372D5E"/>
    <w:rsid w:val="003733A0"/>
    <w:rsid w:val="00374318"/>
    <w:rsid w:val="003746F2"/>
    <w:rsid w:val="00374C14"/>
    <w:rsid w:val="00374FB9"/>
    <w:rsid w:val="00375250"/>
    <w:rsid w:val="003754AB"/>
    <w:rsid w:val="00375AA0"/>
    <w:rsid w:val="00375FE3"/>
    <w:rsid w:val="00376491"/>
    <w:rsid w:val="003767D7"/>
    <w:rsid w:val="0037697C"/>
    <w:rsid w:val="00376DE9"/>
    <w:rsid w:val="0037721D"/>
    <w:rsid w:val="003775EA"/>
    <w:rsid w:val="00377B6D"/>
    <w:rsid w:val="0038024A"/>
    <w:rsid w:val="00380492"/>
    <w:rsid w:val="00380B02"/>
    <w:rsid w:val="00380F84"/>
    <w:rsid w:val="0038102A"/>
    <w:rsid w:val="003810B9"/>
    <w:rsid w:val="00381706"/>
    <w:rsid w:val="003817EA"/>
    <w:rsid w:val="0038186B"/>
    <w:rsid w:val="00382511"/>
    <w:rsid w:val="00382750"/>
    <w:rsid w:val="003833B4"/>
    <w:rsid w:val="00384301"/>
    <w:rsid w:val="00384365"/>
    <w:rsid w:val="00385121"/>
    <w:rsid w:val="00385D60"/>
    <w:rsid w:val="003861BF"/>
    <w:rsid w:val="0038632D"/>
    <w:rsid w:val="003864B5"/>
    <w:rsid w:val="003868A8"/>
    <w:rsid w:val="00386AAE"/>
    <w:rsid w:val="00387128"/>
    <w:rsid w:val="00387146"/>
    <w:rsid w:val="00387E9B"/>
    <w:rsid w:val="00390432"/>
    <w:rsid w:val="00390C1E"/>
    <w:rsid w:val="00391779"/>
    <w:rsid w:val="003917D6"/>
    <w:rsid w:val="003917EA"/>
    <w:rsid w:val="0039183F"/>
    <w:rsid w:val="00391DF8"/>
    <w:rsid w:val="00391F7C"/>
    <w:rsid w:val="00392276"/>
    <w:rsid w:val="00392703"/>
    <w:rsid w:val="00392BD6"/>
    <w:rsid w:val="00392EDA"/>
    <w:rsid w:val="00393A89"/>
    <w:rsid w:val="003942F1"/>
    <w:rsid w:val="0039516D"/>
    <w:rsid w:val="00395E49"/>
    <w:rsid w:val="00395F90"/>
    <w:rsid w:val="00395F91"/>
    <w:rsid w:val="00396157"/>
    <w:rsid w:val="00396209"/>
    <w:rsid w:val="00396F04"/>
    <w:rsid w:val="00397D90"/>
    <w:rsid w:val="003A00C0"/>
    <w:rsid w:val="003A01CB"/>
    <w:rsid w:val="003A04FC"/>
    <w:rsid w:val="003A0996"/>
    <w:rsid w:val="003A0A87"/>
    <w:rsid w:val="003A0BB7"/>
    <w:rsid w:val="003A0C20"/>
    <w:rsid w:val="003A131A"/>
    <w:rsid w:val="003A1427"/>
    <w:rsid w:val="003A2555"/>
    <w:rsid w:val="003A264A"/>
    <w:rsid w:val="003A2F9D"/>
    <w:rsid w:val="003A3363"/>
    <w:rsid w:val="003A3962"/>
    <w:rsid w:val="003A40EE"/>
    <w:rsid w:val="003A4123"/>
    <w:rsid w:val="003A41F5"/>
    <w:rsid w:val="003A462D"/>
    <w:rsid w:val="003A4A12"/>
    <w:rsid w:val="003A590B"/>
    <w:rsid w:val="003A5F0A"/>
    <w:rsid w:val="003A6607"/>
    <w:rsid w:val="003A67A5"/>
    <w:rsid w:val="003A68E6"/>
    <w:rsid w:val="003A71F2"/>
    <w:rsid w:val="003A7222"/>
    <w:rsid w:val="003A72F3"/>
    <w:rsid w:val="003A743E"/>
    <w:rsid w:val="003A761C"/>
    <w:rsid w:val="003A784C"/>
    <w:rsid w:val="003A7ADB"/>
    <w:rsid w:val="003A7ADE"/>
    <w:rsid w:val="003B05F3"/>
    <w:rsid w:val="003B08C0"/>
    <w:rsid w:val="003B0B3D"/>
    <w:rsid w:val="003B0EFC"/>
    <w:rsid w:val="003B10BF"/>
    <w:rsid w:val="003B1207"/>
    <w:rsid w:val="003B1911"/>
    <w:rsid w:val="003B1D45"/>
    <w:rsid w:val="003B2589"/>
    <w:rsid w:val="003B260D"/>
    <w:rsid w:val="003B2692"/>
    <w:rsid w:val="003B27A4"/>
    <w:rsid w:val="003B29FC"/>
    <w:rsid w:val="003B2A34"/>
    <w:rsid w:val="003B2D78"/>
    <w:rsid w:val="003B30B7"/>
    <w:rsid w:val="003B320C"/>
    <w:rsid w:val="003B4247"/>
    <w:rsid w:val="003B4E84"/>
    <w:rsid w:val="003B50CC"/>
    <w:rsid w:val="003B540D"/>
    <w:rsid w:val="003B60DC"/>
    <w:rsid w:val="003B65F8"/>
    <w:rsid w:val="003B69F0"/>
    <w:rsid w:val="003B6E2C"/>
    <w:rsid w:val="003B7154"/>
    <w:rsid w:val="003B7294"/>
    <w:rsid w:val="003B7298"/>
    <w:rsid w:val="003B77B5"/>
    <w:rsid w:val="003B7D20"/>
    <w:rsid w:val="003B7DB1"/>
    <w:rsid w:val="003B7F13"/>
    <w:rsid w:val="003B7F83"/>
    <w:rsid w:val="003C01D4"/>
    <w:rsid w:val="003C01E8"/>
    <w:rsid w:val="003C0A75"/>
    <w:rsid w:val="003C0D75"/>
    <w:rsid w:val="003C1298"/>
    <w:rsid w:val="003C12EA"/>
    <w:rsid w:val="003C1508"/>
    <w:rsid w:val="003C1B6B"/>
    <w:rsid w:val="003C1D05"/>
    <w:rsid w:val="003C1FE0"/>
    <w:rsid w:val="003C2303"/>
    <w:rsid w:val="003C2CA6"/>
    <w:rsid w:val="003C2CC3"/>
    <w:rsid w:val="003C3F7B"/>
    <w:rsid w:val="003C47C0"/>
    <w:rsid w:val="003C55C0"/>
    <w:rsid w:val="003C55E8"/>
    <w:rsid w:val="003C5C7D"/>
    <w:rsid w:val="003C632D"/>
    <w:rsid w:val="003C6409"/>
    <w:rsid w:val="003C6582"/>
    <w:rsid w:val="003C662E"/>
    <w:rsid w:val="003C6754"/>
    <w:rsid w:val="003C696F"/>
    <w:rsid w:val="003C69BF"/>
    <w:rsid w:val="003D00DF"/>
    <w:rsid w:val="003D0299"/>
    <w:rsid w:val="003D09EE"/>
    <w:rsid w:val="003D0F22"/>
    <w:rsid w:val="003D1182"/>
    <w:rsid w:val="003D157E"/>
    <w:rsid w:val="003D214F"/>
    <w:rsid w:val="003D23A3"/>
    <w:rsid w:val="003D2584"/>
    <w:rsid w:val="003D37EB"/>
    <w:rsid w:val="003D3873"/>
    <w:rsid w:val="003D3B07"/>
    <w:rsid w:val="003D3E95"/>
    <w:rsid w:val="003D424E"/>
    <w:rsid w:val="003D4355"/>
    <w:rsid w:val="003D46EF"/>
    <w:rsid w:val="003D4767"/>
    <w:rsid w:val="003D4CB0"/>
    <w:rsid w:val="003D4F69"/>
    <w:rsid w:val="003D5856"/>
    <w:rsid w:val="003D7069"/>
    <w:rsid w:val="003D7804"/>
    <w:rsid w:val="003D792B"/>
    <w:rsid w:val="003D795C"/>
    <w:rsid w:val="003D79A8"/>
    <w:rsid w:val="003D7A6D"/>
    <w:rsid w:val="003D7B68"/>
    <w:rsid w:val="003D7D75"/>
    <w:rsid w:val="003E0F71"/>
    <w:rsid w:val="003E13FF"/>
    <w:rsid w:val="003E16B3"/>
    <w:rsid w:val="003E1F7D"/>
    <w:rsid w:val="003E2341"/>
    <w:rsid w:val="003E281B"/>
    <w:rsid w:val="003E310D"/>
    <w:rsid w:val="003E4608"/>
    <w:rsid w:val="003E4D0B"/>
    <w:rsid w:val="003E4E21"/>
    <w:rsid w:val="003E505F"/>
    <w:rsid w:val="003E58A9"/>
    <w:rsid w:val="003E5E99"/>
    <w:rsid w:val="003E6055"/>
    <w:rsid w:val="003E60E6"/>
    <w:rsid w:val="003E6330"/>
    <w:rsid w:val="003E689E"/>
    <w:rsid w:val="003F007C"/>
    <w:rsid w:val="003F0740"/>
    <w:rsid w:val="003F0C86"/>
    <w:rsid w:val="003F15B2"/>
    <w:rsid w:val="003F1939"/>
    <w:rsid w:val="003F2AFB"/>
    <w:rsid w:val="003F2CCB"/>
    <w:rsid w:val="003F36A8"/>
    <w:rsid w:val="003F3747"/>
    <w:rsid w:val="003F48D3"/>
    <w:rsid w:val="003F4E26"/>
    <w:rsid w:val="003F5511"/>
    <w:rsid w:val="003F5990"/>
    <w:rsid w:val="003F6E73"/>
    <w:rsid w:val="003F6F1A"/>
    <w:rsid w:val="003F78EE"/>
    <w:rsid w:val="003F798D"/>
    <w:rsid w:val="003F7BCC"/>
    <w:rsid w:val="00400029"/>
    <w:rsid w:val="0040060F"/>
    <w:rsid w:val="00400989"/>
    <w:rsid w:val="00400DE2"/>
    <w:rsid w:val="00400F88"/>
    <w:rsid w:val="00401CF9"/>
    <w:rsid w:val="004023A9"/>
    <w:rsid w:val="00402601"/>
    <w:rsid w:val="0040286B"/>
    <w:rsid w:val="00402B1A"/>
    <w:rsid w:val="00402BE9"/>
    <w:rsid w:val="00404449"/>
    <w:rsid w:val="00404978"/>
    <w:rsid w:val="00404D90"/>
    <w:rsid w:val="00404E4F"/>
    <w:rsid w:val="00405B52"/>
    <w:rsid w:val="00405CBA"/>
    <w:rsid w:val="00405E22"/>
    <w:rsid w:val="004064F7"/>
    <w:rsid w:val="00406C70"/>
    <w:rsid w:val="00407694"/>
    <w:rsid w:val="004076CC"/>
    <w:rsid w:val="0040786B"/>
    <w:rsid w:val="00407B02"/>
    <w:rsid w:val="0041089E"/>
    <w:rsid w:val="004108FA"/>
    <w:rsid w:val="00410A38"/>
    <w:rsid w:val="00410D72"/>
    <w:rsid w:val="00411908"/>
    <w:rsid w:val="004119AC"/>
    <w:rsid w:val="00411EF4"/>
    <w:rsid w:val="0041277B"/>
    <w:rsid w:val="00412D5A"/>
    <w:rsid w:val="00413287"/>
    <w:rsid w:val="0041363D"/>
    <w:rsid w:val="004138F3"/>
    <w:rsid w:val="00413BF7"/>
    <w:rsid w:val="004141D7"/>
    <w:rsid w:val="004148F3"/>
    <w:rsid w:val="00414D54"/>
    <w:rsid w:val="00414F21"/>
    <w:rsid w:val="004151D3"/>
    <w:rsid w:val="0041560A"/>
    <w:rsid w:val="00415A0E"/>
    <w:rsid w:val="00415A61"/>
    <w:rsid w:val="00416076"/>
    <w:rsid w:val="004163A6"/>
    <w:rsid w:val="00416E1E"/>
    <w:rsid w:val="00420275"/>
    <w:rsid w:val="00420289"/>
    <w:rsid w:val="004205B4"/>
    <w:rsid w:val="00420680"/>
    <w:rsid w:val="00420945"/>
    <w:rsid w:val="00420AFE"/>
    <w:rsid w:val="00420E5D"/>
    <w:rsid w:val="00420E9D"/>
    <w:rsid w:val="00420F0E"/>
    <w:rsid w:val="00421808"/>
    <w:rsid w:val="0042339A"/>
    <w:rsid w:val="00423698"/>
    <w:rsid w:val="00423B15"/>
    <w:rsid w:val="00423EAA"/>
    <w:rsid w:val="00424038"/>
    <w:rsid w:val="00424054"/>
    <w:rsid w:val="00424231"/>
    <w:rsid w:val="00424CB8"/>
    <w:rsid w:val="00424CD2"/>
    <w:rsid w:val="00424EEC"/>
    <w:rsid w:val="0042505A"/>
    <w:rsid w:val="0042508F"/>
    <w:rsid w:val="004250DA"/>
    <w:rsid w:val="00425173"/>
    <w:rsid w:val="00425B95"/>
    <w:rsid w:val="00427635"/>
    <w:rsid w:val="00427694"/>
    <w:rsid w:val="00430206"/>
    <w:rsid w:val="00430DDD"/>
    <w:rsid w:val="004319C3"/>
    <w:rsid w:val="004320D3"/>
    <w:rsid w:val="0043295B"/>
    <w:rsid w:val="0043326D"/>
    <w:rsid w:val="0043343F"/>
    <w:rsid w:val="004334CD"/>
    <w:rsid w:val="004336E5"/>
    <w:rsid w:val="0043380B"/>
    <w:rsid w:val="0043414E"/>
    <w:rsid w:val="00434189"/>
    <w:rsid w:val="004348EB"/>
    <w:rsid w:val="00434C19"/>
    <w:rsid w:val="00435B71"/>
    <w:rsid w:val="00435E01"/>
    <w:rsid w:val="004362F7"/>
    <w:rsid w:val="00436E73"/>
    <w:rsid w:val="004370A7"/>
    <w:rsid w:val="004377F9"/>
    <w:rsid w:val="004379C2"/>
    <w:rsid w:val="004400E8"/>
    <w:rsid w:val="0044016F"/>
    <w:rsid w:val="00441434"/>
    <w:rsid w:val="00441A2D"/>
    <w:rsid w:val="00441CB7"/>
    <w:rsid w:val="00441F74"/>
    <w:rsid w:val="00442476"/>
    <w:rsid w:val="00443EA8"/>
    <w:rsid w:val="0044408C"/>
    <w:rsid w:val="00444093"/>
    <w:rsid w:val="00444799"/>
    <w:rsid w:val="00444AAC"/>
    <w:rsid w:val="00444B55"/>
    <w:rsid w:val="00444B6E"/>
    <w:rsid w:val="0044526E"/>
    <w:rsid w:val="004452E5"/>
    <w:rsid w:val="00445721"/>
    <w:rsid w:val="0044585A"/>
    <w:rsid w:val="00445C6D"/>
    <w:rsid w:val="00447A18"/>
    <w:rsid w:val="00447FF8"/>
    <w:rsid w:val="0045070B"/>
    <w:rsid w:val="00450C80"/>
    <w:rsid w:val="00451BFC"/>
    <w:rsid w:val="00452DBA"/>
    <w:rsid w:val="004536B6"/>
    <w:rsid w:val="0045371E"/>
    <w:rsid w:val="00453A79"/>
    <w:rsid w:val="00454029"/>
    <w:rsid w:val="004544D6"/>
    <w:rsid w:val="0045450B"/>
    <w:rsid w:val="00454543"/>
    <w:rsid w:val="00454D2B"/>
    <w:rsid w:val="00454F4C"/>
    <w:rsid w:val="00454F6A"/>
    <w:rsid w:val="004550C9"/>
    <w:rsid w:val="00455267"/>
    <w:rsid w:val="00455560"/>
    <w:rsid w:val="004557C8"/>
    <w:rsid w:val="00456295"/>
    <w:rsid w:val="004574E2"/>
    <w:rsid w:val="004579E9"/>
    <w:rsid w:val="00457FC8"/>
    <w:rsid w:val="004600E1"/>
    <w:rsid w:val="0046033D"/>
    <w:rsid w:val="00460663"/>
    <w:rsid w:val="00460A78"/>
    <w:rsid w:val="00460C63"/>
    <w:rsid w:val="00461CE9"/>
    <w:rsid w:val="00462407"/>
    <w:rsid w:val="00462C72"/>
    <w:rsid w:val="00462E64"/>
    <w:rsid w:val="004630A8"/>
    <w:rsid w:val="004631DD"/>
    <w:rsid w:val="004632E2"/>
    <w:rsid w:val="004635FD"/>
    <w:rsid w:val="0046361F"/>
    <w:rsid w:val="004638C8"/>
    <w:rsid w:val="00463EE2"/>
    <w:rsid w:val="0046478E"/>
    <w:rsid w:val="00464C87"/>
    <w:rsid w:val="00465683"/>
    <w:rsid w:val="00466D7C"/>
    <w:rsid w:val="004671C9"/>
    <w:rsid w:val="0046766A"/>
    <w:rsid w:val="00467840"/>
    <w:rsid w:val="00470129"/>
    <w:rsid w:val="004703D9"/>
    <w:rsid w:val="00470767"/>
    <w:rsid w:val="00470BA7"/>
    <w:rsid w:val="0047198B"/>
    <w:rsid w:val="00471AE9"/>
    <w:rsid w:val="004728A0"/>
    <w:rsid w:val="00472F52"/>
    <w:rsid w:val="0047351D"/>
    <w:rsid w:val="004736C3"/>
    <w:rsid w:val="004738B0"/>
    <w:rsid w:val="0047398F"/>
    <w:rsid w:val="00473DC7"/>
    <w:rsid w:val="004742D0"/>
    <w:rsid w:val="004742DD"/>
    <w:rsid w:val="004742E9"/>
    <w:rsid w:val="00474A8C"/>
    <w:rsid w:val="00474FA3"/>
    <w:rsid w:val="00475231"/>
    <w:rsid w:val="004758A7"/>
    <w:rsid w:val="0047605C"/>
    <w:rsid w:val="00480145"/>
    <w:rsid w:val="004801C4"/>
    <w:rsid w:val="004801E5"/>
    <w:rsid w:val="004805B0"/>
    <w:rsid w:val="0048102F"/>
    <w:rsid w:val="004817C8"/>
    <w:rsid w:val="004817E2"/>
    <w:rsid w:val="0048189F"/>
    <w:rsid w:val="00481BA2"/>
    <w:rsid w:val="00482586"/>
    <w:rsid w:val="00483105"/>
    <w:rsid w:val="00484189"/>
    <w:rsid w:val="00484A70"/>
    <w:rsid w:val="00484D4E"/>
    <w:rsid w:val="00484D9E"/>
    <w:rsid w:val="00484E96"/>
    <w:rsid w:val="004852EF"/>
    <w:rsid w:val="004856DD"/>
    <w:rsid w:val="00485820"/>
    <w:rsid w:val="00485F2F"/>
    <w:rsid w:val="00486341"/>
    <w:rsid w:val="00486A1C"/>
    <w:rsid w:val="0048719C"/>
    <w:rsid w:val="00487998"/>
    <w:rsid w:val="004879F1"/>
    <w:rsid w:val="00487F00"/>
    <w:rsid w:val="00487F0F"/>
    <w:rsid w:val="00490423"/>
    <w:rsid w:val="004911C1"/>
    <w:rsid w:val="0049159A"/>
    <w:rsid w:val="00491C50"/>
    <w:rsid w:val="00492A26"/>
    <w:rsid w:val="00494B54"/>
    <w:rsid w:val="004959F2"/>
    <w:rsid w:val="004960FA"/>
    <w:rsid w:val="00496700"/>
    <w:rsid w:val="00496DB8"/>
    <w:rsid w:val="004978AF"/>
    <w:rsid w:val="00497CB7"/>
    <w:rsid w:val="004A05BC"/>
    <w:rsid w:val="004A1032"/>
    <w:rsid w:val="004A1B79"/>
    <w:rsid w:val="004A1C4D"/>
    <w:rsid w:val="004A274E"/>
    <w:rsid w:val="004A2751"/>
    <w:rsid w:val="004A2EFF"/>
    <w:rsid w:val="004A2FB8"/>
    <w:rsid w:val="004A32CE"/>
    <w:rsid w:val="004A3399"/>
    <w:rsid w:val="004A4437"/>
    <w:rsid w:val="004A45CA"/>
    <w:rsid w:val="004A4616"/>
    <w:rsid w:val="004A46CD"/>
    <w:rsid w:val="004A4EE5"/>
    <w:rsid w:val="004A4FC9"/>
    <w:rsid w:val="004A5586"/>
    <w:rsid w:val="004A602C"/>
    <w:rsid w:val="004A615D"/>
    <w:rsid w:val="004A6535"/>
    <w:rsid w:val="004A662B"/>
    <w:rsid w:val="004A7F5D"/>
    <w:rsid w:val="004B0067"/>
    <w:rsid w:val="004B0AA8"/>
    <w:rsid w:val="004B0BA6"/>
    <w:rsid w:val="004B0C68"/>
    <w:rsid w:val="004B10B1"/>
    <w:rsid w:val="004B10CE"/>
    <w:rsid w:val="004B1531"/>
    <w:rsid w:val="004B2861"/>
    <w:rsid w:val="004B409E"/>
    <w:rsid w:val="004B416F"/>
    <w:rsid w:val="004B4582"/>
    <w:rsid w:val="004B4758"/>
    <w:rsid w:val="004B4BE2"/>
    <w:rsid w:val="004B50D2"/>
    <w:rsid w:val="004B5183"/>
    <w:rsid w:val="004B54F2"/>
    <w:rsid w:val="004B5514"/>
    <w:rsid w:val="004B5539"/>
    <w:rsid w:val="004B5839"/>
    <w:rsid w:val="004B5BE7"/>
    <w:rsid w:val="004B5CCD"/>
    <w:rsid w:val="004B609E"/>
    <w:rsid w:val="004B67F0"/>
    <w:rsid w:val="004B69B4"/>
    <w:rsid w:val="004B6CEB"/>
    <w:rsid w:val="004B7236"/>
    <w:rsid w:val="004B77E9"/>
    <w:rsid w:val="004C0E6D"/>
    <w:rsid w:val="004C1999"/>
    <w:rsid w:val="004C1C57"/>
    <w:rsid w:val="004C1EB2"/>
    <w:rsid w:val="004C2433"/>
    <w:rsid w:val="004C2EBB"/>
    <w:rsid w:val="004C328E"/>
    <w:rsid w:val="004C34D2"/>
    <w:rsid w:val="004C3577"/>
    <w:rsid w:val="004C35C5"/>
    <w:rsid w:val="004C377A"/>
    <w:rsid w:val="004C38E4"/>
    <w:rsid w:val="004C390A"/>
    <w:rsid w:val="004C3F08"/>
    <w:rsid w:val="004C417F"/>
    <w:rsid w:val="004C4823"/>
    <w:rsid w:val="004C4C3E"/>
    <w:rsid w:val="004C4F2F"/>
    <w:rsid w:val="004C5736"/>
    <w:rsid w:val="004C6354"/>
    <w:rsid w:val="004C670F"/>
    <w:rsid w:val="004C68E8"/>
    <w:rsid w:val="004C6E75"/>
    <w:rsid w:val="004C701A"/>
    <w:rsid w:val="004C725F"/>
    <w:rsid w:val="004C7B83"/>
    <w:rsid w:val="004C7C12"/>
    <w:rsid w:val="004C7F7E"/>
    <w:rsid w:val="004D01B8"/>
    <w:rsid w:val="004D03EF"/>
    <w:rsid w:val="004D0690"/>
    <w:rsid w:val="004D0DA4"/>
    <w:rsid w:val="004D179C"/>
    <w:rsid w:val="004D1B35"/>
    <w:rsid w:val="004D1BF5"/>
    <w:rsid w:val="004D2B2E"/>
    <w:rsid w:val="004D30A9"/>
    <w:rsid w:val="004D4148"/>
    <w:rsid w:val="004D434A"/>
    <w:rsid w:val="004D4459"/>
    <w:rsid w:val="004D4DC2"/>
    <w:rsid w:val="004D4E5B"/>
    <w:rsid w:val="004D4F19"/>
    <w:rsid w:val="004D4FD9"/>
    <w:rsid w:val="004D5B98"/>
    <w:rsid w:val="004D6120"/>
    <w:rsid w:val="004D6580"/>
    <w:rsid w:val="004D66E3"/>
    <w:rsid w:val="004D692D"/>
    <w:rsid w:val="004D7DFC"/>
    <w:rsid w:val="004E01CE"/>
    <w:rsid w:val="004E1111"/>
    <w:rsid w:val="004E1233"/>
    <w:rsid w:val="004E1274"/>
    <w:rsid w:val="004E14E8"/>
    <w:rsid w:val="004E28C6"/>
    <w:rsid w:val="004E2AD2"/>
    <w:rsid w:val="004E30CE"/>
    <w:rsid w:val="004E3445"/>
    <w:rsid w:val="004E3FDF"/>
    <w:rsid w:val="004E45B6"/>
    <w:rsid w:val="004E5931"/>
    <w:rsid w:val="004E5B08"/>
    <w:rsid w:val="004E5CD0"/>
    <w:rsid w:val="004E6969"/>
    <w:rsid w:val="004E6DE1"/>
    <w:rsid w:val="004E708C"/>
    <w:rsid w:val="004E747D"/>
    <w:rsid w:val="004F0685"/>
    <w:rsid w:val="004F0F84"/>
    <w:rsid w:val="004F10E0"/>
    <w:rsid w:val="004F1352"/>
    <w:rsid w:val="004F138F"/>
    <w:rsid w:val="004F1A03"/>
    <w:rsid w:val="004F2D0A"/>
    <w:rsid w:val="004F3B07"/>
    <w:rsid w:val="004F420C"/>
    <w:rsid w:val="004F43BC"/>
    <w:rsid w:val="004F44DB"/>
    <w:rsid w:val="004F45DD"/>
    <w:rsid w:val="004F45F9"/>
    <w:rsid w:val="004F619E"/>
    <w:rsid w:val="004F73F3"/>
    <w:rsid w:val="004F7640"/>
    <w:rsid w:val="004F78A7"/>
    <w:rsid w:val="004F79C0"/>
    <w:rsid w:val="004F7F5F"/>
    <w:rsid w:val="00500123"/>
    <w:rsid w:val="00501EB6"/>
    <w:rsid w:val="00501F26"/>
    <w:rsid w:val="005026BF"/>
    <w:rsid w:val="0050278E"/>
    <w:rsid w:val="005032BE"/>
    <w:rsid w:val="00503FDE"/>
    <w:rsid w:val="005041B5"/>
    <w:rsid w:val="005041DE"/>
    <w:rsid w:val="0050465F"/>
    <w:rsid w:val="00504B34"/>
    <w:rsid w:val="00504F10"/>
    <w:rsid w:val="00505212"/>
    <w:rsid w:val="00505917"/>
    <w:rsid w:val="00505C03"/>
    <w:rsid w:val="00505C9D"/>
    <w:rsid w:val="005061CC"/>
    <w:rsid w:val="0050670B"/>
    <w:rsid w:val="00506A76"/>
    <w:rsid w:val="00506C72"/>
    <w:rsid w:val="005077B4"/>
    <w:rsid w:val="005078D1"/>
    <w:rsid w:val="00510DB6"/>
    <w:rsid w:val="00511112"/>
    <w:rsid w:val="00511726"/>
    <w:rsid w:val="00511B29"/>
    <w:rsid w:val="005124ED"/>
    <w:rsid w:val="00512AB2"/>
    <w:rsid w:val="00512FAE"/>
    <w:rsid w:val="005135F9"/>
    <w:rsid w:val="00513EDB"/>
    <w:rsid w:val="005141E8"/>
    <w:rsid w:val="00514712"/>
    <w:rsid w:val="00514767"/>
    <w:rsid w:val="0051559F"/>
    <w:rsid w:val="005160A0"/>
    <w:rsid w:val="00516A89"/>
    <w:rsid w:val="00516ABE"/>
    <w:rsid w:val="00517257"/>
    <w:rsid w:val="005175C5"/>
    <w:rsid w:val="005176BC"/>
    <w:rsid w:val="00517B5B"/>
    <w:rsid w:val="00517DA8"/>
    <w:rsid w:val="0052011A"/>
    <w:rsid w:val="005201AD"/>
    <w:rsid w:val="00520AFB"/>
    <w:rsid w:val="00521205"/>
    <w:rsid w:val="00521396"/>
    <w:rsid w:val="00521414"/>
    <w:rsid w:val="00521528"/>
    <w:rsid w:val="00521DBB"/>
    <w:rsid w:val="00523155"/>
    <w:rsid w:val="0052485A"/>
    <w:rsid w:val="00524C9F"/>
    <w:rsid w:val="0052588B"/>
    <w:rsid w:val="00525A78"/>
    <w:rsid w:val="00525F69"/>
    <w:rsid w:val="0052634A"/>
    <w:rsid w:val="0052642E"/>
    <w:rsid w:val="00526D20"/>
    <w:rsid w:val="00526EF9"/>
    <w:rsid w:val="00527066"/>
    <w:rsid w:val="005275F1"/>
    <w:rsid w:val="00527A18"/>
    <w:rsid w:val="00530644"/>
    <w:rsid w:val="00530AA2"/>
    <w:rsid w:val="00530F4C"/>
    <w:rsid w:val="0053101A"/>
    <w:rsid w:val="00531A81"/>
    <w:rsid w:val="00531B48"/>
    <w:rsid w:val="0053207F"/>
    <w:rsid w:val="00532A24"/>
    <w:rsid w:val="00532B67"/>
    <w:rsid w:val="00532B8C"/>
    <w:rsid w:val="00532D90"/>
    <w:rsid w:val="005333B7"/>
    <w:rsid w:val="0053356B"/>
    <w:rsid w:val="00533B7B"/>
    <w:rsid w:val="0053480B"/>
    <w:rsid w:val="005351DD"/>
    <w:rsid w:val="00535212"/>
    <w:rsid w:val="00535236"/>
    <w:rsid w:val="00536740"/>
    <w:rsid w:val="00536821"/>
    <w:rsid w:val="00537375"/>
    <w:rsid w:val="0053749A"/>
    <w:rsid w:val="00537648"/>
    <w:rsid w:val="0053764D"/>
    <w:rsid w:val="00537749"/>
    <w:rsid w:val="00537E5C"/>
    <w:rsid w:val="005401DE"/>
    <w:rsid w:val="00540B70"/>
    <w:rsid w:val="005414E6"/>
    <w:rsid w:val="00541609"/>
    <w:rsid w:val="00541D1E"/>
    <w:rsid w:val="005422B6"/>
    <w:rsid w:val="00542922"/>
    <w:rsid w:val="00542A5E"/>
    <w:rsid w:val="00542D3B"/>
    <w:rsid w:val="00542E85"/>
    <w:rsid w:val="0054417B"/>
    <w:rsid w:val="00544846"/>
    <w:rsid w:val="005449B8"/>
    <w:rsid w:val="00544B50"/>
    <w:rsid w:val="00544F0A"/>
    <w:rsid w:val="00545926"/>
    <w:rsid w:val="00545D52"/>
    <w:rsid w:val="00546BA3"/>
    <w:rsid w:val="0054708A"/>
    <w:rsid w:val="00547140"/>
    <w:rsid w:val="0054729B"/>
    <w:rsid w:val="00547586"/>
    <w:rsid w:val="0054777F"/>
    <w:rsid w:val="00550200"/>
    <w:rsid w:val="0055045D"/>
    <w:rsid w:val="00550564"/>
    <w:rsid w:val="005508F8"/>
    <w:rsid w:val="00550929"/>
    <w:rsid w:val="00550B69"/>
    <w:rsid w:val="00550C99"/>
    <w:rsid w:val="00550E7C"/>
    <w:rsid w:val="00550EA1"/>
    <w:rsid w:val="005516B2"/>
    <w:rsid w:val="00551C6F"/>
    <w:rsid w:val="0055289A"/>
    <w:rsid w:val="00553413"/>
    <w:rsid w:val="00553871"/>
    <w:rsid w:val="00553D48"/>
    <w:rsid w:val="00554190"/>
    <w:rsid w:val="005548B5"/>
    <w:rsid w:val="00554C87"/>
    <w:rsid w:val="00555AB2"/>
    <w:rsid w:val="00555EF8"/>
    <w:rsid w:val="0055604E"/>
    <w:rsid w:val="00556387"/>
    <w:rsid w:val="0055682F"/>
    <w:rsid w:val="00556F30"/>
    <w:rsid w:val="00557F9C"/>
    <w:rsid w:val="00560555"/>
    <w:rsid w:val="0056078F"/>
    <w:rsid w:val="00561129"/>
    <w:rsid w:val="0056129A"/>
    <w:rsid w:val="00561B6B"/>
    <w:rsid w:val="00561BA9"/>
    <w:rsid w:val="00561FAD"/>
    <w:rsid w:val="00562410"/>
    <w:rsid w:val="00562A3A"/>
    <w:rsid w:val="00562E53"/>
    <w:rsid w:val="00563E62"/>
    <w:rsid w:val="00564F41"/>
    <w:rsid w:val="0056507D"/>
    <w:rsid w:val="00565146"/>
    <w:rsid w:val="00565702"/>
    <w:rsid w:val="005658C6"/>
    <w:rsid w:val="00565D90"/>
    <w:rsid w:val="00566013"/>
    <w:rsid w:val="005665BC"/>
    <w:rsid w:val="005666D5"/>
    <w:rsid w:val="00566A2D"/>
    <w:rsid w:val="005677FA"/>
    <w:rsid w:val="0056787B"/>
    <w:rsid w:val="0056791E"/>
    <w:rsid w:val="00567BD5"/>
    <w:rsid w:val="00567D30"/>
    <w:rsid w:val="00570635"/>
    <w:rsid w:val="00570CAD"/>
    <w:rsid w:val="00571371"/>
    <w:rsid w:val="00571961"/>
    <w:rsid w:val="00571993"/>
    <w:rsid w:val="00571AF4"/>
    <w:rsid w:val="00571C54"/>
    <w:rsid w:val="00572581"/>
    <w:rsid w:val="00572AF6"/>
    <w:rsid w:val="0057330A"/>
    <w:rsid w:val="005733EE"/>
    <w:rsid w:val="00573A94"/>
    <w:rsid w:val="005745C9"/>
    <w:rsid w:val="005747D8"/>
    <w:rsid w:val="00574C38"/>
    <w:rsid w:val="005754AB"/>
    <w:rsid w:val="005754DA"/>
    <w:rsid w:val="0057645F"/>
    <w:rsid w:val="005771BA"/>
    <w:rsid w:val="005772FF"/>
    <w:rsid w:val="005774C0"/>
    <w:rsid w:val="00577AEE"/>
    <w:rsid w:val="00577EA4"/>
    <w:rsid w:val="0058006E"/>
    <w:rsid w:val="00580422"/>
    <w:rsid w:val="005807F8"/>
    <w:rsid w:val="00580B0E"/>
    <w:rsid w:val="00581D4C"/>
    <w:rsid w:val="00581EC5"/>
    <w:rsid w:val="00581ECC"/>
    <w:rsid w:val="00582571"/>
    <w:rsid w:val="005826F4"/>
    <w:rsid w:val="0058287A"/>
    <w:rsid w:val="00583630"/>
    <w:rsid w:val="0058369E"/>
    <w:rsid w:val="0058374D"/>
    <w:rsid w:val="00583FD7"/>
    <w:rsid w:val="00584436"/>
    <w:rsid w:val="005844A2"/>
    <w:rsid w:val="005846BB"/>
    <w:rsid w:val="00584B20"/>
    <w:rsid w:val="00585395"/>
    <w:rsid w:val="00585648"/>
    <w:rsid w:val="00585ACE"/>
    <w:rsid w:val="00586BBB"/>
    <w:rsid w:val="00586DC2"/>
    <w:rsid w:val="00587CEF"/>
    <w:rsid w:val="0059056D"/>
    <w:rsid w:val="00590AF7"/>
    <w:rsid w:val="00590D09"/>
    <w:rsid w:val="00590D8B"/>
    <w:rsid w:val="00590E6E"/>
    <w:rsid w:val="005911CA"/>
    <w:rsid w:val="00591226"/>
    <w:rsid w:val="0059156A"/>
    <w:rsid w:val="005918CE"/>
    <w:rsid w:val="005920E1"/>
    <w:rsid w:val="005927AD"/>
    <w:rsid w:val="00592D40"/>
    <w:rsid w:val="00593158"/>
    <w:rsid w:val="00593314"/>
    <w:rsid w:val="005935D9"/>
    <w:rsid w:val="0059368E"/>
    <w:rsid w:val="00593876"/>
    <w:rsid w:val="00593A9D"/>
    <w:rsid w:val="00593BD5"/>
    <w:rsid w:val="00593BDF"/>
    <w:rsid w:val="00593BF5"/>
    <w:rsid w:val="0059414B"/>
    <w:rsid w:val="005942A9"/>
    <w:rsid w:val="00594496"/>
    <w:rsid w:val="005944AF"/>
    <w:rsid w:val="0059528E"/>
    <w:rsid w:val="005956D3"/>
    <w:rsid w:val="00595787"/>
    <w:rsid w:val="00595A49"/>
    <w:rsid w:val="00595C9E"/>
    <w:rsid w:val="00596115"/>
    <w:rsid w:val="005962C2"/>
    <w:rsid w:val="005962CC"/>
    <w:rsid w:val="00596365"/>
    <w:rsid w:val="00596523"/>
    <w:rsid w:val="005965BC"/>
    <w:rsid w:val="005971FD"/>
    <w:rsid w:val="005979D2"/>
    <w:rsid w:val="005A01F2"/>
    <w:rsid w:val="005A05C8"/>
    <w:rsid w:val="005A08FF"/>
    <w:rsid w:val="005A0B8A"/>
    <w:rsid w:val="005A0D75"/>
    <w:rsid w:val="005A0E24"/>
    <w:rsid w:val="005A110F"/>
    <w:rsid w:val="005A12C2"/>
    <w:rsid w:val="005A169B"/>
    <w:rsid w:val="005A1769"/>
    <w:rsid w:val="005A17F9"/>
    <w:rsid w:val="005A1A95"/>
    <w:rsid w:val="005A1B02"/>
    <w:rsid w:val="005A209B"/>
    <w:rsid w:val="005A2806"/>
    <w:rsid w:val="005A2C9A"/>
    <w:rsid w:val="005A2E67"/>
    <w:rsid w:val="005A3140"/>
    <w:rsid w:val="005A315B"/>
    <w:rsid w:val="005A3271"/>
    <w:rsid w:val="005A35F6"/>
    <w:rsid w:val="005A3631"/>
    <w:rsid w:val="005A3B16"/>
    <w:rsid w:val="005A3E56"/>
    <w:rsid w:val="005A5405"/>
    <w:rsid w:val="005A54E7"/>
    <w:rsid w:val="005A56C4"/>
    <w:rsid w:val="005A5AF7"/>
    <w:rsid w:val="005A5CAD"/>
    <w:rsid w:val="005A5CF8"/>
    <w:rsid w:val="005A61E2"/>
    <w:rsid w:val="005A6219"/>
    <w:rsid w:val="005A65BD"/>
    <w:rsid w:val="005A744A"/>
    <w:rsid w:val="005A7574"/>
    <w:rsid w:val="005A7708"/>
    <w:rsid w:val="005A7E78"/>
    <w:rsid w:val="005B03ED"/>
    <w:rsid w:val="005B05BC"/>
    <w:rsid w:val="005B061F"/>
    <w:rsid w:val="005B160B"/>
    <w:rsid w:val="005B1653"/>
    <w:rsid w:val="005B1776"/>
    <w:rsid w:val="005B1B8C"/>
    <w:rsid w:val="005B1BA3"/>
    <w:rsid w:val="005B1E14"/>
    <w:rsid w:val="005B201B"/>
    <w:rsid w:val="005B2042"/>
    <w:rsid w:val="005B21A5"/>
    <w:rsid w:val="005B226D"/>
    <w:rsid w:val="005B297F"/>
    <w:rsid w:val="005B2A11"/>
    <w:rsid w:val="005B2C1C"/>
    <w:rsid w:val="005B31BC"/>
    <w:rsid w:val="005B32FB"/>
    <w:rsid w:val="005B34C8"/>
    <w:rsid w:val="005B3918"/>
    <w:rsid w:val="005B3AEF"/>
    <w:rsid w:val="005B3DB1"/>
    <w:rsid w:val="005B3FD9"/>
    <w:rsid w:val="005B45BB"/>
    <w:rsid w:val="005B4A14"/>
    <w:rsid w:val="005B4EB0"/>
    <w:rsid w:val="005B6240"/>
    <w:rsid w:val="005B62D9"/>
    <w:rsid w:val="005B688D"/>
    <w:rsid w:val="005B7065"/>
    <w:rsid w:val="005B71BB"/>
    <w:rsid w:val="005B78DD"/>
    <w:rsid w:val="005B7B0A"/>
    <w:rsid w:val="005B7F0B"/>
    <w:rsid w:val="005B7FE4"/>
    <w:rsid w:val="005C016B"/>
    <w:rsid w:val="005C0273"/>
    <w:rsid w:val="005C05E0"/>
    <w:rsid w:val="005C0AA8"/>
    <w:rsid w:val="005C0B4D"/>
    <w:rsid w:val="005C0CA2"/>
    <w:rsid w:val="005C1319"/>
    <w:rsid w:val="005C1875"/>
    <w:rsid w:val="005C1A75"/>
    <w:rsid w:val="005C1EE4"/>
    <w:rsid w:val="005C2566"/>
    <w:rsid w:val="005C2EC8"/>
    <w:rsid w:val="005C31D1"/>
    <w:rsid w:val="005C332D"/>
    <w:rsid w:val="005C37E0"/>
    <w:rsid w:val="005C3FF0"/>
    <w:rsid w:val="005C484E"/>
    <w:rsid w:val="005C4B65"/>
    <w:rsid w:val="005C4BE5"/>
    <w:rsid w:val="005C4CD1"/>
    <w:rsid w:val="005C4ED2"/>
    <w:rsid w:val="005C5296"/>
    <w:rsid w:val="005C54B9"/>
    <w:rsid w:val="005C5A1C"/>
    <w:rsid w:val="005C650B"/>
    <w:rsid w:val="005C6618"/>
    <w:rsid w:val="005C6879"/>
    <w:rsid w:val="005C6EBD"/>
    <w:rsid w:val="005C7390"/>
    <w:rsid w:val="005C759D"/>
    <w:rsid w:val="005C7A6B"/>
    <w:rsid w:val="005C7F04"/>
    <w:rsid w:val="005D001B"/>
    <w:rsid w:val="005D0189"/>
    <w:rsid w:val="005D028B"/>
    <w:rsid w:val="005D02A7"/>
    <w:rsid w:val="005D0740"/>
    <w:rsid w:val="005D09B2"/>
    <w:rsid w:val="005D14D1"/>
    <w:rsid w:val="005D15B3"/>
    <w:rsid w:val="005D2EA5"/>
    <w:rsid w:val="005D3238"/>
    <w:rsid w:val="005D4477"/>
    <w:rsid w:val="005D5E6F"/>
    <w:rsid w:val="005D6740"/>
    <w:rsid w:val="005D6B66"/>
    <w:rsid w:val="005D7620"/>
    <w:rsid w:val="005D77D1"/>
    <w:rsid w:val="005D79C0"/>
    <w:rsid w:val="005D7BC8"/>
    <w:rsid w:val="005D7C26"/>
    <w:rsid w:val="005D7DF4"/>
    <w:rsid w:val="005D7F1B"/>
    <w:rsid w:val="005E079D"/>
    <w:rsid w:val="005E0B6B"/>
    <w:rsid w:val="005E124B"/>
    <w:rsid w:val="005E12F0"/>
    <w:rsid w:val="005E197D"/>
    <w:rsid w:val="005E1A34"/>
    <w:rsid w:val="005E1F0B"/>
    <w:rsid w:val="005E1F38"/>
    <w:rsid w:val="005E2040"/>
    <w:rsid w:val="005E22AE"/>
    <w:rsid w:val="005E390E"/>
    <w:rsid w:val="005E400A"/>
    <w:rsid w:val="005E4470"/>
    <w:rsid w:val="005E4623"/>
    <w:rsid w:val="005E46E0"/>
    <w:rsid w:val="005E4764"/>
    <w:rsid w:val="005E4966"/>
    <w:rsid w:val="005E524C"/>
    <w:rsid w:val="005E5794"/>
    <w:rsid w:val="005E63E2"/>
    <w:rsid w:val="005E6A9F"/>
    <w:rsid w:val="005E6EF7"/>
    <w:rsid w:val="005E789F"/>
    <w:rsid w:val="005E7968"/>
    <w:rsid w:val="005F0235"/>
    <w:rsid w:val="005F06B9"/>
    <w:rsid w:val="005F07C9"/>
    <w:rsid w:val="005F26EE"/>
    <w:rsid w:val="005F2A3C"/>
    <w:rsid w:val="005F2E88"/>
    <w:rsid w:val="005F3F15"/>
    <w:rsid w:val="005F4AFA"/>
    <w:rsid w:val="005F523E"/>
    <w:rsid w:val="005F5355"/>
    <w:rsid w:val="005F6CEE"/>
    <w:rsid w:val="005F6DDD"/>
    <w:rsid w:val="005F703C"/>
    <w:rsid w:val="005F76A8"/>
    <w:rsid w:val="005F78EE"/>
    <w:rsid w:val="005F7E4D"/>
    <w:rsid w:val="00600EB9"/>
    <w:rsid w:val="00601154"/>
    <w:rsid w:val="00601380"/>
    <w:rsid w:val="00601579"/>
    <w:rsid w:val="006017A3"/>
    <w:rsid w:val="0060237A"/>
    <w:rsid w:val="00602613"/>
    <w:rsid w:val="00602B72"/>
    <w:rsid w:val="00603401"/>
    <w:rsid w:val="00603FD5"/>
    <w:rsid w:val="0060417D"/>
    <w:rsid w:val="006052DA"/>
    <w:rsid w:val="006058C7"/>
    <w:rsid w:val="00605DF6"/>
    <w:rsid w:val="00606105"/>
    <w:rsid w:val="00606A82"/>
    <w:rsid w:val="0060750A"/>
    <w:rsid w:val="00607883"/>
    <w:rsid w:val="0060792B"/>
    <w:rsid w:val="00607F03"/>
    <w:rsid w:val="00607F4B"/>
    <w:rsid w:val="00610298"/>
    <w:rsid w:val="006102D6"/>
    <w:rsid w:val="0061033F"/>
    <w:rsid w:val="00610627"/>
    <w:rsid w:val="00610727"/>
    <w:rsid w:val="00610F6C"/>
    <w:rsid w:val="00611266"/>
    <w:rsid w:val="006126EC"/>
    <w:rsid w:val="006127B0"/>
    <w:rsid w:val="00612AF1"/>
    <w:rsid w:val="00612D72"/>
    <w:rsid w:val="00613665"/>
    <w:rsid w:val="006136D6"/>
    <w:rsid w:val="00613A3B"/>
    <w:rsid w:val="00614808"/>
    <w:rsid w:val="00614C4A"/>
    <w:rsid w:val="00615289"/>
    <w:rsid w:val="00615445"/>
    <w:rsid w:val="00615A05"/>
    <w:rsid w:val="00615C94"/>
    <w:rsid w:val="00615F60"/>
    <w:rsid w:val="00616DC8"/>
    <w:rsid w:val="00617369"/>
    <w:rsid w:val="006174E1"/>
    <w:rsid w:val="0062024F"/>
    <w:rsid w:val="00620275"/>
    <w:rsid w:val="00620548"/>
    <w:rsid w:val="0062056C"/>
    <w:rsid w:val="00620DAE"/>
    <w:rsid w:val="00621297"/>
    <w:rsid w:val="00621560"/>
    <w:rsid w:val="006219AA"/>
    <w:rsid w:val="006222DA"/>
    <w:rsid w:val="0062280D"/>
    <w:rsid w:val="00622A5C"/>
    <w:rsid w:val="00622B64"/>
    <w:rsid w:val="006238A8"/>
    <w:rsid w:val="00623D94"/>
    <w:rsid w:val="00624AB2"/>
    <w:rsid w:val="00624B90"/>
    <w:rsid w:val="00624CD3"/>
    <w:rsid w:val="00624DF0"/>
    <w:rsid w:val="00625520"/>
    <w:rsid w:val="00625666"/>
    <w:rsid w:val="00626599"/>
    <w:rsid w:val="00627639"/>
    <w:rsid w:val="006276CA"/>
    <w:rsid w:val="0062F90E"/>
    <w:rsid w:val="006304CE"/>
    <w:rsid w:val="0063061C"/>
    <w:rsid w:val="006306A9"/>
    <w:rsid w:val="006306B7"/>
    <w:rsid w:val="00630F02"/>
    <w:rsid w:val="00632181"/>
    <w:rsid w:val="00632722"/>
    <w:rsid w:val="00632781"/>
    <w:rsid w:val="00632C85"/>
    <w:rsid w:val="00632F9F"/>
    <w:rsid w:val="00633377"/>
    <w:rsid w:val="00633418"/>
    <w:rsid w:val="00633CFF"/>
    <w:rsid w:val="006343C5"/>
    <w:rsid w:val="00634A15"/>
    <w:rsid w:val="00634E7C"/>
    <w:rsid w:val="00634E9C"/>
    <w:rsid w:val="00635512"/>
    <w:rsid w:val="006355C0"/>
    <w:rsid w:val="00635825"/>
    <w:rsid w:val="0063584B"/>
    <w:rsid w:val="00635E11"/>
    <w:rsid w:val="00635F6F"/>
    <w:rsid w:val="00636266"/>
    <w:rsid w:val="00636322"/>
    <w:rsid w:val="00637224"/>
    <w:rsid w:val="00637719"/>
    <w:rsid w:val="00637BCA"/>
    <w:rsid w:val="006400D2"/>
    <w:rsid w:val="00640973"/>
    <w:rsid w:val="006414CD"/>
    <w:rsid w:val="00641629"/>
    <w:rsid w:val="006418B0"/>
    <w:rsid w:val="00641D8D"/>
    <w:rsid w:val="0064229F"/>
    <w:rsid w:val="0064268D"/>
    <w:rsid w:val="00642713"/>
    <w:rsid w:val="00642E9A"/>
    <w:rsid w:val="0064302F"/>
    <w:rsid w:val="00643030"/>
    <w:rsid w:val="006433AA"/>
    <w:rsid w:val="006433F9"/>
    <w:rsid w:val="0064350C"/>
    <w:rsid w:val="00643C6A"/>
    <w:rsid w:val="00643DE1"/>
    <w:rsid w:val="006440BE"/>
    <w:rsid w:val="006440FC"/>
    <w:rsid w:val="00644AB4"/>
    <w:rsid w:val="00645414"/>
    <w:rsid w:val="00645810"/>
    <w:rsid w:val="00646323"/>
    <w:rsid w:val="00646DAB"/>
    <w:rsid w:val="00646F3A"/>
    <w:rsid w:val="00647179"/>
    <w:rsid w:val="006475B0"/>
    <w:rsid w:val="006475BD"/>
    <w:rsid w:val="006475FA"/>
    <w:rsid w:val="006506CC"/>
    <w:rsid w:val="006507E9"/>
    <w:rsid w:val="00650C06"/>
    <w:rsid w:val="00650D6D"/>
    <w:rsid w:val="00650F00"/>
    <w:rsid w:val="00651628"/>
    <w:rsid w:val="00651771"/>
    <w:rsid w:val="0065197E"/>
    <w:rsid w:val="00651AD6"/>
    <w:rsid w:val="00652401"/>
    <w:rsid w:val="0065271F"/>
    <w:rsid w:val="006527FF"/>
    <w:rsid w:val="00652BDF"/>
    <w:rsid w:val="0065302B"/>
    <w:rsid w:val="006533D9"/>
    <w:rsid w:val="006546E6"/>
    <w:rsid w:val="00654C7D"/>
    <w:rsid w:val="00654E44"/>
    <w:rsid w:val="0065579C"/>
    <w:rsid w:val="0065595A"/>
    <w:rsid w:val="0065600D"/>
    <w:rsid w:val="006564E0"/>
    <w:rsid w:val="00656A8A"/>
    <w:rsid w:val="00656E5E"/>
    <w:rsid w:val="006577C0"/>
    <w:rsid w:val="00657AE6"/>
    <w:rsid w:val="00660270"/>
    <w:rsid w:val="0066051E"/>
    <w:rsid w:val="00660613"/>
    <w:rsid w:val="0066090B"/>
    <w:rsid w:val="0066154D"/>
    <w:rsid w:val="00661674"/>
    <w:rsid w:val="006616C2"/>
    <w:rsid w:val="00661825"/>
    <w:rsid w:val="00661837"/>
    <w:rsid w:val="006621D5"/>
    <w:rsid w:val="00662209"/>
    <w:rsid w:val="0066244F"/>
    <w:rsid w:val="00662673"/>
    <w:rsid w:val="00662B99"/>
    <w:rsid w:val="00662CC1"/>
    <w:rsid w:val="00662E13"/>
    <w:rsid w:val="00662E75"/>
    <w:rsid w:val="00662F9D"/>
    <w:rsid w:val="006639BE"/>
    <w:rsid w:val="006646DC"/>
    <w:rsid w:val="00664859"/>
    <w:rsid w:val="00664F2F"/>
    <w:rsid w:val="0066511C"/>
    <w:rsid w:val="00665C9E"/>
    <w:rsid w:val="00666322"/>
    <w:rsid w:val="00666508"/>
    <w:rsid w:val="006665F9"/>
    <w:rsid w:val="00666818"/>
    <w:rsid w:val="00666BE6"/>
    <w:rsid w:val="00666DD4"/>
    <w:rsid w:val="00667189"/>
    <w:rsid w:val="0066722B"/>
    <w:rsid w:val="00667473"/>
    <w:rsid w:val="00667578"/>
    <w:rsid w:val="00667C44"/>
    <w:rsid w:val="00670D38"/>
    <w:rsid w:val="00670E13"/>
    <w:rsid w:val="00671199"/>
    <w:rsid w:val="00671235"/>
    <w:rsid w:val="006719AF"/>
    <w:rsid w:val="00671F4B"/>
    <w:rsid w:val="006722EB"/>
    <w:rsid w:val="006723BF"/>
    <w:rsid w:val="006724F1"/>
    <w:rsid w:val="00672ADD"/>
    <w:rsid w:val="00673120"/>
    <w:rsid w:val="006733DF"/>
    <w:rsid w:val="00674E93"/>
    <w:rsid w:val="006752A4"/>
    <w:rsid w:val="006752CA"/>
    <w:rsid w:val="00675875"/>
    <w:rsid w:val="00676735"/>
    <w:rsid w:val="006775D4"/>
    <w:rsid w:val="00677F40"/>
    <w:rsid w:val="00680240"/>
    <w:rsid w:val="0068030F"/>
    <w:rsid w:val="006803EE"/>
    <w:rsid w:val="0068055F"/>
    <w:rsid w:val="00681107"/>
    <w:rsid w:val="00681316"/>
    <w:rsid w:val="00681434"/>
    <w:rsid w:val="006814A6"/>
    <w:rsid w:val="006817D6"/>
    <w:rsid w:val="00681D69"/>
    <w:rsid w:val="00682160"/>
    <w:rsid w:val="006826FA"/>
    <w:rsid w:val="00682CDE"/>
    <w:rsid w:val="0068333D"/>
    <w:rsid w:val="0068370A"/>
    <w:rsid w:val="00683B23"/>
    <w:rsid w:val="00685A44"/>
    <w:rsid w:val="006864A6"/>
    <w:rsid w:val="006865A1"/>
    <w:rsid w:val="006865E5"/>
    <w:rsid w:val="0068724F"/>
    <w:rsid w:val="0068736B"/>
    <w:rsid w:val="006900B0"/>
    <w:rsid w:val="006901C9"/>
    <w:rsid w:val="0069033A"/>
    <w:rsid w:val="00690763"/>
    <w:rsid w:val="00690FE6"/>
    <w:rsid w:val="006915E3"/>
    <w:rsid w:val="00691FF9"/>
    <w:rsid w:val="00692039"/>
    <w:rsid w:val="00694345"/>
    <w:rsid w:val="0069444A"/>
    <w:rsid w:val="00694E7D"/>
    <w:rsid w:val="00695600"/>
    <w:rsid w:val="00695664"/>
    <w:rsid w:val="006956B8"/>
    <w:rsid w:val="00695713"/>
    <w:rsid w:val="00695948"/>
    <w:rsid w:val="0069647A"/>
    <w:rsid w:val="00696B22"/>
    <w:rsid w:val="00696C87"/>
    <w:rsid w:val="00696CF6"/>
    <w:rsid w:val="0069756A"/>
    <w:rsid w:val="00697CA0"/>
    <w:rsid w:val="006A100F"/>
    <w:rsid w:val="006A150F"/>
    <w:rsid w:val="006A19EF"/>
    <w:rsid w:val="006A1DEF"/>
    <w:rsid w:val="006A22E4"/>
    <w:rsid w:val="006A252C"/>
    <w:rsid w:val="006A2F1B"/>
    <w:rsid w:val="006A36A3"/>
    <w:rsid w:val="006A3B8B"/>
    <w:rsid w:val="006A3BEC"/>
    <w:rsid w:val="006A4200"/>
    <w:rsid w:val="006A4BCB"/>
    <w:rsid w:val="006A500B"/>
    <w:rsid w:val="006A6D0E"/>
    <w:rsid w:val="006A6EB8"/>
    <w:rsid w:val="006A6F38"/>
    <w:rsid w:val="006A7069"/>
    <w:rsid w:val="006B146C"/>
    <w:rsid w:val="006B2385"/>
    <w:rsid w:val="006B2F1B"/>
    <w:rsid w:val="006B33CD"/>
    <w:rsid w:val="006B3D7B"/>
    <w:rsid w:val="006B3EC2"/>
    <w:rsid w:val="006B46F8"/>
    <w:rsid w:val="006B49F0"/>
    <w:rsid w:val="006B4B88"/>
    <w:rsid w:val="006B5505"/>
    <w:rsid w:val="006B5C89"/>
    <w:rsid w:val="006B5E64"/>
    <w:rsid w:val="006B5F89"/>
    <w:rsid w:val="006B67E5"/>
    <w:rsid w:val="006B768C"/>
    <w:rsid w:val="006B7950"/>
    <w:rsid w:val="006B7EB2"/>
    <w:rsid w:val="006C006E"/>
    <w:rsid w:val="006C0C1B"/>
    <w:rsid w:val="006C0D9A"/>
    <w:rsid w:val="006C0DA7"/>
    <w:rsid w:val="006C11E8"/>
    <w:rsid w:val="006C11F0"/>
    <w:rsid w:val="006C1760"/>
    <w:rsid w:val="006C1889"/>
    <w:rsid w:val="006C2D05"/>
    <w:rsid w:val="006C30D0"/>
    <w:rsid w:val="006C3342"/>
    <w:rsid w:val="006C36D5"/>
    <w:rsid w:val="006C3702"/>
    <w:rsid w:val="006C387A"/>
    <w:rsid w:val="006C389B"/>
    <w:rsid w:val="006C38AF"/>
    <w:rsid w:val="006C3B50"/>
    <w:rsid w:val="006C3DF8"/>
    <w:rsid w:val="006C447D"/>
    <w:rsid w:val="006C4A14"/>
    <w:rsid w:val="006C4AF4"/>
    <w:rsid w:val="006C4B34"/>
    <w:rsid w:val="006C4C82"/>
    <w:rsid w:val="006C4CB2"/>
    <w:rsid w:val="006C56B7"/>
    <w:rsid w:val="006C5A22"/>
    <w:rsid w:val="006C5CB5"/>
    <w:rsid w:val="006C6906"/>
    <w:rsid w:val="006C69D1"/>
    <w:rsid w:val="006C7E8E"/>
    <w:rsid w:val="006D0515"/>
    <w:rsid w:val="006D061A"/>
    <w:rsid w:val="006D0856"/>
    <w:rsid w:val="006D095B"/>
    <w:rsid w:val="006D0B65"/>
    <w:rsid w:val="006D0EA3"/>
    <w:rsid w:val="006D12B3"/>
    <w:rsid w:val="006D15C5"/>
    <w:rsid w:val="006D1B9F"/>
    <w:rsid w:val="006D1BFA"/>
    <w:rsid w:val="006D1EA8"/>
    <w:rsid w:val="006D1F5E"/>
    <w:rsid w:val="006D263C"/>
    <w:rsid w:val="006D26C3"/>
    <w:rsid w:val="006D29FE"/>
    <w:rsid w:val="006D332D"/>
    <w:rsid w:val="006D3F2F"/>
    <w:rsid w:val="006D459A"/>
    <w:rsid w:val="006D4996"/>
    <w:rsid w:val="006D4F09"/>
    <w:rsid w:val="006D5759"/>
    <w:rsid w:val="006D5D30"/>
    <w:rsid w:val="006D5F4F"/>
    <w:rsid w:val="006D61E3"/>
    <w:rsid w:val="006D67A5"/>
    <w:rsid w:val="006E1337"/>
    <w:rsid w:val="006E16C5"/>
    <w:rsid w:val="006E1E2B"/>
    <w:rsid w:val="006E2226"/>
    <w:rsid w:val="006E267A"/>
    <w:rsid w:val="006E2AB0"/>
    <w:rsid w:val="006E2F01"/>
    <w:rsid w:val="006E3536"/>
    <w:rsid w:val="006E3797"/>
    <w:rsid w:val="006E41B3"/>
    <w:rsid w:val="006E429B"/>
    <w:rsid w:val="006E4777"/>
    <w:rsid w:val="006E4A51"/>
    <w:rsid w:val="006E4C47"/>
    <w:rsid w:val="006E5060"/>
    <w:rsid w:val="006E56A5"/>
    <w:rsid w:val="006E5BDF"/>
    <w:rsid w:val="006E5DC8"/>
    <w:rsid w:val="006E620C"/>
    <w:rsid w:val="006E6415"/>
    <w:rsid w:val="006E647F"/>
    <w:rsid w:val="006E66D2"/>
    <w:rsid w:val="006E7035"/>
    <w:rsid w:val="006E72CD"/>
    <w:rsid w:val="006E757A"/>
    <w:rsid w:val="006E77A2"/>
    <w:rsid w:val="006E7956"/>
    <w:rsid w:val="006E7EB6"/>
    <w:rsid w:val="006F02A9"/>
    <w:rsid w:val="006F02F9"/>
    <w:rsid w:val="006F0995"/>
    <w:rsid w:val="006F150F"/>
    <w:rsid w:val="006F18D3"/>
    <w:rsid w:val="006F1A96"/>
    <w:rsid w:val="006F1E04"/>
    <w:rsid w:val="006F2341"/>
    <w:rsid w:val="006F259B"/>
    <w:rsid w:val="006F261A"/>
    <w:rsid w:val="006F29C5"/>
    <w:rsid w:val="006F2A24"/>
    <w:rsid w:val="006F2BEB"/>
    <w:rsid w:val="006F2DA2"/>
    <w:rsid w:val="006F3235"/>
    <w:rsid w:val="006F36D5"/>
    <w:rsid w:val="006F3951"/>
    <w:rsid w:val="006F3A03"/>
    <w:rsid w:val="006F3B77"/>
    <w:rsid w:val="006F3E4C"/>
    <w:rsid w:val="006F4193"/>
    <w:rsid w:val="006F4491"/>
    <w:rsid w:val="006F4546"/>
    <w:rsid w:val="006F563D"/>
    <w:rsid w:val="006F5C71"/>
    <w:rsid w:val="006F5E9B"/>
    <w:rsid w:val="006F64D4"/>
    <w:rsid w:val="006F75CC"/>
    <w:rsid w:val="006F76BB"/>
    <w:rsid w:val="006F788F"/>
    <w:rsid w:val="006F7F1E"/>
    <w:rsid w:val="007006DA"/>
    <w:rsid w:val="007009FD"/>
    <w:rsid w:val="00701100"/>
    <w:rsid w:val="0070110A"/>
    <w:rsid w:val="007014B1"/>
    <w:rsid w:val="0070238E"/>
    <w:rsid w:val="00702A98"/>
    <w:rsid w:val="00702EA0"/>
    <w:rsid w:val="0070339C"/>
    <w:rsid w:val="007035D1"/>
    <w:rsid w:val="0070371C"/>
    <w:rsid w:val="00703B65"/>
    <w:rsid w:val="00703D72"/>
    <w:rsid w:val="0070402A"/>
    <w:rsid w:val="007045C9"/>
    <w:rsid w:val="007049A1"/>
    <w:rsid w:val="00704DB0"/>
    <w:rsid w:val="00705498"/>
    <w:rsid w:val="00705B19"/>
    <w:rsid w:val="00705B63"/>
    <w:rsid w:val="00706362"/>
    <w:rsid w:val="0070642C"/>
    <w:rsid w:val="0070692F"/>
    <w:rsid w:val="00706D57"/>
    <w:rsid w:val="0070711E"/>
    <w:rsid w:val="00707D49"/>
    <w:rsid w:val="0071070F"/>
    <w:rsid w:val="00710F59"/>
    <w:rsid w:val="007113F8"/>
    <w:rsid w:val="00711AFE"/>
    <w:rsid w:val="00711FED"/>
    <w:rsid w:val="00712B31"/>
    <w:rsid w:val="0071331C"/>
    <w:rsid w:val="00713501"/>
    <w:rsid w:val="00713762"/>
    <w:rsid w:val="00713AC3"/>
    <w:rsid w:val="00714488"/>
    <w:rsid w:val="00715068"/>
    <w:rsid w:val="00715086"/>
    <w:rsid w:val="007158C6"/>
    <w:rsid w:val="00716ABD"/>
    <w:rsid w:val="00716D2E"/>
    <w:rsid w:val="007175F0"/>
    <w:rsid w:val="0071788E"/>
    <w:rsid w:val="0071794A"/>
    <w:rsid w:val="00717C36"/>
    <w:rsid w:val="00720349"/>
    <w:rsid w:val="00720507"/>
    <w:rsid w:val="00720B87"/>
    <w:rsid w:val="00720CBB"/>
    <w:rsid w:val="00720E77"/>
    <w:rsid w:val="007213DE"/>
    <w:rsid w:val="007214AE"/>
    <w:rsid w:val="007215EF"/>
    <w:rsid w:val="0072162E"/>
    <w:rsid w:val="00722143"/>
    <w:rsid w:val="007222AD"/>
    <w:rsid w:val="00722351"/>
    <w:rsid w:val="00722A6B"/>
    <w:rsid w:val="00723292"/>
    <w:rsid w:val="00723650"/>
    <w:rsid w:val="00723C6B"/>
    <w:rsid w:val="00723E5E"/>
    <w:rsid w:val="00724202"/>
    <w:rsid w:val="00724E36"/>
    <w:rsid w:val="00725422"/>
    <w:rsid w:val="007254CB"/>
    <w:rsid w:val="00726019"/>
    <w:rsid w:val="00726218"/>
    <w:rsid w:val="007265FE"/>
    <w:rsid w:val="00726921"/>
    <w:rsid w:val="00726BB9"/>
    <w:rsid w:val="00727091"/>
    <w:rsid w:val="00727170"/>
    <w:rsid w:val="007275C9"/>
    <w:rsid w:val="00727C14"/>
    <w:rsid w:val="007301C9"/>
    <w:rsid w:val="0073094A"/>
    <w:rsid w:val="007309EC"/>
    <w:rsid w:val="00730E39"/>
    <w:rsid w:val="00731748"/>
    <w:rsid w:val="007317C7"/>
    <w:rsid w:val="00731A8B"/>
    <w:rsid w:val="00731DB5"/>
    <w:rsid w:val="007325D2"/>
    <w:rsid w:val="007325E9"/>
    <w:rsid w:val="007326AD"/>
    <w:rsid w:val="00732DCD"/>
    <w:rsid w:val="00732E1C"/>
    <w:rsid w:val="00732F2D"/>
    <w:rsid w:val="007331ED"/>
    <w:rsid w:val="007336BD"/>
    <w:rsid w:val="00733AC6"/>
    <w:rsid w:val="007341DA"/>
    <w:rsid w:val="00734364"/>
    <w:rsid w:val="00734F18"/>
    <w:rsid w:val="0073518C"/>
    <w:rsid w:val="007360C8"/>
    <w:rsid w:val="00736288"/>
    <w:rsid w:val="007365E1"/>
    <w:rsid w:val="007365EB"/>
    <w:rsid w:val="00736A88"/>
    <w:rsid w:val="007371C2"/>
    <w:rsid w:val="007373F6"/>
    <w:rsid w:val="00737400"/>
    <w:rsid w:val="00737AEA"/>
    <w:rsid w:val="00740202"/>
    <w:rsid w:val="00740310"/>
    <w:rsid w:val="0074037D"/>
    <w:rsid w:val="00740804"/>
    <w:rsid w:val="00740EE1"/>
    <w:rsid w:val="00741257"/>
    <w:rsid w:val="0074133E"/>
    <w:rsid w:val="007413D6"/>
    <w:rsid w:val="00741803"/>
    <w:rsid w:val="00741B08"/>
    <w:rsid w:val="00742617"/>
    <w:rsid w:val="007428E1"/>
    <w:rsid w:val="00742CCF"/>
    <w:rsid w:val="00742CE1"/>
    <w:rsid w:val="00742E95"/>
    <w:rsid w:val="00742F0D"/>
    <w:rsid w:val="00743465"/>
    <w:rsid w:val="0074349D"/>
    <w:rsid w:val="00743548"/>
    <w:rsid w:val="007435F3"/>
    <w:rsid w:val="0074377D"/>
    <w:rsid w:val="00743E73"/>
    <w:rsid w:val="00744120"/>
    <w:rsid w:val="007444EB"/>
    <w:rsid w:val="007449FB"/>
    <w:rsid w:val="00745A15"/>
    <w:rsid w:val="00745A9F"/>
    <w:rsid w:val="00746434"/>
    <w:rsid w:val="007465C5"/>
    <w:rsid w:val="00746A70"/>
    <w:rsid w:val="00747909"/>
    <w:rsid w:val="00750200"/>
    <w:rsid w:val="00750DD3"/>
    <w:rsid w:val="007517A0"/>
    <w:rsid w:val="00751ABF"/>
    <w:rsid w:val="00752DBD"/>
    <w:rsid w:val="0075357B"/>
    <w:rsid w:val="0075386F"/>
    <w:rsid w:val="00753C5A"/>
    <w:rsid w:val="00753E07"/>
    <w:rsid w:val="007550AD"/>
    <w:rsid w:val="00755AE2"/>
    <w:rsid w:val="00755EE6"/>
    <w:rsid w:val="00756355"/>
    <w:rsid w:val="007569D8"/>
    <w:rsid w:val="00757263"/>
    <w:rsid w:val="00760005"/>
    <w:rsid w:val="00760304"/>
    <w:rsid w:val="0076089B"/>
    <w:rsid w:val="00760BEC"/>
    <w:rsid w:val="00760CE1"/>
    <w:rsid w:val="00760E1B"/>
    <w:rsid w:val="007610CE"/>
    <w:rsid w:val="007612B5"/>
    <w:rsid w:val="00761734"/>
    <w:rsid w:val="0076183C"/>
    <w:rsid w:val="00762246"/>
    <w:rsid w:val="00762CE2"/>
    <w:rsid w:val="00762F69"/>
    <w:rsid w:val="007635A5"/>
    <w:rsid w:val="007635FF"/>
    <w:rsid w:val="0076375B"/>
    <w:rsid w:val="00764B98"/>
    <w:rsid w:val="00764CA1"/>
    <w:rsid w:val="00764DD1"/>
    <w:rsid w:val="00764FE1"/>
    <w:rsid w:val="00765189"/>
    <w:rsid w:val="00765459"/>
    <w:rsid w:val="007654CA"/>
    <w:rsid w:val="0076612F"/>
    <w:rsid w:val="00766888"/>
    <w:rsid w:val="007669DE"/>
    <w:rsid w:val="007676B1"/>
    <w:rsid w:val="007679B6"/>
    <w:rsid w:val="00767C2B"/>
    <w:rsid w:val="00767EAE"/>
    <w:rsid w:val="007701B7"/>
    <w:rsid w:val="0077047F"/>
    <w:rsid w:val="007704EC"/>
    <w:rsid w:val="007708C3"/>
    <w:rsid w:val="00770BEC"/>
    <w:rsid w:val="00770DB0"/>
    <w:rsid w:val="00770FCC"/>
    <w:rsid w:val="00771793"/>
    <w:rsid w:val="00772268"/>
    <w:rsid w:val="00772441"/>
    <w:rsid w:val="00772967"/>
    <w:rsid w:val="00772AC7"/>
    <w:rsid w:val="00772D2E"/>
    <w:rsid w:val="00773AF2"/>
    <w:rsid w:val="00773E4D"/>
    <w:rsid w:val="00774050"/>
    <w:rsid w:val="007742F0"/>
    <w:rsid w:val="007743F7"/>
    <w:rsid w:val="0077460E"/>
    <w:rsid w:val="007748B5"/>
    <w:rsid w:val="00775165"/>
    <w:rsid w:val="00776FB7"/>
    <w:rsid w:val="00777753"/>
    <w:rsid w:val="007778D8"/>
    <w:rsid w:val="007805C0"/>
    <w:rsid w:val="00781029"/>
    <w:rsid w:val="007811F1"/>
    <w:rsid w:val="007813E8"/>
    <w:rsid w:val="00781734"/>
    <w:rsid w:val="0078198F"/>
    <w:rsid w:val="00781D1A"/>
    <w:rsid w:val="00781FE3"/>
    <w:rsid w:val="007823D5"/>
    <w:rsid w:val="00782F04"/>
    <w:rsid w:val="0078350A"/>
    <w:rsid w:val="00783706"/>
    <w:rsid w:val="00784A5F"/>
    <w:rsid w:val="00784B54"/>
    <w:rsid w:val="0078533C"/>
    <w:rsid w:val="0078534E"/>
    <w:rsid w:val="00785480"/>
    <w:rsid w:val="00785665"/>
    <w:rsid w:val="0078646A"/>
    <w:rsid w:val="007868BA"/>
    <w:rsid w:val="00786A78"/>
    <w:rsid w:val="007872DC"/>
    <w:rsid w:val="0078743D"/>
    <w:rsid w:val="007878D8"/>
    <w:rsid w:val="0079000B"/>
    <w:rsid w:val="00790AC4"/>
    <w:rsid w:val="00791373"/>
    <w:rsid w:val="007913F0"/>
    <w:rsid w:val="007914B9"/>
    <w:rsid w:val="0079221E"/>
    <w:rsid w:val="00792603"/>
    <w:rsid w:val="00793062"/>
    <w:rsid w:val="007930EE"/>
    <w:rsid w:val="00793162"/>
    <w:rsid w:val="007932D4"/>
    <w:rsid w:val="00793AEC"/>
    <w:rsid w:val="0079505F"/>
    <w:rsid w:val="007951F3"/>
    <w:rsid w:val="00795471"/>
    <w:rsid w:val="00795BA6"/>
    <w:rsid w:val="00795DDC"/>
    <w:rsid w:val="00795F67"/>
    <w:rsid w:val="00796545"/>
    <w:rsid w:val="00796AED"/>
    <w:rsid w:val="007972C9"/>
    <w:rsid w:val="00797485"/>
    <w:rsid w:val="007A0363"/>
    <w:rsid w:val="007A03E0"/>
    <w:rsid w:val="007A12D4"/>
    <w:rsid w:val="007A18B0"/>
    <w:rsid w:val="007A1AF7"/>
    <w:rsid w:val="007A1E39"/>
    <w:rsid w:val="007A23B2"/>
    <w:rsid w:val="007A271E"/>
    <w:rsid w:val="007A299E"/>
    <w:rsid w:val="007A3436"/>
    <w:rsid w:val="007A34A8"/>
    <w:rsid w:val="007A37DD"/>
    <w:rsid w:val="007A3D7A"/>
    <w:rsid w:val="007A4C6D"/>
    <w:rsid w:val="007A505B"/>
    <w:rsid w:val="007A53F7"/>
    <w:rsid w:val="007A5B64"/>
    <w:rsid w:val="007A67FD"/>
    <w:rsid w:val="007A7D06"/>
    <w:rsid w:val="007B01DA"/>
    <w:rsid w:val="007B0232"/>
    <w:rsid w:val="007B0642"/>
    <w:rsid w:val="007B0DDB"/>
    <w:rsid w:val="007B1C80"/>
    <w:rsid w:val="007B25D3"/>
    <w:rsid w:val="007B29C5"/>
    <w:rsid w:val="007B3122"/>
    <w:rsid w:val="007B3273"/>
    <w:rsid w:val="007B37F6"/>
    <w:rsid w:val="007B3D5C"/>
    <w:rsid w:val="007B44F1"/>
    <w:rsid w:val="007B4A9D"/>
    <w:rsid w:val="007B4ABA"/>
    <w:rsid w:val="007B5339"/>
    <w:rsid w:val="007B569A"/>
    <w:rsid w:val="007B5889"/>
    <w:rsid w:val="007B62C6"/>
    <w:rsid w:val="007B69BF"/>
    <w:rsid w:val="007B6C09"/>
    <w:rsid w:val="007B7521"/>
    <w:rsid w:val="007C03EB"/>
    <w:rsid w:val="007C0977"/>
    <w:rsid w:val="007C0AB9"/>
    <w:rsid w:val="007C0B4E"/>
    <w:rsid w:val="007C10FF"/>
    <w:rsid w:val="007C13EF"/>
    <w:rsid w:val="007C1B93"/>
    <w:rsid w:val="007C1E10"/>
    <w:rsid w:val="007C2111"/>
    <w:rsid w:val="007C2120"/>
    <w:rsid w:val="007C2E75"/>
    <w:rsid w:val="007C3475"/>
    <w:rsid w:val="007C3C3A"/>
    <w:rsid w:val="007C40CF"/>
    <w:rsid w:val="007C4750"/>
    <w:rsid w:val="007C475F"/>
    <w:rsid w:val="007C4963"/>
    <w:rsid w:val="007C5DF4"/>
    <w:rsid w:val="007C618A"/>
    <w:rsid w:val="007C6CE6"/>
    <w:rsid w:val="007C6E5E"/>
    <w:rsid w:val="007C77A1"/>
    <w:rsid w:val="007C7D19"/>
    <w:rsid w:val="007C7F99"/>
    <w:rsid w:val="007D031B"/>
    <w:rsid w:val="007D084F"/>
    <w:rsid w:val="007D0D75"/>
    <w:rsid w:val="007D0FB4"/>
    <w:rsid w:val="007D1282"/>
    <w:rsid w:val="007D128F"/>
    <w:rsid w:val="007D1569"/>
    <w:rsid w:val="007D1BCA"/>
    <w:rsid w:val="007D245A"/>
    <w:rsid w:val="007D24BB"/>
    <w:rsid w:val="007D25EB"/>
    <w:rsid w:val="007D2666"/>
    <w:rsid w:val="007D2A4E"/>
    <w:rsid w:val="007D368E"/>
    <w:rsid w:val="007D38AE"/>
    <w:rsid w:val="007D3971"/>
    <w:rsid w:val="007D3FFE"/>
    <w:rsid w:val="007D410C"/>
    <w:rsid w:val="007D53B6"/>
    <w:rsid w:val="007D5413"/>
    <w:rsid w:val="007D5BC7"/>
    <w:rsid w:val="007D5D23"/>
    <w:rsid w:val="007D62DE"/>
    <w:rsid w:val="007D6307"/>
    <w:rsid w:val="007D634C"/>
    <w:rsid w:val="007D6627"/>
    <w:rsid w:val="007D6718"/>
    <w:rsid w:val="007D6E64"/>
    <w:rsid w:val="007D6EE0"/>
    <w:rsid w:val="007E1425"/>
    <w:rsid w:val="007E1484"/>
    <w:rsid w:val="007E14DA"/>
    <w:rsid w:val="007E1A38"/>
    <w:rsid w:val="007E1C39"/>
    <w:rsid w:val="007E1F92"/>
    <w:rsid w:val="007E23C6"/>
    <w:rsid w:val="007E2FBB"/>
    <w:rsid w:val="007E32EF"/>
    <w:rsid w:val="007E3753"/>
    <w:rsid w:val="007E38E9"/>
    <w:rsid w:val="007E39A5"/>
    <w:rsid w:val="007E3C2F"/>
    <w:rsid w:val="007E514C"/>
    <w:rsid w:val="007E5C90"/>
    <w:rsid w:val="007E6FDA"/>
    <w:rsid w:val="007E7420"/>
    <w:rsid w:val="007E75BB"/>
    <w:rsid w:val="007E7928"/>
    <w:rsid w:val="007F056F"/>
    <w:rsid w:val="007F096E"/>
    <w:rsid w:val="007F0A60"/>
    <w:rsid w:val="007F1237"/>
    <w:rsid w:val="007F2DC1"/>
    <w:rsid w:val="007F2F50"/>
    <w:rsid w:val="007F3454"/>
    <w:rsid w:val="007F39FB"/>
    <w:rsid w:val="007F48D2"/>
    <w:rsid w:val="007F4FF3"/>
    <w:rsid w:val="007F5081"/>
    <w:rsid w:val="007F56DE"/>
    <w:rsid w:val="007F5A28"/>
    <w:rsid w:val="007F5B0F"/>
    <w:rsid w:val="007F616C"/>
    <w:rsid w:val="007F6D60"/>
    <w:rsid w:val="007F6FF7"/>
    <w:rsid w:val="007F75AD"/>
    <w:rsid w:val="007F77E9"/>
    <w:rsid w:val="007F7903"/>
    <w:rsid w:val="008001A1"/>
    <w:rsid w:val="00800D43"/>
    <w:rsid w:val="00801207"/>
    <w:rsid w:val="00801295"/>
    <w:rsid w:val="008017BC"/>
    <w:rsid w:val="00801903"/>
    <w:rsid w:val="00801E2B"/>
    <w:rsid w:val="00801FB7"/>
    <w:rsid w:val="008028B1"/>
    <w:rsid w:val="008029F1"/>
    <w:rsid w:val="0080322B"/>
    <w:rsid w:val="008035C3"/>
    <w:rsid w:val="00803CEC"/>
    <w:rsid w:val="00803EB9"/>
    <w:rsid w:val="00803F26"/>
    <w:rsid w:val="00804346"/>
    <w:rsid w:val="008046E3"/>
    <w:rsid w:val="00804B8B"/>
    <w:rsid w:val="0080522C"/>
    <w:rsid w:val="00805A0C"/>
    <w:rsid w:val="00805B8B"/>
    <w:rsid w:val="00805BDE"/>
    <w:rsid w:val="008065DC"/>
    <w:rsid w:val="00806B0D"/>
    <w:rsid w:val="00806F63"/>
    <w:rsid w:val="0080735F"/>
    <w:rsid w:val="0080763E"/>
    <w:rsid w:val="00807F06"/>
    <w:rsid w:val="00807F4E"/>
    <w:rsid w:val="0081020E"/>
    <w:rsid w:val="00810530"/>
    <w:rsid w:val="00810B54"/>
    <w:rsid w:val="00810E76"/>
    <w:rsid w:val="00811123"/>
    <w:rsid w:val="00811196"/>
    <w:rsid w:val="00811442"/>
    <w:rsid w:val="0081262C"/>
    <w:rsid w:val="00812D6D"/>
    <w:rsid w:val="00813062"/>
    <w:rsid w:val="0081391D"/>
    <w:rsid w:val="00813DDD"/>
    <w:rsid w:val="0081422B"/>
    <w:rsid w:val="00814D80"/>
    <w:rsid w:val="00814EF4"/>
    <w:rsid w:val="0081520A"/>
    <w:rsid w:val="0081533C"/>
    <w:rsid w:val="008161D7"/>
    <w:rsid w:val="00816E2B"/>
    <w:rsid w:val="00817750"/>
    <w:rsid w:val="00817F93"/>
    <w:rsid w:val="00820661"/>
    <w:rsid w:val="00820C89"/>
    <w:rsid w:val="00820D8C"/>
    <w:rsid w:val="008210E7"/>
    <w:rsid w:val="008212AB"/>
    <w:rsid w:val="00821941"/>
    <w:rsid w:val="00822129"/>
    <w:rsid w:val="00822576"/>
    <w:rsid w:val="00822B43"/>
    <w:rsid w:val="00822F6F"/>
    <w:rsid w:val="00823182"/>
    <w:rsid w:val="008232DC"/>
    <w:rsid w:val="00823763"/>
    <w:rsid w:val="008237E3"/>
    <w:rsid w:val="00823EEE"/>
    <w:rsid w:val="00823F66"/>
    <w:rsid w:val="00823FDD"/>
    <w:rsid w:val="0082437F"/>
    <w:rsid w:val="00824420"/>
    <w:rsid w:val="008245CE"/>
    <w:rsid w:val="0082475D"/>
    <w:rsid w:val="00824D2A"/>
    <w:rsid w:val="00824E3E"/>
    <w:rsid w:val="0082532F"/>
    <w:rsid w:val="00825AED"/>
    <w:rsid w:val="008266D9"/>
    <w:rsid w:val="008268A6"/>
    <w:rsid w:val="00826970"/>
    <w:rsid w:val="008269B6"/>
    <w:rsid w:val="00826BA4"/>
    <w:rsid w:val="00826BC4"/>
    <w:rsid w:val="00827655"/>
    <w:rsid w:val="00827B95"/>
    <w:rsid w:val="00827BD1"/>
    <w:rsid w:val="008304E0"/>
    <w:rsid w:val="008310EE"/>
    <w:rsid w:val="0083145C"/>
    <w:rsid w:val="00831772"/>
    <w:rsid w:val="0083217F"/>
    <w:rsid w:val="00832BD2"/>
    <w:rsid w:val="00832EC0"/>
    <w:rsid w:val="0083358D"/>
    <w:rsid w:val="00833C55"/>
    <w:rsid w:val="00833FCD"/>
    <w:rsid w:val="00833FF8"/>
    <w:rsid w:val="0083428E"/>
    <w:rsid w:val="00834B66"/>
    <w:rsid w:val="00834E5D"/>
    <w:rsid w:val="00835677"/>
    <w:rsid w:val="008358FF"/>
    <w:rsid w:val="00835D5F"/>
    <w:rsid w:val="00836262"/>
    <w:rsid w:val="00836745"/>
    <w:rsid w:val="00836910"/>
    <w:rsid w:val="00836CFD"/>
    <w:rsid w:val="00836E3A"/>
    <w:rsid w:val="00837210"/>
    <w:rsid w:val="008375CA"/>
    <w:rsid w:val="008376EA"/>
    <w:rsid w:val="00837EB9"/>
    <w:rsid w:val="008402BB"/>
    <w:rsid w:val="0084057D"/>
    <w:rsid w:val="00840664"/>
    <w:rsid w:val="0084067F"/>
    <w:rsid w:val="00840904"/>
    <w:rsid w:val="00841350"/>
    <w:rsid w:val="008413F2"/>
    <w:rsid w:val="00841B10"/>
    <w:rsid w:val="008420AA"/>
    <w:rsid w:val="0084238D"/>
    <w:rsid w:val="008423EB"/>
    <w:rsid w:val="00842419"/>
    <w:rsid w:val="008425AA"/>
    <w:rsid w:val="00842F14"/>
    <w:rsid w:val="00843A41"/>
    <w:rsid w:val="00843C3D"/>
    <w:rsid w:val="00843DA0"/>
    <w:rsid w:val="00843EF6"/>
    <w:rsid w:val="00843FCF"/>
    <w:rsid w:val="00844076"/>
    <w:rsid w:val="008443B1"/>
    <w:rsid w:val="008443C7"/>
    <w:rsid w:val="008445CD"/>
    <w:rsid w:val="00844DA2"/>
    <w:rsid w:val="00844DEF"/>
    <w:rsid w:val="00845AFD"/>
    <w:rsid w:val="00845D9C"/>
    <w:rsid w:val="00845F5C"/>
    <w:rsid w:val="00846680"/>
    <w:rsid w:val="008472B8"/>
    <w:rsid w:val="0084738E"/>
    <w:rsid w:val="0084792C"/>
    <w:rsid w:val="00847C72"/>
    <w:rsid w:val="008503D4"/>
    <w:rsid w:val="008511A9"/>
    <w:rsid w:val="008514A9"/>
    <w:rsid w:val="00851B93"/>
    <w:rsid w:val="008526EB"/>
    <w:rsid w:val="00852969"/>
    <w:rsid w:val="008529A2"/>
    <w:rsid w:val="00852B0B"/>
    <w:rsid w:val="00852B6C"/>
    <w:rsid w:val="00852CBB"/>
    <w:rsid w:val="0085325B"/>
    <w:rsid w:val="00853777"/>
    <w:rsid w:val="0085439B"/>
    <w:rsid w:val="00854574"/>
    <w:rsid w:val="00854FF5"/>
    <w:rsid w:val="008553EC"/>
    <w:rsid w:val="00855A15"/>
    <w:rsid w:val="00855DC0"/>
    <w:rsid w:val="008562C4"/>
    <w:rsid w:val="00856384"/>
    <w:rsid w:val="00856697"/>
    <w:rsid w:val="008567CD"/>
    <w:rsid w:val="00856A7C"/>
    <w:rsid w:val="00856F61"/>
    <w:rsid w:val="0085787D"/>
    <w:rsid w:val="008579B4"/>
    <w:rsid w:val="00857BAF"/>
    <w:rsid w:val="0086094D"/>
    <w:rsid w:val="00860A01"/>
    <w:rsid w:val="00861281"/>
    <w:rsid w:val="008617F3"/>
    <w:rsid w:val="00861D39"/>
    <w:rsid w:val="00862890"/>
    <w:rsid w:val="00862BF6"/>
    <w:rsid w:val="00863AE0"/>
    <w:rsid w:val="00863B8F"/>
    <w:rsid w:val="00864350"/>
    <w:rsid w:val="0086490F"/>
    <w:rsid w:val="00864DEC"/>
    <w:rsid w:val="00864ECC"/>
    <w:rsid w:val="008650E2"/>
    <w:rsid w:val="00865751"/>
    <w:rsid w:val="00865A39"/>
    <w:rsid w:val="00865B20"/>
    <w:rsid w:val="00866223"/>
    <w:rsid w:val="00866BEA"/>
    <w:rsid w:val="00867210"/>
    <w:rsid w:val="00867310"/>
    <w:rsid w:val="00870BB3"/>
    <w:rsid w:val="0087127C"/>
    <w:rsid w:val="008718CC"/>
    <w:rsid w:val="00871A6C"/>
    <w:rsid w:val="00872410"/>
    <w:rsid w:val="0087241B"/>
    <w:rsid w:val="0087244B"/>
    <w:rsid w:val="008725A7"/>
    <w:rsid w:val="00872A6F"/>
    <w:rsid w:val="00873311"/>
    <w:rsid w:val="008737EC"/>
    <w:rsid w:val="008738F5"/>
    <w:rsid w:val="00873C24"/>
    <w:rsid w:val="00873D2E"/>
    <w:rsid w:val="0087410E"/>
    <w:rsid w:val="008746FE"/>
    <w:rsid w:val="00874A71"/>
    <w:rsid w:val="00875145"/>
    <w:rsid w:val="00875392"/>
    <w:rsid w:val="008756A4"/>
    <w:rsid w:val="008757C8"/>
    <w:rsid w:val="00875837"/>
    <w:rsid w:val="00875CCB"/>
    <w:rsid w:val="00876344"/>
    <w:rsid w:val="00876519"/>
    <w:rsid w:val="008768C8"/>
    <w:rsid w:val="00877133"/>
    <w:rsid w:val="00877AE7"/>
    <w:rsid w:val="00880304"/>
    <w:rsid w:val="0088073F"/>
    <w:rsid w:val="00880A62"/>
    <w:rsid w:val="00880E37"/>
    <w:rsid w:val="00880EBC"/>
    <w:rsid w:val="00881380"/>
    <w:rsid w:val="00881606"/>
    <w:rsid w:val="00881629"/>
    <w:rsid w:val="008816FD"/>
    <w:rsid w:val="008817B8"/>
    <w:rsid w:val="00881A54"/>
    <w:rsid w:val="008825BD"/>
    <w:rsid w:val="00882D55"/>
    <w:rsid w:val="008833F3"/>
    <w:rsid w:val="00883485"/>
    <w:rsid w:val="00883815"/>
    <w:rsid w:val="00883B4A"/>
    <w:rsid w:val="00884215"/>
    <w:rsid w:val="00885261"/>
    <w:rsid w:val="008859A6"/>
    <w:rsid w:val="0088608A"/>
    <w:rsid w:val="00886340"/>
    <w:rsid w:val="00886895"/>
    <w:rsid w:val="00886AEE"/>
    <w:rsid w:val="00886CCA"/>
    <w:rsid w:val="00886E79"/>
    <w:rsid w:val="0088713D"/>
    <w:rsid w:val="00890052"/>
    <w:rsid w:val="00891391"/>
    <w:rsid w:val="008913D8"/>
    <w:rsid w:val="00891A44"/>
    <w:rsid w:val="00891FD8"/>
    <w:rsid w:val="0089292B"/>
    <w:rsid w:val="00893610"/>
    <w:rsid w:val="00893AED"/>
    <w:rsid w:val="00893C99"/>
    <w:rsid w:val="0089402B"/>
    <w:rsid w:val="00894129"/>
    <w:rsid w:val="00894206"/>
    <w:rsid w:val="0089473B"/>
    <w:rsid w:val="00894B40"/>
    <w:rsid w:val="00894BE8"/>
    <w:rsid w:val="00895063"/>
    <w:rsid w:val="008950EB"/>
    <w:rsid w:val="00895226"/>
    <w:rsid w:val="00895AAF"/>
    <w:rsid w:val="00897490"/>
    <w:rsid w:val="00897793"/>
    <w:rsid w:val="008979BE"/>
    <w:rsid w:val="00897B39"/>
    <w:rsid w:val="00897E3E"/>
    <w:rsid w:val="00897FE8"/>
    <w:rsid w:val="008A026C"/>
    <w:rsid w:val="008A081A"/>
    <w:rsid w:val="008A0B2C"/>
    <w:rsid w:val="008A1632"/>
    <w:rsid w:val="008A170E"/>
    <w:rsid w:val="008A187B"/>
    <w:rsid w:val="008A20E0"/>
    <w:rsid w:val="008A21AE"/>
    <w:rsid w:val="008A25CB"/>
    <w:rsid w:val="008A2F24"/>
    <w:rsid w:val="008A3451"/>
    <w:rsid w:val="008A36BF"/>
    <w:rsid w:val="008A3AC9"/>
    <w:rsid w:val="008A483E"/>
    <w:rsid w:val="008A5B27"/>
    <w:rsid w:val="008A69A6"/>
    <w:rsid w:val="008A6C09"/>
    <w:rsid w:val="008A6F83"/>
    <w:rsid w:val="008A791E"/>
    <w:rsid w:val="008A7C56"/>
    <w:rsid w:val="008A7D38"/>
    <w:rsid w:val="008A7D7C"/>
    <w:rsid w:val="008A7DE2"/>
    <w:rsid w:val="008B010F"/>
    <w:rsid w:val="008B02EA"/>
    <w:rsid w:val="008B05C3"/>
    <w:rsid w:val="008B0BE7"/>
    <w:rsid w:val="008B1D1A"/>
    <w:rsid w:val="008B27C5"/>
    <w:rsid w:val="008B2FA1"/>
    <w:rsid w:val="008B3696"/>
    <w:rsid w:val="008B381A"/>
    <w:rsid w:val="008B3A98"/>
    <w:rsid w:val="008B3E36"/>
    <w:rsid w:val="008B492E"/>
    <w:rsid w:val="008B4952"/>
    <w:rsid w:val="008B4965"/>
    <w:rsid w:val="008B5094"/>
    <w:rsid w:val="008B50D8"/>
    <w:rsid w:val="008B5930"/>
    <w:rsid w:val="008B69E7"/>
    <w:rsid w:val="008B6B12"/>
    <w:rsid w:val="008B76CC"/>
    <w:rsid w:val="008B7787"/>
    <w:rsid w:val="008B78B1"/>
    <w:rsid w:val="008B79DD"/>
    <w:rsid w:val="008C01B1"/>
    <w:rsid w:val="008C01F9"/>
    <w:rsid w:val="008C0638"/>
    <w:rsid w:val="008C0AE6"/>
    <w:rsid w:val="008C0C2A"/>
    <w:rsid w:val="008C0FE1"/>
    <w:rsid w:val="008C1CCF"/>
    <w:rsid w:val="008C2127"/>
    <w:rsid w:val="008C240E"/>
    <w:rsid w:val="008C24A4"/>
    <w:rsid w:val="008C2527"/>
    <w:rsid w:val="008C2A85"/>
    <w:rsid w:val="008C2E1E"/>
    <w:rsid w:val="008C33EF"/>
    <w:rsid w:val="008C3A89"/>
    <w:rsid w:val="008C3DBE"/>
    <w:rsid w:val="008C46D4"/>
    <w:rsid w:val="008C495E"/>
    <w:rsid w:val="008C6045"/>
    <w:rsid w:val="008C63AD"/>
    <w:rsid w:val="008C6D38"/>
    <w:rsid w:val="008C6FE7"/>
    <w:rsid w:val="008C706A"/>
    <w:rsid w:val="008C7225"/>
    <w:rsid w:val="008C74BD"/>
    <w:rsid w:val="008D01CA"/>
    <w:rsid w:val="008D03E6"/>
    <w:rsid w:val="008D0A03"/>
    <w:rsid w:val="008D19FD"/>
    <w:rsid w:val="008D1ABD"/>
    <w:rsid w:val="008D25D3"/>
    <w:rsid w:val="008D2719"/>
    <w:rsid w:val="008D27FB"/>
    <w:rsid w:val="008D29CE"/>
    <w:rsid w:val="008D2B53"/>
    <w:rsid w:val="008D3A0D"/>
    <w:rsid w:val="008D3A4B"/>
    <w:rsid w:val="008D3CE4"/>
    <w:rsid w:val="008D3FA5"/>
    <w:rsid w:val="008D48A7"/>
    <w:rsid w:val="008D5344"/>
    <w:rsid w:val="008D6269"/>
    <w:rsid w:val="008D6467"/>
    <w:rsid w:val="008D741D"/>
    <w:rsid w:val="008D7845"/>
    <w:rsid w:val="008D78DB"/>
    <w:rsid w:val="008D7CA1"/>
    <w:rsid w:val="008D7D89"/>
    <w:rsid w:val="008E03EB"/>
    <w:rsid w:val="008E0423"/>
    <w:rsid w:val="008E084F"/>
    <w:rsid w:val="008E09D5"/>
    <w:rsid w:val="008E0B68"/>
    <w:rsid w:val="008E0FCF"/>
    <w:rsid w:val="008E18C2"/>
    <w:rsid w:val="008E1901"/>
    <w:rsid w:val="008E1E4F"/>
    <w:rsid w:val="008E1E90"/>
    <w:rsid w:val="008E25D6"/>
    <w:rsid w:val="008E2D06"/>
    <w:rsid w:val="008E2F26"/>
    <w:rsid w:val="008E3D11"/>
    <w:rsid w:val="008E3E1E"/>
    <w:rsid w:val="008E5043"/>
    <w:rsid w:val="008E50FA"/>
    <w:rsid w:val="008E5257"/>
    <w:rsid w:val="008E5425"/>
    <w:rsid w:val="008E57AE"/>
    <w:rsid w:val="008E6488"/>
    <w:rsid w:val="008E687D"/>
    <w:rsid w:val="008E69D6"/>
    <w:rsid w:val="008E6D69"/>
    <w:rsid w:val="008E7BD4"/>
    <w:rsid w:val="008E7D33"/>
    <w:rsid w:val="008E7E0B"/>
    <w:rsid w:val="008F09D2"/>
    <w:rsid w:val="008F0A4F"/>
    <w:rsid w:val="008F0A95"/>
    <w:rsid w:val="008F0C3E"/>
    <w:rsid w:val="008F0EEB"/>
    <w:rsid w:val="008F13A5"/>
    <w:rsid w:val="008F1783"/>
    <w:rsid w:val="008F1B7D"/>
    <w:rsid w:val="008F23A1"/>
    <w:rsid w:val="008F3378"/>
    <w:rsid w:val="008F355C"/>
    <w:rsid w:val="008F3909"/>
    <w:rsid w:val="008F3E07"/>
    <w:rsid w:val="008F4685"/>
    <w:rsid w:val="008F4B4E"/>
    <w:rsid w:val="008F567D"/>
    <w:rsid w:val="008F5772"/>
    <w:rsid w:val="008F662D"/>
    <w:rsid w:val="008F6845"/>
    <w:rsid w:val="008F6884"/>
    <w:rsid w:val="008F68B5"/>
    <w:rsid w:val="008F6BF0"/>
    <w:rsid w:val="008F6F1A"/>
    <w:rsid w:val="008F7554"/>
    <w:rsid w:val="008F76B7"/>
    <w:rsid w:val="008F76F9"/>
    <w:rsid w:val="008F7897"/>
    <w:rsid w:val="008F7D32"/>
    <w:rsid w:val="00900175"/>
    <w:rsid w:val="00900417"/>
    <w:rsid w:val="00900720"/>
    <w:rsid w:val="0090137A"/>
    <w:rsid w:val="00901D0C"/>
    <w:rsid w:val="00901DCC"/>
    <w:rsid w:val="009027CF"/>
    <w:rsid w:val="009029F9"/>
    <w:rsid w:val="00902B9F"/>
    <w:rsid w:val="00903370"/>
    <w:rsid w:val="00903A27"/>
    <w:rsid w:val="00904EDA"/>
    <w:rsid w:val="0090550D"/>
    <w:rsid w:val="009056C3"/>
    <w:rsid w:val="00905D91"/>
    <w:rsid w:val="00905E70"/>
    <w:rsid w:val="0090607F"/>
    <w:rsid w:val="00906442"/>
    <w:rsid w:val="00907673"/>
    <w:rsid w:val="009076D7"/>
    <w:rsid w:val="0091019E"/>
    <w:rsid w:val="009102FA"/>
    <w:rsid w:val="0091087B"/>
    <w:rsid w:val="00910FD0"/>
    <w:rsid w:val="00911516"/>
    <w:rsid w:val="009116E5"/>
    <w:rsid w:val="00911888"/>
    <w:rsid w:val="009120D1"/>
    <w:rsid w:val="009125C3"/>
    <w:rsid w:val="00912B74"/>
    <w:rsid w:val="00912C67"/>
    <w:rsid w:val="00912E38"/>
    <w:rsid w:val="009133AF"/>
    <w:rsid w:val="0091349A"/>
    <w:rsid w:val="00913A2B"/>
    <w:rsid w:val="00913D1A"/>
    <w:rsid w:val="00913FDE"/>
    <w:rsid w:val="00914399"/>
    <w:rsid w:val="009144F5"/>
    <w:rsid w:val="0091512A"/>
    <w:rsid w:val="0091530C"/>
    <w:rsid w:val="009158BF"/>
    <w:rsid w:val="00916DB1"/>
    <w:rsid w:val="009173D7"/>
    <w:rsid w:val="00917605"/>
    <w:rsid w:val="009176C9"/>
    <w:rsid w:val="00917768"/>
    <w:rsid w:val="009177EA"/>
    <w:rsid w:val="0092029F"/>
    <w:rsid w:val="00920DEC"/>
    <w:rsid w:val="00920F95"/>
    <w:rsid w:val="009211C9"/>
    <w:rsid w:val="009218E4"/>
    <w:rsid w:val="00921C61"/>
    <w:rsid w:val="00921F12"/>
    <w:rsid w:val="00922447"/>
    <w:rsid w:val="009228FD"/>
    <w:rsid w:val="00922A09"/>
    <w:rsid w:val="00922E63"/>
    <w:rsid w:val="009230D4"/>
    <w:rsid w:val="0092318E"/>
    <w:rsid w:val="009237F9"/>
    <w:rsid w:val="0092380E"/>
    <w:rsid w:val="009239D9"/>
    <w:rsid w:val="00923C17"/>
    <w:rsid w:val="00923C60"/>
    <w:rsid w:val="00924CE6"/>
    <w:rsid w:val="00925163"/>
    <w:rsid w:val="00925657"/>
    <w:rsid w:val="00925875"/>
    <w:rsid w:val="00925ACA"/>
    <w:rsid w:val="009267BD"/>
    <w:rsid w:val="0092706C"/>
    <w:rsid w:val="00927397"/>
    <w:rsid w:val="00927B46"/>
    <w:rsid w:val="00927FF8"/>
    <w:rsid w:val="00930264"/>
    <w:rsid w:val="009303FD"/>
    <w:rsid w:val="009311E9"/>
    <w:rsid w:val="00932B79"/>
    <w:rsid w:val="009331F9"/>
    <w:rsid w:val="00933E08"/>
    <w:rsid w:val="00933E13"/>
    <w:rsid w:val="00933E6E"/>
    <w:rsid w:val="00934161"/>
    <w:rsid w:val="009342FC"/>
    <w:rsid w:val="00934FF3"/>
    <w:rsid w:val="0093514E"/>
    <w:rsid w:val="00935561"/>
    <w:rsid w:val="00935A02"/>
    <w:rsid w:val="00936068"/>
    <w:rsid w:val="00936F45"/>
    <w:rsid w:val="00937629"/>
    <w:rsid w:val="00937DEA"/>
    <w:rsid w:val="009402F4"/>
    <w:rsid w:val="00940CDF"/>
    <w:rsid w:val="0094186A"/>
    <w:rsid w:val="00941F9D"/>
    <w:rsid w:val="00942259"/>
    <w:rsid w:val="009425D4"/>
    <w:rsid w:val="0094271D"/>
    <w:rsid w:val="00942802"/>
    <w:rsid w:val="00942B13"/>
    <w:rsid w:val="00942D31"/>
    <w:rsid w:val="00943377"/>
    <w:rsid w:val="00943383"/>
    <w:rsid w:val="00943806"/>
    <w:rsid w:val="009449DA"/>
    <w:rsid w:val="00944C08"/>
    <w:rsid w:val="00945C7E"/>
    <w:rsid w:val="00945E0F"/>
    <w:rsid w:val="00946351"/>
    <w:rsid w:val="00946761"/>
    <w:rsid w:val="00946CAA"/>
    <w:rsid w:val="00947DBD"/>
    <w:rsid w:val="009501DE"/>
    <w:rsid w:val="00951278"/>
    <w:rsid w:val="009517CC"/>
    <w:rsid w:val="00951EE6"/>
    <w:rsid w:val="00952130"/>
    <w:rsid w:val="00952516"/>
    <w:rsid w:val="0095279C"/>
    <w:rsid w:val="00953062"/>
    <w:rsid w:val="00953507"/>
    <w:rsid w:val="00953CCA"/>
    <w:rsid w:val="00953DEE"/>
    <w:rsid w:val="00954065"/>
    <w:rsid w:val="009544E1"/>
    <w:rsid w:val="00954B7B"/>
    <w:rsid w:val="0095552D"/>
    <w:rsid w:val="00955FF3"/>
    <w:rsid w:val="009560E3"/>
    <w:rsid w:val="00956910"/>
    <w:rsid w:val="00956C29"/>
    <w:rsid w:val="0095702D"/>
    <w:rsid w:val="0095741F"/>
    <w:rsid w:val="00957F10"/>
    <w:rsid w:val="0096014C"/>
    <w:rsid w:val="00960177"/>
    <w:rsid w:val="00960239"/>
    <w:rsid w:val="009614FA"/>
    <w:rsid w:val="009615D4"/>
    <w:rsid w:val="009618EC"/>
    <w:rsid w:val="00962905"/>
    <w:rsid w:val="00962B7F"/>
    <w:rsid w:val="00962C5E"/>
    <w:rsid w:val="009639C8"/>
    <w:rsid w:val="00963EB4"/>
    <w:rsid w:val="009655A4"/>
    <w:rsid w:val="0096593D"/>
    <w:rsid w:val="00966C2B"/>
    <w:rsid w:val="0096757E"/>
    <w:rsid w:val="009679D7"/>
    <w:rsid w:val="00967A52"/>
    <w:rsid w:val="00967B68"/>
    <w:rsid w:val="0097002A"/>
    <w:rsid w:val="009704D6"/>
    <w:rsid w:val="00970A20"/>
    <w:rsid w:val="00970E40"/>
    <w:rsid w:val="0097163D"/>
    <w:rsid w:val="00971C13"/>
    <w:rsid w:val="009721F8"/>
    <w:rsid w:val="009722A9"/>
    <w:rsid w:val="00972425"/>
    <w:rsid w:val="009730AB"/>
    <w:rsid w:val="00973539"/>
    <w:rsid w:val="00973CB0"/>
    <w:rsid w:val="00973EF7"/>
    <w:rsid w:val="0097405E"/>
    <w:rsid w:val="009742D5"/>
    <w:rsid w:val="00974677"/>
    <w:rsid w:val="009748D8"/>
    <w:rsid w:val="00974B75"/>
    <w:rsid w:val="00976023"/>
    <w:rsid w:val="00976661"/>
    <w:rsid w:val="00976DA5"/>
    <w:rsid w:val="00976DEC"/>
    <w:rsid w:val="00977B9B"/>
    <w:rsid w:val="00977C90"/>
    <w:rsid w:val="00977F6B"/>
    <w:rsid w:val="00980032"/>
    <w:rsid w:val="0098004B"/>
    <w:rsid w:val="00980461"/>
    <w:rsid w:val="00980500"/>
    <w:rsid w:val="009807D8"/>
    <w:rsid w:val="00980AC8"/>
    <w:rsid w:val="00980F81"/>
    <w:rsid w:val="00981496"/>
    <w:rsid w:val="009822F3"/>
    <w:rsid w:val="00982325"/>
    <w:rsid w:val="0098285E"/>
    <w:rsid w:val="00982B25"/>
    <w:rsid w:val="009831C8"/>
    <w:rsid w:val="00983328"/>
    <w:rsid w:val="009833AA"/>
    <w:rsid w:val="009833C6"/>
    <w:rsid w:val="0098355C"/>
    <w:rsid w:val="00983FD3"/>
    <w:rsid w:val="009843F9"/>
    <w:rsid w:val="009844FC"/>
    <w:rsid w:val="00984B0B"/>
    <w:rsid w:val="00985FBF"/>
    <w:rsid w:val="009864AF"/>
    <w:rsid w:val="00986A3E"/>
    <w:rsid w:val="00986B39"/>
    <w:rsid w:val="00986E69"/>
    <w:rsid w:val="00986EAE"/>
    <w:rsid w:val="0098713A"/>
    <w:rsid w:val="009872B9"/>
    <w:rsid w:val="0098731E"/>
    <w:rsid w:val="009901F4"/>
    <w:rsid w:val="00990339"/>
    <w:rsid w:val="009907B6"/>
    <w:rsid w:val="00991569"/>
    <w:rsid w:val="0099172E"/>
    <w:rsid w:val="00991E4F"/>
    <w:rsid w:val="009920C4"/>
    <w:rsid w:val="009922FD"/>
    <w:rsid w:val="009926B2"/>
    <w:rsid w:val="00993D66"/>
    <w:rsid w:val="00993F0E"/>
    <w:rsid w:val="00993FD9"/>
    <w:rsid w:val="00994420"/>
    <w:rsid w:val="009944AC"/>
    <w:rsid w:val="0099466B"/>
    <w:rsid w:val="00994F00"/>
    <w:rsid w:val="0099533D"/>
    <w:rsid w:val="00995E47"/>
    <w:rsid w:val="009962EC"/>
    <w:rsid w:val="00996476"/>
    <w:rsid w:val="009969C3"/>
    <w:rsid w:val="00996B09"/>
    <w:rsid w:val="00996B2B"/>
    <w:rsid w:val="00996CD2"/>
    <w:rsid w:val="00997CC7"/>
    <w:rsid w:val="00997D8E"/>
    <w:rsid w:val="009A0464"/>
    <w:rsid w:val="009A0767"/>
    <w:rsid w:val="009A0B13"/>
    <w:rsid w:val="009A0B5C"/>
    <w:rsid w:val="009A151B"/>
    <w:rsid w:val="009A21F6"/>
    <w:rsid w:val="009A275D"/>
    <w:rsid w:val="009A2F17"/>
    <w:rsid w:val="009A2F67"/>
    <w:rsid w:val="009A2FC8"/>
    <w:rsid w:val="009A34F7"/>
    <w:rsid w:val="009A3C2B"/>
    <w:rsid w:val="009A46E4"/>
    <w:rsid w:val="009A49E5"/>
    <w:rsid w:val="009A5748"/>
    <w:rsid w:val="009A59C1"/>
    <w:rsid w:val="009A5C26"/>
    <w:rsid w:val="009A5C3F"/>
    <w:rsid w:val="009A5E6D"/>
    <w:rsid w:val="009A69C1"/>
    <w:rsid w:val="009A75EC"/>
    <w:rsid w:val="009A7A1B"/>
    <w:rsid w:val="009A7E34"/>
    <w:rsid w:val="009B0D0C"/>
    <w:rsid w:val="009B1200"/>
    <w:rsid w:val="009B1745"/>
    <w:rsid w:val="009B1F68"/>
    <w:rsid w:val="009B22B1"/>
    <w:rsid w:val="009B29D5"/>
    <w:rsid w:val="009B340F"/>
    <w:rsid w:val="009B3EAA"/>
    <w:rsid w:val="009B43AD"/>
    <w:rsid w:val="009B44E4"/>
    <w:rsid w:val="009B4DE8"/>
    <w:rsid w:val="009B507D"/>
    <w:rsid w:val="009B5764"/>
    <w:rsid w:val="009B6850"/>
    <w:rsid w:val="009B69A6"/>
    <w:rsid w:val="009B7DFA"/>
    <w:rsid w:val="009C051F"/>
    <w:rsid w:val="009C07F5"/>
    <w:rsid w:val="009C2048"/>
    <w:rsid w:val="009C2720"/>
    <w:rsid w:val="009C2BE1"/>
    <w:rsid w:val="009C2D47"/>
    <w:rsid w:val="009C2E4B"/>
    <w:rsid w:val="009C363E"/>
    <w:rsid w:val="009C39D5"/>
    <w:rsid w:val="009C423E"/>
    <w:rsid w:val="009C4325"/>
    <w:rsid w:val="009C56FB"/>
    <w:rsid w:val="009C5935"/>
    <w:rsid w:val="009C6075"/>
    <w:rsid w:val="009C65C6"/>
    <w:rsid w:val="009C7F74"/>
    <w:rsid w:val="009D06FD"/>
    <w:rsid w:val="009D24F5"/>
    <w:rsid w:val="009D2C5F"/>
    <w:rsid w:val="009D3056"/>
    <w:rsid w:val="009D3EF5"/>
    <w:rsid w:val="009D4459"/>
    <w:rsid w:val="009D46B8"/>
    <w:rsid w:val="009D46C9"/>
    <w:rsid w:val="009D4FDB"/>
    <w:rsid w:val="009D52DA"/>
    <w:rsid w:val="009D533D"/>
    <w:rsid w:val="009D5E2B"/>
    <w:rsid w:val="009D6790"/>
    <w:rsid w:val="009D7526"/>
    <w:rsid w:val="009D7807"/>
    <w:rsid w:val="009D789D"/>
    <w:rsid w:val="009E0438"/>
    <w:rsid w:val="009E0A85"/>
    <w:rsid w:val="009E128D"/>
    <w:rsid w:val="009E1422"/>
    <w:rsid w:val="009E1549"/>
    <w:rsid w:val="009E1627"/>
    <w:rsid w:val="009E19A3"/>
    <w:rsid w:val="009E1E55"/>
    <w:rsid w:val="009E20AE"/>
    <w:rsid w:val="009E2270"/>
    <w:rsid w:val="009E24D2"/>
    <w:rsid w:val="009E26EA"/>
    <w:rsid w:val="009E2BF5"/>
    <w:rsid w:val="009E2D7C"/>
    <w:rsid w:val="009E2DAB"/>
    <w:rsid w:val="009E37F7"/>
    <w:rsid w:val="009E3A70"/>
    <w:rsid w:val="009E4573"/>
    <w:rsid w:val="009E46B5"/>
    <w:rsid w:val="009E47DE"/>
    <w:rsid w:val="009E4A8D"/>
    <w:rsid w:val="009E4DC0"/>
    <w:rsid w:val="009E4E0D"/>
    <w:rsid w:val="009E54E8"/>
    <w:rsid w:val="009E57F8"/>
    <w:rsid w:val="009E60BC"/>
    <w:rsid w:val="009E619A"/>
    <w:rsid w:val="009E61A8"/>
    <w:rsid w:val="009E6482"/>
    <w:rsid w:val="009E770B"/>
    <w:rsid w:val="009EF715"/>
    <w:rsid w:val="009F0467"/>
    <w:rsid w:val="009F075C"/>
    <w:rsid w:val="009F0802"/>
    <w:rsid w:val="009F1658"/>
    <w:rsid w:val="009F219C"/>
    <w:rsid w:val="009F29DF"/>
    <w:rsid w:val="009F2D84"/>
    <w:rsid w:val="009F3332"/>
    <w:rsid w:val="009F3A2E"/>
    <w:rsid w:val="009F3CEF"/>
    <w:rsid w:val="009F3F75"/>
    <w:rsid w:val="009F432F"/>
    <w:rsid w:val="009F4FCE"/>
    <w:rsid w:val="009F57EF"/>
    <w:rsid w:val="009F6434"/>
    <w:rsid w:val="009F67B9"/>
    <w:rsid w:val="009F7106"/>
    <w:rsid w:val="009F72FA"/>
    <w:rsid w:val="009F784E"/>
    <w:rsid w:val="00A00461"/>
    <w:rsid w:val="00A00916"/>
    <w:rsid w:val="00A00B8B"/>
    <w:rsid w:val="00A0119A"/>
    <w:rsid w:val="00A0158D"/>
    <w:rsid w:val="00A017BA"/>
    <w:rsid w:val="00A022E1"/>
    <w:rsid w:val="00A02847"/>
    <w:rsid w:val="00A02BC0"/>
    <w:rsid w:val="00A03594"/>
    <w:rsid w:val="00A03682"/>
    <w:rsid w:val="00A03A41"/>
    <w:rsid w:val="00A03D39"/>
    <w:rsid w:val="00A04D1A"/>
    <w:rsid w:val="00A05692"/>
    <w:rsid w:val="00A05989"/>
    <w:rsid w:val="00A0599A"/>
    <w:rsid w:val="00A059E1"/>
    <w:rsid w:val="00A06294"/>
    <w:rsid w:val="00A06D70"/>
    <w:rsid w:val="00A07385"/>
    <w:rsid w:val="00A074F5"/>
    <w:rsid w:val="00A0757A"/>
    <w:rsid w:val="00A075E5"/>
    <w:rsid w:val="00A0775A"/>
    <w:rsid w:val="00A079BA"/>
    <w:rsid w:val="00A104DE"/>
    <w:rsid w:val="00A107B1"/>
    <w:rsid w:val="00A11044"/>
    <w:rsid w:val="00A11783"/>
    <w:rsid w:val="00A128B7"/>
    <w:rsid w:val="00A129E0"/>
    <w:rsid w:val="00A12EFD"/>
    <w:rsid w:val="00A130C6"/>
    <w:rsid w:val="00A13272"/>
    <w:rsid w:val="00A13664"/>
    <w:rsid w:val="00A13958"/>
    <w:rsid w:val="00A13E11"/>
    <w:rsid w:val="00A13E5D"/>
    <w:rsid w:val="00A14084"/>
    <w:rsid w:val="00A145A2"/>
    <w:rsid w:val="00A14909"/>
    <w:rsid w:val="00A14B82"/>
    <w:rsid w:val="00A14DEA"/>
    <w:rsid w:val="00A14EC4"/>
    <w:rsid w:val="00A15559"/>
    <w:rsid w:val="00A15766"/>
    <w:rsid w:val="00A15E47"/>
    <w:rsid w:val="00A1649E"/>
    <w:rsid w:val="00A166DD"/>
    <w:rsid w:val="00A1670B"/>
    <w:rsid w:val="00A167FE"/>
    <w:rsid w:val="00A16F74"/>
    <w:rsid w:val="00A1707A"/>
    <w:rsid w:val="00A172F6"/>
    <w:rsid w:val="00A17915"/>
    <w:rsid w:val="00A20041"/>
    <w:rsid w:val="00A20104"/>
    <w:rsid w:val="00A202D1"/>
    <w:rsid w:val="00A217BF"/>
    <w:rsid w:val="00A21898"/>
    <w:rsid w:val="00A2292B"/>
    <w:rsid w:val="00A22DA4"/>
    <w:rsid w:val="00A23237"/>
    <w:rsid w:val="00A247CC"/>
    <w:rsid w:val="00A24E15"/>
    <w:rsid w:val="00A24FE7"/>
    <w:rsid w:val="00A25765"/>
    <w:rsid w:val="00A2607A"/>
    <w:rsid w:val="00A2738F"/>
    <w:rsid w:val="00A278C8"/>
    <w:rsid w:val="00A30476"/>
    <w:rsid w:val="00A30C15"/>
    <w:rsid w:val="00A30D2B"/>
    <w:rsid w:val="00A30FD1"/>
    <w:rsid w:val="00A31675"/>
    <w:rsid w:val="00A31ED2"/>
    <w:rsid w:val="00A32168"/>
    <w:rsid w:val="00A321DD"/>
    <w:rsid w:val="00A321F5"/>
    <w:rsid w:val="00A326B2"/>
    <w:rsid w:val="00A32A0F"/>
    <w:rsid w:val="00A32AE7"/>
    <w:rsid w:val="00A333F8"/>
    <w:rsid w:val="00A343E4"/>
    <w:rsid w:val="00A34F08"/>
    <w:rsid w:val="00A352FD"/>
    <w:rsid w:val="00A35B5B"/>
    <w:rsid w:val="00A35CE6"/>
    <w:rsid w:val="00A364EF"/>
    <w:rsid w:val="00A36699"/>
    <w:rsid w:val="00A36AB8"/>
    <w:rsid w:val="00A36B7B"/>
    <w:rsid w:val="00A36CF3"/>
    <w:rsid w:val="00A3725B"/>
    <w:rsid w:val="00A374A5"/>
    <w:rsid w:val="00A3795B"/>
    <w:rsid w:val="00A37C61"/>
    <w:rsid w:val="00A40080"/>
    <w:rsid w:val="00A40E9D"/>
    <w:rsid w:val="00A40F4F"/>
    <w:rsid w:val="00A41198"/>
    <w:rsid w:val="00A416AD"/>
    <w:rsid w:val="00A42183"/>
    <w:rsid w:val="00A42550"/>
    <w:rsid w:val="00A43C36"/>
    <w:rsid w:val="00A4429E"/>
    <w:rsid w:val="00A44B4E"/>
    <w:rsid w:val="00A454F6"/>
    <w:rsid w:val="00A4662A"/>
    <w:rsid w:val="00A470DD"/>
    <w:rsid w:val="00A471AE"/>
    <w:rsid w:val="00A475C5"/>
    <w:rsid w:val="00A47E92"/>
    <w:rsid w:val="00A5060B"/>
    <w:rsid w:val="00A50A98"/>
    <w:rsid w:val="00A50CD9"/>
    <w:rsid w:val="00A50F87"/>
    <w:rsid w:val="00A51004"/>
    <w:rsid w:val="00A51374"/>
    <w:rsid w:val="00A513D1"/>
    <w:rsid w:val="00A51927"/>
    <w:rsid w:val="00A51B9A"/>
    <w:rsid w:val="00A51CF4"/>
    <w:rsid w:val="00A52A1B"/>
    <w:rsid w:val="00A53651"/>
    <w:rsid w:val="00A53B31"/>
    <w:rsid w:val="00A545C2"/>
    <w:rsid w:val="00A5475D"/>
    <w:rsid w:val="00A54C26"/>
    <w:rsid w:val="00A551DA"/>
    <w:rsid w:val="00A5529A"/>
    <w:rsid w:val="00A55452"/>
    <w:rsid w:val="00A5564A"/>
    <w:rsid w:val="00A5640C"/>
    <w:rsid w:val="00A5703F"/>
    <w:rsid w:val="00A60002"/>
    <w:rsid w:val="00A60F29"/>
    <w:rsid w:val="00A61107"/>
    <w:rsid w:val="00A6137C"/>
    <w:rsid w:val="00A61C49"/>
    <w:rsid w:val="00A61D53"/>
    <w:rsid w:val="00A629AF"/>
    <w:rsid w:val="00A62CFF"/>
    <w:rsid w:val="00A62EEC"/>
    <w:rsid w:val="00A63B01"/>
    <w:rsid w:val="00A64A5C"/>
    <w:rsid w:val="00A64AAD"/>
    <w:rsid w:val="00A65DCB"/>
    <w:rsid w:val="00A66172"/>
    <w:rsid w:val="00A663A0"/>
    <w:rsid w:val="00A6640D"/>
    <w:rsid w:val="00A6674A"/>
    <w:rsid w:val="00A668D5"/>
    <w:rsid w:val="00A66CD3"/>
    <w:rsid w:val="00A67DBE"/>
    <w:rsid w:val="00A7108C"/>
    <w:rsid w:val="00A71BFB"/>
    <w:rsid w:val="00A71CD5"/>
    <w:rsid w:val="00A71DC0"/>
    <w:rsid w:val="00A727D7"/>
    <w:rsid w:val="00A73114"/>
    <w:rsid w:val="00A73453"/>
    <w:rsid w:val="00A736C1"/>
    <w:rsid w:val="00A73CA0"/>
    <w:rsid w:val="00A75DCB"/>
    <w:rsid w:val="00A75E32"/>
    <w:rsid w:val="00A76139"/>
    <w:rsid w:val="00A7669D"/>
    <w:rsid w:val="00A76A56"/>
    <w:rsid w:val="00A76A9E"/>
    <w:rsid w:val="00A76D18"/>
    <w:rsid w:val="00A773D5"/>
    <w:rsid w:val="00A8035D"/>
    <w:rsid w:val="00A80CEF"/>
    <w:rsid w:val="00A80D7A"/>
    <w:rsid w:val="00A811A9"/>
    <w:rsid w:val="00A8135A"/>
    <w:rsid w:val="00A8157A"/>
    <w:rsid w:val="00A8180A"/>
    <w:rsid w:val="00A8183A"/>
    <w:rsid w:val="00A81EB0"/>
    <w:rsid w:val="00A82A40"/>
    <w:rsid w:val="00A831BD"/>
    <w:rsid w:val="00A83518"/>
    <w:rsid w:val="00A836F3"/>
    <w:rsid w:val="00A837E3"/>
    <w:rsid w:val="00A83A2D"/>
    <w:rsid w:val="00A8477B"/>
    <w:rsid w:val="00A84E01"/>
    <w:rsid w:val="00A85110"/>
    <w:rsid w:val="00A859C1"/>
    <w:rsid w:val="00A85A6A"/>
    <w:rsid w:val="00A85C97"/>
    <w:rsid w:val="00A86051"/>
    <w:rsid w:val="00A8625F"/>
    <w:rsid w:val="00A86CCD"/>
    <w:rsid w:val="00A870C9"/>
    <w:rsid w:val="00A8719B"/>
    <w:rsid w:val="00A87807"/>
    <w:rsid w:val="00A87885"/>
    <w:rsid w:val="00A87998"/>
    <w:rsid w:val="00A87A9B"/>
    <w:rsid w:val="00A87AB4"/>
    <w:rsid w:val="00A87CF8"/>
    <w:rsid w:val="00A87DE3"/>
    <w:rsid w:val="00A90151"/>
    <w:rsid w:val="00A90256"/>
    <w:rsid w:val="00A9037B"/>
    <w:rsid w:val="00A9083B"/>
    <w:rsid w:val="00A91551"/>
    <w:rsid w:val="00A915CD"/>
    <w:rsid w:val="00A917C5"/>
    <w:rsid w:val="00A91936"/>
    <w:rsid w:val="00A91990"/>
    <w:rsid w:val="00A91C50"/>
    <w:rsid w:val="00A91E6B"/>
    <w:rsid w:val="00A92304"/>
    <w:rsid w:val="00A9268B"/>
    <w:rsid w:val="00A928FE"/>
    <w:rsid w:val="00A92FDD"/>
    <w:rsid w:val="00A930E9"/>
    <w:rsid w:val="00A93528"/>
    <w:rsid w:val="00A9359B"/>
    <w:rsid w:val="00A9378B"/>
    <w:rsid w:val="00A93EC7"/>
    <w:rsid w:val="00A94C2E"/>
    <w:rsid w:val="00A9545C"/>
    <w:rsid w:val="00A955AD"/>
    <w:rsid w:val="00A970A6"/>
    <w:rsid w:val="00A970EB"/>
    <w:rsid w:val="00A97120"/>
    <w:rsid w:val="00A97324"/>
    <w:rsid w:val="00A9794B"/>
    <w:rsid w:val="00A97B3F"/>
    <w:rsid w:val="00A97FCB"/>
    <w:rsid w:val="00AA0AF4"/>
    <w:rsid w:val="00AA0F31"/>
    <w:rsid w:val="00AA13D1"/>
    <w:rsid w:val="00AA163B"/>
    <w:rsid w:val="00AA1BE2"/>
    <w:rsid w:val="00AA1C0B"/>
    <w:rsid w:val="00AA21A5"/>
    <w:rsid w:val="00AA2BD3"/>
    <w:rsid w:val="00AA333C"/>
    <w:rsid w:val="00AA3373"/>
    <w:rsid w:val="00AA3569"/>
    <w:rsid w:val="00AA39BE"/>
    <w:rsid w:val="00AA4399"/>
    <w:rsid w:val="00AA4E45"/>
    <w:rsid w:val="00AA525C"/>
    <w:rsid w:val="00AA5CE5"/>
    <w:rsid w:val="00AA5EF6"/>
    <w:rsid w:val="00AA617C"/>
    <w:rsid w:val="00AA6A8E"/>
    <w:rsid w:val="00AA705B"/>
    <w:rsid w:val="00AA70B2"/>
    <w:rsid w:val="00AA7259"/>
    <w:rsid w:val="00AB0925"/>
    <w:rsid w:val="00AB0A02"/>
    <w:rsid w:val="00AB10F4"/>
    <w:rsid w:val="00AB222C"/>
    <w:rsid w:val="00AB2332"/>
    <w:rsid w:val="00AB2414"/>
    <w:rsid w:val="00AB2458"/>
    <w:rsid w:val="00AB2D17"/>
    <w:rsid w:val="00AB2E29"/>
    <w:rsid w:val="00AB34AD"/>
    <w:rsid w:val="00AB36B0"/>
    <w:rsid w:val="00AB3EAD"/>
    <w:rsid w:val="00AB3FE9"/>
    <w:rsid w:val="00AB46E2"/>
    <w:rsid w:val="00AB5816"/>
    <w:rsid w:val="00AB5828"/>
    <w:rsid w:val="00AB5ADD"/>
    <w:rsid w:val="00AB62D2"/>
    <w:rsid w:val="00AB6D24"/>
    <w:rsid w:val="00AB76C1"/>
    <w:rsid w:val="00AB7F67"/>
    <w:rsid w:val="00AC0A0E"/>
    <w:rsid w:val="00AC0DD2"/>
    <w:rsid w:val="00AC1751"/>
    <w:rsid w:val="00AC18FD"/>
    <w:rsid w:val="00AC24BC"/>
    <w:rsid w:val="00AC31F6"/>
    <w:rsid w:val="00AC3271"/>
    <w:rsid w:val="00AC348F"/>
    <w:rsid w:val="00AC4567"/>
    <w:rsid w:val="00AC48F6"/>
    <w:rsid w:val="00AC4A05"/>
    <w:rsid w:val="00AC4D9E"/>
    <w:rsid w:val="00AC4F7C"/>
    <w:rsid w:val="00AC5771"/>
    <w:rsid w:val="00AC587D"/>
    <w:rsid w:val="00AC5ACC"/>
    <w:rsid w:val="00AC6AA7"/>
    <w:rsid w:val="00AC7962"/>
    <w:rsid w:val="00AC79EB"/>
    <w:rsid w:val="00AC7AEE"/>
    <w:rsid w:val="00AC7AF7"/>
    <w:rsid w:val="00AC7F73"/>
    <w:rsid w:val="00AD0A2D"/>
    <w:rsid w:val="00AD17B6"/>
    <w:rsid w:val="00AD17ED"/>
    <w:rsid w:val="00AD1A2F"/>
    <w:rsid w:val="00AD1AA2"/>
    <w:rsid w:val="00AD1F0C"/>
    <w:rsid w:val="00AD2698"/>
    <w:rsid w:val="00AD380F"/>
    <w:rsid w:val="00AD3A1A"/>
    <w:rsid w:val="00AD3E31"/>
    <w:rsid w:val="00AD3FC3"/>
    <w:rsid w:val="00AD42D7"/>
    <w:rsid w:val="00AD4A6F"/>
    <w:rsid w:val="00AD4CA4"/>
    <w:rsid w:val="00AD52A3"/>
    <w:rsid w:val="00AD5372"/>
    <w:rsid w:val="00AD5908"/>
    <w:rsid w:val="00AD5A1A"/>
    <w:rsid w:val="00AD5EF8"/>
    <w:rsid w:val="00AD62BC"/>
    <w:rsid w:val="00AD6449"/>
    <w:rsid w:val="00AD64AD"/>
    <w:rsid w:val="00AD6566"/>
    <w:rsid w:val="00AD6614"/>
    <w:rsid w:val="00AD7322"/>
    <w:rsid w:val="00AD742B"/>
    <w:rsid w:val="00AD776B"/>
    <w:rsid w:val="00AD7A30"/>
    <w:rsid w:val="00AD7CC3"/>
    <w:rsid w:val="00AD7FC6"/>
    <w:rsid w:val="00AE0B02"/>
    <w:rsid w:val="00AE0FED"/>
    <w:rsid w:val="00AE29D0"/>
    <w:rsid w:val="00AE2B50"/>
    <w:rsid w:val="00AE3275"/>
    <w:rsid w:val="00AE334D"/>
    <w:rsid w:val="00AE38E9"/>
    <w:rsid w:val="00AE3E7F"/>
    <w:rsid w:val="00AE42BA"/>
    <w:rsid w:val="00AE4AA5"/>
    <w:rsid w:val="00AE4CB1"/>
    <w:rsid w:val="00AE528A"/>
    <w:rsid w:val="00AE55D2"/>
    <w:rsid w:val="00AE5B0E"/>
    <w:rsid w:val="00AE6982"/>
    <w:rsid w:val="00AE6AAD"/>
    <w:rsid w:val="00AE7232"/>
    <w:rsid w:val="00AE7264"/>
    <w:rsid w:val="00AE731E"/>
    <w:rsid w:val="00AE765B"/>
    <w:rsid w:val="00AE7811"/>
    <w:rsid w:val="00AE7A4C"/>
    <w:rsid w:val="00AF015D"/>
    <w:rsid w:val="00AF0160"/>
    <w:rsid w:val="00AF0218"/>
    <w:rsid w:val="00AF16F7"/>
    <w:rsid w:val="00AF1950"/>
    <w:rsid w:val="00AF26E5"/>
    <w:rsid w:val="00AF28A2"/>
    <w:rsid w:val="00AF350D"/>
    <w:rsid w:val="00AF3564"/>
    <w:rsid w:val="00AF3702"/>
    <w:rsid w:val="00AF3BD9"/>
    <w:rsid w:val="00AF479F"/>
    <w:rsid w:val="00AF4E22"/>
    <w:rsid w:val="00AF53AB"/>
    <w:rsid w:val="00AF5554"/>
    <w:rsid w:val="00AF568D"/>
    <w:rsid w:val="00AF5B0E"/>
    <w:rsid w:val="00AF6828"/>
    <w:rsid w:val="00AF7484"/>
    <w:rsid w:val="00B00073"/>
    <w:rsid w:val="00B009A6"/>
    <w:rsid w:val="00B0166E"/>
    <w:rsid w:val="00B01822"/>
    <w:rsid w:val="00B01C80"/>
    <w:rsid w:val="00B01D83"/>
    <w:rsid w:val="00B022C3"/>
    <w:rsid w:val="00B02F3B"/>
    <w:rsid w:val="00B03034"/>
    <w:rsid w:val="00B032A5"/>
    <w:rsid w:val="00B03497"/>
    <w:rsid w:val="00B03C13"/>
    <w:rsid w:val="00B0408D"/>
    <w:rsid w:val="00B044BC"/>
    <w:rsid w:val="00B046C2"/>
    <w:rsid w:val="00B04B9E"/>
    <w:rsid w:val="00B05454"/>
    <w:rsid w:val="00B055C2"/>
    <w:rsid w:val="00B05834"/>
    <w:rsid w:val="00B05C99"/>
    <w:rsid w:val="00B05F75"/>
    <w:rsid w:val="00B06234"/>
    <w:rsid w:val="00B063EA"/>
    <w:rsid w:val="00B06CCA"/>
    <w:rsid w:val="00B07B9D"/>
    <w:rsid w:val="00B1056B"/>
    <w:rsid w:val="00B10F9D"/>
    <w:rsid w:val="00B11652"/>
    <w:rsid w:val="00B11B62"/>
    <w:rsid w:val="00B11E62"/>
    <w:rsid w:val="00B11F80"/>
    <w:rsid w:val="00B121B7"/>
    <w:rsid w:val="00B13DBD"/>
    <w:rsid w:val="00B1489D"/>
    <w:rsid w:val="00B14E38"/>
    <w:rsid w:val="00B153F7"/>
    <w:rsid w:val="00B15708"/>
    <w:rsid w:val="00B15F57"/>
    <w:rsid w:val="00B16125"/>
    <w:rsid w:val="00B167D8"/>
    <w:rsid w:val="00B16CED"/>
    <w:rsid w:val="00B17361"/>
    <w:rsid w:val="00B17644"/>
    <w:rsid w:val="00B17E17"/>
    <w:rsid w:val="00B20356"/>
    <w:rsid w:val="00B203B8"/>
    <w:rsid w:val="00B205A8"/>
    <w:rsid w:val="00B209A4"/>
    <w:rsid w:val="00B216B4"/>
    <w:rsid w:val="00B21CBB"/>
    <w:rsid w:val="00B21D88"/>
    <w:rsid w:val="00B2247A"/>
    <w:rsid w:val="00B224BE"/>
    <w:rsid w:val="00B2298F"/>
    <w:rsid w:val="00B22B9B"/>
    <w:rsid w:val="00B23210"/>
    <w:rsid w:val="00B23258"/>
    <w:rsid w:val="00B2344B"/>
    <w:rsid w:val="00B23603"/>
    <w:rsid w:val="00B23612"/>
    <w:rsid w:val="00B2377D"/>
    <w:rsid w:val="00B23C7C"/>
    <w:rsid w:val="00B23F26"/>
    <w:rsid w:val="00B24044"/>
    <w:rsid w:val="00B244CB"/>
    <w:rsid w:val="00B24832"/>
    <w:rsid w:val="00B25D3A"/>
    <w:rsid w:val="00B26806"/>
    <w:rsid w:val="00B26868"/>
    <w:rsid w:val="00B26A2B"/>
    <w:rsid w:val="00B26B66"/>
    <w:rsid w:val="00B27631"/>
    <w:rsid w:val="00B27EB3"/>
    <w:rsid w:val="00B302FA"/>
    <w:rsid w:val="00B30D1C"/>
    <w:rsid w:val="00B313D7"/>
    <w:rsid w:val="00B314DB"/>
    <w:rsid w:val="00B31BBF"/>
    <w:rsid w:val="00B31F16"/>
    <w:rsid w:val="00B31FC5"/>
    <w:rsid w:val="00B32B88"/>
    <w:rsid w:val="00B32D6C"/>
    <w:rsid w:val="00B336C1"/>
    <w:rsid w:val="00B33DD7"/>
    <w:rsid w:val="00B33E00"/>
    <w:rsid w:val="00B34048"/>
    <w:rsid w:val="00B34683"/>
    <w:rsid w:val="00B3471A"/>
    <w:rsid w:val="00B3489E"/>
    <w:rsid w:val="00B34A58"/>
    <w:rsid w:val="00B34C90"/>
    <w:rsid w:val="00B34D1B"/>
    <w:rsid w:val="00B35455"/>
    <w:rsid w:val="00B3556A"/>
    <w:rsid w:val="00B35869"/>
    <w:rsid w:val="00B35DB4"/>
    <w:rsid w:val="00B35DF6"/>
    <w:rsid w:val="00B35EE4"/>
    <w:rsid w:val="00B365E7"/>
    <w:rsid w:val="00B36CCC"/>
    <w:rsid w:val="00B370D3"/>
    <w:rsid w:val="00B3749D"/>
    <w:rsid w:val="00B37707"/>
    <w:rsid w:val="00B40519"/>
    <w:rsid w:val="00B40B13"/>
    <w:rsid w:val="00B41899"/>
    <w:rsid w:val="00B41E7B"/>
    <w:rsid w:val="00B42238"/>
    <w:rsid w:val="00B422CA"/>
    <w:rsid w:val="00B42825"/>
    <w:rsid w:val="00B42C12"/>
    <w:rsid w:val="00B42D44"/>
    <w:rsid w:val="00B43A79"/>
    <w:rsid w:val="00B43BE5"/>
    <w:rsid w:val="00B443CC"/>
    <w:rsid w:val="00B447AE"/>
    <w:rsid w:val="00B45683"/>
    <w:rsid w:val="00B46B93"/>
    <w:rsid w:val="00B479F4"/>
    <w:rsid w:val="00B500D2"/>
    <w:rsid w:val="00B51128"/>
    <w:rsid w:val="00B51553"/>
    <w:rsid w:val="00B518E6"/>
    <w:rsid w:val="00B5196B"/>
    <w:rsid w:val="00B52088"/>
    <w:rsid w:val="00B528EC"/>
    <w:rsid w:val="00B52F43"/>
    <w:rsid w:val="00B5312F"/>
    <w:rsid w:val="00B532B2"/>
    <w:rsid w:val="00B53381"/>
    <w:rsid w:val="00B53C21"/>
    <w:rsid w:val="00B53EF8"/>
    <w:rsid w:val="00B53F13"/>
    <w:rsid w:val="00B550C6"/>
    <w:rsid w:val="00B550DA"/>
    <w:rsid w:val="00B5515B"/>
    <w:rsid w:val="00B55277"/>
    <w:rsid w:val="00B559EF"/>
    <w:rsid w:val="00B55C04"/>
    <w:rsid w:val="00B55E7F"/>
    <w:rsid w:val="00B56588"/>
    <w:rsid w:val="00B56700"/>
    <w:rsid w:val="00B56B97"/>
    <w:rsid w:val="00B5757E"/>
    <w:rsid w:val="00B57DAB"/>
    <w:rsid w:val="00B604D3"/>
    <w:rsid w:val="00B607D9"/>
    <w:rsid w:val="00B6161A"/>
    <w:rsid w:val="00B61C9A"/>
    <w:rsid w:val="00B620DA"/>
    <w:rsid w:val="00B631AE"/>
    <w:rsid w:val="00B6346C"/>
    <w:rsid w:val="00B63693"/>
    <w:rsid w:val="00B63F3C"/>
    <w:rsid w:val="00B63F69"/>
    <w:rsid w:val="00B63FEF"/>
    <w:rsid w:val="00B6401F"/>
    <w:rsid w:val="00B64E02"/>
    <w:rsid w:val="00B65412"/>
    <w:rsid w:val="00B65696"/>
    <w:rsid w:val="00B659CA"/>
    <w:rsid w:val="00B65DAA"/>
    <w:rsid w:val="00B66104"/>
    <w:rsid w:val="00B66B2F"/>
    <w:rsid w:val="00B66B9B"/>
    <w:rsid w:val="00B67A80"/>
    <w:rsid w:val="00B67D36"/>
    <w:rsid w:val="00B71353"/>
    <w:rsid w:val="00B713F2"/>
    <w:rsid w:val="00B71417"/>
    <w:rsid w:val="00B72025"/>
    <w:rsid w:val="00B720EC"/>
    <w:rsid w:val="00B72172"/>
    <w:rsid w:val="00B727CB"/>
    <w:rsid w:val="00B72A07"/>
    <w:rsid w:val="00B72CEB"/>
    <w:rsid w:val="00B73AC3"/>
    <w:rsid w:val="00B73DF5"/>
    <w:rsid w:val="00B74D06"/>
    <w:rsid w:val="00B74DEE"/>
    <w:rsid w:val="00B74F7F"/>
    <w:rsid w:val="00B7504D"/>
    <w:rsid w:val="00B75326"/>
    <w:rsid w:val="00B75B08"/>
    <w:rsid w:val="00B75DB5"/>
    <w:rsid w:val="00B76471"/>
    <w:rsid w:val="00B76536"/>
    <w:rsid w:val="00B7663C"/>
    <w:rsid w:val="00B76B59"/>
    <w:rsid w:val="00B76CE1"/>
    <w:rsid w:val="00B77355"/>
    <w:rsid w:val="00B7770B"/>
    <w:rsid w:val="00B77738"/>
    <w:rsid w:val="00B80093"/>
    <w:rsid w:val="00B807A2"/>
    <w:rsid w:val="00B80DAB"/>
    <w:rsid w:val="00B80F63"/>
    <w:rsid w:val="00B817EA"/>
    <w:rsid w:val="00B81AB0"/>
    <w:rsid w:val="00B81D93"/>
    <w:rsid w:val="00B824A1"/>
    <w:rsid w:val="00B82673"/>
    <w:rsid w:val="00B82A11"/>
    <w:rsid w:val="00B83F07"/>
    <w:rsid w:val="00B84056"/>
    <w:rsid w:val="00B845AF"/>
    <w:rsid w:val="00B84869"/>
    <w:rsid w:val="00B84FB2"/>
    <w:rsid w:val="00B853FC"/>
    <w:rsid w:val="00B85DA1"/>
    <w:rsid w:val="00B861DA"/>
    <w:rsid w:val="00B8647B"/>
    <w:rsid w:val="00B864DA"/>
    <w:rsid w:val="00B86607"/>
    <w:rsid w:val="00B86A3F"/>
    <w:rsid w:val="00B87181"/>
    <w:rsid w:val="00B8747F"/>
    <w:rsid w:val="00B87859"/>
    <w:rsid w:val="00B87A77"/>
    <w:rsid w:val="00B90FED"/>
    <w:rsid w:val="00B91010"/>
    <w:rsid w:val="00B912D2"/>
    <w:rsid w:val="00B913DD"/>
    <w:rsid w:val="00B91ABC"/>
    <w:rsid w:val="00B91D47"/>
    <w:rsid w:val="00B91E07"/>
    <w:rsid w:val="00B91ED7"/>
    <w:rsid w:val="00B92105"/>
    <w:rsid w:val="00B92BDC"/>
    <w:rsid w:val="00B92FE9"/>
    <w:rsid w:val="00B935C7"/>
    <w:rsid w:val="00B93D97"/>
    <w:rsid w:val="00B93DE1"/>
    <w:rsid w:val="00B947E6"/>
    <w:rsid w:val="00B94E9F"/>
    <w:rsid w:val="00B953E2"/>
    <w:rsid w:val="00B95EDC"/>
    <w:rsid w:val="00B95FFB"/>
    <w:rsid w:val="00B960CC"/>
    <w:rsid w:val="00B96314"/>
    <w:rsid w:val="00B96818"/>
    <w:rsid w:val="00B96D69"/>
    <w:rsid w:val="00B97EF5"/>
    <w:rsid w:val="00BA0208"/>
    <w:rsid w:val="00BA0C69"/>
    <w:rsid w:val="00BA0CD4"/>
    <w:rsid w:val="00BA0FB2"/>
    <w:rsid w:val="00BA295C"/>
    <w:rsid w:val="00BA378E"/>
    <w:rsid w:val="00BA3CB8"/>
    <w:rsid w:val="00BA5C83"/>
    <w:rsid w:val="00BA5EEA"/>
    <w:rsid w:val="00BA6AC9"/>
    <w:rsid w:val="00BA6C1A"/>
    <w:rsid w:val="00BA6C95"/>
    <w:rsid w:val="00BA6D04"/>
    <w:rsid w:val="00BA7623"/>
    <w:rsid w:val="00BA7B76"/>
    <w:rsid w:val="00BB03F8"/>
    <w:rsid w:val="00BB0811"/>
    <w:rsid w:val="00BB1B03"/>
    <w:rsid w:val="00BB271D"/>
    <w:rsid w:val="00BB312C"/>
    <w:rsid w:val="00BB33E5"/>
    <w:rsid w:val="00BB3EDA"/>
    <w:rsid w:val="00BB3F88"/>
    <w:rsid w:val="00BB41BF"/>
    <w:rsid w:val="00BB4E29"/>
    <w:rsid w:val="00BB5421"/>
    <w:rsid w:val="00BB5801"/>
    <w:rsid w:val="00BB628F"/>
    <w:rsid w:val="00BB671A"/>
    <w:rsid w:val="00BB7119"/>
    <w:rsid w:val="00BB76C0"/>
    <w:rsid w:val="00BB7777"/>
    <w:rsid w:val="00BB7F9C"/>
    <w:rsid w:val="00BB7FD8"/>
    <w:rsid w:val="00BC0093"/>
    <w:rsid w:val="00BC0DCE"/>
    <w:rsid w:val="00BC0F2C"/>
    <w:rsid w:val="00BC0FC4"/>
    <w:rsid w:val="00BC1024"/>
    <w:rsid w:val="00BC127C"/>
    <w:rsid w:val="00BC1A29"/>
    <w:rsid w:val="00BC219C"/>
    <w:rsid w:val="00BC2613"/>
    <w:rsid w:val="00BC2FE1"/>
    <w:rsid w:val="00BC31AD"/>
    <w:rsid w:val="00BC35B4"/>
    <w:rsid w:val="00BC44FD"/>
    <w:rsid w:val="00BC49DB"/>
    <w:rsid w:val="00BC4EAC"/>
    <w:rsid w:val="00BC520E"/>
    <w:rsid w:val="00BC529C"/>
    <w:rsid w:val="00BC56F0"/>
    <w:rsid w:val="00BC582B"/>
    <w:rsid w:val="00BC59B4"/>
    <w:rsid w:val="00BC60FA"/>
    <w:rsid w:val="00BC6606"/>
    <w:rsid w:val="00BC6984"/>
    <w:rsid w:val="00BC6BEF"/>
    <w:rsid w:val="00BC6F84"/>
    <w:rsid w:val="00BC751B"/>
    <w:rsid w:val="00BC7C1B"/>
    <w:rsid w:val="00BC7D57"/>
    <w:rsid w:val="00BC7F9B"/>
    <w:rsid w:val="00BD039C"/>
    <w:rsid w:val="00BD07D0"/>
    <w:rsid w:val="00BD0B41"/>
    <w:rsid w:val="00BD0D3E"/>
    <w:rsid w:val="00BD0DA4"/>
    <w:rsid w:val="00BD190D"/>
    <w:rsid w:val="00BD20A1"/>
    <w:rsid w:val="00BD2699"/>
    <w:rsid w:val="00BD2813"/>
    <w:rsid w:val="00BD3641"/>
    <w:rsid w:val="00BD46AB"/>
    <w:rsid w:val="00BD4DE2"/>
    <w:rsid w:val="00BD4FD7"/>
    <w:rsid w:val="00BD54A0"/>
    <w:rsid w:val="00BD588C"/>
    <w:rsid w:val="00BD5CFF"/>
    <w:rsid w:val="00BD606B"/>
    <w:rsid w:val="00BD60F4"/>
    <w:rsid w:val="00BD69C8"/>
    <w:rsid w:val="00BD7EB4"/>
    <w:rsid w:val="00BE0261"/>
    <w:rsid w:val="00BE0315"/>
    <w:rsid w:val="00BE04E8"/>
    <w:rsid w:val="00BE05F0"/>
    <w:rsid w:val="00BE06E6"/>
    <w:rsid w:val="00BE25E4"/>
    <w:rsid w:val="00BE3219"/>
    <w:rsid w:val="00BE3390"/>
    <w:rsid w:val="00BE36EB"/>
    <w:rsid w:val="00BE3927"/>
    <w:rsid w:val="00BE3C3E"/>
    <w:rsid w:val="00BE418C"/>
    <w:rsid w:val="00BE42FA"/>
    <w:rsid w:val="00BE442D"/>
    <w:rsid w:val="00BE4CDB"/>
    <w:rsid w:val="00BE578F"/>
    <w:rsid w:val="00BE5C26"/>
    <w:rsid w:val="00BE607B"/>
    <w:rsid w:val="00BE62AD"/>
    <w:rsid w:val="00BE6639"/>
    <w:rsid w:val="00BE6799"/>
    <w:rsid w:val="00BE759D"/>
    <w:rsid w:val="00BE761F"/>
    <w:rsid w:val="00BF0B53"/>
    <w:rsid w:val="00BF0B9C"/>
    <w:rsid w:val="00BF0D87"/>
    <w:rsid w:val="00BF0EF2"/>
    <w:rsid w:val="00BF0F4A"/>
    <w:rsid w:val="00BF0F75"/>
    <w:rsid w:val="00BF112C"/>
    <w:rsid w:val="00BF11A0"/>
    <w:rsid w:val="00BF14FC"/>
    <w:rsid w:val="00BF159C"/>
    <w:rsid w:val="00BF1643"/>
    <w:rsid w:val="00BF1941"/>
    <w:rsid w:val="00BF1961"/>
    <w:rsid w:val="00BF1C49"/>
    <w:rsid w:val="00BF2AE5"/>
    <w:rsid w:val="00BF2B79"/>
    <w:rsid w:val="00BF3A5E"/>
    <w:rsid w:val="00BF48D7"/>
    <w:rsid w:val="00BF5189"/>
    <w:rsid w:val="00BF5E8F"/>
    <w:rsid w:val="00BF61E8"/>
    <w:rsid w:val="00BF68C8"/>
    <w:rsid w:val="00BF6C26"/>
    <w:rsid w:val="00BF762E"/>
    <w:rsid w:val="00BF7B00"/>
    <w:rsid w:val="00BF7DE7"/>
    <w:rsid w:val="00C00878"/>
    <w:rsid w:val="00C016A3"/>
    <w:rsid w:val="00C01D66"/>
    <w:rsid w:val="00C01E68"/>
    <w:rsid w:val="00C03B3E"/>
    <w:rsid w:val="00C03F93"/>
    <w:rsid w:val="00C0424C"/>
    <w:rsid w:val="00C043E1"/>
    <w:rsid w:val="00C047D1"/>
    <w:rsid w:val="00C04ABE"/>
    <w:rsid w:val="00C04F0E"/>
    <w:rsid w:val="00C055B2"/>
    <w:rsid w:val="00C060A2"/>
    <w:rsid w:val="00C06747"/>
    <w:rsid w:val="00C06C37"/>
    <w:rsid w:val="00C07FFD"/>
    <w:rsid w:val="00C1022E"/>
    <w:rsid w:val="00C10785"/>
    <w:rsid w:val="00C10E77"/>
    <w:rsid w:val="00C114FE"/>
    <w:rsid w:val="00C117AA"/>
    <w:rsid w:val="00C117C6"/>
    <w:rsid w:val="00C11924"/>
    <w:rsid w:val="00C11E53"/>
    <w:rsid w:val="00C1298D"/>
    <w:rsid w:val="00C12E13"/>
    <w:rsid w:val="00C13195"/>
    <w:rsid w:val="00C13D06"/>
    <w:rsid w:val="00C14016"/>
    <w:rsid w:val="00C15944"/>
    <w:rsid w:val="00C165E3"/>
    <w:rsid w:val="00C16875"/>
    <w:rsid w:val="00C1694C"/>
    <w:rsid w:val="00C16C15"/>
    <w:rsid w:val="00C17153"/>
    <w:rsid w:val="00C1781E"/>
    <w:rsid w:val="00C17925"/>
    <w:rsid w:val="00C179FF"/>
    <w:rsid w:val="00C17B40"/>
    <w:rsid w:val="00C2006D"/>
    <w:rsid w:val="00C20394"/>
    <w:rsid w:val="00C203D5"/>
    <w:rsid w:val="00C20574"/>
    <w:rsid w:val="00C20CC2"/>
    <w:rsid w:val="00C221A0"/>
    <w:rsid w:val="00C2259E"/>
    <w:rsid w:val="00C22EDF"/>
    <w:rsid w:val="00C238D1"/>
    <w:rsid w:val="00C23AEF"/>
    <w:rsid w:val="00C24060"/>
    <w:rsid w:val="00C24140"/>
    <w:rsid w:val="00C2443E"/>
    <w:rsid w:val="00C24B60"/>
    <w:rsid w:val="00C24D26"/>
    <w:rsid w:val="00C25C46"/>
    <w:rsid w:val="00C25F9D"/>
    <w:rsid w:val="00C25FF5"/>
    <w:rsid w:val="00C2635C"/>
    <w:rsid w:val="00C26E28"/>
    <w:rsid w:val="00C27094"/>
    <w:rsid w:val="00C270B1"/>
    <w:rsid w:val="00C271E1"/>
    <w:rsid w:val="00C272F0"/>
    <w:rsid w:val="00C303CC"/>
    <w:rsid w:val="00C30855"/>
    <w:rsid w:val="00C30B9C"/>
    <w:rsid w:val="00C313DD"/>
    <w:rsid w:val="00C314F3"/>
    <w:rsid w:val="00C3191D"/>
    <w:rsid w:val="00C31E23"/>
    <w:rsid w:val="00C3227D"/>
    <w:rsid w:val="00C324C3"/>
    <w:rsid w:val="00C326F9"/>
    <w:rsid w:val="00C328F2"/>
    <w:rsid w:val="00C3290A"/>
    <w:rsid w:val="00C334B3"/>
    <w:rsid w:val="00C339C7"/>
    <w:rsid w:val="00C34319"/>
    <w:rsid w:val="00C34431"/>
    <w:rsid w:val="00C347C9"/>
    <w:rsid w:val="00C34DC3"/>
    <w:rsid w:val="00C350C3"/>
    <w:rsid w:val="00C352EC"/>
    <w:rsid w:val="00C3579F"/>
    <w:rsid w:val="00C357D3"/>
    <w:rsid w:val="00C358C8"/>
    <w:rsid w:val="00C35979"/>
    <w:rsid w:val="00C35A6C"/>
    <w:rsid w:val="00C36A07"/>
    <w:rsid w:val="00C36FFC"/>
    <w:rsid w:val="00C379DB"/>
    <w:rsid w:val="00C37A29"/>
    <w:rsid w:val="00C37DBC"/>
    <w:rsid w:val="00C40432"/>
    <w:rsid w:val="00C41206"/>
    <w:rsid w:val="00C41297"/>
    <w:rsid w:val="00C41B29"/>
    <w:rsid w:val="00C41C90"/>
    <w:rsid w:val="00C42050"/>
    <w:rsid w:val="00C42896"/>
    <w:rsid w:val="00C42D12"/>
    <w:rsid w:val="00C42F0A"/>
    <w:rsid w:val="00C42FC6"/>
    <w:rsid w:val="00C4327A"/>
    <w:rsid w:val="00C43A70"/>
    <w:rsid w:val="00C43BD1"/>
    <w:rsid w:val="00C4446C"/>
    <w:rsid w:val="00C4475B"/>
    <w:rsid w:val="00C44E82"/>
    <w:rsid w:val="00C450A7"/>
    <w:rsid w:val="00C453BE"/>
    <w:rsid w:val="00C4547D"/>
    <w:rsid w:val="00C45EB5"/>
    <w:rsid w:val="00C46D33"/>
    <w:rsid w:val="00C46E04"/>
    <w:rsid w:val="00C46E8B"/>
    <w:rsid w:val="00C47D6A"/>
    <w:rsid w:val="00C50326"/>
    <w:rsid w:val="00C5055C"/>
    <w:rsid w:val="00C50946"/>
    <w:rsid w:val="00C52388"/>
    <w:rsid w:val="00C52D93"/>
    <w:rsid w:val="00C52FFF"/>
    <w:rsid w:val="00C53221"/>
    <w:rsid w:val="00C532A1"/>
    <w:rsid w:val="00C53367"/>
    <w:rsid w:val="00C5399E"/>
    <w:rsid w:val="00C53D91"/>
    <w:rsid w:val="00C54A25"/>
    <w:rsid w:val="00C54D17"/>
    <w:rsid w:val="00C552C2"/>
    <w:rsid w:val="00C55824"/>
    <w:rsid w:val="00C55F08"/>
    <w:rsid w:val="00C560C3"/>
    <w:rsid w:val="00C57136"/>
    <w:rsid w:val="00C5717F"/>
    <w:rsid w:val="00C572F1"/>
    <w:rsid w:val="00C573E1"/>
    <w:rsid w:val="00C57578"/>
    <w:rsid w:val="00C576E3"/>
    <w:rsid w:val="00C57E0D"/>
    <w:rsid w:val="00C57EAE"/>
    <w:rsid w:val="00C600BB"/>
    <w:rsid w:val="00C60AD3"/>
    <w:rsid w:val="00C60C44"/>
    <w:rsid w:val="00C60D06"/>
    <w:rsid w:val="00C6160E"/>
    <w:rsid w:val="00C61AE4"/>
    <w:rsid w:val="00C61FFE"/>
    <w:rsid w:val="00C625C7"/>
    <w:rsid w:val="00C62B1F"/>
    <w:rsid w:val="00C62D9E"/>
    <w:rsid w:val="00C63657"/>
    <w:rsid w:val="00C63EEF"/>
    <w:rsid w:val="00C63FB4"/>
    <w:rsid w:val="00C645AC"/>
    <w:rsid w:val="00C6585D"/>
    <w:rsid w:val="00C65AF5"/>
    <w:rsid w:val="00C65CB5"/>
    <w:rsid w:val="00C6628B"/>
    <w:rsid w:val="00C66DAF"/>
    <w:rsid w:val="00C70D80"/>
    <w:rsid w:val="00C70EFC"/>
    <w:rsid w:val="00C710C4"/>
    <w:rsid w:val="00C712AD"/>
    <w:rsid w:val="00C71688"/>
    <w:rsid w:val="00C717D1"/>
    <w:rsid w:val="00C71E53"/>
    <w:rsid w:val="00C71EE2"/>
    <w:rsid w:val="00C7295E"/>
    <w:rsid w:val="00C73778"/>
    <w:rsid w:val="00C73863"/>
    <w:rsid w:val="00C73A0F"/>
    <w:rsid w:val="00C74238"/>
    <w:rsid w:val="00C752E7"/>
    <w:rsid w:val="00C75342"/>
    <w:rsid w:val="00C75689"/>
    <w:rsid w:val="00C759C5"/>
    <w:rsid w:val="00C75C56"/>
    <w:rsid w:val="00C75FBD"/>
    <w:rsid w:val="00C76BE1"/>
    <w:rsid w:val="00C77197"/>
    <w:rsid w:val="00C774E0"/>
    <w:rsid w:val="00C77BAB"/>
    <w:rsid w:val="00C77BB2"/>
    <w:rsid w:val="00C80995"/>
    <w:rsid w:val="00C810E8"/>
    <w:rsid w:val="00C814CD"/>
    <w:rsid w:val="00C82CD7"/>
    <w:rsid w:val="00C82F24"/>
    <w:rsid w:val="00C83F04"/>
    <w:rsid w:val="00C8451C"/>
    <w:rsid w:val="00C8454C"/>
    <w:rsid w:val="00C84946"/>
    <w:rsid w:val="00C84D5E"/>
    <w:rsid w:val="00C85215"/>
    <w:rsid w:val="00C85218"/>
    <w:rsid w:val="00C857D3"/>
    <w:rsid w:val="00C86892"/>
    <w:rsid w:val="00C86E19"/>
    <w:rsid w:val="00C86EA8"/>
    <w:rsid w:val="00C874FA"/>
    <w:rsid w:val="00C87626"/>
    <w:rsid w:val="00C87D62"/>
    <w:rsid w:val="00C87EE0"/>
    <w:rsid w:val="00C87F17"/>
    <w:rsid w:val="00C90661"/>
    <w:rsid w:val="00C90783"/>
    <w:rsid w:val="00C90BAA"/>
    <w:rsid w:val="00C910B4"/>
    <w:rsid w:val="00C91124"/>
    <w:rsid w:val="00C91274"/>
    <w:rsid w:val="00C9145E"/>
    <w:rsid w:val="00C91941"/>
    <w:rsid w:val="00C91E21"/>
    <w:rsid w:val="00C92471"/>
    <w:rsid w:val="00C92548"/>
    <w:rsid w:val="00C929A0"/>
    <w:rsid w:val="00C92A0E"/>
    <w:rsid w:val="00C932F3"/>
    <w:rsid w:val="00C93D9F"/>
    <w:rsid w:val="00C947B8"/>
    <w:rsid w:val="00C94C36"/>
    <w:rsid w:val="00C950E1"/>
    <w:rsid w:val="00C95B68"/>
    <w:rsid w:val="00C9670B"/>
    <w:rsid w:val="00C96D95"/>
    <w:rsid w:val="00C97439"/>
    <w:rsid w:val="00C977F4"/>
    <w:rsid w:val="00C97AA7"/>
    <w:rsid w:val="00CA0B3F"/>
    <w:rsid w:val="00CA100E"/>
    <w:rsid w:val="00CA1CC9"/>
    <w:rsid w:val="00CA20E4"/>
    <w:rsid w:val="00CA2A7C"/>
    <w:rsid w:val="00CA2BCB"/>
    <w:rsid w:val="00CA2DA6"/>
    <w:rsid w:val="00CA3A97"/>
    <w:rsid w:val="00CA3EAC"/>
    <w:rsid w:val="00CA47E2"/>
    <w:rsid w:val="00CA4A0C"/>
    <w:rsid w:val="00CA5018"/>
    <w:rsid w:val="00CA5630"/>
    <w:rsid w:val="00CA56F8"/>
    <w:rsid w:val="00CA5F25"/>
    <w:rsid w:val="00CA6761"/>
    <w:rsid w:val="00CA7D6E"/>
    <w:rsid w:val="00CA7E9A"/>
    <w:rsid w:val="00CB0773"/>
    <w:rsid w:val="00CB1402"/>
    <w:rsid w:val="00CB1DFF"/>
    <w:rsid w:val="00CB24E6"/>
    <w:rsid w:val="00CB2D38"/>
    <w:rsid w:val="00CB39A1"/>
    <w:rsid w:val="00CB3A8F"/>
    <w:rsid w:val="00CB3B64"/>
    <w:rsid w:val="00CB49D2"/>
    <w:rsid w:val="00CB4CBA"/>
    <w:rsid w:val="00CB516C"/>
    <w:rsid w:val="00CB54FB"/>
    <w:rsid w:val="00CB56E2"/>
    <w:rsid w:val="00CB56EA"/>
    <w:rsid w:val="00CB5AB2"/>
    <w:rsid w:val="00CB68AE"/>
    <w:rsid w:val="00CB69FE"/>
    <w:rsid w:val="00CB6A41"/>
    <w:rsid w:val="00CB6B26"/>
    <w:rsid w:val="00CB6CDB"/>
    <w:rsid w:val="00CB6E63"/>
    <w:rsid w:val="00CB6FB9"/>
    <w:rsid w:val="00CB741E"/>
    <w:rsid w:val="00CC03C7"/>
    <w:rsid w:val="00CC0603"/>
    <w:rsid w:val="00CC07F4"/>
    <w:rsid w:val="00CC0AA6"/>
    <w:rsid w:val="00CC0E71"/>
    <w:rsid w:val="00CC1694"/>
    <w:rsid w:val="00CC2F8D"/>
    <w:rsid w:val="00CC32F5"/>
    <w:rsid w:val="00CC3449"/>
    <w:rsid w:val="00CC349A"/>
    <w:rsid w:val="00CC36F0"/>
    <w:rsid w:val="00CC3DE4"/>
    <w:rsid w:val="00CC3E3D"/>
    <w:rsid w:val="00CC40AB"/>
    <w:rsid w:val="00CC4125"/>
    <w:rsid w:val="00CC4442"/>
    <w:rsid w:val="00CC4496"/>
    <w:rsid w:val="00CC459B"/>
    <w:rsid w:val="00CC491E"/>
    <w:rsid w:val="00CC4DBD"/>
    <w:rsid w:val="00CC4E76"/>
    <w:rsid w:val="00CC5278"/>
    <w:rsid w:val="00CC58EB"/>
    <w:rsid w:val="00CC5AF0"/>
    <w:rsid w:val="00CC5BA1"/>
    <w:rsid w:val="00CC5F5B"/>
    <w:rsid w:val="00CC6C20"/>
    <w:rsid w:val="00CC6E2F"/>
    <w:rsid w:val="00CC7815"/>
    <w:rsid w:val="00CD036A"/>
    <w:rsid w:val="00CD0A1B"/>
    <w:rsid w:val="00CD0C36"/>
    <w:rsid w:val="00CD0ECA"/>
    <w:rsid w:val="00CD1259"/>
    <w:rsid w:val="00CD1507"/>
    <w:rsid w:val="00CD1516"/>
    <w:rsid w:val="00CD182D"/>
    <w:rsid w:val="00CD1922"/>
    <w:rsid w:val="00CD1A88"/>
    <w:rsid w:val="00CD1D4D"/>
    <w:rsid w:val="00CD22AB"/>
    <w:rsid w:val="00CD28DE"/>
    <w:rsid w:val="00CD35E0"/>
    <w:rsid w:val="00CD3AED"/>
    <w:rsid w:val="00CD3CC0"/>
    <w:rsid w:val="00CD4109"/>
    <w:rsid w:val="00CD43B2"/>
    <w:rsid w:val="00CD4651"/>
    <w:rsid w:val="00CD4881"/>
    <w:rsid w:val="00CD4B19"/>
    <w:rsid w:val="00CD4EBC"/>
    <w:rsid w:val="00CD51D9"/>
    <w:rsid w:val="00CD56F4"/>
    <w:rsid w:val="00CD5E46"/>
    <w:rsid w:val="00CD5F36"/>
    <w:rsid w:val="00CD61EB"/>
    <w:rsid w:val="00CD6B90"/>
    <w:rsid w:val="00CD6BAE"/>
    <w:rsid w:val="00CD6C5E"/>
    <w:rsid w:val="00CD6E87"/>
    <w:rsid w:val="00CD719E"/>
    <w:rsid w:val="00CD72BB"/>
    <w:rsid w:val="00CD75B4"/>
    <w:rsid w:val="00CD75F7"/>
    <w:rsid w:val="00CD7C70"/>
    <w:rsid w:val="00CD7F44"/>
    <w:rsid w:val="00CE079D"/>
    <w:rsid w:val="00CE0FBD"/>
    <w:rsid w:val="00CE1140"/>
    <w:rsid w:val="00CE1A4D"/>
    <w:rsid w:val="00CE203B"/>
    <w:rsid w:val="00CE2676"/>
    <w:rsid w:val="00CE307F"/>
    <w:rsid w:val="00CE416E"/>
    <w:rsid w:val="00CE43AF"/>
    <w:rsid w:val="00CE47F5"/>
    <w:rsid w:val="00CE4A88"/>
    <w:rsid w:val="00CE4D3A"/>
    <w:rsid w:val="00CE5073"/>
    <w:rsid w:val="00CE557D"/>
    <w:rsid w:val="00CE56D7"/>
    <w:rsid w:val="00CE5DEA"/>
    <w:rsid w:val="00CE6099"/>
    <w:rsid w:val="00CE642E"/>
    <w:rsid w:val="00CE64FD"/>
    <w:rsid w:val="00CE6B03"/>
    <w:rsid w:val="00CE7236"/>
    <w:rsid w:val="00CE723E"/>
    <w:rsid w:val="00CE7381"/>
    <w:rsid w:val="00CE7DAE"/>
    <w:rsid w:val="00CF02F0"/>
    <w:rsid w:val="00CF08E6"/>
    <w:rsid w:val="00CF0CD6"/>
    <w:rsid w:val="00CF0F70"/>
    <w:rsid w:val="00CF281D"/>
    <w:rsid w:val="00CF2AD1"/>
    <w:rsid w:val="00CF31F3"/>
    <w:rsid w:val="00CF371C"/>
    <w:rsid w:val="00CF37E8"/>
    <w:rsid w:val="00CF490E"/>
    <w:rsid w:val="00CF4BC6"/>
    <w:rsid w:val="00CF4BFF"/>
    <w:rsid w:val="00CF4DDE"/>
    <w:rsid w:val="00CF5249"/>
    <w:rsid w:val="00CF5513"/>
    <w:rsid w:val="00CF553B"/>
    <w:rsid w:val="00CF594D"/>
    <w:rsid w:val="00CF5B4C"/>
    <w:rsid w:val="00CF60C9"/>
    <w:rsid w:val="00CF6AFA"/>
    <w:rsid w:val="00CF7A30"/>
    <w:rsid w:val="00CF7B3F"/>
    <w:rsid w:val="00CF7BA0"/>
    <w:rsid w:val="00CF7E0E"/>
    <w:rsid w:val="00CF7E58"/>
    <w:rsid w:val="00CF7F06"/>
    <w:rsid w:val="00D00125"/>
    <w:rsid w:val="00D004A4"/>
    <w:rsid w:val="00D00EA1"/>
    <w:rsid w:val="00D01426"/>
    <w:rsid w:val="00D01615"/>
    <w:rsid w:val="00D01F8A"/>
    <w:rsid w:val="00D02433"/>
    <w:rsid w:val="00D03213"/>
    <w:rsid w:val="00D0352E"/>
    <w:rsid w:val="00D04201"/>
    <w:rsid w:val="00D04BEC"/>
    <w:rsid w:val="00D05362"/>
    <w:rsid w:val="00D05481"/>
    <w:rsid w:val="00D062BF"/>
    <w:rsid w:val="00D066A3"/>
    <w:rsid w:val="00D068B6"/>
    <w:rsid w:val="00D06AD1"/>
    <w:rsid w:val="00D0725B"/>
    <w:rsid w:val="00D078B7"/>
    <w:rsid w:val="00D10BDA"/>
    <w:rsid w:val="00D10F14"/>
    <w:rsid w:val="00D111BF"/>
    <w:rsid w:val="00D1126A"/>
    <w:rsid w:val="00D11622"/>
    <w:rsid w:val="00D117D9"/>
    <w:rsid w:val="00D11C67"/>
    <w:rsid w:val="00D11D4B"/>
    <w:rsid w:val="00D11F78"/>
    <w:rsid w:val="00D12271"/>
    <w:rsid w:val="00D1323C"/>
    <w:rsid w:val="00D15113"/>
    <w:rsid w:val="00D159C3"/>
    <w:rsid w:val="00D15B7C"/>
    <w:rsid w:val="00D15B7D"/>
    <w:rsid w:val="00D15C40"/>
    <w:rsid w:val="00D15E13"/>
    <w:rsid w:val="00D16179"/>
    <w:rsid w:val="00D16F74"/>
    <w:rsid w:val="00D16FA3"/>
    <w:rsid w:val="00D172A9"/>
    <w:rsid w:val="00D172B6"/>
    <w:rsid w:val="00D20839"/>
    <w:rsid w:val="00D20DD4"/>
    <w:rsid w:val="00D21200"/>
    <w:rsid w:val="00D21999"/>
    <w:rsid w:val="00D2248E"/>
    <w:rsid w:val="00D226D2"/>
    <w:rsid w:val="00D22E5B"/>
    <w:rsid w:val="00D230E7"/>
    <w:rsid w:val="00D23225"/>
    <w:rsid w:val="00D237BE"/>
    <w:rsid w:val="00D23E87"/>
    <w:rsid w:val="00D24AE1"/>
    <w:rsid w:val="00D24E86"/>
    <w:rsid w:val="00D25435"/>
    <w:rsid w:val="00D25690"/>
    <w:rsid w:val="00D261A0"/>
    <w:rsid w:val="00D26292"/>
    <w:rsid w:val="00D26362"/>
    <w:rsid w:val="00D26C9D"/>
    <w:rsid w:val="00D26E47"/>
    <w:rsid w:val="00D26EF8"/>
    <w:rsid w:val="00D27165"/>
    <w:rsid w:val="00D27462"/>
    <w:rsid w:val="00D27C87"/>
    <w:rsid w:val="00D30053"/>
    <w:rsid w:val="00D30073"/>
    <w:rsid w:val="00D30182"/>
    <w:rsid w:val="00D30791"/>
    <w:rsid w:val="00D3130A"/>
    <w:rsid w:val="00D31820"/>
    <w:rsid w:val="00D31D2F"/>
    <w:rsid w:val="00D31E3E"/>
    <w:rsid w:val="00D32863"/>
    <w:rsid w:val="00D328EE"/>
    <w:rsid w:val="00D32CDD"/>
    <w:rsid w:val="00D330CA"/>
    <w:rsid w:val="00D330DF"/>
    <w:rsid w:val="00D33133"/>
    <w:rsid w:val="00D3316D"/>
    <w:rsid w:val="00D333A9"/>
    <w:rsid w:val="00D33905"/>
    <w:rsid w:val="00D3408C"/>
    <w:rsid w:val="00D3469E"/>
    <w:rsid w:val="00D3486C"/>
    <w:rsid w:val="00D34DE4"/>
    <w:rsid w:val="00D3526F"/>
    <w:rsid w:val="00D35894"/>
    <w:rsid w:val="00D358E3"/>
    <w:rsid w:val="00D36189"/>
    <w:rsid w:val="00D366BF"/>
    <w:rsid w:val="00D36D3C"/>
    <w:rsid w:val="00D3700A"/>
    <w:rsid w:val="00D3773E"/>
    <w:rsid w:val="00D37882"/>
    <w:rsid w:val="00D37D44"/>
    <w:rsid w:val="00D40742"/>
    <w:rsid w:val="00D413D6"/>
    <w:rsid w:val="00D41C54"/>
    <w:rsid w:val="00D41DDC"/>
    <w:rsid w:val="00D4218B"/>
    <w:rsid w:val="00D429D3"/>
    <w:rsid w:val="00D432F9"/>
    <w:rsid w:val="00D433E5"/>
    <w:rsid w:val="00D43439"/>
    <w:rsid w:val="00D439FC"/>
    <w:rsid w:val="00D44964"/>
    <w:rsid w:val="00D45899"/>
    <w:rsid w:val="00D46FD9"/>
    <w:rsid w:val="00D4700F"/>
    <w:rsid w:val="00D4775B"/>
    <w:rsid w:val="00D509D2"/>
    <w:rsid w:val="00D51498"/>
    <w:rsid w:val="00D5171C"/>
    <w:rsid w:val="00D51C81"/>
    <w:rsid w:val="00D521AF"/>
    <w:rsid w:val="00D52260"/>
    <w:rsid w:val="00D527F1"/>
    <w:rsid w:val="00D52ACD"/>
    <w:rsid w:val="00D52DF3"/>
    <w:rsid w:val="00D53DA1"/>
    <w:rsid w:val="00D54493"/>
    <w:rsid w:val="00D55CF5"/>
    <w:rsid w:val="00D55F19"/>
    <w:rsid w:val="00D5608E"/>
    <w:rsid w:val="00D5615D"/>
    <w:rsid w:val="00D5659E"/>
    <w:rsid w:val="00D56D30"/>
    <w:rsid w:val="00D56F61"/>
    <w:rsid w:val="00D576A2"/>
    <w:rsid w:val="00D577EE"/>
    <w:rsid w:val="00D57A0E"/>
    <w:rsid w:val="00D60174"/>
    <w:rsid w:val="00D60649"/>
    <w:rsid w:val="00D6124F"/>
    <w:rsid w:val="00D6141B"/>
    <w:rsid w:val="00D61CD2"/>
    <w:rsid w:val="00D61E88"/>
    <w:rsid w:val="00D62996"/>
    <w:rsid w:val="00D639CB"/>
    <w:rsid w:val="00D6424A"/>
    <w:rsid w:val="00D64C9A"/>
    <w:rsid w:val="00D64E78"/>
    <w:rsid w:val="00D65175"/>
    <w:rsid w:val="00D66056"/>
    <w:rsid w:val="00D66211"/>
    <w:rsid w:val="00D6650A"/>
    <w:rsid w:val="00D675CB"/>
    <w:rsid w:val="00D67804"/>
    <w:rsid w:val="00D67987"/>
    <w:rsid w:val="00D7031E"/>
    <w:rsid w:val="00D7068D"/>
    <w:rsid w:val="00D70C09"/>
    <w:rsid w:val="00D711B2"/>
    <w:rsid w:val="00D7187A"/>
    <w:rsid w:val="00D725FB"/>
    <w:rsid w:val="00D73186"/>
    <w:rsid w:val="00D73358"/>
    <w:rsid w:val="00D733B7"/>
    <w:rsid w:val="00D73780"/>
    <w:rsid w:val="00D742D9"/>
    <w:rsid w:val="00D749B8"/>
    <w:rsid w:val="00D74B49"/>
    <w:rsid w:val="00D74B78"/>
    <w:rsid w:val="00D75B94"/>
    <w:rsid w:val="00D769CA"/>
    <w:rsid w:val="00D76C4C"/>
    <w:rsid w:val="00D76D0B"/>
    <w:rsid w:val="00D76F3D"/>
    <w:rsid w:val="00D77055"/>
    <w:rsid w:val="00D77373"/>
    <w:rsid w:val="00D7777B"/>
    <w:rsid w:val="00D7794F"/>
    <w:rsid w:val="00D77B63"/>
    <w:rsid w:val="00D77D3C"/>
    <w:rsid w:val="00D77F2F"/>
    <w:rsid w:val="00D77FC4"/>
    <w:rsid w:val="00D801AF"/>
    <w:rsid w:val="00D80669"/>
    <w:rsid w:val="00D80CC1"/>
    <w:rsid w:val="00D812BE"/>
    <w:rsid w:val="00D82F06"/>
    <w:rsid w:val="00D832AA"/>
    <w:rsid w:val="00D835C5"/>
    <w:rsid w:val="00D83923"/>
    <w:rsid w:val="00D83A1C"/>
    <w:rsid w:val="00D84002"/>
    <w:rsid w:val="00D84BC9"/>
    <w:rsid w:val="00D84EA8"/>
    <w:rsid w:val="00D85361"/>
    <w:rsid w:val="00D853F9"/>
    <w:rsid w:val="00D85419"/>
    <w:rsid w:val="00D8542E"/>
    <w:rsid w:val="00D85963"/>
    <w:rsid w:val="00D85BCC"/>
    <w:rsid w:val="00D85D7E"/>
    <w:rsid w:val="00D860B4"/>
    <w:rsid w:val="00D86B59"/>
    <w:rsid w:val="00D87183"/>
    <w:rsid w:val="00D874C1"/>
    <w:rsid w:val="00D87905"/>
    <w:rsid w:val="00D87CE3"/>
    <w:rsid w:val="00D900C1"/>
    <w:rsid w:val="00D90A1A"/>
    <w:rsid w:val="00D90E38"/>
    <w:rsid w:val="00D910B2"/>
    <w:rsid w:val="00D918BB"/>
    <w:rsid w:val="00D91FAE"/>
    <w:rsid w:val="00D920C5"/>
    <w:rsid w:val="00D92117"/>
    <w:rsid w:val="00D92CCD"/>
    <w:rsid w:val="00D92DAE"/>
    <w:rsid w:val="00D9332F"/>
    <w:rsid w:val="00D9374C"/>
    <w:rsid w:val="00D93823"/>
    <w:rsid w:val="00D9395A"/>
    <w:rsid w:val="00D93FC7"/>
    <w:rsid w:val="00D9419D"/>
    <w:rsid w:val="00D9427B"/>
    <w:rsid w:val="00D942C1"/>
    <w:rsid w:val="00D96553"/>
    <w:rsid w:val="00D96A68"/>
    <w:rsid w:val="00D96CEE"/>
    <w:rsid w:val="00D96E88"/>
    <w:rsid w:val="00D96F65"/>
    <w:rsid w:val="00D97901"/>
    <w:rsid w:val="00D97C6A"/>
    <w:rsid w:val="00D97E8C"/>
    <w:rsid w:val="00D97F10"/>
    <w:rsid w:val="00DA0356"/>
    <w:rsid w:val="00DA0FCD"/>
    <w:rsid w:val="00DA136C"/>
    <w:rsid w:val="00DA14B5"/>
    <w:rsid w:val="00DA162F"/>
    <w:rsid w:val="00DA1CA5"/>
    <w:rsid w:val="00DA2190"/>
    <w:rsid w:val="00DA276A"/>
    <w:rsid w:val="00DA2833"/>
    <w:rsid w:val="00DA2FFA"/>
    <w:rsid w:val="00DA3017"/>
    <w:rsid w:val="00DA3730"/>
    <w:rsid w:val="00DA3899"/>
    <w:rsid w:val="00DA3F8D"/>
    <w:rsid w:val="00DA41AF"/>
    <w:rsid w:val="00DA4344"/>
    <w:rsid w:val="00DA4F6A"/>
    <w:rsid w:val="00DA5476"/>
    <w:rsid w:val="00DA5484"/>
    <w:rsid w:val="00DA5628"/>
    <w:rsid w:val="00DA659E"/>
    <w:rsid w:val="00DA6B05"/>
    <w:rsid w:val="00DA6CCC"/>
    <w:rsid w:val="00DA72F9"/>
    <w:rsid w:val="00DA7E08"/>
    <w:rsid w:val="00DA7F05"/>
    <w:rsid w:val="00DB040C"/>
    <w:rsid w:val="00DB0BEE"/>
    <w:rsid w:val="00DB13BE"/>
    <w:rsid w:val="00DB1AB7"/>
    <w:rsid w:val="00DB202B"/>
    <w:rsid w:val="00DB2215"/>
    <w:rsid w:val="00DB275E"/>
    <w:rsid w:val="00DB2D12"/>
    <w:rsid w:val="00DB2F79"/>
    <w:rsid w:val="00DB310C"/>
    <w:rsid w:val="00DB3304"/>
    <w:rsid w:val="00DB38D9"/>
    <w:rsid w:val="00DB393B"/>
    <w:rsid w:val="00DB3C14"/>
    <w:rsid w:val="00DB421F"/>
    <w:rsid w:val="00DB4471"/>
    <w:rsid w:val="00DB47BD"/>
    <w:rsid w:val="00DB5C34"/>
    <w:rsid w:val="00DB5ECC"/>
    <w:rsid w:val="00DB62C0"/>
    <w:rsid w:val="00DB64D5"/>
    <w:rsid w:val="00DB7590"/>
    <w:rsid w:val="00DB78EA"/>
    <w:rsid w:val="00DB78F0"/>
    <w:rsid w:val="00DB7E1C"/>
    <w:rsid w:val="00DB7E8D"/>
    <w:rsid w:val="00DC04E8"/>
    <w:rsid w:val="00DC0FF9"/>
    <w:rsid w:val="00DC1012"/>
    <w:rsid w:val="00DC18D8"/>
    <w:rsid w:val="00DC1B37"/>
    <w:rsid w:val="00DC25B8"/>
    <w:rsid w:val="00DC3342"/>
    <w:rsid w:val="00DC359A"/>
    <w:rsid w:val="00DC396E"/>
    <w:rsid w:val="00DC48AC"/>
    <w:rsid w:val="00DC511C"/>
    <w:rsid w:val="00DC5786"/>
    <w:rsid w:val="00DC5CE5"/>
    <w:rsid w:val="00DC5DF6"/>
    <w:rsid w:val="00DC5DFF"/>
    <w:rsid w:val="00DC618C"/>
    <w:rsid w:val="00DC6969"/>
    <w:rsid w:val="00DC6D1B"/>
    <w:rsid w:val="00DC74CB"/>
    <w:rsid w:val="00DC7503"/>
    <w:rsid w:val="00DC767F"/>
    <w:rsid w:val="00DD0912"/>
    <w:rsid w:val="00DD0EAB"/>
    <w:rsid w:val="00DD134A"/>
    <w:rsid w:val="00DD1758"/>
    <w:rsid w:val="00DD1FE7"/>
    <w:rsid w:val="00DD20AC"/>
    <w:rsid w:val="00DD2BE7"/>
    <w:rsid w:val="00DD2FCB"/>
    <w:rsid w:val="00DD3067"/>
    <w:rsid w:val="00DD46FA"/>
    <w:rsid w:val="00DD4A09"/>
    <w:rsid w:val="00DD4A75"/>
    <w:rsid w:val="00DD4ED7"/>
    <w:rsid w:val="00DD500F"/>
    <w:rsid w:val="00DD518A"/>
    <w:rsid w:val="00DD5551"/>
    <w:rsid w:val="00DD5E8A"/>
    <w:rsid w:val="00DD6153"/>
    <w:rsid w:val="00DD6473"/>
    <w:rsid w:val="00DD6628"/>
    <w:rsid w:val="00DD6B88"/>
    <w:rsid w:val="00DE0352"/>
    <w:rsid w:val="00DE066B"/>
    <w:rsid w:val="00DE0704"/>
    <w:rsid w:val="00DE0873"/>
    <w:rsid w:val="00DE0916"/>
    <w:rsid w:val="00DE1A0C"/>
    <w:rsid w:val="00DE1EDC"/>
    <w:rsid w:val="00DE1F37"/>
    <w:rsid w:val="00DE236F"/>
    <w:rsid w:val="00DE2EFA"/>
    <w:rsid w:val="00DE3834"/>
    <w:rsid w:val="00DE3DBE"/>
    <w:rsid w:val="00DE3E69"/>
    <w:rsid w:val="00DE4209"/>
    <w:rsid w:val="00DE449B"/>
    <w:rsid w:val="00DE5637"/>
    <w:rsid w:val="00DE6B2B"/>
    <w:rsid w:val="00DE7474"/>
    <w:rsid w:val="00DE7595"/>
    <w:rsid w:val="00DE7A44"/>
    <w:rsid w:val="00DF0BEE"/>
    <w:rsid w:val="00DF0D3B"/>
    <w:rsid w:val="00DF1579"/>
    <w:rsid w:val="00DF1ACD"/>
    <w:rsid w:val="00DF1D22"/>
    <w:rsid w:val="00DF1ECB"/>
    <w:rsid w:val="00DF25FC"/>
    <w:rsid w:val="00DF28F0"/>
    <w:rsid w:val="00DF2AB0"/>
    <w:rsid w:val="00DF3B90"/>
    <w:rsid w:val="00DF4E3E"/>
    <w:rsid w:val="00DF5009"/>
    <w:rsid w:val="00DF57D9"/>
    <w:rsid w:val="00DF5C26"/>
    <w:rsid w:val="00DF60B9"/>
    <w:rsid w:val="00DF614B"/>
    <w:rsid w:val="00DF63B7"/>
    <w:rsid w:val="00DF68C6"/>
    <w:rsid w:val="00DF6BDD"/>
    <w:rsid w:val="00DF6CF7"/>
    <w:rsid w:val="00DF6D68"/>
    <w:rsid w:val="00DF7137"/>
    <w:rsid w:val="00DF76BF"/>
    <w:rsid w:val="00DF76DF"/>
    <w:rsid w:val="00E00842"/>
    <w:rsid w:val="00E00AF8"/>
    <w:rsid w:val="00E010CD"/>
    <w:rsid w:val="00E0132D"/>
    <w:rsid w:val="00E0171E"/>
    <w:rsid w:val="00E018BE"/>
    <w:rsid w:val="00E0247E"/>
    <w:rsid w:val="00E02E46"/>
    <w:rsid w:val="00E02F2C"/>
    <w:rsid w:val="00E0347D"/>
    <w:rsid w:val="00E038A5"/>
    <w:rsid w:val="00E03FB8"/>
    <w:rsid w:val="00E0453D"/>
    <w:rsid w:val="00E05506"/>
    <w:rsid w:val="00E05535"/>
    <w:rsid w:val="00E056AE"/>
    <w:rsid w:val="00E05FA6"/>
    <w:rsid w:val="00E0634A"/>
    <w:rsid w:val="00E0651C"/>
    <w:rsid w:val="00E0652F"/>
    <w:rsid w:val="00E06C19"/>
    <w:rsid w:val="00E0754D"/>
    <w:rsid w:val="00E07588"/>
    <w:rsid w:val="00E07AF6"/>
    <w:rsid w:val="00E07E5C"/>
    <w:rsid w:val="00E10018"/>
    <w:rsid w:val="00E101CA"/>
    <w:rsid w:val="00E1066B"/>
    <w:rsid w:val="00E107B0"/>
    <w:rsid w:val="00E10A09"/>
    <w:rsid w:val="00E1134D"/>
    <w:rsid w:val="00E1174B"/>
    <w:rsid w:val="00E11AAC"/>
    <w:rsid w:val="00E11D53"/>
    <w:rsid w:val="00E12131"/>
    <w:rsid w:val="00E122AD"/>
    <w:rsid w:val="00E12622"/>
    <w:rsid w:val="00E12AE7"/>
    <w:rsid w:val="00E13049"/>
    <w:rsid w:val="00E13768"/>
    <w:rsid w:val="00E13E32"/>
    <w:rsid w:val="00E1410C"/>
    <w:rsid w:val="00E1497E"/>
    <w:rsid w:val="00E14B32"/>
    <w:rsid w:val="00E14DEA"/>
    <w:rsid w:val="00E15130"/>
    <w:rsid w:val="00E15A2F"/>
    <w:rsid w:val="00E15B43"/>
    <w:rsid w:val="00E15F81"/>
    <w:rsid w:val="00E1630C"/>
    <w:rsid w:val="00E17A4D"/>
    <w:rsid w:val="00E17D1F"/>
    <w:rsid w:val="00E2025D"/>
    <w:rsid w:val="00E20C93"/>
    <w:rsid w:val="00E213B1"/>
    <w:rsid w:val="00E21423"/>
    <w:rsid w:val="00E219A3"/>
    <w:rsid w:val="00E21C77"/>
    <w:rsid w:val="00E2248E"/>
    <w:rsid w:val="00E22A0E"/>
    <w:rsid w:val="00E2307E"/>
    <w:rsid w:val="00E23947"/>
    <w:rsid w:val="00E24846"/>
    <w:rsid w:val="00E24912"/>
    <w:rsid w:val="00E25474"/>
    <w:rsid w:val="00E2554F"/>
    <w:rsid w:val="00E25844"/>
    <w:rsid w:val="00E2590C"/>
    <w:rsid w:val="00E25E61"/>
    <w:rsid w:val="00E2622F"/>
    <w:rsid w:val="00E26414"/>
    <w:rsid w:val="00E26415"/>
    <w:rsid w:val="00E26C4F"/>
    <w:rsid w:val="00E27525"/>
    <w:rsid w:val="00E27AC9"/>
    <w:rsid w:val="00E27CE1"/>
    <w:rsid w:val="00E30147"/>
    <w:rsid w:val="00E30F89"/>
    <w:rsid w:val="00E315D0"/>
    <w:rsid w:val="00E31732"/>
    <w:rsid w:val="00E32A64"/>
    <w:rsid w:val="00E32EE5"/>
    <w:rsid w:val="00E32F93"/>
    <w:rsid w:val="00E33F1A"/>
    <w:rsid w:val="00E342B4"/>
    <w:rsid w:val="00E34BD0"/>
    <w:rsid w:val="00E35192"/>
    <w:rsid w:val="00E359EA"/>
    <w:rsid w:val="00E35C4C"/>
    <w:rsid w:val="00E3652A"/>
    <w:rsid w:val="00E36E68"/>
    <w:rsid w:val="00E3706F"/>
    <w:rsid w:val="00E37134"/>
    <w:rsid w:val="00E372BB"/>
    <w:rsid w:val="00E37758"/>
    <w:rsid w:val="00E379F7"/>
    <w:rsid w:val="00E37F10"/>
    <w:rsid w:val="00E41D76"/>
    <w:rsid w:val="00E425B4"/>
    <w:rsid w:val="00E44716"/>
    <w:rsid w:val="00E44D34"/>
    <w:rsid w:val="00E4566D"/>
    <w:rsid w:val="00E4595F"/>
    <w:rsid w:val="00E45FE0"/>
    <w:rsid w:val="00E47107"/>
    <w:rsid w:val="00E471DB"/>
    <w:rsid w:val="00E47D3C"/>
    <w:rsid w:val="00E50393"/>
    <w:rsid w:val="00E5047D"/>
    <w:rsid w:val="00E50937"/>
    <w:rsid w:val="00E513F3"/>
    <w:rsid w:val="00E51CEE"/>
    <w:rsid w:val="00E5216A"/>
    <w:rsid w:val="00E52421"/>
    <w:rsid w:val="00E52DDE"/>
    <w:rsid w:val="00E53E52"/>
    <w:rsid w:val="00E53EC7"/>
    <w:rsid w:val="00E54209"/>
    <w:rsid w:val="00E54ACD"/>
    <w:rsid w:val="00E54B2B"/>
    <w:rsid w:val="00E5566D"/>
    <w:rsid w:val="00E559DB"/>
    <w:rsid w:val="00E55ABC"/>
    <w:rsid w:val="00E55F59"/>
    <w:rsid w:val="00E5665F"/>
    <w:rsid w:val="00E57659"/>
    <w:rsid w:val="00E57CF1"/>
    <w:rsid w:val="00E60453"/>
    <w:rsid w:val="00E60BD0"/>
    <w:rsid w:val="00E60FB5"/>
    <w:rsid w:val="00E61016"/>
    <w:rsid w:val="00E61018"/>
    <w:rsid w:val="00E61127"/>
    <w:rsid w:val="00E6131F"/>
    <w:rsid w:val="00E61632"/>
    <w:rsid w:val="00E61644"/>
    <w:rsid w:val="00E61D76"/>
    <w:rsid w:val="00E622EF"/>
    <w:rsid w:val="00E627CA"/>
    <w:rsid w:val="00E627CE"/>
    <w:rsid w:val="00E629C2"/>
    <w:rsid w:val="00E62B9D"/>
    <w:rsid w:val="00E63031"/>
    <w:rsid w:val="00E642E7"/>
    <w:rsid w:val="00E64EB7"/>
    <w:rsid w:val="00E652C1"/>
    <w:rsid w:val="00E662F1"/>
    <w:rsid w:val="00E6642E"/>
    <w:rsid w:val="00E66A01"/>
    <w:rsid w:val="00E67735"/>
    <w:rsid w:val="00E67ECA"/>
    <w:rsid w:val="00E70CC8"/>
    <w:rsid w:val="00E70DD7"/>
    <w:rsid w:val="00E7157B"/>
    <w:rsid w:val="00E717AC"/>
    <w:rsid w:val="00E72936"/>
    <w:rsid w:val="00E72C9E"/>
    <w:rsid w:val="00E72EE0"/>
    <w:rsid w:val="00E7318A"/>
    <w:rsid w:val="00E7366C"/>
    <w:rsid w:val="00E7377F"/>
    <w:rsid w:val="00E741FB"/>
    <w:rsid w:val="00E7478D"/>
    <w:rsid w:val="00E751D3"/>
    <w:rsid w:val="00E75482"/>
    <w:rsid w:val="00E758FD"/>
    <w:rsid w:val="00E75D8C"/>
    <w:rsid w:val="00E7636A"/>
    <w:rsid w:val="00E76487"/>
    <w:rsid w:val="00E76877"/>
    <w:rsid w:val="00E76C26"/>
    <w:rsid w:val="00E772BA"/>
    <w:rsid w:val="00E7750D"/>
    <w:rsid w:val="00E77611"/>
    <w:rsid w:val="00E77936"/>
    <w:rsid w:val="00E77D3A"/>
    <w:rsid w:val="00E77DC4"/>
    <w:rsid w:val="00E80C61"/>
    <w:rsid w:val="00E80D52"/>
    <w:rsid w:val="00E80E27"/>
    <w:rsid w:val="00E81821"/>
    <w:rsid w:val="00E82E40"/>
    <w:rsid w:val="00E841B6"/>
    <w:rsid w:val="00E8481A"/>
    <w:rsid w:val="00E84ACC"/>
    <w:rsid w:val="00E84E29"/>
    <w:rsid w:val="00E851A2"/>
    <w:rsid w:val="00E85A5D"/>
    <w:rsid w:val="00E85FEE"/>
    <w:rsid w:val="00E860B2"/>
    <w:rsid w:val="00E87061"/>
    <w:rsid w:val="00E87CDD"/>
    <w:rsid w:val="00E902B9"/>
    <w:rsid w:val="00E90380"/>
    <w:rsid w:val="00E90EEE"/>
    <w:rsid w:val="00E9175D"/>
    <w:rsid w:val="00E91A7E"/>
    <w:rsid w:val="00E91C71"/>
    <w:rsid w:val="00E91FED"/>
    <w:rsid w:val="00E9249F"/>
    <w:rsid w:val="00E92A4F"/>
    <w:rsid w:val="00E92CF0"/>
    <w:rsid w:val="00E93AD4"/>
    <w:rsid w:val="00E9407F"/>
    <w:rsid w:val="00E9408C"/>
    <w:rsid w:val="00E940E3"/>
    <w:rsid w:val="00E958A5"/>
    <w:rsid w:val="00E963A0"/>
    <w:rsid w:val="00E96539"/>
    <w:rsid w:val="00E965EE"/>
    <w:rsid w:val="00E96833"/>
    <w:rsid w:val="00E970C5"/>
    <w:rsid w:val="00E97211"/>
    <w:rsid w:val="00E97AAF"/>
    <w:rsid w:val="00E97E2F"/>
    <w:rsid w:val="00EA0419"/>
    <w:rsid w:val="00EA0451"/>
    <w:rsid w:val="00EA07CB"/>
    <w:rsid w:val="00EA1943"/>
    <w:rsid w:val="00EA1B28"/>
    <w:rsid w:val="00EA2170"/>
    <w:rsid w:val="00EA22CA"/>
    <w:rsid w:val="00EA362A"/>
    <w:rsid w:val="00EA39A8"/>
    <w:rsid w:val="00EA3ED7"/>
    <w:rsid w:val="00EA451A"/>
    <w:rsid w:val="00EA4F1C"/>
    <w:rsid w:val="00EA5026"/>
    <w:rsid w:val="00EA603D"/>
    <w:rsid w:val="00EA60AB"/>
    <w:rsid w:val="00EA6152"/>
    <w:rsid w:val="00EA6210"/>
    <w:rsid w:val="00EA758F"/>
    <w:rsid w:val="00EA7CBB"/>
    <w:rsid w:val="00EA7CCB"/>
    <w:rsid w:val="00EA7E80"/>
    <w:rsid w:val="00EB00B2"/>
    <w:rsid w:val="00EB0108"/>
    <w:rsid w:val="00EB016F"/>
    <w:rsid w:val="00EB02C9"/>
    <w:rsid w:val="00EB04E4"/>
    <w:rsid w:val="00EB06DC"/>
    <w:rsid w:val="00EB0C8A"/>
    <w:rsid w:val="00EB171B"/>
    <w:rsid w:val="00EB1E1F"/>
    <w:rsid w:val="00EB201B"/>
    <w:rsid w:val="00EB28E5"/>
    <w:rsid w:val="00EB2B12"/>
    <w:rsid w:val="00EB376B"/>
    <w:rsid w:val="00EB3B8A"/>
    <w:rsid w:val="00EB3E86"/>
    <w:rsid w:val="00EB3ECD"/>
    <w:rsid w:val="00EB3F9D"/>
    <w:rsid w:val="00EB492B"/>
    <w:rsid w:val="00EB4ADC"/>
    <w:rsid w:val="00EB4CA3"/>
    <w:rsid w:val="00EB4E05"/>
    <w:rsid w:val="00EB5285"/>
    <w:rsid w:val="00EB54C0"/>
    <w:rsid w:val="00EB5912"/>
    <w:rsid w:val="00EB5A77"/>
    <w:rsid w:val="00EB5DC6"/>
    <w:rsid w:val="00EB6075"/>
    <w:rsid w:val="00EB6181"/>
    <w:rsid w:val="00EB6935"/>
    <w:rsid w:val="00EB6E58"/>
    <w:rsid w:val="00EB7AEE"/>
    <w:rsid w:val="00EB7F21"/>
    <w:rsid w:val="00EC0114"/>
    <w:rsid w:val="00EC011C"/>
    <w:rsid w:val="00EC057B"/>
    <w:rsid w:val="00EC0613"/>
    <w:rsid w:val="00EC0721"/>
    <w:rsid w:val="00EC0E1E"/>
    <w:rsid w:val="00EC0E20"/>
    <w:rsid w:val="00EC1383"/>
    <w:rsid w:val="00EC1855"/>
    <w:rsid w:val="00EC1E65"/>
    <w:rsid w:val="00EC255E"/>
    <w:rsid w:val="00EC2FE2"/>
    <w:rsid w:val="00EC341F"/>
    <w:rsid w:val="00EC34B1"/>
    <w:rsid w:val="00EC34D2"/>
    <w:rsid w:val="00EC39C2"/>
    <w:rsid w:val="00EC3F20"/>
    <w:rsid w:val="00EC4170"/>
    <w:rsid w:val="00EC450C"/>
    <w:rsid w:val="00EC4803"/>
    <w:rsid w:val="00EC4FC7"/>
    <w:rsid w:val="00EC5250"/>
    <w:rsid w:val="00EC54D3"/>
    <w:rsid w:val="00EC579B"/>
    <w:rsid w:val="00EC5831"/>
    <w:rsid w:val="00EC5D0A"/>
    <w:rsid w:val="00EC5EB8"/>
    <w:rsid w:val="00ED048E"/>
    <w:rsid w:val="00ED08CD"/>
    <w:rsid w:val="00ED0B07"/>
    <w:rsid w:val="00ED0F63"/>
    <w:rsid w:val="00ED1140"/>
    <w:rsid w:val="00ED13FE"/>
    <w:rsid w:val="00ED14A2"/>
    <w:rsid w:val="00ED15EC"/>
    <w:rsid w:val="00ED23FF"/>
    <w:rsid w:val="00ED349F"/>
    <w:rsid w:val="00ED3C26"/>
    <w:rsid w:val="00ED404E"/>
    <w:rsid w:val="00ED42EC"/>
    <w:rsid w:val="00ED45FD"/>
    <w:rsid w:val="00ED468B"/>
    <w:rsid w:val="00ED4983"/>
    <w:rsid w:val="00ED49CD"/>
    <w:rsid w:val="00ED4F04"/>
    <w:rsid w:val="00ED4F78"/>
    <w:rsid w:val="00ED513F"/>
    <w:rsid w:val="00ED5153"/>
    <w:rsid w:val="00ED54AD"/>
    <w:rsid w:val="00ED5783"/>
    <w:rsid w:val="00ED5E77"/>
    <w:rsid w:val="00ED5F64"/>
    <w:rsid w:val="00ED611C"/>
    <w:rsid w:val="00ED68E3"/>
    <w:rsid w:val="00ED6D84"/>
    <w:rsid w:val="00ED7373"/>
    <w:rsid w:val="00ED7FD9"/>
    <w:rsid w:val="00EE0173"/>
    <w:rsid w:val="00EE042B"/>
    <w:rsid w:val="00EE10D7"/>
    <w:rsid w:val="00EE1298"/>
    <w:rsid w:val="00EE13D5"/>
    <w:rsid w:val="00EE1464"/>
    <w:rsid w:val="00EE1CBE"/>
    <w:rsid w:val="00EE226B"/>
    <w:rsid w:val="00EE24BC"/>
    <w:rsid w:val="00EE2C62"/>
    <w:rsid w:val="00EE322A"/>
    <w:rsid w:val="00EE3789"/>
    <w:rsid w:val="00EE49BA"/>
    <w:rsid w:val="00EE4A58"/>
    <w:rsid w:val="00EE4AA5"/>
    <w:rsid w:val="00EE4B00"/>
    <w:rsid w:val="00EE4C8A"/>
    <w:rsid w:val="00EE526E"/>
    <w:rsid w:val="00EE55AF"/>
    <w:rsid w:val="00EE58C4"/>
    <w:rsid w:val="00EE5AC8"/>
    <w:rsid w:val="00EE5FE3"/>
    <w:rsid w:val="00EE609F"/>
    <w:rsid w:val="00EE61E7"/>
    <w:rsid w:val="00EE678F"/>
    <w:rsid w:val="00EE689B"/>
    <w:rsid w:val="00EE68F9"/>
    <w:rsid w:val="00EE695A"/>
    <w:rsid w:val="00EE6B24"/>
    <w:rsid w:val="00EE6F14"/>
    <w:rsid w:val="00EE757E"/>
    <w:rsid w:val="00EE77E8"/>
    <w:rsid w:val="00EF0092"/>
    <w:rsid w:val="00EF0814"/>
    <w:rsid w:val="00EF0A50"/>
    <w:rsid w:val="00EF1652"/>
    <w:rsid w:val="00EF1742"/>
    <w:rsid w:val="00EF17C9"/>
    <w:rsid w:val="00EF21B2"/>
    <w:rsid w:val="00EF27D8"/>
    <w:rsid w:val="00EF2E29"/>
    <w:rsid w:val="00EF36C1"/>
    <w:rsid w:val="00EF37B1"/>
    <w:rsid w:val="00EF3EF7"/>
    <w:rsid w:val="00EF3F23"/>
    <w:rsid w:val="00EF4052"/>
    <w:rsid w:val="00EF4630"/>
    <w:rsid w:val="00EF48F4"/>
    <w:rsid w:val="00EF53AA"/>
    <w:rsid w:val="00EF5422"/>
    <w:rsid w:val="00EF568E"/>
    <w:rsid w:val="00EF5CDB"/>
    <w:rsid w:val="00EF5E4A"/>
    <w:rsid w:val="00EF606A"/>
    <w:rsid w:val="00EF6C20"/>
    <w:rsid w:val="00EF6C70"/>
    <w:rsid w:val="00EF6C8B"/>
    <w:rsid w:val="00EF7241"/>
    <w:rsid w:val="00EF7720"/>
    <w:rsid w:val="00EF7BC5"/>
    <w:rsid w:val="00F00124"/>
    <w:rsid w:val="00F001E1"/>
    <w:rsid w:val="00F00703"/>
    <w:rsid w:val="00F00D85"/>
    <w:rsid w:val="00F00D99"/>
    <w:rsid w:val="00F00EF3"/>
    <w:rsid w:val="00F011E2"/>
    <w:rsid w:val="00F011F9"/>
    <w:rsid w:val="00F01548"/>
    <w:rsid w:val="00F01ECF"/>
    <w:rsid w:val="00F02069"/>
    <w:rsid w:val="00F02773"/>
    <w:rsid w:val="00F02852"/>
    <w:rsid w:val="00F029EA"/>
    <w:rsid w:val="00F02B4A"/>
    <w:rsid w:val="00F02BAC"/>
    <w:rsid w:val="00F02E3E"/>
    <w:rsid w:val="00F04DE2"/>
    <w:rsid w:val="00F04EA7"/>
    <w:rsid w:val="00F04EF4"/>
    <w:rsid w:val="00F05655"/>
    <w:rsid w:val="00F05FA2"/>
    <w:rsid w:val="00F06C03"/>
    <w:rsid w:val="00F06C0E"/>
    <w:rsid w:val="00F06C4D"/>
    <w:rsid w:val="00F06C5B"/>
    <w:rsid w:val="00F06DC8"/>
    <w:rsid w:val="00F07840"/>
    <w:rsid w:val="00F104F3"/>
    <w:rsid w:val="00F10560"/>
    <w:rsid w:val="00F10A40"/>
    <w:rsid w:val="00F10C0A"/>
    <w:rsid w:val="00F10D48"/>
    <w:rsid w:val="00F11DC4"/>
    <w:rsid w:val="00F12368"/>
    <w:rsid w:val="00F12497"/>
    <w:rsid w:val="00F12C13"/>
    <w:rsid w:val="00F1330D"/>
    <w:rsid w:val="00F1332F"/>
    <w:rsid w:val="00F13549"/>
    <w:rsid w:val="00F13CDD"/>
    <w:rsid w:val="00F140A8"/>
    <w:rsid w:val="00F14896"/>
    <w:rsid w:val="00F14E13"/>
    <w:rsid w:val="00F15290"/>
    <w:rsid w:val="00F158BA"/>
    <w:rsid w:val="00F158DE"/>
    <w:rsid w:val="00F15B59"/>
    <w:rsid w:val="00F160D3"/>
    <w:rsid w:val="00F1624F"/>
    <w:rsid w:val="00F162D4"/>
    <w:rsid w:val="00F1656C"/>
    <w:rsid w:val="00F1678A"/>
    <w:rsid w:val="00F16CC1"/>
    <w:rsid w:val="00F173EF"/>
    <w:rsid w:val="00F17545"/>
    <w:rsid w:val="00F17A2D"/>
    <w:rsid w:val="00F20584"/>
    <w:rsid w:val="00F2058B"/>
    <w:rsid w:val="00F2069A"/>
    <w:rsid w:val="00F20ADB"/>
    <w:rsid w:val="00F20D72"/>
    <w:rsid w:val="00F21B01"/>
    <w:rsid w:val="00F21B54"/>
    <w:rsid w:val="00F21F36"/>
    <w:rsid w:val="00F22006"/>
    <w:rsid w:val="00F23517"/>
    <w:rsid w:val="00F23BA9"/>
    <w:rsid w:val="00F24061"/>
    <w:rsid w:val="00F24125"/>
    <w:rsid w:val="00F24CCE"/>
    <w:rsid w:val="00F2542E"/>
    <w:rsid w:val="00F2564C"/>
    <w:rsid w:val="00F2599B"/>
    <w:rsid w:val="00F25AE6"/>
    <w:rsid w:val="00F25EAD"/>
    <w:rsid w:val="00F26564"/>
    <w:rsid w:val="00F26BA6"/>
    <w:rsid w:val="00F26F61"/>
    <w:rsid w:val="00F27416"/>
    <w:rsid w:val="00F27C5D"/>
    <w:rsid w:val="00F30061"/>
    <w:rsid w:val="00F30D3E"/>
    <w:rsid w:val="00F30EAE"/>
    <w:rsid w:val="00F30F9A"/>
    <w:rsid w:val="00F3148B"/>
    <w:rsid w:val="00F3209B"/>
    <w:rsid w:val="00F3214C"/>
    <w:rsid w:val="00F32997"/>
    <w:rsid w:val="00F32E22"/>
    <w:rsid w:val="00F32E83"/>
    <w:rsid w:val="00F33AF8"/>
    <w:rsid w:val="00F33F8D"/>
    <w:rsid w:val="00F34400"/>
    <w:rsid w:val="00F34FCC"/>
    <w:rsid w:val="00F353B0"/>
    <w:rsid w:val="00F35501"/>
    <w:rsid w:val="00F35EBA"/>
    <w:rsid w:val="00F35FFA"/>
    <w:rsid w:val="00F365A3"/>
    <w:rsid w:val="00F36656"/>
    <w:rsid w:val="00F371C4"/>
    <w:rsid w:val="00F37407"/>
    <w:rsid w:val="00F37681"/>
    <w:rsid w:val="00F3778A"/>
    <w:rsid w:val="00F37A94"/>
    <w:rsid w:val="00F37CB6"/>
    <w:rsid w:val="00F37F65"/>
    <w:rsid w:val="00F4010B"/>
    <w:rsid w:val="00F40A74"/>
    <w:rsid w:val="00F40ACE"/>
    <w:rsid w:val="00F41942"/>
    <w:rsid w:val="00F42335"/>
    <w:rsid w:val="00F4276B"/>
    <w:rsid w:val="00F427A1"/>
    <w:rsid w:val="00F42BA8"/>
    <w:rsid w:val="00F42CFE"/>
    <w:rsid w:val="00F42E95"/>
    <w:rsid w:val="00F4329D"/>
    <w:rsid w:val="00F4338F"/>
    <w:rsid w:val="00F43494"/>
    <w:rsid w:val="00F43D45"/>
    <w:rsid w:val="00F43FE0"/>
    <w:rsid w:val="00F44959"/>
    <w:rsid w:val="00F44C4C"/>
    <w:rsid w:val="00F44E90"/>
    <w:rsid w:val="00F44E92"/>
    <w:rsid w:val="00F46E42"/>
    <w:rsid w:val="00F4702C"/>
    <w:rsid w:val="00F471CD"/>
    <w:rsid w:val="00F47C83"/>
    <w:rsid w:val="00F47E98"/>
    <w:rsid w:val="00F47ECA"/>
    <w:rsid w:val="00F505B8"/>
    <w:rsid w:val="00F50FF4"/>
    <w:rsid w:val="00F51517"/>
    <w:rsid w:val="00F5167D"/>
    <w:rsid w:val="00F51A69"/>
    <w:rsid w:val="00F51C21"/>
    <w:rsid w:val="00F52491"/>
    <w:rsid w:val="00F52B72"/>
    <w:rsid w:val="00F52DF3"/>
    <w:rsid w:val="00F53631"/>
    <w:rsid w:val="00F537FA"/>
    <w:rsid w:val="00F53885"/>
    <w:rsid w:val="00F53AD3"/>
    <w:rsid w:val="00F53C00"/>
    <w:rsid w:val="00F53D59"/>
    <w:rsid w:val="00F53EFE"/>
    <w:rsid w:val="00F54051"/>
    <w:rsid w:val="00F54510"/>
    <w:rsid w:val="00F54C37"/>
    <w:rsid w:val="00F54DB8"/>
    <w:rsid w:val="00F54E90"/>
    <w:rsid w:val="00F55042"/>
    <w:rsid w:val="00F5508E"/>
    <w:rsid w:val="00F562AB"/>
    <w:rsid w:val="00F564CA"/>
    <w:rsid w:val="00F56512"/>
    <w:rsid w:val="00F569ED"/>
    <w:rsid w:val="00F56A4D"/>
    <w:rsid w:val="00F56A7A"/>
    <w:rsid w:val="00F5720B"/>
    <w:rsid w:val="00F57C82"/>
    <w:rsid w:val="00F57E13"/>
    <w:rsid w:val="00F57F5A"/>
    <w:rsid w:val="00F603C4"/>
    <w:rsid w:val="00F606E6"/>
    <w:rsid w:val="00F60BA2"/>
    <w:rsid w:val="00F60E1D"/>
    <w:rsid w:val="00F60EE2"/>
    <w:rsid w:val="00F614A5"/>
    <w:rsid w:val="00F61B2D"/>
    <w:rsid w:val="00F61BBA"/>
    <w:rsid w:val="00F61CA7"/>
    <w:rsid w:val="00F61FE4"/>
    <w:rsid w:val="00F6223B"/>
    <w:rsid w:val="00F62834"/>
    <w:rsid w:val="00F62B19"/>
    <w:rsid w:val="00F634F6"/>
    <w:rsid w:val="00F635E0"/>
    <w:rsid w:val="00F637DF"/>
    <w:rsid w:val="00F63C28"/>
    <w:rsid w:val="00F63D69"/>
    <w:rsid w:val="00F646D3"/>
    <w:rsid w:val="00F64E5D"/>
    <w:rsid w:val="00F654FA"/>
    <w:rsid w:val="00F65604"/>
    <w:rsid w:val="00F657A5"/>
    <w:rsid w:val="00F6664D"/>
    <w:rsid w:val="00F672B4"/>
    <w:rsid w:val="00F67446"/>
    <w:rsid w:val="00F67863"/>
    <w:rsid w:val="00F67D65"/>
    <w:rsid w:val="00F70095"/>
    <w:rsid w:val="00F707AD"/>
    <w:rsid w:val="00F714F6"/>
    <w:rsid w:val="00F724DA"/>
    <w:rsid w:val="00F72A7D"/>
    <w:rsid w:val="00F7424A"/>
    <w:rsid w:val="00F74A61"/>
    <w:rsid w:val="00F77B4D"/>
    <w:rsid w:val="00F80053"/>
    <w:rsid w:val="00F802DC"/>
    <w:rsid w:val="00F80ACE"/>
    <w:rsid w:val="00F80C93"/>
    <w:rsid w:val="00F82162"/>
    <w:rsid w:val="00F828D9"/>
    <w:rsid w:val="00F82912"/>
    <w:rsid w:val="00F8294C"/>
    <w:rsid w:val="00F82BE2"/>
    <w:rsid w:val="00F82D03"/>
    <w:rsid w:val="00F82DBE"/>
    <w:rsid w:val="00F83183"/>
    <w:rsid w:val="00F835C5"/>
    <w:rsid w:val="00F83C5C"/>
    <w:rsid w:val="00F83DE0"/>
    <w:rsid w:val="00F83FFB"/>
    <w:rsid w:val="00F84681"/>
    <w:rsid w:val="00F8484C"/>
    <w:rsid w:val="00F8524B"/>
    <w:rsid w:val="00F85575"/>
    <w:rsid w:val="00F8591A"/>
    <w:rsid w:val="00F85B2E"/>
    <w:rsid w:val="00F85B68"/>
    <w:rsid w:val="00F85EDC"/>
    <w:rsid w:val="00F862A7"/>
    <w:rsid w:val="00F8648F"/>
    <w:rsid w:val="00F865F5"/>
    <w:rsid w:val="00F868BE"/>
    <w:rsid w:val="00F86CBC"/>
    <w:rsid w:val="00F86E2C"/>
    <w:rsid w:val="00F87B07"/>
    <w:rsid w:val="00F87EF2"/>
    <w:rsid w:val="00F90430"/>
    <w:rsid w:val="00F906C0"/>
    <w:rsid w:val="00F90D3B"/>
    <w:rsid w:val="00F91068"/>
    <w:rsid w:val="00F91EAD"/>
    <w:rsid w:val="00F91FB8"/>
    <w:rsid w:val="00F9250E"/>
    <w:rsid w:val="00F92857"/>
    <w:rsid w:val="00F92B8D"/>
    <w:rsid w:val="00F93416"/>
    <w:rsid w:val="00F936EE"/>
    <w:rsid w:val="00F937F5"/>
    <w:rsid w:val="00F93C19"/>
    <w:rsid w:val="00F94880"/>
    <w:rsid w:val="00F94B34"/>
    <w:rsid w:val="00F95033"/>
    <w:rsid w:val="00F95076"/>
    <w:rsid w:val="00F951C7"/>
    <w:rsid w:val="00F95367"/>
    <w:rsid w:val="00F95448"/>
    <w:rsid w:val="00F957B1"/>
    <w:rsid w:val="00F95D33"/>
    <w:rsid w:val="00F95F4C"/>
    <w:rsid w:val="00F9610A"/>
    <w:rsid w:val="00F96B63"/>
    <w:rsid w:val="00F97A20"/>
    <w:rsid w:val="00FA0695"/>
    <w:rsid w:val="00FA0899"/>
    <w:rsid w:val="00FA1118"/>
    <w:rsid w:val="00FA186E"/>
    <w:rsid w:val="00FA19AB"/>
    <w:rsid w:val="00FA1A37"/>
    <w:rsid w:val="00FA1E1F"/>
    <w:rsid w:val="00FA216C"/>
    <w:rsid w:val="00FA2650"/>
    <w:rsid w:val="00FA29F3"/>
    <w:rsid w:val="00FA2F23"/>
    <w:rsid w:val="00FA33D2"/>
    <w:rsid w:val="00FA34AC"/>
    <w:rsid w:val="00FA3D29"/>
    <w:rsid w:val="00FA3F14"/>
    <w:rsid w:val="00FA430A"/>
    <w:rsid w:val="00FA4C06"/>
    <w:rsid w:val="00FA4F87"/>
    <w:rsid w:val="00FA55F3"/>
    <w:rsid w:val="00FA5F42"/>
    <w:rsid w:val="00FA67B1"/>
    <w:rsid w:val="00FA6845"/>
    <w:rsid w:val="00FA6B91"/>
    <w:rsid w:val="00FA6BCF"/>
    <w:rsid w:val="00FA6DD5"/>
    <w:rsid w:val="00FA7474"/>
    <w:rsid w:val="00FA775B"/>
    <w:rsid w:val="00FA7BDC"/>
    <w:rsid w:val="00FA7D84"/>
    <w:rsid w:val="00FA7F19"/>
    <w:rsid w:val="00FB016C"/>
    <w:rsid w:val="00FB089B"/>
    <w:rsid w:val="00FB0B3C"/>
    <w:rsid w:val="00FB0C10"/>
    <w:rsid w:val="00FB0F75"/>
    <w:rsid w:val="00FB0FD0"/>
    <w:rsid w:val="00FB16C3"/>
    <w:rsid w:val="00FB179A"/>
    <w:rsid w:val="00FB17AD"/>
    <w:rsid w:val="00FB20F4"/>
    <w:rsid w:val="00FB2935"/>
    <w:rsid w:val="00FB2C6B"/>
    <w:rsid w:val="00FB2D9A"/>
    <w:rsid w:val="00FB3030"/>
    <w:rsid w:val="00FB3DFC"/>
    <w:rsid w:val="00FB42B2"/>
    <w:rsid w:val="00FB4E93"/>
    <w:rsid w:val="00FB5404"/>
    <w:rsid w:val="00FB586F"/>
    <w:rsid w:val="00FB5E01"/>
    <w:rsid w:val="00FB6367"/>
    <w:rsid w:val="00FB6496"/>
    <w:rsid w:val="00FB64C2"/>
    <w:rsid w:val="00FB7220"/>
    <w:rsid w:val="00FB77B1"/>
    <w:rsid w:val="00FB7B61"/>
    <w:rsid w:val="00FB7BB6"/>
    <w:rsid w:val="00FC01CF"/>
    <w:rsid w:val="00FC0230"/>
    <w:rsid w:val="00FC0808"/>
    <w:rsid w:val="00FC0D4D"/>
    <w:rsid w:val="00FC13EB"/>
    <w:rsid w:val="00FC1900"/>
    <w:rsid w:val="00FC2478"/>
    <w:rsid w:val="00FC24DE"/>
    <w:rsid w:val="00FC2703"/>
    <w:rsid w:val="00FC2D18"/>
    <w:rsid w:val="00FC2D8B"/>
    <w:rsid w:val="00FC3318"/>
    <w:rsid w:val="00FC3ADD"/>
    <w:rsid w:val="00FC43B5"/>
    <w:rsid w:val="00FC4650"/>
    <w:rsid w:val="00FC4714"/>
    <w:rsid w:val="00FC49DE"/>
    <w:rsid w:val="00FC51B7"/>
    <w:rsid w:val="00FC52B6"/>
    <w:rsid w:val="00FC5B96"/>
    <w:rsid w:val="00FC63A9"/>
    <w:rsid w:val="00FC682A"/>
    <w:rsid w:val="00FC7936"/>
    <w:rsid w:val="00FC79A4"/>
    <w:rsid w:val="00FC7A0E"/>
    <w:rsid w:val="00FD0BB4"/>
    <w:rsid w:val="00FD1190"/>
    <w:rsid w:val="00FD131C"/>
    <w:rsid w:val="00FD1D7E"/>
    <w:rsid w:val="00FD2145"/>
    <w:rsid w:val="00FD255B"/>
    <w:rsid w:val="00FD2AD0"/>
    <w:rsid w:val="00FD2BAA"/>
    <w:rsid w:val="00FD2E2F"/>
    <w:rsid w:val="00FD3009"/>
    <w:rsid w:val="00FD31E8"/>
    <w:rsid w:val="00FD3306"/>
    <w:rsid w:val="00FD36B1"/>
    <w:rsid w:val="00FD3D75"/>
    <w:rsid w:val="00FD3FE4"/>
    <w:rsid w:val="00FD4138"/>
    <w:rsid w:val="00FD41A7"/>
    <w:rsid w:val="00FD49C6"/>
    <w:rsid w:val="00FD4E79"/>
    <w:rsid w:val="00FD50EA"/>
    <w:rsid w:val="00FD5630"/>
    <w:rsid w:val="00FD59EC"/>
    <w:rsid w:val="00FD6011"/>
    <w:rsid w:val="00FD657C"/>
    <w:rsid w:val="00FD66F0"/>
    <w:rsid w:val="00FD6AAA"/>
    <w:rsid w:val="00FD6CB5"/>
    <w:rsid w:val="00FD72BB"/>
    <w:rsid w:val="00FD7B13"/>
    <w:rsid w:val="00FE0285"/>
    <w:rsid w:val="00FE0480"/>
    <w:rsid w:val="00FE0579"/>
    <w:rsid w:val="00FE0B17"/>
    <w:rsid w:val="00FE2D70"/>
    <w:rsid w:val="00FE3F24"/>
    <w:rsid w:val="00FE4023"/>
    <w:rsid w:val="00FE4673"/>
    <w:rsid w:val="00FE4BAE"/>
    <w:rsid w:val="00FE4DDB"/>
    <w:rsid w:val="00FE5619"/>
    <w:rsid w:val="00FE59FD"/>
    <w:rsid w:val="00FE5A14"/>
    <w:rsid w:val="00FE5B64"/>
    <w:rsid w:val="00FE5C2E"/>
    <w:rsid w:val="00FE5EAD"/>
    <w:rsid w:val="00FE5EFC"/>
    <w:rsid w:val="00FE618B"/>
    <w:rsid w:val="00FE7299"/>
    <w:rsid w:val="00FE73C9"/>
    <w:rsid w:val="00FE77F9"/>
    <w:rsid w:val="00FE7C96"/>
    <w:rsid w:val="00FE7F98"/>
    <w:rsid w:val="00FF03DD"/>
    <w:rsid w:val="00FF0546"/>
    <w:rsid w:val="00FF05B7"/>
    <w:rsid w:val="00FF0AA6"/>
    <w:rsid w:val="00FF0AD4"/>
    <w:rsid w:val="00FF29C8"/>
    <w:rsid w:val="00FF2AB4"/>
    <w:rsid w:val="00FF2E7F"/>
    <w:rsid w:val="00FF306D"/>
    <w:rsid w:val="00FF43A3"/>
    <w:rsid w:val="00FF47D4"/>
    <w:rsid w:val="00FF4921"/>
    <w:rsid w:val="00FF4986"/>
    <w:rsid w:val="00FF49B9"/>
    <w:rsid w:val="00FF561A"/>
    <w:rsid w:val="00FF6AEA"/>
    <w:rsid w:val="00FF6C89"/>
    <w:rsid w:val="00FF71EA"/>
    <w:rsid w:val="00FF758E"/>
    <w:rsid w:val="01D28B3E"/>
    <w:rsid w:val="02E2AE1B"/>
    <w:rsid w:val="0326B93A"/>
    <w:rsid w:val="039125C7"/>
    <w:rsid w:val="045710A0"/>
    <w:rsid w:val="0522B84B"/>
    <w:rsid w:val="059590AF"/>
    <w:rsid w:val="065CF7B5"/>
    <w:rsid w:val="06F3664E"/>
    <w:rsid w:val="06FD1898"/>
    <w:rsid w:val="07361B5A"/>
    <w:rsid w:val="0797CCDD"/>
    <w:rsid w:val="07B3B19E"/>
    <w:rsid w:val="088FAB10"/>
    <w:rsid w:val="0898D451"/>
    <w:rsid w:val="0A2602A6"/>
    <w:rsid w:val="0A40ABEF"/>
    <w:rsid w:val="0A824A30"/>
    <w:rsid w:val="0AA8A160"/>
    <w:rsid w:val="0AAD11B5"/>
    <w:rsid w:val="0B391FAC"/>
    <w:rsid w:val="0CC4A63D"/>
    <w:rsid w:val="0CF3005A"/>
    <w:rsid w:val="0D1F9DE0"/>
    <w:rsid w:val="0DDB315A"/>
    <w:rsid w:val="0E6011F7"/>
    <w:rsid w:val="0F123349"/>
    <w:rsid w:val="0F12BC4C"/>
    <w:rsid w:val="0F2B423B"/>
    <w:rsid w:val="0F390DE3"/>
    <w:rsid w:val="0F5847B9"/>
    <w:rsid w:val="0F858CB6"/>
    <w:rsid w:val="10DFD557"/>
    <w:rsid w:val="1129C474"/>
    <w:rsid w:val="113C4CF5"/>
    <w:rsid w:val="1258D8C6"/>
    <w:rsid w:val="13F0898A"/>
    <w:rsid w:val="13F4A927"/>
    <w:rsid w:val="1419C52B"/>
    <w:rsid w:val="163F5099"/>
    <w:rsid w:val="16803309"/>
    <w:rsid w:val="16EF1CF2"/>
    <w:rsid w:val="170A79FB"/>
    <w:rsid w:val="17BB9FA9"/>
    <w:rsid w:val="17D31206"/>
    <w:rsid w:val="1836E266"/>
    <w:rsid w:val="19768FEF"/>
    <w:rsid w:val="197B60DF"/>
    <w:rsid w:val="19E77EC6"/>
    <w:rsid w:val="1A3BE1EF"/>
    <w:rsid w:val="1AE2A142"/>
    <w:rsid w:val="1C6237A6"/>
    <w:rsid w:val="1C8DDB7A"/>
    <w:rsid w:val="1CC31E28"/>
    <w:rsid w:val="1DCE2853"/>
    <w:rsid w:val="1DFD7F04"/>
    <w:rsid w:val="1E5C8104"/>
    <w:rsid w:val="1E751CCC"/>
    <w:rsid w:val="1EB1149B"/>
    <w:rsid w:val="20946BA1"/>
    <w:rsid w:val="20F14952"/>
    <w:rsid w:val="21062DBC"/>
    <w:rsid w:val="21681195"/>
    <w:rsid w:val="2240B9BD"/>
    <w:rsid w:val="2288D5C0"/>
    <w:rsid w:val="242C064C"/>
    <w:rsid w:val="24328779"/>
    <w:rsid w:val="2473AAE7"/>
    <w:rsid w:val="24E4167F"/>
    <w:rsid w:val="2532F1BC"/>
    <w:rsid w:val="26066A10"/>
    <w:rsid w:val="2696B5EF"/>
    <w:rsid w:val="26F4B7AB"/>
    <w:rsid w:val="275C46E3"/>
    <w:rsid w:val="27A0F3B5"/>
    <w:rsid w:val="27B562F1"/>
    <w:rsid w:val="27E05EE3"/>
    <w:rsid w:val="2888B309"/>
    <w:rsid w:val="28C515B7"/>
    <w:rsid w:val="291E527A"/>
    <w:rsid w:val="29200A6D"/>
    <w:rsid w:val="29377C4F"/>
    <w:rsid w:val="295CA811"/>
    <w:rsid w:val="29B46A91"/>
    <w:rsid w:val="2A627742"/>
    <w:rsid w:val="2A6384E5"/>
    <w:rsid w:val="2A81E45E"/>
    <w:rsid w:val="2C568AB4"/>
    <w:rsid w:val="2E42EFBB"/>
    <w:rsid w:val="2E7BB5B1"/>
    <w:rsid w:val="2EA27E0F"/>
    <w:rsid w:val="2EC11147"/>
    <w:rsid w:val="2F35C409"/>
    <w:rsid w:val="3165D74B"/>
    <w:rsid w:val="31959B8A"/>
    <w:rsid w:val="3367D7DF"/>
    <w:rsid w:val="33B8FBE9"/>
    <w:rsid w:val="342E75C9"/>
    <w:rsid w:val="3453F1CD"/>
    <w:rsid w:val="365B2ADA"/>
    <w:rsid w:val="37287C8B"/>
    <w:rsid w:val="372E705D"/>
    <w:rsid w:val="3789CC27"/>
    <w:rsid w:val="37DBB362"/>
    <w:rsid w:val="37EDA9B4"/>
    <w:rsid w:val="380DF889"/>
    <w:rsid w:val="386D12F9"/>
    <w:rsid w:val="38882186"/>
    <w:rsid w:val="38ACD7D1"/>
    <w:rsid w:val="3915C3ED"/>
    <w:rsid w:val="392C5F58"/>
    <w:rsid w:val="39724E2C"/>
    <w:rsid w:val="39DD1F60"/>
    <w:rsid w:val="3A2FC11B"/>
    <w:rsid w:val="3B2CEC7F"/>
    <w:rsid w:val="3B9AFE5F"/>
    <w:rsid w:val="3BE10A01"/>
    <w:rsid w:val="3C623578"/>
    <w:rsid w:val="3C82883A"/>
    <w:rsid w:val="3CF88142"/>
    <w:rsid w:val="3DEA30B4"/>
    <w:rsid w:val="3E450099"/>
    <w:rsid w:val="3E7B3D99"/>
    <w:rsid w:val="3EA57CCA"/>
    <w:rsid w:val="3EFA4237"/>
    <w:rsid w:val="3F4A5AE7"/>
    <w:rsid w:val="3FA169B1"/>
    <w:rsid w:val="3FA319EE"/>
    <w:rsid w:val="3FB32D32"/>
    <w:rsid w:val="3FD8523A"/>
    <w:rsid w:val="40BAD418"/>
    <w:rsid w:val="416E7B05"/>
    <w:rsid w:val="41F5DC11"/>
    <w:rsid w:val="42E91E9E"/>
    <w:rsid w:val="42F25A0E"/>
    <w:rsid w:val="42FA7534"/>
    <w:rsid w:val="431843A7"/>
    <w:rsid w:val="43A39F14"/>
    <w:rsid w:val="43AC8CC2"/>
    <w:rsid w:val="44B41408"/>
    <w:rsid w:val="44D285B0"/>
    <w:rsid w:val="44E43477"/>
    <w:rsid w:val="44FA2A93"/>
    <w:rsid w:val="467742F1"/>
    <w:rsid w:val="477FD823"/>
    <w:rsid w:val="488196EA"/>
    <w:rsid w:val="4940B880"/>
    <w:rsid w:val="496B46B5"/>
    <w:rsid w:val="49B18994"/>
    <w:rsid w:val="4B5CEB0A"/>
    <w:rsid w:val="4CCA0314"/>
    <w:rsid w:val="4CEA8B1C"/>
    <w:rsid w:val="4CF6287A"/>
    <w:rsid w:val="4D2A1668"/>
    <w:rsid w:val="4DE5470A"/>
    <w:rsid w:val="4E638E8B"/>
    <w:rsid w:val="4E74892E"/>
    <w:rsid w:val="4E8CB56C"/>
    <w:rsid w:val="4E96AFC3"/>
    <w:rsid w:val="4ED9F370"/>
    <w:rsid w:val="4EDA5817"/>
    <w:rsid w:val="4F476545"/>
    <w:rsid w:val="50157226"/>
    <w:rsid w:val="50714995"/>
    <w:rsid w:val="509168BE"/>
    <w:rsid w:val="512EC5F4"/>
    <w:rsid w:val="51CDCC33"/>
    <w:rsid w:val="52003D08"/>
    <w:rsid w:val="5211F8D9"/>
    <w:rsid w:val="529772DB"/>
    <w:rsid w:val="5317E097"/>
    <w:rsid w:val="53AD6493"/>
    <w:rsid w:val="547B4BCB"/>
    <w:rsid w:val="54C638E5"/>
    <w:rsid w:val="54EC4498"/>
    <w:rsid w:val="550BC56E"/>
    <w:rsid w:val="560C6D95"/>
    <w:rsid w:val="57653FC5"/>
    <w:rsid w:val="57A4A2D8"/>
    <w:rsid w:val="586D64BD"/>
    <w:rsid w:val="58893200"/>
    <w:rsid w:val="592879CC"/>
    <w:rsid w:val="59440E57"/>
    <w:rsid w:val="5950E7FD"/>
    <w:rsid w:val="597BED41"/>
    <w:rsid w:val="5AD3D0EA"/>
    <w:rsid w:val="5B387727"/>
    <w:rsid w:val="5B6783C9"/>
    <w:rsid w:val="5B71874B"/>
    <w:rsid w:val="5BB8DB1F"/>
    <w:rsid w:val="5BFEA1E7"/>
    <w:rsid w:val="5C1A8C27"/>
    <w:rsid w:val="5C9C6977"/>
    <w:rsid w:val="5D258E07"/>
    <w:rsid w:val="5D46200A"/>
    <w:rsid w:val="5DC0DE75"/>
    <w:rsid w:val="5E156CE6"/>
    <w:rsid w:val="5E8008DC"/>
    <w:rsid w:val="5EC3AC7F"/>
    <w:rsid w:val="5EE1DBD8"/>
    <w:rsid w:val="5F1CE26C"/>
    <w:rsid w:val="5F23A006"/>
    <w:rsid w:val="6021AD64"/>
    <w:rsid w:val="6092D78C"/>
    <w:rsid w:val="60E07668"/>
    <w:rsid w:val="60EC66C1"/>
    <w:rsid w:val="61251361"/>
    <w:rsid w:val="614D0DA8"/>
    <w:rsid w:val="622C22CF"/>
    <w:rsid w:val="62BC04FA"/>
    <w:rsid w:val="63B9A21E"/>
    <w:rsid w:val="658C8460"/>
    <w:rsid w:val="65B1F9FE"/>
    <w:rsid w:val="65D7744D"/>
    <w:rsid w:val="65FDBFB2"/>
    <w:rsid w:val="66207ECB"/>
    <w:rsid w:val="66288531"/>
    <w:rsid w:val="663ECDC4"/>
    <w:rsid w:val="669652F2"/>
    <w:rsid w:val="66EE95E7"/>
    <w:rsid w:val="66FF3E2F"/>
    <w:rsid w:val="67286510"/>
    <w:rsid w:val="68893853"/>
    <w:rsid w:val="68F38782"/>
    <w:rsid w:val="6967E6E1"/>
    <w:rsid w:val="69CD87D8"/>
    <w:rsid w:val="6B0FE131"/>
    <w:rsid w:val="6B11DA40"/>
    <w:rsid w:val="6BFA0FCB"/>
    <w:rsid w:val="6C43E837"/>
    <w:rsid w:val="6C62DD23"/>
    <w:rsid w:val="6C826891"/>
    <w:rsid w:val="6D06FB1B"/>
    <w:rsid w:val="6D115898"/>
    <w:rsid w:val="6D81DB71"/>
    <w:rsid w:val="6E3D22CB"/>
    <w:rsid w:val="6F2FC30D"/>
    <w:rsid w:val="6F3462C5"/>
    <w:rsid w:val="6F40E70D"/>
    <w:rsid w:val="6F9DA760"/>
    <w:rsid w:val="70F068E3"/>
    <w:rsid w:val="726121A4"/>
    <w:rsid w:val="72747A10"/>
    <w:rsid w:val="72BC8D37"/>
    <w:rsid w:val="7318765C"/>
    <w:rsid w:val="73793FD5"/>
    <w:rsid w:val="7457BB88"/>
    <w:rsid w:val="74746FBA"/>
    <w:rsid w:val="74CBA401"/>
    <w:rsid w:val="75450929"/>
    <w:rsid w:val="75ABC3A5"/>
    <w:rsid w:val="7610384B"/>
    <w:rsid w:val="76542840"/>
    <w:rsid w:val="76F78D94"/>
    <w:rsid w:val="770076B9"/>
    <w:rsid w:val="789BAF27"/>
    <w:rsid w:val="789C471A"/>
    <w:rsid w:val="79ED9D98"/>
    <w:rsid w:val="7A7739C8"/>
    <w:rsid w:val="7B276D6B"/>
    <w:rsid w:val="7B68B186"/>
    <w:rsid w:val="7BCAFEB7"/>
    <w:rsid w:val="7C06B1F2"/>
    <w:rsid w:val="7CA2FE04"/>
    <w:rsid w:val="7D33D913"/>
    <w:rsid w:val="7D5A3C5B"/>
    <w:rsid w:val="7DAC8F55"/>
    <w:rsid w:val="7DD25EA7"/>
    <w:rsid w:val="7EB84E7D"/>
    <w:rsid w:val="7F27ECDE"/>
    <w:rsid w:val="7FCC4A04"/>
    <w:rsid w:val="7FCF266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23597"/>
  <w15:chartTrackingRefBased/>
  <w15:docId w15:val="{D1A05573-4291-4DB4-AA26-39C7922E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32F9F"/>
    <w:pPr>
      <w:spacing w:before="120" w:after="120" w:line="280" w:lineRule="atLeast"/>
    </w:pPr>
    <w:rPr>
      <w:sz w:val="20"/>
      <w:szCs w:val="20"/>
    </w:rPr>
  </w:style>
  <w:style w:type="paragraph" w:styleId="Heading1">
    <w:name w:val="heading 1"/>
    <w:basedOn w:val="Normal"/>
    <w:next w:val="BodyText"/>
    <w:link w:val="Heading1Char"/>
    <w:uiPriority w:val="9"/>
    <w:qFormat/>
    <w:rsid w:val="00632F9F"/>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632F9F"/>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632F9F"/>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632F9F"/>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632F9F"/>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632F9F"/>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632F9F"/>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32F9F"/>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632F9F"/>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F9F"/>
    <w:rPr>
      <w:color w:val="808080"/>
    </w:rPr>
  </w:style>
  <w:style w:type="paragraph" w:styleId="Date">
    <w:name w:val="Date"/>
    <w:basedOn w:val="Normal"/>
    <w:next w:val="Normal"/>
    <w:link w:val="DateChar"/>
    <w:uiPriority w:val="99"/>
    <w:unhideWhenUsed/>
    <w:rsid w:val="00632F9F"/>
    <w:pPr>
      <w:spacing w:after="360" w:line="293" w:lineRule="auto"/>
    </w:pPr>
  </w:style>
  <w:style w:type="character" w:customStyle="1" w:styleId="DateChar">
    <w:name w:val="Date Char"/>
    <w:basedOn w:val="DefaultParagraphFont"/>
    <w:link w:val="Date"/>
    <w:uiPriority w:val="99"/>
    <w:rsid w:val="00632F9F"/>
    <w:rPr>
      <w:sz w:val="20"/>
      <w:szCs w:val="20"/>
    </w:rPr>
  </w:style>
  <w:style w:type="paragraph" w:styleId="NoSpacing">
    <w:name w:val="No Spacing"/>
    <w:basedOn w:val="Normal"/>
    <w:link w:val="NoSpacingChar"/>
    <w:uiPriority w:val="10"/>
    <w:qFormat/>
    <w:rsid w:val="00632F9F"/>
    <w:pPr>
      <w:spacing w:before="0" w:after="0"/>
    </w:pPr>
  </w:style>
  <w:style w:type="paragraph" w:styleId="ListBullet">
    <w:name w:val="List Bullet"/>
    <w:basedOn w:val="Normal"/>
    <w:link w:val="ListBulletChar"/>
    <w:uiPriority w:val="1"/>
    <w:qFormat/>
    <w:rsid w:val="00632F9F"/>
    <w:pPr>
      <w:numPr>
        <w:numId w:val="15"/>
      </w:numPr>
      <w:contextualSpacing/>
    </w:pPr>
  </w:style>
  <w:style w:type="paragraph" w:styleId="ListBullet2">
    <w:name w:val="List Bullet 2"/>
    <w:basedOn w:val="Normal"/>
    <w:uiPriority w:val="1"/>
    <w:qFormat/>
    <w:rsid w:val="00632F9F"/>
    <w:pPr>
      <w:numPr>
        <w:ilvl w:val="1"/>
        <w:numId w:val="15"/>
      </w:numPr>
      <w:contextualSpacing/>
    </w:pPr>
  </w:style>
  <w:style w:type="paragraph" w:styleId="ListNumber">
    <w:name w:val="List Number"/>
    <w:basedOn w:val="Normal"/>
    <w:uiPriority w:val="2"/>
    <w:qFormat/>
    <w:rsid w:val="00632F9F"/>
    <w:pPr>
      <w:numPr>
        <w:numId w:val="14"/>
      </w:numPr>
      <w:spacing w:before="60"/>
      <w:contextualSpacing/>
    </w:pPr>
  </w:style>
  <w:style w:type="numbering" w:customStyle="1" w:styleId="Bullets">
    <w:name w:val="Bullets"/>
    <w:uiPriority w:val="99"/>
    <w:rsid w:val="00632F9F"/>
    <w:pPr>
      <w:numPr>
        <w:numId w:val="5"/>
      </w:numPr>
    </w:pPr>
  </w:style>
  <w:style w:type="character" w:customStyle="1" w:styleId="Heading1Char">
    <w:name w:val="Heading 1 Char"/>
    <w:basedOn w:val="DefaultParagraphFont"/>
    <w:link w:val="Heading1"/>
    <w:uiPriority w:val="9"/>
    <w:rsid w:val="00632F9F"/>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632F9F"/>
    <w:pPr>
      <w:numPr>
        <w:ilvl w:val="1"/>
        <w:numId w:val="14"/>
      </w:numPr>
      <w:spacing w:before="60"/>
      <w:contextualSpacing/>
    </w:pPr>
  </w:style>
  <w:style w:type="character" w:customStyle="1" w:styleId="Heading2Char">
    <w:name w:val="Heading 2 Char"/>
    <w:basedOn w:val="DefaultParagraphFont"/>
    <w:link w:val="Heading2"/>
    <w:uiPriority w:val="9"/>
    <w:rsid w:val="00632F9F"/>
    <w:rPr>
      <w:rFonts w:asciiTheme="majorHAnsi" w:eastAsiaTheme="majorEastAsia" w:hAnsiTheme="majorHAnsi" w:cstheme="majorBidi"/>
      <w:sz w:val="30"/>
      <w:szCs w:val="60"/>
    </w:rPr>
  </w:style>
  <w:style w:type="paragraph" w:styleId="ListParagraph">
    <w:name w:val="List Paragraph"/>
    <w:basedOn w:val="Normal"/>
    <w:uiPriority w:val="34"/>
    <w:rsid w:val="00632F9F"/>
    <w:pPr>
      <w:spacing w:line="293" w:lineRule="auto"/>
      <w:ind w:left="284"/>
      <w:contextualSpacing/>
    </w:pPr>
  </w:style>
  <w:style w:type="paragraph" w:styleId="Header">
    <w:name w:val="header"/>
    <w:basedOn w:val="Normal"/>
    <w:link w:val="HeaderChar"/>
    <w:uiPriority w:val="99"/>
    <w:unhideWhenUsed/>
    <w:rsid w:val="00632F9F"/>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632F9F"/>
    <w:rPr>
      <w:sz w:val="16"/>
      <w:szCs w:val="20"/>
    </w:rPr>
  </w:style>
  <w:style w:type="paragraph" w:styleId="Footer">
    <w:name w:val="footer"/>
    <w:basedOn w:val="Normal"/>
    <w:link w:val="FooterChar"/>
    <w:uiPriority w:val="11"/>
    <w:rsid w:val="00632F9F"/>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632F9F"/>
    <w:rPr>
      <w:rFonts w:asciiTheme="majorHAnsi" w:hAnsiTheme="majorHAnsi"/>
      <w:sz w:val="17"/>
    </w:rPr>
  </w:style>
  <w:style w:type="numbering" w:customStyle="1" w:styleId="Numbering">
    <w:name w:val="Numbering"/>
    <w:uiPriority w:val="99"/>
    <w:rsid w:val="00632F9F"/>
    <w:pPr>
      <w:numPr>
        <w:numId w:val="14"/>
      </w:numPr>
    </w:pPr>
  </w:style>
  <w:style w:type="paragraph" w:styleId="ListBullet3">
    <w:name w:val="List Bullet 3"/>
    <w:basedOn w:val="Normal"/>
    <w:uiPriority w:val="1"/>
    <w:qFormat/>
    <w:rsid w:val="00632F9F"/>
    <w:pPr>
      <w:numPr>
        <w:ilvl w:val="2"/>
        <w:numId w:val="15"/>
      </w:numPr>
      <w:contextualSpacing/>
    </w:pPr>
  </w:style>
  <w:style w:type="paragraph" w:styleId="ListContinue2">
    <w:name w:val="List Continue 2"/>
    <w:basedOn w:val="Normal"/>
    <w:uiPriority w:val="3"/>
    <w:unhideWhenUsed/>
    <w:qFormat/>
    <w:rsid w:val="00632F9F"/>
    <w:pPr>
      <w:spacing w:before="60"/>
      <w:ind w:left="454"/>
    </w:pPr>
  </w:style>
  <w:style w:type="paragraph" w:styleId="ListNumber3">
    <w:name w:val="List Number 3"/>
    <w:basedOn w:val="Normal"/>
    <w:uiPriority w:val="13"/>
    <w:semiHidden/>
    <w:qFormat/>
    <w:rsid w:val="00632F9F"/>
    <w:pPr>
      <w:numPr>
        <w:ilvl w:val="2"/>
        <w:numId w:val="14"/>
      </w:numPr>
      <w:spacing w:before="60"/>
      <w:contextualSpacing/>
    </w:pPr>
  </w:style>
  <w:style w:type="paragraph" w:styleId="ListNumber4">
    <w:name w:val="List Number 4"/>
    <w:basedOn w:val="Normal"/>
    <w:uiPriority w:val="13"/>
    <w:semiHidden/>
    <w:qFormat/>
    <w:rsid w:val="00632F9F"/>
    <w:pPr>
      <w:numPr>
        <w:ilvl w:val="3"/>
        <w:numId w:val="14"/>
      </w:numPr>
      <w:spacing w:after="200" w:line="293" w:lineRule="auto"/>
      <w:contextualSpacing/>
    </w:pPr>
  </w:style>
  <w:style w:type="paragraph" w:styleId="ListNumber5">
    <w:name w:val="List Number 5"/>
    <w:basedOn w:val="Normal"/>
    <w:uiPriority w:val="13"/>
    <w:semiHidden/>
    <w:rsid w:val="00632F9F"/>
    <w:pPr>
      <w:numPr>
        <w:ilvl w:val="4"/>
        <w:numId w:val="14"/>
      </w:numPr>
      <w:spacing w:after="200" w:line="293" w:lineRule="auto"/>
      <w:contextualSpacing/>
    </w:pPr>
  </w:style>
  <w:style w:type="paragraph" w:styleId="ListContinue">
    <w:name w:val="List Continue"/>
    <w:basedOn w:val="Normal"/>
    <w:uiPriority w:val="3"/>
    <w:unhideWhenUsed/>
    <w:qFormat/>
    <w:rsid w:val="00632F9F"/>
    <w:pPr>
      <w:spacing w:before="60"/>
      <w:ind w:left="227"/>
    </w:pPr>
  </w:style>
  <w:style w:type="paragraph" w:styleId="ListContinue3">
    <w:name w:val="List Continue 3"/>
    <w:basedOn w:val="Normal"/>
    <w:uiPriority w:val="3"/>
    <w:unhideWhenUsed/>
    <w:qFormat/>
    <w:rsid w:val="00632F9F"/>
    <w:pPr>
      <w:spacing w:before="60"/>
      <w:ind w:left="907"/>
    </w:pPr>
  </w:style>
  <w:style w:type="paragraph" w:styleId="ListContinue4">
    <w:name w:val="List Continue 4"/>
    <w:basedOn w:val="Normal"/>
    <w:uiPriority w:val="3"/>
    <w:unhideWhenUsed/>
    <w:qFormat/>
    <w:rsid w:val="00632F9F"/>
    <w:pPr>
      <w:spacing w:line="293" w:lineRule="auto"/>
      <w:ind w:left="907"/>
      <w:contextualSpacing/>
    </w:pPr>
  </w:style>
  <w:style w:type="character" w:customStyle="1" w:styleId="Heading3Char">
    <w:name w:val="Heading 3 Char"/>
    <w:basedOn w:val="DefaultParagraphFont"/>
    <w:link w:val="Heading3"/>
    <w:uiPriority w:val="9"/>
    <w:rsid w:val="00632F9F"/>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632F9F"/>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632F9F"/>
    <w:rPr>
      <w:rFonts w:eastAsiaTheme="majorEastAsia" w:cstheme="majorBidi"/>
      <w:b/>
      <w:color w:val="265A9A" w:themeColor="background2"/>
      <w:szCs w:val="29"/>
    </w:rPr>
  </w:style>
  <w:style w:type="numbering" w:customStyle="1" w:styleId="ListHeadings">
    <w:name w:val="List Headings"/>
    <w:uiPriority w:val="99"/>
    <w:rsid w:val="00632F9F"/>
    <w:pPr>
      <w:numPr>
        <w:numId w:val="12"/>
      </w:numPr>
    </w:pPr>
  </w:style>
  <w:style w:type="paragraph" w:styleId="Title">
    <w:name w:val="Title"/>
    <w:basedOn w:val="Heading1"/>
    <w:next w:val="Normal"/>
    <w:link w:val="TitleChar"/>
    <w:uiPriority w:val="39"/>
    <w:rsid w:val="00632F9F"/>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632F9F"/>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632F9F"/>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632F9F"/>
    <w:rPr>
      <w:b/>
    </w:rPr>
  </w:style>
  <w:style w:type="character" w:customStyle="1" w:styleId="Pull-outQuoteChar">
    <w:name w:val="Pull-out Quote Char"/>
    <w:basedOn w:val="DefaultParagraphFont"/>
    <w:link w:val="Pull-outQuote"/>
    <w:uiPriority w:val="99"/>
    <w:semiHidden/>
    <w:rsid w:val="00632F9F"/>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632F9F"/>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632F9F"/>
  </w:style>
  <w:style w:type="paragraph" w:customStyle="1" w:styleId="NumberedHeading2">
    <w:name w:val="Numbered Heading 2"/>
    <w:basedOn w:val="Heading2"/>
    <w:next w:val="Normal"/>
    <w:link w:val="NumberedHeading2Char"/>
    <w:uiPriority w:val="9"/>
    <w:semiHidden/>
    <w:rsid w:val="00632F9F"/>
  </w:style>
  <w:style w:type="character" w:customStyle="1" w:styleId="NumberedHeading1Char">
    <w:name w:val="Numbered Heading 1 Char"/>
    <w:basedOn w:val="Heading1Char"/>
    <w:link w:val="NumberedHeading1"/>
    <w:uiPriority w:val="9"/>
    <w:semiHidden/>
    <w:rsid w:val="00632F9F"/>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632F9F"/>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632F9F"/>
    <w:pPr>
      <w:ind w:left="1134"/>
      <w:contextualSpacing/>
    </w:pPr>
  </w:style>
  <w:style w:type="table" w:styleId="TableGrid">
    <w:name w:val="Table Grid"/>
    <w:basedOn w:val="TableNormal"/>
    <w:uiPriority w:val="59"/>
    <w:rsid w:val="0063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632F9F"/>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632F9F"/>
    <w:pPr>
      <w:numPr>
        <w:numId w:val="9"/>
      </w:numPr>
      <w:spacing w:before="60"/>
    </w:pPr>
  </w:style>
  <w:style w:type="paragraph" w:styleId="List2">
    <w:name w:val="List 2"/>
    <w:basedOn w:val="Normal"/>
    <w:uiPriority w:val="99"/>
    <w:semiHidden/>
    <w:qFormat/>
    <w:rsid w:val="00632F9F"/>
    <w:pPr>
      <w:numPr>
        <w:ilvl w:val="1"/>
        <w:numId w:val="9"/>
      </w:numPr>
      <w:spacing w:before="60"/>
    </w:pPr>
  </w:style>
  <w:style w:type="numbering" w:customStyle="1" w:styleId="LetteredList">
    <w:name w:val="Lettered List"/>
    <w:uiPriority w:val="99"/>
    <w:rsid w:val="00632F9F"/>
    <w:pPr>
      <w:numPr>
        <w:numId w:val="8"/>
      </w:numPr>
    </w:pPr>
  </w:style>
  <w:style w:type="paragraph" w:styleId="Subtitle">
    <w:name w:val="Subtitle"/>
    <w:basedOn w:val="Normal"/>
    <w:next w:val="Normal"/>
    <w:link w:val="SubtitleChar"/>
    <w:uiPriority w:val="39"/>
    <w:rsid w:val="00632F9F"/>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632F9F"/>
    <w:rPr>
      <w:rFonts w:eastAsiaTheme="minorEastAsia"/>
      <w:color w:val="FFFFFF" w:themeColor="background1"/>
      <w:sz w:val="52"/>
      <w:szCs w:val="20"/>
    </w:rPr>
  </w:style>
  <w:style w:type="character" w:styleId="Strong">
    <w:name w:val="Strong"/>
    <w:basedOn w:val="DefaultParagraphFont"/>
    <w:uiPriority w:val="22"/>
    <w:qFormat/>
    <w:rsid w:val="00632F9F"/>
    <w:rPr>
      <w:rFonts w:asciiTheme="minorHAnsi" w:hAnsiTheme="minorHAnsi"/>
      <w:b/>
      <w:bCs/>
    </w:rPr>
  </w:style>
  <w:style w:type="paragraph" w:customStyle="1" w:styleId="Header-Keyline">
    <w:name w:val="Header - Keyline"/>
    <w:basedOn w:val="Header"/>
    <w:link w:val="Header-KeylineChar"/>
    <w:uiPriority w:val="99"/>
    <w:rsid w:val="00632F9F"/>
    <w:pPr>
      <w:pBdr>
        <w:bottom w:val="single" w:sz="4" w:space="31" w:color="66BCDB" w:themeColor="text2"/>
      </w:pBdr>
      <w:spacing w:after="600"/>
    </w:pPr>
  </w:style>
  <w:style w:type="character" w:customStyle="1" w:styleId="Heading6Char">
    <w:name w:val="Heading 6 Char"/>
    <w:basedOn w:val="DefaultParagraphFont"/>
    <w:link w:val="Heading6"/>
    <w:uiPriority w:val="9"/>
    <w:rsid w:val="00632F9F"/>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632F9F"/>
    <w:rPr>
      <w:sz w:val="16"/>
      <w:szCs w:val="20"/>
    </w:rPr>
  </w:style>
  <w:style w:type="character" w:customStyle="1" w:styleId="Heading7Char">
    <w:name w:val="Heading 7 Char"/>
    <w:basedOn w:val="DefaultParagraphFont"/>
    <w:link w:val="Heading7"/>
    <w:uiPriority w:val="9"/>
    <w:semiHidden/>
    <w:rsid w:val="00632F9F"/>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632F9F"/>
    <w:rPr>
      <w:rFonts w:eastAsiaTheme="majorEastAsia" w:cstheme="majorBidi"/>
      <w:b/>
      <w:sz w:val="18"/>
      <w:szCs w:val="21"/>
    </w:rPr>
  </w:style>
  <w:style w:type="table" w:customStyle="1" w:styleId="ProductivityCommissionTable1">
    <w:name w:val="Productivity Commission Table 1"/>
    <w:basedOn w:val="TableNormal"/>
    <w:uiPriority w:val="99"/>
    <w:rsid w:val="00632F9F"/>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632F9F"/>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632F9F"/>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632F9F"/>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632F9F"/>
    <w:pPr>
      <w:spacing w:before="60" w:after="60" w:line="293" w:lineRule="auto"/>
      <w:contextualSpacing/>
    </w:pPr>
    <w:rPr>
      <w:sz w:val="18"/>
    </w:rPr>
  </w:style>
  <w:style w:type="paragraph" w:styleId="TOC1">
    <w:name w:val="toc 1"/>
    <w:basedOn w:val="Normal"/>
    <w:next w:val="BodyText"/>
    <w:autoRedefine/>
    <w:uiPriority w:val="39"/>
    <w:unhideWhenUsed/>
    <w:rsid w:val="00632F9F"/>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632F9F"/>
    <w:rPr>
      <w:sz w:val="18"/>
      <w:szCs w:val="20"/>
    </w:rPr>
  </w:style>
  <w:style w:type="character" w:styleId="FootnoteReference">
    <w:name w:val="footnote reference"/>
    <w:basedOn w:val="DefaultParagraphFont"/>
    <w:uiPriority w:val="99"/>
    <w:unhideWhenUsed/>
    <w:rsid w:val="00632F9F"/>
    <w:rPr>
      <w:vertAlign w:val="superscript"/>
    </w:rPr>
  </w:style>
  <w:style w:type="character" w:styleId="Hyperlink">
    <w:name w:val="Hyperlink"/>
    <w:basedOn w:val="DefaultParagraphFont"/>
    <w:uiPriority w:val="99"/>
    <w:unhideWhenUsed/>
    <w:rsid w:val="00632F9F"/>
    <w:rPr>
      <w:color w:val="000000" w:themeColor="hyperlink"/>
      <w:u w:val="single"/>
    </w:rPr>
  </w:style>
  <w:style w:type="character" w:styleId="HTMLVariable">
    <w:name w:val="HTML Variable"/>
    <w:basedOn w:val="DefaultParagraphFont"/>
    <w:uiPriority w:val="99"/>
    <w:unhideWhenUsed/>
    <w:rsid w:val="00632F9F"/>
    <w:rPr>
      <w:i/>
      <w:iCs/>
    </w:rPr>
  </w:style>
  <w:style w:type="paragraph" w:styleId="TOC2">
    <w:name w:val="toc 2"/>
    <w:basedOn w:val="Normal"/>
    <w:next w:val="Normal"/>
    <w:autoRedefine/>
    <w:uiPriority w:val="39"/>
    <w:unhideWhenUsed/>
    <w:rsid w:val="00632F9F"/>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632F9F"/>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632F9F"/>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632F9F"/>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632F9F"/>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632F9F"/>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632F9F"/>
    <w:rPr>
      <w:sz w:val="20"/>
      <w:szCs w:val="20"/>
    </w:rPr>
  </w:style>
  <w:style w:type="character" w:customStyle="1" w:styleId="Copyrightpage-Heading2Char">
    <w:name w:val="Copyright page-Heading 2 Char"/>
    <w:basedOn w:val="NoSpacingChar"/>
    <w:link w:val="Copyrightpage-Heading2"/>
    <w:uiPriority w:val="19"/>
    <w:rsid w:val="00632F9F"/>
    <w:rPr>
      <w:b/>
      <w:color w:val="FFFFFF" w:themeColor="background1"/>
      <w:sz w:val="16"/>
      <w:szCs w:val="16"/>
    </w:rPr>
  </w:style>
  <w:style w:type="paragraph" w:customStyle="1" w:styleId="Copyrightpage-Heading">
    <w:name w:val="Copyright page-Heading"/>
    <w:basedOn w:val="Subtitle2"/>
    <w:link w:val="Copyrightpage-HeadingChar"/>
    <w:uiPriority w:val="19"/>
    <w:rsid w:val="00632F9F"/>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632F9F"/>
    <w:rPr>
      <w:color w:val="FFFFFF" w:themeColor="background1"/>
      <w:sz w:val="16"/>
      <w:szCs w:val="20"/>
    </w:rPr>
  </w:style>
  <w:style w:type="paragraph" w:customStyle="1" w:styleId="Subtitle4">
    <w:name w:val="Subtitle 4"/>
    <w:basedOn w:val="Copyrightpage-Heading"/>
    <w:link w:val="Subtitle4Char"/>
    <w:uiPriority w:val="39"/>
    <w:rsid w:val="00632F9F"/>
    <w:pPr>
      <w:spacing w:after="40"/>
    </w:pPr>
    <w:rPr>
      <w:b/>
      <w:sz w:val="16"/>
    </w:rPr>
  </w:style>
  <w:style w:type="character" w:customStyle="1" w:styleId="Copyrightpage-HeadingChar">
    <w:name w:val="Copyright page-Heading Char"/>
    <w:basedOn w:val="Subtitle2Char"/>
    <w:link w:val="Copyrightpage-Heading"/>
    <w:uiPriority w:val="19"/>
    <w:rsid w:val="00632F9F"/>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632F9F"/>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632F9F"/>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632F9F"/>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632F9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632F9F"/>
    <w:pPr>
      <w:spacing w:line="360" w:lineRule="auto"/>
      <w:jc w:val="right"/>
    </w:pPr>
    <w:rPr>
      <w:sz w:val="16"/>
    </w:rPr>
  </w:style>
  <w:style w:type="paragraph" w:customStyle="1" w:styleId="Letterlogo">
    <w:name w:val="Letter logo"/>
    <w:basedOn w:val="LetterRight"/>
    <w:uiPriority w:val="99"/>
    <w:rsid w:val="00632F9F"/>
    <w:pPr>
      <w:spacing w:after="320"/>
    </w:pPr>
  </w:style>
  <w:style w:type="character" w:customStyle="1" w:styleId="LetterRightChar">
    <w:name w:val="Letter Right Char"/>
    <w:basedOn w:val="DefaultParagraphFont"/>
    <w:link w:val="LetterRight"/>
    <w:uiPriority w:val="99"/>
    <w:rsid w:val="00632F9F"/>
    <w:rPr>
      <w:sz w:val="16"/>
      <w:szCs w:val="20"/>
    </w:rPr>
  </w:style>
  <w:style w:type="character" w:styleId="UnresolvedMention">
    <w:name w:val="Unresolved Mention"/>
    <w:basedOn w:val="DefaultParagraphFont"/>
    <w:uiPriority w:val="99"/>
    <w:semiHidden/>
    <w:unhideWhenUsed/>
    <w:rsid w:val="00632F9F"/>
    <w:rPr>
      <w:color w:val="605E5C"/>
      <w:shd w:val="clear" w:color="auto" w:fill="E1DFDD"/>
    </w:rPr>
  </w:style>
  <w:style w:type="paragraph" w:customStyle="1" w:styleId="LetterRight-NoSpace">
    <w:name w:val="Letter Right-No Space"/>
    <w:basedOn w:val="LetterRight"/>
    <w:uiPriority w:val="99"/>
    <w:rsid w:val="00632F9F"/>
    <w:pPr>
      <w:spacing w:after="0"/>
    </w:pPr>
  </w:style>
  <w:style w:type="table" w:customStyle="1" w:styleId="Blank">
    <w:name w:val="Blank"/>
    <w:basedOn w:val="TableNormal"/>
    <w:uiPriority w:val="99"/>
    <w:rsid w:val="00632F9F"/>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632F9F"/>
    <w:pPr>
      <w:numPr>
        <w:numId w:val="11"/>
      </w:numPr>
      <w:contextualSpacing/>
    </w:pPr>
  </w:style>
  <w:style w:type="paragraph" w:customStyle="1" w:styleId="Coverdate">
    <w:name w:val="Cover date"/>
    <w:basedOn w:val="Normal"/>
    <w:uiPriority w:val="29"/>
    <w:rsid w:val="00632F9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632F9F"/>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632F9F"/>
    <w:rPr>
      <w:color w:val="FFFFFF" w:themeColor="background1"/>
    </w:rPr>
  </w:style>
  <w:style w:type="paragraph" w:customStyle="1" w:styleId="Copyrightpage-Keylinenotext">
    <w:name w:val="Copyright page-Keyline (no text)"/>
    <w:basedOn w:val="Copyrightpage-Heading2"/>
    <w:uiPriority w:val="19"/>
    <w:rsid w:val="00632F9F"/>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632F9F"/>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632F9F"/>
    <w:rPr>
      <w:b/>
    </w:rPr>
  </w:style>
  <w:style w:type="paragraph" w:customStyle="1" w:styleId="CoverImage">
    <w:name w:val="Cover Image"/>
    <w:basedOn w:val="Normal"/>
    <w:uiPriority w:val="29"/>
    <w:rsid w:val="00632F9F"/>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632F9F"/>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632F9F"/>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632F9F"/>
    <w:pPr>
      <w:spacing w:before="60"/>
      <w:ind w:left="113" w:right="851"/>
    </w:pPr>
    <w:rPr>
      <w:color w:val="58585B"/>
    </w:rPr>
  </w:style>
  <w:style w:type="numbering" w:customStyle="1" w:styleId="TOCList">
    <w:name w:val="TOC List"/>
    <w:uiPriority w:val="99"/>
    <w:rsid w:val="00632F9F"/>
    <w:pPr>
      <w:numPr>
        <w:numId w:val="17"/>
      </w:numPr>
    </w:pPr>
  </w:style>
  <w:style w:type="paragraph" w:customStyle="1" w:styleId="Heading1-Section-fullpage">
    <w:name w:val="Heading 1-Section-full page"/>
    <w:basedOn w:val="Heading1-nobackground"/>
    <w:uiPriority w:val="9"/>
    <w:qFormat/>
    <w:rsid w:val="00632F9F"/>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632F9F"/>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632F9F"/>
    <w:pPr>
      <w:keepNext/>
      <w:spacing w:before="240"/>
    </w:pPr>
  </w:style>
  <w:style w:type="paragraph" w:customStyle="1" w:styleId="Source">
    <w:name w:val="Source"/>
    <w:basedOn w:val="Normal"/>
    <w:uiPriority w:val="9"/>
    <w:qFormat/>
    <w:rsid w:val="00632F9F"/>
    <w:pPr>
      <w:spacing w:before="80" w:after="240" w:line="216" w:lineRule="atLeast"/>
    </w:pPr>
    <w:rPr>
      <w:sz w:val="18"/>
    </w:rPr>
  </w:style>
  <w:style w:type="paragraph" w:customStyle="1" w:styleId="Note">
    <w:name w:val="Note"/>
    <w:basedOn w:val="Source"/>
    <w:uiPriority w:val="9"/>
    <w:qFormat/>
    <w:rsid w:val="00632F9F"/>
    <w:pPr>
      <w:spacing w:after="20"/>
    </w:pPr>
  </w:style>
  <w:style w:type="numbering" w:customStyle="1" w:styleId="Figure">
    <w:name w:val="Figure"/>
    <w:uiPriority w:val="99"/>
    <w:rsid w:val="00632F9F"/>
    <w:pPr>
      <w:numPr>
        <w:numId w:val="6"/>
      </w:numPr>
    </w:pPr>
  </w:style>
  <w:style w:type="table" w:customStyle="1" w:styleId="Boxtable">
    <w:name w:val="Box table"/>
    <w:basedOn w:val="Texttable-Paleblue"/>
    <w:uiPriority w:val="99"/>
    <w:rsid w:val="00632F9F"/>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632F9F"/>
    <w:pPr>
      <w:numPr>
        <w:numId w:val="4"/>
      </w:numPr>
    </w:pPr>
  </w:style>
  <w:style w:type="paragraph" w:customStyle="1" w:styleId="BoxHeading2">
    <w:name w:val="Box Heading 2"/>
    <w:basedOn w:val="Normal"/>
    <w:next w:val="BodyText"/>
    <w:uiPriority w:val="4"/>
    <w:qFormat/>
    <w:rsid w:val="00632F9F"/>
    <w:rPr>
      <w:b/>
    </w:rPr>
  </w:style>
  <w:style w:type="table" w:customStyle="1" w:styleId="ProductivityCommissionTable2-Dark">
    <w:name w:val="Productivity Commission Table 2 - Dark"/>
    <w:basedOn w:val="ProductivityCommissionTable2"/>
    <w:uiPriority w:val="99"/>
    <w:rsid w:val="00632F9F"/>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632F9F"/>
    <w:rPr>
      <w:i/>
    </w:rPr>
  </w:style>
  <w:style w:type="paragraph" w:customStyle="1" w:styleId="TableHeading">
    <w:name w:val="Table Heading"/>
    <w:basedOn w:val="NoSpacing"/>
    <w:uiPriority w:val="4"/>
    <w:qFormat/>
    <w:rsid w:val="00632F9F"/>
    <w:pPr>
      <w:spacing w:after="20"/>
      <w:ind w:left="57"/>
    </w:pPr>
    <w:rPr>
      <w:b/>
      <w:color w:val="265A9A" w:themeColor="background2"/>
      <w:sz w:val="18"/>
    </w:rPr>
  </w:style>
  <w:style w:type="paragraph" w:customStyle="1" w:styleId="BodyText-Blue">
    <w:name w:val="Body Text-Blue"/>
    <w:basedOn w:val="BodyText"/>
    <w:link w:val="BodyText-BlueChar"/>
    <w:semiHidden/>
    <w:qFormat/>
    <w:rsid w:val="00632F9F"/>
    <w:rPr>
      <w:color w:val="265A9A" w:themeColor="background2"/>
    </w:rPr>
  </w:style>
  <w:style w:type="table" w:customStyle="1" w:styleId="Texttable-Keyline">
    <w:name w:val="Text table-Keyline"/>
    <w:basedOn w:val="Texttable-Paleblue"/>
    <w:uiPriority w:val="99"/>
    <w:rsid w:val="00632F9F"/>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632F9F"/>
    <w:pPr>
      <w:jc w:val="right"/>
    </w:pPr>
  </w:style>
  <w:style w:type="table" w:customStyle="1" w:styleId="CopyrightPage">
    <w:name w:val="Copyright Page"/>
    <w:basedOn w:val="OverviewPageBannerTableStyle"/>
    <w:uiPriority w:val="99"/>
    <w:rsid w:val="00632F9F"/>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632F9F"/>
    <w:pPr>
      <w:spacing w:line="312" w:lineRule="atLeast"/>
    </w:pPr>
    <w:rPr>
      <w:color w:val="2C9BC2"/>
    </w:rPr>
  </w:style>
  <w:style w:type="paragraph" w:styleId="BodyText">
    <w:name w:val="Body Text"/>
    <w:basedOn w:val="Normal"/>
    <w:link w:val="BodyTextChar"/>
    <w:qFormat/>
    <w:rsid w:val="00632F9F"/>
  </w:style>
  <w:style w:type="character" w:customStyle="1" w:styleId="BodyTextChar">
    <w:name w:val="Body Text Char"/>
    <w:basedOn w:val="DefaultParagraphFont"/>
    <w:link w:val="BodyText"/>
    <w:rsid w:val="00632F9F"/>
    <w:rPr>
      <w:sz w:val="20"/>
      <w:szCs w:val="20"/>
    </w:rPr>
  </w:style>
  <w:style w:type="paragraph" w:styleId="List4">
    <w:name w:val="List 4"/>
    <w:basedOn w:val="Normal"/>
    <w:uiPriority w:val="99"/>
    <w:semiHidden/>
    <w:rsid w:val="00632F9F"/>
    <w:pPr>
      <w:numPr>
        <w:ilvl w:val="3"/>
        <w:numId w:val="9"/>
      </w:numPr>
      <w:contextualSpacing/>
    </w:pPr>
  </w:style>
  <w:style w:type="paragraph" w:styleId="List3">
    <w:name w:val="List 3"/>
    <w:basedOn w:val="Normal"/>
    <w:uiPriority w:val="99"/>
    <w:semiHidden/>
    <w:rsid w:val="00632F9F"/>
    <w:pPr>
      <w:numPr>
        <w:ilvl w:val="2"/>
        <w:numId w:val="9"/>
      </w:numPr>
      <w:contextualSpacing/>
    </w:pPr>
  </w:style>
  <w:style w:type="paragraph" w:customStyle="1" w:styleId="Heading1-nonumber">
    <w:name w:val="Heading 1-no number"/>
    <w:basedOn w:val="Heading1"/>
    <w:next w:val="BodyText"/>
    <w:uiPriority w:val="9"/>
    <w:qFormat/>
    <w:rsid w:val="00632F9F"/>
    <w:pPr>
      <w:numPr>
        <w:numId w:val="0"/>
      </w:numPr>
      <w:ind w:left="567"/>
    </w:pPr>
  </w:style>
  <w:style w:type="paragraph" w:customStyle="1" w:styleId="ListAlpha1">
    <w:name w:val="List Alpha 1"/>
    <w:basedOn w:val="Normal"/>
    <w:uiPriority w:val="3"/>
    <w:qFormat/>
    <w:rsid w:val="00632F9F"/>
    <w:pPr>
      <w:numPr>
        <w:numId w:val="10"/>
      </w:numPr>
      <w:spacing w:before="60"/>
      <w:contextualSpacing/>
    </w:pPr>
  </w:style>
  <w:style w:type="paragraph" w:customStyle="1" w:styleId="ListAlpha2">
    <w:name w:val="List Alpha 2"/>
    <w:basedOn w:val="ListAlpha1"/>
    <w:uiPriority w:val="3"/>
    <w:qFormat/>
    <w:rsid w:val="00632F9F"/>
    <w:pPr>
      <w:numPr>
        <w:ilvl w:val="1"/>
      </w:numPr>
    </w:pPr>
  </w:style>
  <w:style w:type="paragraph" w:customStyle="1" w:styleId="ListAlpha3">
    <w:name w:val="List Alpha 3"/>
    <w:basedOn w:val="ListAlpha2"/>
    <w:uiPriority w:val="3"/>
    <w:qFormat/>
    <w:rsid w:val="00632F9F"/>
    <w:pPr>
      <w:numPr>
        <w:ilvl w:val="2"/>
      </w:numPr>
    </w:pPr>
  </w:style>
  <w:style w:type="paragraph" w:customStyle="1" w:styleId="ListAlpha4">
    <w:name w:val="List Alpha 4"/>
    <w:basedOn w:val="ListAlpha3"/>
    <w:uiPriority w:val="3"/>
    <w:semiHidden/>
    <w:qFormat/>
    <w:rsid w:val="00632F9F"/>
    <w:pPr>
      <w:numPr>
        <w:ilvl w:val="3"/>
      </w:numPr>
    </w:pPr>
  </w:style>
  <w:style w:type="numbering" w:customStyle="1" w:styleId="Alphalist">
    <w:name w:val="Alpha list"/>
    <w:uiPriority w:val="99"/>
    <w:rsid w:val="00632F9F"/>
    <w:pPr>
      <w:numPr>
        <w:numId w:val="1"/>
      </w:numPr>
    </w:pPr>
  </w:style>
  <w:style w:type="paragraph" w:customStyle="1" w:styleId="KeyPoints-Bold">
    <w:name w:val="Key Points-Bold"/>
    <w:basedOn w:val="Normal"/>
    <w:uiPriority w:val="10"/>
    <w:qFormat/>
    <w:rsid w:val="00632F9F"/>
    <w:pPr>
      <w:spacing w:before="40" w:after="60" w:line="274" w:lineRule="atLeast"/>
    </w:pPr>
    <w:rPr>
      <w:b/>
      <w:sz w:val="18"/>
    </w:rPr>
  </w:style>
  <w:style w:type="paragraph" w:customStyle="1" w:styleId="Copyrightpage-BodyBold">
    <w:name w:val="Copyright page-Body Bold"/>
    <w:basedOn w:val="Copyrightpage-BodyText"/>
    <w:uiPriority w:val="19"/>
    <w:rsid w:val="00632F9F"/>
    <w:rPr>
      <w:b/>
    </w:rPr>
  </w:style>
  <w:style w:type="paragraph" w:customStyle="1" w:styleId="KeyPoints-Bullet">
    <w:name w:val="Key Points-Bullet"/>
    <w:basedOn w:val="ListBullet"/>
    <w:uiPriority w:val="10"/>
    <w:qFormat/>
    <w:rsid w:val="00632F9F"/>
    <w:pPr>
      <w:spacing w:after="60" w:line="274" w:lineRule="atLeast"/>
    </w:pPr>
    <w:rPr>
      <w:sz w:val="18"/>
    </w:rPr>
  </w:style>
  <w:style w:type="paragraph" w:customStyle="1" w:styleId="BodyText-Grey">
    <w:name w:val="Body Text-Grey"/>
    <w:basedOn w:val="BodyText"/>
    <w:link w:val="BodyText-GreyChar"/>
    <w:semiHidden/>
    <w:qFormat/>
    <w:rsid w:val="00632F9F"/>
    <w:rPr>
      <w:color w:val="58585B"/>
    </w:rPr>
  </w:style>
  <w:style w:type="character" w:customStyle="1" w:styleId="BodyText-GreyChar">
    <w:name w:val="Body Text-Grey Char"/>
    <w:basedOn w:val="BodyTextChar"/>
    <w:link w:val="BodyText-Grey"/>
    <w:semiHidden/>
    <w:rsid w:val="00632F9F"/>
    <w:rPr>
      <w:color w:val="58585B"/>
      <w:sz w:val="20"/>
      <w:szCs w:val="20"/>
    </w:rPr>
  </w:style>
  <w:style w:type="paragraph" w:styleId="BalloonText">
    <w:name w:val="Balloon Text"/>
    <w:basedOn w:val="Normal"/>
    <w:link w:val="BalloonTextChar"/>
    <w:uiPriority w:val="99"/>
    <w:semiHidden/>
    <w:unhideWhenUsed/>
    <w:rsid w:val="00632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F9F"/>
    <w:rPr>
      <w:rFonts w:ascii="Segoe UI" w:hAnsi="Segoe UI" w:cs="Segoe UI"/>
      <w:sz w:val="18"/>
      <w:szCs w:val="18"/>
    </w:rPr>
  </w:style>
  <w:style w:type="character" w:styleId="CommentReference">
    <w:name w:val="annotation reference"/>
    <w:basedOn w:val="DefaultParagraphFont"/>
    <w:uiPriority w:val="99"/>
    <w:semiHidden/>
    <w:unhideWhenUsed/>
    <w:rsid w:val="00632F9F"/>
    <w:rPr>
      <w:sz w:val="16"/>
      <w:szCs w:val="16"/>
    </w:rPr>
  </w:style>
  <w:style w:type="paragraph" w:styleId="CommentText">
    <w:name w:val="annotation text"/>
    <w:basedOn w:val="Normal"/>
    <w:link w:val="CommentTextChar"/>
    <w:uiPriority w:val="99"/>
    <w:unhideWhenUsed/>
    <w:rsid w:val="00632F9F"/>
    <w:pPr>
      <w:spacing w:line="240" w:lineRule="auto"/>
    </w:pPr>
  </w:style>
  <w:style w:type="character" w:customStyle="1" w:styleId="CommentTextChar">
    <w:name w:val="Comment Text Char"/>
    <w:basedOn w:val="DefaultParagraphFont"/>
    <w:link w:val="CommentText"/>
    <w:uiPriority w:val="99"/>
    <w:rsid w:val="00632F9F"/>
    <w:rPr>
      <w:sz w:val="20"/>
      <w:szCs w:val="20"/>
    </w:rPr>
  </w:style>
  <w:style w:type="paragraph" w:styleId="CommentSubject">
    <w:name w:val="annotation subject"/>
    <w:basedOn w:val="CommentText"/>
    <w:next w:val="CommentText"/>
    <w:link w:val="CommentSubjectChar"/>
    <w:uiPriority w:val="99"/>
    <w:semiHidden/>
    <w:unhideWhenUsed/>
    <w:rsid w:val="00632F9F"/>
    <w:rPr>
      <w:b/>
      <w:bCs/>
    </w:rPr>
  </w:style>
  <w:style w:type="character" w:customStyle="1" w:styleId="CommentSubjectChar">
    <w:name w:val="Comment Subject Char"/>
    <w:basedOn w:val="CommentTextChar"/>
    <w:link w:val="CommentSubject"/>
    <w:uiPriority w:val="99"/>
    <w:semiHidden/>
    <w:rsid w:val="00632F9F"/>
    <w:rPr>
      <w:b/>
      <w:bCs/>
      <w:sz w:val="20"/>
      <w:szCs w:val="20"/>
    </w:rPr>
  </w:style>
  <w:style w:type="character" w:customStyle="1" w:styleId="ColourBlue">
    <w:name w:val="Colour Blue"/>
    <w:basedOn w:val="DefaultParagraphFont"/>
    <w:uiPriority w:val="22"/>
    <w:qFormat/>
    <w:rsid w:val="00632F9F"/>
    <w:rPr>
      <w:color w:val="66BCDB" w:themeColor="text2"/>
    </w:rPr>
  </w:style>
  <w:style w:type="character" w:customStyle="1" w:styleId="ColourDarkBlue">
    <w:name w:val="Colour Dark Blue"/>
    <w:basedOn w:val="ColourBlue"/>
    <w:uiPriority w:val="22"/>
    <w:qFormat/>
    <w:rsid w:val="00632F9F"/>
    <w:rPr>
      <w:color w:val="265A9A" w:themeColor="background2"/>
    </w:rPr>
  </w:style>
  <w:style w:type="paragraph" w:customStyle="1" w:styleId="BodyText-Beforebullet">
    <w:name w:val="Body Text-Before bullet"/>
    <w:basedOn w:val="BodyText"/>
    <w:link w:val="BodyText-BeforebulletChar"/>
    <w:semiHidden/>
    <w:unhideWhenUsed/>
    <w:rsid w:val="00632F9F"/>
    <w:pPr>
      <w:spacing w:after="20"/>
    </w:pPr>
  </w:style>
  <w:style w:type="paragraph" w:customStyle="1" w:styleId="PullQuote">
    <w:name w:val="Pull Quote"/>
    <w:basedOn w:val="BodyText"/>
    <w:next w:val="BodyText"/>
    <w:uiPriority w:val="10"/>
    <w:qFormat/>
    <w:rsid w:val="00632F9F"/>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632F9F"/>
    <w:rPr>
      <w:sz w:val="20"/>
      <w:szCs w:val="20"/>
    </w:rPr>
  </w:style>
  <w:style w:type="paragraph" w:customStyle="1" w:styleId="TableBody">
    <w:name w:val="Table Body"/>
    <w:basedOn w:val="NoSpacing"/>
    <w:uiPriority w:val="4"/>
    <w:qFormat/>
    <w:rsid w:val="00632F9F"/>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632F9F"/>
    <w:pPr>
      <w:spacing w:before="60"/>
      <w:jc w:val="right"/>
    </w:pPr>
  </w:style>
  <w:style w:type="paragraph" w:customStyle="1" w:styleId="FigureTableSubheading">
    <w:name w:val="Figure/Table Subheading"/>
    <w:basedOn w:val="FigureTableHeading"/>
    <w:uiPriority w:val="4"/>
    <w:qFormat/>
    <w:rsid w:val="00632F9F"/>
    <w:pPr>
      <w:spacing w:before="40"/>
    </w:pPr>
    <w:rPr>
      <w:color w:val="58585B"/>
    </w:rPr>
  </w:style>
  <w:style w:type="table" w:customStyle="1" w:styleId="TextTable-Grey">
    <w:name w:val="Text Table-Grey"/>
    <w:basedOn w:val="Texttable-Paleblue"/>
    <w:uiPriority w:val="99"/>
    <w:rsid w:val="00632F9F"/>
    <w:rPr>
      <w:color w:val="265A9A" w:themeColor="background2"/>
    </w:rPr>
    <w:tblPr/>
    <w:tcPr>
      <w:shd w:val="clear" w:color="auto" w:fill="F2F2F2"/>
    </w:tcPr>
  </w:style>
  <w:style w:type="character" w:customStyle="1" w:styleId="BodyText-BlueChar">
    <w:name w:val="Body Text-Blue Char"/>
    <w:basedOn w:val="BodyTextChar"/>
    <w:link w:val="BodyText-Blue"/>
    <w:semiHidden/>
    <w:rsid w:val="00632F9F"/>
    <w:rPr>
      <w:color w:val="265A9A" w:themeColor="background2"/>
      <w:sz w:val="20"/>
      <w:szCs w:val="20"/>
    </w:rPr>
  </w:style>
  <w:style w:type="paragraph" w:customStyle="1" w:styleId="Heading3-nonumber">
    <w:name w:val="Heading 3-no number"/>
    <w:basedOn w:val="Heading3"/>
    <w:uiPriority w:val="9"/>
    <w:semiHidden/>
    <w:qFormat/>
    <w:rsid w:val="00632F9F"/>
  </w:style>
  <w:style w:type="paragraph" w:customStyle="1" w:styleId="Heading1-nobackground">
    <w:name w:val="Heading 1-no background"/>
    <w:basedOn w:val="Heading1"/>
    <w:next w:val="BodyText"/>
    <w:uiPriority w:val="9"/>
    <w:qFormat/>
    <w:rsid w:val="00632F9F"/>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632F9F"/>
    <w:rPr>
      <w:color w:val="58585B"/>
      <w:sz w:val="20"/>
      <w:szCs w:val="20"/>
    </w:rPr>
  </w:style>
  <w:style w:type="paragraph" w:customStyle="1" w:styleId="TableHeading-numbered">
    <w:name w:val="Table Heading-numbered"/>
    <w:basedOn w:val="Normal"/>
    <w:semiHidden/>
    <w:qFormat/>
    <w:rsid w:val="00632F9F"/>
    <w:pPr>
      <w:numPr>
        <w:numId w:val="16"/>
      </w:numPr>
      <w:spacing w:before="60"/>
      <w:contextualSpacing/>
    </w:pPr>
    <w:rPr>
      <w:b/>
      <w:color w:val="265A9A" w:themeColor="background2"/>
    </w:rPr>
  </w:style>
  <w:style w:type="numbering" w:customStyle="1" w:styleId="TableList">
    <w:name w:val="TableList"/>
    <w:uiPriority w:val="99"/>
    <w:rsid w:val="00632F9F"/>
    <w:pPr>
      <w:numPr>
        <w:numId w:val="16"/>
      </w:numPr>
    </w:pPr>
  </w:style>
  <w:style w:type="paragraph" w:customStyle="1" w:styleId="Footer-right">
    <w:name w:val="Footer-right"/>
    <w:basedOn w:val="Footer"/>
    <w:uiPriority w:val="11"/>
    <w:rsid w:val="00632F9F"/>
    <w:pPr>
      <w:jc w:val="right"/>
    </w:pPr>
    <w:rPr>
      <w:szCs w:val="24"/>
    </w:rPr>
  </w:style>
  <w:style w:type="paragraph" w:customStyle="1" w:styleId="Heading2-nonumber">
    <w:name w:val="Heading 2-no number"/>
    <w:basedOn w:val="Heading2"/>
    <w:uiPriority w:val="9"/>
    <w:qFormat/>
    <w:rsid w:val="00632F9F"/>
    <w:pPr>
      <w:numPr>
        <w:ilvl w:val="0"/>
        <w:numId w:val="0"/>
      </w:numPr>
    </w:pPr>
  </w:style>
  <w:style w:type="paragraph" w:customStyle="1" w:styleId="Heading-Appendix">
    <w:name w:val="Heading-Appendix"/>
    <w:basedOn w:val="Heading1-nonumber"/>
    <w:next w:val="BodyText"/>
    <w:uiPriority w:val="9"/>
    <w:qFormat/>
    <w:rsid w:val="00632F9F"/>
    <w:pPr>
      <w:numPr>
        <w:numId w:val="7"/>
      </w:numPr>
    </w:pPr>
  </w:style>
  <w:style w:type="numbering" w:customStyle="1" w:styleId="AppendixHeading">
    <w:name w:val="AppendixHeading"/>
    <w:uiPriority w:val="99"/>
    <w:rsid w:val="00632F9F"/>
    <w:pPr>
      <w:numPr>
        <w:numId w:val="3"/>
      </w:numPr>
    </w:pPr>
  </w:style>
  <w:style w:type="paragraph" w:customStyle="1" w:styleId="DraftingNote">
    <w:name w:val="Drafting Note"/>
    <w:basedOn w:val="BodyText"/>
    <w:link w:val="DraftingNoteChar"/>
    <w:qFormat/>
    <w:rsid w:val="00632F9F"/>
    <w:pPr>
      <w:contextualSpacing/>
    </w:pPr>
    <w:rPr>
      <w:color w:val="A22D2B"/>
      <w:sz w:val="24"/>
      <w:u w:val="dotted"/>
    </w:rPr>
  </w:style>
  <w:style w:type="character" w:customStyle="1" w:styleId="DraftingNoteChar">
    <w:name w:val="Drafting Note Char"/>
    <w:basedOn w:val="BodyTextChar"/>
    <w:link w:val="DraftingNote"/>
    <w:rsid w:val="00632F9F"/>
    <w:rPr>
      <w:color w:val="A22D2B"/>
      <w:sz w:val="24"/>
      <w:szCs w:val="20"/>
      <w:u w:val="dotted"/>
    </w:rPr>
  </w:style>
  <w:style w:type="paragraph" w:customStyle="1" w:styleId="BoxHeading1">
    <w:name w:val="Box Heading 1"/>
    <w:basedOn w:val="FigureTableHeading"/>
    <w:next w:val="BodyText"/>
    <w:uiPriority w:val="4"/>
    <w:qFormat/>
    <w:rsid w:val="00632F9F"/>
    <w:pPr>
      <w:spacing w:after="0"/>
    </w:pPr>
  </w:style>
  <w:style w:type="character" w:styleId="Emphasis">
    <w:name w:val="Emphasis"/>
    <w:basedOn w:val="DefaultParagraphFont"/>
    <w:uiPriority w:val="22"/>
    <w:qFormat/>
    <w:rsid w:val="00632F9F"/>
    <w:rPr>
      <w:i/>
      <w:iCs/>
    </w:rPr>
  </w:style>
  <w:style w:type="paragraph" w:customStyle="1" w:styleId="Reference">
    <w:name w:val="Reference"/>
    <w:basedOn w:val="BodyText"/>
    <w:qFormat/>
    <w:rsid w:val="00632F9F"/>
    <w:pPr>
      <w:spacing w:before="0" w:after="60" w:line="200" w:lineRule="exact"/>
    </w:pPr>
    <w:rPr>
      <w:sz w:val="16"/>
    </w:rPr>
  </w:style>
  <w:style w:type="paragraph" w:customStyle="1" w:styleId="Keypoints-heading">
    <w:name w:val="Key points-heading"/>
    <w:basedOn w:val="Heading3"/>
    <w:uiPriority w:val="10"/>
    <w:qFormat/>
    <w:rsid w:val="00632F9F"/>
    <w:rPr>
      <w:color w:val="auto"/>
    </w:rPr>
  </w:style>
  <w:style w:type="paragraph" w:customStyle="1" w:styleId="Heading2-Appendix">
    <w:name w:val="Heading 2-Appendix"/>
    <w:basedOn w:val="Heading2-nonumber"/>
    <w:next w:val="Normal"/>
    <w:uiPriority w:val="10"/>
    <w:qFormat/>
    <w:rsid w:val="00632F9F"/>
    <w:pPr>
      <w:numPr>
        <w:ilvl w:val="1"/>
        <w:numId w:val="7"/>
      </w:numPr>
    </w:pPr>
  </w:style>
  <w:style w:type="numbering" w:customStyle="1" w:styleId="AppendixHeadingList">
    <w:name w:val="Appendix Heading List"/>
    <w:uiPriority w:val="99"/>
    <w:rsid w:val="00632F9F"/>
    <w:pPr>
      <w:numPr>
        <w:numId w:val="2"/>
      </w:numPr>
    </w:pPr>
  </w:style>
  <w:style w:type="paragraph" w:customStyle="1" w:styleId="Space">
    <w:name w:val="Space"/>
    <w:basedOn w:val="BodyText"/>
    <w:uiPriority w:val="1"/>
    <w:rsid w:val="00632F9F"/>
    <w:pPr>
      <w:spacing w:before="0" w:after="0"/>
    </w:pPr>
  </w:style>
  <w:style w:type="paragraph" w:customStyle="1" w:styleId="QuoteBullet">
    <w:name w:val="Quote Bullet"/>
    <w:basedOn w:val="ListBullet"/>
    <w:link w:val="QuoteBulletChar"/>
    <w:uiPriority w:val="1"/>
    <w:qFormat/>
    <w:rsid w:val="00632F9F"/>
    <w:pPr>
      <w:spacing w:before="60"/>
      <w:ind w:left="340" w:right="851"/>
    </w:pPr>
    <w:rPr>
      <w:color w:val="58585B"/>
    </w:rPr>
  </w:style>
  <w:style w:type="character" w:customStyle="1" w:styleId="ListBulletChar">
    <w:name w:val="List Bullet Char"/>
    <w:basedOn w:val="DefaultParagraphFont"/>
    <w:link w:val="ListBullet"/>
    <w:uiPriority w:val="1"/>
    <w:rsid w:val="00632F9F"/>
    <w:rPr>
      <w:sz w:val="20"/>
      <w:szCs w:val="20"/>
    </w:rPr>
  </w:style>
  <w:style w:type="character" w:customStyle="1" w:styleId="QuoteBulletChar">
    <w:name w:val="Quote Bullet Char"/>
    <w:basedOn w:val="ListBulletChar"/>
    <w:link w:val="QuoteBullet"/>
    <w:uiPriority w:val="1"/>
    <w:rsid w:val="00632F9F"/>
    <w:rPr>
      <w:color w:val="58585B"/>
      <w:sz w:val="20"/>
      <w:szCs w:val="20"/>
    </w:rPr>
  </w:style>
  <w:style w:type="paragraph" w:customStyle="1" w:styleId="Figurecharttitle">
    <w:name w:val="Figure chart title"/>
    <w:basedOn w:val="BodyText"/>
    <w:uiPriority w:val="10"/>
    <w:qFormat/>
    <w:rsid w:val="00632F9F"/>
    <w:pPr>
      <w:spacing w:before="0" w:after="0"/>
      <w:ind w:left="284" w:hanging="284"/>
    </w:pPr>
    <w:rPr>
      <w:sz w:val="18"/>
      <w:szCs w:val="18"/>
    </w:rPr>
  </w:style>
  <w:style w:type="paragraph" w:customStyle="1" w:styleId="TableListBullet">
    <w:name w:val="Table List Bullet"/>
    <w:basedOn w:val="ListBullet"/>
    <w:uiPriority w:val="10"/>
    <w:qFormat/>
    <w:rsid w:val="00632F9F"/>
    <w:pPr>
      <w:spacing w:before="0" w:after="20"/>
      <w:ind w:left="170" w:hanging="113"/>
    </w:pPr>
    <w:rPr>
      <w:sz w:val="18"/>
    </w:rPr>
  </w:style>
  <w:style w:type="paragraph" w:customStyle="1" w:styleId="paragraph">
    <w:name w:val="paragraph"/>
    <w:basedOn w:val="Normal"/>
    <w:rsid w:val="00D433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433E5"/>
  </w:style>
  <w:style w:type="character" w:customStyle="1" w:styleId="eop">
    <w:name w:val="eop"/>
    <w:basedOn w:val="DefaultParagraphFont"/>
    <w:rsid w:val="00D433E5"/>
  </w:style>
  <w:style w:type="paragraph" w:styleId="NormalWeb">
    <w:name w:val="Normal (Web)"/>
    <w:basedOn w:val="Normal"/>
    <w:uiPriority w:val="99"/>
    <w:semiHidden/>
    <w:unhideWhenUsed/>
    <w:rsid w:val="00186D7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ibliography">
    <w:name w:val="Bibliography"/>
    <w:basedOn w:val="Normal"/>
    <w:next w:val="Normal"/>
    <w:uiPriority w:val="37"/>
    <w:unhideWhenUsed/>
    <w:rsid w:val="001D544C"/>
    <w:pPr>
      <w:spacing w:after="240" w:line="240" w:lineRule="atLeast"/>
      <w:ind w:left="720" w:hanging="720"/>
    </w:pPr>
  </w:style>
  <w:style w:type="character" w:customStyle="1" w:styleId="ui-provider">
    <w:name w:val="ui-provider"/>
    <w:basedOn w:val="DefaultParagraphFont"/>
    <w:rsid w:val="005061CC"/>
  </w:style>
  <w:style w:type="character" w:customStyle="1" w:styleId="cf01">
    <w:name w:val="cf01"/>
    <w:basedOn w:val="DefaultParagraphFont"/>
    <w:rsid w:val="00F865F5"/>
    <w:rPr>
      <w:rFonts w:ascii="Segoe UI" w:hAnsi="Segoe UI" w:cs="Segoe UI" w:hint="default"/>
      <w:sz w:val="18"/>
      <w:szCs w:val="18"/>
    </w:rPr>
  </w:style>
  <w:style w:type="paragraph" w:customStyle="1" w:styleId="PullQuoteNoSpacing">
    <w:name w:val="Pull Quote No Spacing"/>
    <w:basedOn w:val="NoSpacing"/>
    <w:link w:val="PullQuoteNoSpacingChar"/>
    <w:uiPriority w:val="10"/>
    <w:qFormat/>
    <w:rsid w:val="00632F9F"/>
    <w:pPr>
      <w:spacing w:line="160" w:lineRule="exact"/>
    </w:pPr>
  </w:style>
  <w:style w:type="character" w:customStyle="1" w:styleId="PullQuoteNoSpacingChar">
    <w:name w:val="Pull Quote No Spacing Char"/>
    <w:basedOn w:val="NoSpacingChar"/>
    <w:link w:val="PullQuoteNoSpacing"/>
    <w:uiPriority w:val="10"/>
    <w:rsid w:val="00632F9F"/>
    <w:rPr>
      <w:sz w:val="20"/>
      <w:szCs w:val="20"/>
    </w:rPr>
  </w:style>
  <w:style w:type="paragraph" w:customStyle="1" w:styleId="PullQuote-Indigenous">
    <w:name w:val="Pull Quote-Indigenous"/>
    <w:basedOn w:val="PullQuote"/>
    <w:uiPriority w:val="10"/>
    <w:qFormat/>
    <w:rsid w:val="00632F9F"/>
    <w:pPr>
      <w:ind w:right="680"/>
    </w:pPr>
    <w:rPr>
      <w:rFonts w:ascii="Arial" w:hAnsi="Arial" w:cs="Arial"/>
      <w:color w:val="auto"/>
      <w:spacing w:val="6"/>
      <w:sz w:val="22"/>
      <w:szCs w:val="22"/>
    </w:rPr>
  </w:style>
  <w:style w:type="character" w:customStyle="1" w:styleId="DHHSbodyChar">
    <w:name w:val="DHHS body Char"/>
    <w:link w:val="DHHSbody"/>
    <w:locked/>
    <w:rsid w:val="00505212"/>
    <w:rPr>
      <w:rFonts w:ascii="Arial" w:eastAsia="Times" w:hAnsi="Arial" w:cs="Arial"/>
    </w:rPr>
  </w:style>
  <w:style w:type="paragraph" w:customStyle="1" w:styleId="DHHSbody">
    <w:name w:val="DHHS body"/>
    <w:link w:val="DHHSbodyChar"/>
    <w:qFormat/>
    <w:rsid w:val="00505212"/>
    <w:pPr>
      <w:spacing w:after="120" w:line="270" w:lineRule="atLeast"/>
    </w:pPr>
    <w:rPr>
      <w:rFonts w:ascii="Arial" w:eastAsia="Time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1938">
      <w:bodyDiv w:val="1"/>
      <w:marLeft w:val="0"/>
      <w:marRight w:val="0"/>
      <w:marTop w:val="0"/>
      <w:marBottom w:val="0"/>
      <w:divBdr>
        <w:top w:val="none" w:sz="0" w:space="0" w:color="auto"/>
        <w:left w:val="none" w:sz="0" w:space="0" w:color="auto"/>
        <w:bottom w:val="none" w:sz="0" w:space="0" w:color="auto"/>
        <w:right w:val="none" w:sz="0" w:space="0" w:color="auto"/>
      </w:divBdr>
      <w:divsChild>
        <w:div w:id="1232622844">
          <w:marLeft w:val="0"/>
          <w:marRight w:val="0"/>
          <w:marTop w:val="0"/>
          <w:marBottom w:val="0"/>
          <w:divBdr>
            <w:top w:val="none" w:sz="0" w:space="0" w:color="auto"/>
            <w:left w:val="none" w:sz="0" w:space="0" w:color="auto"/>
            <w:bottom w:val="none" w:sz="0" w:space="0" w:color="auto"/>
            <w:right w:val="none" w:sz="0" w:space="0" w:color="auto"/>
          </w:divBdr>
        </w:div>
        <w:div w:id="1785075230">
          <w:marLeft w:val="0"/>
          <w:marRight w:val="0"/>
          <w:marTop w:val="0"/>
          <w:marBottom w:val="0"/>
          <w:divBdr>
            <w:top w:val="none" w:sz="0" w:space="0" w:color="auto"/>
            <w:left w:val="none" w:sz="0" w:space="0" w:color="auto"/>
            <w:bottom w:val="none" w:sz="0" w:space="0" w:color="auto"/>
            <w:right w:val="none" w:sz="0" w:space="0" w:color="auto"/>
          </w:divBdr>
        </w:div>
      </w:divsChild>
    </w:div>
    <w:div w:id="537089966">
      <w:bodyDiv w:val="1"/>
      <w:marLeft w:val="0"/>
      <w:marRight w:val="0"/>
      <w:marTop w:val="0"/>
      <w:marBottom w:val="0"/>
      <w:divBdr>
        <w:top w:val="none" w:sz="0" w:space="0" w:color="auto"/>
        <w:left w:val="none" w:sz="0" w:space="0" w:color="auto"/>
        <w:bottom w:val="none" w:sz="0" w:space="0" w:color="auto"/>
        <w:right w:val="none" w:sz="0" w:space="0" w:color="auto"/>
      </w:divBdr>
      <w:divsChild>
        <w:div w:id="155147628">
          <w:marLeft w:val="0"/>
          <w:marRight w:val="0"/>
          <w:marTop w:val="0"/>
          <w:marBottom w:val="0"/>
          <w:divBdr>
            <w:top w:val="none" w:sz="0" w:space="0" w:color="auto"/>
            <w:left w:val="none" w:sz="0" w:space="0" w:color="auto"/>
            <w:bottom w:val="none" w:sz="0" w:space="0" w:color="auto"/>
            <w:right w:val="none" w:sz="0" w:space="0" w:color="auto"/>
          </w:divBdr>
        </w:div>
        <w:div w:id="320281828">
          <w:marLeft w:val="0"/>
          <w:marRight w:val="0"/>
          <w:marTop w:val="0"/>
          <w:marBottom w:val="0"/>
          <w:divBdr>
            <w:top w:val="none" w:sz="0" w:space="0" w:color="auto"/>
            <w:left w:val="none" w:sz="0" w:space="0" w:color="auto"/>
            <w:bottom w:val="none" w:sz="0" w:space="0" w:color="auto"/>
            <w:right w:val="none" w:sz="0" w:space="0" w:color="auto"/>
          </w:divBdr>
        </w:div>
        <w:div w:id="1979217072">
          <w:marLeft w:val="0"/>
          <w:marRight w:val="0"/>
          <w:marTop w:val="0"/>
          <w:marBottom w:val="0"/>
          <w:divBdr>
            <w:top w:val="none" w:sz="0" w:space="0" w:color="auto"/>
            <w:left w:val="none" w:sz="0" w:space="0" w:color="auto"/>
            <w:bottom w:val="none" w:sz="0" w:space="0" w:color="auto"/>
            <w:right w:val="none" w:sz="0" w:space="0" w:color="auto"/>
          </w:divBdr>
        </w:div>
      </w:divsChild>
    </w:div>
    <w:div w:id="1077825235">
      <w:bodyDiv w:val="1"/>
      <w:marLeft w:val="0"/>
      <w:marRight w:val="0"/>
      <w:marTop w:val="0"/>
      <w:marBottom w:val="0"/>
      <w:divBdr>
        <w:top w:val="none" w:sz="0" w:space="0" w:color="auto"/>
        <w:left w:val="none" w:sz="0" w:space="0" w:color="auto"/>
        <w:bottom w:val="none" w:sz="0" w:space="0" w:color="auto"/>
        <w:right w:val="none" w:sz="0" w:space="0" w:color="auto"/>
      </w:divBdr>
    </w:div>
    <w:div w:id="1269971624">
      <w:bodyDiv w:val="1"/>
      <w:marLeft w:val="0"/>
      <w:marRight w:val="0"/>
      <w:marTop w:val="0"/>
      <w:marBottom w:val="0"/>
      <w:divBdr>
        <w:top w:val="none" w:sz="0" w:space="0" w:color="auto"/>
        <w:left w:val="none" w:sz="0" w:space="0" w:color="auto"/>
        <w:bottom w:val="none" w:sz="0" w:space="0" w:color="auto"/>
        <w:right w:val="none" w:sz="0" w:space="0" w:color="auto"/>
      </w:divBdr>
    </w:div>
    <w:div w:id="1336685272">
      <w:bodyDiv w:val="1"/>
      <w:marLeft w:val="0"/>
      <w:marRight w:val="0"/>
      <w:marTop w:val="0"/>
      <w:marBottom w:val="0"/>
      <w:divBdr>
        <w:top w:val="none" w:sz="0" w:space="0" w:color="auto"/>
        <w:left w:val="none" w:sz="0" w:space="0" w:color="auto"/>
        <w:bottom w:val="none" w:sz="0" w:space="0" w:color="auto"/>
        <w:right w:val="none" w:sz="0" w:space="0" w:color="auto"/>
      </w:divBdr>
      <w:divsChild>
        <w:div w:id="735274818">
          <w:marLeft w:val="0"/>
          <w:marRight w:val="0"/>
          <w:marTop w:val="0"/>
          <w:marBottom w:val="0"/>
          <w:divBdr>
            <w:top w:val="none" w:sz="0" w:space="0" w:color="auto"/>
            <w:left w:val="none" w:sz="0" w:space="0" w:color="auto"/>
            <w:bottom w:val="none" w:sz="0" w:space="0" w:color="auto"/>
            <w:right w:val="none" w:sz="0" w:space="0" w:color="auto"/>
          </w:divBdr>
        </w:div>
        <w:div w:id="1803226795">
          <w:marLeft w:val="0"/>
          <w:marRight w:val="0"/>
          <w:marTop w:val="0"/>
          <w:marBottom w:val="0"/>
          <w:divBdr>
            <w:top w:val="none" w:sz="0" w:space="0" w:color="auto"/>
            <w:left w:val="none" w:sz="0" w:space="0" w:color="auto"/>
            <w:bottom w:val="none" w:sz="0" w:space="0" w:color="auto"/>
            <w:right w:val="none" w:sz="0" w:space="0" w:color="auto"/>
          </w:divBdr>
        </w:div>
      </w:divsChild>
    </w:div>
    <w:div w:id="1370298649">
      <w:bodyDiv w:val="1"/>
      <w:marLeft w:val="0"/>
      <w:marRight w:val="0"/>
      <w:marTop w:val="0"/>
      <w:marBottom w:val="0"/>
      <w:divBdr>
        <w:top w:val="none" w:sz="0" w:space="0" w:color="auto"/>
        <w:left w:val="none" w:sz="0" w:space="0" w:color="auto"/>
        <w:bottom w:val="none" w:sz="0" w:space="0" w:color="auto"/>
        <w:right w:val="none" w:sz="0" w:space="0" w:color="auto"/>
      </w:divBdr>
      <w:divsChild>
        <w:div w:id="830368612">
          <w:marLeft w:val="0"/>
          <w:marRight w:val="0"/>
          <w:marTop w:val="0"/>
          <w:marBottom w:val="0"/>
          <w:divBdr>
            <w:top w:val="none" w:sz="0" w:space="0" w:color="auto"/>
            <w:left w:val="none" w:sz="0" w:space="0" w:color="auto"/>
            <w:bottom w:val="none" w:sz="0" w:space="0" w:color="auto"/>
            <w:right w:val="none" w:sz="0" w:space="0" w:color="auto"/>
          </w:divBdr>
        </w:div>
        <w:div w:id="928392734">
          <w:marLeft w:val="0"/>
          <w:marRight w:val="0"/>
          <w:marTop w:val="0"/>
          <w:marBottom w:val="0"/>
          <w:divBdr>
            <w:top w:val="none" w:sz="0" w:space="0" w:color="auto"/>
            <w:left w:val="none" w:sz="0" w:space="0" w:color="auto"/>
            <w:bottom w:val="none" w:sz="0" w:space="0" w:color="auto"/>
            <w:right w:val="none" w:sz="0" w:space="0" w:color="auto"/>
          </w:divBdr>
        </w:div>
        <w:div w:id="1217282911">
          <w:marLeft w:val="0"/>
          <w:marRight w:val="0"/>
          <w:marTop w:val="0"/>
          <w:marBottom w:val="0"/>
          <w:divBdr>
            <w:top w:val="none" w:sz="0" w:space="0" w:color="auto"/>
            <w:left w:val="none" w:sz="0" w:space="0" w:color="auto"/>
            <w:bottom w:val="none" w:sz="0" w:space="0" w:color="auto"/>
            <w:right w:val="none" w:sz="0" w:space="0" w:color="auto"/>
          </w:divBdr>
        </w:div>
        <w:div w:id="1973904049">
          <w:marLeft w:val="0"/>
          <w:marRight w:val="0"/>
          <w:marTop w:val="0"/>
          <w:marBottom w:val="0"/>
          <w:divBdr>
            <w:top w:val="none" w:sz="0" w:space="0" w:color="auto"/>
            <w:left w:val="none" w:sz="0" w:space="0" w:color="auto"/>
            <w:bottom w:val="none" w:sz="0" w:space="0" w:color="auto"/>
            <w:right w:val="none" w:sz="0" w:space="0" w:color="auto"/>
          </w:divBdr>
        </w:div>
      </w:divsChild>
    </w:div>
    <w:div w:id="1391072151">
      <w:bodyDiv w:val="1"/>
      <w:marLeft w:val="0"/>
      <w:marRight w:val="0"/>
      <w:marTop w:val="0"/>
      <w:marBottom w:val="0"/>
      <w:divBdr>
        <w:top w:val="none" w:sz="0" w:space="0" w:color="auto"/>
        <w:left w:val="none" w:sz="0" w:space="0" w:color="auto"/>
        <w:bottom w:val="none" w:sz="0" w:space="0" w:color="auto"/>
        <w:right w:val="none" w:sz="0" w:space="0" w:color="auto"/>
      </w:divBdr>
    </w:div>
    <w:div w:id="1470126218">
      <w:bodyDiv w:val="1"/>
      <w:marLeft w:val="0"/>
      <w:marRight w:val="0"/>
      <w:marTop w:val="0"/>
      <w:marBottom w:val="0"/>
      <w:divBdr>
        <w:top w:val="none" w:sz="0" w:space="0" w:color="auto"/>
        <w:left w:val="none" w:sz="0" w:space="0" w:color="auto"/>
        <w:bottom w:val="none" w:sz="0" w:space="0" w:color="auto"/>
        <w:right w:val="none" w:sz="0" w:space="0" w:color="auto"/>
      </w:divBdr>
    </w:div>
    <w:div w:id="1503737731">
      <w:bodyDiv w:val="1"/>
      <w:marLeft w:val="0"/>
      <w:marRight w:val="0"/>
      <w:marTop w:val="0"/>
      <w:marBottom w:val="0"/>
      <w:divBdr>
        <w:top w:val="none" w:sz="0" w:space="0" w:color="auto"/>
        <w:left w:val="none" w:sz="0" w:space="0" w:color="auto"/>
        <w:bottom w:val="none" w:sz="0" w:space="0" w:color="auto"/>
        <w:right w:val="none" w:sz="0" w:space="0" w:color="auto"/>
      </w:divBdr>
    </w:div>
    <w:div w:id="1571572605">
      <w:bodyDiv w:val="1"/>
      <w:marLeft w:val="0"/>
      <w:marRight w:val="0"/>
      <w:marTop w:val="0"/>
      <w:marBottom w:val="0"/>
      <w:divBdr>
        <w:top w:val="none" w:sz="0" w:space="0" w:color="auto"/>
        <w:left w:val="none" w:sz="0" w:space="0" w:color="auto"/>
        <w:bottom w:val="none" w:sz="0" w:space="0" w:color="auto"/>
        <w:right w:val="none" w:sz="0" w:space="0" w:color="auto"/>
      </w:divBdr>
    </w:div>
    <w:div w:id="1811707716">
      <w:bodyDiv w:val="1"/>
      <w:marLeft w:val="0"/>
      <w:marRight w:val="0"/>
      <w:marTop w:val="0"/>
      <w:marBottom w:val="0"/>
      <w:divBdr>
        <w:top w:val="none" w:sz="0" w:space="0" w:color="auto"/>
        <w:left w:val="none" w:sz="0" w:space="0" w:color="auto"/>
        <w:bottom w:val="none" w:sz="0" w:space="0" w:color="auto"/>
        <w:right w:val="none" w:sz="0" w:space="0" w:color="auto"/>
      </w:divBdr>
      <w:divsChild>
        <w:div w:id="269166401">
          <w:marLeft w:val="0"/>
          <w:marRight w:val="0"/>
          <w:marTop w:val="0"/>
          <w:marBottom w:val="0"/>
          <w:divBdr>
            <w:top w:val="none" w:sz="0" w:space="0" w:color="auto"/>
            <w:left w:val="none" w:sz="0" w:space="0" w:color="auto"/>
            <w:bottom w:val="none" w:sz="0" w:space="0" w:color="auto"/>
            <w:right w:val="none" w:sz="0" w:space="0" w:color="auto"/>
          </w:divBdr>
        </w:div>
        <w:div w:id="1162040193">
          <w:marLeft w:val="0"/>
          <w:marRight w:val="0"/>
          <w:marTop w:val="0"/>
          <w:marBottom w:val="0"/>
          <w:divBdr>
            <w:top w:val="none" w:sz="0" w:space="0" w:color="auto"/>
            <w:left w:val="none" w:sz="0" w:space="0" w:color="auto"/>
            <w:bottom w:val="none" w:sz="0" w:space="0" w:color="auto"/>
            <w:right w:val="none" w:sz="0" w:space="0" w:color="auto"/>
          </w:divBdr>
        </w:div>
        <w:div w:id="2057384796">
          <w:marLeft w:val="0"/>
          <w:marRight w:val="0"/>
          <w:marTop w:val="0"/>
          <w:marBottom w:val="0"/>
          <w:divBdr>
            <w:top w:val="none" w:sz="0" w:space="0" w:color="auto"/>
            <w:left w:val="none" w:sz="0" w:space="0" w:color="auto"/>
            <w:bottom w:val="none" w:sz="0" w:space="0" w:color="auto"/>
            <w:right w:val="none" w:sz="0" w:space="0" w:color="auto"/>
          </w:divBdr>
        </w:div>
      </w:divsChild>
    </w:div>
    <w:div w:id="1840271612">
      <w:bodyDiv w:val="1"/>
      <w:marLeft w:val="0"/>
      <w:marRight w:val="0"/>
      <w:marTop w:val="0"/>
      <w:marBottom w:val="0"/>
      <w:divBdr>
        <w:top w:val="none" w:sz="0" w:space="0" w:color="auto"/>
        <w:left w:val="none" w:sz="0" w:space="0" w:color="auto"/>
        <w:bottom w:val="none" w:sz="0" w:space="0" w:color="auto"/>
        <w:right w:val="none" w:sz="0" w:space="0" w:color="auto"/>
      </w:divBdr>
    </w:div>
    <w:div w:id="2024553671">
      <w:bodyDiv w:val="1"/>
      <w:marLeft w:val="0"/>
      <w:marRight w:val="0"/>
      <w:marTop w:val="0"/>
      <w:marBottom w:val="0"/>
      <w:divBdr>
        <w:top w:val="none" w:sz="0" w:space="0" w:color="auto"/>
        <w:left w:val="none" w:sz="0" w:space="0" w:color="auto"/>
        <w:bottom w:val="none" w:sz="0" w:space="0" w:color="auto"/>
        <w:right w:val="none" w:sz="0" w:space="0" w:color="auto"/>
      </w:divBdr>
      <w:divsChild>
        <w:div w:id="90979429">
          <w:marLeft w:val="0"/>
          <w:marRight w:val="0"/>
          <w:marTop w:val="0"/>
          <w:marBottom w:val="0"/>
          <w:divBdr>
            <w:top w:val="none" w:sz="0" w:space="0" w:color="auto"/>
            <w:left w:val="none" w:sz="0" w:space="0" w:color="auto"/>
            <w:bottom w:val="none" w:sz="0" w:space="0" w:color="auto"/>
            <w:right w:val="none" w:sz="0" w:space="0" w:color="auto"/>
          </w:divBdr>
        </w:div>
        <w:div w:id="333185901">
          <w:marLeft w:val="0"/>
          <w:marRight w:val="0"/>
          <w:marTop w:val="0"/>
          <w:marBottom w:val="0"/>
          <w:divBdr>
            <w:top w:val="none" w:sz="0" w:space="0" w:color="auto"/>
            <w:left w:val="none" w:sz="0" w:space="0" w:color="auto"/>
            <w:bottom w:val="none" w:sz="0" w:space="0" w:color="auto"/>
            <w:right w:val="none" w:sz="0" w:space="0" w:color="auto"/>
          </w:divBdr>
        </w:div>
        <w:div w:id="945120224">
          <w:marLeft w:val="0"/>
          <w:marRight w:val="0"/>
          <w:marTop w:val="0"/>
          <w:marBottom w:val="0"/>
          <w:divBdr>
            <w:top w:val="none" w:sz="0" w:space="0" w:color="auto"/>
            <w:left w:val="none" w:sz="0" w:space="0" w:color="auto"/>
            <w:bottom w:val="none" w:sz="0" w:space="0" w:color="auto"/>
            <w:right w:val="none" w:sz="0" w:space="0" w:color="auto"/>
          </w:divBdr>
        </w:div>
        <w:div w:id="1086000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9.sv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9b910f39362f664248ac2193247c003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66eebd560753ff2f179cf1a8ea42e7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TemplafyTemplateConfiguration><![CDATA[{"elementsMetadata":[],"transformationConfigurations":[],"templateName":"chapter","templateDescription":"","enableDocumentContentUpdater":false,"version":"2.0"}]]></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Carmela Chivers</DisplayName>
        <AccountId>157</AccountId>
        <AccountType/>
      </UserInfo>
    </SharedWithUsers>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MPWT-2140667901-60561</_dlc_DocId>
    <_dlc_DocIdUrl xmlns="20393cdf-440a-4521-8f19-00ba43423d00">
      <Url>https://pcgov.sharepoint.com/sites/sceteam/_layouts/15/DocIdRedir.aspx?ID=MPWT-2140667901-60561</Url>
      <Description>MPWT-2140667901-60561</Description>
    </_dlc_DocIdUrl>
    <Status xmlns="3d385984-9344-419b-a80b-49c06a2bdab8" xsi:nil="true"/>
  </documentManagement>
</p:properties>
</file>

<file path=customXml/item7.xml><?xml version="1.0" encoding="utf-8"?>
<TemplafyFormConfiguration><![CDATA[{"formFields":[],"formDataEntries":[]}]]></TemplafyFormConfiguration>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B4E65311-434E-4ADA-9F25-CB92BB23A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0E0C8-0CB5-4A00-8B8A-5740220B12DD}">
  <ds:schemaRefs>
    <ds:schemaRef ds:uri="http://schemas.microsoft.com/sharepoint/v3/contenttype/forms"/>
  </ds:schemaRefs>
</ds:datastoreItem>
</file>

<file path=customXml/itemProps4.xml><?xml version="1.0" encoding="utf-8"?>
<ds:datastoreItem xmlns:ds="http://schemas.openxmlformats.org/officeDocument/2006/customXml" ds:itemID="{F9DA9B97-E74B-4548-AD31-950A2F6D2E8F}">
  <ds:schemaRefs>
    <ds:schemaRef ds:uri="http://schemas.microsoft.com/sharepoint/events"/>
  </ds:schemaRefs>
</ds:datastoreItem>
</file>

<file path=customXml/itemProps5.xml><?xml version="1.0" encoding="utf-8"?>
<ds:datastoreItem xmlns:ds="http://schemas.openxmlformats.org/officeDocument/2006/customXml" ds:itemID="{5CCDCE8C-2FF2-479D-91C1-79A7A7683D3C}">
  <ds:schemaRefs/>
</ds:datastoreItem>
</file>

<file path=customXml/itemProps6.xml><?xml version="1.0" encoding="utf-8"?>
<ds:datastoreItem xmlns:ds="http://schemas.openxmlformats.org/officeDocument/2006/customXml" ds:itemID="{0A638312-0F03-4254-A2F2-442BB47C07A4}">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7.xml><?xml version="1.0" encoding="utf-8"?>
<ds:datastoreItem xmlns:ds="http://schemas.openxmlformats.org/officeDocument/2006/customXml" ds:itemID="{9897F752-2238-441E-ABA5-DB8C10DEA5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PC Productivity Bulletin 2024</vt:lpstr>
    </vt:vector>
  </TitlesOfParts>
  <Company>Productivity Commission</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Productivity Bulletin 2024</dc:title>
  <dc:subject/>
  <dc:creator>Productivity Commission</dc:creator>
  <cp:keywords/>
  <dc:description/>
  <cp:lastModifiedBy>Lynton Tapp</cp:lastModifiedBy>
  <cp:revision>2</cp:revision>
  <cp:lastPrinted>2024-02-28T16:38:00Z</cp:lastPrinted>
  <dcterms:created xsi:type="dcterms:W3CDTF">2025-08-13T00:53:00Z</dcterms:created>
  <dcterms:modified xsi:type="dcterms:W3CDTF">2025-08-13T00:53:00Z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JournalAbbreviations" value="true"/&gt;&lt;/prefs&gt;&lt;/data&gt;</vt:lpwstr>
  </property>
  <property fmtid="{D5CDD505-2E9C-101B-9397-08002B2CF9AE}" pid="3" name="TemplafyTenantId">
    <vt:lpwstr>productivitycommission</vt:lpwstr>
  </property>
  <property fmtid="{D5CDD505-2E9C-101B-9397-08002B2CF9AE}" pid="4" name="TemplafyTemplateId">
    <vt:lpwstr>637629323564275408</vt:lpwstr>
  </property>
  <property fmtid="{D5CDD505-2E9C-101B-9397-08002B2CF9AE}" pid="5" name="TemplafyUserProfileId">
    <vt:lpwstr>637806640633114838</vt:lpwstr>
  </property>
  <property fmtid="{D5CDD505-2E9C-101B-9397-08002B2CF9AE}" pid="6" name="TemplafyFromBlank">
    <vt:bool>false</vt:bool>
  </property>
  <property fmtid="{D5CDD505-2E9C-101B-9397-08002B2CF9AE}" pid="7" name="ContentTypeId">
    <vt:lpwstr>0x0101006C0B5E815648EF46B6FA6D42F17E5E9F000C963E276195B04F83BC027CFDC94A8D</vt:lpwstr>
  </property>
  <property fmtid="{D5CDD505-2E9C-101B-9397-08002B2CF9AE}" pid="8" name="RevIMBCS">
    <vt:lpwstr>1;#Unclassified|3955eeb1-2d18-4582-aeb2-00144ec3aaf5</vt:lpwstr>
  </property>
  <property fmtid="{D5CDD505-2E9C-101B-9397-08002B2CF9AE}" pid="9" name="ZOTERO_PREF_1">
    <vt:lpwstr>&lt;data data-version="3" zotero-version="6.0.30"&gt;&lt;session id="vbt1fK3G"/&gt;&lt;style id="http://www.zotero.org/styles/Productivity-Commission" hasBibliography="1" bibliographyStyleHasBeenSet="1"/&gt;&lt;prefs&gt;&lt;pref name="fieldType" value="Field"/&gt;&lt;pref name="automatic</vt:lpwstr>
  </property>
  <property fmtid="{D5CDD505-2E9C-101B-9397-08002B2CF9AE}" pid="10" name="MSIP_Label_c1f2b1ce-4212-46db-a901-dd8453f57141_Enabled">
    <vt:lpwstr>true</vt:lpwstr>
  </property>
  <property fmtid="{D5CDD505-2E9C-101B-9397-08002B2CF9AE}" pid="11" name="MSIP_Label_c1f2b1ce-4212-46db-a901-dd8453f57141_SetDate">
    <vt:lpwstr>2024-02-26T23:43:47Z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2c7815e4-269c-4f40-866f-3001c477bc62</vt:lpwstr>
  </property>
  <property fmtid="{D5CDD505-2E9C-101B-9397-08002B2CF9AE}" pid="16" name="MSIP_Label_c1f2b1ce-4212-46db-a901-dd8453f57141_ContentBits">
    <vt:lpwstr>0</vt:lpwstr>
  </property>
  <property fmtid="{D5CDD505-2E9C-101B-9397-08002B2CF9AE}" pid="17" name="MediaServiceImageTags">
    <vt:lpwstr/>
  </property>
  <property fmtid="{D5CDD505-2E9C-101B-9397-08002B2CF9AE}" pid="18" name="_dlc_DocIdItemGuid">
    <vt:lpwstr>b0a5edc0-cb69-469d-ac4c-76c6499897cd</vt:lpwstr>
  </property>
</Properties>
</file>