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15CD" w14:textId="0D667D4D" w:rsidR="00FD3FE4" w:rsidRDefault="005570A1" w:rsidP="00535D87">
      <w:pPr>
        <w:pStyle w:val="Heading1-nonumber"/>
      </w:pPr>
      <w:r>
        <w:t>Appendix</w:t>
      </w:r>
    </w:p>
    <w:p w14:paraId="4408CA31" w14:textId="3E83E6B2" w:rsidR="005570A1" w:rsidRDefault="005570A1" w:rsidP="005570A1">
      <w:pPr>
        <w:pStyle w:val="BodyText"/>
      </w:pPr>
      <w:r>
        <w:t xml:space="preserve">This appendix contains supporting evidence for the </w:t>
      </w:r>
      <w:r w:rsidR="00451033">
        <w:t>June</w:t>
      </w:r>
      <w:r w:rsidR="00C4730B">
        <w:t xml:space="preserve"> </w:t>
      </w:r>
      <w:r>
        <w:t xml:space="preserve">Bulletin </w:t>
      </w:r>
      <w:r w:rsidR="00C140A6">
        <w:t>2024</w:t>
      </w:r>
      <w:r>
        <w:t xml:space="preserve">. </w:t>
      </w:r>
    </w:p>
    <w:p w14:paraId="14301B41" w14:textId="23982664" w:rsidR="005570A1" w:rsidRDefault="005570A1" w:rsidP="00535D87">
      <w:pPr>
        <w:pStyle w:val="Heading2-nonumber"/>
      </w:pPr>
      <w:r>
        <w:t>A primer on productivity</w:t>
      </w:r>
    </w:p>
    <w:tbl>
      <w:tblPr>
        <w:tblStyle w:val="Boxtable"/>
        <w:tblW w:w="5000" w:type="pct"/>
        <w:tblLook w:val="04A0" w:firstRow="1" w:lastRow="0" w:firstColumn="1" w:lastColumn="0" w:noHBand="0" w:noVBand="1"/>
      </w:tblPr>
      <w:tblGrid>
        <w:gridCol w:w="9638"/>
      </w:tblGrid>
      <w:tr w:rsidR="005570A1" w14:paraId="6F6A04A8" w14:textId="77777777" w:rsidTr="003A58FE">
        <w:trPr>
          <w:tblHeader/>
        </w:trPr>
        <w:tc>
          <w:tcPr>
            <w:tcW w:w="9638" w:type="dxa"/>
            <w:shd w:val="clear" w:color="auto" w:fill="EBEBEB"/>
            <w:tcMar>
              <w:top w:w="170" w:type="dxa"/>
              <w:left w:w="170" w:type="dxa"/>
              <w:bottom w:w="113" w:type="dxa"/>
              <w:right w:w="170" w:type="dxa"/>
            </w:tcMar>
            <w:hideMark/>
          </w:tcPr>
          <w:p w14:paraId="680A54F4" w14:textId="77777777" w:rsidR="005570A1" w:rsidRDefault="005570A1" w:rsidP="003A58FE">
            <w:pPr>
              <w:pStyle w:val="BoxHeading1"/>
            </w:pPr>
            <w:bookmarkStart w:id="0" w:name="_Ref78902111"/>
            <w:r w:rsidRPr="00D14806">
              <w:t xml:space="preserve">Box </w:t>
            </w:r>
            <w:r>
              <w:t>1</w:t>
            </w:r>
            <w:r w:rsidRPr="00D14806">
              <w:t xml:space="preserve"> – </w:t>
            </w:r>
            <w:bookmarkEnd w:id="0"/>
            <w:r w:rsidRPr="00D14806">
              <w:t>A primer on productivity</w:t>
            </w:r>
          </w:p>
        </w:tc>
      </w:tr>
      <w:tr w:rsidR="005570A1" w14:paraId="5037BC3F" w14:textId="77777777" w:rsidTr="003A58FE">
        <w:tc>
          <w:tcPr>
            <w:tcW w:w="9638" w:type="dxa"/>
            <w:shd w:val="clear" w:color="auto" w:fill="EBEBEB"/>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2E438C">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54E48CFA" w:rsidR="005570A1" w:rsidRDefault="005570A1" w:rsidP="003A58FE">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sidRPr="002E438C">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25371D5C" w:rsidR="005570A1" w:rsidRDefault="005570A1" w:rsidP="002A766B">
      <w:pPr>
        <w:pStyle w:val="Heading2-nonumber"/>
        <w:spacing w:after="0"/>
      </w:pPr>
      <w:r>
        <w:lastRenderedPageBreak/>
        <w:t>Detailed productivity statistics</w:t>
      </w:r>
    </w:p>
    <w:p w14:paraId="74D29281" w14:textId="64226261" w:rsidR="005570A1" w:rsidRPr="00A356C2" w:rsidRDefault="00C541CF" w:rsidP="002A766B">
      <w:pPr>
        <w:pStyle w:val="FigureTableHeading"/>
        <w:spacing w:before="120"/>
        <w:rPr>
          <w:rFonts w:ascii="Segoe UI" w:hAnsi="Segoe UI"/>
          <w:sz w:val="18"/>
          <w:lang w:eastAsia="en-AU"/>
        </w:rPr>
      </w:pPr>
      <w:r>
        <w:rPr>
          <w:lang w:eastAsia="en-AU"/>
        </w:rPr>
        <w:t>T</w:t>
      </w:r>
      <w:r w:rsidR="005570A1" w:rsidRPr="00A356C2">
        <w:rPr>
          <w:lang w:eastAsia="en-AU"/>
        </w:rPr>
        <w:t xml:space="preserve">able 1 – </w:t>
      </w:r>
      <w:r w:rsidR="005570A1">
        <w:rPr>
          <w:lang w:eastAsia="en-AU"/>
        </w:rPr>
        <w:t xml:space="preserve">Whole economy and market sector growth rates, per </w:t>
      </w:r>
      <w:proofErr w:type="spellStart"/>
      <w:proofErr w:type="gramStart"/>
      <w:r w:rsidR="005570A1">
        <w:rPr>
          <w:lang w:eastAsia="en-AU"/>
        </w:rPr>
        <w:t>cent</w:t>
      </w:r>
      <w:r w:rsidR="005570A1" w:rsidRPr="00A356C2">
        <w:rPr>
          <w:sz w:val="16"/>
          <w:szCs w:val="16"/>
          <w:vertAlign w:val="superscript"/>
          <w:lang w:eastAsia="en-AU"/>
        </w:rPr>
        <w:t>a,b</w:t>
      </w:r>
      <w:proofErr w:type="spellEnd"/>
      <w:proofErr w:type="gramEnd"/>
      <w:r w:rsidR="005570A1" w:rsidRPr="00A356C2">
        <w:rPr>
          <w:sz w:val="16"/>
          <w:szCs w:val="16"/>
          <w:lang w:eastAsia="en-AU"/>
        </w:rPr>
        <w:t> </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1254"/>
        <w:gridCol w:w="1254"/>
        <w:gridCol w:w="1417"/>
        <w:gridCol w:w="1418"/>
        <w:gridCol w:w="1701"/>
      </w:tblGrid>
      <w:tr w:rsidR="005570A1" w:rsidRPr="00B4048A" w14:paraId="3C0A8BA3" w14:textId="77777777" w:rsidTr="00F076A8">
        <w:trPr>
          <w:trHeight w:val="300"/>
        </w:trPr>
        <w:tc>
          <w:tcPr>
            <w:tcW w:w="2312" w:type="dxa"/>
            <w:vMerge w:val="restart"/>
            <w:tcBorders>
              <w:top w:val="nil"/>
              <w:left w:val="nil"/>
              <w:bottom w:val="nil"/>
              <w:right w:val="nil"/>
            </w:tcBorders>
            <w:shd w:val="clear" w:color="auto" w:fill="auto"/>
            <w:vAlign w:val="center"/>
            <w:hideMark/>
          </w:tcPr>
          <w:p w14:paraId="4D4B503B" w14:textId="77777777" w:rsidR="005570A1" w:rsidRPr="00B4048A" w:rsidRDefault="005570A1" w:rsidP="003A58FE">
            <w:pPr>
              <w:spacing w:before="0" w:after="0" w:line="240" w:lineRule="auto"/>
              <w:ind w:right="105"/>
              <w:textAlignment w:val="baseline"/>
              <w:rPr>
                <w:rFonts w:ascii="Arial" w:eastAsia="Times New Roman" w:hAnsi="Arial" w:cs="Arial"/>
                <w:sz w:val="24"/>
                <w:szCs w:val="24"/>
                <w:lang w:eastAsia="en-AU"/>
              </w:rPr>
            </w:pPr>
            <w:r w:rsidRPr="00B4048A">
              <w:rPr>
                <w:rFonts w:ascii="Arial" w:eastAsia="Times New Roman" w:hAnsi="Arial" w:cs="Arial"/>
                <w:color w:val="265A9A"/>
                <w:lang w:eastAsia="en-AU"/>
              </w:rPr>
              <w:t> </w:t>
            </w:r>
          </w:p>
        </w:tc>
        <w:tc>
          <w:tcPr>
            <w:tcW w:w="2508" w:type="dxa"/>
            <w:gridSpan w:val="2"/>
            <w:tcBorders>
              <w:top w:val="nil"/>
              <w:left w:val="nil"/>
              <w:bottom w:val="single" w:sz="6" w:space="0" w:color="B3B3B3"/>
              <w:right w:val="single" w:sz="18" w:space="0" w:color="FFFFFF" w:themeColor="background1"/>
            </w:tcBorders>
            <w:shd w:val="clear" w:color="auto" w:fill="auto"/>
            <w:vAlign w:val="center"/>
            <w:hideMark/>
          </w:tcPr>
          <w:p w14:paraId="5D51BA87" w14:textId="619BCC27" w:rsidR="005570A1" w:rsidRPr="00B4048A" w:rsidRDefault="005570A1" w:rsidP="00863295">
            <w:pPr>
              <w:pStyle w:val="TableHeading"/>
              <w:jc w:val="center"/>
              <w:rPr>
                <w:rFonts w:ascii="Arial" w:hAnsi="Arial" w:cs="Arial"/>
              </w:rPr>
            </w:pPr>
            <w:r w:rsidRPr="00B4048A">
              <w:rPr>
                <w:rFonts w:ascii="Arial" w:hAnsi="Arial" w:cs="Arial"/>
              </w:rPr>
              <w:t xml:space="preserve">Latest </w:t>
            </w:r>
            <w:r w:rsidR="00390DEA">
              <w:rPr>
                <w:rFonts w:ascii="Arial" w:hAnsi="Arial" w:cs="Arial"/>
              </w:rPr>
              <w:t>q</w:t>
            </w:r>
            <w:r w:rsidRPr="00B4048A">
              <w:rPr>
                <w:rFonts w:ascii="Arial" w:hAnsi="Arial" w:cs="Arial"/>
              </w:rPr>
              <w:t>uarters</w:t>
            </w:r>
          </w:p>
        </w:tc>
        <w:tc>
          <w:tcPr>
            <w:tcW w:w="2835" w:type="dxa"/>
            <w:gridSpan w:val="2"/>
            <w:tcBorders>
              <w:top w:val="nil"/>
              <w:left w:val="single" w:sz="18" w:space="0" w:color="FFFFFF" w:themeColor="background1"/>
              <w:bottom w:val="single" w:sz="6" w:space="0" w:color="B3B3B3"/>
              <w:right w:val="single" w:sz="18" w:space="0" w:color="FFFFFF" w:themeColor="background1"/>
            </w:tcBorders>
            <w:shd w:val="clear" w:color="auto" w:fill="auto"/>
            <w:vAlign w:val="center"/>
            <w:hideMark/>
          </w:tcPr>
          <w:p w14:paraId="432EC0AD" w14:textId="22C79218" w:rsidR="005570A1" w:rsidRPr="00B4048A" w:rsidRDefault="00BB54C0" w:rsidP="00863295">
            <w:pPr>
              <w:pStyle w:val="TableHeading"/>
              <w:jc w:val="center"/>
              <w:rPr>
                <w:rFonts w:ascii="Arial" w:hAnsi="Arial" w:cs="Arial"/>
              </w:rPr>
            </w:pPr>
            <w:r w:rsidRPr="00B4048A">
              <w:rPr>
                <w:rFonts w:ascii="Arial" w:hAnsi="Arial" w:cs="Arial"/>
              </w:rPr>
              <w:t>Quarterly average</w:t>
            </w:r>
          </w:p>
        </w:tc>
        <w:tc>
          <w:tcPr>
            <w:tcW w:w="1701" w:type="dxa"/>
            <w:tcBorders>
              <w:top w:val="nil"/>
              <w:left w:val="single" w:sz="18" w:space="0" w:color="FFFFFF" w:themeColor="background1"/>
              <w:bottom w:val="single" w:sz="6" w:space="0" w:color="B3B3B3"/>
              <w:right w:val="nil"/>
            </w:tcBorders>
            <w:shd w:val="clear" w:color="auto" w:fill="auto"/>
            <w:vAlign w:val="center"/>
          </w:tcPr>
          <w:p w14:paraId="73A27FB7" w14:textId="77777777" w:rsidR="005570A1" w:rsidRPr="00B4048A" w:rsidRDefault="005570A1" w:rsidP="00B4048A">
            <w:pPr>
              <w:pStyle w:val="TableHeading"/>
              <w:ind w:right="57"/>
              <w:jc w:val="right"/>
              <w:rPr>
                <w:rFonts w:ascii="Arial" w:hAnsi="Arial" w:cs="Arial"/>
              </w:rPr>
            </w:pPr>
            <w:r w:rsidRPr="00B4048A">
              <w:rPr>
                <w:rFonts w:ascii="Arial" w:hAnsi="Arial" w:cs="Arial"/>
              </w:rPr>
              <w:t>Through the year</w:t>
            </w:r>
          </w:p>
        </w:tc>
      </w:tr>
      <w:tr w:rsidR="00F076A8" w:rsidRPr="00B4048A" w14:paraId="0D6B3E12" w14:textId="77777777" w:rsidTr="00F076A8">
        <w:trPr>
          <w:trHeight w:val="300"/>
        </w:trPr>
        <w:tc>
          <w:tcPr>
            <w:tcW w:w="2312" w:type="dxa"/>
            <w:vMerge/>
            <w:tcBorders>
              <w:left w:val="nil"/>
              <w:bottom w:val="single" w:sz="4" w:space="0" w:color="BFBFBF" w:themeColor="background1" w:themeShade="BF"/>
            </w:tcBorders>
            <w:vAlign w:val="center"/>
            <w:hideMark/>
          </w:tcPr>
          <w:p w14:paraId="7B9BC54D" w14:textId="77777777" w:rsidR="005570A1" w:rsidRPr="00B4048A" w:rsidRDefault="005570A1" w:rsidP="003A58FE">
            <w:pPr>
              <w:spacing w:before="0" w:after="0" w:line="240" w:lineRule="auto"/>
              <w:rPr>
                <w:rFonts w:ascii="Arial" w:eastAsia="Times New Roman" w:hAnsi="Arial" w:cs="Arial"/>
                <w:sz w:val="24"/>
                <w:szCs w:val="24"/>
                <w:lang w:eastAsia="en-AU"/>
              </w:rPr>
            </w:pPr>
          </w:p>
        </w:tc>
        <w:tc>
          <w:tcPr>
            <w:tcW w:w="1254" w:type="dxa"/>
            <w:tcBorders>
              <w:top w:val="nil"/>
              <w:left w:val="nil"/>
              <w:bottom w:val="single" w:sz="4" w:space="0" w:color="BFBFBF" w:themeColor="background1" w:themeShade="BF"/>
              <w:right w:val="nil"/>
            </w:tcBorders>
            <w:shd w:val="clear" w:color="auto" w:fill="auto"/>
            <w:vAlign w:val="center"/>
            <w:hideMark/>
          </w:tcPr>
          <w:p w14:paraId="21ED1A0E" w14:textId="235A73EC" w:rsidR="005570A1" w:rsidRPr="00B4048A" w:rsidRDefault="00C1776C" w:rsidP="00C82F7F">
            <w:pPr>
              <w:pStyle w:val="TableHeading"/>
              <w:ind w:right="57"/>
              <w:jc w:val="right"/>
              <w:rPr>
                <w:rFonts w:ascii="Arial" w:hAnsi="Arial" w:cs="Arial"/>
              </w:rPr>
            </w:pPr>
            <w:r w:rsidRPr="00B4048A">
              <w:rPr>
                <w:rFonts w:ascii="Arial" w:hAnsi="Arial" w:cs="Arial"/>
              </w:rPr>
              <w:t>Dec</w:t>
            </w:r>
            <w:r w:rsidR="00E8116E" w:rsidRPr="00B4048A">
              <w:rPr>
                <w:rFonts w:ascii="Arial" w:hAnsi="Arial" w:cs="Arial"/>
              </w:rPr>
              <w:t xml:space="preserve"> </w:t>
            </w:r>
            <w:r w:rsidR="005570A1" w:rsidRPr="00B4048A">
              <w:rPr>
                <w:rFonts w:ascii="Arial" w:hAnsi="Arial" w:cs="Arial"/>
              </w:rPr>
              <w:t xml:space="preserve">23 to </w:t>
            </w:r>
            <w:r w:rsidRPr="00B4048A">
              <w:rPr>
                <w:rFonts w:ascii="Arial" w:hAnsi="Arial" w:cs="Arial"/>
              </w:rPr>
              <w:t>Mar</w:t>
            </w:r>
            <w:r w:rsidR="005570A1" w:rsidRPr="00B4048A">
              <w:rPr>
                <w:rFonts w:ascii="Arial" w:hAnsi="Arial" w:cs="Arial"/>
              </w:rPr>
              <w:t xml:space="preserve"> 2</w:t>
            </w:r>
            <w:r w:rsidRPr="00B4048A">
              <w:rPr>
                <w:rFonts w:ascii="Arial" w:hAnsi="Arial" w:cs="Arial"/>
              </w:rPr>
              <w:t>4</w:t>
            </w:r>
          </w:p>
        </w:tc>
        <w:tc>
          <w:tcPr>
            <w:tcW w:w="1254" w:type="dxa"/>
            <w:tcBorders>
              <w:top w:val="nil"/>
              <w:left w:val="nil"/>
              <w:bottom w:val="single" w:sz="4" w:space="0" w:color="BFBFBF" w:themeColor="background1" w:themeShade="BF"/>
              <w:right w:val="single" w:sz="18" w:space="0" w:color="FFFFFF" w:themeColor="background1"/>
            </w:tcBorders>
            <w:shd w:val="clear" w:color="auto" w:fill="auto"/>
            <w:vAlign w:val="center"/>
            <w:hideMark/>
          </w:tcPr>
          <w:p w14:paraId="200D40F6" w14:textId="027E2749" w:rsidR="005570A1" w:rsidRPr="00B4048A" w:rsidRDefault="00C1776C" w:rsidP="00C82F7F">
            <w:pPr>
              <w:pStyle w:val="TableHeading"/>
              <w:ind w:right="57"/>
              <w:jc w:val="right"/>
              <w:rPr>
                <w:rFonts w:ascii="Arial" w:hAnsi="Arial" w:cs="Arial"/>
              </w:rPr>
            </w:pPr>
            <w:r w:rsidRPr="00B4048A">
              <w:rPr>
                <w:rFonts w:ascii="Arial" w:hAnsi="Arial" w:cs="Arial"/>
              </w:rPr>
              <w:t>Sep</w:t>
            </w:r>
            <w:r w:rsidR="00E8116E" w:rsidRPr="00B4048A">
              <w:rPr>
                <w:rFonts w:ascii="Arial" w:hAnsi="Arial" w:cs="Arial"/>
              </w:rPr>
              <w:t xml:space="preserve"> 23 to </w:t>
            </w:r>
            <w:r w:rsidRPr="00B4048A">
              <w:rPr>
                <w:rFonts w:ascii="Arial" w:hAnsi="Arial" w:cs="Arial"/>
              </w:rPr>
              <w:t>Dec</w:t>
            </w:r>
            <w:r w:rsidR="00E8116E" w:rsidRPr="00B4048A">
              <w:rPr>
                <w:rFonts w:ascii="Arial" w:hAnsi="Arial" w:cs="Arial"/>
              </w:rPr>
              <w:t xml:space="preserve"> 23</w:t>
            </w:r>
          </w:p>
        </w:tc>
        <w:tc>
          <w:tcPr>
            <w:tcW w:w="1417"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3781E7D9" w14:textId="6A2DA3C6" w:rsidR="005570A1" w:rsidRPr="00B4048A" w:rsidRDefault="00FC7DEE" w:rsidP="00C82F7F">
            <w:pPr>
              <w:pStyle w:val="TableHeading"/>
              <w:ind w:right="57"/>
              <w:jc w:val="right"/>
              <w:rPr>
                <w:rFonts w:ascii="Arial" w:hAnsi="Arial" w:cs="Arial"/>
              </w:rPr>
            </w:pPr>
            <w:r w:rsidRPr="00B4048A">
              <w:rPr>
                <w:rFonts w:ascii="Arial" w:hAnsi="Arial" w:cs="Arial"/>
              </w:rPr>
              <w:t>Q</w:t>
            </w:r>
            <w:r w:rsidR="00C1776C" w:rsidRPr="00B4048A">
              <w:rPr>
                <w:rFonts w:ascii="Arial" w:hAnsi="Arial" w:cs="Arial"/>
              </w:rPr>
              <w:t>2</w:t>
            </w:r>
            <w:r w:rsidRPr="00B4048A">
              <w:rPr>
                <w:rFonts w:ascii="Arial" w:hAnsi="Arial" w:cs="Arial"/>
              </w:rPr>
              <w:t xml:space="preserve"> 202</w:t>
            </w:r>
            <w:r w:rsidR="0094423B" w:rsidRPr="00B4048A">
              <w:rPr>
                <w:rFonts w:ascii="Arial" w:hAnsi="Arial" w:cs="Arial"/>
              </w:rPr>
              <w:t>3</w:t>
            </w:r>
            <w:r w:rsidRPr="00B4048A">
              <w:rPr>
                <w:rFonts w:ascii="Arial" w:hAnsi="Arial" w:cs="Arial"/>
              </w:rPr>
              <w:t xml:space="preserve"> to Q</w:t>
            </w:r>
            <w:r w:rsidR="00C1776C" w:rsidRPr="00B4048A">
              <w:rPr>
                <w:rFonts w:ascii="Arial" w:hAnsi="Arial" w:cs="Arial"/>
              </w:rPr>
              <w:t>1</w:t>
            </w:r>
            <w:r w:rsidR="00863295" w:rsidRPr="00B4048A">
              <w:rPr>
                <w:rFonts w:ascii="Arial" w:hAnsi="Arial" w:cs="Arial"/>
              </w:rPr>
              <w:t> </w:t>
            </w:r>
            <w:r w:rsidRPr="00B4048A">
              <w:rPr>
                <w:rFonts w:ascii="Arial" w:hAnsi="Arial" w:cs="Arial"/>
              </w:rPr>
              <w:t>202</w:t>
            </w:r>
            <w:r w:rsidR="00C1776C" w:rsidRPr="00B4048A">
              <w:rPr>
                <w:rFonts w:ascii="Arial" w:hAnsi="Arial" w:cs="Arial"/>
              </w:rPr>
              <w:t>4</w:t>
            </w:r>
          </w:p>
        </w:tc>
        <w:tc>
          <w:tcPr>
            <w:tcW w:w="1418"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0DA83871" w14:textId="4A8C5A2B" w:rsidR="005570A1" w:rsidRPr="00B4048A" w:rsidRDefault="00FC7DEE" w:rsidP="00C82F7F">
            <w:pPr>
              <w:pStyle w:val="TableHeading"/>
              <w:ind w:right="57"/>
              <w:jc w:val="right"/>
              <w:rPr>
                <w:rFonts w:ascii="Arial" w:hAnsi="Arial" w:cs="Arial"/>
              </w:rPr>
            </w:pPr>
            <w:r w:rsidRPr="00B4048A">
              <w:rPr>
                <w:rFonts w:ascii="Arial" w:hAnsi="Arial" w:cs="Arial"/>
              </w:rPr>
              <w:t>Q</w:t>
            </w:r>
            <w:r w:rsidR="00C1776C" w:rsidRPr="00B4048A">
              <w:rPr>
                <w:rFonts w:ascii="Arial" w:hAnsi="Arial" w:cs="Arial"/>
              </w:rPr>
              <w:t>2</w:t>
            </w:r>
            <w:r w:rsidRPr="00B4048A">
              <w:rPr>
                <w:rFonts w:ascii="Arial" w:hAnsi="Arial" w:cs="Arial"/>
              </w:rPr>
              <w:t xml:space="preserve"> </w:t>
            </w:r>
            <w:r w:rsidR="005570A1" w:rsidRPr="00B4048A">
              <w:rPr>
                <w:rFonts w:ascii="Arial" w:hAnsi="Arial" w:cs="Arial"/>
              </w:rPr>
              <w:t>201</w:t>
            </w:r>
            <w:r w:rsidR="00FC55BC" w:rsidRPr="00B4048A">
              <w:rPr>
                <w:rFonts w:ascii="Arial" w:hAnsi="Arial" w:cs="Arial"/>
              </w:rPr>
              <w:t xml:space="preserve">9 </w:t>
            </w:r>
            <w:r w:rsidR="005570A1" w:rsidRPr="00B4048A">
              <w:rPr>
                <w:rFonts w:ascii="Arial" w:hAnsi="Arial" w:cs="Arial"/>
              </w:rPr>
              <w:t xml:space="preserve">to </w:t>
            </w:r>
            <w:r w:rsidRPr="00B4048A">
              <w:rPr>
                <w:rFonts w:ascii="Arial" w:hAnsi="Arial" w:cs="Arial"/>
              </w:rPr>
              <w:t>Q</w:t>
            </w:r>
            <w:r w:rsidR="00520438" w:rsidRPr="00B4048A">
              <w:rPr>
                <w:rFonts w:ascii="Arial" w:hAnsi="Arial" w:cs="Arial"/>
              </w:rPr>
              <w:t>1</w:t>
            </w:r>
            <w:r w:rsidR="00863295" w:rsidRPr="00B4048A">
              <w:rPr>
                <w:rFonts w:ascii="Arial" w:hAnsi="Arial" w:cs="Arial"/>
              </w:rPr>
              <w:t> </w:t>
            </w:r>
            <w:r w:rsidRPr="00B4048A">
              <w:rPr>
                <w:rFonts w:ascii="Arial" w:hAnsi="Arial" w:cs="Arial"/>
              </w:rPr>
              <w:t>202</w:t>
            </w:r>
            <w:r w:rsidR="00520438" w:rsidRPr="00B4048A">
              <w:rPr>
                <w:rFonts w:ascii="Arial" w:hAnsi="Arial" w:cs="Arial"/>
              </w:rPr>
              <w:t>4</w:t>
            </w:r>
          </w:p>
        </w:tc>
        <w:tc>
          <w:tcPr>
            <w:tcW w:w="1701" w:type="dxa"/>
            <w:tcBorders>
              <w:top w:val="nil"/>
              <w:left w:val="single" w:sz="18" w:space="0" w:color="FFFFFF" w:themeColor="background1"/>
              <w:bottom w:val="single" w:sz="4" w:space="0" w:color="BFBFBF" w:themeColor="background1" w:themeShade="BF"/>
              <w:right w:val="nil"/>
            </w:tcBorders>
            <w:shd w:val="clear" w:color="auto" w:fill="auto"/>
            <w:vAlign w:val="center"/>
          </w:tcPr>
          <w:p w14:paraId="0989FAE8" w14:textId="718A678E" w:rsidR="005570A1" w:rsidRPr="00B4048A" w:rsidRDefault="00520438" w:rsidP="00C82F7F">
            <w:pPr>
              <w:pStyle w:val="TableHeading"/>
              <w:ind w:right="57"/>
              <w:jc w:val="right"/>
              <w:rPr>
                <w:rFonts w:ascii="Arial" w:hAnsi="Arial" w:cs="Arial"/>
              </w:rPr>
            </w:pPr>
            <w:r w:rsidRPr="00B4048A">
              <w:rPr>
                <w:rFonts w:ascii="Arial" w:hAnsi="Arial" w:cs="Arial"/>
              </w:rPr>
              <w:t>Mar 23</w:t>
            </w:r>
            <w:r w:rsidR="005570A1" w:rsidRPr="00B4048A">
              <w:rPr>
                <w:rFonts w:ascii="Arial" w:hAnsi="Arial" w:cs="Arial"/>
              </w:rPr>
              <w:t xml:space="preserve"> to </w:t>
            </w:r>
            <w:r w:rsidR="00863295" w:rsidRPr="00B4048A">
              <w:rPr>
                <w:rFonts w:ascii="Arial" w:hAnsi="Arial" w:cs="Arial"/>
              </w:rPr>
              <w:br/>
            </w:r>
            <w:r w:rsidRPr="00B4048A">
              <w:rPr>
                <w:rFonts w:ascii="Arial" w:hAnsi="Arial" w:cs="Arial"/>
              </w:rPr>
              <w:t>Mar</w:t>
            </w:r>
            <w:r w:rsidR="005570A1" w:rsidRPr="00B4048A">
              <w:rPr>
                <w:rFonts w:ascii="Arial" w:hAnsi="Arial" w:cs="Arial"/>
              </w:rPr>
              <w:t xml:space="preserve"> 2</w:t>
            </w:r>
            <w:r w:rsidRPr="00B4048A">
              <w:rPr>
                <w:rFonts w:ascii="Arial" w:hAnsi="Arial" w:cs="Arial"/>
              </w:rPr>
              <w:t>4</w:t>
            </w:r>
          </w:p>
        </w:tc>
      </w:tr>
      <w:tr w:rsidR="005570A1" w:rsidRPr="00B4048A" w14:paraId="335B2940" w14:textId="77777777" w:rsidTr="00F076A8">
        <w:trPr>
          <w:trHeight w:val="300"/>
        </w:trPr>
        <w:tc>
          <w:tcPr>
            <w:tcW w:w="9356" w:type="dxa"/>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638FD52" w14:textId="276A9862" w:rsidR="005570A1" w:rsidRPr="00B4048A" w:rsidRDefault="005570A1" w:rsidP="003A58FE">
            <w:pPr>
              <w:spacing w:before="0" w:after="0" w:line="240" w:lineRule="auto"/>
              <w:ind w:left="45"/>
              <w:textAlignment w:val="baseline"/>
              <w:rPr>
                <w:rFonts w:ascii="Arial" w:eastAsia="Times New Roman" w:hAnsi="Arial" w:cs="Arial"/>
                <w:b/>
                <w:bCs/>
                <w:color w:val="265A9A"/>
                <w:sz w:val="24"/>
                <w:szCs w:val="24"/>
                <w:lang w:eastAsia="en-AU"/>
              </w:rPr>
            </w:pPr>
            <w:r w:rsidRPr="00B4048A">
              <w:rPr>
                <w:rFonts w:ascii="Arial" w:eastAsia="Times New Roman" w:hAnsi="Arial" w:cs="Arial"/>
                <w:b/>
                <w:bCs/>
                <w:color w:val="265A9A"/>
                <w:sz w:val="18"/>
                <w:szCs w:val="18"/>
                <w:lang w:eastAsia="en-AU"/>
              </w:rPr>
              <w:t>Whole Economy</w:t>
            </w:r>
          </w:p>
        </w:tc>
      </w:tr>
      <w:tr w:rsidR="009C5F11" w:rsidRPr="00B4048A" w14:paraId="4ACA8EA5" w14:textId="77777777" w:rsidTr="0068516A">
        <w:trPr>
          <w:trHeight w:val="300"/>
        </w:trPr>
        <w:tc>
          <w:tcPr>
            <w:tcW w:w="2312" w:type="dxa"/>
            <w:tcBorders>
              <w:top w:val="nil"/>
              <w:left w:val="nil"/>
              <w:bottom w:val="nil"/>
              <w:right w:val="nil"/>
            </w:tcBorders>
            <w:shd w:val="clear" w:color="auto" w:fill="FFFFFF" w:themeFill="background1"/>
            <w:vAlign w:val="center"/>
            <w:hideMark/>
          </w:tcPr>
          <w:p w14:paraId="4B4A5CC2" w14:textId="77777777" w:rsidR="009C5F11" w:rsidRPr="00B4048A" w:rsidRDefault="009C5F11" w:rsidP="009C5F11">
            <w:pPr>
              <w:spacing w:before="0" w:after="0" w:line="240" w:lineRule="auto"/>
              <w:ind w:left="45"/>
              <w:textAlignment w:val="baseline"/>
              <w:rPr>
                <w:rFonts w:ascii="Arial" w:eastAsia="Times New Roman" w:hAnsi="Arial" w:cs="Arial"/>
                <w:sz w:val="24"/>
                <w:szCs w:val="24"/>
                <w:lang w:eastAsia="en-AU"/>
              </w:rPr>
            </w:pPr>
            <w:r w:rsidRPr="00B4048A">
              <w:rPr>
                <w:rFonts w:ascii="Arial" w:eastAsia="Times New Roman" w:hAnsi="Arial" w:cs="Arial"/>
                <w:sz w:val="18"/>
                <w:szCs w:val="18"/>
                <w:lang w:eastAsia="en-AU"/>
              </w:rPr>
              <w:t>Output (real GDP) </w:t>
            </w:r>
          </w:p>
        </w:tc>
        <w:tc>
          <w:tcPr>
            <w:tcW w:w="1254" w:type="dxa"/>
            <w:tcBorders>
              <w:top w:val="nil"/>
              <w:left w:val="nil"/>
              <w:bottom w:val="nil"/>
              <w:right w:val="nil"/>
            </w:tcBorders>
            <w:shd w:val="clear" w:color="auto" w:fill="auto"/>
            <w:vAlign w:val="center"/>
            <w:hideMark/>
          </w:tcPr>
          <w:p w14:paraId="7ED55684" w14:textId="5C16011A"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0.1</w:t>
            </w:r>
          </w:p>
        </w:tc>
        <w:tc>
          <w:tcPr>
            <w:tcW w:w="1254" w:type="dxa"/>
            <w:tcBorders>
              <w:top w:val="nil"/>
              <w:left w:val="nil"/>
              <w:bottom w:val="nil"/>
              <w:right w:val="nil"/>
            </w:tcBorders>
            <w:shd w:val="clear" w:color="auto" w:fill="auto"/>
            <w:vAlign w:val="center"/>
            <w:hideMark/>
          </w:tcPr>
          <w:p w14:paraId="5964F033" w14:textId="3AA16AA1"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0.3</w:t>
            </w:r>
          </w:p>
        </w:tc>
        <w:tc>
          <w:tcPr>
            <w:tcW w:w="1417" w:type="dxa"/>
            <w:tcBorders>
              <w:top w:val="nil"/>
              <w:left w:val="nil"/>
              <w:bottom w:val="nil"/>
              <w:right w:val="nil"/>
            </w:tcBorders>
            <w:shd w:val="clear" w:color="auto" w:fill="auto"/>
            <w:vAlign w:val="bottom"/>
          </w:tcPr>
          <w:p w14:paraId="105FC440" w14:textId="3B74F8CA"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0.3</w:t>
            </w:r>
          </w:p>
        </w:tc>
        <w:tc>
          <w:tcPr>
            <w:tcW w:w="1418" w:type="dxa"/>
            <w:tcBorders>
              <w:top w:val="nil"/>
              <w:left w:val="nil"/>
              <w:bottom w:val="nil"/>
              <w:right w:val="nil"/>
            </w:tcBorders>
            <w:shd w:val="clear" w:color="auto" w:fill="auto"/>
            <w:vAlign w:val="bottom"/>
          </w:tcPr>
          <w:p w14:paraId="44F8780F" w14:textId="6EC49FDB"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0.5</w:t>
            </w:r>
          </w:p>
        </w:tc>
        <w:tc>
          <w:tcPr>
            <w:tcW w:w="1701" w:type="dxa"/>
            <w:tcBorders>
              <w:top w:val="nil"/>
              <w:left w:val="nil"/>
              <w:bottom w:val="nil"/>
              <w:right w:val="nil"/>
            </w:tcBorders>
            <w:shd w:val="clear" w:color="auto" w:fill="auto"/>
            <w:vAlign w:val="bottom"/>
          </w:tcPr>
          <w:p w14:paraId="0B22A2C1" w14:textId="085CC840"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1.1</w:t>
            </w:r>
          </w:p>
        </w:tc>
      </w:tr>
      <w:tr w:rsidR="009C5F11" w:rsidRPr="00B4048A" w14:paraId="56C68F2F" w14:textId="77777777" w:rsidTr="0068516A">
        <w:trPr>
          <w:trHeight w:val="300"/>
        </w:trPr>
        <w:tc>
          <w:tcPr>
            <w:tcW w:w="2312" w:type="dxa"/>
            <w:tcBorders>
              <w:top w:val="nil"/>
              <w:left w:val="nil"/>
              <w:bottom w:val="nil"/>
              <w:right w:val="nil"/>
            </w:tcBorders>
            <w:shd w:val="clear" w:color="auto" w:fill="FFFFFF" w:themeFill="background1"/>
            <w:vAlign w:val="center"/>
          </w:tcPr>
          <w:p w14:paraId="57CF2330" w14:textId="77777777" w:rsidR="009C5F11" w:rsidRPr="00B4048A" w:rsidRDefault="009C5F11" w:rsidP="009C5F11">
            <w:pPr>
              <w:spacing w:before="0" w:after="0" w:line="240" w:lineRule="auto"/>
              <w:ind w:left="45"/>
              <w:textAlignment w:val="baseline"/>
              <w:rPr>
                <w:rFonts w:ascii="Arial" w:eastAsia="Times New Roman" w:hAnsi="Arial" w:cs="Arial"/>
                <w:sz w:val="18"/>
                <w:szCs w:val="18"/>
                <w:lang w:eastAsia="en-AU"/>
              </w:rPr>
            </w:pPr>
            <w:r w:rsidRPr="00B4048A">
              <w:rPr>
                <w:rFonts w:ascii="Arial" w:eastAsia="Times New Roman" w:hAnsi="Arial" w:cs="Arial"/>
                <w:sz w:val="18"/>
                <w:szCs w:val="18"/>
                <w:lang w:eastAsia="en-AU"/>
              </w:rPr>
              <w:t>Hours worked </w:t>
            </w:r>
          </w:p>
        </w:tc>
        <w:tc>
          <w:tcPr>
            <w:tcW w:w="1254" w:type="dxa"/>
            <w:tcBorders>
              <w:top w:val="nil"/>
              <w:left w:val="nil"/>
              <w:bottom w:val="nil"/>
              <w:right w:val="nil"/>
            </w:tcBorders>
            <w:shd w:val="clear" w:color="auto" w:fill="auto"/>
            <w:vAlign w:val="center"/>
          </w:tcPr>
          <w:p w14:paraId="4085BAB6" w14:textId="0BD82310"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0.1</w:t>
            </w:r>
          </w:p>
        </w:tc>
        <w:tc>
          <w:tcPr>
            <w:tcW w:w="1254" w:type="dxa"/>
            <w:tcBorders>
              <w:top w:val="nil"/>
              <w:left w:val="nil"/>
              <w:bottom w:val="nil"/>
              <w:right w:val="nil"/>
            </w:tcBorders>
            <w:shd w:val="clear" w:color="auto" w:fill="auto"/>
            <w:vAlign w:val="center"/>
          </w:tcPr>
          <w:p w14:paraId="65589C86" w14:textId="2841DF27"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-0.2</w:t>
            </w:r>
          </w:p>
        </w:tc>
        <w:tc>
          <w:tcPr>
            <w:tcW w:w="1417" w:type="dxa"/>
            <w:tcBorders>
              <w:top w:val="nil"/>
              <w:left w:val="nil"/>
              <w:bottom w:val="nil"/>
              <w:right w:val="nil"/>
            </w:tcBorders>
            <w:shd w:val="clear" w:color="auto" w:fill="auto"/>
            <w:vAlign w:val="bottom"/>
          </w:tcPr>
          <w:p w14:paraId="1379BAAA" w14:textId="52910293"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0.3</w:t>
            </w:r>
          </w:p>
        </w:tc>
        <w:tc>
          <w:tcPr>
            <w:tcW w:w="1418" w:type="dxa"/>
            <w:tcBorders>
              <w:top w:val="nil"/>
              <w:left w:val="nil"/>
              <w:bottom w:val="nil"/>
              <w:right w:val="nil"/>
            </w:tcBorders>
            <w:shd w:val="clear" w:color="auto" w:fill="auto"/>
            <w:vAlign w:val="bottom"/>
          </w:tcPr>
          <w:p w14:paraId="3FFADA82" w14:textId="05AD347E"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0.5</w:t>
            </w:r>
          </w:p>
        </w:tc>
        <w:tc>
          <w:tcPr>
            <w:tcW w:w="1701" w:type="dxa"/>
            <w:tcBorders>
              <w:top w:val="nil"/>
              <w:left w:val="nil"/>
              <w:bottom w:val="nil"/>
              <w:right w:val="nil"/>
            </w:tcBorders>
            <w:shd w:val="clear" w:color="auto" w:fill="auto"/>
            <w:vAlign w:val="bottom"/>
          </w:tcPr>
          <w:p w14:paraId="159D8366" w14:textId="4828E5BD" w:rsidR="009C5F11" w:rsidRPr="00B4048A" w:rsidRDefault="009C5F11" w:rsidP="009C5F11">
            <w:pPr>
              <w:pStyle w:val="TableBody"/>
              <w:ind w:right="57"/>
              <w:jc w:val="right"/>
              <w:rPr>
                <w:rFonts w:ascii="Arial" w:hAnsi="Arial" w:cs="Arial"/>
              </w:rPr>
            </w:pPr>
            <w:r w:rsidRPr="00B4048A">
              <w:rPr>
                <w:rFonts w:ascii="Arial" w:hAnsi="Arial" w:cs="Arial"/>
                <w:color w:val="000000"/>
                <w:sz w:val="20"/>
              </w:rPr>
              <w:t>1.0</w:t>
            </w:r>
          </w:p>
        </w:tc>
      </w:tr>
      <w:tr w:rsidR="009C5F11" w:rsidRPr="00B4048A" w14:paraId="4A341219" w14:textId="77777777" w:rsidTr="0068516A">
        <w:trPr>
          <w:trHeight w:val="300"/>
        </w:trPr>
        <w:tc>
          <w:tcPr>
            <w:tcW w:w="2312" w:type="dxa"/>
            <w:tcBorders>
              <w:top w:val="nil"/>
              <w:left w:val="nil"/>
              <w:bottom w:val="nil"/>
              <w:right w:val="nil"/>
            </w:tcBorders>
            <w:shd w:val="clear" w:color="auto" w:fill="FFFFFF" w:themeFill="background1"/>
            <w:vAlign w:val="center"/>
          </w:tcPr>
          <w:p w14:paraId="1A6FE195" w14:textId="77777777" w:rsidR="009C5F11" w:rsidRPr="00B4048A" w:rsidRDefault="009C5F11" w:rsidP="009C5F11">
            <w:pPr>
              <w:spacing w:before="0" w:after="0" w:line="240" w:lineRule="auto"/>
              <w:ind w:left="45"/>
              <w:textAlignment w:val="baseline"/>
              <w:rPr>
                <w:rFonts w:ascii="Arial" w:eastAsia="Times New Roman" w:hAnsi="Arial" w:cs="Arial"/>
                <w:b/>
                <w:sz w:val="24"/>
                <w:szCs w:val="24"/>
                <w:lang w:eastAsia="en-AU"/>
              </w:rPr>
            </w:pPr>
            <w:r w:rsidRPr="00B4048A">
              <w:rPr>
                <w:rFonts w:ascii="Arial" w:eastAsia="Times New Roman" w:hAnsi="Arial" w:cs="Arial"/>
                <w:b/>
                <w:bCs/>
                <w:sz w:val="18"/>
                <w:szCs w:val="18"/>
                <w:lang w:eastAsia="en-AU"/>
              </w:rPr>
              <w:t>Labour Productivity</w:t>
            </w:r>
            <w:r w:rsidRPr="00B4048A">
              <w:rPr>
                <w:rFonts w:ascii="Arial" w:eastAsia="Times New Roman" w:hAnsi="Arial" w:cs="Arial"/>
                <w:b/>
                <w:sz w:val="18"/>
                <w:szCs w:val="18"/>
                <w:lang w:eastAsia="en-AU"/>
              </w:rPr>
              <w:t> </w:t>
            </w:r>
          </w:p>
        </w:tc>
        <w:tc>
          <w:tcPr>
            <w:tcW w:w="1254" w:type="dxa"/>
            <w:tcBorders>
              <w:top w:val="nil"/>
              <w:left w:val="nil"/>
              <w:bottom w:val="nil"/>
              <w:right w:val="nil"/>
            </w:tcBorders>
            <w:shd w:val="clear" w:color="auto" w:fill="auto"/>
            <w:vAlign w:val="center"/>
          </w:tcPr>
          <w:p w14:paraId="512DCCFF" w14:textId="49372FC4" w:rsidR="009C5F11" w:rsidRPr="00B4048A" w:rsidRDefault="009C5F11" w:rsidP="009C5F11">
            <w:pPr>
              <w:pStyle w:val="TableBody"/>
              <w:ind w:right="57"/>
              <w:jc w:val="right"/>
              <w:rPr>
                <w:rFonts w:ascii="Arial" w:hAnsi="Arial" w:cs="Arial"/>
                <w:b/>
                <w:bCs/>
              </w:rPr>
            </w:pPr>
            <w:r w:rsidRPr="00B4048A">
              <w:rPr>
                <w:rFonts w:ascii="Arial" w:hAnsi="Arial" w:cs="Arial"/>
                <w:b/>
                <w:bCs/>
                <w:color w:val="000000"/>
                <w:sz w:val="20"/>
              </w:rPr>
              <w:t>0</w:t>
            </w:r>
          </w:p>
        </w:tc>
        <w:tc>
          <w:tcPr>
            <w:tcW w:w="1254" w:type="dxa"/>
            <w:tcBorders>
              <w:top w:val="nil"/>
              <w:left w:val="nil"/>
              <w:bottom w:val="nil"/>
              <w:right w:val="nil"/>
            </w:tcBorders>
            <w:shd w:val="clear" w:color="auto" w:fill="auto"/>
            <w:vAlign w:val="center"/>
          </w:tcPr>
          <w:p w14:paraId="651E317E" w14:textId="0B9114C3" w:rsidR="009C5F11" w:rsidRPr="00B4048A" w:rsidRDefault="009C5F11" w:rsidP="009C5F11">
            <w:pPr>
              <w:pStyle w:val="TableBody"/>
              <w:ind w:right="57"/>
              <w:jc w:val="right"/>
              <w:rPr>
                <w:rFonts w:ascii="Arial" w:hAnsi="Arial" w:cs="Arial"/>
                <w:b/>
                <w:bCs/>
              </w:rPr>
            </w:pPr>
            <w:r w:rsidRPr="00B4048A">
              <w:rPr>
                <w:rFonts w:ascii="Arial" w:hAnsi="Arial" w:cs="Arial"/>
                <w:b/>
                <w:bCs/>
                <w:color w:val="000000"/>
                <w:sz w:val="20"/>
              </w:rPr>
              <w:t>0.5</w:t>
            </w:r>
          </w:p>
        </w:tc>
        <w:tc>
          <w:tcPr>
            <w:tcW w:w="1417" w:type="dxa"/>
            <w:tcBorders>
              <w:top w:val="nil"/>
              <w:left w:val="nil"/>
              <w:bottom w:val="nil"/>
              <w:right w:val="nil"/>
            </w:tcBorders>
            <w:shd w:val="clear" w:color="auto" w:fill="auto"/>
            <w:vAlign w:val="bottom"/>
          </w:tcPr>
          <w:p w14:paraId="525DAD54" w14:textId="50D73047" w:rsidR="009C5F11" w:rsidRPr="00B4048A" w:rsidRDefault="009C5F11" w:rsidP="009C5F11">
            <w:pPr>
              <w:pStyle w:val="TableBody"/>
              <w:ind w:right="57"/>
              <w:jc w:val="right"/>
              <w:rPr>
                <w:rFonts w:ascii="Arial" w:hAnsi="Arial" w:cs="Arial"/>
                <w:b/>
                <w:bCs/>
              </w:rPr>
            </w:pPr>
            <w:r w:rsidRPr="00B4048A">
              <w:rPr>
                <w:rFonts w:ascii="Arial" w:hAnsi="Arial" w:cs="Arial"/>
                <w:b/>
                <w:bCs/>
                <w:color w:val="000000"/>
                <w:sz w:val="20"/>
              </w:rPr>
              <w:t>0.0</w:t>
            </w:r>
          </w:p>
        </w:tc>
        <w:tc>
          <w:tcPr>
            <w:tcW w:w="1418" w:type="dxa"/>
            <w:tcBorders>
              <w:top w:val="nil"/>
              <w:left w:val="nil"/>
              <w:bottom w:val="nil"/>
              <w:right w:val="nil"/>
            </w:tcBorders>
            <w:shd w:val="clear" w:color="auto" w:fill="auto"/>
            <w:vAlign w:val="bottom"/>
          </w:tcPr>
          <w:p w14:paraId="6ECF4156" w14:textId="14DCE5D5" w:rsidR="009C5F11" w:rsidRPr="00B4048A" w:rsidRDefault="009C5F11" w:rsidP="009C5F11">
            <w:pPr>
              <w:pStyle w:val="TableBody"/>
              <w:ind w:right="57"/>
              <w:jc w:val="right"/>
              <w:rPr>
                <w:rFonts w:ascii="Arial" w:hAnsi="Arial" w:cs="Arial"/>
                <w:b/>
                <w:bCs/>
              </w:rPr>
            </w:pPr>
            <w:r w:rsidRPr="00B4048A">
              <w:rPr>
                <w:rFonts w:ascii="Arial" w:hAnsi="Arial" w:cs="Arial"/>
                <w:b/>
                <w:bCs/>
                <w:color w:val="000000"/>
                <w:sz w:val="20"/>
              </w:rPr>
              <w:t>0.1</w:t>
            </w:r>
          </w:p>
        </w:tc>
        <w:tc>
          <w:tcPr>
            <w:tcW w:w="1701" w:type="dxa"/>
            <w:tcBorders>
              <w:top w:val="nil"/>
              <w:left w:val="nil"/>
              <w:bottom w:val="nil"/>
              <w:right w:val="nil"/>
            </w:tcBorders>
            <w:shd w:val="clear" w:color="auto" w:fill="auto"/>
            <w:vAlign w:val="bottom"/>
          </w:tcPr>
          <w:p w14:paraId="200A6792" w14:textId="6A803FED" w:rsidR="009C5F11" w:rsidRPr="00B4048A" w:rsidRDefault="009C5F11" w:rsidP="009C5F11">
            <w:pPr>
              <w:pStyle w:val="TableBody"/>
              <w:ind w:right="57"/>
              <w:jc w:val="right"/>
              <w:rPr>
                <w:rFonts w:ascii="Arial" w:hAnsi="Arial" w:cs="Arial"/>
                <w:b/>
                <w:bCs/>
              </w:rPr>
            </w:pPr>
            <w:r w:rsidRPr="00B4048A">
              <w:rPr>
                <w:rFonts w:ascii="Arial" w:hAnsi="Arial" w:cs="Arial"/>
                <w:b/>
                <w:bCs/>
                <w:color w:val="000000"/>
                <w:sz w:val="20"/>
              </w:rPr>
              <w:t>0.1</w:t>
            </w:r>
          </w:p>
        </w:tc>
      </w:tr>
      <w:tr w:rsidR="009C5F11" w:rsidRPr="00B4048A" w14:paraId="07FF3467" w14:textId="77777777" w:rsidTr="00F6743F">
        <w:trPr>
          <w:trHeight w:val="300"/>
        </w:trPr>
        <w:tc>
          <w:tcPr>
            <w:tcW w:w="9356" w:type="dxa"/>
            <w:gridSpan w:val="6"/>
            <w:tcBorders>
              <w:top w:val="nil"/>
              <w:left w:val="nil"/>
              <w:bottom w:val="nil"/>
              <w:right w:val="nil"/>
            </w:tcBorders>
            <w:shd w:val="clear" w:color="auto" w:fill="E0F1F7" w:themeFill="text2" w:themeFillTint="33"/>
            <w:vAlign w:val="center"/>
          </w:tcPr>
          <w:p w14:paraId="4AA71C8D" w14:textId="77777777" w:rsidR="009C5F11" w:rsidRPr="00B4048A" w:rsidRDefault="009C5F11" w:rsidP="009C5F11">
            <w:pPr>
              <w:spacing w:before="0" w:after="0" w:line="240" w:lineRule="auto"/>
              <w:ind w:left="45"/>
              <w:textAlignment w:val="baseline"/>
              <w:rPr>
                <w:rFonts w:ascii="Arial" w:eastAsia="Times New Roman" w:hAnsi="Arial" w:cs="Arial"/>
                <w:b/>
                <w:bCs/>
                <w:color w:val="265A9A"/>
                <w:sz w:val="18"/>
                <w:szCs w:val="18"/>
                <w:lang w:eastAsia="en-AU"/>
              </w:rPr>
            </w:pPr>
            <w:r w:rsidRPr="00B4048A">
              <w:rPr>
                <w:rFonts w:ascii="Arial" w:eastAsia="Times New Roman" w:hAnsi="Arial" w:cs="Arial"/>
                <w:b/>
                <w:bCs/>
                <w:color w:val="265A9A"/>
                <w:sz w:val="18"/>
                <w:szCs w:val="18"/>
                <w:lang w:eastAsia="en-AU"/>
              </w:rPr>
              <w:t>Market sector</w:t>
            </w:r>
          </w:p>
        </w:tc>
      </w:tr>
      <w:tr w:rsidR="009A0FB8" w:rsidRPr="00B4048A" w14:paraId="07D28E09" w14:textId="77777777" w:rsidTr="0068516A">
        <w:trPr>
          <w:trHeight w:val="300"/>
        </w:trPr>
        <w:tc>
          <w:tcPr>
            <w:tcW w:w="2312" w:type="dxa"/>
            <w:tcBorders>
              <w:top w:val="nil"/>
              <w:left w:val="nil"/>
              <w:bottom w:val="nil"/>
              <w:right w:val="nil"/>
            </w:tcBorders>
            <w:shd w:val="clear" w:color="auto" w:fill="auto"/>
            <w:vAlign w:val="center"/>
          </w:tcPr>
          <w:p w14:paraId="648A0B76" w14:textId="77777777" w:rsidR="009A0FB8" w:rsidRPr="00B4048A" w:rsidRDefault="009A0FB8" w:rsidP="009A0FB8">
            <w:pPr>
              <w:spacing w:before="0" w:after="0" w:line="240" w:lineRule="auto"/>
              <w:ind w:left="45"/>
              <w:textAlignment w:val="baseline"/>
              <w:rPr>
                <w:rFonts w:ascii="Arial" w:eastAsia="Times New Roman" w:hAnsi="Arial" w:cs="Arial"/>
                <w:sz w:val="18"/>
                <w:szCs w:val="18"/>
                <w:lang w:eastAsia="en-AU"/>
              </w:rPr>
            </w:pPr>
            <w:r w:rsidRPr="00B4048A">
              <w:rPr>
                <w:rFonts w:ascii="Arial" w:eastAsia="Times New Roman" w:hAnsi="Arial" w:cs="Arial"/>
                <w:sz w:val="18"/>
                <w:szCs w:val="18"/>
                <w:lang w:eastAsia="en-AU"/>
              </w:rPr>
              <w:t>Output (gross value added)</w:t>
            </w:r>
          </w:p>
        </w:tc>
        <w:tc>
          <w:tcPr>
            <w:tcW w:w="1254" w:type="dxa"/>
            <w:tcBorders>
              <w:top w:val="nil"/>
              <w:left w:val="nil"/>
              <w:bottom w:val="nil"/>
              <w:right w:val="nil"/>
            </w:tcBorders>
            <w:shd w:val="clear" w:color="auto" w:fill="auto"/>
            <w:vAlign w:val="center"/>
          </w:tcPr>
          <w:p w14:paraId="1EE6A8FA" w14:textId="7AC2E14B"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-0.3</w:t>
            </w:r>
          </w:p>
        </w:tc>
        <w:tc>
          <w:tcPr>
            <w:tcW w:w="1254" w:type="dxa"/>
            <w:tcBorders>
              <w:top w:val="nil"/>
              <w:left w:val="nil"/>
              <w:bottom w:val="nil"/>
              <w:right w:val="nil"/>
            </w:tcBorders>
            <w:shd w:val="clear" w:color="auto" w:fill="auto"/>
            <w:vAlign w:val="center"/>
          </w:tcPr>
          <w:p w14:paraId="11ED4302" w14:textId="2B7C1DBC"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0.3</w:t>
            </w:r>
          </w:p>
        </w:tc>
        <w:tc>
          <w:tcPr>
            <w:tcW w:w="1417" w:type="dxa"/>
            <w:tcBorders>
              <w:top w:val="nil"/>
              <w:left w:val="nil"/>
              <w:bottom w:val="nil"/>
              <w:right w:val="nil"/>
            </w:tcBorders>
            <w:shd w:val="clear" w:color="auto" w:fill="auto"/>
            <w:vAlign w:val="bottom"/>
          </w:tcPr>
          <w:p w14:paraId="56306271" w14:textId="7529CC61"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0.1</w:t>
            </w:r>
          </w:p>
        </w:tc>
        <w:tc>
          <w:tcPr>
            <w:tcW w:w="1418" w:type="dxa"/>
            <w:tcBorders>
              <w:top w:val="nil"/>
              <w:left w:val="nil"/>
              <w:bottom w:val="nil"/>
              <w:right w:val="nil"/>
            </w:tcBorders>
            <w:shd w:val="clear" w:color="auto" w:fill="auto"/>
            <w:vAlign w:val="bottom"/>
          </w:tcPr>
          <w:p w14:paraId="193D642B" w14:textId="181E0F02"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0.5</w:t>
            </w:r>
          </w:p>
        </w:tc>
        <w:tc>
          <w:tcPr>
            <w:tcW w:w="1701" w:type="dxa"/>
            <w:tcBorders>
              <w:top w:val="nil"/>
              <w:left w:val="nil"/>
              <w:bottom w:val="nil"/>
              <w:right w:val="nil"/>
            </w:tcBorders>
            <w:shd w:val="clear" w:color="auto" w:fill="auto"/>
            <w:vAlign w:val="bottom"/>
          </w:tcPr>
          <w:p w14:paraId="6338744D" w14:textId="32B05311"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0.4</w:t>
            </w:r>
          </w:p>
        </w:tc>
      </w:tr>
      <w:tr w:rsidR="009A0FB8" w:rsidRPr="00B4048A" w14:paraId="04339217" w14:textId="77777777" w:rsidTr="004F1BCF">
        <w:trPr>
          <w:trHeight w:val="300"/>
        </w:trPr>
        <w:tc>
          <w:tcPr>
            <w:tcW w:w="2312" w:type="dxa"/>
            <w:tcBorders>
              <w:top w:val="nil"/>
              <w:left w:val="nil"/>
              <w:bottom w:val="nil"/>
              <w:right w:val="nil"/>
            </w:tcBorders>
            <w:shd w:val="clear" w:color="auto" w:fill="auto"/>
            <w:vAlign w:val="center"/>
          </w:tcPr>
          <w:p w14:paraId="339F9D80" w14:textId="77777777" w:rsidR="009A0FB8" w:rsidRPr="00B4048A" w:rsidRDefault="009A0FB8" w:rsidP="009A0FB8">
            <w:pPr>
              <w:spacing w:before="0" w:after="0" w:line="240" w:lineRule="auto"/>
              <w:ind w:left="45"/>
              <w:textAlignment w:val="baseline"/>
              <w:rPr>
                <w:rFonts w:ascii="Arial" w:eastAsia="Times New Roman" w:hAnsi="Arial" w:cs="Arial"/>
                <w:sz w:val="18"/>
                <w:szCs w:val="18"/>
                <w:lang w:eastAsia="en-AU"/>
              </w:rPr>
            </w:pPr>
            <w:r w:rsidRPr="00B4048A">
              <w:rPr>
                <w:rFonts w:ascii="Arial" w:eastAsia="Times New Roman" w:hAnsi="Arial" w:cs="Arial"/>
                <w:sz w:val="18"/>
                <w:szCs w:val="18"/>
                <w:lang w:eastAsia="en-AU"/>
              </w:rPr>
              <w:t>Hours worked</w:t>
            </w:r>
          </w:p>
        </w:tc>
        <w:tc>
          <w:tcPr>
            <w:tcW w:w="1254" w:type="dxa"/>
            <w:tcBorders>
              <w:top w:val="nil"/>
              <w:left w:val="nil"/>
              <w:bottom w:val="nil"/>
              <w:right w:val="nil"/>
            </w:tcBorders>
            <w:shd w:val="clear" w:color="auto" w:fill="auto"/>
            <w:vAlign w:val="center"/>
          </w:tcPr>
          <w:p w14:paraId="0D6A141D" w14:textId="1DCF97A8"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-0.7</w:t>
            </w:r>
          </w:p>
        </w:tc>
        <w:tc>
          <w:tcPr>
            <w:tcW w:w="1254" w:type="dxa"/>
            <w:tcBorders>
              <w:top w:val="nil"/>
              <w:left w:val="nil"/>
              <w:bottom w:val="nil"/>
              <w:right w:val="nil"/>
            </w:tcBorders>
            <w:shd w:val="clear" w:color="auto" w:fill="auto"/>
            <w:vAlign w:val="center"/>
          </w:tcPr>
          <w:p w14:paraId="3992637E" w14:textId="6BCECE0F"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-0.4</w:t>
            </w:r>
          </w:p>
        </w:tc>
        <w:tc>
          <w:tcPr>
            <w:tcW w:w="1417" w:type="dxa"/>
            <w:tcBorders>
              <w:top w:val="nil"/>
              <w:left w:val="nil"/>
              <w:bottom w:val="nil"/>
              <w:right w:val="nil"/>
            </w:tcBorders>
            <w:shd w:val="clear" w:color="auto" w:fill="auto"/>
            <w:vAlign w:val="bottom"/>
          </w:tcPr>
          <w:p w14:paraId="3FFFB323" w14:textId="3596FAD6"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-0.1</w:t>
            </w:r>
          </w:p>
        </w:tc>
        <w:tc>
          <w:tcPr>
            <w:tcW w:w="1418" w:type="dxa"/>
            <w:tcBorders>
              <w:top w:val="nil"/>
              <w:left w:val="nil"/>
              <w:bottom w:val="nil"/>
              <w:right w:val="nil"/>
            </w:tcBorders>
            <w:shd w:val="clear" w:color="auto" w:fill="auto"/>
            <w:vAlign w:val="bottom"/>
          </w:tcPr>
          <w:p w14:paraId="4F8821CD" w14:textId="345EDB38"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0.3</w:t>
            </w:r>
          </w:p>
        </w:tc>
        <w:tc>
          <w:tcPr>
            <w:tcW w:w="1701" w:type="dxa"/>
            <w:tcBorders>
              <w:top w:val="nil"/>
              <w:left w:val="nil"/>
              <w:bottom w:val="nil"/>
              <w:right w:val="nil"/>
            </w:tcBorders>
            <w:shd w:val="clear" w:color="auto" w:fill="auto"/>
            <w:vAlign w:val="bottom"/>
          </w:tcPr>
          <w:p w14:paraId="34859861" w14:textId="202903CA" w:rsidR="009A0FB8" w:rsidRPr="00B4048A" w:rsidRDefault="009A0FB8" w:rsidP="009A0FB8">
            <w:pPr>
              <w:pStyle w:val="TableBody"/>
              <w:ind w:right="57"/>
              <w:jc w:val="right"/>
              <w:rPr>
                <w:rFonts w:ascii="Arial" w:hAnsi="Arial" w:cs="Arial"/>
              </w:rPr>
            </w:pPr>
            <w:r w:rsidRPr="00B4048A">
              <w:rPr>
                <w:rFonts w:ascii="Arial" w:hAnsi="Arial" w:cs="Arial"/>
                <w:color w:val="000000"/>
                <w:sz w:val="20"/>
              </w:rPr>
              <w:t>-0.5</w:t>
            </w:r>
          </w:p>
        </w:tc>
      </w:tr>
      <w:tr w:rsidR="009A0FB8" w:rsidRPr="00B4048A" w14:paraId="1BF4842C" w14:textId="77777777" w:rsidTr="004F1BCF">
        <w:trPr>
          <w:trHeight w:val="300"/>
        </w:trPr>
        <w:tc>
          <w:tcPr>
            <w:tcW w:w="2312" w:type="dxa"/>
            <w:tcBorders>
              <w:top w:val="nil"/>
              <w:left w:val="nil"/>
              <w:bottom w:val="single" w:sz="6" w:space="0" w:color="BFBFBF" w:themeColor="background1" w:themeShade="BF"/>
              <w:right w:val="nil"/>
            </w:tcBorders>
            <w:shd w:val="clear" w:color="auto" w:fill="auto"/>
            <w:vAlign w:val="center"/>
          </w:tcPr>
          <w:p w14:paraId="49782F75" w14:textId="77777777" w:rsidR="009A0FB8" w:rsidRPr="00B4048A" w:rsidRDefault="009A0FB8" w:rsidP="009A0FB8">
            <w:pPr>
              <w:spacing w:before="0" w:after="0" w:line="240" w:lineRule="auto"/>
              <w:ind w:left="45"/>
              <w:textAlignment w:val="baseline"/>
              <w:rPr>
                <w:rFonts w:ascii="Arial" w:eastAsia="Times New Roman" w:hAnsi="Arial" w:cs="Arial"/>
                <w:b/>
                <w:bCs/>
                <w:sz w:val="18"/>
                <w:szCs w:val="18"/>
                <w:lang w:eastAsia="en-AU"/>
              </w:rPr>
            </w:pPr>
            <w:r w:rsidRPr="00B4048A">
              <w:rPr>
                <w:rFonts w:ascii="Arial" w:eastAsia="Times New Roman" w:hAnsi="Arial" w:cs="Arial"/>
                <w:b/>
                <w:bCs/>
                <w:sz w:val="18"/>
                <w:szCs w:val="18"/>
                <w:lang w:eastAsia="en-AU"/>
              </w:rPr>
              <w:t>Labour Productivity </w:t>
            </w:r>
          </w:p>
        </w:tc>
        <w:tc>
          <w:tcPr>
            <w:tcW w:w="1254" w:type="dxa"/>
            <w:tcBorders>
              <w:top w:val="nil"/>
              <w:left w:val="nil"/>
              <w:bottom w:val="single" w:sz="6" w:space="0" w:color="BFBFBF" w:themeColor="background1" w:themeShade="BF"/>
              <w:right w:val="nil"/>
            </w:tcBorders>
            <w:shd w:val="clear" w:color="auto" w:fill="auto"/>
            <w:vAlign w:val="center"/>
          </w:tcPr>
          <w:p w14:paraId="22C170B3" w14:textId="20576D56" w:rsidR="009A0FB8" w:rsidRPr="00B4048A" w:rsidRDefault="009A0FB8" w:rsidP="009A0FB8">
            <w:pPr>
              <w:pStyle w:val="TableBody"/>
              <w:ind w:right="57"/>
              <w:jc w:val="right"/>
              <w:rPr>
                <w:rFonts w:ascii="Arial" w:hAnsi="Arial" w:cs="Arial"/>
                <w:b/>
                <w:bCs/>
              </w:rPr>
            </w:pPr>
            <w:r w:rsidRPr="00B4048A">
              <w:rPr>
                <w:rFonts w:ascii="Arial" w:hAnsi="Arial" w:cs="Arial"/>
                <w:b/>
                <w:bCs/>
                <w:color w:val="000000"/>
                <w:sz w:val="20"/>
              </w:rPr>
              <w:t>0.5</w:t>
            </w:r>
          </w:p>
        </w:tc>
        <w:tc>
          <w:tcPr>
            <w:tcW w:w="1254" w:type="dxa"/>
            <w:tcBorders>
              <w:top w:val="nil"/>
              <w:left w:val="nil"/>
              <w:bottom w:val="single" w:sz="6" w:space="0" w:color="BFBFBF" w:themeColor="background1" w:themeShade="BF"/>
              <w:right w:val="nil"/>
            </w:tcBorders>
            <w:shd w:val="clear" w:color="auto" w:fill="auto"/>
            <w:vAlign w:val="center"/>
          </w:tcPr>
          <w:p w14:paraId="720D4AA8" w14:textId="04A162D4" w:rsidR="009A0FB8" w:rsidRPr="00B4048A" w:rsidRDefault="009A0FB8" w:rsidP="009A0FB8">
            <w:pPr>
              <w:pStyle w:val="TableBody"/>
              <w:ind w:right="57"/>
              <w:jc w:val="right"/>
              <w:rPr>
                <w:rFonts w:ascii="Arial" w:hAnsi="Arial" w:cs="Arial"/>
                <w:b/>
                <w:bCs/>
              </w:rPr>
            </w:pPr>
            <w:r w:rsidRPr="00B4048A">
              <w:rPr>
                <w:rFonts w:ascii="Arial" w:hAnsi="Arial" w:cs="Arial"/>
                <w:b/>
                <w:bCs/>
                <w:color w:val="000000"/>
                <w:sz w:val="20"/>
              </w:rPr>
              <w:t>0.7</w:t>
            </w:r>
          </w:p>
        </w:tc>
        <w:tc>
          <w:tcPr>
            <w:tcW w:w="1417" w:type="dxa"/>
            <w:tcBorders>
              <w:top w:val="nil"/>
              <w:left w:val="nil"/>
              <w:bottom w:val="single" w:sz="6" w:space="0" w:color="BFBFBF" w:themeColor="background1" w:themeShade="BF"/>
              <w:right w:val="nil"/>
            </w:tcBorders>
            <w:shd w:val="clear" w:color="auto" w:fill="auto"/>
            <w:vAlign w:val="bottom"/>
          </w:tcPr>
          <w:p w14:paraId="02F601C0" w14:textId="79020AA2" w:rsidR="009A0FB8" w:rsidRPr="00B4048A" w:rsidRDefault="009A0FB8" w:rsidP="009A0FB8">
            <w:pPr>
              <w:pStyle w:val="TableBody"/>
              <w:ind w:right="57"/>
              <w:jc w:val="right"/>
              <w:rPr>
                <w:rFonts w:ascii="Arial" w:hAnsi="Arial" w:cs="Arial"/>
                <w:b/>
                <w:bCs/>
              </w:rPr>
            </w:pPr>
            <w:r w:rsidRPr="00B4048A">
              <w:rPr>
                <w:rFonts w:ascii="Arial" w:hAnsi="Arial" w:cs="Arial"/>
                <w:b/>
                <w:bCs/>
                <w:color w:val="000000"/>
                <w:sz w:val="20"/>
              </w:rPr>
              <w:t>0.2</w:t>
            </w:r>
          </w:p>
        </w:tc>
        <w:tc>
          <w:tcPr>
            <w:tcW w:w="1418" w:type="dxa"/>
            <w:tcBorders>
              <w:top w:val="nil"/>
              <w:left w:val="nil"/>
              <w:bottom w:val="single" w:sz="6" w:space="0" w:color="BFBFBF" w:themeColor="background1" w:themeShade="BF"/>
              <w:right w:val="nil"/>
            </w:tcBorders>
            <w:shd w:val="clear" w:color="auto" w:fill="auto"/>
            <w:vAlign w:val="bottom"/>
          </w:tcPr>
          <w:p w14:paraId="32ADD9D3" w14:textId="79CF1373" w:rsidR="009A0FB8" w:rsidRPr="00B4048A" w:rsidRDefault="009A0FB8" w:rsidP="009A0FB8">
            <w:pPr>
              <w:pStyle w:val="TableBody"/>
              <w:ind w:right="57"/>
              <w:jc w:val="right"/>
              <w:rPr>
                <w:rFonts w:ascii="Arial" w:hAnsi="Arial" w:cs="Arial"/>
                <w:b/>
                <w:bCs/>
              </w:rPr>
            </w:pPr>
            <w:r w:rsidRPr="00B4048A">
              <w:rPr>
                <w:rFonts w:ascii="Arial" w:hAnsi="Arial" w:cs="Arial"/>
                <w:b/>
                <w:bCs/>
                <w:color w:val="000000"/>
                <w:sz w:val="20"/>
              </w:rPr>
              <w:t>0.2</w:t>
            </w:r>
          </w:p>
        </w:tc>
        <w:tc>
          <w:tcPr>
            <w:tcW w:w="1701" w:type="dxa"/>
            <w:tcBorders>
              <w:top w:val="nil"/>
              <w:left w:val="nil"/>
              <w:bottom w:val="single" w:sz="6" w:space="0" w:color="BFBFBF" w:themeColor="background1" w:themeShade="BF"/>
              <w:right w:val="nil"/>
            </w:tcBorders>
            <w:shd w:val="clear" w:color="auto" w:fill="auto"/>
            <w:vAlign w:val="bottom"/>
          </w:tcPr>
          <w:p w14:paraId="528A3A89" w14:textId="24925D3D" w:rsidR="009A0FB8" w:rsidRPr="00B4048A" w:rsidRDefault="009A0FB8" w:rsidP="009A0FB8">
            <w:pPr>
              <w:pStyle w:val="TableBody"/>
              <w:ind w:right="57"/>
              <w:jc w:val="right"/>
              <w:rPr>
                <w:rFonts w:ascii="Arial" w:hAnsi="Arial" w:cs="Arial"/>
                <w:b/>
                <w:bCs/>
              </w:rPr>
            </w:pPr>
            <w:r w:rsidRPr="00B4048A">
              <w:rPr>
                <w:rFonts w:ascii="Arial" w:hAnsi="Arial" w:cs="Arial"/>
                <w:b/>
                <w:bCs/>
                <w:color w:val="000000"/>
                <w:sz w:val="20"/>
              </w:rPr>
              <w:t>0.8</w:t>
            </w:r>
          </w:p>
        </w:tc>
      </w:tr>
    </w:tbl>
    <w:p w14:paraId="0E7F3CC4" w14:textId="77777777" w:rsidR="005570A1" w:rsidRPr="00A356C2" w:rsidRDefault="005570A1" w:rsidP="005570A1">
      <w:pPr>
        <w:pStyle w:val="Note"/>
        <w:rPr>
          <w:rFonts w:ascii="Segoe UI" w:eastAsia="Times New Roman" w:hAnsi="Segoe UI" w:cs="Segoe UI"/>
          <w:szCs w:val="18"/>
          <w:lang w:eastAsia="en-AU"/>
        </w:rPr>
      </w:pPr>
      <w:r w:rsidRPr="00B4048A">
        <w:rPr>
          <w:rFonts w:ascii="Arial" w:eastAsia="Times New Roman" w:hAnsi="Arial" w:cs="Arial"/>
          <w:b/>
          <w:szCs w:val="18"/>
          <w:lang w:eastAsia="en-AU"/>
        </w:rPr>
        <w:t>a.</w:t>
      </w:r>
      <w:r w:rsidRPr="00B4048A">
        <w:rPr>
          <w:rFonts w:ascii="Arial" w:eastAsia="Times New Roman" w:hAnsi="Arial" w:cs="Arial"/>
          <w:szCs w:val="18"/>
          <w:lang w:eastAsia="en-AU"/>
        </w:rPr>
        <w:t xml:space="preserve"> Some figures will not appear to add correctly due to rounding to one decimal place. Gross value</w:t>
      </w:r>
      <w:r w:rsidRPr="00A356C2">
        <w:rPr>
          <w:rFonts w:ascii="Arial" w:eastAsia="Times New Roman" w:hAnsi="Arial" w:cs="Arial"/>
          <w:szCs w:val="18"/>
          <w:lang w:eastAsia="en-AU"/>
        </w:rPr>
        <w:t xml:space="preserv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6E35CC39" w:rsidR="005570A1" w:rsidRPr="007C50FB" w:rsidRDefault="005570A1" w:rsidP="004B5789">
      <w:pPr>
        <w:pStyle w:val="Source"/>
        <w:rPr>
          <w:lang w:eastAsia="en-AU"/>
        </w:rPr>
      </w:pPr>
      <w:r w:rsidRPr="00A356C2">
        <w:rPr>
          <w:lang w:eastAsia="en-AU"/>
        </w:rPr>
        <w:t xml:space="preserve">Sources: </w:t>
      </w:r>
      <w:r w:rsidR="00091461">
        <w:rPr>
          <w:lang w:eastAsia="en-AU"/>
        </w:rPr>
        <w:t>Commission e</w:t>
      </w:r>
      <w:r w:rsidRPr="00A356C2">
        <w:rPr>
          <w:lang w:eastAsia="en-AU"/>
        </w:rPr>
        <w:t xml:space="preserve">stimates based on: </w:t>
      </w:r>
      <w:r w:rsidR="00091461">
        <w:rPr>
          <w:lang w:eastAsia="en-AU"/>
        </w:rPr>
        <w:t>ABS</w:t>
      </w:r>
      <w:r w:rsidR="00F27E72">
        <w:rPr>
          <w:lang w:eastAsia="en-AU"/>
        </w:rPr>
        <w:t xml:space="preserve"> </w:t>
      </w:r>
      <w:r w:rsidR="00091461">
        <w:rPr>
          <w:lang w:eastAsia="en-AU"/>
        </w:rPr>
        <w:t>(</w:t>
      </w:r>
      <w:r w:rsidR="009C755C">
        <w:t>202</w:t>
      </w:r>
      <w:r w:rsidR="00C140A6">
        <w:t>4</w:t>
      </w:r>
      <w:r w:rsidR="009C755C">
        <w:t xml:space="preserve">, </w:t>
      </w:r>
      <w:r w:rsidR="009C755C" w:rsidRPr="00EE6BEF">
        <w:rPr>
          <w:i/>
          <w:iCs/>
        </w:rPr>
        <w:t>Australian National Accounts: National Income, Expenditure and Product</w:t>
      </w:r>
      <w:r w:rsidR="009C755C">
        <w:t xml:space="preserve">, </w:t>
      </w:r>
      <w:r w:rsidR="00D43D0F">
        <w:t>March</w:t>
      </w:r>
      <w:r w:rsidR="009C755C">
        <w:t xml:space="preserve"> 202</w:t>
      </w:r>
      <w:r w:rsidR="00D43D0F">
        <w:t>4</w:t>
      </w:r>
      <w:r w:rsidR="009C755C">
        <w:t>, Cat. no.5206</w:t>
      </w:r>
      <w:r w:rsidR="00B87282">
        <w:t>.</w:t>
      </w:r>
      <w:r w:rsidR="009C755C">
        <w:t>0, table 1</w:t>
      </w:r>
      <w:r w:rsidR="00BD721F">
        <w:t>)</w:t>
      </w:r>
      <w:r w:rsidRPr="00A356C2">
        <w:rPr>
          <w:lang w:eastAsia="en-AU"/>
        </w:rPr>
        <w:t>. </w:t>
      </w:r>
    </w:p>
    <w:p w14:paraId="67C4619A" w14:textId="3DE40DC7" w:rsidR="005570A1" w:rsidRDefault="00C541CF" w:rsidP="004B5789">
      <w:pPr>
        <w:pStyle w:val="FigureTableHeading"/>
        <w:rPr>
          <w:rFonts w:ascii="Segoe UI" w:hAnsi="Segoe UI"/>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 per cent</w:t>
      </w:r>
    </w:p>
    <w:tbl>
      <w:tblPr>
        <w:tblW w:w="94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567"/>
        <w:gridCol w:w="992"/>
        <w:gridCol w:w="709"/>
        <w:gridCol w:w="709"/>
        <w:gridCol w:w="992"/>
        <w:gridCol w:w="709"/>
        <w:gridCol w:w="708"/>
        <w:gridCol w:w="993"/>
      </w:tblGrid>
      <w:tr w:rsidR="005570A1" w:rsidRPr="00C12CAD" w14:paraId="331FC0B2" w14:textId="77777777" w:rsidTr="009D7EDF">
        <w:trPr>
          <w:trHeight w:val="300"/>
          <w:tblHeader/>
        </w:trPr>
        <w:tc>
          <w:tcPr>
            <w:tcW w:w="2408" w:type="dxa"/>
            <w:tcBorders>
              <w:top w:val="nil"/>
              <w:left w:val="nil"/>
              <w:bottom w:val="nil"/>
              <w:right w:val="nil"/>
            </w:tcBorders>
            <w:shd w:val="clear" w:color="auto" w:fill="auto"/>
            <w:vAlign w:val="bottom"/>
            <w:hideMark/>
          </w:tcPr>
          <w:p w14:paraId="73E14EBF" w14:textId="77777777" w:rsidR="005570A1" w:rsidRPr="00C12CAD" w:rsidRDefault="005570A1" w:rsidP="00C12CAD">
            <w:pPr>
              <w:spacing w:before="0" w:after="0" w:line="240" w:lineRule="auto"/>
              <w:ind w:right="57"/>
              <w:textAlignment w:val="baseline"/>
              <w:rPr>
                <w:rFonts w:ascii="Arial" w:eastAsia="Times New Roman" w:hAnsi="Arial" w:cs="Arial"/>
                <w:sz w:val="18"/>
                <w:szCs w:val="18"/>
                <w:lang w:eastAsia="en-AU"/>
              </w:rPr>
            </w:pPr>
            <w:r w:rsidRPr="00C12CAD">
              <w:rPr>
                <w:rFonts w:ascii="Arial" w:eastAsia="Times New Roman" w:hAnsi="Arial" w:cs="Arial"/>
                <w:color w:val="265A9A"/>
                <w:sz w:val="18"/>
                <w:szCs w:val="18"/>
                <w:lang w:eastAsia="en-AU"/>
              </w:rPr>
              <w:t> </w:t>
            </w:r>
          </w:p>
        </w:tc>
        <w:tc>
          <w:tcPr>
            <w:tcW w:w="2270" w:type="dxa"/>
            <w:gridSpan w:val="3"/>
            <w:tcBorders>
              <w:top w:val="nil"/>
              <w:left w:val="nil"/>
              <w:bottom w:val="single" w:sz="6" w:space="0" w:color="BFBFBF" w:themeColor="background1" w:themeShade="BF"/>
              <w:right w:val="single" w:sz="12" w:space="0" w:color="FFFFFF" w:themeColor="background1"/>
            </w:tcBorders>
            <w:shd w:val="clear" w:color="auto" w:fill="auto"/>
            <w:vAlign w:val="bottom"/>
            <w:hideMark/>
          </w:tcPr>
          <w:p w14:paraId="2596F49E" w14:textId="7FFF4D1A" w:rsidR="005570A1" w:rsidRPr="00C12CAD" w:rsidRDefault="005570A1" w:rsidP="00C12CAD">
            <w:pPr>
              <w:pStyle w:val="TableHeading"/>
              <w:ind w:right="57"/>
              <w:jc w:val="center"/>
              <w:rPr>
                <w:rFonts w:ascii="Arial" w:hAnsi="Arial" w:cs="Arial"/>
                <w:szCs w:val="18"/>
                <w:lang w:eastAsia="en-AU"/>
              </w:rPr>
            </w:pPr>
            <w:r w:rsidRPr="00C12CAD">
              <w:rPr>
                <w:rFonts w:ascii="Arial" w:hAnsi="Arial" w:cs="Arial"/>
                <w:szCs w:val="18"/>
                <w:lang w:eastAsia="en-AU"/>
              </w:rPr>
              <w:t xml:space="preserve">Labour </w:t>
            </w:r>
            <w:r w:rsidR="00390DEA">
              <w:rPr>
                <w:rFonts w:ascii="Arial" w:hAnsi="Arial" w:cs="Arial"/>
                <w:szCs w:val="18"/>
                <w:lang w:eastAsia="en-AU"/>
              </w:rPr>
              <w:t>p</w:t>
            </w:r>
            <w:r w:rsidRPr="00C12CAD">
              <w:rPr>
                <w:rFonts w:ascii="Arial" w:hAnsi="Arial" w:cs="Arial"/>
                <w:szCs w:val="18"/>
                <w:lang w:eastAsia="en-AU"/>
              </w:rPr>
              <w:t>roductivity</w:t>
            </w:r>
          </w:p>
        </w:tc>
        <w:tc>
          <w:tcPr>
            <w:tcW w:w="2410" w:type="dxa"/>
            <w:gridSpan w:val="3"/>
            <w:tcBorders>
              <w:top w:val="nil"/>
              <w:left w:val="single" w:sz="12" w:space="0" w:color="FFFFFF" w:themeColor="background1"/>
              <w:bottom w:val="single" w:sz="6" w:space="0" w:color="BFBFBF" w:themeColor="background1" w:themeShade="BF"/>
              <w:right w:val="single" w:sz="12" w:space="0" w:color="FFFFFF" w:themeColor="background1"/>
            </w:tcBorders>
            <w:shd w:val="clear" w:color="auto" w:fill="auto"/>
            <w:vAlign w:val="bottom"/>
            <w:hideMark/>
          </w:tcPr>
          <w:p w14:paraId="2B33155C" w14:textId="77777777" w:rsidR="005570A1" w:rsidRPr="00C12CAD" w:rsidRDefault="005570A1" w:rsidP="00C12CAD">
            <w:pPr>
              <w:pStyle w:val="TableHeading"/>
              <w:ind w:right="57"/>
              <w:jc w:val="center"/>
              <w:rPr>
                <w:rFonts w:ascii="Arial" w:hAnsi="Arial" w:cs="Arial"/>
                <w:szCs w:val="18"/>
                <w:lang w:eastAsia="en-AU"/>
              </w:rPr>
            </w:pPr>
            <w:r w:rsidRPr="00C12CAD">
              <w:rPr>
                <w:rFonts w:ascii="Arial" w:hAnsi="Arial" w:cs="Arial"/>
                <w:szCs w:val="18"/>
                <w:lang w:eastAsia="en-AU"/>
              </w:rPr>
              <w:t>GVA</w:t>
            </w:r>
          </w:p>
        </w:tc>
        <w:tc>
          <w:tcPr>
            <w:tcW w:w="2410" w:type="dxa"/>
            <w:gridSpan w:val="3"/>
            <w:tcBorders>
              <w:top w:val="nil"/>
              <w:left w:val="single" w:sz="12" w:space="0" w:color="FFFFFF" w:themeColor="background1"/>
              <w:bottom w:val="single" w:sz="6" w:space="0" w:color="BFBFBF" w:themeColor="background1" w:themeShade="BF"/>
              <w:right w:val="nil"/>
            </w:tcBorders>
            <w:vAlign w:val="bottom"/>
          </w:tcPr>
          <w:p w14:paraId="61C73A98" w14:textId="77777777" w:rsidR="005570A1" w:rsidRPr="00C12CAD" w:rsidRDefault="005570A1" w:rsidP="00C12CAD">
            <w:pPr>
              <w:pStyle w:val="TableHeading"/>
              <w:ind w:right="57"/>
              <w:jc w:val="center"/>
              <w:rPr>
                <w:rFonts w:ascii="Arial" w:hAnsi="Arial" w:cs="Arial"/>
                <w:szCs w:val="18"/>
                <w:lang w:eastAsia="en-AU"/>
              </w:rPr>
            </w:pPr>
            <w:r w:rsidRPr="00C12CAD">
              <w:rPr>
                <w:rFonts w:ascii="Arial" w:hAnsi="Arial" w:cs="Arial"/>
                <w:szCs w:val="18"/>
                <w:lang w:eastAsia="en-AU"/>
              </w:rPr>
              <w:t>Hours worked</w:t>
            </w:r>
          </w:p>
        </w:tc>
      </w:tr>
      <w:tr w:rsidR="006B30DF" w:rsidRPr="00C12CAD" w14:paraId="48BD08A1" w14:textId="77777777" w:rsidTr="00954438">
        <w:trPr>
          <w:trHeight w:val="300"/>
          <w:tblHeader/>
        </w:trPr>
        <w:tc>
          <w:tcPr>
            <w:tcW w:w="2408" w:type="dxa"/>
            <w:tcBorders>
              <w:top w:val="nil"/>
              <w:left w:val="nil"/>
              <w:bottom w:val="single" w:sz="6" w:space="0" w:color="BFBFBF" w:themeColor="background1" w:themeShade="BF"/>
              <w:right w:val="nil"/>
            </w:tcBorders>
            <w:shd w:val="clear" w:color="auto" w:fill="auto"/>
            <w:vAlign w:val="bottom"/>
            <w:hideMark/>
          </w:tcPr>
          <w:p w14:paraId="64304095" w14:textId="77777777" w:rsidR="006B30DF" w:rsidRPr="00C12CAD" w:rsidRDefault="006B30DF" w:rsidP="00C12CAD">
            <w:pPr>
              <w:pStyle w:val="TableHeading"/>
              <w:spacing w:after="4"/>
              <w:ind w:right="57"/>
              <w:rPr>
                <w:rFonts w:ascii="Arial" w:eastAsia="Times New Roman" w:hAnsi="Arial" w:cs="Arial"/>
                <w:szCs w:val="18"/>
                <w:lang w:eastAsia="en-AU"/>
              </w:rPr>
            </w:pPr>
            <w:r w:rsidRPr="00C12CAD">
              <w:rPr>
                <w:rFonts w:ascii="Arial" w:hAnsi="Arial" w:cs="Arial"/>
                <w:szCs w:val="18"/>
                <w:lang w:eastAsia="en-AU"/>
              </w:rPr>
              <w:t xml:space="preserve">All 19 </w:t>
            </w:r>
            <w:r w:rsidRPr="00C12CAD">
              <w:rPr>
                <w:rFonts w:ascii="Arial" w:eastAsia="Times New Roman" w:hAnsi="Arial" w:cs="Arial"/>
                <w:szCs w:val="18"/>
                <w:lang w:eastAsia="en-AU"/>
              </w:rPr>
              <w:t>industries</w:t>
            </w:r>
          </w:p>
        </w:tc>
        <w:tc>
          <w:tcPr>
            <w:tcW w:w="711" w:type="dxa"/>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2A2A7EC1" w14:textId="0B7E9DC8"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Q1</w:t>
            </w:r>
            <w:r w:rsidRPr="00C12CAD">
              <w:rPr>
                <w:rFonts w:ascii="Arial" w:eastAsia="Times New Roman" w:hAnsi="Arial" w:cs="Arial"/>
                <w:szCs w:val="18"/>
                <w:lang w:eastAsia="en-AU"/>
              </w:rPr>
              <w:t xml:space="preserve"> 2024</w:t>
            </w:r>
          </w:p>
        </w:tc>
        <w:tc>
          <w:tcPr>
            <w:tcW w:w="567"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B4D77CC" w14:textId="33837248"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Q</w:t>
            </w:r>
            <w:r w:rsidR="00B736E4" w:rsidRPr="00C12CAD">
              <w:rPr>
                <w:rFonts w:ascii="Arial" w:eastAsia="Times New Roman" w:hAnsi="Arial" w:cs="Arial"/>
                <w:szCs w:val="18"/>
                <w:lang w:eastAsia="en-AU"/>
              </w:rPr>
              <w:t>4</w:t>
            </w:r>
            <w:r w:rsidRPr="00C12CAD">
              <w:rPr>
                <w:rFonts w:ascii="Arial" w:eastAsia="Times New Roman" w:hAnsi="Arial" w:cs="Arial"/>
                <w:szCs w:val="18"/>
                <w:lang w:eastAsia="en-AU"/>
              </w:rPr>
              <w:t xml:space="preserve"> 2023</w:t>
            </w:r>
          </w:p>
        </w:tc>
        <w:tc>
          <w:tcPr>
            <w:tcW w:w="992" w:type="dxa"/>
            <w:tcBorders>
              <w:top w:val="single" w:sz="6" w:space="0" w:color="BFBFBF" w:themeColor="background1" w:themeShade="BF"/>
              <w:left w:val="nil"/>
              <w:bottom w:val="single" w:sz="6" w:space="0" w:color="BFBFBF" w:themeColor="background1" w:themeShade="BF"/>
              <w:right w:val="single" w:sz="12" w:space="0" w:color="FFFFFF" w:themeColor="background1"/>
            </w:tcBorders>
            <w:shd w:val="clear" w:color="auto" w:fill="auto"/>
            <w:vAlign w:val="bottom"/>
          </w:tcPr>
          <w:p w14:paraId="25F9A41A" w14:textId="77777777"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 xml:space="preserve">Average </w:t>
            </w:r>
            <w:r w:rsidRPr="00C12CAD">
              <w:rPr>
                <w:rFonts w:ascii="Arial" w:eastAsia="Times New Roman" w:hAnsi="Arial" w:cs="Arial"/>
                <w:szCs w:val="18"/>
                <w:lang w:eastAsia="en-AU"/>
              </w:rPr>
              <w:t>quarterly change (Annual)</w:t>
            </w:r>
          </w:p>
        </w:tc>
        <w:tc>
          <w:tcPr>
            <w:tcW w:w="709" w:type="dxa"/>
            <w:tcBorders>
              <w:top w:val="single" w:sz="6" w:space="0" w:color="BFBFBF" w:themeColor="background1" w:themeShade="BF"/>
              <w:left w:val="single" w:sz="12" w:space="0" w:color="FFFFFF" w:themeColor="background1"/>
              <w:bottom w:val="single" w:sz="6" w:space="0" w:color="BFBFBF" w:themeColor="background1" w:themeShade="BF"/>
              <w:right w:val="nil"/>
            </w:tcBorders>
            <w:shd w:val="clear" w:color="auto" w:fill="auto"/>
            <w:vAlign w:val="bottom"/>
            <w:hideMark/>
          </w:tcPr>
          <w:p w14:paraId="75194EDC" w14:textId="7D390E11"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Q1</w:t>
            </w:r>
            <w:r w:rsidRPr="00C12CAD">
              <w:rPr>
                <w:rFonts w:ascii="Arial" w:eastAsia="Times New Roman" w:hAnsi="Arial" w:cs="Arial"/>
                <w:szCs w:val="18"/>
                <w:lang w:eastAsia="en-AU"/>
              </w:rPr>
              <w:t xml:space="preserve"> 2024</w:t>
            </w:r>
          </w:p>
        </w:tc>
        <w:tc>
          <w:tcPr>
            <w:tcW w:w="709"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66F350D2" w14:textId="71ED24FC"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Q</w:t>
            </w:r>
            <w:r w:rsidR="00D364DA" w:rsidRPr="00C12CAD">
              <w:rPr>
                <w:rFonts w:ascii="Arial" w:eastAsia="Times New Roman" w:hAnsi="Arial" w:cs="Arial"/>
                <w:szCs w:val="18"/>
                <w:lang w:eastAsia="en-AU"/>
              </w:rPr>
              <w:t>4</w:t>
            </w:r>
            <w:r w:rsidRPr="00C12CAD">
              <w:rPr>
                <w:rFonts w:ascii="Arial" w:eastAsia="Times New Roman" w:hAnsi="Arial" w:cs="Arial"/>
                <w:szCs w:val="18"/>
                <w:lang w:eastAsia="en-AU"/>
              </w:rPr>
              <w:t xml:space="preserve"> 2023</w:t>
            </w:r>
          </w:p>
        </w:tc>
        <w:tc>
          <w:tcPr>
            <w:tcW w:w="992" w:type="dxa"/>
            <w:tcBorders>
              <w:top w:val="single" w:sz="6" w:space="0" w:color="BFBFBF" w:themeColor="background1" w:themeShade="BF"/>
              <w:left w:val="nil"/>
              <w:bottom w:val="single" w:sz="6" w:space="0" w:color="BFBFBF" w:themeColor="background1" w:themeShade="BF"/>
              <w:right w:val="single" w:sz="12" w:space="0" w:color="FFFFFF" w:themeColor="background1"/>
            </w:tcBorders>
            <w:shd w:val="clear" w:color="auto" w:fill="auto"/>
            <w:vAlign w:val="bottom"/>
          </w:tcPr>
          <w:p w14:paraId="1F706EB8" w14:textId="77777777"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Average quarterly change (Annual)</w:t>
            </w:r>
          </w:p>
        </w:tc>
        <w:tc>
          <w:tcPr>
            <w:tcW w:w="709" w:type="dxa"/>
            <w:tcBorders>
              <w:top w:val="single" w:sz="6" w:space="0" w:color="BFBFBF" w:themeColor="background1" w:themeShade="BF"/>
              <w:left w:val="single" w:sz="12" w:space="0" w:color="FFFFFF" w:themeColor="background1"/>
              <w:bottom w:val="single" w:sz="6" w:space="0" w:color="BFBFBF" w:themeColor="background1" w:themeShade="BF"/>
              <w:right w:val="nil"/>
            </w:tcBorders>
            <w:shd w:val="clear" w:color="auto" w:fill="auto"/>
            <w:vAlign w:val="bottom"/>
          </w:tcPr>
          <w:p w14:paraId="375447EF" w14:textId="723B6DEB"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Q1</w:t>
            </w:r>
            <w:r w:rsidRPr="00C12CAD">
              <w:rPr>
                <w:rFonts w:ascii="Arial" w:eastAsia="Times New Roman" w:hAnsi="Arial" w:cs="Arial"/>
                <w:szCs w:val="18"/>
                <w:lang w:eastAsia="en-AU"/>
              </w:rPr>
              <w:t xml:space="preserve"> 2024</w:t>
            </w:r>
          </w:p>
        </w:tc>
        <w:tc>
          <w:tcPr>
            <w:tcW w:w="708"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758736B" w14:textId="658312D4"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Q</w:t>
            </w:r>
            <w:r w:rsidR="00D364DA" w:rsidRPr="00C12CAD">
              <w:rPr>
                <w:rFonts w:ascii="Arial" w:eastAsia="Times New Roman" w:hAnsi="Arial" w:cs="Arial"/>
                <w:szCs w:val="18"/>
                <w:lang w:eastAsia="en-AU"/>
              </w:rPr>
              <w:t>4</w:t>
            </w:r>
            <w:r w:rsidRPr="00C12CAD">
              <w:rPr>
                <w:rFonts w:ascii="Arial" w:eastAsia="Times New Roman" w:hAnsi="Arial" w:cs="Arial"/>
                <w:szCs w:val="18"/>
                <w:lang w:eastAsia="en-AU"/>
              </w:rPr>
              <w:t xml:space="preserve"> 2023</w:t>
            </w:r>
          </w:p>
        </w:tc>
        <w:tc>
          <w:tcPr>
            <w:tcW w:w="993"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5750904F" w14:textId="77777777" w:rsidR="006B30DF" w:rsidRPr="00C12CAD" w:rsidRDefault="006B30DF" w:rsidP="00C12CAD">
            <w:pPr>
              <w:pStyle w:val="TableHeading"/>
              <w:spacing w:after="4"/>
              <w:ind w:right="57"/>
              <w:jc w:val="right"/>
              <w:rPr>
                <w:rFonts w:ascii="Arial" w:eastAsia="Times New Roman" w:hAnsi="Arial" w:cs="Arial"/>
                <w:szCs w:val="18"/>
                <w:lang w:eastAsia="en-AU"/>
              </w:rPr>
            </w:pPr>
            <w:r w:rsidRPr="00C12CAD">
              <w:rPr>
                <w:rFonts w:ascii="Arial" w:hAnsi="Arial" w:cs="Arial"/>
                <w:szCs w:val="18"/>
                <w:lang w:eastAsia="en-AU"/>
              </w:rPr>
              <w:t>Average quarterly change (Annual)</w:t>
            </w:r>
          </w:p>
        </w:tc>
      </w:tr>
      <w:tr w:rsidR="006B30DF" w:rsidRPr="00C12CAD" w14:paraId="084CA75E" w14:textId="77777777" w:rsidTr="00954438">
        <w:trPr>
          <w:trHeight w:val="47"/>
        </w:trPr>
        <w:tc>
          <w:tcPr>
            <w:tcW w:w="2408" w:type="dxa"/>
            <w:tcBorders>
              <w:top w:val="single" w:sz="6" w:space="0" w:color="BFBFBF" w:themeColor="background1" w:themeShade="BF"/>
              <w:left w:val="nil"/>
              <w:bottom w:val="nil"/>
              <w:right w:val="nil"/>
            </w:tcBorders>
            <w:shd w:val="clear" w:color="auto" w:fill="F2F2F2" w:themeFill="background1" w:themeFillShade="F2"/>
            <w:vAlign w:val="center"/>
            <w:hideMark/>
          </w:tcPr>
          <w:p w14:paraId="1700F1D7" w14:textId="77777777" w:rsidR="006B30DF" w:rsidRPr="00C12CAD" w:rsidRDefault="006B30DF" w:rsidP="00C12CAD">
            <w:pPr>
              <w:pStyle w:val="TableBody"/>
              <w:ind w:right="57"/>
              <w:rPr>
                <w:rFonts w:ascii="Arial" w:eastAsia="Times New Roman" w:hAnsi="Arial" w:cs="Arial"/>
                <w:szCs w:val="18"/>
                <w:lang w:eastAsia="en-AU"/>
              </w:rPr>
            </w:pPr>
            <w:r w:rsidRPr="00C12CAD">
              <w:rPr>
                <w:rFonts w:ascii="Arial" w:hAnsi="Arial" w:cs="Arial"/>
                <w:color w:val="000000"/>
                <w:szCs w:val="18"/>
              </w:rPr>
              <w:t>Agriculture, forestry and fishing</w:t>
            </w:r>
          </w:p>
        </w:tc>
        <w:tc>
          <w:tcPr>
            <w:tcW w:w="711" w:type="dxa"/>
            <w:tcBorders>
              <w:top w:val="single" w:sz="6" w:space="0" w:color="BFBFBF" w:themeColor="background1" w:themeShade="BF"/>
              <w:left w:val="nil"/>
              <w:bottom w:val="nil"/>
              <w:right w:val="nil"/>
            </w:tcBorders>
            <w:shd w:val="clear" w:color="auto" w:fill="F2F2F2" w:themeFill="background1" w:themeFillShade="F2"/>
            <w:vAlign w:val="bottom"/>
          </w:tcPr>
          <w:p w14:paraId="1A4A876B" w14:textId="707473A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567" w:type="dxa"/>
            <w:tcBorders>
              <w:top w:val="single" w:sz="6" w:space="0" w:color="BFBFBF" w:themeColor="background1" w:themeShade="BF"/>
              <w:left w:val="nil"/>
              <w:bottom w:val="nil"/>
              <w:right w:val="nil"/>
            </w:tcBorders>
            <w:shd w:val="clear" w:color="auto" w:fill="F2F2F2" w:themeFill="background1" w:themeFillShade="F2"/>
            <w:vAlign w:val="bottom"/>
          </w:tcPr>
          <w:p w14:paraId="3839E432" w14:textId="24D4A1E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-5.8</w:t>
            </w:r>
          </w:p>
        </w:tc>
        <w:tc>
          <w:tcPr>
            <w:tcW w:w="992" w:type="dxa"/>
            <w:tcBorders>
              <w:top w:val="single" w:sz="6" w:space="0" w:color="BFBFBF" w:themeColor="background1" w:themeShade="BF"/>
              <w:left w:val="nil"/>
              <w:bottom w:val="nil"/>
              <w:right w:val="nil"/>
            </w:tcBorders>
            <w:shd w:val="clear" w:color="auto" w:fill="F2F2F2" w:themeFill="background1" w:themeFillShade="F2"/>
            <w:vAlign w:val="bottom"/>
          </w:tcPr>
          <w:p w14:paraId="1FF42137" w14:textId="637DF95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-3.5</w:t>
            </w:r>
          </w:p>
        </w:tc>
        <w:tc>
          <w:tcPr>
            <w:tcW w:w="709" w:type="dxa"/>
            <w:tcBorders>
              <w:top w:val="single" w:sz="6" w:space="0" w:color="BFBFBF" w:themeColor="background1" w:themeShade="BF"/>
              <w:left w:val="nil"/>
              <w:bottom w:val="nil"/>
              <w:right w:val="nil"/>
            </w:tcBorders>
            <w:shd w:val="clear" w:color="auto" w:fill="F2F2F2" w:themeFill="background1" w:themeFillShade="F2"/>
            <w:vAlign w:val="bottom"/>
          </w:tcPr>
          <w:p w14:paraId="73AB06A8" w14:textId="27ABAA0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9" w:type="dxa"/>
            <w:tcBorders>
              <w:top w:val="single" w:sz="6" w:space="0" w:color="BFBFBF" w:themeColor="background1" w:themeShade="BF"/>
              <w:left w:val="nil"/>
              <w:bottom w:val="nil"/>
              <w:right w:val="nil"/>
            </w:tcBorders>
            <w:shd w:val="clear" w:color="auto" w:fill="F2F2F2" w:themeFill="background1" w:themeFillShade="F2"/>
            <w:vAlign w:val="bottom"/>
          </w:tcPr>
          <w:p w14:paraId="032B4668" w14:textId="47D8CE0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-5.0</w:t>
            </w:r>
          </w:p>
        </w:tc>
        <w:tc>
          <w:tcPr>
            <w:tcW w:w="992" w:type="dxa"/>
            <w:tcBorders>
              <w:top w:val="single" w:sz="6" w:space="0" w:color="BFBFBF" w:themeColor="background1" w:themeShade="BF"/>
              <w:left w:val="nil"/>
              <w:bottom w:val="nil"/>
              <w:right w:val="nil"/>
            </w:tcBorders>
            <w:shd w:val="clear" w:color="auto" w:fill="F2F2F2" w:themeFill="background1" w:themeFillShade="F2"/>
            <w:vAlign w:val="bottom"/>
          </w:tcPr>
          <w:p w14:paraId="2E38C27F" w14:textId="106C7AD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-2.1</w:t>
            </w:r>
          </w:p>
        </w:tc>
        <w:tc>
          <w:tcPr>
            <w:tcW w:w="709" w:type="dxa"/>
            <w:tcBorders>
              <w:top w:val="single" w:sz="6" w:space="0" w:color="BFBFBF" w:themeColor="background1" w:themeShade="BF"/>
              <w:left w:val="nil"/>
              <w:bottom w:val="nil"/>
              <w:right w:val="nil"/>
            </w:tcBorders>
            <w:shd w:val="clear" w:color="auto" w:fill="F2F2F2" w:themeFill="background1" w:themeFillShade="F2"/>
            <w:vAlign w:val="bottom"/>
          </w:tcPr>
          <w:p w14:paraId="528A5D40" w14:textId="4BECE0A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1.2</w:t>
            </w:r>
          </w:p>
        </w:tc>
        <w:tc>
          <w:tcPr>
            <w:tcW w:w="708" w:type="dxa"/>
            <w:tcBorders>
              <w:top w:val="single" w:sz="6" w:space="0" w:color="BFBFBF" w:themeColor="background1" w:themeShade="BF"/>
              <w:left w:val="nil"/>
              <w:bottom w:val="nil"/>
              <w:right w:val="nil"/>
            </w:tcBorders>
            <w:shd w:val="clear" w:color="auto" w:fill="F2F2F2" w:themeFill="background1" w:themeFillShade="F2"/>
            <w:vAlign w:val="bottom"/>
          </w:tcPr>
          <w:p w14:paraId="21284C4C" w14:textId="4508D9E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0.9</w:t>
            </w:r>
          </w:p>
        </w:tc>
        <w:tc>
          <w:tcPr>
            <w:tcW w:w="993" w:type="dxa"/>
            <w:tcBorders>
              <w:top w:val="single" w:sz="6" w:space="0" w:color="BFBFBF" w:themeColor="background1" w:themeShade="BF"/>
              <w:left w:val="nil"/>
              <w:bottom w:val="nil"/>
              <w:right w:val="nil"/>
            </w:tcBorders>
            <w:shd w:val="clear" w:color="auto" w:fill="F2F2F2" w:themeFill="background1" w:themeFillShade="F2"/>
            <w:vAlign w:val="bottom"/>
          </w:tcPr>
          <w:p w14:paraId="2203D69A" w14:textId="378AA6C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r>
      <w:tr w:rsidR="006B30DF" w:rsidRPr="00C12CAD" w14:paraId="32649343" w14:textId="77777777" w:rsidTr="00954438">
        <w:trPr>
          <w:trHeight w:val="47"/>
        </w:trPr>
        <w:tc>
          <w:tcPr>
            <w:tcW w:w="2408" w:type="dxa"/>
            <w:tcBorders>
              <w:top w:val="nil"/>
              <w:left w:val="nil"/>
              <w:bottom w:val="nil"/>
              <w:right w:val="nil"/>
            </w:tcBorders>
            <w:shd w:val="clear" w:color="auto" w:fill="FFFFFF" w:themeFill="background1"/>
            <w:vAlign w:val="center"/>
          </w:tcPr>
          <w:p w14:paraId="7FBD7751"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Mining</w:t>
            </w:r>
          </w:p>
        </w:tc>
        <w:tc>
          <w:tcPr>
            <w:tcW w:w="711" w:type="dxa"/>
            <w:tcBorders>
              <w:top w:val="nil"/>
              <w:left w:val="nil"/>
              <w:bottom w:val="nil"/>
              <w:right w:val="nil"/>
            </w:tcBorders>
            <w:shd w:val="clear" w:color="auto" w:fill="auto"/>
            <w:vAlign w:val="bottom"/>
          </w:tcPr>
          <w:p w14:paraId="22976B25" w14:textId="13A3DBE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567" w:type="dxa"/>
            <w:tcBorders>
              <w:top w:val="nil"/>
              <w:left w:val="nil"/>
              <w:bottom w:val="nil"/>
              <w:right w:val="nil"/>
            </w:tcBorders>
            <w:shd w:val="clear" w:color="auto" w:fill="auto"/>
            <w:vAlign w:val="bottom"/>
          </w:tcPr>
          <w:p w14:paraId="25F622B7" w14:textId="210B73A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992" w:type="dxa"/>
            <w:tcBorders>
              <w:top w:val="nil"/>
              <w:left w:val="nil"/>
              <w:bottom w:val="nil"/>
              <w:right w:val="single" w:sz="12" w:space="0" w:color="FFFFFF" w:themeColor="background1"/>
            </w:tcBorders>
            <w:shd w:val="clear" w:color="auto" w:fill="auto"/>
            <w:vAlign w:val="bottom"/>
          </w:tcPr>
          <w:p w14:paraId="6E9E89C3" w14:textId="3F11761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-1.0</w:t>
            </w:r>
          </w:p>
        </w:tc>
        <w:tc>
          <w:tcPr>
            <w:tcW w:w="709" w:type="dxa"/>
            <w:tcBorders>
              <w:top w:val="nil"/>
              <w:left w:val="single" w:sz="12" w:space="0" w:color="FFFFFF" w:themeColor="background1"/>
              <w:bottom w:val="nil"/>
              <w:right w:val="nil"/>
            </w:tcBorders>
            <w:shd w:val="clear" w:color="auto" w:fill="auto"/>
            <w:vAlign w:val="bottom"/>
          </w:tcPr>
          <w:p w14:paraId="53180263" w14:textId="7B224B3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709" w:type="dxa"/>
            <w:tcBorders>
              <w:top w:val="nil"/>
              <w:left w:val="nil"/>
              <w:bottom w:val="nil"/>
              <w:right w:val="nil"/>
            </w:tcBorders>
            <w:shd w:val="clear" w:color="auto" w:fill="auto"/>
            <w:vAlign w:val="bottom"/>
          </w:tcPr>
          <w:p w14:paraId="5B20763E" w14:textId="2B576BB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1.2</w:t>
            </w:r>
          </w:p>
        </w:tc>
        <w:tc>
          <w:tcPr>
            <w:tcW w:w="992" w:type="dxa"/>
            <w:tcBorders>
              <w:top w:val="nil"/>
              <w:left w:val="nil"/>
              <w:bottom w:val="nil"/>
              <w:right w:val="single" w:sz="12" w:space="0" w:color="FFFFFF" w:themeColor="background1"/>
            </w:tcBorders>
            <w:shd w:val="clear" w:color="auto" w:fill="auto"/>
            <w:vAlign w:val="bottom"/>
          </w:tcPr>
          <w:p w14:paraId="0765000B" w14:textId="06150DE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709" w:type="dxa"/>
            <w:tcBorders>
              <w:top w:val="nil"/>
              <w:left w:val="single" w:sz="12" w:space="0" w:color="FFFFFF" w:themeColor="background1"/>
              <w:bottom w:val="nil"/>
              <w:right w:val="nil"/>
            </w:tcBorders>
            <w:shd w:val="clear" w:color="auto" w:fill="auto"/>
            <w:vAlign w:val="bottom"/>
          </w:tcPr>
          <w:p w14:paraId="48BF5F77" w14:textId="6DCCE6B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708" w:type="dxa"/>
            <w:tcBorders>
              <w:top w:val="nil"/>
              <w:left w:val="nil"/>
              <w:bottom w:val="nil"/>
              <w:right w:val="nil"/>
            </w:tcBorders>
            <w:shd w:val="clear" w:color="auto" w:fill="auto"/>
            <w:vAlign w:val="bottom"/>
          </w:tcPr>
          <w:p w14:paraId="70BE3E48" w14:textId="158E8CA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1.8</w:t>
            </w:r>
          </w:p>
        </w:tc>
        <w:tc>
          <w:tcPr>
            <w:tcW w:w="993" w:type="dxa"/>
            <w:tcBorders>
              <w:top w:val="nil"/>
              <w:left w:val="nil"/>
              <w:bottom w:val="nil"/>
              <w:right w:val="nil"/>
            </w:tcBorders>
            <w:shd w:val="clear" w:color="auto" w:fill="auto"/>
            <w:vAlign w:val="bottom"/>
          </w:tcPr>
          <w:p w14:paraId="4D683921" w14:textId="0838C17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1.1</w:t>
            </w:r>
          </w:p>
        </w:tc>
      </w:tr>
      <w:tr w:rsidR="006B30DF" w:rsidRPr="00C12CAD" w14:paraId="2C1BFBEE"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577236DF"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Manufacturing</w:t>
            </w:r>
          </w:p>
        </w:tc>
        <w:tc>
          <w:tcPr>
            <w:tcW w:w="711" w:type="dxa"/>
            <w:tcBorders>
              <w:top w:val="nil"/>
              <w:left w:val="nil"/>
              <w:bottom w:val="nil"/>
              <w:right w:val="nil"/>
            </w:tcBorders>
            <w:shd w:val="clear" w:color="auto" w:fill="F2F2F2" w:themeFill="background1" w:themeFillShade="F2"/>
            <w:vAlign w:val="bottom"/>
          </w:tcPr>
          <w:p w14:paraId="53AFF86E" w14:textId="31517A0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567" w:type="dxa"/>
            <w:tcBorders>
              <w:top w:val="nil"/>
              <w:left w:val="nil"/>
              <w:bottom w:val="nil"/>
              <w:right w:val="nil"/>
            </w:tcBorders>
            <w:shd w:val="clear" w:color="auto" w:fill="F2F2F2" w:themeFill="background1" w:themeFillShade="F2"/>
            <w:vAlign w:val="bottom"/>
          </w:tcPr>
          <w:p w14:paraId="20DA71A0" w14:textId="4381FEE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2.9</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7745BC8C" w14:textId="2EA3F29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495F3441" w14:textId="618C8A7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0.9</w:t>
            </w:r>
          </w:p>
        </w:tc>
        <w:tc>
          <w:tcPr>
            <w:tcW w:w="709" w:type="dxa"/>
            <w:tcBorders>
              <w:top w:val="nil"/>
              <w:left w:val="nil"/>
              <w:bottom w:val="nil"/>
              <w:right w:val="nil"/>
            </w:tcBorders>
            <w:shd w:val="clear" w:color="auto" w:fill="F2F2F2" w:themeFill="background1" w:themeFillShade="F2"/>
            <w:vAlign w:val="bottom"/>
          </w:tcPr>
          <w:p w14:paraId="646482F1" w14:textId="0028225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-1.2</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7F0055E0" w14:textId="6619BB0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0.0</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4AEB7C05" w14:textId="27F762A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8" w:type="dxa"/>
            <w:tcBorders>
              <w:top w:val="nil"/>
              <w:left w:val="nil"/>
              <w:bottom w:val="nil"/>
              <w:right w:val="nil"/>
            </w:tcBorders>
            <w:shd w:val="clear" w:color="auto" w:fill="F2F2F2" w:themeFill="background1" w:themeFillShade="F2"/>
            <w:vAlign w:val="bottom"/>
          </w:tcPr>
          <w:p w14:paraId="47019938" w14:textId="5EFFF18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-4.0</w:t>
            </w:r>
          </w:p>
        </w:tc>
        <w:tc>
          <w:tcPr>
            <w:tcW w:w="993" w:type="dxa"/>
            <w:tcBorders>
              <w:top w:val="nil"/>
              <w:left w:val="nil"/>
              <w:bottom w:val="nil"/>
              <w:right w:val="nil"/>
            </w:tcBorders>
            <w:shd w:val="clear" w:color="auto" w:fill="F2F2F2" w:themeFill="background1" w:themeFillShade="F2"/>
            <w:vAlign w:val="bottom"/>
          </w:tcPr>
          <w:p w14:paraId="235FC52C" w14:textId="478B515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r>
      <w:tr w:rsidR="006B30DF" w:rsidRPr="00C12CAD" w14:paraId="5CA57BA8" w14:textId="77777777" w:rsidTr="00374CCE">
        <w:trPr>
          <w:trHeight w:val="47"/>
        </w:trPr>
        <w:tc>
          <w:tcPr>
            <w:tcW w:w="2408" w:type="dxa"/>
            <w:tcBorders>
              <w:top w:val="nil"/>
              <w:left w:val="nil"/>
              <w:bottom w:val="nil"/>
              <w:right w:val="nil"/>
            </w:tcBorders>
            <w:shd w:val="clear" w:color="auto" w:fill="FFFFFF" w:themeFill="background1"/>
            <w:vAlign w:val="center"/>
          </w:tcPr>
          <w:p w14:paraId="489CB639"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Electricity, gas, water and waste services</w:t>
            </w:r>
          </w:p>
        </w:tc>
        <w:tc>
          <w:tcPr>
            <w:tcW w:w="711" w:type="dxa"/>
            <w:tcBorders>
              <w:top w:val="nil"/>
              <w:left w:val="nil"/>
              <w:bottom w:val="nil"/>
              <w:right w:val="nil"/>
            </w:tcBorders>
            <w:shd w:val="clear" w:color="auto" w:fill="auto"/>
            <w:vAlign w:val="bottom"/>
          </w:tcPr>
          <w:p w14:paraId="3F077D9A" w14:textId="29A488B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-0.7</w:t>
            </w:r>
          </w:p>
        </w:tc>
        <w:tc>
          <w:tcPr>
            <w:tcW w:w="567" w:type="dxa"/>
            <w:tcBorders>
              <w:top w:val="nil"/>
              <w:left w:val="nil"/>
              <w:bottom w:val="nil"/>
              <w:right w:val="nil"/>
            </w:tcBorders>
            <w:shd w:val="clear" w:color="auto" w:fill="auto"/>
            <w:vAlign w:val="bottom"/>
          </w:tcPr>
          <w:p w14:paraId="1D6A4F12" w14:textId="39E2F0C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2.4</w:t>
            </w:r>
          </w:p>
        </w:tc>
        <w:tc>
          <w:tcPr>
            <w:tcW w:w="992" w:type="dxa"/>
            <w:tcBorders>
              <w:top w:val="nil"/>
              <w:left w:val="nil"/>
              <w:bottom w:val="nil"/>
              <w:right w:val="single" w:sz="12" w:space="0" w:color="FFFFFF" w:themeColor="background1"/>
            </w:tcBorders>
            <w:shd w:val="clear" w:color="auto" w:fill="auto"/>
            <w:vAlign w:val="bottom"/>
          </w:tcPr>
          <w:p w14:paraId="12681C04" w14:textId="57012084"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709" w:type="dxa"/>
            <w:tcBorders>
              <w:top w:val="nil"/>
              <w:left w:val="single" w:sz="12" w:space="0" w:color="FFFFFF" w:themeColor="background1"/>
              <w:bottom w:val="nil"/>
              <w:right w:val="nil"/>
            </w:tcBorders>
            <w:shd w:val="clear" w:color="auto" w:fill="auto"/>
            <w:vAlign w:val="bottom"/>
          </w:tcPr>
          <w:p w14:paraId="3F077AF4" w14:textId="51A4A37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0.9</w:t>
            </w:r>
          </w:p>
        </w:tc>
        <w:tc>
          <w:tcPr>
            <w:tcW w:w="709" w:type="dxa"/>
            <w:tcBorders>
              <w:top w:val="nil"/>
              <w:left w:val="nil"/>
              <w:bottom w:val="nil"/>
              <w:right w:val="nil"/>
            </w:tcBorders>
            <w:shd w:val="clear" w:color="auto" w:fill="auto"/>
            <w:vAlign w:val="bottom"/>
          </w:tcPr>
          <w:p w14:paraId="1D04B0A5" w14:textId="4F752E5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1.1</w:t>
            </w:r>
          </w:p>
        </w:tc>
        <w:tc>
          <w:tcPr>
            <w:tcW w:w="992" w:type="dxa"/>
            <w:tcBorders>
              <w:top w:val="nil"/>
              <w:left w:val="nil"/>
              <w:bottom w:val="nil"/>
              <w:right w:val="single" w:sz="12" w:space="0" w:color="FFFFFF" w:themeColor="background1"/>
            </w:tcBorders>
            <w:shd w:val="clear" w:color="auto" w:fill="auto"/>
            <w:vAlign w:val="bottom"/>
          </w:tcPr>
          <w:p w14:paraId="57F960CA" w14:textId="3182A67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709" w:type="dxa"/>
            <w:tcBorders>
              <w:top w:val="nil"/>
              <w:left w:val="single" w:sz="12" w:space="0" w:color="FFFFFF" w:themeColor="background1"/>
              <w:bottom w:val="nil"/>
              <w:right w:val="nil"/>
            </w:tcBorders>
            <w:shd w:val="clear" w:color="auto" w:fill="auto"/>
            <w:vAlign w:val="bottom"/>
          </w:tcPr>
          <w:p w14:paraId="1502FDBA" w14:textId="5276EF7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1.7</w:t>
            </w:r>
          </w:p>
        </w:tc>
        <w:tc>
          <w:tcPr>
            <w:tcW w:w="708" w:type="dxa"/>
            <w:tcBorders>
              <w:top w:val="nil"/>
              <w:left w:val="nil"/>
              <w:bottom w:val="nil"/>
              <w:right w:val="nil"/>
            </w:tcBorders>
            <w:shd w:val="clear" w:color="auto" w:fill="auto"/>
            <w:vAlign w:val="bottom"/>
          </w:tcPr>
          <w:p w14:paraId="2ECC81F7" w14:textId="3ED8D34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-1.2</w:t>
            </w:r>
          </w:p>
        </w:tc>
        <w:tc>
          <w:tcPr>
            <w:tcW w:w="993" w:type="dxa"/>
            <w:tcBorders>
              <w:top w:val="nil"/>
              <w:left w:val="nil"/>
              <w:bottom w:val="nil"/>
              <w:right w:val="nil"/>
            </w:tcBorders>
            <w:shd w:val="clear" w:color="auto" w:fill="auto"/>
            <w:vAlign w:val="bottom"/>
          </w:tcPr>
          <w:p w14:paraId="76A2BFD0" w14:textId="2DFF9AE4"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r>
      <w:tr w:rsidR="006B30DF" w:rsidRPr="00C12CAD" w14:paraId="32F551FB"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5385C7DA"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Construction</w:t>
            </w:r>
          </w:p>
        </w:tc>
        <w:tc>
          <w:tcPr>
            <w:tcW w:w="711" w:type="dxa"/>
            <w:tcBorders>
              <w:top w:val="nil"/>
              <w:left w:val="nil"/>
              <w:bottom w:val="nil"/>
              <w:right w:val="nil"/>
            </w:tcBorders>
            <w:shd w:val="clear" w:color="auto" w:fill="F2F2F2" w:themeFill="background1" w:themeFillShade="F2"/>
            <w:vAlign w:val="bottom"/>
          </w:tcPr>
          <w:p w14:paraId="4E50DEA5" w14:textId="294408B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-0.7</w:t>
            </w:r>
          </w:p>
        </w:tc>
        <w:tc>
          <w:tcPr>
            <w:tcW w:w="567" w:type="dxa"/>
            <w:tcBorders>
              <w:top w:val="nil"/>
              <w:left w:val="nil"/>
              <w:bottom w:val="nil"/>
              <w:right w:val="nil"/>
            </w:tcBorders>
            <w:shd w:val="clear" w:color="auto" w:fill="F2F2F2" w:themeFill="background1" w:themeFillShade="F2"/>
            <w:vAlign w:val="bottom"/>
          </w:tcPr>
          <w:p w14:paraId="0F7A41BA" w14:textId="7027CBB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-0.8</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6038319E" w14:textId="63DDE68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0.2</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66D46B50" w14:textId="5CC1622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-2.6</w:t>
            </w:r>
          </w:p>
        </w:tc>
        <w:tc>
          <w:tcPr>
            <w:tcW w:w="709" w:type="dxa"/>
            <w:tcBorders>
              <w:top w:val="nil"/>
              <w:left w:val="nil"/>
              <w:bottom w:val="nil"/>
              <w:right w:val="nil"/>
            </w:tcBorders>
            <w:shd w:val="clear" w:color="auto" w:fill="F2F2F2" w:themeFill="background1" w:themeFillShade="F2"/>
            <w:vAlign w:val="bottom"/>
          </w:tcPr>
          <w:p w14:paraId="7E25D1FF" w14:textId="774FB45B"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1.0</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0BF62019" w14:textId="3AC48EB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0.0</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7C3A0751" w14:textId="1026665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-1.8</w:t>
            </w:r>
          </w:p>
        </w:tc>
        <w:tc>
          <w:tcPr>
            <w:tcW w:w="708" w:type="dxa"/>
            <w:tcBorders>
              <w:top w:val="nil"/>
              <w:left w:val="nil"/>
              <w:bottom w:val="nil"/>
              <w:right w:val="nil"/>
            </w:tcBorders>
            <w:shd w:val="clear" w:color="auto" w:fill="F2F2F2" w:themeFill="background1" w:themeFillShade="F2"/>
            <w:vAlign w:val="bottom"/>
          </w:tcPr>
          <w:p w14:paraId="59379D05" w14:textId="0D89198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1.8</w:t>
            </w:r>
          </w:p>
        </w:tc>
        <w:tc>
          <w:tcPr>
            <w:tcW w:w="993" w:type="dxa"/>
            <w:tcBorders>
              <w:top w:val="nil"/>
              <w:left w:val="nil"/>
              <w:bottom w:val="nil"/>
              <w:right w:val="nil"/>
            </w:tcBorders>
            <w:shd w:val="clear" w:color="auto" w:fill="F2F2F2" w:themeFill="background1" w:themeFillShade="F2"/>
            <w:vAlign w:val="bottom"/>
          </w:tcPr>
          <w:p w14:paraId="458FA68D" w14:textId="7E42045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-0.2</w:t>
            </w:r>
          </w:p>
        </w:tc>
      </w:tr>
      <w:tr w:rsidR="006B30DF" w:rsidRPr="00C12CAD" w14:paraId="0B119FE1" w14:textId="77777777" w:rsidTr="00374CCE">
        <w:trPr>
          <w:trHeight w:val="47"/>
        </w:trPr>
        <w:tc>
          <w:tcPr>
            <w:tcW w:w="2408" w:type="dxa"/>
            <w:tcBorders>
              <w:top w:val="nil"/>
              <w:left w:val="nil"/>
              <w:bottom w:val="nil"/>
              <w:right w:val="nil"/>
            </w:tcBorders>
            <w:shd w:val="clear" w:color="auto" w:fill="FFFFFF" w:themeFill="background1"/>
            <w:vAlign w:val="center"/>
          </w:tcPr>
          <w:p w14:paraId="0856CD19" w14:textId="6A939EAE"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Wholesale trade</w:t>
            </w:r>
          </w:p>
        </w:tc>
        <w:tc>
          <w:tcPr>
            <w:tcW w:w="711" w:type="dxa"/>
            <w:tcBorders>
              <w:top w:val="nil"/>
              <w:left w:val="nil"/>
              <w:bottom w:val="nil"/>
              <w:right w:val="nil"/>
            </w:tcBorders>
            <w:shd w:val="clear" w:color="auto" w:fill="auto"/>
            <w:vAlign w:val="bottom"/>
          </w:tcPr>
          <w:p w14:paraId="0506F36E" w14:textId="0EAE2ED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1.7</w:t>
            </w:r>
          </w:p>
        </w:tc>
        <w:tc>
          <w:tcPr>
            <w:tcW w:w="567" w:type="dxa"/>
            <w:tcBorders>
              <w:top w:val="nil"/>
              <w:left w:val="nil"/>
              <w:bottom w:val="nil"/>
              <w:right w:val="nil"/>
            </w:tcBorders>
            <w:shd w:val="clear" w:color="auto" w:fill="auto"/>
            <w:vAlign w:val="bottom"/>
          </w:tcPr>
          <w:p w14:paraId="76B5710A" w14:textId="243D1F7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-2.3</w:t>
            </w:r>
          </w:p>
        </w:tc>
        <w:tc>
          <w:tcPr>
            <w:tcW w:w="992" w:type="dxa"/>
            <w:tcBorders>
              <w:top w:val="nil"/>
              <w:left w:val="nil"/>
              <w:bottom w:val="nil"/>
              <w:right w:val="single" w:sz="12" w:space="0" w:color="FFFFFF" w:themeColor="background1"/>
            </w:tcBorders>
            <w:shd w:val="clear" w:color="auto" w:fill="auto"/>
            <w:vAlign w:val="bottom"/>
          </w:tcPr>
          <w:p w14:paraId="29BE81AC" w14:textId="341E7B9B"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1.2</w:t>
            </w:r>
          </w:p>
        </w:tc>
        <w:tc>
          <w:tcPr>
            <w:tcW w:w="709" w:type="dxa"/>
            <w:tcBorders>
              <w:top w:val="nil"/>
              <w:left w:val="single" w:sz="12" w:space="0" w:color="FFFFFF" w:themeColor="background1"/>
              <w:bottom w:val="nil"/>
              <w:right w:val="nil"/>
            </w:tcBorders>
            <w:shd w:val="clear" w:color="auto" w:fill="auto"/>
            <w:vAlign w:val="bottom"/>
          </w:tcPr>
          <w:p w14:paraId="0C8172D6" w14:textId="02200EC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-2.0</w:t>
            </w:r>
          </w:p>
        </w:tc>
        <w:tc>
          <w:tcPr>
            <w:tcW w:w="709" w:type="dxa"/>
            <w:tcBorders>
              <w:top w:val="nil"/>
              <w:left w:val="nil"/>
              <w:bottom w:val="nil"/>
              <w:right w:val="nil"/>
            </w:tcBorders>
            <w:shd w:val="clear" w:color="auto" w:fill="auto"/>
            <w:vAlign w:val="bottom"/>
          </w:tcPr>
          <w:p w14:paraId="5D1F3CEE" w14:textId="1B838B8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-0.8</w:t>
            </w:r>
          </w:p>
        </w:tc>
        <w:tc>
          <w:tcPr>
            <w:tcW w:w="992" w:type="dxa"/>
            <w:tcBorders>
              <w:top w:val="nil"/>
              <w:left w:val="nil"/>
              <w:bottom w:val="nil"/>
              <w:right w:val="single" w:sz="12" w:space="0" w:color="FFFFFF" w:themeColor="background1"/>
            </w:tcBorders>
            <w:shd w:val="clear" w:color="auto" w:fill="auto"/>
            <w:vAlign w:val="bottom"/>
          </w:tcPr>
          <w:p w14:paraId="1271515A" w14:textId="3307F72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709" w:type="dxa"/>
            <w:tcBorders>
              <w:top w:val="nil"/>
              <w:left w:val="single" w:sz="12" w:space="0" w:color="FFFFFF" w:themeColor="background1"/>
              <w:bottom w:val="nil"/>
              <w:right w:val="nil"/>
            </w:tcBorders>
            <w:shd w:val="clear" w:color="auto" w:fill="auto"/>
            <w:vAlign w:val="bottom"/>
          </w:tcPr>
          <w:p w14:paraId="204AA9D6" w14:textId="0CF80AD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-3.6</w:t>
            </w:r>
          </w:p>
        </w:tc>
        <w:tc>
          <w:tcPr>
            <w:tcW w:w="708" w:type="dxa"/>
            <w:tcBorders>
              <w:top w:val="nil"/>
              <w:left w:val="nil"/>
              <w:bottom w:val="nil"/>
              <w:right w:val="nil"/>
            </w:tcBorders>
            <w:shd w:val="clear" w:color="auto" w:fill="auto"/>
            <w:vAlign w:val="bottom"/>
          </w:tcPr>
          <w:p w14:paraId="6B623CCC" w14:textId="76EC03D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993" w:type="dxa"/>
            <w:tcBorders>
              <w:top w:val="nil"/>
              <w:left w:val="nil"/>
              <w:bottom w:val="nil"/>
              <w:right w:val="nil"/>
            </w:tcBorders>
            <w:shd w:val="clear" w:color="auto" w:fill="auto"/>
            <w:vAlign w:val="bottom"/>
          </w:tcPr>
          <w:p w14:paraId="32C357F2" w14:textId="2F8EBA8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-2.6</w:t>
            </w:r>
          </w:p>
        </w:tc>
      </w:tr>
      <w:tr w:rsidR="006B30DF" w:rsidRPr="00C12CAD" w14:paraId="36231511"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3E2F40B9"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Retail trade</w:t>
            </w:r>
          </w:p>
        </w:tc>
        <w:tc>
          <w:tcPr>
            <w:tcW w:w="711" w:type="dxa"/>
            <w:tcBorders>
              <w:top w:val="nil"/>
              <w:left w:val="nil"/>
              <w:bottom w:val="nil"/>
              <w:right w:val="nil"/>
            </w:tcBorders>
            <w:shd w:val="clear" w:color="auto" w:fill="F2F2F2" w:themeFill="background1" w:themeFillShade="F2"/>
            <w:vAlign w:val="bottom"/>
          </w:tcPr>
          <w:p w14:paraId="35D2C5B6" w14:textId="3265F7C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567" w:type="dxa"/>
            <w:tcBorders>
              <w:top w:val="nil"/>
              <w:left w:val="nil"/>
              <w:bottom w:val="nil"/>
              <w:right w:val="nil"/>
            </w:tcBorders>
            <w:shd w:val="clear" w:color="auto" w:fill="F2F2F2" w:themeFill="background1" w:themeFillShade="F2"/>
            <w:vAlign w:val="bottom"/>
          </w:tcPr>
          <w:p w14:paraId="71F79C0C" w14:textId="4D3CD6E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432A7CC2" w14:textId="17FA902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5000F6D1" w14:textId="5060F8C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-0.2</w:t>
            </w:r>
          </w:p>
        </w:tc>
        <w:tc>
          <w:tcPr>
            <w:tcW w:w="709" w:type="dxa"/>
            <w:tcBorders>
              <w:top w:val="nil"/>
              <w:left w:val="nil"/>
              <w:bottom w:val="nil"/>
              <w:right w:val="nil"/>
            </w:tcBorders>
            <w:shd w:val="clear" w:color="auto" w:fill="F2F2F2" w:themeFill="background1" w:themeFillShade="F2"/>
            <w:vAlign w:val="bottom"/>
          </w:tcPr>
          <w:p w14:paraId="50098FAF" w14:textId="013FBDA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19DA0BA9" w14:textId="21BD28A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0.0</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5CFE1920" w14:textId="1FCC659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8" w:type="dxa"/>
            <w:tcBorders>
              <w:top w:val="nil"/>
              <w:left w:val="nil"/>
              <w:bottom w:val="nil"/>
              <w:right w:val="nil"/>
            </w:tcBorders>
            <w:shd w:val="clear" w:color="auto" w:fill="F2F2F2" w:themeFill="background1" w:themeFillShade="F2"/>
            <w:vAlign w:val="bottom"/>
          </w:tcPr>
          <w:p w14:paraId="1B16CC73" w14:textId="7B85490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0.8</w:t>
            </w:r>
          </w:p>
        </w:tc>
        <w:tc>
          <w:tcPr>
            <w:tcW w:w="993" w:type="dxa"/>
            <w:tcBorders>
              <w:top w:val="nil"/>
              <w:left w:val="nil"/>
              <w:bottom w:val="nil"/>
              <w:right w:val="nil"/>
            </w:tcBorders>
            <w:shd w:val="clear" w:color="auto" w:fill="F2F2F2" w:themeFill="background1" w:themeFillShade="F2"/>
            <w:vAlign w:val="bottom"/>
          </w:tcPr>
          <w:p w14:paraId="54AE19DD" w14:textId="47532A1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r>
      <w:tr w:rsidR="006B30DF" w:rsidRPr="00C12CAD" w14:paraId="1E37AAB7" w14:textId="77777777" w:rsidTr="00374CCE">
        <w:trPr>
          <w:trHeight w:val="47"/>
        </w:trPr>
        <w:tc>
          <w:tcPr>
            <w:tcW w:w="2408" w:type="dxa"/>
            <w:tcBorders>
              <w:top w:val="nil"/>
              <w:left w:val="nil"/>
              <w:bottom w:val="nil"/>
              <w:right w:val="nil"/>
            </w:tcBorders>
            <w:shd w:val="clear" w:color="auto" w:fill="FFFFFF" w:themeFill="background1"/>
            <w:vAlign w:val="center"/>
          </w:tcPr>
          <w:p w14:paraId="7AEC0896"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Accommodation and food services</w:t>
            </w:r>
          </w:p>
        </w:tc>
        <w:tc>
          <w:tcPr>
            <w:tcW w:w="711" w:type="dxa"/>
            <w:tcBorders>
              <w:top w:val="nil"/>
              <w:left w:val="nil"/>
              <w:bottom w:val="nil"/>
              <w:right w:val="nil"/>
            </w:tcBorders>
            <w:shd w:val="clear" w:color="auto" w:fill="auto"/>
            <w:vAlign w:val="bottom"/>
          </w:tcPr>
          <w:p w14:paraId="4C125369" w14:textId="21A2921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567" w:type="dxa"/>
            <w:tcBorders>
              <w:top w:val="nil"/>
              <w:left w:val="nil"/>
              <w:bottom w:val="nil"/>
              <w:right w:val="nil"/>
            </w:tcBorders>
            <w:shd w:val="clear" w:color="auto" w:fill="auto"/>
            <w:vAlign w:val="bottom"/>
          </w:tcPr>
          <w:p w14:paraId="7616B2CA" w14:textId="36D3780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9.7</w:t>
            </w:r>
          </w:p>
        </w:tc>
        <w:tc>
          <w:tcPr>
            <w:tcW w:w="992" w:type="dxa"/>
            <w:tcBorders>
              <w:top w:val="nil"/>
              <w:left w:val="nil"/>
              <w:bottom w:val="nil"/>
              <w:right w:val="single" w:sz="12" w:space="0" w:color="FFFFFF" w:themeColor="background1"/>
            </w:tcBorders>
            <w:shd w:val="clear" w:color="auto" w:fill="auto"/>
            <w:vAlign w:val="bottom"/>
          </w:tcPr>
          <w:p w14:paraId="5FD5F2CE" w14:textId="58291A6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2.7</w:t>
            </w:r>
          </w:p>
        </w:tc>
        <w:tc>
          <w:tcPr>
            <w:tcW w:w="709" w:type="dxa"/>
            <w:tcBorders>
              <w:top w:val="nil"/>
              <w:left w:val="single" w:sz="12" w:space="0" w:color="FFFFFF" w:themeColor="background1"/>
              <w:bottom w:val="nil"/>
              <w:right w:val="nil"/>
            </w:tcBorders>
            <w:shd w:val="clear" w:color="auto" w:fill="auto"/>
            <w:vAlign w:val="bottom"/>
          </w:tcPr>
          <w:p w14:paraId="2DD0B9C1" w14:textId="44A123E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709" w:type="dxa"/>
            <w:tcBorders>
              <w:top w:val="nil"/>
              <w:left w:val="nil"/>
              <w:bottom w:val="nil"/>
              <w:right w:val="nil"/>
            </w:tcBorders>
            <w:shd w:val="clear" w:color="auto" w:fill="auto"/>
            <w:vAlign w:val="bottom"/>
          </w:tcPr>
          <w:p w14:paraId="3B72F0B0" w14:textId="67C7937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992" w:type="dxa"/>
            <w:tcBorders>
              <w:top w:val="nil"/>
              <w:left w:val="nil"/>
              <w:bottom w:val="nil"/>
              <w:right w:val="single" w:sz="12" w:space="0" w:color="FFFFFF" w:themeColor="background1"/>
            </w:tcBorders>
            <w:shd w:val="clear" w:color="auto" w:fill="auto"/>
            <w:vAlign w:val="bottom"/>
          </w:tcPr>
          <w:p w14:paraId="43886608" w14:textId="267C6E3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-0.8</w:t>
            </w:r>
          </w:p>
        </w:tc>
        <w:tc>
          <w:tcPr>
            <w:tcW w:w="709" w:type="dxa"/>
            <w:tcBorders>
              <w:top w:val="nil"/>
              <w:left w:val="single" w:sz="12" w:space="0" w:color="FFFFFF" w:themeColor="background1"/>
              <w:bottom w:val="nil"/>
              <w:right w:val="nil"/>
            </w:tcBorders>
            <w:shd w:val="clear" w:color="auto" w:fill="auto"/>
            <w:vAlign w:val="bottom"/>
          </w:tcPr>
          <w:p w14:paraId="62BF0F6E" w14:textId="1FBF332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-1.4</w:t>
            </w:r>
          </w:p>
        </w:tc>
        <w:tc>
          <w:tcPr>
            <w:tcW w:w="708" w:type="dxa"/>
            <w:tcBorders>
              <w:top w:val="nil"/>
              <w:left w:val="nil"/>
              <w:bottom w:val="nil"/>
              <w:right w:val="nil"/>
            </w:tcBorders>
            <w:shd w:val="clear" w:color="auto" w:fill="auto"/>
            <w:vAlign w:val="bottom"/>
          </w:tcPr>
          <w:p w14:paraId="56BFD696" w14:textId="40FFB3C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-9.2</w:t>
            </w:r>
          </w:p>
        </w:tc>
        <w:tc>
          <w:tcPr>
            <w:tcW w:w="993" w:type="dxa"/>
            <w:tcBorders>
              <w:top w:val="nil"/>
              <w:left w:val="nil"/>
              <w:bottom w:val="nil"/>
              <w:right w:val="nil"/>
            </w:tcBorders>
            <w:shd w:val="clear" w:color="auto" w:fill="auto"/>
            <w:vAlign w:val="bottom"/>
          </w:tcPr>
          <w:p w14:paraId="18981A5A" w14:textId="461D447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-3.3</w:t>
            </w:r>
          </w:p>
        </w:tc>
      </w:tr>
      <w:tr w:rsidR="006B30DF" w:rsidRPr="00C12CAD" w14:paraId="304CDE07"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589CF4E9"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Transport, postal and warehousing</w:t>
            </w:r>
          </w:p>
        </w:tc>
        <w:tc>
          <w:tcPr>
            <w:tcW w:w="711" w:type="dxa"/>
            <w:tcBorders>
              <w:top w:val="nil"/>
              <w:left w:val="nil"/>
              <w:bottom w:val="nil"/>
              <w:right w:val="nil"/>
            </w:tcBorders>
            <w:shd w:val="clear" w:color="auto" w:fill="F2F2F2" w:themeFill="background1" w:themeFillShade="F2"/>
            <w:vAlign w:val="bottom"/>
          </w:tcPr>
          <w:p w14:paraId="186C84F6" w14:textId="6F11627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5.5</w:t>
            </w:r>
          </w:p>
        </w:tc>
        <w:tc>
          <w:tcPr>
            <w:tcW w:w="567" w:type="dxa"/>
            <w:tcBorders>
              <w:top w:val="nil"/>
              <w:left w:val="nil"/>
              <w:bottom w:val="nil"/>
              <w:right w:val="nil"/>
            </w:tcBorders>
            <w:shd w:val="clear" w:color="auto" w:fill="F2F2F2" w:themeFill="background1" w:themeFillShade="F2"/>
            <w:vAlign w:val="bottom"/>
          </w:tcPr>
          <w:p w14:paraId="16357D94" w14:textId="5522262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1.8</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1D1F50B0" w14:textId="75FA986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2.2</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55673313" w14:textId="0EE5148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9" w:type="dxa"/>
            <w:tcBorders>
              <w:top w:val="nil"/>
              <w:left w:val="nil"/>
              <w:bottom w:val="nil"/>
              <w:right w:val="nil"/>
            </w:tcBorders>
            <w:shd w:val="clear" w:color="auto" w:fill="F2F2F2" w:themeFill="background1" w:themeFillShade="F2"/>
            <w:vAlign w:val="bottom"/>
          </w:tcPr>
          <w:p w14:paraId="731F3026" w14:textId="74F212B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0E871041" w14:textId="1F86A86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0.9</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6E873732" w14:textId="20DFAB4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-4.6</w:t>
            </w:r>
          </w:p>
        </w:tc>
        <w:tc>
          <w:tcPr>
            <w:tcW w:w="708" w:type="dxa"/>
            <w:tcBorders>
              <w:top w:val="nil"/>
              <w:left w:val="nil"/>
              <w:bottom w:val="nil"/>
              <w:right w:val="nil"/>
            </w:tcBorders>
            <w:shd w:val="clear" w:color="auto" w:fill="F2F2F2" w:themeFill="background1" w:themeFillShade="F2"/>
            <w:vAlign w:val="bottom"/>
          </w:tcPr>
          <w:p w14:paraId="545D7219" w14:textId="6EB9EDD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-1.9</w:t>
            </w:r>
          </w:p>
        </w:tc>
        <w:tc>
          <w:tcPr>
            <w:tcW w:w="993" w:type="dxa"/>
            <w:tcBorders>
              <w:top w:val="nil"/>
              <w:left w:val="nil"/>
              <w:bottom w:val="nil"/>
              <w:right w:val="nil"/>
            </w:tcBorders>
            <w:shd w:val="clear" w:color="auto" w:fill="F2F2F2" w:themeFill="background1" w:themeFillShade="F2"/>
            <w:vAlign w:val="bottom"/>
          </w:tcPr>
          <w:p w14:paraId="1FEF0984" w14:textId="42B137F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-1.2</w:t>
            </w:r>
          </w:p>
        </w:tc>
      </w:tr>
      <w:tr w:rsidR="006B30DF" w:rsidRPr="00C12CAD" w14:paraId="4B2F2592" w14:textId="77777777" w:rsidTr="00374CCE">
        <w:trPr>
          <w:trHeight w:val="47"/>
        </w:trPr>
        <w:tc>
          <w:tcPr>
            <w:tcW w:w="2408" w:type="dxa"/>
            <w:tcBorders>
              <w:top w:val="nil"/>
              <w:left w:val="nil"/>
              <w:bottom w:val="nil"/>
              <w:right w:val="nil"/>
            </w:tcBorders>
            <w:shd w:val="clear" w:color="auto" w:fill="FFFFFF" w:themeFill="background1"/>
            <w:vAlign w:val="center"/>
          </w:tcPr>
          <w:p w14:paraId="0FEE7A8D"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Information media and telecommunications</w:t>
            </w:r>
          </w:p>
        </w:tc>
        <w:tc>
          <w:tcPr>
            <w:tcW w:w="711" w:type="dxa"/>
            <w:tcBorders>
              <w:top w:val="nil"/>
              <w:left w:val="nil"/>
              <w:bottom w:val="nil"/>
              <w:right w:val="nil"/>
            </w:tcBorders>
            <w:shd w:val="clear" w:color="auto" w:fill="auto"/>
            <w:vAlign w:val="bottom"/>
          </w:tcPr>
          <w:p w14:paraId="4AE03C0D" w14:textId="025372A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-5.9</w:t>
            </w:r>
          </w:p>
        </w:tc>
        <w:tc>
          <w:tcPr>
            <w:tcW w:w="567" w:type="dxa"/>
            <w:tcBorders>
              <w:top w:val="nil"/>
              <w:left w:val="nil"/>
              <w:bottom w:val="nil"/>
              <w:right w:val="nil"/>
            </w:tcBorders>
            <w:shd w:val="clear" w:color="auto" w:fill="auto"/>
            <w:vAlign w:val="bottom"/>
          </w:tcPr>
          <w:p w14:paraId="176CADD8" w14:textId="3E6B043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13.2</w:t>
            </w:r>
          </w:p>
        </w:tc>
        <w:tc>
          <w:tcPr>
            <w:tcW w:w="992" w:type="dxa"/>
            <w:tcBorders>
              <w:top w:val="nil"/>
              <w:left w:val="nil"/>
              <w:bottom w:val="nil"/>
              <w:right w:val="single" w:sz="12" w:space="0" w:color="FFFFFF" w:themeColor="background1"/>
            </w:tcBorders>
            <w:shd w:val="clear" w:color="auto" w:fill="auto"/>
            <w:vAlign w:val="bottom"/>
          </w:tcPr>
          <w:p w14:paraId="3F55F942" w14:textId="35E359B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-1.3</w:t>
            </w:r>
          </w:p>
        </w:tc>
        <w:tc>
          <w:tcPr>
            <w:tcW w:w="709" w:type="dxa"/>
            <w:tcBorders>
              <w:top w:val="nil"/>
              <w:left w:val="single" w:sz="12" w:space="0" w:color="FFFFFF" w:themeColor="background1"/>
              <w:bottom w:val="nil"/>
              <w:right w:val="nil"/>
            </w:tcBorders>
            <w:shd w:val="clear" w:color="auto" w:fill="auto"/>
            <w:vAlign w:val="bottom"/>
          </w:tcPr>
          <w:p w14:paraId="60481EE2" w14:textId="1B7E28A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709" w:type="dxa"/>
            <w:tcBorders>
              <w:top w:val="nil"/>
              <w:left w:val="nil"/>
              <w:bottom w:val="nil"/>
              <w:right w:val="nil"/>
            </w:tcBorders>
            <w:shd w:val="clear" w:color="auto" w:fill="auto"/>
            <w:vAlign w:val="bottom"/>
          </w:tcPr>
          <w:p w14:paraId="49D5AFFF" w14:textId="18F44A7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0.2</w:t>
            </w:r>
          </w:p>
        </w:tc>
        <w:tc>
          <w:tcPr>
            <w:tcW w:w="992" w:type="dxa"/>
            <w:tcBorders>
              <w:top w:val="nil"/>
              <w:left w:val="nil"/>
              <w:bottom w:val="nil"/>
              <w:right w:val="single" w:sz="12" w:space="0" w:color="FFFFFF" w:themeColor="background1"/>
            </w:tcBorders>
            <w:shd w:val="clear" w:color="auto" w:fill="auto"/>
            <w:vAlign w:val="bottom"/>
          </w:tcPr>
          <w:p w14:paraId="25CDB90F" w14:textId="3604F97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9" w:type="dxa"/>
            <w:tcBorders>
              <w:top w:val="nil"/>
              <w:left w:val="single" w:sz="12" w:space="0" w:color="FFFFFF" w:themeColor="background1"/>
              <w:bottom w:val="nil"/>
              <w:right w:val="nil"/>
            </w:tcBorders>
            <w:shd w:val="clear" w:color="auto" w:fill="auto"/>
            <w:vAlign w:val="bottom"/>
          </w:tcPr>
          <w:p w14:paraId="60412BBF" w14:textId="51A33CB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4.7</w:t>
            </w:r>
          </w:p>
        </w:tc>
        <w:tc>
          <w:tcPr>
            <w:tcW w:w="708" w:type="dxa"/>
            <w:tcBorders>
              <w:top w:val="nil"/>
              <w:left w:val="nil"/>
              <w:bottom w:val="nil"/>
              <w:right w:val="nil"/>
            </w:tcBorders>
            <w:shd w:val="clear" w:color="auto" w:fill="auto"/>
            <w:vAlign w:val="bottom"/>
          </w:tcPr>
          <w:p w14:paraId="3F381A2D" w14:textId="51783DC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-11.5</w:t>
            </w:r>
          </w:p>
        </w:tc>
        <w:tc>
          <w:tcPr>
            <w:tcW w:w="993" w:type="dxa"/>
            <w:tcBorders>
              <w:top w:val="nil"/>
              <w:left w:val="nil"/>
              <w:bottom w:val="nil"/>
              <w:right w:val="nil"/>
            </w:tcBorders>
            <w:shd w:val="clear" w:color="auto" w:fill="auto"/>
            <w:vAlign w:val="bottom"/>
          </w:tcPr>
          <w:p w14:paraId="6650F761" w14:textId="09DF80D4"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1.9</w:t>
            </w:r>
          </w:p>
        </w:tc>
      </w:tr>
      <w:tr w:rsidR="006B30DF" w:rsidRPr="00C12CAD" w14:paraId="13192BF9"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6AC12A01"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Financial and insurance services</w:t>
            </w:r>
          </w:p>
        </w:tc>
        <w:tc>
          <w:tcPr>
            <w:tcW w:w="711" w:type="dxa"/>
            <w:tcBorders>
              <w:top w:val="nil"/>
              <w:left w:val="nil"/>
              <w:bottom w:val="nil"/>
              <w:right w:val="nil"/>
            </w:tcBorders>
            <w:shd w:val="clear" w:color="auto" w:fill="F2F2F2" w:themeFill="background1" w:themeFillShade="F2"/>
            <w:vAlign w:val="bottom"/>
          </w:tcPr>
          <w:p w14:paraId="0F754BA6" w14:textId="5435A0E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1.9</w:t>
            </w:r>
          </w:p>
        </w:tc>
        <w:tc>
          <w:tcPr>
            <w:tcW w:w="567" w:type="dxa"/>
            <w:tcBorders>
              <w:top w:val="nil"/>
              <w:left w:val="nil"/>
              <w:bottom w:val="nil"/>
              <w:right w:val="nil"/>
            </w:tcBorders>
            <w:shd w:val="clear" w:color="auto" w:fill="F2F2F2" w:themeFill="background1" w:themeFillShade="F2"/>
            <w:vAlign w:val="bottom"/>
          </w:tcPr>
          <w:p w14:paraId="21E3C645" w14:textId="2C83846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-0.2</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3A3A09ED" w14:textId="2E2C272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5F9BA02A" w14:textId="582A508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c>
          <w:tcPr>
            <w:tcW w:w="709" w:type="dxa"/>
            <w:tcBorders>
              <w:top w:val="nil"/>
              <w:left w:val="nil"/>
              <w:bottom w:val="nil"/>
              <w:right w:val="nil"/>
            </w:tcBorders>
            <w:shd w:val="clear" w:color="auto" w:fill="F2F2F2" w:themeFill="background1" w:themeFillShade="F2"/>
            <w:vAlign w:val="bottom"/>
          </w:tcPr>
          <w:p w14:paraId="705C47A4" w14:textId="66F4A30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1F355D5C" w14:textId="07819D4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5D4B52C9" w14:textId="4A223C5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-1.6</w:t>
            </w:r>
          </w:p>
        </w:tc>
        <w:tc>
          <w:tcPr>
            <w:tcW w:w="708" w:type="dxa"/>
            <w:tcBorders>
              <w:top w:val="nil"/>
              <w:left w:val="nil"/>
              <w:bottom w:val="nil"/>
              <w:right w:val="nil"/>
            </w:tcBorders>
            <w:shd w:val="clear" w:color="auto" w:fill="F2F2F2" w:themeFill="background1" w:themeFillShade="F2"/>
            <w:vAlign w:val="bottom"/>
          </w:tcPr>
          <w:p w14:paraId="2DB3C3FC" w14:textId="07E656C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993" w:type="dxa"/>
            <w:tcBorders>
              <w:top w:val="nil"/>
              <w:left w:val="nil"/>
              <w:bottom w:val="nil"/>
              <w:right w:val="nil"/>
            </w:tcBorders>
            <w:shd w:val="clear" w:color="auto" w:fill="F2F2F2" w:themeFill="background1" w:themeFillShade="F2"/>
            <w:vAlign w:val="bottom"/>
          </w:tcPr>
          <w:p w14:paraId="647261A7" w14:textId="563F2BD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r>
      <w:tr w:rsidR="006B30DF" w:rsidRPr="00C12CAD" w14:paraId="29496E48" w14:textId="77777777" w:rsidTr="00374CCE">
        <w:trPr>
          <w:trHeight w:val="47"/>
        </w:trPr>
        <w:tc>
          <w:tcPr>
            <w:tcW w:w="2408" w:type="dxa"/>
            <w:tcBorders>
              <w:top w:val="nil"/>
              <w:left w:val="nil"/>
              <w:bottom w:val="nil"/>
              <w:right w:val="nil"/>
            </w:tcBorders>
            <w:shd w:val="clear" w:color="auto" w:fill="FFFFFF" w:themeFill="background1"/>
            <w:vAlign w:val="center"/>
          </w:tcPr>
          <w:p w14:paraId="47B89CF0"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Rental, hiring and real estate services</w:t>
            </w:r>
          </w:p>
        </w:tc>
        <w:tc>
          <w:tcPr>
            <w:tcW w:w="711" w:type="dxa"/>
            <w:tcBorders>
              <w:top w:val="nil"/>
              <w:left w:val="nil"/>
              <w:bottom w:val="nil"/>
              <w:right w:val="nil"/>
            </w:tcBorders>
            <w:shd w:val="clear" w:color="auto" w:fill="auto"/>
            <w:vAlign w:val="bottom"/>
          </w:tcPr>
          <w:p w14:paraId="106986D8" w14:textId="7241145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c>
          <w:tcPr>
            <w:tcW w:w="567" w:type="dxa"/>
            <w:tcBorders>
              <w:top w:val="nil"/>
              <w:left w:val="nil"/>
              <w:bottom w:val="nil"/>
              <w:right w:val="nil"/>
            </w:tcBorders>
            <w:shd w:val="clear" w:color="auto" w:fill="auto"/>
            <w:vAlign w:val="bottom"/>
          </w:tcPr>
          <w:p w14:paraId="3B66D646" w14:textId="51CFCAE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2.0</w:t>
            </w:r>
          </w:p>
        </w:tc>
        <w:tc>
          <w:tcPr>
            <w:tcW w:w="992" w:type="dxa"/>
            <w:tcBorders>
              <w:top w:val="nil"/>
              <w:left w:val="nil"/>
              <w:bottom w:val="nil"/>
              <w:right w:val="single" w:sz="12" w:space="0" w:color="FFFFFF" w:themeColor="background1"/>
            </w:tcBorders>
            <w:shd w:val="clear" w:color="auto" w:fill="auto"/>
            <w:vAlign w:val="bottom"/>
          </w:tcPr>
          <w:p w14:paraId="7337120B" w14:textId="62DDC7B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709" w:type="dxa"/>
            <w:tcBorders>
              <w:top w:val="nil"/>
              <w:left w:val="single" w:sz="12" w:space="0" w:color="FFFFFF" w:themeColor="background1"/>
              <w:bottom w:val="nil"/>
              <w:right w:val="nil"/>
            </w:tcBorders>
            <w:shd w:val="clear" w:color="auto" w:fill="auto"/>
            <w:vAlign w:val="bottom"/>
          </w:tcPr>
          <w:p w14:paraId="22BC2F4D" w14:textId="22B857C4"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709" w:type="dxa"/>
            <w:tcBorders>
              <w:top w:val="nil"/>
              <w:left w:val="nil"/>
              <w:bottom w:val="nil"/>
              <w:right w:val="nil"/>
            </w:tcBorders>
            <w:shd w:val="clear" w:color="auto" w:fill="auto"/>
            <w:vAlign w:val="bottom"/>
          </w:tcPr>
          <w:p w14:paraId="286F67D4" w14:textId="7D772DD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992" w:type="dxa"/>
            <w:tcBorders>
              <w:top w:val="nil"/>
              <w:left w:val="nil"/>
              <w:bottom w:val="nil"/>
              <w:right w:val="single" w:sz="12" w:space="0" w:color="FFFFFF" w:themeColor="background1"/>
            </w:tcBorders>
            <w:shd w:val="clear" w:color="auto" w:fill="auto"/>
            <w:vAlign w:val="bottom"/>
          </w:tcPr>
          <w:p w14:paraId="54EEF519" w14:textId="4678693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1.0</w:t>
            </w:r>
          </w:p>
        </w:tc>
        <w:tc>
          <w:tcPr>
            <w:tcW w:w="709" w:type="dxa"/>
            <w:tcBorders>
              <w:top w:val="nil"/>
              <w:left w:val="single" w:sz="12" w:space="0" w:color="FFFFFF" w:themeColor="background1"/>
              <w:bottom w:val="nil"/>
              <w:right w:val="nil"/>
            </w:tcBorders>
            <w:shd w:val="clear" w:color="auto" w:fill="auto"/>
            <w:vAlign w:val="bottom"/>
          </w:tcPr>
          <w:p w14:paraId="6E3DAC0D" w14:textId="26CA596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0.8</w:t>
            </w:r>
          </w:p>
        </w:tc>
        <w:tc>
          <w:tcPr>
            <w:tcW w:w="708" w:type="dxa"/>
            <w:tcBorders>
              <w:top w:val="nil"/>
              <w:left w:val="nil"/>
              <w:bottom w:val="nil"/>
              <w:right w:val="nil"/>
            </w:tcBorders>
            <w:shd w:val="clear" w:color="auto" w:fill="auto"/>
            <w:vAlign w:val="bottom"/>
          </w:tcPr>
          <w:p w14:paraId="4EFE651C" w14:textId="45B6B88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-2.5</w:t>
            </w:r>
          </w:p>
        </w:tc>
        <w:tc>
          <w:tcPr>
            <w:tcW w:w="993" w:type="dxa"/>
            <w:tcBorders>
              <w:top w:val="nil"/>
              <w:left w:val="nil"/>
              <w:bottom w:val="nil"/>
              <w:right w:val="nil"/>
            </w:tcBorders>
            <w:shd w:val="clear" w:color="auto" w:fill="auto"/>
            <w:vAlign w:val="bottom"/>
          </w:tcPr>
          <w:p w14:paraId="1079BCB7" w14:textId="34773DB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r>
      <w:tr w:rsidR="006B30DF" w:rsidRPr="00C12CAD" w14:paraId="44E5B537"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011883AC"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lastRenderedPageBreak/>
              <w:t>Professional, scientific and technical services</w:t>
            </w:r>
          </w:p>
        </w:tc>
        <w:tc>
          <w:tcPr>
            <w:tcW w:w="711" w:type="dxa"/>
            <w:tcBorders>
              <w:top w:val="nil"/>
              <w:left w:val="nil"/>
              <w:bottom w:val="nil"/>
              <w:right w:val="nil"/>
            </w:tcBorders>
            <w:shd w:val="clear" w:color="auto" w:fill="F2F2F2" w:themeFill="background1" w:themeFillShade="F2"/>
            <w:vAlign w:val="bottom"/>
          </w:tcPr>
          <w:p w14:paraId="248003DA" w14:textId="57DF40A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567" w:type="dxa"/>
            <w:tcBorders>
              <w:top w:val="nil"/>
              <w:left w:val="nil"/>
              <w:bottom w:val="nil"/>
              <w:right w:val="nil"/>
            </w:tcBorders>
            <w:shd w:val="clear" w:color="auto" w:fill="F2F2F2" w:themeFill="background1" w:themeFillShade="F2"/>
            <w:vAlign w:val="bottom"/>
          </w:tcPr>
          <w:p w14:paraId="5E2075AC" w14:textId="12E33C4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-2.7</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1E4F24A9" w14:textId="4FB186D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5D3E2908" w14:textId="280FC18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0.0</w:t>
            </w:r>
          </w:p>
        </w:tc>
        <w:tc>
          <w:tcPr>
            <w:tcW w:w="709" w:type="dxa"/>
            <w:tcBorders>
              <w:top w:val="nil"/>
              <w:left w:val="nil"/>
              <w:bottom w:val="nil"/>
              <w:right w:val="nil"/>
            </w:tcBorders>
            <w:shd w:val="clear" w:color="auto" w:fill="F2F2F2" w:themeFill="background1" w:themeFillShade="F2"/>
            <w:vAlign w:val="bottom"/>
          </w:tcPr>
          <w:p w14:paraId="34B8F63E" w14:textId="7E63A56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1.4</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36CB764D" w14:textId="1414D01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36863048" w14:textId="4F8E0FF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708" w:type="dxa"/>
            <w:tcBorders>
              <w:top w:val="nil"/>
              <w:left w:val="nil"/>
              <w:bottom w:val="nil"/>
              <w:right w:val="nil"/>
            </w:tcBorders>
            <w:shd w:val="clear" w:color="auto" w:fill="F2F2F2" w:themeFill="background1" w:themeFillShade="F2"/>
            <w:vAlign w:val="bottom"/>
          </w:tcPr>
          <w:p w14:paraId="54F6F87F" w14:textId="7267751D"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4.2</w:t>
            </w:r>
          </w:p>
        </w:tc>
        <w:tc>
          <w:tcPr>
            <w:tcW w:w="993" w:type="dxa"/>
            <w:tcBorders>
              <w:top w:val="nil"/>
              <w:left w:val="nil"/>
              <w:bottom w:val="nil"/>
              <w:right w:val="nil"/>
            </w:tcBorders>
            <w:shd w:val="clear" w:color="auto" w:fill="F2F2F2" w:themeFill="background1" w:themeFillShade="F2"/>
            <w:vAlign w:val="bottom"/>
          </w:tcPr>
          <w:p w14:paraId="21A7FEC6" w14:textId="0075D83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1.1</w:t>
            </w:r>
          </w:p>
        </w:tc>
      </w:tr>
      <w:tr w:rsidR="006B30DF" w:rsidRPr="00C12CAD" w14:paraId="228AB954" w14:textId="77777777" w:rsidTr="00374CCE">
        <w:trPr>
          <w:trHeight w:val="47"/>
        </w:trPr>
        <w:tc>
          <w:tcPr>
            <w:tcW w:w="2408" w:type="dxa"/>
            <w:tcBorders>
              <w:top w:val="nil"/>
              <w:left w:val="nil"/>
              <w:bottom w:val="nil"/>
              <w:right w:val="nil"/>
            </w:tcBorders>
            <w:shd w:val="clear" w:color="auto" w:fill="FFFFFF" w:themeFill="background1"/>
            <w:vAlign w:val="center"/>
          </w:tcPr>
          <w:p w14:paraId="3B65DD2A"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Administrative and support services</w:t>
            </w:r>
          </w:p>
        </w:tc>
        <w:tc>
          <w:tcPr>
            <w:tcW w:w="711" w:type="dxa"/>
            <w:tcBorders>
              <w:top w:val="nil"/>
              <w:left w:val="nil"/>
              <w:bottom w:val="nil"/>
              <w:right w:val="nil"/>
            </w:tcBorders>
            <w:shd w:val="clear" w:color="auto" w:fill="auto"/>
            <w:vAlign w:val="bottom"/>
          </w:tcPr>
          <w:p w14:paraId="4DE27A76" w14:textId="6E7BFDE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567" w:type="dxa"/>
            <w:tcBorders>
              <w:top w:val="nil"/>
              <w:left w:val="nil"/>
              <w:bottom w:val="nil"/>
              <w:right w:val="nil"/>
            </w:tcBorders>
            <w:shd w:val="clear" w:color="auto" w:fill="auto"/>
            <w:vAlign w:val="bottom"/>
          </w:tcPr>
          <w:p w14:paraId="0480D16B" w14:textId="347CC4E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-1.6</w:t>
            </w:r>
          </w:p>
        </w:tc>
        <w:tc>
          <w:tcPr>
            <w:tcW w:w="992" w:type="dxa"/>
            <w:tcBorders>
              <w:top w:val="nil"/>
              <w:left w:val="nil"/>
              <w:bottom w:val="nil"/>
              <w:right w:val="single" w:sz="12" w:space="0" w:color="FFFFFF" w:themeColor="background1"/>
            </w:tcBorders>
            <w:shd w:val="clear" w:color="auto" w:fill="auto"/>
            <w:vAlign w:val="bottom"/>
          </w:tcPr>
          <w:p w14:paraId="5CEEB376" w14:textId="146BB24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-0.2</w:t>
            </w:r>
          </w:p>
        </w:tc>
        <w:tc>
          <w:tcPr>
            <w:tcW w:w="709" w:type="dxa"/>
            <w:tcBorders>
              <w:top w:val="nil"/>
              <w:left w:val="single" w:sz="12" w:space="0" w:color="FFFFFF" w:themeColor="background1"/>
              <w:bottom w:val="nil"/>
              <w:right w:val="nil"/>
            </w:tcBorders>
            <w:shd w:val="clear" w:color="auto" w:fill="auto"/>
            <w:vAlign w:val="bottom"/>
          </w:tcPr>
          <w:p w14:paraId="4C679B8B" w14:textId="4B677EA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709" w:type="dxa"/>
            <w:tcBorders>
              <w:top w:val="nil"/>
              <w:left w:val="nil"/>
              <w:bottom w:val="nil"/>
              <w:right w:val="nil"/>
            </w:tcBorders>
            <w:shd w:val="clear" w:color="auto" w:fill="auto"/>
            <w:vAlign w:val="bottom"/>
          </w:tcPr>
          <w:p w14:paraId="3DC70FFE" w14:textId="48CEF28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0.7</w:t>
            </w:r>
          </w:p>
        </w:tc>
        <w:tc>
          <w:tcPr>
            <w:tcW w:w="992" w:type="dxa"/>
            <w:tcBorders>
              <w:top w:val="nil"/>
              <w:left w:val="nil"/>
              <w:bottom w:val="nil"/>
              <w:right w:val="single" w:sz="12" w:space="0" w:color="FFFFFF" w:themeColor="background1"/>
            </w:tcBorders>
            <w:shd w:val="clear" w:color="auto" w:fill="auto"/>
            <w:vAlign w:val="bottom"/>
          </w:tcPr>
          <w:p w14:paraId="18BD5DB7" w14:textId="09E816C1"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709" w:type="dxa"/>
            <w:tcBorders>
              <w:top w:val="nil"/>
              <w:left w:val="single" w:sz="12" w:space="0" w:color="FFFFFF" w:themeColor="background1"/>
              <w:bottom w:val="nil"/>
              <w:right w:val="nil"/>
            </w:tcBorders>
            <w:shd w:val="clear" w:color="auto" w:fill="auto"/>
            <w:vAlign w:val="bottom"/>
          </w:tcPr>
          <w:p w14:paraId="33C0F22C" w14:textId="30E3351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8" w:type="dxa"/>
            <w:tcBorders>
              <w:top w:val="nil"/>
              <w:left w:val="nil"/>
              <w:bottom w:val="nil"/>
              <w:right w:val="nil"/>
            </w:tcBorders>
            <w:shd w:val="clear" w:color="auto" w:fill="auto"/>
            <w:vAlign w:val="bottom"/>
          </w:tcPr>
          <w:p w14:paraId="0C1760C6" w14:textId="5C5BF1B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2.3</w:t>
            </w:r>
          </w:p>
        </w:tc>
        <w:tc>
          <w:tcPr>
            <w:tcW w:w="993" w:type="dxa"/>
            <w:tcBorders>
              <w:top w:val="nil"/>
              <w:left w:val="nil"/>
              <w:bottom w:val="nil"/>
              <w:right w:val="nil"/>
            </w:tcBorders>
            <w:shd w:val="clear" w:color="auto" w:fill="auto"/>
            <w:vAlign w:val="bottom"/>
          </w:tcPr>
          <w:p w14:paraId="77E836C9" w14:textId="7F3CCF1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r>
      <w:tr w:rsidR="006B30DF" w:rsidRPr="00C12CAD" w14:paraId="664058E4"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3EF48C2E"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Public administration and safety</w:t>
            </w:r>
          </w:p>
        </w:tc>
        <w:tc>
          <w:tcPr>
            <w:tcW w:w="711" w:type="dxa"/>
            <w:tcBorders>
              <w:top w:val="nil"/>
              <w:left w:val="nil"/>
              <w:bottom w:val="nil"/>
              <w:right w:val="nil"/>
            </w:tcBorders>
            <w:shd w:val="clear" w:color="auto" w:fill="F2F2F2" w:themeFill="background1" w:themeFillShade="F2"/>
            <w:vAlign w:val="bottom"/>
          </w:tcPr>
          <w:p w14:paraId="46B2912F" w14:textId="43AF7A0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567" w:type="dxa"/>
            <w:tcBorders>
              <w:top w:val="nil"/>
              <w:left w:val="nil"/>
              <w:bottom w:val="nil"/>
              <w:right w:val="nil"/>
            </w:tcBorders>
            <w:shd w:val="clear" w:color="auto" w:fill="F2F2F2" w:themeFill="background1" w:themeFillShade="F2"/>
            <w:vAlign w:val="bottom"/>
          </w:tcPr>
          <w:p w14:paraId="4B78950F" w14:textId="3037491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-1.8</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6BFB4A3F" w14:textId="5DA0986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225C3F03" w14:textId="29D1DE7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0.9</w:t>
            </w:r>
          </w:p>
        </w:tc>
        <w:tc>
          <w:tcPr>
            <w:tcW w:w="709" w:type="dxa"/>
            <w:tcBorders>
              <w:top w:val="nil"/>
              <w:left w:val="nil"/>
              <w:bottom w:val="nil"/>
              <w:right w:val="nil"/>
            </w:tcBorders>
            <w:shd w:val="clear" w:color="auto" w:fill="F2F2F2" w:themeFill="background1" w:themeFillShade="F2"/>
            <w:vAlign w:val="bottom"/>
          </w:tcPr>
          <w:p w14:paraId="47EA0DC3" w14:textId="60B325C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1.0</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791ECA1A" w14:textId="00BB8B6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0.9</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2D3C469A" w14:textId="646025A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2.4</w:t>
            </w:r>
          </w:p>
        </w:tc>
        <w:tc>
          <w:tcPr>
            <w:tcW w:w="708" w:type="dxa"/>
            <w:tcBorders>
              <w:top w:val="nil"/>
              <w:left w:val="nil"/>
              <w:bottom w:val="nil"/>
              <w:right w:val="nil"/>
            </w:tcBorders>
            <w:shd w:val="clear" w:color="auto" w:fill="F2F2F2" w:themeFill="background1" w:themeFillShade="F2"/>
            <w:vAlign w:val="bottom"/>
          </w:tcPr>
          <w:p w14:paraId="7C6D3EDC" w14:textId="13A2148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2.9</w:t>
            </w:r>
          </w:p>
        </w:tc>
        <w:tc>
          <w:tcPr>
            <w:tcW w:w="993" w:type="dxa"/>
            <w:tcBorders>
              <w:top w:val="nil"/>
              <w:left w:val="nil"/>
              <w:bottom w:val="nil"/>
              <w:right w:val="nil"/>
            </w:tcBorders>
            <w:shd w:val="clear" w:color="auto" w:fill="F2F2F2" w:themeFill="background1" w:themeFillShade="F2"/>
            <w:vAlign w:val="bottom"/>
          </w:tcPr>
          <w:p w14:paraId="0611719D" w14:textId="634C8CE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1.3</w:t>
            </w:r>
          </w:p>
        </w:tc>
      </w:tr>
      <w:tr w:rsidR="006B30DF" w:rsidRPr="00C12CAD" w14:paraId="32E28A1C" w14:textId="77777777" w:rsidTr="00374CCE">
        <w:trPr>
          <w:trHeight w:val="47"/>
        </w:trPr>
        <w:tc>
          <w:tcPr>
            <w:tcW w:w="2408" w:type="dxa"/>
            <w:tcBorders>
              <w:top w:val="nil"/>
              <w:left w:val="nil"/>
              <w:bottom w:val="nil"/>
              <w:right w:val="nil"/>
            </w:tcBorders>
            <w:shd w:val="clear" w:color="auto" w:fill="FFFFFF" w:themeFill="background1"/>
            <w:vAlign w:val="center"/>
          </w:tcPr>
          <w:p w14:paraId="4D9F2042"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 xml:space="preserve">Education and training </w:t>
            </w:r>
          </w:p>
        </w:tc>
        <w:tc>
          <w:tcPr>
            <w:tcW w:w="711" w:type="dxa"/>
            <w:tcBorders>
              <w:top w:val="nil"/>
              <w:left w:val="nil"/>
              <w:bottom w:val="nil"/>
              <w:right w:val="nil"/>
            </w:tcBorders>
            <w:shd w:val="clear" w:color="auto" w:fill="auto"/>
            <w:vAlign w:val="bottom"/>
          </w:tcPr>
          <w:p w14:paraId="6CA5605C" w14:textId="1E6A144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567" w:type="dxa"/>
            <w:tcBorders>
              <w:top w:val="nil"/>
              <w:left w:val="nil"/>
              <w:bottom w:val="nil"/>
              <w:right w:val="nil"/>
            </w:tcBorders>
            <w:shd w:val="clear" w:color="auto" w:fill="auto"/>
            <w:vAlign w:val="bottom"/>
          </w:tcPr>
          <w:p w14:paraId="1F6EA834" w14:textId="06C320AA"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4.1</w:t>
            </w:r>
          </w:p>
        </w:tc>
        <w:tc>
          <w:tcPr>
            <w:tcW w:w="992" w:type="dxa"/>
            <w:tcBorders>
              <w:top w:val="nil"/>
              <w:left w:val="nil"/>
              <w:bottom w:val="nil"/>
              <w:right w:val="single" w:sz="12" w:space="0" w:color="FFFFFF" w:themeColor="background1"/>
            </w:tcBorders>
            <w:shd w:val="clear" w:color="auto" w:fill="auto"/>
            <w:vAlign w:val="bottom"/>
          </w:tcPr>
          <w:p w14:paraId="73379340" w14:textId="62C38DF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-0.3</w:t>
            </w:r>
          </w:p>
        </w:tc>
        <w:tc>
          <w:tcPr>
            <w:tcW w:w="709" w:type="dxa"/>
            <w:tcBorders>
              <w:top w:val="nil"/>
              <w:left w:val="single" w:sz="12" w:space="0" w:color="FFFFFF" w:themeColor="background1"/>
              <w:bottom w:val="nil"/>
              <w:right w:val="nil"/>
            </w:tcBorders>
            <w:shd w:val="clear" w:color="auto" w:fill="auto"/>
            <w:vAlign w:val="bottom"/>
          </w:tcPr>
          <w:p w14:paraId="3618FF94" w14:textId="7500575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709" w:type="dxa"/>
            <w:tcBorders>
              <w:top w:val="nil"/>
              <w:left w:val="nil"/>
              <w:bottom w:val="nil"/>
              <w:right w:val="nil"/>
            </w:tcBorders>
            <w:shd w:val="clear" w:color="auto" w:fill="auto"/>
            <w:vAlign w:val="bottom"/>
          </w:tcPr>
          <w:p w14:paraId="78119805" w14:textId="50A5B07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992" w:type="dxa"/>
            <w:tcBorders>
              <w:top w:val="nil"/>
              <w:left w:val="nil"/>
              <w:bottom w:val="nil"/>
              <w:right w:val="single" w:sz="12" w:space="0" w:color="FFFFFF" w:themeColor="background1"/>
            </w:tcBorders>
            <w:shd w:val="clear" w:color="auto" w:fill="auto"/>
            <w:vAlign w:val="bottom"/>
          </w:tcPr>
          <w:p w14:paraId="5601EE0D" w14:textId="620366E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709" w:type="dxa"/>
            <w:tcBorders>
              <w:top w:val="nil"/>
              <w:left w:val="single" w:sz="12" w:space="0" w:color="FFFFFF" w:themeColor="background1"/>
              <w:bottom w:val="nil"/>
              <w:right w:val="nil"/>
            </w:tcBorders>
            <w:shd w:val="clear" w:color="auto" w:fill="auto"/>
            <w:vAlign w:val="bottom"/>
          </w:tcPr>
          <w:p w14:paraId="23165AD7" w14:textId="0322E5F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2.0</w:t>
            </w:r>
          </w:p>
        </w:tc>
        <w:tc>
          <w:tcPr>
            <w:tcW w:w="708" w:type="dxa"/>
            <w:tcBorders>
              <w:top w:val="nil"/>
              <w:left w:val="nil"/>
              <w:bottom w:val="nil"/>
              <w:right w:val="nil"/>
            </w:tcBorders>
            <w:shd w:val="clear" w:color="auto" w:fill="auto"/>
            <w:vAlign w:val="bottom"/>
          </w:tcPr>
          <w:p w14:paraId="2BA7B616" w14:textId="66510ED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-3.5</w:t>
            </w:r>
          </w:p>
        </w:tc>
        <w:tc>
          <w:tcPr>
            <w:tcW w:w="993" w:type="dxa"/>
            <w:tcBorders>
              <w:top w:val="nil"/>
              <w:left w:val="nil"/>
              <w:bottom w:val="nil"/>
              <w:right w:val="nil"/>
            </w:tcBorders>
            <w:shd w:val="clear" w:color="auto" w:fill="auto"/>
            <w:vAlign w:val="bottom"/>
          </w:tcPr>
          <w:p w14:paraId="5C012483" w14:textId="4AFBF5FB"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0.7</w:t>
            </w:r>
          </w:p>
        </w:tc>
      </w:tr>
      <w:tr w:rsidR="006B30DF" w:rsidRPr="00C12CAD" w14:paraId="05A01765" w14:textId="77777777" w:rsidTr="00374CCE">
        <w:trPr>
          <w:trHeight w:val="47"/>
        </w:trPr>
        <w:tc>
          <w:tcPr>
            <w:tcW w:w="2408" w:type="dxa"/>
            <w:tcBorders>
              <w:top w:val="nil"/>
              <w:left w:val="nil"/>
              <w:bottom w:val="nil"/>
              <w:right w:val="nil"/>
            </w:tcBorders>
            <w:shd w:val="clear" w:color="auto" w:fill="F2F2F2" w:themeFill="background1" w:themeFillShade="F2"/>
            <w:vAlign w:val="center"/>
          </w:tcPr>
          <w:p w14:paraId="37D929D1"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Health care and social assistance</w:t>
            </w:r>
          </w:p>
        </w:tc>
        <w:tc>
          <w:tcPr>
            <w:tcW w:w="711" w:type="dxa"/>
            <w:tcBorders>
              <w:top w:val="nil"/>
              <w:left w:val="nil"/>
              <w:bottom w:val="nil"/>
              <w:right w:val="nil"/>
            </w:tcBorders>
            <w:shd w:val="clear" w:color="auto" w:fill="F2F2F2" w:themeFill="background1" w:themeFillShade="F2"/>
            <w:vAlign w:val="bottom"/>
          </w:tcPr>
          <w:p w14:paraId="21260202" w14:textId="29C9C3F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-1.1</w:t>
            </w:r>
          </w:p>
        </w:tc>
        <w:tc>
          <w:tcPr>
            <w:tcW w:w="567" w:type="dxa"/>
            <w:tcBorders>
              <w:top w:val="nil"/>
              <w:left w:val="nil"/>
              <w:bottom w:val="nil"/>
              <w:right w:val="nil"/>
            </w:tcBorders>
            <w:shd w:val="clear" w:color="auto" w:fill="F2F2F2" w:themeFill="background1" w:themeFillShade="F2"/>
            <w:vAlign w:val="bottom"/>
          </w:tcPr>
          <w:p w14:paraId="4A27BA5A" w14:textId="13CB166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-1.0</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7124EE4D" w14:textId="5DFB85F3"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-0.8</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30D6F77C" w14:textId="06A3C49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1.4</w:t>
            </w:r>
          </w:p>
        </w:tc>
        <w:tc>
          <w:tcPr>
            <w:tcW w:w="709" w:type="dxa"/>
            <w:tcBorders>
              <w:top w:val="nil"/>
              <w:left w:val="nil"/>
              <w:bottom w:val="nil"/>
              <w:right w:val="nil"/>
            </w:tcBorders>
            <w:shd w:val="clear" w:color="auto" w:fill="F2F2F2" w:themeFill="background1" w:themeFillShade="F2"/>
            <w:vAlign w:val="bottom"/>
          </w:tcPr>
          <w:p w14:paraId="41E11F19" w14:textId="70AC9BB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992" w:type="dxa"/>
            <w:tcBorders>
              <w:top w:val="nil"/>
              <w:left w:val="nil"/>
              <w:bottom w:val="nil"/>
              <w:right w:val="single" w:sz="12" w:space="0" w:color="FFFFFF" w:themeColor="background1"/>
            </w:tcBorders>
            <w:shd w:val="clear" w:color="auto" w:fill="F2F2F2" w:themeFill="background1" w:themeFillShade="F2"/>
            <w:vAlign w:val="bottom"/>
          </w:tcPr>
          <w:p w14:paraId="7472CDC2" w14:textId="3004FD4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0.9</w:t>
            </w:r>
          </w:p>
        </w:tc>
        <w:tc>
          <w:tcPr>
            <w:tcW w:w="709" w:type="dxa"/>
            <w:tcBorders>
              <w:top w:val="nil"/>
              <w:left w:val="single" w:sz="12" w:space="0" w:color="FFFFFF" w:themeColor="background1"/>
              <w:bottom w:val="nil"/>
              <w:right w:val="nil"/>
            </w:tcBorders>
            <w:shd w:val="clear" w:color="auto" w:fill="F2F2F2" w:themeFill="background1" w:themeFillShade="F2"/>
            <w:vAlign w:val="bottom"/>
          </w:tcPr>
          <w:p w14:paraId="734C76D9" w14:textId="2DFC260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2.6</w:t>
            </w:r>
          </w:p>
        </w:tc>
        <w:tc>
          <w:tcPr>
            <w:tcW w:w="708" w:type="dxa"/>
            <w:tcBorders>
              <w:top w:val="nil"/>
              <w:left w:val="nil"/>
              <w:bottom w:val="nil"/>
              <w:right w:val="nil"/>
            </w:tcBorders>
            <w:shd w:val="clear" w:color="auto" w:fill="F2F2F2" w:themeFill="background1" w:themeFillShade="F2"/>
            <w:vAlign w:val="bottom"/>
          </w:tcPr>
          <w:p w14:paraId="577847E9" w14:textId="703BC12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1.5</w:t>
            </w:r>
          </w:p>
        </w:tc>
        <w:tc>
          <w:tcPr>
            <w:tcW w:w="993" w:type="dxa"/>
            <w:tcBorders>
              <w:top w:val="nil"/>
              <w:left w:val="nil"/>
              <w:bottom w:val="nil"/>
              <w:right w:val="nil"/>
            </w:tcBorders>
            <w:shd w:val="clear" w:color="auto" w:fill="F2F2F2" w:themeFill="background1" w:themeFillShade="F2"/>
            <w:vAlign w:val="bottom"/>
          </w:tcPr>
          <w:p w14:paraId="3C6B90D5" w14:textId="5AB8056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1.7</w:t>
            </w:r>
          </w:p>
        </w:tc>
      </w:tr>
      <w:tr w:rsidR="006B30DF" w:rsidRPr="00C12CAD" w14:paraId="532B9141" w14:textId="77777777" w:rsidTr="00390DEA">
        <w:trPr>
          <w:trHeight w:val="64"/>
        </w:trPr>
        <w:tc>
          <w:tcPr>
            <w:tcW w:w="2408" w:type="dxa"/>
            <w:tcBorders>
              <w:top w:val="nil"/>
              <w:left w:val="nil"/>
              <w:bottom w:val="nil"/>
              <w:right w:val="nil"/>
            </w:tcBorders>
            <w:shd w:val="clear" w:color="auto" w:fill="FFFFFF" w:themeFill="background1"/>
            <w:vAlign w:val="center"/>
          </w:tcPr>
          <w:p w14:paraId="69AE3343" w14:textId="77777777" w:rsidR="006B30DF" w:rsidRPr="00C12CAD" w:rsidRDefault="006B30DF" w:rsidP="00C12CAD">
            <w:pPr>
              <w:pStyle w:val="TableBody"/>
              <w:ind w:right="57"/>
              <w:rPr>
                <w:rFonts w:ascii="Arial" w:hAnsi="Arial" w:cs="Arial"/>
                <w:szCs w:val="18"/>
              </w:rPr>
            </w:pPr>
            <w:r w:rsidRPr="00C12CAD">
              <w:rPr>
                <w:rFonts w:ascii="Arial" w:hAnsi="Arial" w:cs="Arial"/>
                <w:color w:val="000000"/>
                <w:szCs w:val="18"/>
              </w:rPr>
              <w:t>Arts and recreation services</w:t>
            </w:r>
          </w:p>
        </w:tc>
        <w:tc>
          <w:tcPr>
            <w:tcW w:w="711" w:type="dxa"/>
            <w:tcBorders>
              <w:top w:val="nil"/>
              <w:left w:val="nil"/>
              <w:bottom w:val="nil"/>
              <w:right w:val="nil"/>
            </w:tcBorders>
            <w:shd w:val="clear" w:color="auto" w:fill="auto"/>
            <w:vAlign w:val="bottom"/>
          </w:tcPr>
          <w:p w14:paraId="5AF18CAC" w14:textId="756669EB"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1.3</w:t>
            </w:r>
          </w:p>
        </w:tc>
        <w:tc>
          <w:tcPr>
            <w:tcW w:w="567" w:type="dxa"/>
            <w:tcBorders>
              <w:top w:val="nil"/>
              <w:left w:val="nil"/>
              <w:bottom w:val="nil"/>
              <w:right w:val="nil"/>
            </w:tcBorders>
            <w:shd w:val="clear" w:color="auto" w:fill="auto"/>
            <w:vAlign w:val="bottom"/>
          </w:tcPr>
          <w:p w14:paraId="7FAE7B92" w14:textId="409C4928"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0.8</w:t>
            </w:r>
          </w:p>
        </w:tc>
        <w:tc>
          <w:tcPr>
            <w:tcW w:w="992" w:type="dxa"/>
            <w:tcBorders>
              <w:top w:val="nil"/>
              <w:left w:val="nil"/>
              <w:bottom w:val="nil"/>
              <w:right w:val="single" w:sz="12" w:space="0" w:color="FFFFFF" w:themeColor="background1"/>
            </w:tcBorders>
            <w:shd w:val="clear" w:color="auto" w:fill="auto"/>
            <w:vAlign w:val="bottom"/>
          </w:tcPr>
          <w:p w14:paraId="63C78F1E" w14:textId="506459C5"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-4.2</w:t>
            </w:r>
          </w:p>
        </w:tc>
        <w:tc>
          <w:tcPr>
            <w:tcW w:w="709" w:type="dxa"/>
            <w:tcBorders>
              <w:top w:val="nil"/>
              <w:left w:val="single" w:sz="12" w:space="0" w:color="FFFFFF" w:themeColor="background1"/>
              <w:bottom w:val="nil"/>
              <w:right w:val="nil"/>
            </w:tcBorders>
            <w:shd w:val="clear" w:color="auto" w:fill="auto"/>
            <w:vAlign w:val="bottom"/>
          </w:tcPr>
          <w:p w14:paraId="79CA4E22" w14:textId="5FE30266"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2.7</w:t>
            </w:r>
          </w:p>
        </w:tc>
        <w:tc>
          <w:tcPr>
            <w:tcW w:w="709" w:type="dxa"/>
            <w:tcBorders>
              <w:top w:val="nil"/>
              <w:left w:val="nil"/>
              <w:bottom w:val="nil"/>
              <w:right w:val="nil"/>
            </w:tcBorders>
            <w:shd w:val="clear" w:color="auto" w:fill="auto"/>
            <w:vAlign w:val="bottom"/>
          </w:tcPr>
          <w:p w14:paraId="61245F31" w14:textId="03DBEFD4"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-0.4</w:t>
            </w:r>
          </w:p>
        </w:tc>
        <w:tc>
          <w:tcPr>
            <w:tcW w:w="992" w:type="dxa"/>
            <w:tcBorders>
              <w:top w:val="nil"/>
              <w:left w:val="nil"/>
              <w:bottom w:val="nil"/>
              <w:right w:val="single" w:sz="12" w:space="0" w:color="FFFFFF" w:themeColor="background1"/>
            </w:tcBorders>
            <w:shd w:val="clear" w:color="auto" w:fill="auto"/>
            <w:vAlign w:val="bottom"/>
          </w:tcPr>
          <w:p w14:paraId="4B64C9EB" w14:textId="4D69A4B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1.3</w:t>
            </w:r>
          </w:p>
        </w:tc>
        <w:tc>
          <w:tcPr>
            <w:tcW w:w="709" w:type="dxa"/>
            <w:tcBorders>
              <w:top w:val="nil"/>
              <w:left w:val="single" w:sz="12" w:space="0" w:color="FFFFFF" w:themeColor="background1"/>
              <w:bottom w:val="nil"/>
              <w:right w:val="nil"/>
            </w:tcBorders>
            <w:shd w:val="clear" w:color="auto" w:fill="auto"/>
            <w:vAlign w:val="bottom"/>
          </w:tcPr>
          <w:p w14:paraId="74A32485" w14:textId="35585A8E"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1.4</w:t>
            </w:r>
          </w:p>
        </w:tc>
        <w:tc>
          <w:tcPr>
            <w:tcW w:w="708" w:type="dxa"/>
            <w:tcBorders>
              <w:top w:val="nil"/>
              <w:left w:val="nil"/>
              <w:bottom w:val="nil"/>
              <w:right w:val="nil"/>
            </w:tcBorders>
            <w:shd w:val="clear" w:color="auto" w:fill="auto"/>
            <w:vAlign w:val="bottom"/>
          </w:tcPr>
          <w:p w14:paraId="31BCEE97" w14:textId="49AA14B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-1.2</w:t>
            </w:r>
          </w:p>
        </w:tc>
        <w:tc>
          <w:tcPr>
            <w:tcW w:w="993" w:type="dxa"/>
            <w:tcBorders>
              <w:top w:val="nil"/>
              <w:left w:val="nil"/>
              <w:bottom w:val="nil"/>
              <w:right w:val="nil"/>
            </w:tcBorders>
            <w:shd w:val="clear" w:color="auto" w:fill="auto"/>
            <w:vAlign w:val="bottom"/>
          </w:tcPr>
          <w:p w14:paraId="3819DC77" w14:textId="653BDA97"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5.7</w:t>
            </w:r>
          </w:p>
        </w:tc>
      </w:tr>
      <w:tr w:rsidR="006B30DF" w:rsidRPr="00C12CAD" w14:paraId="46E08378" w14:textId="77777777" w:rsidTr="00390DEA">
        <w:trPr>
          <w:trHeight w:val="47"/>
        </w:trPr>
        <w:tc>
          <w:tcPr>
            <w:tcW w:w="2408" w:type="dxa"/>
            <w:tcBorders>
              <w:top w:val="nil"/>
              <w:left w:val="nil"/>
              <w:bottom w:val="single" w:sz="6" w:space="0" w:color="BFBFBF" w:themeColor="background1" w:themeShade="BF"/>
              <w:right w:val="nil"/>
            </w:tcBorders>
            <w:shd w:val="clear" w:color="auto" w:fill="F2F2F2" w:themeFill="background1" w:themeFillShade="F2"/>
            <w:vAlign w:val="center"/>
          </w:tcPr>
          <w:p w14:paraId="49704427" w14:textId="77777777" w:rsidR="006B30DF" w:rsidRPr="00C12CAD" w:rsidRDefault="006B30DF" w:rsidP="00C12CAD">
            <w:pPr>
              <w:pStyle w:val="TableBody"/>
              <w:ind w:right="57"/>
              <w:rPr>
                <w:rFonts w:ascii="Arial" w:hAnsi="Arial" w:cs="Arial"/>
                <w:color w:val="000000"/>
                <w:szCs w:val="18"/>
              </w:rPr>
            </w:pPr>
            <w:r w:rsidRPr="00C12CAD">
              <w:rPr>
                <w:rFonts w:ascii="Arial" w:hAnsi="Arial" w:cs="Arial"/>
                <w:color w:val="000000"/>
                <w:szCs w:val="18"/>
              </w:rPr>
              <w:t>Other services</w:t>
            </w:r>
          </w:p>
        </w:tc>
        <w:tc>
          <w:tcPr>
            <w:tcW w:w="711" w:type="dxa"/>
            <w:tcBorders>
              <w:top w:val="nil"/>
              <w:left w:val="nil"/>
              <w:bottom w:val="single" w:sz="6" w:space="0" w:color="BFBFBF" w:themeColor="background1" w:themeShade="BF"/>
              <w:right w:val="nil"/>
            </w:tcBorders>
            <w:shd w:val="clear" w:color="auto" w:fill="F2F2F2" w:themeFill="background1" w:themeFillShade="F2"/>
            <w:vAlign w:val="bottom"/>
          </w:tcPr>
          <w:p w14:paraId="72F36854" w14:textId="0E5EAB99"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-2.5</w:t>
            </w:r>
          </w:p>
        </w:tc>
        <w:tc>
          <w:tcPr>
            <w:tcW w:w="567" w:type="dxa"/>
            <w:tcBorders>
              <w:top w:val="nil"/>
              <w:left w:val="nil"/>
              <w:bottom w:val="single" w:sz="6" w:space="0" w:color="BFBFBF" w:themeColor="background1" w:themeShade="BF"/>
              <w:right w:val="nil"/>
            </w:tcBorders>
            <w:shd w:val="clear" w:color="auto" w:fill="F2F2F2" w:themeFill="background1" w:themeFillShade="F2"/>
            <w:vAlign w:val="bottom"/>
          </w:tcPr>
          <w:p w14:paraId="7EF64863" w14:textId="00FE623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1.3</w:t>
            </w:r>
          </w:p>
        </w:tc>
        <w:tc>
          <w:tcPr>
            <w:tcW w:w="992" w:type="dxa"/>
            <w:tcBorders>
              <w:top w:val="nil"/>
              <w:left w:val="nil"/>
              <w:bottom w:val="single" w:sz="6" w:space="0" w:color="BFBFBF" w:themeColor="background1" w:themeShade="BF"/>
              <w:right w:val="single" w:sz="12" w:space="0" w:color="FFFFFF" w:themeColor="background1"/>
            </w:tcBorders>
            <w:shd w:val="clear" w:color="auto" w:fill="F2F2F2" w:themeFill="background1" w:themeFillShade="F2"/>
            <w:vAlign w:val="bottom"/>
          </w:tcPr>
          <w:p w14:paraId="4943F121" w14:textId="25CD5922"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709" w:type="dxa"/>
            <w:tcBorders>
              <w:top w:val="nil"/>
              <w:left w:val="single" w:sz="12" w:space="0" w:color="FFFFFF" w:themeColor="background1"/>
              <w:bottom w:val="single" w:sz="6" w:space="0" w:color="BFBFBF" w:themeColor="background1" w:themeShade="BF"/>
              <w:right w:val="nil"/>
            </w:tcBorders>
            <w:shd w:val="clear" w:color="auto" w:fill="F2F2F2" w:themeFill="background1" w:themeFillShade="F2"/>
            <w:vAlign w:val="bottom"/>
          </w:tcPr>
          <w:p w14:paraId="4E865FDF" w14:textId="44FD1374"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-2.0</w:t>
            </w:r>
          </w:p>
        </w:tc>
        <w:tc>
          <w:tcPr>
            <w:tcW w:w="709" w:type="dxa"/>
            <w:tcBorders>
              <w:top w:val="nil"/>
              <w:left w:val="nil"/>
              <w:bottom w:val="single" w:sz="6" w:space="0" w:color="BFBFBF" w:themeColor="background1" w:themeShade="BF"/>
              <w:right w:val="nil"/>
            </w:tcBorders>
            <w:shd w:val="clear" w:color="auto" w:fill="F2F2F2" w:themeFill="background1" w:themeFillShade="F2"/>
            <w:vAlign w:val="bottom"/>
          </w:tcPr>
          <w:p w14:paraId="1418C289" w14:textId="226854D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1.3</w:t>
            </w:r>
          </w:p>
        </w:tc>
        <w:tc>
          <w:tcPr>
            <w:tcW w:w="992" w:type="dxa"/>
            <w:tcBorders>
              <w:top w:val="nil"/>
              <w:left w:val="nil"/>
              <w:bottom w:val="single" w:sz="6" w:space="0" w:color="BFBFBF" w:themeColor="background1" w:themeShade="BF"/>
              <w:right w:val="single" w:sz="12" w:space="0" w:color="FFFFFF" w:themeColor="background1"/>
            </w:tcBorders>
            <w:shd w:val="clear" w:color="auto" w:fill="F2F2F2" w:themeFill="background1" w:themeFillShade="F2"/>
            <w:vAlign w:val="bottom"/>
          </w:tcPr>
          <w:p w14:paraId="14EBB10D" w14:textId="34F791EF"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0.6</w:t>
            </w:r>
          </w:p>
        </w:tc>
        <w:tc>
          <w:tcPr>
            <w:tcW w:w="709" w:type="dxa"/>
            <w:tcBorders>
              <w:top w:val="nil"/>
              <w:left w:val="single" w:sz="12" w:space="0" w:color="FFFFFF" w:themeColor="background1"/>
              <w:bottom w:val="single" w:sz="6" w:space="0" w:color="BFBFBF" w:themeColor="background1" w:themeShade="BF"/>
              <w:right w:val="nil"/>
            </w:tcBorders>
            <w:shd w:val="clear" w:color="auto" w:fill="F2F2F2" w:themeFill="background1" w:themeFillShade="F2"/>
            <w:vAlign w:val="bottom"/>
          </w:tcPr>
          <w:p w14:paraId="30F40ACD" w14:textId="3D112DE0"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0.5</w:t>
            </w:r>
          </w:p>
        </w:tc>
        <w:tc>
          <w:tcPr>
            <w:tcW w:w="708" w:type="dxa"/>
            <w:tcBorders>
              <w:top w:val="nil"/>
              <w:left w:val="nil"/>
              <w:bottom w:val="single" w:sz="6" w:space="0" w:color="BFBFBF" w:themeColor="background1" w:themeShade="BF"/>
              <w:right w:val="nil"/>
            </w:tcBorders>
            <w:shd w:val="clear" w:color="auto" w:fill="F2F2F2" w:themeFill="background1" w:themeFillShade="F2"/>
            <w:vAlign w:val="bottom"/>
          </w:tcPr>
          <w:p w14:paraId="1D4F3477" w14:textId="111C3414"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c>
          <w:tcPr>
            <w:tcW w:w="993" w:type="dxa"/>
            <w:tcBorders>
              <w:top w:val="nil"/>
              <w:left w:val="nil"/>
              <w:bottom w:val="single" w:sz="6" w:space="0" w:color="BFBFBF" w:themeColor="background1" w:themeShade="BF"/>
              <w:right w:val="nil"/>
            </w:tcBorders>
            <w:shd w:val="clear" w:color="auto" w:fill="F2F2F2" w:themeFill="background1" w:themeFillShade="F2"/>
            <w:vAlign w:val="bottom"/>
          </w:tcPr>
          <w:p w14:paraId="029C727B" w14:textId="55723EEC" w:rsidR="006B30DF" w:rsidRPr="00C12CAD" w:rsidRDefault="006B30DF" w:rsidP="00C12CAD">
            <w:pPr>
              <w:pStyle w:val="TableBody"/>
              <w:ind w:right="57"/>
              <w:jc w:val="right"/>
              <w:rPr>
                <w:rFonts w:ascii="Arial" w:hAnsi="Arial" w:cs="Arial"/>
                <w:szCs w:val="18"/>
              </w:rPr>
            </w:pPr>
            <w:r w:rsidRPr="00C12CAD">
              <w:rPr>
                <w:rFonts w:ascii="Arial" w:hAnsi="Arial" w:cs="Arial"/>
                <w:szCs w:val="18"/>
              </w:rPr>
              <w:t>0.1</w:t>
            </w:r>
          </w:p>
        </w:tc>
      </w:tr>
    </w:tbl>
    <w:p w14:paraId="2E206192" w14:textId="1AA13C8F" w:rsidR="005570A1" w:rsidRPr="00283F82" w:rsidRDefault="005570A1" w:rsidP="005570A1">
      <w:pPr>
        <w:pStyle w:val="Source"/>
        <w:rPr>
          <w:spacing w:val="-6"/>
        </w:rPr>
      </w:pPr>
      <w:r w:rsidRPr="00283F82">
        <w:rPr>
          <w:spacing w:val="-6"/>
        </w:rPr>
        <w:t>Source</w:t>
      </w:r>
      <w:r w:rsidR="00DD64C9" w:rsidRPr="00283F82">
        <w:rPr>
          <w:spacing w:val="-6"/>
        </w:rPr>
        <w:t>s</w:t>
      </w:r>
      <w:r w:rsidRPr="00283F82">
        <w:rPr>
          <w:spacing w:val="-6"/>
        </w:rPr>
        <w:t xml:space="preserve">: Commission estimates </w:t>
      </w:r>
      <w:r w:rsidR="00F27E72" w:rsidRPr="00283F82">
        <w:rPr>
          <w:spacing w:val="-6"/>
        </w:rPr>
        <w:t>based on</w:t>
      </w:r>
      <w:r w:rsidRPr="00283F82">
        <w:rPr>
          <w:spacing w:val="-6"/>
        </w:rPr>
        <w:t xml:space="preserve"> ABS (202</w:t>
      </w:r>
      <w:r w:rsidR="00C140A6">
        <w:rPr>
          <w:spacing w:val="-6"/>
        </w:rPr>
        <w:t>4</w:t>
      </w:r>
      <w:r w:rsidRPr="00283F82">
        <w:rPr>
          <w:spacing w:val="-6"/>
        </w:rPr>
        <w:t xml:space="preserve">, </w:t>
      </w:r>
      <w:r w:rsidRPr="00283F82">
        <w:rPr>
          <w:i/>
          <w:iCs/>
          <w:spacing w:val="-6"/>
        </w:rPr>
        <w:t>Australian National Accounts: National Income, Expenditure and Product</w:t>
      </w:r>
      <w:r w:rsidRPr="00283F82">
        <w:rPr>
          <w:spacing w:val="-6"/>
        </w:rPr>
        <w:t xml:space="preserve">, </w:t>
      </w:r>
      <w:r w:rsidR="00D43D0F">
        <w:t>March</w:t>
      </w:r>
      <w:r w:rsidR="00C140A6">
        <w:t xml:space="preserve"> </w:t>
      </w:r>
      <w:r w:rsidRPr="00283F82">
        <w:rPr>
          <w:spacing w:val="-6"/>
        </w:rPr>
        <w:t>202</w:t>
      </w:r>
      <w:r w:rsidR="00D43D0F">
        <w:rPr>
          <w:spacing w:val="-6"/>
        </w:rPr>
        <w:t>4</w:t>
      </w:r>
      <w:r w:rsidRPr="00283F82">
        <w:rPr>
          <w:spacing w:val="-6"/>
        </w:rPr>
        <w:t>, Cat. no.5206</w:t>
      </w:r>
      <w:r w:rsidR="00014BAB" w:rsidRPr="00283F82">
        <w:rPr>
          <w:spacing w:val="-6"/>
        </w:rPr>
        <w:t>.</w:t>
      </w:r>
      <w:r w:rsidRPr="00283F82">
        <w:rPr>
          <w:spacing w:val="-6"/>
        </w:rPr>
        <w:t xml:space="preserve">0, table </w:t>
      </w:r>
      <w:r w:rsidR="00294485" w:rsidRPr="00283F82">
        <w:rPr>
          <w:spacing w:val="-6"/>
        </w:rPr>
        <w:t>6</w:t>
      </w:r>
      <w:r w:rsidRPr="00283F82">
        <w:rPr>
          <w:spacing w:val="-6"/>
        </w:rPr>
        <w:t>) and ABS (202</w:t>
      </w:r>
      <w:r w:rsidR="00C140A6">
        <w:rPr>
          <w:spacing w:val="-6"/>
        </w:rPr>
        <w:t>4</w:t>
      </w:r>
      <w:r w:rsidRPr="00283F82">
        <w:rPr>
          <w:spacing w:val="-6"/>
        </w:rPr>
        <w:t xml:space="preserve">, </w:t>
      </w:r>
      <w:r w:rsidRPr="00283F82">
        <w:rPr>
          <w:i/>
          <w:iCs/>
          <w:spacing w:val="-6"/>
        </w:rPr>
        <w:t>Labour Account Australia</w:t>
      </w:r>
      <w:r w:rsidRPr="00283F82">
        <w:rPr>
          <w:spacing w:val="-6"/>
        </w:rPr>
        <w:t xml:space="preserve">, </w:t>
      </w:r>
      <w:r w:rsidR="00D43D0F">
        <w:t>March</w:t>
      </w:r>
      <w:r w:rsidR="00C140A6">
        <w:t xml:space="preserve"> </w:t>
      </w:r>
      <w:r w:rsidRPr="00283F82">
        <w:rPr>
          <w:spacing w:val="-6"/>
        </w:rPr>
        <w:t>202</w:t>
      </w:r>
      <w:r w:rsidR="00D43D0F">
        <w:rPr>
          <w:spacing w:val="-6"/>
        </w:rPr>
        <w:t>4</w:t>
      </w:r>
      <w:r w:rsidRPr="00283F82">
        <w:rPr>
          <w:spacing w:val="-6"/>
        </w:rPr>
        <w:t xml:space="preserve">, </w:t>
      </w:r>
      <w:r w:rsidR="008F6C4A" w:rsidRPr="004C5C6D">
        <w:t xml:space="preserve">Cat. No. </w:t>
      </w:r>
      <w:r w:rsidR="008F6C4A" w:rsidRPr="00D84F43">
        <w:t>6150.0.55.003</w:t>
      </w:r>
      <w:r w:rsidR="008F6C4A">
        <w:t>,</w:t>
      </w:r>
      <w:r w:rsidR="008F6C4A" w:rsidRPr="0053714B">
        <w:t xml:space="preserve"> </w:t>
      </w:r>
      <w:r w:rsidRPr="00283F82">
        <w:rPr>
          <w:spacing w:val="-6"/>
        </w:rPr>
        <w:t>industry summary table).</w:t>
      </w:r>
    </w:p>
    <w:p w14:paraId="2B4BF9C1" w14:textId="77777777" w:rsidR="005570A1" w:rsidRDefault="005570A1" w:rsidP="006E218A">
      <w:pPr>
        <w:pStyle w:val="Heading2-nonumber"/>
        <w:spacing w:before="360"/>
      </w:pPr>
      <w:r>
        <w:t>Productivity data revisions</w:t>
      </w:r>
    </w:p>
    <w:p w14:paraId="1CB9212E" w14:textId="13178AE5"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D73E6D">
        <w:t>March</w:t>
      </w:r>
      <w:r w:rsidR="00F463B3">
        <w:t xml:space="preserve"> </w:t>
      </w:r>
      <w:r>
        <w:t>202</w:t>
      </w:r>
      <w:r w:rsidR="00D73E6D">
        <w:t>4</w:t>
      </w:r>
      <w:r>
        <w:t xml:space="preserve"> quarterly release for aggregate and industry statistics. </w:t>
      </w:r>
    </w:p>
    <w:p w14:paraId="053AA0CE" w14:textId="5C6F1A22" w:rsidR="005570A1" w:rsidRPr="00443676" w:rsidRDefault="00C541CF" w:rsidP="004B5789">
      <w:pPr>
        <w:pStyle w:val="FigureTableHeading"/>
        <w:rPr>
          <w:b/>
          <w:bCs/>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056"/>
        <w:gridCol w:w="972"/>
        <w:gridCol w:w="2569"/>
      </w:tblGrid>
      <w:tr w:rsidR="00015036" w:rsidRPr="00C12CAD" w14:paraId="26B1D4F1" w14:textId="77777777" w:rsidTr="00B1182D">
        <w:trPr>
          <w:trHeight w:val="300"/>
        </w:trPr>
        <w:tc>
          <w:tcPr>
            <w:tcW w:w="2615" w:type="pct"/>
            <w:vMerge w:val="restart"/>
            <w:tcBorders>
              <w:top w:val="nil"/>
              <w:left w:val="nil"/>
              <w:bottom w:val="single" w:sz="6" w:space="0" w:color="BFBFBF" w:themeColor="background1" w:themeShade="BF"/>
              <w:right w:val="nil"/>
            </w:tcBorders>
            <w:shd w:val="clear" w:color="auto" w:fill="auto"/>
            <w:vAlign w:val="bottom"/>
            <w:hideMark/>
          </w:tcPr>
          <w:p w14:paraId="3537B011" w14:textId="77777777" w:rsidR="00015036" w:rsidRPr="00C12CAD" w:rsidRDefault="00015036" w:rsidP="00C12CAD">
            <w:pPr>
              <w:pStyle w:val="TableHeading"/>
              <w:ind w:right="57"/>
              <w:rPr>
                <w:rFonts w:ascii="Arial" w:eastAsia="Times New Roman" w:hAnsi="Arial" w:cs="Arial"/>
                <w:szCs w:val="18"/>
                <w:lang w:eastAsia="en-AU"/>
              </w:rPr>
            </w:pPr>
            <w:r w:rsidRPr="00C12CAD">
              <w:rPr>
                <w:rFonts w:ascii="Arial" w:hAnsi="Arial" w:cs="Arial"/>
                <w:szCs w:val="18"/>
                <w:lang w:eastAsia="en-AU"/>
              </w:rPr>
              <w:t> </w:t>
            </w:r>
          </w:p>
        </w:tc>
        <w:tc>
          <w:tcPr>
            <w:tcW w:w="1052" w:type="pct"/>
            <w:gridSpan w:val="2"/>
            <w:tcBorders>
              <w:top w:val="nil"/>
              <w:left w:val="nil"/>
              <w:bottom w:val="single" w:sz="6" w:space="0" w:color="BFBFBF" w:themeColor="background1" w:themeShade="BF"/>
              <w:right w:val="nil"/>
            </w:tcBorders>
            <w:shd w:val="clear" w:color="auto" w:fill="auto"/>
            <w:vAlign w:val="bottom"/>
            <w:hideMark/>
          </w:tcPr>
          <w:p w14:paraId="346A3C9D" w14:textId="1712ADD8" w:rsidR="00015036" w:rsidRPr="00C12CAD" w:rsidRDefault="00015036" w:rsidP="00C12CAD">
            <w:pPr>
              <w:pStyle w:val="TableHeading"/>
              <w:ind w:right="57"/>
              <w:jc w:val="right"/>
              <w:rPr>
                <w:rFonts w:ascii="Arial" w:hAnsi="Arial" w:cs="Arial"/>
                <w:bCs/>
                <w:szCs w:val="18"/>
                <w:lang w:eastAsia="en-AU"/>
              </w:rPr>
            </w:pPr>
            <w:r w:rsidRPr="00C12CAD">
              <w:rPr>
                <w:rFonts w:ascii="Arial" w:hAnsi="Arial" w:cs="Arial"/>
                <w:bCs/>
                <w:szCs w:val="18"/>
                <w:lang w:eastAsia="en-AU"/>
              </w:rPr>
              <w:t>Revision on Q</w:t>
            </w:r>
            <w:r w:rsidR="00522965" w:rsidRPr="00C12CAD">
              <w:rPr>
                <w:rFonts w:ascii="Arial" w:hAnsi="Arial" w:cs="Arial"/>
                <w:bCs/>
                <w:szCs w:val="18"/>
                <w:lang w:eastAsia="en-AU"/>
              </w:rPr>
              <w:t>4</w:t>
            </w:r>
            <w:r w:rsidRPr="00C12CAD">
              <w:rPr>
                <w:rFonts w:ascii="Arial" w:hAnsi="Arial" w:cs="Arial"/>
                <w:bCs/>
                <w:szCs w:val="18"/>
                <w:lang w:eastAsia="en-AU"/>
              </w:rPr>
              <w:t xml:space="preserve"> 2023</w:t>
            </w:r>
          </w:p>
        </w:tc>
        <w:tc>
          <w:tcPr>
            <w:tcW w:w="1333" w:type="pct"/>
            <w:vMerge w:val="restart"/>
            <w:tcBorders>
              <w:top w:val="nil"/>
              <w:left w:val="nil"/>
              <w:bottom w:val="single" w:sz="6" w:space="0" w:color="BFBFBF" w:themeColor="background1" w:themeShade="BF"/>
              <w:right w:val="nil"/>
            </w:tcBorders>
            <w:shd w:val="clear" w:color="auto" w:fill="auto"/>
            <w:vAlign w:val="bottom"/>
            <w:hideMark/>
          </w:tcPr>
          <w:p w14:paraId="3890D115" w14:textId="7B27B8A8" w:rsidR="00015036" w:rsidRPr="00C12CAD" w:rsidRDefault="00015036" w:rsidP="00C12CAD">
            <w:pPr>
              <w:pStyle w:val="TableHeading"/>
              <w:ind w:right="57"/>
              <w:jc w:val="right"/>
              <w:rPr>
                <w:rFonts w:ascii="Arial" w:hAnsi="Arial" w:cs="Arial"/>
                <w:bCs/>
                <w:szCs w:val="18"/>
                <w:lang w:eastAsia="en-AU"/>
              </w:rPr>
            </w:pPr>
            <w:r w:rsidRPr="00C12CAD">
              <w:rPr>
                <w:rFonts w:ascii="Arial" w:hAnsi="Arial" w:cs="Arial"/>
                <w:bCs/>
                <w:szCs w:val="18"/>
                <w:lang w:eastAsia="en-AU"/>
              </w:rPr>
              <w:t xml:space="preserve">Difference </w:t>
            </w:r>
            <w:r w:rsidR="00877969" w:rsidRPr="00C12CAD">
              <w:rPr>
                <w:rFonts w:ascii="Arial" w:hAnsi="Arial" w:cs="Arial"/>
                <w:bCs/>
                <w:szCs w:val="18"/>
                <w:lang w:eastAsia="en-AU"/>
              </w:rPr>
              <w:br/>
            </w:r>
            <w:r w:rsidRPr="00C12CAD">
              <w:rPr>
                <w:rFonts w:ascii="Arial" w:hAnsi="Arial" w:cs="Arial"/>
                <w:bCs/>
                <w:szCs w:val="18"/>
                <w:lang w:eastAsia="en-AU"/>
              </w:rPr>
              <w:t>(percentage point)</w:t>
            </w:r>
          </w:p>
        </w:tc>
      </w:tr>
      <w:tr w:rsidR="00015036" w:rsidRPr="00C12CAD" w14:paraId="3DDDEF7A" w14:textId="77777777" w:rsidTr="00B1182D">
        <w:trPr>
          <w:trHeight w:val="300"/>
        </w:trPr>
        <w:tc>
          <w:tcPr>
            <w:tcW w:w="2615" w:type="pct"/>
            <w:vMerge/>
            <w:tcBorders>
              <w:top w:val="single" w:sz="6" w:space="0" w:color="BFBFBF" w:themeColor="background1" w:themeShade="BF"/>
              <w:left w:val="nil"/>
              <w:bottom w:val="single" w:sz="6" w:space="0" w:color="B3B3B3"/>
            </w:tcBorders>
            <w:vAlign w:val="center"/>
            <w:hideMark/>
          </w:tcPr>
          <w:p w14:paraId="0F42F1E1" w14:textId="77777777" w:rsidR="00015036" w:rsidRPr="00C12CAD" w:rsidRDefault="00015036" w:rsidP="00C12CAD">
            <w:pPr>
              <w:pStyle w:val="TableHeading"/>
              <w:ind w:right="57"/>
              <w:rPr>
                <w:rFonts w:ascii="Arial" w:eastAsia="Times New Roman" w:hAnsi="Arial" w:cs="Arial"/>
                <w:szCs w:val="18"/>
                <w:lang w:eastAsia="en-AU"/>
              </w:rPr>
            </w:pPr>
          </w:p>
        </w:tc>
        <w:tc>
          <w:tcPr>
            <w:tcW w:w="548" w:type="pct"/>
            <w:tcBorders>
              <w:top w:val="single" w:sz="6" w:space="0" w:color="BFBFBF" w:themeColor="background1" w:themeShade="BF"/>
              <w:left w:val="nil"/>
              <w:bottom w:val="single" w:sz="6" w:space="0" w:color="B3B3B3"/>
              <w:right w:val="nil"/>
            </w:tcBorders>
            <w:shd w:val="clear" w:color="auto" w:fill="auto"/>
            <w:vAlign w:val="bottom"/>
            <w:hideMark/>
          </w:tcPr>
          <w:p w14:paraId="1645ED6D" w14:textId="77777777" w:rsidR="00015036" w:rsidRPr="00C12CAD" w:rsidRDefault="00015036" w:rsidP="00C12CAD">
            <w:pPr>
              <w:pStyle w:val="TableHeading"/>
              <w:ind w:right="57"/>
              <w:jc w:val="right"/>
              <w:rPr>
                <w:rFonts w:ascii="Arial" w:hAnsi="Arial" w:cs="Arial"/>
                <w:bCs/>
                <w:szCs w:val="18"/>
                <w:lang w:eastAsia="en-AU"/>
              </w:rPr>
            </w:pPr>
            <w:r w:rsidRPr="00C12CAD">
              <w:rPr>
                <w:rFonts w:ascii="Arial" w:hAnsi="Arial" w:cs="Arial"/>
                <w:bCs/>
                <w:szCs w:val="18"/>
                <w:lang w:eastAsia="en-AU"/>
              </w:rPr>
              <w:t>Before</w:t>
            </w:r>
          </w:p>
        </w:tc>
        <w:tc>
          <w:tcPr>
            <w:tcW w:w="504" w:type="pct"/>
            <w:tcBorders>
              <w:top w:val="single" w:sz="6" w:space="0" w:color="BFBFBF" w:themeColor="background1" w:themeShade="BF"/>
              <w:left w:val="nil"/>
              <w:bottom w:val="single" w:sz="6" w:space="0" w:color="B3B3B3"/>
              <w:right w:val="nil"/>
            </w:tcBorders>
            <w:shd w:val="clear" w:color="auto" w:fill="auto"/>
            <w:vAlign w:val="bottom"/>
            <w:hideMark/>
          </w:tcPr>
          <w:p w14:paraId="13B23A47" w14:textId="77777777" w:rsidR="00015036" w:rsidRPr="00C12CAD" w:rsidRDefault="00015036" w:rsidP="00C12CAD">
            <w:pPr>
              <w:pStyle w:val="TableHeading"/>
              <w:ind w:right="57"/>
              <w:jc w:val="right"/>
              <w:rPr>
                <w:rFonts w:ascii="Arial" w:hAnsi="Arial" w:cs="Arial"/>
                <w:bCs/>
                <w:szCs w:val="18"/>
                <w:lang w:eastAsia="en-AU"/>
              </w:rPr>
            </w:pPr>
            <w:r w:rsidRPr="00C12CAD">
              <w:rPr>
                <w:rFonts w:ascii="Arial" w:hAnsi="Arial" w:cs="Arial"/>
                <w:bCs/>
                <w:szCs w:val="18"/>
                <w:lang w:eastAsia="en-AU"/>
              </w:rPr>
              <w:t>Now</w:t>
            </w:r>
          </w:p>
        </w:tc>
        <w:tc>
          <w:tcPr>
            <w:tcW w:w="1333" w:type="pct"/>
            <w:vMerge/>
            <w:tcBorders>
              <w:top w:val="single" w:sz="6" w:space="0" w:color="BFBFBF" w:themeColor="background1" w:themeShade="BF"/>
              <w:bottom w:val="single" w:sz="6" w:space="0" w:color="B3B3B3"/>
              <w:right w:val="nil"/>
            </w:tcBorders>
            <w:vAlign w:val="bottom"/>
            <w:hideMark/>
          </w:tcPr>
          <w:p w14:paraId="37727ACE" w14:textId="77777777" w:rsidR="00015036" w:rsidRPr="00C12CAD" w:rsidRDefault="00015036" w:rsidP="00C12CAD">
            <w:pPr>
              <w:pStyle w:val="TableHeading"/>
              <w:ind w:right="57"/>
              <w:rPr>
                <w:rFonts w:ascii="Arial" w:hAnsi="Arial" w:cs="Arial"/>
                <w:bCs/>
                <w:szCs w:val="18"/>
                <w:lang w:eastAsia="en-AU"/>
              </w:rPr>
            </w:pPr>
          </w:p>
        </w:tc>
      </w:tr>
      <w:tr w:rsidR="005570A1" w:rsidRPr="00C12CAD" w14:paraId="51478165" w14:textId="77777777" w:rsidTr="000518CF">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0638EF78" w14:textId="77777777" w:rsidR="005570A1" w:rsidRPr="00C12CAD" w:rsidRDefault="005570A1" w:rsidP="00C12CAD">
            <w:pPr>
              <w:pStyle w:val="TableHeading"/>
              <w:ind w:right="57"/>
              <w:rPr>
                <w:rFonts w:ascii="Arial" w:eastAsia="Times New Roman" w:hAnsi="Arial" w:cs="Arial"/>
                <w:b w:val="0"/>
                <w:bCs/>
                <w:color w:val="265A9A"/>
                <w:szCs w:val="18"/>
                <w:lang w:eastAsia="en-AU"/>
              </w:rPr>
            </w:pPr>
            <w:r w:rsidRPr="00C12CAD">
              <w:rPr>
                <w:rFonts w:ascii="Arial" w:eastAsia="Times New Roman" w:hAnsi="Arial" w:cs="Arial"/>
                <w:color w:val="265A9A"/>
                <w:szCs w:val="18"/>
                <w:lang w:eastAsia="en-AU"/>
              </w:rPr>
              <w:t>Whole Economy </w:t>
            </w:r>
          </w:p>
        </w:tc>
      </w:tr>
      <w:tr w:rsidR="001C2040" w:rsidRPr="00C12CAD" w14:paraId="0EBB1D62" w14:textId="77777777" w:rsidTr="00522965">
        <w:trPr>
          <w:trHeight w:val="300"/>
        </w:trPr>
        <w:tc>
          <w:tcPr>
            <w:tcW w:w="2615" w:type="pct"/>
            <w:tcBorders>
              <w:top w:val="nil"/>
              <w:left w:val="nil"/>
              <w:bottom w:val="nil"/>
              <w:right w:val="nil"/>
            </w:tcBorders>
            <w:shd w:val="clear" w:color="auto" w:fill="FFFFFF" w:themeFill="background1"/>
            <w:vAlign w:val="center"/>
            <w:hideMark/>
          </w:tcPr>
          <w:p w14:paraId="3F3BDF60" w14:textId="77777777" w:rsidR="001C2040" w:rsidRPr="00C12CAD" w:rsidRDefault="001C2040" w:rsidP="00C12CAD">
            <w:pPr>
              <w:pStyle w:val="TableBody"/>
              <w:ind w:right="57"/>
              <w:rPr>
                <w:rFonts w:ascii="Arial" w:eastAsia="Times New Roman" w:hAnsi="Arial" w:cs="Arial"/>
                <w:szCs w:val="18"/>
                <w:lang w:eastAsia="en-AU"/>
              </w:rPr>
            </w:pPr>
            <w:r w:rsidRPr="00C12CAD">
              <w:rPr>
                <w:rFonts w:ascii="Arial" w:hAnsi="Arial" w:cs="Arial"/>
                <w:szCs w:val="18"/>
                <w:lang w:eastAsia="en-AU"/>
              </w:rPr>
              <w:t xml:space="preserve">Output </w:t>
            </w:r>
            <w:r w:rsidRPr="00C12CAD">
              <w:rPr>
                <w:rFonts w:ascii="Arial" w:eastAsia="Times New Roman" w:hAnsi="Arial" w:cs="Arial"/>
                <w:szCs w:val="18"/>
                <w:lang w:eastAsia="en-AU"/>
              </w:rPr>
              <w:t>(real GDP) </w:t>
            </w:r>
          </w:p>
        </w:tc>
        <w:tc>
          <w:tcPr>
            <w:tcW w:w="548" w:type="pct"/>
            <w:tcBorders>
              <w:top w:val="nil"/>
              <w:left w:val="nil"/>
              <w:bottom w:val="nil"/>
              <w:right w:val="nil"/>
            </w:tcBorders>
            <w:shd w:val="clear" w:color="auto" w:fill="auto"/>
            <w:vAlign w:val="center"/>
          </w:tcPr>
          <w:p w14:paraId="76F53DFD" w14:textId="5D9FDCF3" w:rsidR="001C2040" w:rsidRPr="00C12CAD" w:rsidRDefault="001C2040" w:rsidP="00C12CAD">
            <w:pPr>
              <w:pStyle w:val="TableBody"/>
              <w:ind w:right="57"/>
              <w:jc w:val="right"/>
              <w:rPr>
                <w:rFonts w:ascii="Arial" w:hAnsi="Arial" w:cs="Arial"/>
                <w:szCs w:val="18"/>
              </w:rPr>
            </w:pPr>
            <w:r w:rsidRPr="00C12CAD">
              <w:rPr>
                <w:rFonts w:ascii="Arial" w:hAnsi="Arial" w:cs="Arial"/>
                <w:color w:val="000000"/>
                <w:szCs w:val="18"/>
              </w:rPr>
              <w:t>0.2</w:t>
            </w:r>
          </w:p>
        </w:tc>
        <w:tc>
          <w:tcPr>
            <w:tcW w:w="504" w:type="pct"/>
            <w:tcBorders>
              <w:top w:val="nil"/>
              <w:left w:val="nil"/>
              <w:bottom w:val="nil"/>
              <w:right w:val="nil"/>
            </w:tcBorders>
            <w:shd w:val="clear" w:color="auto" w:fill="auto"/>
            <w:vAlign w:val="bottom"/>
          </w:tcPr>
          <w:p w14:paraId="39580421" w14:textId="7985AEFB" w:rsidR="001C2040" w:rsidRPr="00C12CAD" w:rsidRDefault="001C2040" w:rsidP="00C12CAD">
            <w:pPr>
              <w:pStyle w:val="TableBody"/>
              <w:ind w:right="57"/>
              <w:jc w:val="right"/>
              <w:rPr>
                <w:rFonts w:ascii="Arial" w:hAnsi="Arial" w:cs="Arial"/>
                <w:szCs w:val="18"/>
              </w:rPr>
            </w:pPr>
            <w:r w:rsidRPr="00C12CAD">
              <w:rPr>
                <w:rFonts w:ascii="Arial" w:hAnsi="Arial" w:cs="Arial"/>
                <w:color w:val="000000"/>
                <w:szCs w:val="18"/>
              </w:rPr>
              <w:t>0.3</w:t>
            </w:r>
          </w:p>
        </w:tc>
        <w:tc>
          <w:tcPr>
            <w:tcW w:w="1333" w:type="pct"/>
            <w:tcBorders>
              <w:top w:val="nil"/>
              <w:left w:val="nil"/>
              <w:bottom w:val="nil"/>
              <w:right w:val="nil"/>
            </w:tcBorders>
            <w:shd w:val="clear" w:color="auto" w:fill="auto"/>
            <w:vAlign w:val="bottom"/>
          </w:tcPr>
          <w:p w14:paraId="00A32B27" w14:textId="69A637D6" w:rsidR="001C2040" w:rsidRPr="00C12CAD" w:rsidRDefault="001C2040" w:rsidP="00C12CAD">
            <w:pPr>
              <w:pStyle w:val="TableBody"/>
              <w:ind w:right="57"/>
              <w:jc w:val="right"/>
              <w:rPr>
                <w:rFonts w:ascii="Arial" w:hAnsi="Arial" w:cs="Arial"/>
                <w:szCs w:val="18"/>
              </w:rPr>
            </w:pPr>
            <w:r w:rsidRPr="00C12CAD">
              <w:rPr>
                <w:rFonts w:ascii="Arial" w:hAnsi="Arial" w:cs="Arial"/>
                <w:color w:val="000000"/>
                <w:szCs w:val="18"/>
              </w:rPr>
              <w:t>0.1</w:t>
            </w:r>
          </w:p>
        </w:tc>
      </w:tr>
      <w:tr w:rsidR="001C2040" w:rsidRPr="00C12CAD" w14:paraId="28355D9A" w14:textId="77777777" w:rsidTr="00522965">
        <w:trPr>
          <w:trHeight w:val="300"/>
        </w:trPr>
        <w:tc>
          <w:tcPr>
            <w:tcW w:w="2615" w:type="pct"/>
            <w:tcBorders>
              <w:top w:val="nil"/>
              <w:left w:val="nil"/>
              <w:bottom w:val="nil"/>
              <w:right w:val="nil"/>
            </w:tcBorders>
            <w:shd w:val="clear" w:color="auto" w:fill="FFFFFF" w:themeFill="background1"/>
            <w:vAlign w:val="center"/>
            <w:hideMark/>
          </w:tcPr>
          <w:p w14:paraId="70EE41ED" w14:textId="77777777" w:rsidR="001C2040" w:rsidRPr="00C12CAD" w:rsidRDefault="001C2040" w:rsidP="00C12CAD">
            <w:pPr>
              <w:pStyle w:val="TableBody"/>
              <w:ind w:right="57"/>
              <w:rPr>
                <w:rFonts w:ascii="Arial" w:eastAsia="Times New Roman" w:hAnsi="Arial" w:cs="Arial"/>
                <w:szCs w:val="18"/>
                <w:lang w:eastAsia="en-AU"/>
              </w:rPr>
            </w:pPr>
            <w:r w:rsidRPr="00C12CAD">
              <w:rPr>
                <w:rFonts w:ascii="Arial" w:hAnsi="Arial" w:cs="Arial"/>
                <w:szCs w:val="18"/>
                <w:lang w:eastAsia="en-AU"/>
              </w:rPr>
              <w:t xml:space="preserve">Hours </w:t>
            </w:r>
            <w:r w:rsidRPr="00C12CAD">
              <w:rPr>
                <w:rFonts w:ascii="Arial" w:eastAsia="Times New Roman" w:hAnsi="Arial" w:cs="Arial"/>
                <w:szCs w:val="18"/>
                <w:lang w:eastAsia="en-AU"/>
              </w:rPr>
              <w:t>worked </w:t>
            </w:r>
          </w:p>
        </w:tc>
        <w:tc>
          <w:tcPr>
            <w:tcW w:w="548" w:type="pct"/>
            <w:tcBorders>
              <w:top w:val="nil"/>
              <w:left w:val="nil"/>
              <w:bottom w:val="nil"/>
              <w:right w:val="nil"/>
            </w:tcBorders>
            <w:shd w:val="clear" w:color="auto" w:fill="auto"/>
            <w:vAlign w:val="center"/>
          </w:tcPr>
          <w:p w14:paraId="7F6424E5" w14:textId="5A587DF2" w:rsidR="001C2040" w:rsidRPr="00C12CAD" w:rsidRDefault="001C2040" w:rsidP="00C12CAD">
            <w:pPr>
              <w:pStyle w:val="TableBody"/>
              <w:ind w:right="57"/>
              <w:jc w:val="right"/>
              <w:rPr>
                <w:rFonts w:ascii="Arial" w:hAnsi="Arial" w:cs="Arial"/>
                <w:szCs w:val="18"/>
              </w:rPr>
            </w:pPr>
            <w:r w:rsidRPr="00C12CAD">
              <w:rPr>
                <w:rFonts w:ascii="Arial" w:hAnsi="Arial" w:cs="Arial"/>
                <w:color w:val="000000"/>
                <w:szCs w:val="18"/>
              </w:rPr>
              <w:t>-0.3</w:t>
            </w:r>
          </w:p>
        </w:tc>
        <w:tc>
          <w:tcPr>
            <w:tcW w:w="504" w:type="pct"/>
            <w:tcBorders>
              <w:top w:val="nil"/>
              <w:left w:val="nil"/>
              <w:bottom w:val="nil"/>
              <w:right w:val="nil"/>
            </w:tcBorders>
            <w:shd w:val="clear" w:color="auto" w:fill="auto"/>
            <w:vAlign w:val="bottom"/>
          </w:tcPr>
          <w:p w14:paraId="3FE85283" w14:textId="4C1E16C7" w:rsidR="001C2040" w:rsidRPr="00C12CAD" w:rsidRDefault="001C2040" w:rsidP="00C12CAD">
            <w:pPr>
              <w:pStyle w:val="TableBody"/>
              <w:ind w:right="57"/>
              <w:jc w:val="right"/>
              <w:rPr>
                <w:rFonts w:ascii="Arial" w:hAnsi="Arial" w:cs="Arial"/>
                <w:szCs w:val="18"/>
              </w:rPr>
            </w:pPr>
            <w:r w:rsidRPr="00C12CAD">
              <w:rPr>
                <w:rFonts w:ascii="Arial" w:hAnsi="Arial" w:cs="Arial"/>
                <w:color w:val="000000"/>
                <w:szCs w:val="18"/>
              </w:rPr>
              <w:t>-0.2</w:t>
            </w:r>
          </w:p>
        </w:tc>
        <w:tc>
          <w:tcPr>
            <w:tcW w:w="1333" w:type="pct"/>
            <w:tcBorders>
              <w:top w:val="nil"/>
              <w:left w:val="nil"/>
              <w:bottom w:val="nil"/>
              <w:right w:val="nil"/>
            </w:tcBorders>
            <w:shd w:val="clear" w:color="auto" w:fill="auto"/>
            <w:vAlign w:val="bottom"/>
          </w:tcPr>
          <w:p w14:paraId="4EB24607" w14:textId="33A70423" w:rsidR="001C2040" w:rsidRPr="00C12CAD" w:rsidRDefault="001C2040" w:rsidP="00C12CAD">
            <w:pPr>
              <w:pStyle w:val="TableBody"/>
              <w:ind w:right="57"/>
              <w:jc w:val="right"/>
              <w:rPr>
                <w:rFonts w:ascii="Arial" w:hAnsi="Arial" w:cs="Arial"/>
                <w:szCs w:val="18"/>
              </w:rPr>
            </w:pPr>
            <w:r w:rsidRPr="00C12CAD">
              <w:rPr>
                <w:rFonts w:ascii="Arial" w:hAnsi="Arial" w:cs="Arial"/>
                <w:color w:val="000000"/>
                <w:szCs w:val="18"/>
              </w:rPr>
              <w:t>0.1</w:t>
            </w:r>
          </w:p>
        </w:tc>
      </w:tr>
      <w:tr w:rsidR="001C2040" w:rsidRPr="00C12CAD" w14:paraId="46713139" w14:textId="77777777" w:rsidTr="00522965">
        <w:trPr>
          <w:trHeight w:val="300"/>
        </w:trPr>
        <w:tc>
          <w:tcPr>
            <w:tcW w:w="2615" w:type="pct"/>
            <w:tcBorders>
              <w:top w:val="nil"/>
              <w:left w:val="nil"/>
              <w:bottom w:val="nil"/>
              <w:right w:val="nil"/>
            </w:tcBorders>
            <w:shd w:val="clear" w:color="auto" w:fill="FFFFFF" w:themeFill="background1"/>
            <w:vAlign w:val="center"/>
            <w:hideMark/>
          </w:tcPr>
          <w:p w14:paraId="2254955E" w14:textId="77777777" w:rsidR="001C2040" w:rsidRPr="00C12CAD" w:rsidRDefault="001C2040" w:rsidP="00C12CAD">
            <w:pPr>
              <w:pStyle w:val="TableBody"/>
              <w:ind w:right="57"/>
              <w:rPr>
                <w:rFonts w:ascii="Arial" w:eastAsia="Times New Roman" w:hAnsi="Arial" w:cs="Arial"/>
                <w:b/>
                <w:szCs w:val="18"/>
                <w:lang w:eastAsia="en-AU"/>
              </w:rPr>
            </w:pPr>
            <w:r w:rsidRPr="00C12CAD">
              <w:rPr>
                <w:rFonts w:ascii="Arial" w:hAnsi="Arial" w:cs="Arial"/>
                <w:b/>
                <w:szCs w:val="18"/>
                <w:lang w:eastAsia="en-AU"/>
              </w:rPr>
              <w:t>Labour Productivity</w:t>
            </w:r>
            <w:r w:rsidRPr="00C12CAD">
              <w:rPr>
                <w:rFonts w:ascii="Arial" w:eastAsia="Times New Roman" w:hAnsi="Arial" w:cs="Arial"/>
                <w:b/>
                <w:szCs w:val="18"/>
                <w:lang w:eastAsia="en-AU"/>
              </w:rPr>
              <w:t> </w:t>
            </w:r>
          </w:p>
        </w:tc>
        <w:tc>
          <w:tcPr>
            <w:tcW w:w="548" w:type="pct"/>
            <w:tcBorders>
              <w:top w:val="nil"/>
              <w:left w:val="nil"/>
              <w:bottom w:val="nil"/>
              <w:right w:val="nil"/>
            </w:tcBorders>
            <w:shd w:val="clear" w:color="auto" w:fill="auto"/>
            <w:vAlign w:val="center"/>
          </w:tcPr>
          <w:p w14:paraId="21F3085F" w14:textId="751C3AA1" w:rsidR="001C2040" w:rsidRPr="00C12CAD" w:rsidRDefault="001C2040" w:rsidP="00C12CAD">
            <w:pPr>
              <w:pStyle w:val="TableBody"/>
              <w:ind w:right="57"/>
              <w:jc w:val="right"/>
              <w:rPr>
                <w:rFonts w:ascii="Arial" w:hAnsi="Arial" w:cs="Arial"/>
                <w:b/>
                <w:bCs/>
                <w:szCs w:val="18"/>
              </w:rPr>
            </w:pPr>
            <w:r w:rsidRPr="00C12CAD">
              <w:rPr>
                <w:rFonts w:ascii="Arial" w:hAnsi="Arial" w:cs="Arial"/>
                <w:b/>
                <w:bCs/>
                <w:color w:val="000000"/>
                <w:szCs w:val="18"/>
              </w:rPr>
              <w:t>0.5</w:t>
            </w:r>
          </w:p>
        </w:tc>
        <w:tc>
          <w:tcPr>
            <w:tcW w:w="504" w:type="pct"/>
            <w:tcBorders>
              <w:top w:val="nil"/>
              <w:left w:val="nil"/>
              <w:bottom w:val="nil"/>
              <w:right w:val="nil"/>
            </w:tcBorders>
            <w:shd w:val="clear" w:color="auto" w:fill="auto"/>
            <w:vAlign w:val="bottom"/>
          </w:tcPr>
          <w:p w14:paraId="0394FA75" w14:textId="0A905FC7" w:rsidR="001C2040" w:rsidRPr="00C12CAD" w:rsidRDefault="001C2040" w:rsidP="00C12CAD">
            <w:pPr>
              <w:pStyle w:val="TableBody"/>
              <w:ind w:right="57"/>
              <w:jc w:val="right"/>
              <w:rPr>
                <w:rFonts w:ascii="Arial" w:hAnsi="Arial" w:cs="Arial"/>
                <w:b/>
                <w:bCs/>
                <w:szCs w:val="18"/>
              </w:rPr>
            </w:pPr>
            <w:r w:rsidRPr="00C12CAD">
              <w:rPr>
                <w:rFonts w:ascii="Arial" w:hAnsi="Arial" w:cs="Arial"/>
                <w:b/>
                <w:bCs/>
                <w:color w:val="000000"/>
                <w:szCs w:val="18"/>
              </w:rPr>
              <w:t>0.5</w:t>
            </w:r>
          </w:p>
        </w:tc>
        <w:tc>
          <w:tcPr>
            <w:tcW w:w="1333" w:type="pct"/>
            <w:tcBorders>
              <w:top w:val="nil"/>
              <w:left w:val="nil"/>
              <w:bottom w:val="nil"/>
              <w:right w:val="nil"/>
            </w:tcBorders>
            <w:shd w:val="clear" w:color="auto" w:fill="auto"/>
            <w:vAlign w:val="bottom"/>
          </w:tcPr>
          <w:p w14:paraId="05591B19" w14:textId="0CC6D482" w:rsidR="001C2040" w:rsidRPr="00C12CAD" w:rsidRDefault="001C2040" w:rsidP="00C12CAD">
            <w:pPr>
              <w:pStyle w:val="TableBody"/>
              <w:ind w:right="57"/>
              <w:jc w:val="right"/>
              <w:rPr>
                <w:rFonts w:ascii="Arial" w:hAnsi="Arial" w:cs="Arial"/>
                <w:b/>
                <w:bCs/>
                <w:szCs w:val="18"/>
              </w:rPr>
            </w:pPr>
            <w:r w:rsidRPr="00C12CAD">
              <w:rPr>
                <w:rFonts w:ascii="Arial" w:hAnsi="Arial" w:cs="Arial"/>
                <w:b/>
                <w:bCs/>
                <w:color w:val="000000"/>
                <w:szCs w:val="18"/>
              </w:rPr>
              <w:t>0</w:t>
            </w:r>
          </w:p>
        </w:tc>
      </w:tr>
      <w:tr w:rsidR="001C2040" w:rsidRPr="00C12CAD" w14:paraId="65BE1AAD" w14:textId="77777777" w:rsidTr="00796C18">
        <w:trPr>
          <w:trHeight w:val="300"/>
        </w:trPr>
        <w:tc>
          <w:tcPr>
            <w:tcW w:w="2615" w:type="pct"/>
            <w:tcBorders>
              <w:top w:val="nil"/>
              <w:left w:val="nil"/>
              <w:bottom w:val="nil"/>
              <w:right w:val="nil"/>
            </w:tcBorders>
            <w:shd w:val="clear" w:color="auto" w:fill="E0F1F7" w:themeFill="text2" w:themeFillTint="33"/>
            <w:vAlign w:val="center"/>
          </w:tcPr>
          <w:p w14:paraId="7F7A38D0" w14:textId="636A8E17" w:rsidR="001C2040" w:rsidRPr="00C12CAD" w:rsidRDefault="001C2040" w:rsidP="00C12CAD">
            <w:pPr>
              <w:pStyle w:val="TableHeading"/>
              <w:ind w:right="57"/>
              <w:rPr>
                <w:rFonts w:ascii="Arial" w:eastAsia="Times New Roman" w:hAnsi="Arial" w:cs="Arial"/>
                <w:b w:val="0"/>
                <w:bCs/>
                <w:szCs w:val="18"/>
                <w:lang w:eastAsia="en-AU"/>
              </w:rPr>
            </w:pPr>
            <w:r w:rsidRPr="00C12CAD">
              <w:rPr>
                <w:rFonts w:ascii="Arial" w:hAnsi="Arial" w:cs="Arial"/>
                <w:szCs w:val="18"/>
                <w:lang w:eastAsia="en-AU"/>
              </w:rPr>
              <w:t>Market Sector</w:t>
            </w:r>
          </w:p>
        </w:tc>
        <w:tc>
          <w:tcPr>
            <w:tcW w:w="548" w:type="pct"/>
            <w:tcBorders>
              <w:top w:val="nil"/>
              <w:left w:val="nil"/>
              <w:bottom w:val="nil"/>
              <w:right w:val="nil"/>
            </w:tcBorders>
            <w:shd w:val="clear" w:color="auto" w:fill="E0F1F7" w:themeFill="text2" w:themeFillTint="33"/>
            <w:vAlign w:val="center"/>
          </w:tcPr>
          <w:p w14:paraId="0EE26CFD" w14:textId="77777777" w:rsidR="001C2040" w:rsidRPr="00C12CAD" w:rsidRDefault="001C2040" w:rsidP="00C12CAD">
            <w:pPr>
              <w:pStyle w:val="TableBody"/>
              <w:ind w:right="57"/>
              <w:rPr>
                <w:rFonts w:ascii="Arial" w:hAnsi="Arial" w:cs="Arial"/>
                <w:szCs w:val="18"/>
              </w:rPr>
            </w:pPr>
          </w:p>
        </w:tc>
        <w:tc>
          <w:tcPr>
            <w:tcW w:w="504" w:type="pct"/>
            <w:tcBorders>
              <w:top w:val="nil"/>
              <w:left w:val="nil"/>
              <w:bottom w:val="nil"/>
              <w:right w:val="nil"/>
            </w:tcBorders>
            <w:shd w:val="clear" w:color="auto" w:fill="E0F1F7" w:themeFill="text2" w:themeFillTint="33"/>
            <w:vAlign w:val="center"/>
          </w:tcPr>
          <w:p w14:paraId="1F7BEF44" w14:textId="77777777" w:rsidR="001C2040" w:rsidRPr="00C12CAD" w:rsidRDefault="001C2040" w:rsidP="00C12CAD">
            <w:pPr>
              <w:pStyle w:val="TableBody"/>
              <w:ind w:right="57"/>
              <w:rPr>
                <w:rFonts w:ascii="Arial" w:hAnsi="Arial" w:cs="Arial"/>
                <w:szCs w:val="18"/>
              </w:rPr>
            </w:pPr>
          </w:p>
        </w:tc>
        <w:tc>
          <w:tcPr>
            <w:tcW w:w="1333" w:type="pct"/>
            <w:tcBorders>
              <w:top w:val="nil"/>
              <w:left w:val="nil"/>
              <w:bottom w:val="nil"/>
              <w:right w:val="nil"/>
            </w:tcBorders>
            <w:shd w:val="clear" w:color="auto" w:fill="E0F1F7" w:themeFill="text2" w:themeFillTint="33"/>
            <w:vAlign w:val="center"/>
          </w:tcPr>
          <w:p w14:paraId="7096D6DF" w14:textId="77777777" w:rsidR="001C2040" w:rsidRPr="00C12CAD" w:rsidRDefault="001C2040" w:rsidP="00C12CAD">
            <w:pPr>
              <w:pStyle w:val="TableBody"/>
              <w:ind w:right="57"/>
              <w:rPr>
                <w:rFonts w:ascii="Arial" w:hAnsi="Arial" w:cs="Arial"/>
                <w:szCs w:val="18"/>
              </w:rPr>
            </w:pPr>
          </w:p>
        </w:tc>
      </w:tr>
      <w:tr w:rsidR="00522965" w:rsidRPr="00C12CAD" w14:paraId="5830A471" w14:textId="77777777" w:rsidTr="00522965">
        <w:trPr>
          <w:trHeight w:val="300"/>
        </w:trPr>
        <w:tc>
          <w:tcPr>
            <w:tcW w:w="2615" w:type="pct"/>
            <w:tcBorders>
              <w:top w:val="nil"/>
              <w:left w:val="nil"/>
              <w:bottom w:val="nil"/>
              <w:right w:val="nil"/>
            </w:tcBorders>
            <w:shd w:val="clear" w:color="auto" w:fill="auto"/>
            <w:vAlign w:val="center"/>
          </w:tcPr>
          <w:p w14:paraId="49124DD1" w14:textId="77777777" w:rsidR="00522965" w:rsidRPr="00C12CAD" w:rsidRDefault="00522965" w:rsidP="00C12CAD">
            <w:pPr>
              <w:pStyle w:val="TableBody"/>
              <w:ind w:right="57"/>
              <w:rPr>
                <w:rFonts w:ascii="Arial" w:eastAsia="Times New Roman" w:hAnsi="Arial" w:cs="Arial"/>
                <w:szCs w:val="18"/>
                <w:lang w:eastAsia="en-AU"/>
              </w:rPr>
            </w:pPr>
            <w:r w:rsidRPr="00C12CAD">
              <w:rPr>
                <w:rFonts w:ascii="Arial" w:hAnsi="Arial" w:cs="Arial"/>
                <w:szCs w:val="18"/>
                <w:lang w:eastAsia="en-AU"/>
              </w:rPr>
              <w:t xml:space="preserve">Output </w:t>
            </w:r>
            <w:r w:rsidRPr="00C12CAD">
              <w:rPr>
                <w:rFonts w:ascii="Arial" w:eastAsia="Times New Roman" w:hAnsi="Arial" w:cs="Arial"/>
                <w:szCs w:val="18"/>
                <w:lang w:eastAsia="en-AU"/>
              </w:rPr>
              <w:t>(Gross value-added)</w:t>
            </w:r>
          </w:p>
        </w:tc>
        <w:tc>
          <w:tcPr>
            <w:tcW w:w="548" w:type="pct"/>
            <w:tcBorders>
              <w:top w:val="nil"/>
              <w:left w:val="nil"/>
              <w:bottom w:val="nil"/>
              <w:right w:val="nil"/>
            </w:tcBorders>
            <w:shd w:val="clear" w:color="auto" w:fill="auto"/>
            <w:vAlign w:val="center"/>
          </w:tcPr>
          <w:p w14:paraId="5E402523" w14:textId="79D9A794" w:rsidR="00522965" w:rsidRPr="00C12CAD" w:rsidRDefault="00522965" w:rsidP="00C12CAD">
            <w:pPr>
              <w:pStyle w:val="TableBody"/>
              <w:ind w:right="57"/>
              <w:jc w:val="right"/>
              <w:rPr>
                <w:rFonts w:ascii="Arial" w:hAnsi="Arial" w:cs="Arial"/>
                <w:szCs w:val="18"/>
              </w:rPr>
            </w:pPr>
            <w:r w:rsidRPr="00C12CAD">
              <w:rPr>
                <w:rFonts w:ascii="Arial" w:hAnsi="Arial" w:cs="Arial"/>
                <w:color w:val="000000"/>
                <w:szCs w:val="18"/>
              </w:rPr>
              <w:t>0.1</w:t>
            </w:r>
          </w:p>
        </w:tc>
        <w:tc>
          <w:tcPr>
            <w:tcW w:w="504" w:type="pct"/>
            <w:tcBorders>
              <w:top w:val="nil"/>
              <w:left w:val="nil"/>
              <w:bottom w:val="nil"/>
              <w:right w:val="nil"/>
            </w:tcBorders>
            <w:shd w:val="clear" w:color="auto" w:fill="auto"/>
            <w:vAlign w:val="bottom"/>
          </w:tcPr>
          <w:p w14:paraId="5DDDA43A" w14:textId="221ED324" w:rsidR="00522965" w:rsidRPr="00C12CAD" w:rsidRDefault="00522965" w:rsidP="00C12CAD">
            <w:pPr>
              <w:pStyle w:val="TableBody"/>
              <w:ind w:right="57"/>
              <w:jc w:val="right"/>
              <w:rPr>
                <w:rFonts w:ascii="Arial" w:hAnsi="Arial" w:cs="Arial"/>
                <w:szCs w:val="18"/>
              </w:rPr>
            </w:pPr>
            <w:r w:rsidRPr="00C12CAD">
              <w:rPr>
                <w:rFonts w:ascii="Arial" w:hAnsi="Arial" w:cs="Arial"/>
                <w:color w:val="000000"/>
                <w:szCs w:val="18"/>
              </w:rPr>
              <w:t>0.3</w:t>
            </w:r>
          </w:p>
        </w:tc>
        <w:tc>
          <w:tcPr>
            <w:tcW w:w="1333" w:type="pct"/>
            <w:tcBorders>
              <w:top w:val="nil"/>
              <w:left w:val="nil"/>
              <w:bottom w:val="nil"/>
              <w:right w:val="nil"/>
            </w:tcBorders>
            <w:shd w:val="clear" w:color="auto" w:fill="auto"/>
            <w:vAlign w:val="bottom"/>
          </w:tcPr>
          <w:p w14:paraId="1AF23038" w14:textId="1A33D145" w:rsidR="00522965" w:rsidRPr="00C12CAD" w:rsidRDefault="00522965" w:rsidP="00C12CAD">
            <w:pPr>
              <w:pStyle w:val="TableBody"/>
              <w:ind w:right="57"/>
              <w:jc w:val="right"/>
              <w:rPr>
                <w:rFonts w:ascii="Arial" w:hAnsi="Arial" w:cs="Arial"/>
                <w:szCs w:val="18"/>
              </w:rPr>
            </w:pPr>
            <w:r w:rsidRPr="00C12CAD">
              <w:rPr>
                <w:rFonts w:ascii="Arial" w:hAnsi="Arial" w:cs="Arial"/>
                <w:color w:val="000000"/>
                <w:szCs w:val="18"/>
              </w:rPr>
              <w:t>0.2</w:t>
            </w:r>
          </w:p>
        </w:tc>
      </w:tr>
      <w:tr w:rsidR="00522965" w:rsidRPr="00C12CAD" w14:paraId="515BC0AE" w14:textId="77777777" w:rsidTr="00B1182D">
        <w:trPr>
          <w:trHeight w:val="300"/>
        </w:trPr>
        <w:tc>
          <w:tcPr>
            <w:tcW w:w="2615" w:type="pct"/>
            <w:tcBorders>
              <w:top w:val="nil"/>
              <w:left w:val="nil"/>
              <w:bottom w:val="nil"/>
              <w:right w:val="nil"/>
            </w:tcBorders>
            <w:shd w:val="clear" w:color="auto" w:fill="auto"/>
            <w:vAlign w:val="center"/>
          </w:tcPr>
          <w:p w14:paraId="5D21638F" w14:textId="77777777" w:rsidR="00522965" w:rsidRPr="00C12CAD" w:rsidRDefault="00522965" w:rsidP="00C12CAD">
            <w:pPr>
              <w:pStyle w:val="TableBody"/>
              <w:ind w:right="57"/>
              <w:rPr>
                <w:rFonts w:ascii="Arial" w:eastAsia="Times New Roman" w:hAnsi="Arial" w:cs="Arial"/>
                <w:b/>
                <w:bCs/>
                <w:color w:val="265A9A"/>
                <w:szCs w:val="18"/>
                <w:lang w:eastAsia="en-AU"/>
              </w:rPr>
            </w:pPr>
            <w:r w:rsidRPr="00C12CAD">
              <w:rPr>
                <w:rFonts w:ascii="Arial" w:hAnsi="Arial" w:cs="Arial"/>
                <w:szCs w:val="18"/>
                <w:lang w:eastAsia="en-AU"/>
              </w:rPr>
              <w:t>Hours worked</w:t>
            </w:r>
          </w:p>
        </w:tc>
        <w:tc>
          <w:tcPr>
            <w:tcW w:w="548" w:type="pct"/>
            <w:tcBorders>
              <w:top w:val="nil"/>
              <w:left w:val="nil"/>
              <w:bottom w:val="nil"/>
              <w:right w:val="nil"/>
            </w:tcBorders>
            <w:shd w:val="clear" w:color="auto" w:fill="auto"/>
            <w:vAlign w:val="center"/>
          </w:tcPr>
          <w:p w14:paraId="64F53CFD" w14:textId="20268A9C" w:rsidR="00522965" w:rsidRPr="00C12CAD" w:rsidRDefault="00522965" w:rsidP="00C12CAD">
            <w:pPr>
              <w:pStyle w:val="TableBody"/>
              <w:ind w:right="57"/>
              <w:jc w:val="right"/>
              <w:rPr>
                <w:rFonts w:ascii="Arial" w:hAnsi="Arial" w:cs="Arial"/>
                <w:szCs w:val="18"/>
              </w:rPr>
            </w:pPr>
            <w:r w:rsidRPr="00C12CAD">
              <w:rPr>
                <w:rFonts w:ascii="Arial" w:hAnsi="Arial" w:cs="Arial"/>
                <w:color w:val="000000"/>
                <w:szCs w:val="18"/>
              </w:rPr>
              <w:t>-0.5</w:t>
            </w:r>
          </w:p>
        </w:tc>
        <w:tc>
          <w:tcPr>
            <w:tcW w:w="504" w:type="pct"/>
            <w:tcBorders>
              <w:top w:val="nil"/>
              <w:left w:val="nil"/>
              <w:bottom w:val="nil"/>
              <w:right w:val="nil"/>
            </w:tcBorders>
            <w:shd w:val="clear" w:color="auto" w:fill="auto"/>
            <w:vAlign w:val="bottom"/>
          </w:tcPr>
          <w:p w14:paraId="2F31A029" w14:textId="7F0FCA82" w:rsidR="00522965" w:rsidRPr="00C12CAD" w:rsidRDefault="00522965" w:rsidP="00C12CAD">
            <w:pPr>
              <w:pStyle w:val="TableBody"/>
              <w:ind w:right="57"/>
              <w:jc w:val="right"/>
              <w:rPr>
                <w:rFonts w:ascii="Arial" w:hAnsi="Arial" w:cs="Arial"/>
                <w:szCs w:val="18"/>
              </w:rPr>
            </w:pPr>
            <w:r w:rsidRPr="00C12CAD">
              <w:rPr>
                <w:rFonts w:ascii="Arial" w:hAnsi="Arial" w:cs="Arial"/>
                <w:color w:val="000000"/>
                <w:szCs w:val="18"/>
              </w:rPr>
              <w:t>-0.4</w:t>
            </w:r>
          </w:p>
        </w:tc>
        <w:tc>
          <w:tcPr>
            <w:tcW w:w="1333" w:type="pct"/>
            <w:tcBorders>
              <w:top w:val="nil"/>
              <w:left w:val="nil"/>
              <w:bottom w:val="nil"/>
              <w:right w:val="nil"/>
            </w:tcBorders>
            <w:shd w:val="clear" w:color="auto" w:fill="auto"/>
            <w:vAlign w:val="bottom"/>
          </w:tcPr>
          <w:p w14:paraId="1DDA0E1A" w14:textId="6B9F2C0E" w:rsidR="00522965" w:rsidRPr="00C12CAD" w:rsidRDefault="00522965" w:rsidP="00C12CAD">
            <w:pPr>
              <w:pStyle w:val="TableBody"/>
              <w:ind w:right="57"/>
              <w:jc w:val="right"/>
              <w:rPr>
                <w:rFonts w:ascii="Arial" w:hAnsi="Arial" w:cs="Arial"/>
                <w:szCs w:val="18"/>
              </w:rPr>
            </w:pPr>
            <w:r w:rsidRPr="00C12CAD">
              <w:rPr>
                <w:rFonts w:ascii="Arial" w:hAnsi="Arial" w:cs="Arial"/>
                <w:color w:val="000000"/>
                <w:szCs w:val="18"/>
              </w:rPr>
              <w:t>0.1</w:t>
            </w:r>
          </w:p>
        </w:tc>
      </w:tr>
      <w:tr w:rsidR="00522965" w:rsidRPr="00C12CAD" w14:paraId="5AC62650" w14:textId="77777777" w:rsidTr="00B1182D">
        <w:trPr>
          <w:trHeight w:val="300"/>
        </w:trPr>
        <w:tc>
          <w:tcPr>
            <w:tcW w:w="2615" w:type="pct"/>
            <w:tcBorders>
              <w:top w:val="nil"/>
              <w:left w:val="nil"/>
              <w:bottom w:val="single" w:sz="6" w:space="0" w:color="BFBFBF" w:themeColor="background1" w:themeShade="BF"/>
              <w:right w:val="nil"/>
            </w:tcBorders>
            <w:shd w:val="clear" w:color="auto" w:fill="auto"/>
            <w:vAlign w:val="bottom"/>
          </w:tcPr>
          <w:p w14:paraId="47FBA6C1" w14:textId="77777777" w:rsidR="00522965" w:rsidRPr="00C12CAD" w:rsidRDefault="00522965" w:rsidP="00C12CAD">
            <w:pPr>
              <w:pStyle w:val="TableBody"/>
              <w:ind w:right="57"/>
              <w:rPr>
                <w:rFonts w:ascii="Arial" w:eastAsia="Times New Roman" w:hAnsi="Arial" w:cs="Arial"/>
                <w:b/>
                <w:bCs/>
                <w:color w:val="265A9A"/>
                <w:szCs w:val="18"/>
                <w:lang w:eastAsia="en-AU"/>
              </w:rPr>
            </w:pPr>
            <w:r w:rsidRPr="00C12CAD">
              <w:rPr>
                <w:rFonts w:ascii="Arial" w:hAnsi="Arial" w:cs="Arial"/>
                <w:b/>
                <w:bCs/>
                <w:szCs w:val="18"/>
                <w:lang w:eastAsia="en-AU"/>
              </w:rPr>
              <w:t>Labour Productivity</w:t>
            </w:r>
          </w:p>
        </w:tc>
        <w:tc>
          <w:tcPr>
            <w:tcW w:w="548" w:type="pct"/>
            <w:tcBorders>
              <w:top w:val="nil"/>
              <w:left w:val="nil"/>
              <w:bottom w:val="single" w:sz="6" w:space="0" w:color="BFBFBF" w:themeColor="background1" w:themeShade="BF"/>
              <w:right w:val="nil"/>
            </w:tcBorders>
            <w:shd w:val="clear" w:color="auto" w:fill="auto"/>
            <w:vAlign w:val="center"/>
          </w:tcPr>
          <w:p w14:paraId="1C392843" w14:textId="0266C4BD" w:rsidR="00522965" w:rsidRPr="00C12CAD" w:rsidRDefault="00522965" w:rsidP="00C12CAD">
            <w:pPr>
              <w:pStyle w:val="TableBody"/>
              <w:ind w:right="57"/>
              <w:jc w:val="right"/>
              <w:rPr>
                <w:rFonts w:ascii="Arial" w:hAnsi="Arial" w:cs="Arial"/>
                <w:b/>
                <w:bCs/>
                <w:szCs w:val="18"/>
              </w:rPr>
            </w:pPr>
            <w:r w:rsidRPr="00C12CAD">
              <w:rPr>
                <w:rFonts w:ascii="Arial" w:hAnsi="Arial" w:cs="Arial"/>
                <w:b/>
                <w:bCs/>
                <w:color w:val="000000"/>
                <w:szCs w:val="18"/>
              </w:rPr>
              <w:t>0.6</w:t>
            </w:r>
          </w:p>
        </w:tc>
        <w:tc>
          <w:tcPr>
            <w:tcW w:w="504" w:type="pct"/>
            <w:tcBorders>
              <w:top w:val="nil"/>
              <w:left w:val="nil"/>
              <w:bottom w:val="single" w:sz="6" w:space="0" w:color="BFBFBF" w:themeColor="background1" w:themeShade="BF"/>
              <w:right w:val="nil"/>
            </w:tcBorders>
            <w:shd w:val="clear" w:color="auto" w:fill="auto"/>
            <w:vAlign w:val="bottom"/>
          </w:tcPr>
          <w:p w14:paraId="57CA4644" w14:textId="0C1ECF74" w:rsidR="00522965" w:rsidRPr="00C12CAD" w:rsidRDefault="00522965" w:rsidP="00C12CAD">
            <w:pPr>
              <w:pStyle w:val="TableBody"/>
              <w:ind w:right="57"/>
              <w:jc w:val="right"/>
              <w:rPr>
                <w:rFonts w:ascii="Arial" w:hAnsi="Arial" w:cs="Arial"/>
                <w:b/>
                <w:bCs/>
                <w:szCs w:val="18"/>
              </w:rPr>
            </w:pPr>
            <w:r w:rsidRPr="00C12CAD">
              <w:rPr>
                <w:rFonts w:ascii="Arial" w:hAnsi="Arial" w:cs="Arial"/>
                <w:b/>
                <w:bCs/>
                <w:color w:val="000000"/>
                <w:szCs w:val="18"/>
              </w:rPr>
              <w:t>0.7</w:t>
            </w:r>
          </w:p>
        </w:tc>
        <w:tc>
          <w:tcPr>
            <w:tcW w:w="1333" w:type="pct"/>
            <w:tcBorders>
              <w:top w:val="nil"/>
              <w:left w:val="nil"/>
              <w:bottom w:val="single" w:sz="6" w:space="0" w:color="BFBFBF" w:themeColor="background1" w:themeShade="BF"/>
              <w:right w:val="nil"/>
            </w:tcBorders>
            <w:shd w:val="clear" w:color="auto" w:fill="auto"/>
            <w:vAlign w:val="bottom"/>
          </w:tcPr>
          <w:p w14:paraId="05F673D3" w14:textId="22B78A1A" w:rsidR="00522965" w:rsidRPr="00C12CAD" w:rsidRDefault="00522965" w:rsidP="00C12CAD">
            <w:pPr>
              <w:pStyle w:val="TableBody"/>
              <w:ind w:right="57"/>
              <w:jc w:val="right"/>
              <w:rPr>
                <w:rFonts w:ascii="Arial" w:hAnsi="Arial" w:cs="Arial"/>
                <w:b/>
                <w:bCs/>
                <w:szCs w:val="18"/>
              </w:rPr>
            </w:pPr>
            <w:r w:rsidRPr="00C12CAD">
              <w:rPr>
                <w:rFonts w:ascii="Arial" w:hAnsi="Arial" w:cs="Arial"/>
                <w:b/>
                <w:bCs/>
                <w:color w:val="000000"/>
                <w:szCs w:val="18"/>
              </w:rPr>
              <w:t>0.1</w:t>
            </w:r>
          </w:p>
        </w:tc>
      </w:tr>
    </w:tbl>
    <w:p w14:paraId="511FD1C6" w14:textId="5547766D" w:rsidR="00197506" w:rsidRDefault="006C736D" w:rsidP="00633ACE">
      <w:pPr>
        <w:pStyle w:val="Source"/>
        <w:spacing w:line="210" w:lineRule="atLeast"/>
        <w:rPr>
          <w:lang w:eastAsia="en-AU"/>
        </w:rPr>
      </w:pPr>
      <w:r w:rsidRPr="00A356C2">
        <w:rPr>
          <w:lang w:eastAsia="en-AU"/>
        </w:rPr>
        <w:t xml:space="preserve">Sources: </w:t>
      </w:r>
      <w:r w:rsidR="000F6571">
        <w:rPr>
          <w:lang w:eastAsia="en-AU"/>
        </w:rPr>
        <w:t xml:space="preserve">Commission estimates based on </w:t>
      </w:r>
      <w:r w:rsidRPr="00934DF9">
        <w:t>ABS (</w:t>
      </w:r>
      <w:r w:rsidR="009D3726">
        <w:t>2024</w:t>
      </w:r>
      <w:r w:rsidRPr="00934DF9">
        <w:t xml:space="preserve">, Australian National Accounts: National Income, Expenditure and Product, </w:t>
      </w:r>
      <w:r w:rsidR="00D43D0F">
        <w:t>March</w:t>
      </w:r>
      <w:r w:rsidR="009D3726">
        <w:t xml:space="preserve"> </w:t>
      </w:r>
      <w:r w:rsidRPr="00934DF9">
        <w:t>202</w:t>
      </w:r>
      <w:r w:rsidR="00D43D0F">
        <w:t>4</w:t>
      </w:r>
      <w:r w:rsidRPr="00934DF9">
        <w:t>, Cat. no.5206</w:t>
      </w:r>
      <w:r w:rsidR="00E85662" w:rsidRPr="00934DF9">
        <w:t>.</w:t>
      </w:r>
      <w:r w:rsidRPr="00934DF9">
        <w:t>0, table 1) and ABS (</w:t>
      </w:r>
      <w:r w:rsidR="009D3726">
        <w:t>202</w:t>
      </w:r>
      <w:r w:rsidR="00D43D0F">
        <w:t>4</w:t>
      </w:r>
      <w:r w:rsidRPr="00934DF9">
        <w:t xml:space="preserve">, Australian National Accounts: National Income, Expenditure and Product, </w:t>
      </w:r>
      <w:r w:rsidR="00D43D0F">
        <w:t>December</w:t>
      </w:r>
      <w:r w:rsidR="009D3726">
        <w:t xml:space="preserve"> </w:t>
      </w:r>
      <w:r w:rsidRPr="00934DF9">
        <w:t>2023, Cat. no.5206</w:t>
      </w:r>
      <w:r w:rsidR="00E85662" w:rsidRPr="00934DF9">
        <w:t>.</w:t>
      </w:r>
      <w:r w:rsidRPr="00934DF9">
        <w:t>0, table 1)</w:t>
      </w:r>
      <w:r w:rsidRPr="00A356C2">
        <w:rPr>
          <w:lang w:eastAsia="en-AU"/>
        </w:rPr>
        <w:t>. </w:t>
      </w:r>
    </w:p>
    <w:p w14:paraId="319728DD" w14:textId="77777777" w:rsidR="00197506" w:rsidRDefault="00197506">
      <w:pPr>
        <w:spacing w:before="0" w:after="160" w:line="259" w:lineRule="auto"/>
        <w:rPr>
          <w:sz w:val="18"/>
          <w:lang w:eastAsia="en-AU"/>
        </w:rPr>
      </w:pPr>
      <w:r>
        <w:rPr>
          <w:lang w:eastAsia="en-AU"/>
        </w:rPr>
        <w:br w:type="page"/>
      </w:r>
    </w:p>
    <w:p w14:paraId="10F3718B" w14:textId="1C59510B" w:rsidR="005570A1" w:rsidRPr="006331F8" w:rsidRDefault="00C541CF" w:rsidP="004B5789">
      <w:pPr>
        <w:pStyle w:val="FigureTableHeading"/>
      </w:pPr>
      <w:r>
        <w:rPr>
          <w:lang w:eastAsia="en-AU"/>
        </w:rPr>
        <w:lastRenderedPageBreak/>
        <w:t>T</w:t>
      </w:r>
      <w:r w:rsidR="005570A1" w:rsidRPr="006331F8">
        <w:rPr>
          <w:lang w:eastAsia="en-AU"/>
        </w:rPr>
        <w:t xml:space="preserve">able </w:t>
      </w:r>
      <w:r w:rsidR="005570A1">
        <w:rPr>
          <w:lang w:eastAsia="en-AU"/>
        </w:rPr>
        <w:t>4</w:t>
      </w:r>
      <w:r w:rsidR="005570A1" w:rsidRPr="006331F8">
        <w:rPr>
          <w:lang w:eastAsia="en-AU"/>
        </w:rPr>
        <w:t xml:space="preserve"> – Revisions to industry Gross Value Added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015036" w:rsidRPr="00C12CAD" w14:paraId="794BB7DA" w14:textId="77777777" w:rsidTr="00283F82">
        <w:trPr>
          <w:trHeight w:val="300"/>
          <w:tblHeader/>
        </w:trPr>
        <w:tc>
          <w:tcPr>
            <w:tcW w:w="2574" w:type="pct"/>
            <w:vMerge w:val="restart"/>
            <w:tcBorders>
              <w:top w:val="nil"/>
              <w:left w:val="nil"/>
              <w:bottom w:val="nil"/>
              <w:right w:val="nil"/>
            </w:tcBorders>
            <w:shd w:val="clear" w:color="auto" w:fill="auto"/>
            <w:vAlign w:val="center"/>
            <w:hideMark/>
          </w:tcPr>
          <w:p w14:paraId="6657A501" w14:textId="77777777" w:rsidR="00015036" w:rsidRPr="00C12CAD" w:rsidRDefault="00015036" w:rsidP="00C12CAD">
            <w:pPr>
              <w:pStyle w:val="TableHeading"/>
              <w:spacing w:line="260" w:lineRule="atLeast"/>
              <w:ind w:right="57"/>
              <w:rPr>
                <w:rFonts w:ascii="Arial" w:eastAsia="Times New Roman" w:hAnsi="Arial" w:cs="Arial"/>
                <w:szCs w:val="18"/>
                <w:lang w:eastAsia="en-AU"/>
              </w:rPr>
            </w:pPr>
            <w:r w:rsidRPr="00C12CAD">
              <w:rPr>
                <w:rFonts w:ascii="Arial" w:hAnsi="Arial" w:cs="Arial"/>
                <w:szCs w:val="18"/>
                <w:lang w:eastAsia="en-AU"/>
              </w:rPr>
              <w:t> </w:t>
            </w:r>
          </w:p>
        </w:tc>
        <w:tc>
          <w:tcPr>
            <w:tcW w:w="1177" w:type="pct"/>
            <w:gridSpan w:val="2"/>
            <w:tcBorders>
              <w:top w:val="nil"/>
              <w:left w:val="nil"/>
              <w:bottom w:val="single" w:sz="6" w:space="0" w:color="B3B3B3"/>
              <w:right w:val="nil"/>
            </w:tcBorders>
            <w:shd w:val="clear" w:color="auto" w:fill="auto"/>
            <w:vAlign w:val="center"/>
            <w:hideMark/>
          </w:tcPr>
          <w:p w14:paraId="4B620A74" w14:textId="454EA340" w:rsidR="00015036" w:rsidRPr="00C12CAD" w:rsidRDefault="00015036" w:rsidP="00C12CAD">
            <w:pPr>
              <w:pStyle w:val="TableHeading"/>
              <w:spacing w:line="260" w:lineRule="atLeast"/>
              <w:ind w:right="57"/>
              <w:jc w:val="center"/>
              <w:rPr>
                <w:rFonts w:ascii="Arial" w:hAnsi="Arial" w:cs="Arial"/>
                <w:szCs w:val="18"/>
                <w:lang w:eastAsia="en-AU"/>
              </w:rPr>
            </w:pPr>
            <w:r w:rsidRPr="00C12CAD">
              <w:rPr>
                <w:rFonts w:ascii="Arial" w:hAnsi="Arial" w:cs="Arial"/>
                <w:szCs w:val="18"/>
                <w:lang w:eastAsia="en-AU"/>
              </w:rPr>
              <w:t>Revision on Q</w:t>
            </w:r>
            <w:r w:rsidR="009D6E6B" w:rsidRPr="00C12CAD">
              <w:rPr>
                <w:rFonts w:ascii="Arial" w:hAnsi="Arial" w:cs="Arial"/>
                <w:szCs w:val="18"/>
                <w:lang w:eastAsia="en-AU"/>
              </w:rPr>
              <w:t>4</w:t>
            </w:r>
            <w:r w:rsidRPr="00C12CAD">
              <w:rPr>
                <w:rFonts w:ascii="Arial" w:hAnsi="Arial" w:cs="Arial"/>
                <w:szCs w:val="18"/>
                <w:lang w:eastAsia="en-AU"/>
              </w:rPr>
              <w:t xml:space="preserve"> 2023</w:t>
            </w:r>
          </w:p>
        </w:tc>
        <w:tc>
          <w:tcPr>
            <w:tcW w:w="1249" w:type="pct"/>
            <w:vMerge w:val="restart"/>
            <w:tcBorders>
              <w:top w:val="nil"/>
              <w:left w:val="nil"/>
              <w:bottom w:val="nil"/>
              <w:right w:val="nil"/>
            </w:tcBorders>
            <w:shd w:val="clear" w:color="auto" w:fill="auto"/>
            <w:vAlign w:val="center"/>
            <w:hideMark/>
          </w:tcPr>
          <w:p w14:paraId="0B37DDFC" w14:textId="6609741D" w:rsidR="00015036" w:rsidRPr="00C12CAD" w:rsidRDefault="00015036" w:rsidP="00C12CAD">
            <w:pPr>
              <w:pStyle w:val="TableHeading"/>
              <w:spacing w:line="260" w:lineRule="atLeast"/>
              <w:ind w:right="57"/>
              <w:jc w:val="right"/>
              <w:rPr>
                <w:rFonts w:ascii="Arial" w:hAnsi="Arial" w:cs="Arial"/>
                <w:szCs w:val="18"/>
                <w:lang w:eastAsia="en-AU"/>
              </w:rPr>
            </w:pPr>
            <w:r w:rsidRPr="00C12CAD">
              <w:rPr>
                <w:rFonts w:ascii="Arial" w:hAnsi="Arial" w:cs="Arial"/>
                <w:szCs w:val="18"/>
                <w:lang w:eastAsia="en-AU"/>
              </w:rPr>
              <w:t xml:space="preserve">Difference </w:t>
            </w:r>
            <w:r w:rsidR="00796C18" w:rsidRPr="00C12CAD">
              <w:rPr>
                <w:rFonts w:ascii="Arial" w:hAnsi="Arial" w:cs="Arial"/>
                <w:szCs w:val="18"/>
                <w:lang w:eastAsia="en-AU"/>
              </w:rPr>
              <w:br/>
            </w:r>
            <w:r w:rsidRPr="00C12CAD">
              <w:rPr>
                <w:rFonts w:ascii="Arial" w:hAnsi="Arial" w:cs="Arial"/>
                <w:szCs w:val="18"/>
                <w:lang w:eastAsia="en-AU"/>
              </w:rPr>
              <w:t>(percentage point)</w:t>
            </w:r>
          </w:p>
        </w:tc>
      </w:tr>
      <w:tr w:rsidR="00015036" w:rsidRPr="00C12CAD" w14:paraId="0356F5F7" w14:textId="77777777" w:rsidTr="00283F82">
        <w:trPr>
          <w:trHeight w:val="300"/>
          <w:tblHeader/>
        </w:trPr>
        <w:tc>
          <w:tcPr>
            <w:tcW w:w="2574" w:type="pct"/>
            <w:vMerge/>
            <w:tcBorders>
              <w:top w:val="nil"/>
              <w:left w:val="nil"/>
              <w:bottom w:val="single" w:sz="6" w:space="0" w:color="B3B3B3"/>
            </w:tcBorders>
            <w:vAlign w:val="center"/>
            <w:hideMark/>
          </w:tcPr>
          <w:p w14:paraId="68D925F2" w14:textId="77777777" w:rsidR="00015036" w:rsidRPr="00C12CAD" w:rsidRDefault="00015036" w:rsidP="00C12CAD">
            <w:pPr>
              <w:pStyle w:val="TableHeading"/>
              <w:spacing w:line="260" w:lineRule="atLeast"/>
              <w:ind w:right="57"/>
              <w:rPr>
                <w:rFonts w:ascii="Arial" w:eastAsia="Times New Roman" w:hAnsi="Arial" w:cs="Arial"/>
                <w:szCs w:val="18"/>
                <w:lang w:eastAsia="en-AU"/>
              </w:rPr>
            </w:pPr>
          </w:p>
        </w:tc>
        <w:tc>
          <w:tcPr>
            <w:tcW w:w="589" w:type="pct"/>
            <w:tcBorders>
              <w:top w:val="single" w:sz="6" w:space="0" w:color="B3B3B3"/>
              <w:left w:val="nil"/>
              <w:bottom w:val="single" w:sz="6" w:space="0" w:color="B3B3B3"/>
              <w:right w:val="nil"/>
            </w:tcBorders>
            <w:shd w:val="clear" w:color="auto" w:fill="auto"/>
            <w:vAlign w:val="center"/>
            <w:hideMark/>
          </w:tcPr>
          <w:p w14:paraId="6D91A993" w14:textId="77777777" w:rsidR="00015036" w:rsidRPr="00C12CAD" w:rsidRDefault="00015036" w:rsidP="00C12CAD">
            <w:pPr>
              <w:pStyle w:val="TableHeading"/>
              <w:spacing w:line="260" w:lineRule="atLeast"/>
              <w:ind w:right="57"/>
              <w:jc w:val="right"/>
              <w:rPr>
                <w:rFonts w:ascii="Arial" w:hAnsi="Arial" w:cs="Arial"/>
                <w:szCs w:val="18"/>
                <w:lang w:eastAsia="en-AU"/>
              </w:rPr>
            </w:pPr>
            <w:r w:rsidRPr="00C12CAD">
              <w:rPr>
                <w:rFonts w:ascii="Arial" w:hAnsi="Arial" w:cs="Arial"/>
                <w:szCs w:val="18"/>
                <w:lang w:eastAsia="en-AU"/>
              </w:rPr>
              <w:t>Before</w:t>
            </w:r>
          </w:p>
        </w:tc>
        <w:tc>
          <w:tcPr>
            <w:tcW w:w="588" w:type="pct"/>
            <w:tcBorders>
              <w:top w:val="single" w:sz="6" w:space="0" w:color="B3B3B3"/>
              <w:left w:val="nil"/>
              <w:bottom w:val="single" w:sz="6" w:space="0" w:color="B3B3B3"/>
              <w:right w:val="nil"/>
            </w:tcBorders>
            <w:shd w:val="clear" w:color="auto" w:fill="auto"/>
            <w:vAlign w:val="center"/>
            <w:hideMark/>
          </w:tcPr>
          <w:p w14:paraId="0823657D" w14:textId="77777777" w:rsidR="00015036" w:rsidRPr="00C12CAD" w:rsidRDefault="00015036" w:rsidP="00C12CAD">
            <w:pPr>
              <w:pStyle w:val="TableHeading"/>
              <w:spacing w:line="260" w:lineRule="atLeast"/>
              <w:ind w:right="57"/>
              <w:jc w:val="right"/>
              <w:rPr>
                <w:rFonts w:ascii="Arial" w:hAnsi="Arial" w:cs="Arial"/>
                <w:szCs w:val="18"/>
                <w:lang w:eastAsia="en-AU"/>
              </w:rPr>
            </w:pPr>
            <w:r w:rsidRPr="00C12CAD">
              <w:rPr>
                <w:rFonts w:ascii="Arial" w:hAnsi="Arial" w:cs="Arial"/>
                <w:szCs w:val="18"/>
                <w:lang w:eastAsia="en-AU"/>
              </w:rPr>
              <w:t>After</w:t>
            </w:r>
          </w:p>
        </w:tc>
        <w:tc>
          <w:tcPr>
            <w:tcW w:w="1249" w:type="pct"/>
            <w:vMerge/>
            <w:tcBorders>
              <w:top w:val="nil"/>
              <w:bottom w:val="single" w:sz="6" w:space="0" w:color="B3B3B3"/>
              <w:right w:val="nil"/>
            </w:tcBorders>
            <w:vAlign w:val="center"/>
            <w:hideMark/>
          </w:tcPr>
          <w:p w14:paraId="50F93444" w14:textId="77777777" w:rsidR="00015036" w:rsidRPr="00C12CAD" w:rsidRDefault="00015036" w:rsidP="00C12CAD">
            <w:pPr>
              <w:pStyle w:val="TableHeading"/>
              <w:spacing w:line="260" w:lineRule="atLeast"/>
              <w:ind w:right="57"/>
              <w:rPr>
                <w:rFonts w:ascii="Arial" w:hAnsi="Arial" w:cs="Arial"/>
                <w:szCs w:val="18"/>
                <w:lang w:eastAsia="en-AU"/>
              </w:rPr>
            </w:pPr>
          </w:p>
        </w:tc>
      </w:tr>
      <w:tr w:rsidR="005570A1" w:rsidRPr="00C12CAD" w14:paraId="79226A2F" w14:textId="77777777" w:rsidTr="00283F82">
        <w:trPr>
          <w:trHeight w:val="300"/>
          <w:tblHeader/>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3A26AF5E" w14:textId="77777777" w:rsidR="005570A1" w:rsidRPr="00C12CAD" w:rsidRDefault="005570A1" w:rsidP="00C12CAD">
            <w:pPr>
              <w:pStyle w:val="TableHeading"/>
              <w:spacing w:line="260" w:lineRule="atLeast"/>
              <w:ind w:right="57"/>
              <w:rPr>
                <w:rFonts w:ascii="Arial" w:eastAsia="Times New Roman" w:hAnsi="Arial" w:cs="Arial"/>
                <w:b w:val="0"/>
                <w:bCs/>
                <w:color w:val="265A9A"/>
                <w:szCs w:val="18"/>
                <w:lang w:eastAsia="en-AU"/>
              </w:rPr>
            </w:pPr>
            <w:r w:rsidRPr="00C12CAD">
              <w:rPr>
                <w:rFonts w:ascii="Arial" w:hAnsi="Arial" w:cs="Arial"/>
                <w:szCs w:val="18"/>
                <w:lang w:eastAsia="en-AU"/>
              </w:rPr>
              <w:t>Market sector</w:t>
            </w:r>
            <w:r w:rsidRPr="00C12CAD">
              <w:rPr>
                <w:rFonts w:ascii="Arial" w:eastAsia="Times New Roman" w:hAnsi="Arial" w:cs="Arial"/>
                <w:b w:val="0"/>
                <w:bCs/>
                <w:color w:val="265A9A"/>
                <w:szCs w:val="18"/>
                <w:lang w:eastAsia="en-AU"/>
              </w:rPr>
              <w:t> </w:t>
            </w:r>
          </w:p>
        </w:tc>
      </w:tr>
      <w:tr w:rsidR="009D6E6B" w:rsidRPr="00C12CAD" w14:paraId="068AD367" w14:textId="77777777" w:rsidTr="009D6E6B">
        <w:trPr>
          <w:trHeight w:val="300"/>
        </w:trPr>
        <w:tc>
          <w:tcPr>
            <w:tcW w:w="2574" w:type="pct"/>
            <w:tcBorders>
              <w:top w:val="nil"/>
              <w:left w:val="nil"/>
              <w:bottom w:val="nil"/>
              <w:right w:val="nil"/>
            </w:tcBorders>
            <w:shd w:val="clear" w:color="auto" w:fill="FFFFFF" w:themeFill="background1"/>
            <w:vAlign w:val="center"/>
            <w:hideMark/>
          </w:tcPr>
          <w:p w14:paraId="38508064"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Agriculture, forestry and fishing</w:t>
            </w:r>
          </w:p>
        </w:tc>
        <w:tc>
          <w:tcPr>
            <w:tcW w:w="589" w:type="pct"/>
            <w:tcBorders>
              <w:top w:val="nil"/>
              <w:left w:val="nil"/>
              <w:bottom w:val="nil"/>
              <w:right w:val="nil"/>
            </w:tcBorders>
            <w:shd w:val="clear" w:color="auto" w:fill="FFFFFF" w:themeFill="background1"/>
            <w:vAlign w:val="center"/>
          </w:tcPr>
          <w:p w14:paraId="035A44CA" w14:textId="54A0D82F"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-3.4</w:t>
            </w:r>
          </w:p>
        </w:tc>
        <w:tc>
          <w:tcPr>
            <w:tcW w:w="588" w:type="pct"/>
            <w:tcBorders>
              <w:top w:val="nil"/>
              <w:left w:val="nil"/>
              <w:bottom w:val="nil"/>
              <w:right w:val="nil"/>
            </w:tcBorders>
            <w:shd w:val="clear" w:color="auto" w:fill="FFFFFF" w:themeFill="background1"/>
            <w:vAlign w:val="bottom"/>
          </w:tcPr>
          <w:p w14:paraId="390D9F4C" w14:textId="3D9EDEB7"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-5.0</w:t>
            </w:r>
          </w:p>
        </w:tc>
        <w:tc>
          <w:tcPr>
            <w:tcW w:w="1249" w:type="pct"/>
            <w:tcBorders>
              <w:top w:val="nil"/>
              <w:left w:val="nil"/>
              <w:bottom w:val="nil"/>
              <w:right w:val="nil"/>
            </w:tcBorders>
            <w:shd w:val="clear" w:color="auto" w:fill="FFFFFF" w:themeFill="background1"/>
            <w:vAlign w:val="bottom"/>
          </w:tcPr>
          <w:p w14:paraId="5AA4FD00" w14:textId="42870307" w:rsidR="009D6E6B" w:rsidRPr="00C12CAD" w:rsidRDefault="009D6E6B" w:rsidP="00C12CAD">
            <w:pPr>
              <w:pStyle w:val="TableBody"/>
              <w:spacing w:line="260" w:lineRule="atLeast"/>
              <w:ind w:right="57"/>
              <w:jc w:val="right"/>
              <w:rPr>
                <w:rFonts w:ascii="Arial" w:hAnsi="Arial" w:cs="Arial"/>
                <w:szCs w:val="18"/>
              </w:rPr>
            </w:pPr>
            <w:r w:rsidRPr="00C12CAD">
              <w:rPr>
                <w:rFonts w:ascii="Arial" w:hAnsi="Arial" w:cs="Arial"/>
                <w:color w:val="000000"/>
                <w:szCs w:val="18"/>
              </w:rPr>
              <w:t>-1.6</w:t>
            </w:r>
          </w:p>
        </w:tc>
      </w:tr>
      <w:tr w:rsidR="009D6E6B" w:rsidRPr="00C12CAD" w14:paraId="5851FC5F" w14:textId="77777777" w:rsidTr="009D6E6B">
        <w:trPr>
          <w:trHeight w:val="300"/>
        </w:trPr>
        <w:tc>
          <w:tcPr>
            <w:tcW w:w="2574" w:type="pct"/>
            <w:tcBorders>
              <w:top w:val="nil"/>
              <w:left w:val="nil"/>
              <w:bottom w:val="nil"/>
              <w:right w:val="nil"/>
            </w:tcBorders>
            <w:shd w:val="clear" w:color="auto" w:fill="FFFFFF" w:themeFill="background1"/>
            <w:vAlign w:val="center"/>
            <w:hideMark/>
          </w:tcPr>
          <w:p w14:paraId="16DCC733"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Mining</w:t>
            </w:r>
          </w:p>
        </w:tc>
        <w:tc>
          <w:tcPr>
            <w:tcW w:w="589" w:type="pct"/>
            <w:tcBorders>
              <w:top w:val="nil"/>
              <w:left w:val="nil"/>
              <w:bottom w:val="nil"/>
              <w:right w:val="nil"/>
            </w:tcBorders>
            <w:shd w:val="clear" w:color="auto" w:fill="FFFFFF" w:themeFill="background1"/>
            <w:vAlign w:val="center"/>
          </w:tcPr>
          <w:p w14:paraId="2ED2AC85" w14:textId="259B693E"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w:t>
            </w:r>
          </w:p>
        </w:tc>
        <w:tc>
          <w:tcPr>
            <w:tcW w:w="588" w:type="pct"/>
            <w:tcBorders>
              <w:top w:val="nil"/>
              <w:left w:val="nil"/>
              <w:bottom w:val="nil"/>
              <w:right w:val="nil"/>
            </w:tcBorders>
            <w:shd w:val="clear" w:color="auto" w:fill="FFFFFF" w:themeFill="background1"/>
            <w:vAlign w:val="bottom"/>
          </w:tcPr>
          <w:p w14:paraId="63313E9C" w14:textId="51064023"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1.2</w:t>
            </w:r>
          </w:p>
        </w:tc>
        <w:tc>
          <w:tcPr>
            <w:tcW w:w="1249" w:type="pct"/>
            <w:tcBorders>
              <w:top w:val="nil"/>
              <w:left w:val="nil"/>
              <w:bottom w:val="nil"/>
              <w:right w:val="nil"/>
            </w:tcBorders>
            <w:shd w:val="clear" w:color="auto" w:fill="FFFFFF" w:themeFill="background1"/>
            <w:vAlign w:val="bottom"/>
          </w:tcPr>
          <w:p w14:paraId="733BCDC5" w14:textId="1AD797FC"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0.2</w:t>
            </w:r>
          </w:p>
        </w:tc>
      </w:tr>
      <w:tr w:rsidR="009D6E6B" w:rsidRPr="00C12CAD" w14:paraId="011BF7C0" w14:textId="77777777" w:rsidTr="009D6E6B">
        <w:trPr>
          <w:trHeight w:val="300"/>
        </w:trPr>
        <w:tc>
          <w:tcPr>
            <w:tcW w:w="2574" w:type="pct"/>
            <w:tcBorders>
              <w:top w:val="nil"/>
              <w:left w:val="nil"/>
              <w:bottom w:val="nil"/>
              <w:right w:val="nil"/>
            </w:tcBorders>
            <w:shd w:val="clear" w:color="auto" w:fill="FFFFFF" w:themeFill="background1"/>
            <w:vAlign w:val="center"/>
          </w:tcPr>
          <w:p w14:paraId="5C4BA173"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Manufacturing</w:t>
            </w:r>
          </w:p>
        </w:tc>
        <w:tc>
          <w:tcPr>
            <w:tcW w:w="589" w:type="pct"/>
            <w:tcBorders>
              <w:top w:val="nil"/>
              <w:left w:val="nil"/>
              <w:bottom w:val="nil"/>
              <w:right w:val="nil"/>
            </w:tcBorders>
            <w:shd w:val="clear" w:color="auto" w:fill="FFFFFF" w:themeFill="background1"/>
            <w:vAlign w:val="center"/>
          </w:tcPr>
          <w:p w14:paraId="5C7DA9EB" w14:textId="64205B92"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-1.2</w:t>
            </w:r>
          </w:p>
        </w:tc>
        <w:tc>
          <w:tcPr>
            <w:tcW w:w="588" w:type="pct"/>
            <w:tcBorders>
              <w:top w:val="nil"/>
              <w:left w:val="nil"/>
              <w:bottom w:val="nil"/>
              <w:right w:val="nil"/>
            </w:tcBorders>
            <w:shd w:val="clear" w:color="auto" w:fill="FFFFFF" w:themeFill="background1"/>
            <w:vAlign w:val="bottom"/>
          </w:tcPr>
          <w:p w14:paraId="5BEC80D9" w14:textId="051841BD"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-1.2</w:t>
            </w:r>
          </w:p>
        </w:tc>
        <w:tc>
          <w:tcPr>
            <w:tcW w:w="1249" w:type="pct"/>
            <w:tcBorders>
              <w:top w:val="nil"/>
              <w:left w:val="nil"/>
              <w:bottom w:val="nil"/>
              <w:right w:val="nil"/>
            </w:tcBorders>
            <w:shd w:val="clear" w:color="auto" w:fill="FFFFFF" w:themeFill="background1"/>
            <w:vAlign w:val="bottom"/>
          </w:tcPr>
          <w:p w14:paraId="1B17F4ED" w14:textId="798BA8DD"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0.0</w:t>
            </w:r>
          </w:p>
        </w:tc>
      </w:tr>
      <w:tr w:rsidR="009D6E6B" w:rsidRPr="00C12CAD" w14:paraId="5FBC6311" w14:textId="77777777" w:rsidTr="009D6E6B">
        <w:trPr>
          <w:trHeight w:val="300"/>
        </w:trPr>
        <w:tc>
          <w:tcPr>
            <w:tcW w:w="2574" w:type="pct"/>
            <w:tcBorders>
              <w:top w:val="nil"/>
              <w:left w:val="nil"/>
              <w:bottom w:val="nil"/>
              <w:right w:val="nil"/>
            </w:tcBorders>
            <w:shd w:val="clear" w:color="auto" w:fill="FFFFFF" w:themeFill="background1"/>
            <w:vAlign w:val="center"/>
          </w:tcPr>
          <w:p w14:paraId="28FC3773"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Electricity, gas, water and waste services</w:t>
            </w:r>
          </w:p>
        </w:tc>
        <w:tc>
          <w:tcPr>
            <w:tcW w:w="589" w:type="pct"/>
            <w:tcBorders>
              <w:top w:val="nil"/>
              <w:left w:val="nil"/>
              <w:bottom w:val="nil"/>
              <w:right w:val="nil"/>
            </w:tcBorders>
            <w:shd w:val="clear" w:color="auto" w:fill="FFFFFF" w:themeFill="background1"/>
            <w:vAlign w:val="center"/>
          </w:tcPr>
          <w:p w14:paraId="6EE8012E" w14:textId="32ECB336"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0.9</w:t>
            </w:r>
          </w:p>
        </w:tc>
        <w:tc>
          <w:tcPr>
            <w:tcW w:w="588" w:type="pct"/>
            <w:tcBorders>
              <w:top w:val="nil"/>
              <w:left w:val="nil"/>
              <w:bottom w:val="nil"/>
              <w:right w:val="nil"/>
            </w:tcBorders>
            <w:shd w:val="clear" w:color="auto" w:fill="FFFFFF" w:themeFill="background1"/>
            <w:vAlign w:val="bottom"/>
          </w:tcPr>
          <w:p w14:paraId="55823536" w14:textId="575FA816"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1.1</w:t>
            </w:r>
          </w:p>
        </w:tc>
        <w:tc>
          <w:tcPr>
            <w:tcW w:w="1249" w:type="pct"/>
            <w:tcBorders>
              <w:top w:val="nil"/>
              <w:left w:val="nil"/>
              <w:bottom w:val="nil"/>
              <w:right w:val="nil"/>
            </w:tcBorders>
            <w:shd w:val="clear" w:color="auto" w:fill="FFFFFF" w:themeFill="background1"/>
            <w:vAlign w:val="bottom"/>
          </w:tcPr>
          <w:p w14:paraId="7F4045A2" w14:textId="6A2BEDB3"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0.2</w:t>
            </w:r>
          </w:p>
        </w:tc>
      </w:tr>
      <w:tr w:rsidR="009D6E6B" w:rsidRPr="00C12CAD" w14:paraId="56E1DBF3" w14:textId="77777777" w:rsidTr="009D6E6B">
        <w:trPr>
          <w:trHeight w:val="300"/>
        </w:trPr>
        <w:tc>
          <w:tcPr>
            <w:tcW w:w="2574" w:type="pct"/>
            <w:tcBorders>
              <w:top w:val="nil"/>
              <w:left w:val="nil"/>
              <w:bottom w:val="nil"/>
              <w:right w:val="nil"/>
            </w:tcBorders>
            <w:shd w:val="clear" w:color="auto" w:fill="FFFFFF" w:themeFill="background1"/>
            <w:vAlign w:val="center"/>
            <w:hideMark/>
          </w:tcPr>
          <w:p w14:paraId="59316FE5"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Construction</w:t>
            </w:r>
          </w:p>
        </w:tc>
        <w:tc>
          <w:tcPr>
            <w:tcW w:w="589" w:type="pct"/>
            <w:tcBorders>
              <w:top w:val="nil"/>
              <w:left w:val="nil"/>
              <w:bottom w:val="nil"/>
              <w:right w:val="nil"/>
            </w:tcBorders>
            <w:shd w:val="clear" w:color="auto" w:fill="FFFFFF" w:themeFill="background1"/>
            <w:vAlign w:val="center"/>
          </w:tcPr>
          <w:p w14:paraId="589E9389" w14:textId="7C4D4805"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0.6</w:t>
            </w:r>
          </w:p>
        </w:tc>
        <w:tc>
          <w:tcPr>
            <w:tcW w:w="588" w:type="pct"/>
            <w:tcBorders>
              <w:top w:val="nil"/>
              <w:left w:val="nil"/>
              <w:bottom w:val="nil"/>
              <w:right w:val="nil"/>
            </w:tcBorders>
            <w:shd w:val="clear" w:color="auto" w:fill="FFFFFF" w:themeFill="background1"/>
            <w:vAlign w:val="bottom"/>
          </w:tcPr>
          <w:p w14:paraId="568EC576" w14:textId="58565A14"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1.0</w:t>
            </w:r>
          </w:p>
        </w:tc>
        <w:tc>
          <w:tcPr>
            <w:tcW w:w="1249" w:type="pct"/>
            <w:tcBorders>
              <w:top w:val="nil"/>
              <w:left w:val="nil"/>
              <w:bottom w:val="nil"/>
              <w:right w:val="nil"/>
            </w:tcBorders>
            <w:shd w:val="clear" w:color="auto" w:fill="FFFFFF" w:themeFill="background1"/>
            <w:vAlign w:val="bottom"/>
          </w:tcPr>
          <w:p w14:paraId="3E3A1FC7" w14:textId="0FB9D4C8"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0.4</w:t>
            </w:r>
          </w:p>
        </w:tc>
      </w:tr>
      <w:tr w:rsidR="009D6E6B" w:rsidRPr="00C12CAD" w14:paraId="7CFC6781" w14:textId="77777777" w:rsidTr="009D6E6B">
        <w:trPr>
          <w:trHeight w:val="300"/>
        </w:trPr>
        <w:tc>
          <w:tcPr>
            <w:tcW w:w="2574" w:type="pct"/>
            <w:tcBorders>
              <w:top w:val="nil"/>
              <w:left w:val="nil"/>
              <w:bottom w:val="nil"/>
              <w:right w:val="nil"/>
            </w:tcBorders>
            <w:shd w:val="clear" w:color="auto" w:fill="FFFFFF" w:themeFill="background1"/>
            <w:vAlign w:val="center"/>
            <w:hideMark/>
          </w:tcPr>
          <w:p w14:paraId="31BFDE22"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Wholesale trade</w:t>
            </w:r>
          </w:p>
        </w:tc>
        <w:tc>
          <w:tcPr>
            <w:tcW w:w="589" w:type="pct"/>
            <w:tcBorders>
              <w:top w:val="nil"/>
              <w:left w:val="nil"/>
              <w:bottom w:val="nil"/>
              <w:right w:val="nil"/>
            </w:tcBorders>
            <w:shd w:val="clear" w:color="auto" w:fill="FFFFFF" w:themeFill="background1"/>
            <w:vAlign w:val="center"/>
          </w:tcPr>
          <w:p w14:paraId="28B98490" w14:textId="05943961"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-0.6</w:t>
            </w:r>
          </w:p>
        </w:tc>
        <w:tc>
          <w:tcPr>
            <w:tcW w:w="588" w:type="pct"/>
            <w:tcBorders>
              <w:top w:val="nil"/>
              <w:left w:val="nil"/>
              <w:bottom w:val="nil"/>
              <w:right w:val="nil"/>
            </w:tcBorders>
            <w:shd w:val="clear" w:color="auto" w:fill="FFFFFF" w:themeFill="background1"/>
            <w:vAlign w:val="bottom"/>
          </w:tcPr>
          <w:p w14:paraId="701F435A" w14:textId="5802CD47"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-0.8</w:t>
            </w:r>
          </w:p>
        </w:tc>
        <w:tc>
          <w:tcPr>
            <w:tcW w:w="1249" w:type="pct"/>
            <w:tcBorders>
              <w:top w:val="nil"/>
              <w:left w:val="nil"/>
              <w:bottom w:val="nil"/>
              <w:right w:val="nil"/>
            </w:tcBorders>
            <w:shd w:val="clear" w:color="auto" w:fill="FFFFFF" w:themeFill="background1"/>
            <w:vAlign w:val="bottom"/>
          </w:tcPr>
          <w:p w14:paraId="7A67D8FD" w14:textId="0EC74B04"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-0.2</w:t>
            </w:r>
          </w:p>
        </w:tc>
      </w:tr>
      <w:tr w:rsidR="009D6E6B" w:rsidRPr="00C12CAD" w14:paraId="4CBC7894" w14:textId="77777777" w:rsidTr="009D6E6B">
        <w:trPr>
          <w:trHeight w:val="300"/>
        </w:trPr>
        <w:tc>
          <w:tcPr>
            <w:tcW w:w="2574" w:type="pct"/>
            <w:tcBorders>
              <w:top w:val="nil"/>
              <w:left w:val="nil"/>
              <w:bottom w:val="nil"/>
              <w:right w:val="nil"/>
            </w:tcBorders>
            <w:shd w:val="clear" w:color="auto" w:fill="FFFFFF" w:themeFill="background1"/>
            <w:vAlign w:val="center"/>
            <w:hideMark/>
          </w:tcPr>
          <w:p w14:paraId="7A1BBAF8"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Retail trade</w:t>
            </w:r>
          </w:p>
        </w:tc>
        <w:tc>
          <w:tcPr>
            <w:tcW w:w="589" w:type="pct"/>
            <w:tcBorders>
              <w:top w:val="nil"/>
              <w:left w:val="nil"/>
              <w:bottom w:val="nil"/>
              <w:right w:val="nil"/>
            </w:tcBorders>
            <w:shd w:val="clear" w:color="auto" w:fill="FFFFFF" w:themeFill="background1"/>
            <w:vAlign w:val="center"/>
          </w:tcPr>
          <w:p w14:paraId="14E0A6B8" w14:textId="1C9E5EAF"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0.3</w:t>
            </w:r>
          </w:p>
        </w:tc>
        <w:tc>
          <w:tcPr>
            <w:tcW w:w="588" w:type="pct"/>
            <w:tcBorders>
              <w:top w:val="nil"/>
              <w:left w:val="nil"/>
              <w:bottom w:val="nil"/>
              <w:right w:val="nil"/>
            </w:tcBorders>
            <w:shd w:val="clear" w:color="auto" w:fill="FFFFFF" w:themeFill="background1"/>
            <w:vAlign w:val="bottom"/>
          </w:tcPr>
          <w:p w14:paraId="0968A69B" w14:textId="4729D3DB"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0.3</w:t>
            </w:r>
          </w:p>
        </w:tc>
        <w:tc>
          <w:tcPr>
            <w:tcW w:w="1249" w:type="pct"/>
            <w:tcBorders>
              <w:top w:val="nil"/>
              <w:left w:val="nil"/>
              <w:bottom w:val="nil"/>
              <w:right w:val="nil"/>
            </w:tcBorders>
            <w:shd w:val="clear" w:color="auto" w:fill="FFFFFF" w:themeFill="background1"/>
            <w:vAlign w:val="bottom"/>
          </w:tcPr>
          <w:p w14:paraId="0ECC3FE9" w14:textId="7236DEC2"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0.0</w:t>
            </w:r>
          </w:p>
        </w:tc>
      </w:tr>
      <w:tr w:rsidR="009D6E6B" w:rsidRPr="00C12CAD" w14:paraId="2980E144" w14:textId="77777777" w:rsidTr="009D6E6B">
        <w:trPr>
          <w:trHeight w:val="300"/>
        </w:trPr>
        <w:tc>
          <w:tcPr>
            <w:tcW w:w="2574" w:type="pct"/>
            <w:tcBorders>
              <w:top w:val="nil"/>
              <w:left w:val="nil"/>
              <w:bottom w:val="nil"/>
              <w:right w:val="nil"/>
            </w:tcBorders>
            <w:shd w:val="clear" w:color="auto" w:fill="auto"/>
            <w:vAlign w:val="center"/>
            <w:hideMark/>
          </w:tcPr>
          <w:p w14:paraId="756AA2AC"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Accommodation and food services</w:t>
            </w:r>
          </w:p>
        </w:tc>
        <w:tc>
          <w:tcPr>
            <w:tcW w:w="589" w:type="pct"/>
            <w:tcBorders>
              <w:top w:val="nil"/>
              <w:left w:val="nil"/>
              <w:bottom w:val="nil"/>
              <w:right w:val="nil"/>
            </w:tcBorders>
            <w:shd w:val="clear" w:color="auto" w:fill="FFFFFF" w:themeFill="background1"/>
            <w:vAlign w:val="center"/>
          </w:tcPr>
          <w:p w14:paraId="16EFA9AE" w14:textId="074CB173"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-3.2</w:t>
            </w:r>
          </w:p>
        </w:tc>
        <w:tc>
          <w:tcPr>
            <w:tcW w:w="588" w:type="pct"/>
            <w:tcBorders>
              <w:top w:val="nil"/>
              <w:left w:val="nil"/>
              <w:bottom w:val="nil"/>
              <w:right w:val="nil"/>
            </w:tcBorders>
            <w:shd w:val="clear" w:color="auto" w:fill="FFFFFF" w:themeFill="background1"/>
            <w:vAlign w:val="bottom"/>
          </w:tcPr>
          <w:p w14:paraId="034D422B" w14:textId="4FB8F6C2"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-0.5</w:t>
            </w:r>
          </w:p>
        </w:tc>
        <w:tc>
          <w:tcPr>
            <w:tcW w:w="1249" w:type="pct"/>
            <w:tcBorders>
              <w:top w:val="nil"/>
              <w:left w:val="nil"/>
              <w:bottom w:val="nil"/>
              <w:right w:val="nil"/>
            </w:tcBorders>
            <w:shd w:val="clear" w:color="auto" w:fill="FFFFFF" w:themeFill="background1"/>
            <w:vAlign w:val="bottom"/>
          </w:tcPr>
          <w:p w14:paraId="45F029D0" w14:textId="638327F7"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2.7</w:t>
            </w:r>
          </w:p>
        </w:tc>
      </w:tr>
      <w:tr w:rsidR="009D6E6B" w:rsidRPr="00C12CAD" w14:paraId="6103DDED" w14:textId="77777777" w:rsidTr="009D6E6B">
        <w:trPr>
          <w:trHeight w:val="300"/>
        </w:trPr>
        <w:tc>
          <w:tcPr>
            <w:tcW w:w="2574" w:type="pct"/>
            <w:tcBorders>
              <w:top w:val="nil"/>
              <w:left w:val="nil"/>
              <w:bottom w:val="nil"/>
              <w:right w:val="nil"/>
            </w:tcBorders>
            <w:shd w:val="clear" w:color="auto" w:fill="auto"/>
            <w:vAlign w:val="center"/>
            <w:hideMark/>
          </w:tcPr>
          <w:p w14:paraId="504EA9DF"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Transport, postal and warehousing</w:t>
            </w:r>
          </w:p>
        </w:tc>
        <w:tc>
          <w:tcPr>
            <w:tcW w:w="589" w:type="pct"/>
            <w:tcBorders>
              <w:top w:val="nil"/>
              <w:left w:val="nil"/>
              <w:bottom w:val="nil"/>
              <w:right w:val="nil"/>
            </w:tcBorders>
            <w:shd w:val="clear" w:color="auto" w:fill="FFFFFF" w:themeFill="background1"/>
            <w:vAlign w:val="center"/>
          </w:tcPr>
          <w:p w14:paraId="74D7A461" w14:textId="743C9EE7"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-0.3</w:t>
            </w:r>
          </w:p>
        </w:tc>
        <w:tc>
          <w:tcPr>
            <w:tcW w:w="588" w:type="pct"/>
            <w:tcBorders>
              <w:top w:val="nil"/>
              <w:left w:val="nil"/>
              <w:bottom w:val="nil"/>
              <w:right w:val="nil"/>
            </w:tcBorders>
            <w:shd w:val="clear" w:color="auto" w:fill="FFFFFF" w:themeFill="background1"/>
            <w:vAlign w:val="bottom"/>
          </w:tcPr>
          <w:p w14:paraId="0FCA0B50" w14:textId="7271D20B"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-0.1</w:t>
            </w:r>
          </w:p>
        </w:tc>
        <w:tc>
          <w:tcPr>
            <w:tcW w:w="1249" w:type="pct"/>
            <w:tcBorders>
              <w:top w:val="nil"/>
              <w:left w:val="nil"/>
              <w:bottom w:val="nil"/>
              <w:right w:val="nil"/>
            </w:tcBorders>
            <w:shd w:val="clear" w:color="auto" w:fill="FFFFFF" w:themeFill="background1"/>
            <w:vAlign w:val="bottom"/>
          </w:tcPr>
          <w:p w14:paraId="5520A918" w14:textId="2CDA4D34"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0.2</w:t>
            </w:r>
          </w:p>
        </w:tc>
      </w:tr>
      <w:tr w:rsidR="009D6E6B" w:rsidRPr="00C12CAD" w14:paraId="38EA9339" w14:textId="77777777" w:rsidTr="009D6E6B">
        <w:trPr>
          <w:trHeight w:val="300"/>
        </w:trPr>
        <w:tc>
          <w:tcPr>
            <w:tcW w:w="2574" w:type="pct"/>
            <w:tcBorders>
              <w:top w:val="nil"/>
              <w:left w:val="nil"/>
              <w:bottom w:val="nil"/>
              <w:right w:val="nil"/>
            </w:tcBorders>
            <w:shd w:val="clear" w:color="auto" w:fill="auto"/>
            <w:vAlign w:val="center"/>
          </w:tcPr>
          <w:p w14:paraId="6C65AFA0"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Information, media and telecommunications</w:t>
            </w:r>
          </w:p>
        </w:tc>
        <w:tc>
          <w:tcPr>
            <w:tcW w:w="589" w:type="pct"/>
            <w:tcBorders>
              <w:top w:val="nil"/>
              <w:left w:val="nil"/>
              <w:bottom w:val="nil"/>
              <w:right w:val="nil"/>
            </w:tcBorders>
            <w:shd w:val="clear" w:color="auto" w:fill="FFFFFF" w:themeFill="background1"/>
            <w:vAlign w:val="center"/>
          </w:tcPr>
          <w:p w14:paraId="140F87DC" w14:textId="5781FDA1"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0.1</w:t>
            </w:r>
          </w:p>
        </w:tc>
        <w:tc>
          <w:tcPr>
            <w:tcW w:w="588" w:type="pct"/>
            <w:tcBorders>
              <w:top w:val="nil"/>
              <w:left w:val="nil"/>
              <w:bottom w:val="nil"/>
              <w:right w:val="nil"/>
            </w:tcBorders>
            <w:shd w:val="clear" w:color="auto" w:fill="FFFFFF" w:themeFill="background1"/>
            <w:vAlign w:val="bottom"/>
          </w:tcPr>
          <w:p w14:paraId="32DBCAC7" w14:textId="67769CEA"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0.2</w:t>
            </w:r>
          </w:p>
        </w:tc>
        <w:tc>
          <w:tcPr>
            <w:tcW w:w="1249" w:type="pct"/>
            <w:tcBorders>
              <w:top w:val="nil"/>
              <w:left w:val="nil"/>
              <w:bottom w:val="nil"/>
              <w:right w:val="nil"/>
            </w:tcBorders>
            <w:shd w:val="clear" w:color="auto" w:fill="FFFFFF" w:themeFill="background1"/>
            <w:vAlign w:val="bottom"/>
          </w:tcPr>
          <w:p w14:paraId="34FF158D" w14:textId="4C9D51F9"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0.1</w:t>
            </w:r>
          </w:p>
        </w:tc>
      </w:tr>
      <w:tr w:rsidR="009D6E6B" w:rsidRPr="00C12CAD" w14:paraId="1CE758DC" w14:textId="77777777" w:rsidTr="009D6E6B">
        <w:trPr>
          <w:trHeight w:val="300"/>
        </w:trPr>
        <w:tc>
          <w:tcPr>
            <w:tcW w:w="2574" w:type="pct"/>
            <w:tcBorders>
              <w:top w:val="nil"/>
              <w:left w:val="nil"/>
              <w:bottom w:val="nil"/>
              <w:right w:val="nil"/>
            </w:tcBorders>
            <w:shd w:val="clear" w:color="auto" w:fill="auto"/>
            <w:vAlign w:val="center"/>
          </w:tcPr>
          <w:p w14:paraId="1A1EB2BF"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Financial and insurance services</w:t>
            </w:r>
          </w:p>
        </w:tc>
        <w:tc>
          <w:tcPr>
            <w:tcW w:w="589" w:type="pct"/>
            <w:tcBorders>
              <w:top w:val="nil"/>
              <w:left w:val="nil"/>
              <w:bottom w:val="nil"/>
              <w:right w:val="nil"/>
            </w:tcBorders>
            <w:shd w:val="clear" w:color="auto" w:fill="FFFFFF" w:themeFill="background1"/>
            <w:vAlign w:val="center"/>
          </w:tcPr>
          <w:p w14:paraId="26BC1657" w14:textId="2BA25BFB"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0.4</w:t>
            </w:r>
          </w:p>
        </w:tc>
        <w:tc>
          <w:tcPr>
            <w:tcW w:w="588" w:type="pct"/>
            <w:tcBorders>
              <w:top w:val="nil"/>
              <w:left w:val="nil"/>
              <w:bottom w:val="nil"/>
              <w:right w:val="nil"/>
            </w:tcBorders>
            <w:shd w:val="clear" w:color="auto" w:fill="FFFFFF" w:themeFill="background1"/>
            <w:vAlign w:val="bottom"/>
          </w:tcPr>
          <w:p w14:paraId="18B1CFFD" w14:textId="79AABFEA"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0.4</w:t>
            </w:r>
          </w:p>
        </w:tc>
        <w:tc>
          <w:tcPr>
            <w:tcW w:w="1249" w:type="pct"/>
            <w:tcBorders>
              <w:top w:val="nil"/>
              <w:left w:val="nil"/>
              <w:bottom w:val="nil"/>
              <w:right w:val="nil"/>
            </w:tcBorders>
            <w:shd w:val="clear" w:color="auto" w:fill="FFFFFF" w:themeFill="background1"/>
            <w:vAlign w:val="bottom"/>
          </w:tcPr>
          <w:p w14:paraId="7884E237" w14:textId="3668DEAD"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0.0</w:t>
            </w:r>
          </w:p>
        </w:tc>
      </w:tr>
      <w:tr w:rsidR="009D6E6B" w:rsidRPr="00C12CAD" w14:paraId="4B624A75" w14:textId="77777777" w:rsidTr="009D6E6B">
        <w:trPr>
          <w:trHeight w:val="300"/>
        </w:trPr>
        <w:tc>
          <w:tcPr>
            <w:tcW w:w="2574" w:type="pct"/>
            <w:tcBorders>
              <w:top w:val="nil"/>
              <w:left w:val="nil"/>
              <w:bottom w:val="nil"/>
              <w:right w:val="nil"/>
            </w:tcBorders>
            <w:shd w:val="clear" w:color="auto" w:fill="auto"/>
            <w:vAlign w:val="center"/>
          </w:tcPr>
          <w:p w14:paraId="7248B394"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Rental, hiring and real estate services</w:t>
            </w:r>
          </w:p>
        </w:tc>
        <w:tc>
          <w:tcPr>
            <w:tcW w:w="589" w:type="pct"/>
            <w:tcBorders>
              <w:top w:val="nil"/>
              <w:left w:val="nil"/>
              <w:bottom w:val="nil"/>
              <w:right w:val="nil"/>
            </w:tcBorders>
            <w:shd w:val="clear" w:color="auto" w:fill="FFFFFF" w:themeFill="background1"/>
            <w:vAlign w:val="center"/>
          </w:tcPr>
          <w:p w14:paraId="6A1E35CA" w14:textId="7F001790"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-0.7</w:t>
            </w:r>
          </w:p>
        </w:tc>
        <w:tc>
          <w:tcPr>
            <w:tcW w:w="588" w:type="pct"/>
            <w:tcBorders>
              <w:top w:val="nil"/>
              <w:left w:val="nil"/>
              <w:bottom w:val="nil"/>
              <w:right w:val="nil"/>
            </w:tcBorders>
            <w:shd w:val="clear" w:color="auto" w:fill="FFFFFF" w:themeFill="background1"/>
            <w:vAlign w:val="bottom"/>
          </w:tcPr>
          <w:p w14:paraId="24027E7F" w14:textId="0B369B60"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-0.5</w:t>
            </w:r>
          </w:p>
        </w:tc>
        <w:tc>
          <w:tcPr>
            <w:tcW w:w="1249" w:type="pct"/>
            <w:tcBorders>
              <w:top w:val="nil"/>
              <w:left w:val="nil"/>
              <w:bottom w:val="nil"/>
              <w:right w:val="nil"/>
            </w:tcBorders>
            <w:shd w:val="clear" w:color="auto" w:fill="FFFFFF" w:themeFill="background1"/>
            <w:vAlign w:val="bottom"/>
          </w:tcPr>
          <w:p w14:paraId="0EBB8822" w14:textId="3B396E3E"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0.2</w:t>
            </w:r>
          </w:p>
        </w:tc>
      </w:tr>
      <w:tr w:rsidR="009D6E6B" w:rsidRPr="00C12CAD" w14:paraId="3C164DC2" w14:textId="77777777" w:rsidTr="009D6E6B">
        <w:trPr>
          <w:trHeight w:val="300"/>
        </w:trPr>
        <w:tc>
          <w:tcPr>
            <w:tcW w:w="2574" w:type="pct"/>
            <w:tcBorders>
              <w:top w:val="nil"/>
              <w:left w:val="nil"/>
              <w:bottom w:val="nil"/>
              <w:right w:val="nil"/>
            </w:tcBorders>
            <w:shd w:val="clear" w:color="auto" w:fill="auto"/>
            <w:vAlign w:val="center"/>
          </w:tcPr>
          <w:p w14:paraId="14CF36A2"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Professional, scientific and technical services</w:t>
            </w:r>
          </w:p>
        </w:tc>
        <w:tc>
          <w:tcPr>
            <w:tcW w:w="589" w:type="pct"/>
            <w:tcBorders>
              <w:top w:val="nil"/>
              <w:left w:val="nil"/>
              <w:bottom w:val="nil"/>
              <w:right w:val="nil"/>
            </w:tcBorders>
            <w:shd w:val="clear" w:color="auto" w:fill="FFFFFF" w:themeFill="background1"/>
            <w:vAlign w:val="center"/>
          </w:tcPr>
          <w:p w14:paraId="6C6FAD4E" w14:textId="30027F0B"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1.2</w:t>
            </w:r>
          </w:p>
        </w:tc>
        <w:tc>
          <w:tcPr>
            <w:tcW w:w="588" w:type="pct"/>
            <w:tcBorders>
              <w:top w:val="nil"/>
              <w:left w:val="nil"/>
              <w:bottom w:val="nil"/>
              <w:right w:val="nil"/>
            </w:tcBorders>
            <w:shd w:val="clear" w:color="auto" w:fill="FFFFFF" w:themeFill="background1"/>
            <w:vAlign w:val="bottom"/>
          </w:tcPr>
          <w:p w14:paraId="13587BFB" w14:textId="5C5AD315"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1.4</w:t>
            </w:r>
          </w:p>
        </w:tc>
        <w:tc>
          <w:tcPr>
            <w:tcW w:w="1249" w:type="pct"/>
            <w:tcBorders>
              <w:top w:val="nil"/>
              <w:left w:val="nil"/>
              <w:bottom w:val="nil"/>
              <w:right w:val="nil"/>
            </w:tcBorders>
            <w:shd w:val="clear" w:color="auto" w:fill="FFFFFF" w:themeFill="background1"/>
            <w:vAlign w:val="bottom"/>
          </w:tcPr>
          <w:p w14:paraId="4498FC5D" w14:textId="51267580"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0.2</w:t>
            </w:r>
          </w:p>
        </w:tc>
      </w:tr>
      <w:tr w:rsidR="009D6E6B" w:rsidRPr="00C12CAD" w14:paraId="05B948F5" w14:textId="77777777" w:rsidTr="009D6E6B">
        <w:trPr>
          <w:trHeight w:val="300"/>
        </w:trPr>
        <w:tc>
          <w:tcPr>
            <w:tcW w:w="2574" w:type="pct"/>
            <w:tcBorders>
              <w:top w:val="nil"/>
              <w:left w:val="nil"/>
              <w:bottom w:val="nil"/>
              <w:right w:val="nil"/>
            </w:tcBorders>
            <w:shd w:val="clear" w:color="auto" w:fill="auto"/>
            <w:vAlign w:val="center"/>
          </w:tcPr>
          <w:p w14:paraId="3EB1DA60"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Administrative and support services</w:t>
            </w:r>
          </w:p>
        </w:tc>
        <w:tc>
          <w:tcPr>
            <w:tcW w:w="589" w:type="pct"/>
            <w:tcBorders>
              <w:top w:val="nil"/>
              <w:left w:val="nil"/>
              <w:bottom w:val="nil"/>
              <w:right w:val="nil"/>
            </w:tcBorders>
            <w:shd w:val="clear" w:color="auto" w:fill="FFFFFF" w:themeFill="background1"/>
            <w:vAlign w:val="center"/>
          </w:tcPr>
          <w:p w14:paraId="481378FB" w14:textId="2111B727"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0.7</w:t>
            </w:r>
          </w:p>
        </w:tc>
        <w:tc>
          <w:tcPr>
            <w:tcW w:w="588" w:type="pct"/>
            <w:tcBorders>
              <w:top w:val="nil"/>
              <w:left w:val="nil"/>
              <w:bottom w:val="nil"/>
              <w:right w:val="nil"/>
            </w:tcBorders>
            <w:shd w:val="clear" w:color="auto" w:fill="FFFFFF" w:themeFill="background1"/>
            <w:vAlign w:val="bottom"/>
          </w:tcPr>
          <w:p w14:paraId="2E150270" w14:textId="4A4A82C7"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0.7</w:t>
            </w:r>
          </w:p>
        </w:tc>
        <w:tc>
          <w:tcPr>
            <w:tcW w:w="1249" w:type="pct"/>
            <w:tcBorders>
              <w:top w:val="nil"/>
              <w:left w:val="nil"/>
              <w:bottom w:val="nil"/>
              <w:right w:val="nil"/>
            </w:tcBorders>
            <w:shd w:val="clear" w:color="auto" w:fill="FFFFFF" w:themeFill="background1"/>
            <w:vAlign w:val="bottom"/>
          </w:tcPr>
          <w:p w14:paraId="770B4093" w14:textId="261E1ACC"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0.0</w:t>
            </w:r>
          </w:p>
        </w:tc>
      </w:tr>
      <w:tr w:rsidR="009D6E6B" w:rsidRPr="00C12CAD" w14:paraId="5EA49F2F" w14:textId="77777777" w:rsidTr="009D6E6B">
        <w:trPr>
          <w:trHeight w:val="300"/>
        </w:trPr>
        <w:tc>
          <w:tcPr>
            <w:tcW w:w="2574" w:type="pct"/>
            <w:tcBorders>
              <w:top w:val="nil"/>
              <w:left w:val="nil"/>
              <w:bottom w:val="nil"/>
              <w:right w:val="nil"/>
            </w:tcBorders>
            <w:shd w:val="clear" w:color="auto" w:fill="auto"/>
            <w:vAlign w:val="center"/>
          </w:tcPr>
          <w:p w14:paraId="303094BB"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Public administration and safety</w:t>
            </w:r>
          </w:p>
        </w:tc>
        <w:tc>
          <w:tcPr>
            <w:tcW w:w="589" w:type="pct"/>
            <w:tcBorders>
              <w:top w:val="nil"/>
              <w:left w:val="nil"/>
              <w:bottom w:val="nil"/>
              <w:right w:val="nil"/>
            </w:tcBorders>
            <w:shd w:val="clear" w:color="auto" w:fill="FFFFFF" w:themeFill="background1"/>
            <w:vAlign w:val="center"/>
          </w:tcPr>
          <w:p w14:paraId="52C6867A" w14:textId="77041816"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w:t>
            </w:r>
          </w:p>
        </w:tc>
        <w:tc>
          <w:tcPr>
            <w:tcW w:w="588" w:type="pct"/>
            <w:tcBorders>
              <w:top w:val="nil"/>
              <w:left w:val="nil"/>
              <w:bottom w:val="nil"/>
              <w:right w:val="nil"/>
            </w:tcBorders>
            <w:shd w:val="clear" w:color="auto" w:fill="FFFFFF" w:themeFill="background1"/>
            <w:vAlign w:val="bottom"/>
          </w:tcPr>
          <w:p w14:paraId="2521C72B" w14:textId="3A95CB27"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1.0</w:t>
            </w:r>
          </w:p>
        </w:tc>
        <w:tc>
          <w:tcPr>
            <w:tcW w:w="1249" w:type="pct"/>
            <w:tcBorders>
              <w:top w:val="nil"/>
              <w:left w:val="nil"/>
              <w:bottom w:val="nil"/>
              <w:right w:val="nil"/>
            </w:tcBorders>
            <w:shd w:val="clear" w:color="auto" w:fill="FFFFFF" w:themeFill="background1"/>
            <w:vAlign w:val="bottom"/>
          </w:tcPr>
          <w:p w14:paraId="1BE29617" w14:textId="43D31EFC"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0.0</w:t>
            </w:r>
          </w:p>
        </w:tc>
      </w:tr>
      <w:tr w:rsidR="009D6E6B" w:rsidRPr="00C12CAD" w14:paraId="396042E3" w14:textId="77777777" w:rsidTr="009D6E6B">
        <w:trPr>
          <w:trHeight w:val="300"/>
        </w:trPr>
        <w:tc>
          <w:tcPr>
            <w:tcW w:w="2574" w:type="pct"/>
            <w:tcBorders>
              <w:top w:val="nil"/>
              <w:left w:val="nil"/>
              <w:bottom w:val="nil"/>
              <w:right w:val="nil"/>
            </w:tcBorders>
            <w:shd w:val="clear" w:color="auto" w:fill="auto"/>
            <w:vAlign w:val="center"/>
          </w:tcPr>
          <w:p w14:paraId="6C7BBC11" w14:textId="77777777" w:rsidR="009D6E6B" w:rsidRPr="00C12CAD" w:rsidRDefault="009D6E6B" w:rsidP="00C12CAD">
            <w:pPr>
              <w:pStyle w:val="TableBody"/>
              <w:spacing w:line="260" w:lineRule="atLeast"/>
              <w:ind w:right="57"/>
              <w:rPr>
                <w:rFonts w:ascii="Arial" w:hAnsi="Arial" w:cs="Arial"/>
                <w:szCs w:val="18"/>
              </w:rPr>
            </w:pPr>
            <w:r w:rsidRPr="00C12CAD">
              <w:rPr>
                <w:rFonts w:ascii="Arial" w:hAnsi="Arial" w:cs="Arial"/>
                <w:szCs w:val="18"/>
              </w:rPr>
              <w:t>Education and training</w:t>
            </w:r>
          </w:p>
        </w:tc>
        <w:tc>
          <w:tcPr>
            <w:tcW w:w="589" w:type="pct"/>
            <w:tcBorders>
              <w:top w:val="nil"/>
              <w:left w:val="nil"/>
              <w:bottom w:val="nil"/>
              <w:right w:val="nil"/>
            </w:tcBorders>
            <w:shd w:val="clear" w:color="auto" w:fill="FFFFFF" w:themeFill="background1"/>
            <w:vAlign w:val="center"/>
          </w:tcPr>
          <w:p w14:paraId="61EACAE4" w14:textId="7DD8141A"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0.4</w:t>
            </w:r>
          </w:p>
        </w:tc>
        <w:tc>
          <w:tcPr>
            <w:tcW w:w="588" w:type="pct"/>
            <w:tcBorders>
              <w:top w:val="nil"/>
              <w:left w:val="nil"/>
              <w:bottom w:val="nil"/>
              <w:right w:val="nil"/>
            </w:tcBorders>
            <w:shd w:val="clear" w:color="auto" w:fill="FFFFFF" w:themeFill="background1"/>
            <w:vAlign w:val="bottom"/>
          </w:tcPr>
          <w:p w14:paraId="07766A44" w14:textId="32AA22F3"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0.4</w:t>
            </w:r>
          </w:p>
        </w:tc>
        <w:tc>
          <w:tcPr>
            <w:tcW w:w="1249" w:type="pct"/>
            <w:tcBorders>
              <w:top w:val="nil"/>
              <w:left w:val="nil"/>
              <w:bottom w:val="nil"/>
              <w:right w:val="nil"/>
            </w:tcBorders>
            <w:shd w:val="clear" w:color="auto" w:fill="FFFFFF" w:themeFill="background1"/>
            <w:vAlign w:val="bottom"/>
          </w:tcPr>
          <w:p w14:paraId="64D77995" w14:textId="0D0B5315"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0.0</w:t>
            </w:r>
          </w:p>
        </w:tc>
      </w:tr>
      <w:tr w:rsidR="009D6E6B" w:rsidRPr="00C12CAD" w14:paraId="4BC5CAD1" w14:textId="77777777" w:rsidTr="009D6E6B">
        <w:trPr>
          <w:trHeight w:val="300"/>
        </w:trPr>
        <w:tc>
          <w:tcPr>
            <w:tcW w:w="2574" w:type="pct"/>
            <w:tcBorders>
              <w:top w:val="nil"/>
              <w:left w:val="nil"/>
              <w:bottom w:val="nil"/>
              <w:right w:val="nil"/>
            </w:tcBorders>
            <w:shd w:val="clear" w:color="auto" w:fill="auto"/>
            <w:vAlign w:val="center"/>
          </w:tcPr>
          <w:p w14:paraId="3CF2DEAC" w14:textId="77777777" w:rsidR="009D6E6B" w:rsidRPr="00C12CAD" w:rsidRDefault="009D6E6B" w:rsidP="00C12CAD">
            <w:pPr>
              <w:pStyle w:val="TableBody"/>
              <w:spacing w:line="260" w:lineRule="atLeast"/>
              <w:ind w:right="57"/>
              <w:rPr>
                <w:rFonts w:ascii="Arial" w:hAnsi="Arial" w:cs="Arial"/>
                <w:szCs w:val="18"/>
              </w:rPr>
            </w:pPr>
            <w:r w:rsidRPr="00C12CAD">
              <w:rPr>
                <w:rFonts w:ascii="Arial" w:hAnsi="Arial" w:cs="Arial"/>
                <w:szCs w:val="18"/>
              </w:rPr>
              <w:t>Health care and social assistance</w:t>
            </w:r>
          </w:p>
        </w:tc>
        <w:tc>
          <w:tcPr>
            <w:tcW w:w="589" w:type="pct"/>
            <w:tcBorders>
              <w:top w:val="nil"/>
              <w:left w:val="nil"/>
              <w:bottom w:val="nil"/>
              <w:right w:val="nil"/>
            </w:tcBorders>
            <w:shd w:val="clear" w:color="auto" w:fill="FFFFFF" w:themeFill="background1"/>
            <w:vAlign w:val="center"/>
          </w:tcPr>
          <w:p w14:paraId="4C554F04" w14:textId="51B537A9"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0.5</w:t>
            </w:r>
          </w:p>
        </w:tc>
        <w:tc>
          <w:tcPr>
            <w:tcW w:w="588" w:type="pct"/>
            <w:tcBorders>
              <w:top w:val="nil"/>
              <w:left w:val="nil"/>
              <w:bottom w:val="nil"/>
              <w:right w:val="nil"/>
            </w:tcBorders>
            <w:shd w:val="clear" w:color="auto" w:fill="FFFFFF" w:themeFill="background1"/>
            <w:vAlign w:val="bottom"/>
          </w:tcPr>
          <w:p w14:paraId="7FC520D2" w14:textId="1D686D41"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0.5</w:t>
            </w:r>
          </w:p>
        </w:tc>
        <w:tc>
          <w:tcPr>
            <w:tcW w:w="1249" w:type="pct"/>
            <w:tcBorders>
              <w:top w:val="nil"/>
              <w:left w:val="nil"/>
              <w:bottom w:val="nil"/>
              <w:right w:val="nil"/>
            </w:tcBorders>
            <w:shd w:val="clear" w:color="auto" w:fill="FFFFFF" w:themeFill="background1"/>
            <w:vAlign w:val="bottom"/>
          </w:tcPr>
          <w:p w14:paraId="4889065C" w14:textId="4C56A4CA"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0.0</w:t>
            </w:r>
          </w:p>
        </w:tc>
      </w:tr>
      <w:tr w:rsidR="009D6E6B" w:rsidRPr="00C12CAD" w14:paraId="23A1D3F9" w14:textId="77777777" w:rsidTr="009D6E6B">
        <w:trPr>
          <w:trHeight w:val="65"/>
        </w:trPr>
        <w:tc>
          <w:tcPr>
            <w:tcW w:w="2574" w:type="pct"/>
            <w:tcBorders>
              <w:top w:val="nil"/>
              <w:left w:val="nil"/>
              <w:bottom w:val="nil"/>
              <w:right w:val="nil"/>
            </w:tcBorders>
            <w:shd w:val="clear" w:color="auto" w:fill="auto"/>
            <w:vAlign w:val="center"/>
          </w:tcPr>
          <w:p w14:paraId="7E029421" w14:textId="77777777" w:rsidR="009D6E6B" w:rsidRPr="00C12CAD" w:rsidRDefault="009D6E6B" w:rsidP="00C12CAD">
            <w:pPr>
              <w:pStyle w:val="TableBody"/>
              <w:spacing w:line="260" w:lineRule="atLeast"/>
              <w:ind w:right="57"/>
              <w:rPr>
                <w:rFonts w:ascii="Arial" w:hAnsi="Arial" w:cs="Arial"/>
                <w:szCs w:val="18"/>
              </w:rPr>
            </w:pPr>
            <w:r w:rsidRPr="00C12CAD">
              <w:rPr>
                <w:rFonts w:ascii="Arial" w:hAnsi="Arial" w:cs="Arial"/>
                <w:szCs w:val="18"/>
              </w:rPr>
              <w:t>Arts and recreation services</w:t>
            </w:r>
          </w:p>
        </w:tc>
        <w:tc>
          <w:tcPr>
            <w:tcW w:w="589" w:type="pct"/>
            <w:tcBorders>
              <w:top w:val="nil"/>
              <w:left w:val="nil"/>
              <w:bottom w:val="nil"/>
              <w:right w:val="nil"/>
            </w:tcBorders>
            <w:shd w:val="clear" w:color="auto" w:fill="FFFFFF" w:themeFill="background1"/>
            <w:vAlign w:val="center"/>
          </w:tcPr>
          <w:p w14:paraId="43F9BEE2" w14:textId="25A4EA2A"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-0.8</w:t>
            </w:r>
          </w:p>
        </w:tc>
        <w:tc>
          <w:tcPr>
            <w:tcW w:w="588" w:type="pct"/>
            <w:tcBorders>
              <w:top w:val="nil"/>
              <w:left w:val="nil"/>
              <w:bottom w:val="nil"/>
              <w:right w:val="nil"/>
            </w:tcBorders>
            <w:shd w:val="clear" w:color="auto" w:fill="FFFFFF" w:themeFill="background1"/>
            <w:vAlign w:val="bottom"/>
          </w:tcPr>
          <w:p w14:paraId="5F1CB88B" w14:textId="283D5B41"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-0.4</w:t>
            </w:r>
          </w:p>
        </w:tc>
        <w:tc>
          <w:tcPr>
            <w:tcW w:w="1249" w:type="pct"/>
            <w:tcBorders>
              <w:top w:val="nil"/>
              <w:left w:val="nil"/>
              <w:bottom w:val="nil"/>
              <w:right w:val="nil"/>
            </w:tcBorders>
            <w:shd w:val="clear" w:color="auto" w:fill="FFFFFF" w:themeFill="background1"/>
            <w:vAlign w:val="bottom"/>
          </w:tcPr>
          <w:p w14:paraId="6BE0A188" w14:textId="148EB388"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0.4</w:t>
            </w:r>
          </w:p>
        </w:tc>
      </w:tr>
      <w:tr w:rsidR="009D6E6B" w:rsidRPr="00C12CAD" w14:paraId="01A15616" w14:textId="77777777" w:rsidTr="009D6E6B">
        <w:trPr>
          <w:trHeight w:val="300"/>
        </w:trPr>
        <w:tc>
          <w:tcPr>
            <w:tcW w:w="2574" w:type="pct"/>
            <w:tcBorders>
              <w:top w:val="nil"/>
              <w:left w:val="nil"/>
              <w:bottom w:val="single" w:sz="4" w:space="0" w:color="BFBFBF" w:themeColor="background1" w:themeShade="BF"/>
              <w:right w:val="nil"/>
            </w:tcBorders>
            <w:shd w:val="clear" w:color="auto" w:fill="auto"/>
            <w:vAlign w:val="center"/>
          </w:tcPr>
          <w:p w14:paraId="124DAAC9" w14:textId="77777777" w:rsidR="009D6E6B" w:rsidRPr="00C12CAD" w:rsidRDefault="009D6E6B" w:rsidP="00C12CAD">
            <w:pPr>
              <w:pStyle w:val="TableBody"/>
              <w:spacing w:line="260" w:lineRule="atLeast"/>
              <w:ind w:right="57"/>
              <w:rPr>
                <w:rFonts w:ascii="Arial" w:eastAsia="Times New Roman" w:hAnsi="Arial" w:cs="Arial"/>
                <w:szCs w:val="18"/>
                <w:lang w:eastAsia="en-AU"/>
              </w:rPr>
            </w:pPr>
            <w:r w:rsidRPr="00C12CAD">
              <w:rPr>
                <w:rFonts w:ascii="Arial" w:hAnsi="Arial" w:cs="Arial"/>
                <w:szCs w:val="18"/>
              </w:rPr>
              <w:t>Other services</w:t>
            </w:r>
          </w:p>
        </w:tc>
        <w:tc>
          <w:tcPr>
            <w:tcW w:w="589" w:type="pct"/>
            <w:tcBorders>
              <w:top w:val="nil"/>
              <w:left w:val="nil"/>
              <w:bottom w:val="nil"/>
              <w:right w:val="nil"/>
            </w:tcBorders>
            <w:shd w:val="clear" w:color="auto" w:fill="FFFFFF" w:themeFill="background1"/>
            <w:vAlign w:val="center"/>
          </w:tcPr>
          <w:p w14:paraId="489DA4C1" w14:textId="6E6A3016"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1.4</w:t>
            </w:r>
          </w:p>
        </w:tc>
        <w:tc>
          <w:tcPr>
            <w:tcW w:w="588" w:type="pct"/>
            <w:tcBorders>
              <w:top w:val="nil"/>
              <w:left w:val="nil"/>
              <w:bottom w:val="nil"/>
              <w:right w:val="nil"/>
            </w:tcBorders>
            <w:shd w:val="clear" w:color="auto" w:fill="FFFFFF" w:themeFill="background1"/>
            <w:vAlign w:val="bottom"/>
          </w:tcPr>
          <w:p w14:paraId="62C661BE" w14:textId="3D8B705D"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1.3</w:t>
            </w:r>
          </w:p>
        </w:tc>
        <w:tc>
          <w:tcPr>
            <w:tcW w:w="1249" w:type="pct"/>
            <w:tcBorders>
              <w:top w:val="nil"/>
              <w:left w:val="nil"/>
              <w:bottom w:val="nil"/>
              <w:right w:val="nil"/>
            </w:tcBorders>
            <w:shd w:val="clear" w:color="auto" w:fill="FFFFFF" w:themeFill="background1"/>
            <w:vAlign w:val="bottom"/>
          </w:tcPr>
          <w:p w14:paraId="6FA0A9DC" w14:textId="4111CA1C" w:rsidR="009D6E6B" w:rsidRPr="00C12CAD" w:rsidRDefault="009D6E6B" w:rsidP="00C12CAD">
            <w:pPr>
              <w:pStyle w:val="TableBody"/>
              <w:spacing w:line="260" w:lineRule="atLeast"/>
              <w:ind w:right="57"/>
              <w:jc w:val="right"/>
              <w:rPr>
                <w:rFonts w:ascii="Arial" w:hAnsi="Arial" w:cs="Arial"/>
                <w:szCs w:val="18"/>
                <w:lang w:eastAsia="en-AU"/>
              </w:rPr>
            </w:pPr>
            <w:r w:rsidRPr="00C12CAD">
              <w:rPr>
                <w:rFonts w:ascii="Arial" w:hAnsi="Arial" w:cs="Arial"/>
                <w:color w:val="000000"/>
                <w:szCs w:val="18"/>
              </w:rPr>
              <w:t>-0.1</w:t>
            </w:r>
          </w:p>
        </w:tc>
      </w:tr>
    </w:tbl>
    <w:p w14:paraId="25703288" w14:textId="2019B336" w:rsidR="005570A1" w:rsidRPr="006C736D" w:rsidRDefault="006C736D" w:rsidP="00633ACE">
      <w:pPr>
        <w:pStyle w:val="Source"/>
        <w:spacing w:after="200"/>
      </w:pPr>
      <w:r w:rsidRPr="00696447">
        <w:t>Source</w:t>
      </w:r>
      <w:r w:rsidR="00DD64C9">
        <w:t>s</w:t>
      </w:r>
      <w:r w:rsidRPr="00696447">
        <w:t xml:space="preserve">: </w:t>
      </w:r>
      <w:r w:rsidR="000F6571">
        <w:t>Commission</w:t>
      </w:r>
      <w:r w:rsidR="00627A70">
        <w:t xml:space="preserve"> estimates</w:t>
      </w:r>
      <w:r w:rsidR="000F6571">
        <w:t xml:space="preserve"> based on </w:t>
      </w:r>
      <w:r>
        <w:t>ABS (202</w:t>
      </w:r>
      <w:r w:rsidR="009D3726">
        <w:t>4</w:t>
      </w:r>
      <w:r>
        <w:t xml:space="preserve">, </w:t>
      </w:r>
      <w:r w:rsidRPr="00EE6BEF">
        <w:rPr>
          <w:i/>
          <w:iCs/>
        </w:rPr>
        <w:t>Australian National Accounts: National Income, Expenditure and Product</w:t>
      </w:r>
      <w:r>
        <w:t xml:space="preserve">, </w:t>
      </w:r>
      <w:r w:rsidR="00D43D0F">
        <w:t>March</w:t>
      </w:r>
      <w:r w:rsidR="009D3726">
        <w:t xml:space="preserve"> </w:t>
      </w:r>
      <w:r>
        <w:t>202</w:t>
      </w:r>
      <w:r w:rsidR="00D43D0F">
        <w:t>4</w:t>
      </w:r>
      <w:r>
        <w:t>, Cat. no.5206</w:t>
      </w:r>
      <w:r w:rsidR="00E85662">
        <w:t>.</w:t>
      </w:r>
      <w:r>
        <w:t xml:space="preserve">0, table </w:t>
      </w:r>
      <w:r w:rsidR="00DE6D15">
        <w:t>6</w:t>
      </w:r>
      <w:r>
        <w:t xml:space="preserve">) and </w:t>
      </w:r>
      <w:r w:rsidR="00DE6D15">
        <w:t>ABS (202</w:t>
      </w:r>
      <w:r w:rsidR="00D43D0F">
        <w:t>4</w:t>
      </w:r>
      <w:r w:rsidR="00DE6D15">
        <w:t xml:space="preserve">, </w:t>
      </w:r>
      <w:r w:rsidR="00DE6D15" w:rsidRPr="00EE6BEF">
        <w:rPr>
          <w:i/>
          <w:iCs/>
        </w:rPr>
        <w:t>Australian National Accounts: National Income, Expenditure and Product</w:t>
      </w:r>
      <w:r w:rsidR="00DE6D15">
        <w:t xml:space="preserve">, </w:t>
      </w:r>
      <w:r w:rsidR="00D43D0F">
        <w:t>December</w:t>
      </w:r>
      <w:r w:rsidR="00DE6D15">
        <w:t xml:space="preserve"> 2023, Cat. no.5206</w:t>
      </w:r>
      <w:r w:rsidR="00E85662">
        <w:t>.</w:t>
      </w:r>
      <w:r w:rsidR="00DE6D15">
        <w:t>0, table 6)</w:t>
      </w:r>
      <w:r w:rsidR="00E54B6C">
        <w:t>.</w:t>
      </w:r>
    </w:p>
    <w:p w14:paraId="5C4F4926" w14:textId="6410DF64" w:rsidR="005570A1" w:rsidRPr="006331F8" w:rsidRDefault="00C541CF" w:rsidP="002A766B">
      <w:pPr>
        <w:pStyle w:val="FigureTableHeading"/>
        <w:spacing w:before="200" w:after="0"/>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015036" w:rsidRPr="00EA14C5" w14:paraId="5A0C20D4" w14:textId="77777777" w:rsidTr="00C421A0">
        <w:trPr>
          <w:trHeight w:val="227"/>
        </w:trPr>
        <w:tc>
          <w:tcPr>
            <w:tcW w:w="2489" w:type="pct"/>
            <w:vMerge w:val="restart"/>
            <w:tcBorders>
              <w:top w:val="nil"/>
              <w:left w:val="nil"/>
              <w:bottom w:val="nil"/>
              <w:right w:val="nil"/>
            </w:tcBorders>
            <w:shd w:val="clear" w:color="auto" w:fill="auto"/>
            <w:vAlign w:val="center"/>
            <w:hideMark/>
          </w:tcPr>
          <w:p w14:paraId="68B60F8E" w14:textId="77777777" w:rsidR="00015036" w:rsidRPr="00EA14C5" w:rsidRDefault="00015036" w:rsidP="00EA14C5">
            <w:pPr>
              <w:pStyle w:val="TableHeading"/>
              <w:ind w:right="57"/>
              <w:rPr>
                <w:rFonts w:ascii="Arial" w:hAnsi="Arial" w:cs="Arial"/>
                <w:szCs w:val="18"/>
              </w:rPr>
            </w:pPr>
            <w:r w:rsidRPr="00EA14C5">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2B7FAD87" w14:textId="5A748A29" w:rsidR="00015036" w:rsidRPr="00EA14C5" w:rsidRDefault="00015036" w:rsidP="00EA14C5">
            <w:pPr>
              <w:pStyle w:val="TableHeading"/>
              <w:ind w:right="57"/>
              <w:jc w:val="center"/>
              <w:rPr>
                <w:rFonts w:ascii="Arial" w:hAnsi="Arial" w:cs="Arial"/>
                <w:szCs w:val="18"/>
              </w:rPr>
            </w:pPr>
            <w:r w:rsidRPr="00EA14C5">
              <w:rPr>
                <w:rFonts w:ascii="Arial" w:hAnsi="Arial" w:cs="Arial"/>
                <w:szCs w:val="18"/>
              </w:rPr>
              <w:t>Revision on Q</w:t>
            </w:r>
            <w:r w:rsidR="009D6E6B" w:rsidRPr="00EA14C5">
              <w:rPr>
                <w:rFonts w:ascii="Arial" w:hAnsi="Arial" w:cs="Arial"/>
                <w:szCs w:val="18"/>
              </w:rPr>
              <w:t>4</w:t>
            </w:r>
            <w:r w:rsidRPr="00EA14C5">
              <w:rPr>
                <w:rFonts w:ascii="Arial" w:hAnsi="Arial" w:cs="Arial"/>
                <w:szCs w:val="18"/>
              </w:rPr>
              <w:t xml:space="preserve"> 2023</w:t>
            </w:r>
          </w:p>
        </w:tc>
        <w:tc>
          <w:tcPr>
            <w:tcW w:w="1212" w:type="pct"/>
            <w:vMerge w:val="restart"/>
            <w:tcBorders>
              <w:top w:val="nil"/>
              <w:left w:val="nil"/>
              <w:bottom w:val="nil"/>
              <w:right w:val="nil"/>
            </w:tcBorders>
            <w:shd w:val="clear" w:color="auto" w:fill="auto"/>
            <w:vAlign w:val="center"/>
            <w:hideMark/>
          </w:tcPr>
          <w:p w14:paraId="5C30DFF2" w14:textId="58B688A5" w:rsidR="00015036" w:rsidRPr="00EA14C5" w:rsidRDefault="00015036" w:rsidP="00EA14C5">
            <w:pPr>
              <w:pStyle w:val="TableHeading"/>
              <w:ind w:right="57"/>
              <w:jc w:val="right"/>
              <w:rPr>
                <w:rFonts w:ascii="Arial" w:hAnsi="Arial" w:cs="Arial"/>
                <w:szCs w:val="18"/>
              </w:rPr>
            </w:pPr>
            <w:r w:rsidRPr="00EA14C5">
              <w:rPr>
                <w:rFonts w:ascii="Arial" w:hAnsi="Arial" w:cs="Arial"/>
                <w:szCs w:val="18"/>
              </w:rPr>
              <w:t xml:space="preserve">Difference </w:t>
            </w:r>
            <w:r w:rsidR="00133DAF" w:rsidRPr="00EA14C5">
              <w:rPr>
                <w:rFonts w:ascii="Arial" w:hAnsi="Arial" w:cs="Arial"/>
                <w:szCs w:val="18"/>
              </w:rPr>
              <w:br/>
            </w:r>
            <w:r w:rsidRPr="00EA14C5">
              <w:rPr>
                <w:rFonts w:ascii="Arial" w:hAnsi="Arial" w:cs="Arial"/>
                <w:szCs w:val="18"/>
              </w:rPr>
              <w:t>(percentage point)</w:t>
            </w:r>
          </w:p>
        </w:tc>
      </w:tr>
      <w:tr w:rsidR="00015036" w:rsidRPr="00EA14C5" w14:paraId="2F384697" w14:textId="77777777" w:rsidTr="00C421A0">
        <w:trPr>
          <w:trHeight w:val="227"/>
        </w:trPr>
        <w:tc>
          <w:tcPr>
            <w:tcW w:w="2489" w:type="pct"/>
            <w:vMerge/>
            <w:tcBorders>
              <w:top w:val="nil"/>
              <w:left w:val="nil"/>
              <w:bottom w:val="single" w:sz="6" w:space="0" w:color="B3B3B3"/>
            </w:tcBorders>
            <w:vAlign w:val="center"/>
            <w:hideMark/>
          </w:tcPr>
          <w:p w14:paraId="1E543DA8" w14:textId="77777777" w:rsidR="00015036" w:rsidRPr="00EA14C5" w:rsidRDefault="00015036" w:rsidP="00EA14C5">
            <w:pPr>
              <w:pStyle w:val="TableHeading"/>
              <w:ind w:right="57"/>
              <w:rPr>
                <w:rFonts w:ascii="Arial" w:hAnsi="Arial" w:cs="Arial"/>
                <w:szCs w:val="18"/>
              </w:rPr>
            </w:pPr>
          </w:p>
        </w:tc>
        <w:tc>
          <w:tcPr>
            <w:tcW w:w="668" w:type="pct"/>
            <w:tcBorders>
              <w:top w:val="single" w:sz="6" w:space="0" w:color="B3B3B3"/>
              <w:left w:val="nil"/>
              <w:bottom w:val="single" w:sz="6" w:space="0" w:color="B3B3B3"/>
              <w:right w:val="nil"/>
            </w:tcBorders>
            <w:shd w:val="clear" w:color="auto" w:fill="auto"/>
            <w:vAlign w:val="center"/>
            <w:hideMark/>
          </w:tcPr>
          <w:p w14:paraId="20CE2B4D" w14:textId="77777777" w:rsidR="00015036" w:rsidRPr="00EA14C5" w:rsidRDefault="00015036" w:rsidP="00EA14C5">
            <w:pPr>
              <w:pStyle w:val="TableHeading"/>
              <w:ind w:right="57"/>
              <w:jc w:val="right"/>
              <w:rPr>
                <w:rFonts w:ascii="Arial" w:hAnsi="Arial" w:cs="Arial"/>
                <w:szCs w:val="18"/>
              </w:rPr>
            </w:pPr>
            <w:r w:rsidRPr="00EA14C5">
              <w:rPr>
                <w:rFonts w:ascii="Arial" w:hAnsi="Arial" w:cs="Arial"/>
                <w:szCs w:val="18"/>
              </w:rPr>
              <w:t>Before</w:t>
            </w:r>
          </w:p>
        </w:tc>
        <w:tc>
          <w:tcPr>
            <w:tcW w:w="631" w:type="pct"/>
            <w:tcBorders>
              <w:top w:val="single" w:sz="6" w:space="0" w:color="B3B3B3"/>
              <w:left w:val="nil"/>
              <w:bottom w:val="single" w:sz="6" w:space="0" w:color="B3B3B3"/>
              <w:right w:val="nil"/>
            </w:tcBorders>
            <w:shd w:val="clear" w:color="auto" w:fill="auto"/>
            <w:vAlign w:val="center"/>
            <w:hideMark/>
          </w:tcPr>
          <w:p w14:paraId="205FF793" w14:textId="77777777" w:rsidR="00015036" w:rsidRPr="00EA14C5" w:rsidRDefault="00015036" w:rsidP="00EA14C5">
            <w:pPr>
              <w:pStyle w:val="TableHeading"/>
              <w:ind w:right="57"/>
              <w:jc w:val="right"/>
              <w:rPr>
                <w:rFonts w:ascii="Arial" w:hAnsi="Arial" w:cs="Arial"/>
                <w:szCs w:val="18"/>
              </w:rPr>
            </w:pPr>
            <w:r w:rsidRPr="00EA14C5">
              <w:rPr>
                <w:rFonts w:ascii="Arial" w:hAnsi="Arial" w:cs="Arial"/>
                <w:szCs w:val="18"/>
              </w:rPr>
              <w:t>After</w:t>
            </w:r>
          </w:p>
        </w:tc>
        <w:tc>
          <w:tcPr>
            <w:tcW w:w="1212" w:type="pct"/>
            <w:vMerge/>
            <w:tcBorders>
              <w:top w:val="nil"/>
              <w:bottom w:val="single" w:sz="6" w:space="0" w:color="B3B3B3"/>
              <w:right w:val="nil"/>
            </w:tcBorders>
            <w:vAlign w:val="center"/>
            <w:hideMark/>
          </w:tcPr>
          <w:p w14:paraId="1CA98AA3" w14:textId="77777777" w:rsidR="00015036" w:rsidRPr="00EA14C5" w:rsidRDefault="00015036" w:rsidP="00EA14C5">
            <w:pPr>
              <w:pStyle w:val="TableHeading"/>
              <w:ind w:right="57"/>
              <w:rPr>
                <w:rFonts w:ascii="Arial" w:hAnsi="Arial" w:cs="Arial"/>
                <w:szCs w:val="18"/>
              </w:rPr>
            </w:pPr>
          </w:p>
        </w:tc>
      </w:tr>
      <w:tr w:rsidR="006D0F84" w:rsidRPr="00EA14C5" w14:paraId="6F63B763" w14:textId="77777777" w:rsidTr="0037584B">
        <w:trPr>
          <w:trHeight w:val="227"/>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25C41B9A" w14:textId="6DA50C56" w:rsidR="006D0F84" w:rsidRPr="00EA14C5" w:rsidRDefault="006D0F84" w:rsidP="00EA14C5">
            <w:pPr>
              <w:pStyle w:val="TableHeading"/>
              <w:ind w:right="57"/>
              <w:rPr>
                <w:rFonts w:ascii="Arial" w:eastAsia="Times New Roman" w:hAnsi="Arial" w:cs="Arial"/>
                <w:b w:val="0"/>
                <w:bCs/>
                <w:color w:val="265A9A"/>
                <w:szCs w:val="18"/>
                <w:lang w:eastAsia="en-AU"/>
              </w:rPr>
            </w:pPr>
            <w:r w:rsidRPr="00EA14C5">
              <w:rPr>
                <w:rFonts w:ascii="Arial" w:eastAsia="Times New Roman" w:hAnsi="Arial" w:cs="Arial"/>
                <w:color w:val="265A9A"/>
                <w:szCs w:val="18"/>
                <w:lang w:eastAsia="en-AU"/>
              </w:rPr>
              <w:t>Market sector</w:t>
            </w:r>
          </w:p>
        </w:tc>
      </w:tr>
      <w:tr w:rsidR="0037584B" w:rsidRPr="00EA14C5" w14:paraId="3EC9263B" w14:textId="77777777" w:rsidTr="0037584B">
        <w:trPr>
          <w:trHeight w:val="227"/>
        </w:trPr>
        <w:tc>
          <w:tcPr>
            <w:tcW w:w="2489" w:type="pct"/>
            <w:tcBorders>
              <w:top w:val="nil"/>
              <w:left w:val="nil"/>
              <w:bottom w:val="nil"/>
              <w:right w:val="nil"/>
            </w:tcBorders>
            <w:shd w:val="clear" w:color="auto" w:fill="FFFFFF" w:themeFill="background1"/>
            <w:vAlign w:val="center"/>
            <w:hideMark/>
          </w:tcPr>
          <w:p w14:paraId="5F7F4600"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Agriculture, forestry and fishing</w:t>
            </w:r>
          </w:p>
        </w:tc>
        <w:tc>
          <w:tcPr>
            <w:tcW w:w="668" w:type="pct"/>
            <w:tcBorders>
              <w:top w:val="nil"/>
              <w:left w:val="nil"/>
              <w:bottom w:val="nil"/>
              <w:right w:val="nil"/>
            </w:tcBorders>
            <w:shd w:val="clear" w:color="auto" w:fill="FFFFFF" w:themeFill="background1"/>
            <w:vAlign w:val="center"/>
          </w:tcPr>
          <w:p w14:paraId="30AD63B7" w14:textId="6D75391B"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w:t>
            </w:r>
          </w:p>
        </w:tc>
        <w:tc>
          <w:tcPr>
            <w:tcW w:w="631" w:type="pct"/>
            <w:tcBorders>
              <w:top w:val="nil"/>
              <w:left w:val="nil"/>
              <w:bottom w:val="nil"/>
              <w:right w:val="nil"/>
            </w:tcBorders>
            <w:shd w:val="clear" w:color="auto" w:fill="FFFFFF" w:themeFill="background1"/>
            <w:vAlign w:val="bottom"/>
          </w:tcPr>
          <w:p w14:paraId="06D724AC" w14:textId="77B009AA"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0.9</w:t>
            </w:r>
          </w:p>
        </w:tc>
        <w:tc>
          <w:tcPr>
            <w:tcW w:w="1212" w:type="pct"/>
            <w:tcBorders>
              <w:top w:val="nil"/>
              <w:left w:val="nil"/>
              <w:bottom w:val="nil"/>
              <w:right w:val="nil"/>
            </w:tcBorders>
            <w:shd w:val="clear" w:color="auto" w:fill="FFFFFF" w:themeFill="background1"/>
            <w:vAlign w:val="bottom"/>
          </w:tcPr>
          <w:p w14:paraId="06A68F03" w14:textId="5676443F"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1.9</w:t>
            </w:r>
          </w:p>
        </w:tc>
      </w:tr>
      <w:tr w:rsidR="0037584B" w:rsidRPr="00EA14C5" w14:paraId="295F476F" w14:textId="77777777" w:rsidTr="0037584B">
        <w:trPr>
          <w:trHeight w:val="227"/>
        </w:trPr>
        <w:tc>
          <w:tcPr>
            <w:tcW w:w="2489" w:type="pct"/>
            <w:tcBorders>
              <w:top w:val="nil"/>
              <w:left w:val="nil"/>
              <w:bottom w:val="nil"/>
              <w:right w:val="nil"/>
            </w:tcBorders>
            <w:shd w:val="clear" w:color="auto" w:fill="FFFFFF" w:themeFill="background1"/>
            <w:vAlign w:val="center"/>
            <w:hideMark/>
          </w:tcPr>
          <w:p w14:paraId="45CC6B7E"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Mining</w:t>
            </w:r>
          </w:p>
        </w:tc>
        <w:tc>
          <w:tcPr>
            <w:tcW w:w="668" w:type="pct"/>
            <w:tcBorders>
              <w:top w:val="nil"/>
              <w:left w:val="nil"/>
              <w:bottom w:val="nil"/>
              <w:right w:val="nil"/>
            </w:tcBorders>
            <w:shd w:val="clear" w:color="auto" w:fill="FFFFFF" w:themeFill="background1"/>
            <w:vAlign w:val="center"/>
          </w:tcPr>
          <w:p w14:paraId="4E44943E" w14:textId="31E804C0"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1.6</w:t>
            </w:r>
          </w:p>
        </w:tc>
        <w:tc>
          <w:tcPr>
            <w:tcW w:w="631" w:type="pct"/>
            <w:tcBorders>
              <w:top w:val="nil"/>
              <w:left w:val="nil"/>
              <w:bottom w:val="nil"/>
              <w:right w:val="nil"/>
            </w:tcBorders>
            <w:shd w:val="clear" w:color="auto" w:fill="FFFFFF" w:themeFill="background1"/>
            <w:vAlign w:val="bottom"/>
          </w:tcPr>
          <w:p w14:paraId="37F7F5B3" w14:textId="1AD6523B"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1.8</w:t>
            </w:r>
          </w:p>
        </w:tc>
        <w:tc>
          <w:tcPr>
            <w:tcW w:w="1212" w:type="pct"/>
            <w:tcBorders>
              <w:top w:val="nil"/>
              <w:left w:val="nil"/>
              <w:bottom w:val="nil"/>
              <w:right w:val="nil"/>
            </w:tcBorders>
            <w:shd w:val="clear" w:color="auto" w:fill="FFFFFF" w:themeFill="background1"/>
            <w:vAlign w:val="bottom"/>
          </w:tcPr>
          <w:p w14:paraId="3E99B270" w14:textId="2237BED3"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0.2</w:t>
            </w:r>
          </w:p>
        </w:tc>
      </w:tr>
      <w:tr w:rsidR="0037584B" w:rsidRPr="00EA14C5" w14:paraId="36612C59" w14:textId="77777777" w:rsidTr="0037584B">
        <w:trPr>
          <w:trHeight w:val="227"/>
        </w:trPr>
        <w:tc>
          <w:tcPr>
            <w:tcW w:w="2489" w:type="pct"/>
            <w:tcBorders>
              <w:top w:val="nil"/>
              <w:left w:val="nil"/>
              <w:bottom w:val="nil"/>
              <w:right w:val="nil"/>
            </w:tcBorders>
            <w:shd w:val="clear" w:color="auto" w:fill="FFFFFF" w:themeFill="background1"/>
            <w:vAlign w:val="center"/>
          </w:tcPr>
          <w:p w14:paraId="47443182"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Manufacturing</w:t>
            </w:r>
          </w:p>
        </w:tc>
        <w:tc>
          <w:tcPr>
            <w:tcW w:w="668" w:type="pct"/>
            <w:tcBorders>
              <w:top w:val="nil"/>
              <w:left w:val="nil"/>
              <w:bottom w:val="nil"/>
              <w:right w:val="nil"/>
            </w:tcBorders>
            <w:shd w:val="clear" w:color="auto" w:fill="FFFFFF" w:themeFill="background1"/>
            <w:vAlign w:val="center"/>
          </w:tcPr>
          <w:p w14:paraId="1E2C2D4F" w14:textId="565610AB"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-4.1</w:t>
            </w:r>
          </w:p>
        </w:tc>
        <w:tc>
          <w:tcPr>
            <w:tcW w:w="631" w:type="pct"/>
            <w:tcBorders>
              <w:top w:val="nil"/>
              <w:left w:val="nil"/>
              <w:bottom w:val="nil"/>
              <w:right w:val="nil"/>
            </w:tcBorders>
            <w:shd w:val="clear" w:color="auto" w:fill="FFFFFF" w:themeFill="background1"/>
            <w:vAlign w:val="bottom"/>
          </w:tcPr>
          <w:p w14:paraId="1FD2E473" w14:textId="70B25D7A"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-4.0</w:t>
            </w:r>
          </w:p>
        </w:tc>
        <w:tc>
          <w:tcPr>
            <w:tcW w:w="1212" w:type="pct"/>
            <w:tcBorders>
              <w:top w:val="nil"/>
              <w:left w:val="nil"/>
              <w:bottom w:val="nil"/>
              <w:right w:val="nil"/>
            </w:tcBorders>
            <w:shd w:val="clear" w:color="auto" w:fill="FFFFFF" w:themeFill="background1"/>
            <w:vAlign w:val="bottom"/>
          </w:tcPr>
          <w:p w14:paraId="7892E4D1" w14:textId="26E7FE9B"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0.1</w:t>
            </w:r>
          </w:p>
        </w:tc>
      </w:tr>
      <w:tr w:rsidR="0037584B" w:rsidRPr="00EA14C5" w14:paraId="5F23DD87" w14:textId="77777777" w:rsidTr="0037584B">
        <w:trPr>
          <w:trHeight w:val="227"/>
        </w:trPr>
        <w:tc>
          <w:tcPr>
            <w:tcW w:w="2489" w:type="pct"/>
            <w:tcBorders>
              <w:top w:val="nil"/>
              <w:left w:val="nil"/>
              <w:bottom w:val="nil"/>
              <w:right w:val="nil"/>
            </w:tcBorders>
            <w:shd w:val="clear" w:color="auto" w:fill="FFFFFF" w:themeFill="background1"/>
            <w:vAlign w:val="center"/>
          </w:tcPr>
          <w:p w14:paraId="48EF2713"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Electricity, gas, water and waste services</w:t>
            </w:r>
          </w:p>
        </w:tc>
        <w:tc>
          <w:tcPr>
            <w:tcW w:w="668" w:type="pct"/>
            <w:tcBorders>
              <w:top w:val="nil"/>
              <w:left w:val="nil"/>
              <w:bottom w:val="nil"/>
              <w:right w:val="nil"/>
            </w:tcBorders>
            <w:shd w:val="clear" w:color="auto" w:fill="FFFFFF" w:themeFill="background1"/>
            <w:vAlign w:val="center"/>
          </w:tcPr>
          <w:p w14:paraId="19BAEE74" w14:textId="22FE0194"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-2</w:t>
            </w:r>
          </w:p>
        </w:tc>
        <w:tc>
          <w:tcPr>
            <w:tcW w:w="631" w:type="pct"/>
            <w:tcBorders>
              <w:top w:val="nil"/>
              <w:left w:val="nil"/>
              <w:bottom w:val="nil"/>
              <w:right w:val="nil"/>
            </w:tcBorders>
            <w:shd w:val="clear" w:color="auto" w:fill="FFFFFF" w:themeFill="background1"/>
            <w:vAlign w:val="bottom"/>
          </w:tcPr>
          <w:p w14:paraId="335A96DB" w14:textId="66E2D932"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-1.2</w:t>
            </w:r>
          </w:p>
        </w:tc>
        <w:tc>
          <w:tcPr>
            <w:tcW w:w="1212" w:type="pct"/>
            <w:tcBorders>
              <w:top w:val="nil"/>
              <w:left w:val="nil"/>
              <w:bottom w:val="nil"/>
              <w:right w:val="nil"/>
            </w:tcBorders>
            <w:shd w:val="clear" w:color="auto" w:fill="FFFFFF" w:themeFill="background1"/>
            <w:vAlign w:val="bottom"/>
          </w:tcPr>
          <w:p w14:paraId="355A2AAC" w14:textId="25333317"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0.8</w:t>
            </w:r>
          </w:p>
        </w:tc>
      </w:tr>
      <w:tr w:rsidR="0037584B" w:rsidRPr="00EA14C5" w14:paraId="07EBFF99" w14:textId="77777777" w:rsidTr="0037584B">
        <w:trPr>
          <w:trHeight w:val="227"/>
        </w:trPr>
        <w:tc>
          <w:tcPr>
            <w:tcW w:w="2489" w:type="pct"/>
            <w:tcBorders>
              <w:top w:val="nil"/>
              <w:left w:val="nil"/>
              <w:bottom w:val="nil"/>
              <w:right w:val="nil"/>
            </w:tcBorders>
            <w:shd w:val="clear" w:color="auto" w:fill="FFFFFF" w:themeFill="background1"/>
            <w:vAlign w:val="center"/>
            <w:hideMark/>
          </w:tcPr>
          <w:p w14:paraId="7DF66419"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Construction</w:t>
            </w:r>
          </w:p>
        </w:tc>
        <w:tc>
          <w:tcPr>
            <w:tcW w:w="668" w:type="pct"/>
            <w:tcBorders>
              <w:top w:val="nil"/>
              <w:left w:val="nil"/>
              <w:bottom w:val="nil"/>
              <w:right w:val="nil"/>
            </w:tcBorders>
            <w:shd w:val="clear" w:color="auto" w:fill="FFFFFF" w:themeFill="background1"/>
            <w:vAlign w:val="center"/>
          </w:tcPr>
          <w:p w14:paraId="706B0E09" w14:textId="6772F5BE"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2</w:t>
            </w:r>
          </w:p>
        </w:tc>
        <w:tc>
          <w:tcPr>
            <w:tcW w:w="631" w:type="pct"/>
            <w:tcBorders>
              <w:top w:val="nil"/>
              <w:left w:val="nil"/>
              <w:bottom w:val="nil"/>
              <w:right w:val="nil"/>
            </w:tcBorders>
            <w:shd w:val="clear" w:color="auto" w:fill="FFFFFF" w:themeFill="background1"/>
            <w:vAlign w:val="bottom"/>
          </w:tcPr>
          <w:p w14:paraId="56067251" w14:textId="024E8B1F"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1.8</w:t>
            </w:r>
          </w:p>
        </w:tc>
        <w:tc>
          <w:tcPr>
            <w:tcW w:w="1212" w:type="pct"/>
            <w:tcBorders>
              <w:top w:val="nil"/>
              <w:left w:val="nil"/>
              <w:bottom w:val="nil"/>
              <w:right w:val="nil"/>
            </w:tcBorders>
            <w:shd w:val="clear" w:color="auto" w:fill="FFFFFF" w:themeFill="background1"/>
            <w:vAlign w:val="bottom"/>
          </w:tcPr>
          <w:p w14:paraId="505C81CA" w14:textId="025ABBA9"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-0.2</w:t>
            </w:r>
          </w:p>
        </w:tc>
      </w:tr>
      <w:tr w:rsidR="0037584B" w:rsidRPr="00EA14C5" w14:paraId="21C8F483" w14:textId="77777777" w:rsidTr="0037584B">
        <w:trPr>
          <w:trHeight w:val="227"/>
        </w:trPr>
        <w:tc>
          <w:tcPr>
            <w:tcW w:w="2489" w:type="pct"/>
            <w:tcBorders>
              <w:top w:val="nil"/>
              <w:left w:val="nil"/>
              <w:bottom w:val="nil"/>
              <w:right w:val="nil"/>
            </w:tcBorders>
            <w:shd w:val="clear" w:color="auto" w:fill="FFFFFF" w:themeFill="background1"/>
            <w:vAlign w:val="center"/>
            <w:hideMark/>
          </w:tcPr>
          <w:p w14:paraId="03B94290"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Wholesale trade</w:t>
            </w:r>
          </w:p>
        </w:tc>
        <w:tc>
          <w:tcPr>
            <w:tcW w:w="668" w:type="pct"/>
            <w:tcBorders>
              <w:top w:val="nil"/>
              <w:left w:val="nil"/>
              <w:bottom w:val="nil"/>
              <w:right w:val="nil"/>
            </w:tcBorders>
            <w:shd w:val="clear" w:color="auto" w:fill="FFFFFF" w:themeFill="background1"/>
            <w:vAlign w:val="center"/>
          </w:tcPr>
          <w:p w14:paraId="753B47B4" w14:textId="77D4F62F"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w:t>
            </w:r>
          </w:p>
        </w:tc>
        <w:tc>
          <w:tcPr>
            <w:tcW w:w="631" w:type="pct"/>
            <w:tcBorders>
              <w:top w:val="nil"/>
              <w:left w:val="nil"/>
              <w:bottom w:val="nil"/>
              <w:right w:val="nil"/>
            </w:tcBorders>
            <w:shd w:val="clear" w:color="auto" w:fill="FFFFFF" w:themeFill="background1"/>
            <w:vAlign w:val="bottom"/>
          </w:tcPr>
          <w:p w14:paraId="7E3AC9D6" w14:textId="4125C4F5"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1.5</w:t>
            </w:r>
          </w:p>
        </w:tc>
        <w:tc>
          <w:tcPr>
            <w:tcW w:w="1212" w:type="pct"/>
            <w:tcBorders>
              <w:top w:val="nil"/>
              <w:left w:val="nil"/>
              <w:bottom w:val="nil"/>
              <w:right w:val="nil"/>
            </w:tcBorders>
            <w:shd w:val="clear" w:color="auto" w:fill="FFFFFF" w:themeFill="background1"/>
            <w:vAlign w:val="bottom"/>
          </w:tcPr>
          <w:p w14:paraId="305E03EA" w14:textId="1E3C695F"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1.5</w:t>
            </w:r>
          </w:p>
        </w:tc>
      </w:tr>
      <w:tr w:rsidR="0037584B" w:rsidRPr="00EA14C5" w14:paraId="453181A1" w14:textId="77777777" w:rsidTr="0037584B">
        <w:trPr>
          <w:trHeight w:val="227"/>
        </w:trPr>
        <w:tc>
          <w:tcPr>
            <w:tcW w:w="2489" w:type="pct"/>
            <w:tcBorders>
              <w:top w:val="nil"/>
              <w:left w:val="nil"/>
              <w:bottom w:val="nil"/>
              <w:right w:val="nil"/>
            </w:tcBorders>
            <w:shd w:val="clear" w:color="auto" w:fill="FFFFFF" w:themeFill="background1"/>
            <w:vAlign w:val="center"/>
            <w:hideMark/>
          </w:tcPr>
          <w:p w14:paraId="35590A86"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Retail trade</w:t>
            </w:r>
          </w:p>
        </w:tc>
        <w:tc>
          <w:tcPr>
            <w:tcW w:w="668" w:type="pct"/>
            <w:tcBorders>
              <w:top w:val="nil"/>
              <w:left w:val="nil"/>
              <w:bottom w:val="nil"/>
              <w:right w:val="nil"/>
            </w:tcBorders>
            <w:shd w:val="clear" w:color="auto" w:fill="FFFFFF" w:themeFill="background1"/>
            <w:vAlign w:val="center"/>
          </w:tcPr>
          <w:p w14:paraId="33F594B7" w14:textId="25BBADCB"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0.9</w:t>
            </w:r>
          </w:p>
        </w:tc>
        <w:tc>
          <w:tcPr>
            <w:tcW w:w="631" w:type="pct"/>
            <w:tcBorders>
              <w:top w:val="nil"/>
              <w:left w:val="nil"/>
              <w:bottom w:val="nil"/>
              <w:right w:val="nil"/>
            </w:tcBorders>
            <w:shd w:val="clear" w:color="auto" w:fill="FFFFFF" w:themeFill="background1"/>
            <w:vAlign w:val="bottom"/>
          </w:tcPr>
          <w:p w14:paraId="6F5708BE" w14:textId="260DEA9C"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78F7602C" w14:textId="1080CE36"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-0.1</w:t>
            </w:r>
          </w:p>
        </w:tc>
      </w:tr>
      <w:tr w:rsidR="0037584B" w:rsidRPr="00EA14C5" w14:paraId="4A013F06" w14:textId="77777777" w:rsidTr="0037584B">
        <w:trPr>
          <w:trHeight w:val="227"/>
        </w:trPr>
        <w:tc>
          <w:tcPr>
            <w:tcW w:w="2489" w:type="pct"/>
            <w:tcBorders>
              <w:top w:val="nil"/>
              <w:left w:val="nil"/>
              <w:bottom w:val="nil"/>
              <w:right w:val="nil"/>
            </w:tcBorders>
            <w:shd w:val="clear" w:color="auto" w:fill="FFFFFF" w:themeFill="background1"/>
            <w:vAlign w:val="center"/>
            <w:hideMark/>
          </w:tcPr>
          <w:p w14:paraId="1746CAE4"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Accommodation and food services</w:t>
            </w:r>
          </w:p>
        </w:tc>
        <w:tc>
          <w:tcPr>
            <w:tcW w:w="668" w:type="pct"/>
            <w:tcBorders>
              <w:top w:val="nil"/>
              <w:left w:val="nil"/>
              <w:bottom w:val="nil"/>
              <w:right w:val="nil"/>
            </w:tcBorders>
            <w:shd w:val="clear" w:color="auto" w:fill="FFFFFF" w:themeFill="background1"/>
            <w:vAlign w:val="center"/>
          </w:tcPr>
          <w:p w14:paraId="11E258A9" w14:textId="46E0E86D"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-8.7</w:t>
            </w:r>
          </w:p>
        </w:tc>
        <w:tc>
          <w:tcPr>
            <w:tcW w:w="631" w:type="pct"/>
            <w:tcBorders>
              <w:top w:val="nil"/>
              <w:left w:val="nil"/>
              <w:bottom w:val="nil"/>
              <w:right w:val="nil"/>
            </w:tcBorders>
            <w:shd w:val="clear" w:color="auto" w:fill="FFFFFF" w:themeFill="background1"/>
            <w:vAlign w:val="bottom"/>
          </w:tcPr>
          <w:p w14:paraId="336FF7FA" w14:textId="12AF9F73"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-9.2</w:t>
            </w:r>
          </w:p>
        </w:tc>
        <w:tc>
          <w:tcPr>
            <w:tcW w:w="1212" w:type="pct"/>
            <w:tcBorders>
              <w:top w:val="nil"/>
              <w:left w:val="nil"/>
              <w:bottom w:val="nil"/>
              <w:right w:val="nil"/>
            </w:tcBorders>
            <w:shd w:val="clear" w:color="auto" w:fill="FFFFFF" w:themeFill="background1"/>
            <w:vAlign w:val="bottom"/>
          </w:tcPr>
          <w:p w14:paraId="69890E94" w14:textId="5DD3A0F8"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-0.5</w:t>
            </w:r>
          </w:p>
        </w:tc>
      </w:tr>
      <w:tr w:rsidR="0037584B" w:rsidRPr="00EA14C5" w14:paraId="4EAA8184" w14:textId="77777777" w:rsidTr="0037584B">
        <w:trPr>
          <w:trHeight w:val="227"/>
        </w:trPr>
        <w:tc>
          <w:tcPr>
            <w:tcW w:w="2489" w:type="pct"/>
            <w:tcBorders>
              <w:top w:val="nil"/>
              <w:left w:val="nil"/>
              <w:bottom w:val="nil"/>
              <w:right w:val="nil"/>
            </w:tcBorders>
            <w:shd w:val="clear" w:color="auto" w:fill="FFFFFF" w:themeFill="background1"/>
            <w:vAlign w:val="center"/>
            <w:hideMark/>
          </w:tcPr>
          <w:p w14:paraId="2CDB9B4D"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Transport, postal and warehousing</w:t>
            </w:r>
          </w:p>
        </w:tc>
        <w:tc>
          <w:tcPr>
            <w:tcW w:w="668" w:type="pct"/>
            <w:tcBorders>
              <w:top w:val="nil"/>
              <w:left w:val="nil"/>
              <w:bottom w:val="nil"/>
              <w:right w:val="nil"/>
            </w:tcBorders>
            <w:shd w:val="clear" w:color="auto" w:fill="FFFFFF" w:themeFill="background1"/>
            <w:vAlign w:val="center"/>
          </w:tcPr>
          <w:p w14:paraId="7FE1B5CE" w14:textId="35AB24BB"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w:t>
            </w:r>
          </w:p>
        </w:tc>
        <w:tc>
          <w:tcPr>
            <w:tcW w:w="631" w:type="pct"/>
            <w:tcBorders>
              <w:top w:val="nil"/>
              <w:left w:val="nil"/>
              <w:bottom w:val="nil"/>
              <w:right w:val="nil"/>
            </w:tcBorders>
            <w:shd w:val="clear" w:color="auto" w:fill="FFFFFF" w:themeFill="background1"/>
            <w:vAlign w:val="bottom"/>
          </w:tcPr>
          <w:p w14:paraId="1108A211" w14:textId="63FC79FF"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-1.9</w:t>
            </w:r>
          </w:p>
        </w:tc>
        <w:tc>
          <w:tcPr>
            <w:tcW w:w="1212" w:type="pct"/>
            <w:tcBorders>
              <w:top w:val="nil"/>
              <w:left w:val="nil"/>
              <w:bottom w:val="nil"/>
              <w:right w:val="nil"/>
            </w:tcBorders>
            <w:shd w:val="clear" w:color="auto" w:fill="FFFFFF" w:themeFill="background1"/>
            <w:vAlign w:val="bottom"/>
          </w:tcPr>
          <w:p w14:paraId="133E0DF7" w14:textId="3FA47619"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-0.9</w:t>
            </w:r>
          </w:p>
        </w:tc>
      </w:tr>
      <w:tr w:rsidR="0037584B" w:rsidRPr="00EA14C5" w14:paraId="68D9219B" w14:textId="77777777" w:rsidTr="0037584B">
        <w:trPr>
          <w:trHeight w:val="227"/>
        </w:trPr>
        <w:tc>
          <w:tcPr>
            <w:tcW w:w="2489" w:type="pct"/>
            <w:tcBorders>
              <w:top w:val="nil"/>
              <w:left w:val="nil"/>
              <w:bottom w:val="nil"/>
              <w:right w:val="nil"/>
            </w:tcBorders>
            <w:shd w:val="clear" w:color="auto" w:fill="FFFFFF" w:themeFill="background1"/>
            <w:vAlign w:val="center"/>
          </w:tcPr>
          <w:p w14:paraId="7E37750C"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Information, media and telecommunications</w:t>
            </w:r>
          </w:p>
        </w:tc>
        <w:tc>
          <w:tcPr>
            <w:tcW w:w="668" w:type="pct"/>
            <w:tcBorders>
              <w:top w:val="nil"/>
              <w:left w:val="nil"/>
              <w:bottom w:val="nil"/>
              <w:right w:val="nil"/>
            </w:tcBorders>
            <w:shd w:val="clear" w:color="auto" w:fill="FFFFFF" w:themeFill="background1"/>
            <w:vAlign w:val="center"/>
          </w:tcPr>
          <w:p w14:paraId="3092543B" w14:textId="53457612"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-10.6</w:t>
            </w:r>
          </w:p>
        </w:tc>
        <w:tc>
          <w:tcPr>
            <w:tcW w:w="631" w:type="pct"/>
            <w:tcBorders>
              <w:top w:val="nil"/>
              <w:left w:val="nil"/>
              <w:bottom w:val="nil"/>
              <w:right w:val="nil"/>
            </w:tcBorders>
            <w:shd w:val="clear" w:color="auto" w:fill="FFFFFF" w:themeFill="background1"/>
            <w:vAlign w:val="bottom"/>
          </w:tcPr>
          <w:p w14:paraId="78B63379" w14:textId="7341F09F"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-11.5</w:t>
            </w:r>
          </w:p>
        </w:tc>
        <w:tc>
          <w:tcPr>
            <w:tcW w:w="1212" w:type="pct"/>
            <w:tcBorders>
              <w:top w:val="nil"/>
              <w:left w:val="nil"/>
              <w:bottom w:val="nil"/>
              <w:right w:val="nil"/>
            </w:tcBorders>
            <w:shd w:val="clear" w:color="auto" w:fill="FFFFFF" w:themeFill="background1"/>
            <w:vAlign w:val="bottom"/>
          </w:tcPr>
          <w:p w14:paraId="00E19336" w14:textId="2A9ADAC2"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-0.9</w:t>
            </w:r>
          </w:p>
        </w:tc>
      </w:tr>
      <w:tr w:rsidR="0037584B" w:rsidRPr="00EA14C5" w14:paraId="30D0389D" w14:textId="77777777" w:rsidTr="0037584B">
        <w:trPr>
          <w:trHeight w:val="227"/>
        </w:trPr>
        <w:tc>
          <w:tcPr>
            <w:tcW w:w="2489" w:type="pct"/>
            <w:tcBorders>
              <w:top w:val="nil"/>
              <w:left w:val="nil"/>
              <w:bottom w:val="nil"/>
              <w:right w:val="nil"/>
            </w:tcBorders>
            <w:shd w:val="clear" w:color="auto" w:fill="FFFFFF" w:themeFill="background1"/>
            <w:vAlign w:val="center"/>
          </w:tcPr>
          <w:p w14:paraId="6CEB30D7"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Financial and insurance services</w:t>
            </w:r>
          </w:p>
        </w:tc>
        <w:tc>
          <w:tcPr>
            <w:tcW w:w="668" w:type="pct"/>
            <w:tcBorders>
              <w:top w:val="nil"/>
              <w:left w:val="nil"/>
              <w:bottom w:val="nil"/>
              <w:right w:val="nil"/>
            </w:tcBorders>
            <w:shd w:val="clear" w:color="auto" w:fill="FFFFFF" w:themeFill="background1"/>
            <w:vAlign w:val="center"/>
          </w:tcPr>
          <w:p w14:paraId="15BDA53D" w14:textId="1E6180EB"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1.4</w:t>
            </w:r>
          </w:p>
        </w:tc>
        <w:tc>
          <w:tcPr>
            <w:tcW w:w="631" w:type="pct"/>
            <w:tcBorders>
              <w:top w:val="nil"/>
              <w:left w:val="nil"/>
              <w:bottom w:val="nil"/>
              <w:right w:val="nil"/>
            </w:tcBorders>
            <w:shd w:val="clear" w:color="auto" w:fill="FFFFFF" w:themeFill="background1"/>
            <w:vAlign w:val="bottom"/>
          </w:tcPr>
          <w:p w14:paraId="2778D5D3" w14:textId="7319020E"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0.6</w:t>
            </w:r>
          </w:p>
        </w:tc>
        <w:tc>
          <w:tcPr>
            <w:tcW w:w="1212" w:type="pct"/>
            <w:tcBorders>
              <w:top w:val="nil"/>
              <w:left w:val="nil"/>
              <w:bottom w:val="nil"/>
              <w:right w:val="nil"/>
            </w:tcBorders>
            <w:shd w:val="clear" w:color="auto" w:fill="FFFFFF" w:themeFill="background1"/>
            <w:vAlign w:val="bottom"/>
          </w:tcPr>
          <w:p w14:paraId="61AFD020" w14:textId="7F0ABF59"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-0.8</w:t>
            </w:r>
          </w:p>
        </w:tc>
      </w:tr>
      <w:tr w:rsidR="0037584B" w:rsidRPr="00EA14C5" w14:paraId="6409D23E" w14:textId="77777777" w:rsidTr="0037584B">
        <w:trPr>
          <w:trHeight w:val="227"/>
        </w:trPr>
        <w:tc>
          <w:tcPr>
            <w:tcW w:w="2489" w:type="pct"/>
            <w:tcBorders>
              <w:top w:val="nil"/>
              <w:left w:val="nil"/>
              <w:bottom w:val="nil"/>
              <w:right w:val="nil"/>
            </w:tcBorders>
            <w:shd w:val="clear" w:color="auto" w:fill="FFFFFF" w:themeFill="background1"/>
            <w:vAlign w:val="center"/>
          </w:tcPr>
          <w:p w14:paraId="3F18A279"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Rental, hiring and real estate services</w:t>
            </w:r>
          </w:p>
        </w:tc>
        <w:tc>
          <w:tcPr>
            <w:tcW w:w="668" w:type="pct"/>
            <w:tcBorders>
              <w:top w:val="nil"/>
              <w:left w:val="nil"/>
              <w:bottom w:val="nil"/>
              <w:right w:val="nil"/>
            </w:tcBorders>
            <w:shd w:val="clear" w:color="auto" w:fill="FFFFFF" w:themeFill="background1"/>
            <w:vAlign w:val="center"/>
          </w:tcPr>
          <w:p w14:paraId="2F1DC1B7" w14:textId="0DEC1772"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-5.3</w:t>
            </w:r>
          </w:p>
        </w:tc>
        <w:tc>
          <w:tcPr>
            <w:tcW w:w="631" w:type="pct"/>
            <w:tcBorders>
              <w:top w:val="nil"/>
              <w:left w:val="nil"/>
              <w:bottom w:val="nil"/>
              <w:right w:val="nil"/>
            </w:tcBorders>
            <w:shd w:val="clear" w:color="auto" w:fill="FFFFFF" w:themeFill="background1"/>
            <w:vAlign w:val="bottom"/>
          </w:tcPr>
          <w:p w14:paraId="239D6771" w14:textId="45BECB5A"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-2.5</w:t>
            </w:r>
          </w:p>
        </w:tc>
        <w:tc>
          <w:tcPr>
            <w:tcW w:w="1212" w:type="pct"/>
            <w:tcBorders>
              <w:top w:val="nil"/>
              <w:left w:val="nil"/>
              <w:bottom w:val="nil"/>
              <w:right w:val="nil"/>
            </w:tcBorders>
            <w:shd w:val="clear" w:color="auto" w:fill="FFFFFF" w:themeFill="background1"/>
            <w:vAlign w:val="bottom"/>
          </w:tcPr>
          <w:p w14:paraId="68962B59" w14:textId="7167CBD3"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2.8</w:t>
            </w:r>
          </w:p>
        </w:tc>
      </w:tr>
      <w:tr w:rsidR="0037584B" w:rsidRPr="00EA14C5" w14:paraId="42DDC7E7" w14:textId="77777777" w:rsidTr="0037584B">
        <w:trPr>
          <w:trHeight w:val="227"/>
        </w:trPr>
        <w:tc>
          <w:tcPr>
            <w:tcW w:w="2489" w:type="pct"/>
            <w:tcBorders>
              <w:top w:val="nil"/>
              <w:left w:val="nil"/>
              <w:bottom w:val="nil"/>
              <w:right w:val="nil"/>
            </w:tcBorders>
            <w:shd w:val="clear" w:color="auto" w:fill="FFFFFF" w:themeFill="background1"/>
            <w:vAlign w:val="center"/>
          </w:tcPr>
          <w:p w14:paraId="67D3775A"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Professional, scientific and technical services</w:t>
            </w:r>
          </w:p>
        </w:tc>
        <w:tc>
          <w:tcPr>
            <w:tcW w:w="668" w:type="pct"/>
            <w:tcBorders>
              <w:top w:val="nil"/>
              <w:left w:val="nil"/>
              <w:bottom w:val="nil"/>
              <w:right w:val="nil"/>
            </w:tcBorders>
            <w:shd w:val="clear" w:color="auto" w:fill="FFFFFF" w:themeFill="background1"/>
            <w:vAlign w:val="center"/>
          </w:tcPr>
          <w:p w14:paraId="3696A7F0" w14:textId="39571657"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4</w:t>
            </w:r>
          </w:p>
        </w:tc>
        <w:tc>
          <w:tcPr>
            <w:tcW w:w="631" w:type="pct"/>
            <w:tcBorders>
              <w:top w:val="nil"/>
              <w:left w:val="nil"/>
              <w:bottom w:val="nil"/>
              <w:right w:val="nil"/>
            </w:tcBorders>
            <w:shd w:val="clear" w:color="auto" w:fill="FFFFFF" w:themeFill="background1"/>
            <w:vAlign w:val="bottom"/>
          </w:tcPr>
          <w:p w14:paraId="4CB57FC6" w14:textId="03AADD0D"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4.2</w:t>
            </w:r>
          </w:p>
        </w:tc>
        <w:tc>
          <w:tcPr>
            <w:tcW w:w="1212" w:type="pct"/>
            <w:tcBorders>
              <w:top w:val="nil"/>
              <w:left w:val="nil"/>
              <w:bottom w:val="nil"/>
              <w:right w:val="nil"/>
            </w:tcBorders>
            <w:shd w:val="clear" w:color="auto" w:fill="FFFFFF" w:themeFill="background1"/>
            <w:vAlign w:val="bottom"/>
          </w:tcPr>
          <w:p w14:paraId="69F3A3BF" w14:textId="03C03BB2"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0.2</w:t>
            </w:r>
          </w:p>
        </w:tc>
      </w:tr>
      <w:tr w:rsidR="0037584B" w:rsidRPr="00EA14C5" w14:paraId="71A94922" w14:textId="77777777" w:rsidTr="0037584B">
        <w:trPr>
          <w:trHeight w:val="227"/>
        </w:trPr>
        <w:tc>
          <w:tcPr>
            <w:tcW w:w="2489" w:type="pct"/>
            <w:tcBorders>
              <w:top w:val="nil"/>
              <w:left w:val="nil"/>
              <w:bottom w:val="nil"/>
              <w:right w:val="nil"/>
            </w:tcBorders>
            <w:shd w:val="clear" w:color="auto" w:fill="FFFFFF" w:themeFill="background1"/>
            <w:vAlign w:val="center"/>
          </w:tcPr>
          <w:p w14:paraId="514AC9E0"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Administrative and support services</w:t>
            </w:r>
          </w:p>
        </w:tc>
        <w:tc>
          <w:tcPr>
            <w:tcW w:w="668" w:type="pct"/>
            <w:tcBorders>
              <w:top w:val="nil"/>
              <w:left w:val="nil"/>
              <w:bottom w:val="nil"/>
              <w:right w:val="nil"/>
            </w:tcBorders>
            <w:shd w:val="clear" w:color="auto" w:fill="FFFFFF" w:themeFill="background1"/>
            <w:vAlign w:val="center"/>
          </w:tcPr>
          <w:p w14:paraId="3D2F71DD" w14:textId="351FF29A"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3.8</w:t>
            </w:r>
          </w:p>
        </w:tc>
        <w:tc>
          <w:tcPr>
            <w:tcW w:w="631" w:type="pct"/>
            <w:tcBorders>
              <w:top w:val="nil"/>
              <w:left w:val="nil"/>
              <w:bottom w:val="nil"/>
              <w:right w:val="nil"/>
            </w:tcBorders>
            <w:shd w:val="clear" w:color="auto" w:fill="FFFFFF" w:themeFill="background1"/>
            <w:vAlign w:val="bottom"/>
          </w:tcPr>
          <w:p w14:paraId="602FFCCE" w14:textId="24C3871A"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2.3</w:t>
            </w:r>
          </w:p>
        </w:tc>
        <w:tc>
          <w:tcPr>
            <w:tcW w:w="1212" w:type="pct"/>
            <w:tcBorders>
              <w:top w:val="nil"/>
              <w:left w:val="nil"/>
              <w:bottom w:val="nil"/>
              <w:right w:val="nil"/>
            </w:tcBorders>
            <w:shd w:val="clear" w:color="auto" w:fill="FFFFFF" w:themeFill="background1"/>
            <w:vAlign w:val="bottom"/>
          </w:tcPr>
          <w:p w14:paraId="2C025CA7" w14:textId="5B516FCD" w:rsidR="0037584B" w:rsidRPr="00EA14C5" w:rsidRDefault="0037584B" w:rsidP="00EA14C5">
            <w:pPr>
              <w:pStyle w:val="TableBody"/>
              <w:spacing w:after="0"/>
              <w:ind w:right="57"/>
              <w:jc w:val="right"/>
              <w:rPr>
                <w:rFonts w:ascii="Arial" w:hAnsi="Arial" w:cs="Arial"/>
                <w:szCs w:val="18"/>
              </w:rPr>
            </w:pPr>
            <w:r w:rsidRPr="00EA14C5">
              <w:rPr>
                <w:rFonts w:ascii="Arial" w:hAnsi="Arial" w:cs="Arial"/>
                <w:color w:val="000000"/>
                <w:szCs w:val="18"/>
              </w:rPr>
              <w:t>-1.5</w:t>
            </w:r>
          </w:p>
        </w:tc>
      </w:tr>
      <w:tr w:rsidR="0037584B" w:rsidRPr="00EA14C5" w14:paraId="36F5CEC5" w14:textId="77777777" w:rsidTr="0037584B">
        <w:trPr>
          <w:trHeight w:val="227"/>
        </w:trPr>
        <w:tc>
          <w:tcPr>
            <w:tcW w:w="2489" w:type="pct"/>
            <w:tcBorders>
              <w:top w:val="nil"/>
              <w:left w:val="nil"/>
              <w:bottom w:val="nil"/>
              <w:right w:val="nil"/>
            </w:tcBorders>
            <w:shd w:val="clear" w:color="auto" w:fill="FFFFFF" w:themeFill="background1"/>
            <w:vAlign w:val="center"/>
          </w:tcPr>
          <w:p w14:paraId="06678EB9"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Public administration and safety</w:t>
            </w:r>
          </w:p>
        </w:tc>
        <w:tc>
          <w:tcPr>
            <w:tcW w:w="668" w:type="pct"/>
            <w:tcBorders>
              <w:top w:val="nil"/>
              <w:left w:val="nil"/>
              <w:bottom w:val="nil"/>
              <w:right w:val="nil"/>
            </w:tcBorders>
            <w:shd w:val="clear" w:color="auto" w:fill="FFFFFF" w:themeFill="background1"/>
            <w:vAlign w:val="center"/>
          </w:tcPr>
          <w:p w14:paraId="4DDAFBF0" w14:textId="16EEA38B"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2.1</w:t>
            </w:r>
          </w:p>
        </w:tc>
        <w:tc>
          <w:tcPr>
            <w:tcW w:w="631" w:type="pct"/>
            <w:tcBorders>
              <w:top w:val="nil"/>
              <w:left w:val="nil"/>
              <w:bottom w:val="nil"/>
              <w:right w:val="nil"/>
            </w:tcBorders>
            <w:shd w:val="clear" w:color="auto" w:fill="FFFFFF" w:themeFill="background1"/>
            <w:vAlign w:val="bottom"/>
          </w:tcPr>
          <w:p w14:paraId="650010E2" w14:textId="4066825E"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2.9</w:t>
            </w:r>
          </w:p>
        </w:tc>
        <w:tc>
          <w:tcPr>
            <w:tcW w:w="1212" w:type="pct"/>
            <w:tcBorders>
              <w:top w:val="nil"/>
              <w:left w:val="nil"/>
              <w:bottom w:val="nil"/>
              <w:right w:val="nil"/>
            </w:tcBorders>
            <w:shd w:val="clear" w:color="auto" w:fill="FFFFFF" w:themeFill="background1"/>
            <w:vAlign w:val="bottom"/>
          </w:tcPr>
          <w:p w14:paraId="4E94A11E" w14:textId="2DBDF9AC"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0.8</w:t>
            </w:r>
          </w:p>
        </w:tc>
      </w:tr>
      <w:tr w:rsidR="0037584B" w:rsidRPr="00EA14C5" w14:paraId="3E3952AE" w14:textId="77777777" w:rsidTr="0037584B">
        <w:trPr>
          <w:trHeight w:val="227"/>
        </w:trPr>
        <w:tc>
          <w:tcPr>
            <w:tcW w:w="2489" w:type="pct"/>
            <w:tcBorders>
              <w:top w:val="nil"/>
              <w:left w:val="nil"/>
              <w:bottom w:val="nil"/>
              <w:right w:val="nil"/>
            </w:tcBorders>
            <w:shd w:val="clear" w:color="auto" w:fill="FFFFFF" w:themeFill="background1"/>
            <w:vAlign w:val="center"/>
          </w:tcPr>
          <w:p w14:paraId="0F0A315D" w14:textId="77777777" w:rsidR="0037584B" w:rsidRPr="00EA14C5" w:rsidRDefault="0037584B" w:rsidP="00EA14C5">
            <w:pPr>
              <w:pStyle w:val="TableBody"/>
              <w:spacing w:after="0"/>
              <w:ind w:right="57"/>
              <w:rPr>
                <w:rFonts w:ascii="Arial" w:hAnsi="Arial" w:cs="Arial"/>
                <w:szCs w:val="18"/>
              </w:rPr>
            </w:pPr>
            <w:r w:rsidRPr="00EA14C5">
              <w:rPr>
                <w:rFonts w:ascii="Arial" w:hAnsi="Arial" w:cs="Arial"/>
                <w:szCs w:val="18"/>
              </w:rPr>
              <w:lastRenderedPageBreak/>
              <w:t>Education and training</w:t>
            </w:r>
          </w:p>
        </w:tc>
        <w:tc>
          <w:tcPr>
            <w:tcW w:w="668" w:type="pct"/>
            <w:tcBorders>
              <w:top w:val="nil"/>
              <w:left w:val="nil"/>
              <w:bottom w:val="nil"/>
              <w:right w:val="nil"/>
            </w:tcBorders>
            <w:shd w:val="clear" w:color="auto" w:fill="FFFFFF" w:themeFill="background1"/>
            <w:vAlign w:val="center"/>
          </w:tcPr>
          <w:p w14:paraId="15146F71" w14:textId="24E1EE35"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-2.3</w:t>
            </w:r>
          </w:p>
        </w:tc>
        <w:tc>
          <w:tcPr>
            <w:tcW w:w="631" w:type="pct"/>
            <w:tcBorders>
              <w:top w:val="nil"/>
              <w:left w:val="nil"/>
              <w:bottom w:val="nil"/>
              <w:right w:val="nil"/>
            </w:tcBorders>
            <w:shd w:val="clear" w:color="auto" w:fill="FFFFFF" w:themeFill="background1"/>
            <w:vAlign w:val="bottom"/>
          </w:tcPr>
          <w:p w14:paraId="4C03ED6F" w14:textId="58A9AC1E"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-3.5</w:t>
            </w:r>
          </w:p>
        </w:tc>
        <w:tc>
          <w:tcPr>
            <w:tcW w:w="1212" w:type="pct"/>
            <w:tcBorders>
              <w:top w:val="nil"/>
              <w:left w:val="nil"/>
              <w:bottom w:val="nil"/>
              <w:right w:val="nil"/>
            </w:tcBorders>
            <w:shd w:val="clear" w:color="auto" w:fill="FFFFFF" w:themeFill="background1"/>
            <w:vAlign w:val="bottom"/>
          </w:tcPr>
          <w:p w14:paraId="4DB89BAE" w14:textId="3B94477C"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-1.2</w:t>
            </w:r>
          </w:p>
        </w:tc>
      </w:tr>
      <w:tr w:rsidR="0037584B" w:rsidRPr="00EA14C5" w14:paraId="06EB06CA" w14:textId="77777777" w:rsidTr="0037584B">
        <w:trPr>
          <w:trHeight w:val="227"/>
        </w:trPr>
        <w:tc>
          <w:tcPr>
            <w:tcW w:w="2489" w:type="pct"/>
            <w:tcBorders>
              <w:top w:val="nil"/>
              <w:left w:val="nil"/>
              <w:bottom w:val="nil"/>
              <w:right w:val="nil"/>
            </w:tcBorders>
            <w:shd w:val="clear" w:color="auto" w:fill="FFFFFF" w:themeFill="background1"/>
            <w:vAlign w:val="center"/>
          </w:tcPr>
          <w:p w14:paraId="3825A957" w14:textId="77777777" w:rsidR="0037584B" w:rsidRPr="00EA14C5" w:rsidRDefault="0037584B" w:rsidP="00EA14C5">
            <w:pPr>
              <w:pStyle w:val="TableBody"/>
              <w:spacing w:after="0"/>
              <w:ind w:right="57"/>
              <w:rPr>
                <w:rFonts w:ascii="Arial" w:hAnsi="Arial" w:cs="Arial"/>
                <w:szCs w:val="18"/>
              </w:rPr>
            </w:pPr>
            <w:r w:rsidRPr="00EA14C5">
              <w:rPr>
                <w:rFonts w:ascii="Arial" w:hAnsi="Arial" w:cs="Arial"/>
                <w:szCs w:val="18"/>
              </w:rPr>
              <w:t>Health care and social assistance</w:t>
            </w:r>
          </w:p>
        </w:tc>
        <w:tc>
          <w:tcPr>
            <w:tcW w:w="668" w:type="pct"/>
            <w:tcBorders>
              <w:top w:val="nil"/>
              <w:left w:val="nil"/>
              <w:bottom w:val="nil"/>
              <w:right w:val="nil"/>
            </w:tcBorders>
            <w:shd w:val="clear" w:color="auto" w:fill="FFFFFF" w:themeFill="background1"/>
            <w:vAlign w:val="center"/>
          </w:tcPr>
          <w:p w14:paraId="17DE3710" w14:textId="570FAD2E"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1</w:t>
            </w:r>
          </w:p>
        </w:tc>
        <w:tc>
          <w:tcPr>
            <w:tcW w:w="631" w:type="pct"/>
            <w:tcBorders>
              <w:top w:val="nil"/>
              <w:left w:val="nil"/>
              <w:bottom w:val="nil"/>
              <w:right w:val="nil"/>
            </w:tcBorders>
            <w:shd w:val="clear" w:color="auto" w:fill="FFFFFF" w:themeFill="background1"/>
            <w:vAlign w:val="bottom"/>
          </w:tcPr>
          <w:p w14:paraId="42F32D17" w14:textId="61A38138"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1.5</w:t>
            </w:r>
          </w:p>
        </w:tc>
        <w:tc>
          <w:tcPr>
            <w:tcW w:w="1212" w:type="pct"/>
            <w:tcBorders>
              <w:top w:val="nil"/>
              <w:left w:val="nil"/>
              <w:bottom w:val="nil"/>
              <w:right w:val="nil"/>
            </w:tcBorders>
            <w:shd w:val="clear" w:color="auto" w:fill="FFFFFF" w:themeFill="background1"/>
            <w:vAlign w:val="bottom"/>
          </w:tcPr>
          <w:p w14:paraId="0615A1C0" w14:textId="3A430D3A"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0.5</w:t>
            </w:r>
          </w:p>
        </w:tc>
      </w:tr>
      <w:tr w:rsidR="0037584B" w:rsidRPr="00EA14C5" w14:paraId="69200F3C" w14:textId="77777777" w:rsidTr="0037584B">
        <w:trPr>
          <w:trHeight w:val="227"/>
        </w:trPr>
        <w:tc>
          <w:tcPr>
            <w:tcW w:w="2489" w:type="pct"/>
            <w:tcBorders>
              <w:top w:val="nil"/>
              <w:left w:val="nil"/>
              <w:bottom w:val="nil"/>
              <w:right w:val="nil"/>
            </w:tcBorders>
            <w:shd w:val="clear" w:color="auto" w:fill="FFFFFF" w:themeFill="background1"/>
            <w:vAlign w:val="center"/>
          </w:tcPr>
          <w:p w14:paraId="0170242A" w14:textId="77777777" w:rsidR="0037584B" w:rsidRPr="00EA14C5" w:rsidRDefault="0037584B" w:rsidP="00EA14C5">
            <w:pPr>
              <w:pStyle w:val="TableBody"/>
              <w:spacing w:after="0"/>
              <w:ind w:right="57"/>
              <w:rPr>
                <w:rFonts w:ascii="Arial" w:hAnsi="Arial" w:cs="Arial"/>
                <w:szCs w:val="18"/>
              </w:rPr>
            </w:pPr>
            <w:r w:rsidRPr="00EA14C5">
              <w:rPr>
                <w:rFonts w:ascii="Arial" w:hAnsi="Arial" w:cs="Arial"/>
                <w:szCs w:val="18"/>
              </w:rPr>
              <w:t>Arts and recreation services</w:t>
            </w:r>
          </w:p>
        </w:tc>
        <w:tc>
          <w:tcPr>
            <w:tcW w:w="668" w:type="pct"/>
            <w:tcBorders>
              <w:top w:val="nil"/>
              <w:left w:val="nil"/>
              <w:bottom w:val="nil"/>
              <w:right w:val="nil"/>
            </w:tcBorders>
            <w:shd w:val="clear" w:color="auto" w:fill="FFFFFF" w:themeFill="background1"/>
            <w:vAlign w:val="center"/>
          </w:tcPr>
          <w:p w14:paraId="46281C40" w14:textId="14A66B60"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-1.2</w:t>
            </w:r>
          </w:p>
        </w:tc>
        <w:tc>
          <w:tcPr>
            <w:tcW w:w="631" w:type="pct"/>
            <w:tcBorders>
              <w:top w:val="nil"/>
              <w:left w:val="nil"/>
              <w:bottom w:val="nil"/>
              <w:right w:val="nil"/>
            </w:tcBorders>
            <w:shd w:val="clear" w:color="auto" w:fill="FFFFFF" w:themeFill="background1"/>
            <w:vAlign w:val="bottom"/>
          </w:tcPr>
          <w:p w14:paraId="0BD0978D" w14:textId="61B0516F"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-1.2</w:t>
            </w:r>
          </w:p>
        </w:tc>
        <w:tc>
          <w:tcPr>
            <w:tcW w:w="1212" w:type="pct"/>
            <w:tcBorders>
              <w:top w:val="nil"/>
              <w:left w:val="nil"/>
              <w:bottom w:val="nil"/>
              <w:right w:val="nil"/>
            </w:tcBorders>
            <w:shd w:val="clear" w:color="auto" w:fill="FFFFFF" w:themeFill="background1"/>
            <w:vAlign w:val="bottom"/>
          </w:tcPr>
          <w:p w14:paraId="5C52A20F" w14:textId="277E531E"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0.0</w:t>
            </w:r>
          </w:p>
        </w:tc>
      </w:tr>
      <w:tr w:rsidR="0037584B" w:rsidRPr="00EA14C5" w14:paraId="49E6049D" w14:textId="77777777" w:rsidTr="0037584B">
        <w:trPr>
          <w:trHeight w:val="227"/>
        </w:trPr>
        <w:tc>
          <w:tcPr>
            <w:tcW w:w="2489" w:type="pct"/>
            <w:tcBorders>
              <w:top w:val="nil"/>
              <w:left w:val="nil"/>
              <w:bottom w:val="nil"/>
              <w:right w:val="nil"/>
            </w:tcBorders>
            <w:shd w:val="clear" w:color="auto" w:fill="FFFFFF" w:themeFill="background1"/>
            <w:vAlign w:val="center"/>
          </w:tcPr>
          <w:p w14:paraId="0DF55F52" w14:textId="77777777" w:rsidR="0037584B" w:rsidRPr="00EA14C5" w:rsidRDefault="0037584B" w:rsidP="00EA14C5">
            <w:pPr>
              <w:pStyle w:val="TableBody"/>
              <w:spacing w:after="0"/>
              <w:ind w:right="57"/>
              <w:rPr>
                <w:rFonts w:ascii="Arial" w:eastAsia="Times New Roman" w:hAnsi="Arial" w:cs="Arial"/>
                <w:szCs w:val="18"/>
                <w:lang w:eastAsia="en-AU"/>
              </w:rPr>
            </w:pPr>
            <w:r w:rsidRPr="00EA14C5">
              <w:rPr>
                <w:rFonts w:ascii="Arial" w:hAnsi="Arial" w:cs="Arial"/>
                <w:szCs w:val="18"/>
              </w:rPr>
              <w:t>Other services</w:t>
            </w:r>
          </w:p>
        </w:tc>
        <w:tc>
          <w:tcPr>
            <w:tcW w:w="668" w:type="pct"/>
            <w:tcBorders>
              <w:top w:val="nil"/>
              <w:left w:val="nil"/>
              <w:bottom w:val="nil"/>
              <w:right w:val="nil"/>
            </w:tcBorders>
            <w:shd w:val="clear" w:color="auto" w:fill="FFFFFF" w:themeFill="background1"/>
            <w:vAlign w:val="center"/>
          </w:tcPr>
          <w:p w14:paraId="19567D32" w14:textId="30D202D3"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-0.3</w:t>
            </w:r>
          </w:p>
        </w:tc>
        <w:tc>
          <w:tcPr>
            <w:tcW w:w="631" w:type="pct"/>
            <w:tcBorders>
              <w:top w:val="nil"/>
              <w:left w:val="nil"/>
              <w:bottom w:val="nil"/>
              <w:right w:val="nil"/>
            </w:tcBorders>
            <w:shd w:val="clear" w:color="auto" w:fill="FFFFFF" w:themeFill="background1"/>
            <w:vAlign w:val="bottom"/>
          </w:tcPr>
          <w:p w14:paraId="260DA7AE" w14:textId="6F054504"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-0.1</w:t>
            </w:r>
          </w:p>
        </w:tc>
        <w:tc>
          <w:tcPr>
            <w:tcW w:w="1212" w:type="pct"/>
            <w:tcBorders>
              <w:top w:val="nil"/>
              <w:left w:val="nil"/>
              <w:bottom w:val="nil"/>
              <w:right w:val="nil"/>
            </w:tcBorders>
            <w:shd w:val="clear" w:color="auto" w:fill="FFFFFF" w:themeFill="background1"/>
            <w:vAlign w:val="bottom"/>
          </w:tcPr>
          <w:p w14:paraId="74E680BF" w14:textId="7D11CA16" w:rsidR="0037584B" w:rsidRPr="00EA14C5" w:rsidRDefault="0037584B" w:rsidP="00EA14C5">
            <w:pPr>
              <w:pStyle w:val="TableBody"/>
              <w:spacing w:after="0"/>
              <w:ind w:right="57"/>
              <w:jc w:val="right"/>
              <w:rPr>
                <w:rFonts w:ascii="Arial" w:eastAsia="Times New Roman" w:hAnsi="Arial" w:cs="Arial"/>
                <w:szCs w:val="18"/>
                <w:lang w:eastAsia="en-AU"/>
              </w:rPr>
            </w:pPr>
            <w:r w:rsidRPr="00EA14C5">
              <w:rPr>
                <w:rFonts w:ascii="Arial" w:hAnsi="Arial" w:cs="Arial"/>
                <w:color w:val="000000"/>
                <w:szCs w:val="18"/>
              </w:rPr>
              <w:t>0.2</w:t>
            </w:r>
          </w:p>
        </w:tc>
      </w:tr>
    </w:tbl>
    <w:p w14:paraId="7404206A" w14:textId="5D902A87" w:rsidR="0036415B" w:rsidRDefault="00294485" w:rsidP="003A58FE">
      <w:pPr>
        <w:pStyle w:val="Source"/>
      </w:pPr>
      <w:r w:rsidRPr="00696447">
        <w:t>Source</w:t>
      </w:r>
      <w:r w:rsidR="00DD64C9">
        <w:t>s</w:t>
      </w:r>
      <w:r w:rsidRPr="00696447">
        <w:t>:</w:t>
      </w:r>
      <w:r w:rsidR="00DE6D15" w:rsidRPr="00696447">
        <w:t xml:space="preserve"> </w:t>
      </w:r>
      <w:r w:rsidR="000F6571">
        <w:t xml:space="preserve">Commission </w:t>
      </w:r>
      <w:r w:rsidR="00627A70">
        <w:t xml:space="preserve">estimates </w:t>
      </w:r>
      <w:r w:rsidR="000F6571">
        <w:t xml:space="preserve">based on </w:t>
      </w:r>
      <w:r w:rsidR="00DE6D15">
        <w:t>ABS (202</w:t>
      </w:r>
      <w:r w:rsidR="009D3726">
        <w:t>4</w:t>
      </w:r>
      <w:r w:rsidR="00DE6D15">
        <w:t xml:space="preserve">, </w:t>
      </w:r>
      <w:r w:rsidR="00DE6D15">
        <w:rPr>
          <w:i/>
          <w:iCs/>
        </w:rPr>
        <w:t>Labour Account Australia</w:t>
      </w:r>
      <w:r w:rsidR="00DE6D15">
        <w:t xml:space="preserve">, </w:t>
      </w:r>
      <w:r w:rsidR="00D43D0F">
        <w:t>March</w:t>
      </w:r>
      <w:r w:rsidR="009D3726">
        <w:t xml:space="preserve"> </w:t>
      </w:r>
      <w:r w:rsidR="00DE6D15">
        <w:t>202</w:t>
      </w:r>
      <w:r w:rsidR="00D43D0F">
        <w:t>4</w:t>
      </w:r>
      <w:r w:rsidR="00DE6D15">
        <w:t xml:space="preserve">, industry summary table) and </w:t>
      </w:r>
      <w:r>
        <w:t>ABS (202</w:t>
      </w:r>
      <w:r w:rsidR="00D43D0F">
        <w:t>4</w:t>
      </w:r>
      <w:r>
        <w:t xml:space="preserve">, </w:t>
      </w:r>
      <w:r>
        <w:rPr>
          <w:i/>
          <w:iCs/>
        </w:rPr>
        <w:t>Labour Account Australia</w:t>
      </w:r>
      <w:r>
        <w:t xml:space="preserve">, </w:t>
      </w:r>
      <w:r w:rsidR="00D43D0F">
        <w:t>December</w:t>
      </w:r>
      <w:r>
        <w:t xml:space="preserve"> 2023, </w:t>
      </w:r>
      <w:r w:rsidR="008F6C4A" w:rsidRPr="004C5C6D">
        <w:t xml:space="preserve">Cat. No. </w:t>
      </w:r>
      <w:r w:rsidR="008F6C4A" w:rsidRPr="00D84F43">
        <w:t>6150.0.55.003</w:t>
      </w:r>
      <w:r w:rsidR="008F6C4A">
        <w:t>,</w:t>
      </w:r>
      <w:r w:rsidR="008F6C4A" w:rsidRPr="0053714B">
        <w:t xml:space="preserve"> </w:t>
      </w:r>
      <w:r>
        <w:t xml:space="preserve">industry summary table). </w:t>
      </w:r>
    </w:p>
    <w:p w14:paraId="04160723" w14:textId="0B740B48" w:rsidR="0036415B" w:rsidRPr="006331F8" w:rsidRDefault="0036415B" w:rsidP="0036415B">
      <w:pPr>
        <w:pStyle w:val="FigureTableHeading"/>
      </w:pPr>
      <w:r>
        <w:rPr>
          <w:lang w:eastAsia="en-AU"/>
        </w:rPr>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36415B" w:rsidRPr="00EA14C5" w14:paraId="56A83CDB" w14:textId="77777777" w:rsidTr="00FD4B65">
        <w:trPr>
          <w:trHeight w:val="300"/>
        </w:trPr>
        <w:tc>
          <w:tcPr>
            <w:tcW w:w="2489" w:type="pct"/>
            <w:vMerge w:val="restart"/>
            <w:tcBorders>
              <w:top w:val="nil"/>
              <w:left w:val="nil"/>
              <w:bottom w:val="nil"/>
              <w:right w:val="nil"/>
            </w:tcBorders>
            <w:shd w:val="clear" w:color="auto" w:fill="auto"/>
            <w:vAlign w:val="center"/>
            <w:hideMark/>
          </w:tcPr>
          <w:p w14:paraId="5C1C7FE3" w14:textId="77777777" w:rsidR="0036415B" w:rsidRPr="00EA14C5" w:rsidRDefault="0036415B" w:rsidP="00EA14C5">
            <w:pPr>
              <w:pStyle w:val="TableHeading"/>
              <w:ind w:right="57"/>
              <w:rPr>
                <w:rFonts w:ascii="Arial" w:hAnsi="Arial" w:cs="Arial"/>
                <w:szCs w:val="18"/>
              </w:rPr>
            </w:pPr>
            <w:r w:rsidRPr="00EA14C5">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4C630DD1" w14:textId="2C65D27B" w:rsidR="0036415B" w:rsidRPr="00EA14C5" w:rsidRDefault="0036415B" w:rsidP="00EA14C5">
            <w:pPr>
              <w:pStyle w:val="TableHeading"/>
              <w:ind w:right="57"/>
              <w:jc w:val="center"/>
              <w:rPr>
                <w:rFonts w:ascii="Arial" w:hAnsi="Arial" w:cs="Arial"/>
                <w:szCs w:val="18"/>
              </w:rPr>
            </w:pPr>
            <w:r w:rsidRPr="00EA14C5">
              <w:rPr>
                <w:rFonts w:ascii="Arial" w:hAnsi="Arial" w:cs="Arial"/>
                <w:szCs w:val="18"/>
              </w:rPr>
              <w:t>Revision on Q</w:t>
            </w:r>
            <w:r w:rsidR="0037584B" w:rsidRPr="00EA14C5">
              <w:rPr>
                <w:rFonts w:ascii="Arial" w:hAnsi="Arial" w:cs="Arial"/>
                <w:szCs w:val="18"/>
              </w:rPr>
              <w:t>4</w:t>
            </w:r>
            <w:r w:rsidRPr="00EA14C5">
              <w:rPr>
                <w:rFonts w:ascii="Arial" w:hAnsi="Arial" w:cs="Arial"/>
                <w:szCs w:val="18"/>
              </w:rPr>
              <w:t xml:space="preserve"> 2023</w:t>
            </w:r>
          </w:p>
        </w:tc>
        <w:tc>
          <w:tcPr>
            <w:tcW w:w="1212" w:type="pct"/>
            <w:vMerge w:val="restart"/>
            <w:tcBorders>
              <w:top w:val="nil"/>
              <w:left w:val="nil"/>
              <w:right w:val="nil"/>
            </w:tcBorders>
            <w:shd w:val="clear" w:color="auto" w:fill="auto"/>
            <w:vAlign w:val="center"/>
            <w:hideMark/>
          </w:tcPr>
          <w:p w14:paraId="0F15E96A" w14:textId="4CD33CFC" w:rsidR="0036415B" w:rsidRPr="00EA14C5" w:rsidRDefault="0036415B" w:rsidP="00EA14C5">
            <w:pPr>
              <w:pStyle w:val="TableHeading"/>
              <w:ind w:right="57"/>
              <w:jc w:val="right"/>
              <w:rPr>
                <w:rFonts w:ascii="Arial" w:hAnsi="Arial" w:cs="Arial"/>
                <w:szCs w:val="18"/>
              </w:rPr>
            </w:pPr>
            <w:r w:rsidRPr="00EA14C5">
              <w:rPr>
                <w:rFonts w:ascii="Arial" w:hAnsi="Arial" w:cs="Arial"/>
                <w:szCs w:val="18"/>
              </w:rPr>
              <w:t xml:space="preserve">Difference </w:t>
            </w:r>
            <w:r w:rsidR="00FD4B65" w:rsidRPr="00EA14C5">
              <w:rPr>
                <w:rFonts w:ascii="Arial" w:hAnsi="Arial" w:cs="Arial"/>
                <w:szCs w:val="18"/>
              </w:rPr>
              <w:br/>
            </w:r>
            <w:r w:rsidRPr="00EA14C5">
              <w:rPr>
                <w:rFonts w:ascii="Arial" w:hAnsi="Arial" w:cs="Arial"/>
                <w:szCs w:val="18"/>
              </w:rPr>
              <w:t>(percentage point)</w:t>
            </w:r>
          </w:p>
        </w:tc>
      </w:tr>
      <w:tr w:rsidR="0036415B" w:rsidRPr="00EA14C5" w14:paraId="47B028F6" w14:textId="77777777" w:rsidTr="002D6B1D">
        <w:trPr>
          <w:trHeight w:val="300"/>
        </w:trPr>
        <w:tc>
          <w:tcPr>
            <w:tcW w:w="2489" w:type="pct"/>
            <w:vMerge/>
            <w:tcBorders>
              <w:top w:val="nil"/>
              <w:left w:val="nil"/>
              <w:bottom w:val="single" w:sz="6" w:space="0" w:color="BFBFBF" w:themeColor="background1" w:themeShade="BF"/>
              <w:right w:val="nil"/>
            </w:tcBorders>
            <w:shd w:val="clear" w:color="auto" w:fill="auto"/>
            <w:vAlign w:val="center"/>
            <w:hideMark/>
          </w:tcPr>
          <w:p w14:paraId="0F3383FD" w14:textId="77777777" w:rsidR="0036415B" w:rsidRPr="00EA14C5" w:rsidRDefault="0036415B" w:rsidP="00EA14C5">
            <w:pPr>
              <w:pStyle w:val="TableHeading"/>
              <w:ind w:right="57"/>
              <w:rPr>
                <w:rFonts w:ascii="Arial" w:hAnsi="Arial" w:cs="Arial"/>
                <w:szCs w:val="18"/>
              </w:rPr>
            </w:pPr>
          </w:p>
        </w:tc>
        <w:tc>
          <w:tcPr>
            <w:tcW w:w="668" w:type="pct"/>
            <w:tcBorders>
              <w:top w:val="nil"/>
              <w:left w:val="nil"/>
              <w:bottom w:val="single" w:sz="6" w:space="0" w:color="BFBFBF" w:themeColor="background1" w:themeShade="BF"/>
              <w:right w:val="nil"/>
            </w:tcBorders>
            <w:shd w:val="clear" w:color="auto" w:fill="auto"/>
            <w:vAlign w:val="center"/>
            <w:hideMark/>
          </w:tcPr>
          <w:p w14:paraId="465B4000" w14:textId="77777777" w:rsidR="0036415B" w:rsidRPr="00EA14C5" w:rsidRDefault="0036415B" w:rsidP="00EA14C5">
            <w:pPr>
              <w:pStyle w:val="TableHeading"/>
              <w:ind w:right="57"/>
              <w:jc w:val="right"/>
              <w:rPr>
                <w:rFonts w:ascii="Arial" w:hAnsi="Arial" w:cs="Arial"/>
                <w:szCs w:val="18"/>
              </w:rPr>
            </w:pPr>
            <w:r w:rsidRPr="00EA14C5">
              <w:rPr>
                <w:rFonts w:ascii="Arial" w:hAnsi="Arial" w:cs="Arial"/>
                <w:szCs w:val="18"/>
              </w:rPr>
              <w:t>Before</w:t>
            </w:r>
          </w:p>
        </w:tc>
        <w:tc>
          <w:tcPr>
            <w:tcW w:w="631" w:type="pct"/>
            <w:tcBorders>
              <w:top w:val="nil"/>
              <w:left w:val="nil"/>
              <w:bottom w:val="single" w:sz="6" w:space="0" w:color="BFBFBF" w:themeColor="background1" w:themeShade="BF"/>
              <w:right w:val="nil"/>
            </w:tcBorders>
            <w:shd w:val="clear" w:color="auto" w:fill="auto"/>
            <w:vAlign w:val="center"/>
            <w:hideMark/>
          </w:tcPr>
          <w:p w14:paraId="35B31798" w14:textId="77777777" w:rsidR="0036415B" w:rsidRPr="00EA14C5" w:rsidRDefault="0036415B" w:rsidP="00EA14C5">
            <w:pPr>
              <w:pStyle w:val="TableHeading"/>
              <w:ind w:right="57"/>
              <w:jc w:val="right"/>
              <w:rPr>
                <w:rFonts w:ascii="Arial" w:hAnsi="Arial" w:cs="Arial"/>
                <w:szCs w:val="18"/>
              </w:rPr>
            </w:pPr>
            <w:r w:rsidRPr="00EA14C5">
              <w:rPr>
                <w:rFonts w:ascii="Arial" w:hAnsi="Arial" w:cs="Arial"/>
                <w:szCs w:val="18"/>
              </w:rPr>
              <w:t>After</w:t>
            </w:r>
          </w:p>
        </w:tc>
        <w:tc>
          <w:tcPr>
            <w:tcW w:w="1212" w:type="pct"/>
            <w:vMerge/>
            <w:tcBorders>
              <w:left w:val="nil"/>
              <w:bottom w:val="single" w:sz="6" w:space="0" w:color="BFBFBF" w:themeColor="background1" w:themeShade="BF"/>
              <w:right w:val="nil"/>
            </w:tcBorders>
            <w:shd w:val="clear" w:color="auto" w:fill="auto"/>
            <w:vAlign w:val="center"/>
            <w:hideMark/>
          </w:tcPr>
          <w:p w14:paraId="329CE2A9" w14:textId="77777777" w:rsidR="0036415B" w:rsidRPr="00EA14C5" w:rsidRDefault="0036415B" w:rsidP="00EA14C5">
            <w:pPr>
              <w:pStyle w:val="TableHeading"/>
              <w:ind w:right="57"/>
              <w:jc w:val="right"/>
              <w:rPr>
                <w:rFonts w:ascii="Arial" w:hAnsi="Arial" w:cs="Arial"/>
                <w:szCs w:val="18"/>
              </w:rPr>
            </w:pPr>
          </w:p>
        </w:tc>
      </w:tr>
      <w:tr w:rsidR="0036415B" w:rsidRPr="00EA14C5" w14:paraId="0E78AB29" w14:textId="77777777" w:rsidTr="002D6B1D">
        <w:trPr>
          <w:trHeight w:val="300"/>
        </w:trPr>
        <w:tc>
          <w:tcPr>
            <w:tcW w:w="5000" w:type="pct"/>
            <w:gridSpan w:val="4"/>
            <w:tcBorders>
              <w:top w:val="single" w:sz="6" w:space="0" w:color="BFBFBF" w:themeColor="background1" w:themeShade="BF"/>
              <w:left w:val="nil"/>
              <w:bottom w:val="nil"/>
              <w:right w:val="nil"/>
            </w:tcBorders>
            <w:shd w:val="clear" w:color="auto" w:fill="E0F1F7"/>
            <w:vAlign w:val="center"/>
            <w:hideMark/>
          </w:tcPr>
          <w:p w14:paraId="4C204EB7" w14:textId="77777777" w:rsidR="0036415B" w:rsidRPr="00EA14C5" w:rsidRDefault="0036415B" w:rsidP="00EA14C5">
            <w:pPr>
              <w:pStyle w:val="TableHeading"/>
              <w:ind w:right="57"/>
              <w:rPr>
                <w:rFonts w:ascii="Arial" w:eastAsia="Times New Roman" w:hAnsi="Arial" w:cs="Arial"/>
                <w:b w:val="0"/>
                <w:bCs/>
                <w:color w:val="265A9A"/>
                <w:szCs w:val="18"/>
                <w:lang w:eastAsia="en-AU"/>
              </w:rPr>
            </w:pPr>
            <w:r w:rsidRPr="00EA14C5">
              <w:rPr>
                <w:rFonts w:ascii="Arial" w:eastAsia="Times New Roman" w:hAnsi="Arial" w:cs="Arial"/>
                <w:color w:val="265A9A"/>
                <w:szCs w:val="18"/>
                <w:lang w:eastAsia="en-AU"/>
              </w:rPr>
              <w:t>Market sector</w:t>
            </w:r>
            <w:r w:rsidRPr="00EA14C5">
              <w:rPr>
                <w:rFonts w:ascii="Arial" w:eastAsia="Times New Roman" w:hAnsi="Arial" w:cs="Arial"/>
                <w:b w:val="0"/>
                <w:bCs/>
                <w:color w:val="265A9A"/>
                <w:szCs w:val="18"/>
                <w:lang w:eastAsia="en-AU"/>
              </w:rPr>
              <w:t> </w:t>
            </w:r>
          </w:p>
        </w:tc>
      </w:tr>
      <w:tr w:rsidR="00140EBA" w:rsidRPr="00EA14C5" w14:paraId="66A4A464" w14:textId="77777777" w:rsidTr="00140EBA">
        <w:trPr>
          <w:trHeight w:val="300"/>
        </w:trPr>
        <w:tc>
          <w:tcPr>
            <w:tcW w:w="2489" w:type="pct"/>
            <w:tcBorders>
              <w:top w:val="nil"/>
              <w:left w:val="nil"/>
              <w:bottom w:val="nil"/>
              <w:right w:val="nil"/>
            </w:tcBorders>
            <w:shd w:val="clear" w:color="auto" w:fill="FFFFFF"/>
            <w:vAlign w:val="center"/>
            <w:hideMark/>
          </w:tcPr>
          <w:p w14:paraId="464AEDDB"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Agriculture, forestry and fishing</w:t>
            </w:r>
          </w:p>
        </w:tc>
        <w:tc>
          <w:tcPr>
            <w:tcW w:w="668" w:type="pct"/>
            <w:tcBorders>
              <w:top w:val="nil"/>
              <w:left w:val="nil"/>
              <w:bottom w:val="nil"/>
              <w:right w:val="nil"/>
            </w:tcBorders>
            <w:shd w:val="clear" w:color="auto" w:fill="FFFFFF" w:themeFill="background1"/>
            <w:vAlign w:val="center"/>
          </w:tcPr>
          <w:p w14:paraId="4393B99C" w14:textId="370EF539"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-2.4</w:t>
            </w:r>
          </w:p>
        </w:tc>
        <w:tc>
          <w:tcPr>
            <w:tcW w:w="631" w:type="pct"/>
            <w:tcBorders>
              <w:top w:val="nil"/>
              <w:left w:val="nil"/>
              <w:bottom w:val="nil"/>
              <w:right w:val="nil"/>
            </w:tcBorders>
            <w:shd w:val="clear" w:color="auto" w:fill="FFFFFF" w:themeFill="background1"/>
            <w:vAlign w:val="bottom"/>
          </w:tcPr>
          <w:p w14:paraId="1544615A" w14:textId="302D7439"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-5.8</w:t>
            </w:r>
          </w:p>
        </w:tc>
        <w:tc>
          <w:tcPr>
            <w:tcW w:w="1212" w:type="pct"/>
            <w:tcBorders>
              <w:top w:val="nil"/>
              <w:left w:val="nil"/>
              <w:bottom w:val="nil"/>
              <w:right w:val="nil"/>
            </w:tcBorders>
            <w:shd w:val="clear" w:color="auto" w:fill="FFFFFF" w:themeFill="background1"/>
            <w:vAlign w:val="bottom"/>
          </w:tcPr>
          <w:p w14:paraId="7B577EB3" w14:textId="08C925F0"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-3.4</w:t>
            </w:r>
          </w:p>
        </w:tc>
      </w:tr>
      <w:tr w:rsidR="00140EBA" w:rsidRPr="00EA14C5" w14:paraId="08E415B0" w14:textId="77777777" w:rsidTr="00140EBA">
        <w:trPr>
          <w:trHeight w:val="300"/>
        </w:trPr>
        <w:tc>
          <w:tcPr>
            <w:tcW w:w="2489" w:type="pct"/>
            <w:tcBorders>
              <w:top w:val="nil"/>
              <w:left w:val="nil"/>
              <w:bottom w:val="nil"/>
              <w:right w:val="nil"/>
            </w:tcBorders>
            <w:shd w:val="clear" w:color="auto" w:fill="FFFFFF"/>
            <w:vAlign w:val="center"/>
            <w:hideMark/>
          </w:tcPr>
          <w:p w14:paraId="55438AD6"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Mining</w:t>
            </w:r>
          </w:p>
        </w:tc>
        <w:tc>
          <w:tcPr>
            <w:tcW w:w="668" w:type="pct"/>
            <w:tcBorders>
              <w:top w:val="nil"/>
              <w:left w:val="nil"/>
              <w:bottom w:val="nil"/>
              <w:right w:val="nil"/>
            </w:tcBorders>
            <w:shd w:val="clear" w:color="auto" w:fill="FFFFFF" w:themeFill="background1"/>
            <w:vAlign w:val="center"/>
          </w:tcPr>
          <w:p w14:paraId="1B320CE9" w14:textId="367198E1"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-0.6</w:t>
            </w:r>
          </w:p>
        </w:tc>
        <w:tc>
          <w:tcPr>
            <w:tcW w:w="631" w:type="pct"/>
            <w:tcBorders>
              <w:top w:val="nil"/>
              <w:left w:val="nil"/>
              <w:bottom w:val="nil"/>
              <w:right w:val="nil"/>
            </w:tcBorders>
            <w:shd w:val="clear" w:color="auto" w:fill="FFFFFF" w:themeFill="background1"/>
            <w:vAlign w:val="bottom"/>
          </w:tcPr>
          <w:p w14:paraId="6A25FFF6" w14:textId="6741585A"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-0.5</w:t>
            </w:r>
          </w:p>
        </w:tc>
        <w:tc>
          <w:tcPr>
            <w:tcW w:w="1212" w:type="pct"/>
            <w:tcBorders>
              <w:top w:val="nil"/>
              <w:left w:val="nil"/>
              <w:bottom w:val="nil"/>
              <w:right w:val="nil"/>
            </w:tcBorders>
            <w:shd w:val="clear" w:color="auto" w:fill="FFFFFF" w:themeFill="background1"/>
            <w:vAlign w:val="bottom"/>
          </w:tcPr>
          <w:p w14:paraId="4ED97ED8" w14:textId="57CA8C43"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0.1</w:t>
            </w:r>
          </w:p>
        </w:tc>
      </w:tr>
      <w:tr w:rsidR="00140EBA" w:rsidRPr="00EA14C5" w14:paraId="2C83F307" w14:textId="77777777" w:rsidTr="00140EBA">
        <w:trPr>
          <w:trHeight w:val="300"/>
        </w:trPr>
        <w:tc>
          <w:tcPr>
            <w:tcW w:w="2489" w:type="pct"/>
            <w:tcBorders>
              <w:top w:val="nil"/>
              <w:left w:val="nil"/>
              <w:bottom w:val="nil"/>
              <w:right w:val="nil"/>
            </w:tcBorders>
            <w:shd w:val="clear" w:color="auto" w:fill="FFFFFF"/>
            <w:vAlign w:val="center"/>
          </w:tcPr>
          <w:p w14:paraId="3120C606"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Manufacturing</w:t>
            </w:r>
          </w:p>
        </w:tc>
        <w:tc>
          <w:tcPr>
            <w:tcW w:w="668" w:type="pct"/>
            <w:tcBorders>
              <w:top w:val="nil"/>
              <w:left w:val="nil"/>
              <w:bottom w:val="nil"/>
              <w:right w:val="nil"/>
            </w:tcBorders>
            <w:shd w:val="clear" w:color="auto" w:fill="FFFFFF" w:themeFill="background1"/>
            <w:vAlign w:val="center"/>
          </w:tcPr>
          <w:p w14:paraId="515999CA" w14:textId="480D036E"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3.1</w:t>
            </w:r>
          </w:p>
        </w:tc>
        <w:tc>
          <w:tcPr>
            <w:tcW w:w="631" w:type="pct"/>
            <w:tcBorders>
              <w:top w:val="nil"/>
              <w:left w:val="nil"/>
              <w:bottom w:val="nil"/>
              <w:right w:val="nil"/>
            </w:tcBorders>
            <w:shd w:val="clear" w:color="auto" w:fill="FFFFFF" w:themeFill="background1"/>
            <w:vAlign w:val="bottom"/>
          </w:tcPr>
          <w:p w14:paraId="756DAA67" w14:textId="37F15C64"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2.9</w:t>
            </w:r>
          </w:p>
        </w:tc>
        <w:tc>
          <w:tcPr>
            <w:tcW w:w="1212" w:type="pct"/>
            <w:tcBorders>
              <w:top w:val="nil"/>
              <w:left w:val="nil"/>
              <w:bottom w:val="nil"/>
              <w:right w:val="nil"/>
            </w:tcBorders>
            <w:shd w:val="clear" w:color="auto" w:fill="FFFFFF" w:themeFill="background1"/>
            <w:vAlign w:val="bottom"/>
          </w:tcPr>
          <w:p w14:paraId="0B2F3153" w14:textId="544DA0BA"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-0.2</w:t>
            </w:r>
          </w:p>
        </w:tc>
      </w:tr>
      <w:tr w:rsidR="00140EBA" w:rsidRPr="00EA14C5" w14:paraId="736E530F" w14:textId="77777777" w:rsidTr="00140EBA">
        <w:trPr>
          <w:trHeight w:val="300"/>
        </w:trPr>
        <w:tc>
          <w:tcPr>
            <w:tcW w:w="2489" w:type="pct"/>
            <w:tcBorders>
              <w:top w:val="nil"/>
              <w:left w:val="nil"/>
              <w:bottom w:val="nil"/>
              <w:right w:val="nil"/>
            </w:tcBorders>
            <w:shd w:val="clear" w:color="auto" w:fill="FFFFFF"/>
            <w:vAlign w:val="center"/>
          </w:tcPr>
          <w:p w14:paraId="5D0F1E05"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Electricity, gas, water and waste services</w:t>
            </w:r>
          </w:p>
        </w:tc>
        <w:tc>
          <w:tcPr>
            <w:tcW w:w="668" w:type="pct"/>
            <w:tcBorders>
              <w:top w:val="nil"/>
              <w:left w:val="nil"/>
              <w:bottom w:val="nil"/>
              <w:right w:val="nil"/>
            </w:tcBorders>
            <w:shd w:val="clear" w:color="auto" w:fill="FFFFFF" w:themeFill="background1"/>
            <w:vAlign w:val="center"/>
          </w:tcPr>
          <w:p w14:paraId="27FF94C9" w14:textId="66DD46E1"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3</w:t>
            </w:r>
          </w:p>
        </w:tc>
        <w:tc>
          <w:tcPr>
            <w:tcW w:w="631" w:type="pct"/>
            <w:tcBorders>
              <w:top w:val="nil"/>
              <w:left w:val="nil"/>
              <w:bottom w:val="nil"/>
              <w:right w:val="nil"/>
            </w:tcBorders>
            <w:shd w:val="clear" w:color="auto" w:fill="FFFFFF" w:themeFill="background1"/>
            <w:vAlign w:val="bottom"/>
          </w:tcPr>
          <w:p w14:paraId="12FBBD3C" w14:textId="43812E73"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2.4</w:t>
            </w:r>
          </w:p>
        </w:tc>
        <w:tc>
          <w:tcPr>
            <w:tcW w:w="1212" w:type="pct"/>
            <w:tcBorders>
              <w:top w:val="nil"/>
              <w:left w:val="nil"/>
              <w:bottom w:val="nil"/>
              <w:right w:val="nil"/>
            </w:tcBorders>
            <w:shd w:val="clear" w:color="auto" w:fill="FFFFFF" w:themeFill="background1"/>
            <w:vAlign w:val="bottom"/>
          </w:tcPr>
          <w:p w14:paraId="5E9774F2" w14:textId="1C73CB01"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-0.6</w:t>
            </w:r>
          </w:p>
        </w:tc>
      </w:tr>
      <w:tr w:rsidR="00140EBA" w:rsidRPr="00EA14C5" w14:paraId="3C794059" w14:textId="77777777" w:rsidTr="00140EBA">
        <w:trPr>
          <w:trHeight w:val="300"/>
        </w:trPr>
        <w:tc>
          <w:tcPr>
            <w:tcW w:w="2489" w:type="pct"/>
            <w:tcBorders>
              <w:top w:val="nil"/>
              <w:left w:val="nil"/>
              <w:bottom w:val="nil"/>
              <w:right w:val="nil"/>
            </w:tcBorders>
            <w:shd w:val="clear" w:color="auto" w:fill="FFFFFF"/>
            <w:vAlign w:val="center"/>
            <w:hideMark/>
          </w:tcPr>
          <w:p w14:paraId="6A755CE9"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Construction</w:t>
            </w:r>
          </w:p>
        </w:tc>
        <w:tc>
          <w:tcPr>
            <w:tcW w:w="668" w:type="pct"/>
            <w:tcBorders>
              <w:top w:val="nil"/>
              <w:left w:val="nil"/>
              <w:bottom w:val="nil"/>
              <w:right w:val="nil"/>
            </w:tcBorders>
            <w:shd w:val="clear" w:color="auto" w:fill="FFFFFF" w:themeFill="background1"/>
            <w:vAlign w:val="center"/>
          </w:tcPr>
          <w:p w14:paraId="337A373A" w14:textId="240A5169"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-1.3</w:t>
            </w:r>
          </w:p>
        </w:tc>
        <w:tc>
          <w:tcPr>
            <w:tcW w:w="631" w:type="pct"/>
            <w:tcBorders>
              <w:top w:val="nil"/>
              <w:left w:val="nil"/>
              <w:bottom w:val="nil"/>
              <w:right w:val="nil"/>
            </w:tcBorders>
            <w:shd w:val="clear" w:color="auto" w:fill="FFFFFF" w:themeFill="background1"/>
            <w:vAlign w:val="bottom"/>
          </w:tcPr>
          <w:p w14:paraId="72A58B14" w14:textId="0A855BA3"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53D56464" w14:textId="1802170F"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0.5</w:t>
            </w:r>
          </w:p>
        </w:tc>
      </w:tr>
      <w:tr w:rsidR="00140EBA" w:rsidRPr="00EA14C5" w14:paraId="1EF6EF1F" w14:textId="77777777" w:rsidTr="00140EBA">
        <w:trPr>
          <w:trHeight w:val="300"/>
        </w:trPr>
        <w:tc>
          <w:tcPr>
            <w:tcW w:w="2489" w:type="pct"/>
            <w:tcBorders>
              <w:top w:val="nil"/>
              <w:left w:val="nil"/>
              <w:bottom w:val="nil"/>
              <w:right w:val="nil"/>
            </w:tcBorders>
            <w:shd w:val="clear" w:color="auto" w:fill="FFFFFF"/>
            <w:vAlign w:val="center"/>
            <w:hideMark/>
          </w:tcPr>
          <w:p w14:paraId="12A65F04"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Wholesale trade</w:t>
            </w:r>
          </w:p>
        </w:tc>
        <w:tc>
          <w:tcPr>
            <w:tcW w:w="668" w:type="pct"/>
            <w:tcBorders>
              <w:top w:val="nil"/>
              <w:left w:val="nil"/>
              <w:bottom w:val="nil"/>
              <w:right w:val="nil"/>
            </w:tcBorders>
            <w:shd w:val="clear" w:color="auto" w:fill="FFFFFF" w:themeFill="background1"/>
            <w:vAlign w:val="center"/>
          </w:tcPr>
          <w:p w14:paraId="1397D746" w14:textId="37B8B149"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w:t>
            </w:r>
          </w:p>
        </w:tc>
        <w:tc>
          <w:tcPr>
            <w:tcW w:w="631" w:type="pct"/>
            <w:tcBorders>
              <w:top w:val="nil"/>
              <w:left w:val="nil"/>
              <w:bottom w:val="nil"/>
              <w:right w:val="nil"/>
            </w:tcBorders>
            <w:shd w:val="clear" w:color="auto" w:fill="FFFFFF" w:themeFill="background1"/>
            <w:vAlign w:val="bottom"/>
          </w:tcPr>
          <w:p w14:paraId="432A6275" w14:textId="21855776"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-2.3</w:t>
            </w:r>
          </w:p>
        </w:tc>
        <w:tc>
          <w:tcPr>
            <w:tcW w:w="1212" w:type="pct"/>
            <w:tcBorders>
              <w:top w:val="nil"/>
              <w:left w:val="nil"/>
              <w:bottom w:val="nil"/>
              <w:right w:val="nil"/>
            </w:tcBorders>
            <w:shd w:val="clear" w:color="auto" w:fill="FFFFFF" w:themeFill="background1"/>
            <w:vAlign w:val="bottom"/>
          </w:tcPr>
          <w:p w14:paraId="4C100E07" w14:textId="27A6BC16"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-2.3</w:t>
            </w:r>
          </w:p>
        </w:tc>
      </w:tr>
      <w:tr w:rsidR="00140EBA" w:rsidRPr="00EA14C5" w14:paraId="4AB5C996" w14:textId="77777777" w:rsidTr="00140EBA">
        <w:trPr>
          <w:trHeight w:val="300"/>
        </w:trPr>
        <w:tc>
          <w:tcPr>
            <w:tcW w:w="2489" w:type="pct"/>
            <w:tcBorders>
              <w:top w:val="nil"/>
              <w:left w:val="nil"/>
              <w:bottom w:val="nil"/>
              <w:right w:val="nil"/>
            </w:tcBorders>
            <w:shd w:val="clear" w:color="auto" w:fill="FFFFFF"/>
            <w:vAlign w:val="center"/>
            <w:hideMark/>
          </w:tcPr>
          <w:p w14:paraId="0240442B"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Retail trade</w:t>
            </w:r>
          </w:p>
        </w:tc>
        <w:tc>
          <w:tcPr>
            <w:tcW w:w="668" w:type="pct"/>
            <w:tcBorders>
              <w:top w:val="nil"/>
              <w:left w:val="nil"/>
              <w:bottom w:val="nil"/>
              <w:right w:val="nil"/>
            </w:tcBorders>
            <w:shd w:val="clear" w:color="auto" w:fill="FFFFFF" w:themeFill="background1"/>
            <w:vAlign w:val="center"/>
          </w:tcPr>
          <w:p w14:paraId="7683D92B" w14:textId="504FB750"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-0.6</w:t>
            </w:r>
          </w:p>
        </w:tc>
        <w:tc>
          <w:tcPr>
            <w:tcW w:w="631" w:type="pct"/>
            <w:tcBorders>
              <w:top w:val="nil"/>
              <w:left w:val="nil"/>
              <w:bottom w:val="nil"/>
              <w:right w:val="nil"/>
            </w:tcBorders>
            <w:shd w:val="clear" w:color="auto" w:fill="FFFFFF" w:themeFill="background1"/>
            <w:vAlign w:val="bottom"/>
          </w:tcPr>
          <w:p w14:paraId="3B2F45A1" w14:textId="180935CB"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-0.5</w:t>
            </w:r>
          </w:p>
        </w:tc>
        <w:tc>
          <w:tcPr>
            <w:tcW w:w="1212" w:type="pct"/>
            <w:tcBorders>
              <w:top w:val="nil"/>
              <w:left w:val="nil"/>
              <w:bottom w:val="nil"/>
              <w:right w:val="nil"/>
            </w:tcBorders>
            <w:shd w:val="clear" w:color="auto" w:fill="FFFFFF" w:themeFill="background1"/>
            <w:vAlign w:val="bottom"/>
          </w:tcPr>
          <w:p w14:paraId="1F8EF766" w14:textId="1B1649F2"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0.1</w:t>
            </w:r>
          </w:p>
        </w:tc>
      </w:tr>
      <w:tr w:rsidR="00140EBA" w:rsidRPr="00EA14C5" w14:paraId="6913BA5D" w14:textId="77777777" w:rsidTr="00140EBA">
        <w:trPr>
          <w:trHeight w:val="300"/>
        </w:trPr>
        <w:tc>
          <w:tcPr>
            <w:tcW w:w="2489" w:type="pct"/>
            <w:tcBorders>
              <w:top w:val="nil"/>
              <w:left w:val="nil"/>
              <w:bottom w:val="nil"/>
              <w:right w:val="nil"/>
            </w:tcBorders>
            <w:shd w:val="clear" w:color="auto" w:fill="auto"/>
            <w:vAlign w:val="center"/>
            <w:hideMark/>
          </w:tcPr>
          <w:p w14:paraId="3B036EE9"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Accommodation and food services</w:t>
            </w:r>
          </w:p>
        </w:tc>
        <w:tc>
          <w:tcPr>
            <w:tcW w:w="668" w:type="pct"/>
            <w:tcBorders>
              <w:top w:val="nil"/>
              <w:left w:val="nil"/>
              <w:bottom w:val="nil"/>
              <w:right w:val="nil"/>
            </w:tcBorders>
            <w:shd w:val="clear" w:color="auto" w:fill="FFFFFF" w:themeFill="background1"/>
            <w:vAlign w:val="center"/>
          </w:tcPr>
          <w:p w14:paraId="0DC2BE4F" w14:textId="707DD3CA"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6</w:t>
            </w:r>
          </w:p>
        </w:tc>
        <w:tc>
          <w:tcPr>
            <w:tcW w:w="631" w:type="pct"/>
            <w:tcBorders>
              <w:top w:val="nil"/>
              <w:left w:val="nil"/>
              <w:bottom w:val="nil"/>
              <w:right w:val="nil"/>
            </w:tcBorders>
            <w:shd w:val="clear" w:color="auto" w:fill="FFFFFF" w:themeFill="background1"/>
            <w:vAlign w:val="bottom"/>
          </w:tcPr>
          <w:p w14:paraId="030B9221" w14:textId="09B3D35D"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9.7</w:t>
            </w:r>
          </w:p>
        </w:tc>
        <w:tc>
          <w:tcPr>
            <w:tcW w:w="1212" w:type="pct"/>
            <w:tcBorders>
              <w:top w:val="nil"/>
              <w:left w:val="nil"/>
              <w:bottom w:val="nil"/>
              <w:right w:val="nil"/>
            </w:tcBorders>
            <w:shd w:val="clear" w:color="auto" w:fill="FFFFFF" w:themeFill="background1"/>
            <w:vAlign w:val="bottom"/>
          </w:tcPr>
          <w:p w14:paraId="6DF19CA8" w14:textId="384682FC"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3.7</w:t>
            </w:r>
          </w:p>
        </w:tc>
      </w:tr>
      <w:tr w:rsidR="00140EBA" w:rsidRPr="00EA14C5" w14:paraId="095ABA62" w14:textId="77777777" w:rsidTr="00140EBA">
        <w:trPr>
          <w:trHeight w:val="300"/>
        </w:trPr>
        <w:tc>
          <w:tcPr>
            <w:tcW w:w="2489" w:type="pct"/>
            <w:tcBorders>
              <w:top w:val="nil"/>
              <w:left w:val="nil"/>
              <w:bottom w:val="nil"/>
              <w:right w:val="nil"/>
            </w:tcBorders>
            <w:shd w:val="clear" w:color="auto" w:fill="auto"/>
            <w:vAlign w:val="center"/>
            <w:hideMark/>
          </w:tcPr>
          <w:p w14:paraId="34E170C1"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Transport, postal and warehousing</w:t>
            </w:r>
          </w:p>
        </w:tc>
        <w:tc>
          <w:tcPr>
            <w:tcW w:w="668" w:type="pct"/>
            <w:tcBorders>
              <w:top w:val="nil"/>
              <w:left w:val="nil"/>
              <w:bottom w:val="nil"/>
              <w:right w:val="nil"/>
            </w:tcBorders>
            <w:shd w:val="clear" w:color="auto" w:fill="FFFFFF" w:themeFill="background1"/>
            <w:vAlign w:val="center"/>
          </w:tcPr>
          <w:p w14:paraId="47AF7654" w14:textId="3879814A"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0.6</w:t>
            </w:r>
          </w:p>
        </w:tc>
        <w:tc>
          <w:tcPr>
            <w:tcW w:w="631" w:type="pct"/>
            <w:tcBorders>
              <w:top w:val="nil"/>
              <w:left w:val="nil"/>
              <w:bottom w:val="nil"/>
              <w:right w:val="nil"/>
            </w:tcBorders>
            <w:shd w:val="clear" w:color="auto" w:fill="FFFFFF" w:themeFill="background1"/>
            <w:vAlign w:val="bottom"/>
          </w:tcPr>
          <w:p w14:paraId="315B42AB" w14:textId="47F0887A"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1.8</w:t>
            </w:r>
          </w:p>
        </w:tc>
        <w:tc>
          <w:tcPr>
            <w:tcW w:w="1212" w:type="pct"/>
            <w:tcBorders>
              <w:top w:val="nil"/>
              <w:left w:val="nil"/>
              <w:bottom w:val="nil"/>
              <w:right w:val="nil"/>
            </w:tcBorders>
            <w:shd w:val="clear" w:color="auto" w:fill="FFFFFF" w:themeFill="background1"/>
            <w:vAlign w:val="bottom"/>
          </w:tcPr>
          <w:p w14:paraId="15195EE9" w14:textId="1EED1ED5"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1.2</w:t>
            </w:r>
          </w:p>
        </w:tc>
      </w:tr>
      <w:tr w:rsidR="00140EBA" w:rsidRPr="00EA14C5" w14:paraId="04D4B9C3" w14:textId="77777777" w:rsidTr="00140EBA">
        <w:trPr>
          <w:trHeight w:val="300"/>
        </w:trPr>
        <w:tc>
          <w:tcPr>
            <w:tcW w:w="2489" w:type="pct"/>
            <w:tcBorders>
              <w:top w:val="nil"/>
              <w:left w:val="nil"/>
              <w:bottom w:val="nil"/>
              <w:right w:val="nil"/>
            </w:tcBorders>
            <w:shd w:val="clear" w:color="auto" w:fill="auto"/>
            <w:vAlign w:val="center"/>
          </w:tcPr>
          <w:p w14:paraId="78ACFBBE"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Information, media and telecommunications</w:t>
            </w:r>
          </w:p>
        </w:tc>
        <w:tc>
          <w:tcPr>
            <w:tcW w:w="668" w:type="pct"/>
            <w:tcBorders>
              <w:top w:val="nil"/>
              <w:left w:val="nil"/>
              <w:bottom w:val="nil"/>
              <w:right w:val="nil"/>
            </w:tcBorders>
            <w:shd w:val="clear" w:color="auto" w:fill="FFFFFF" w:themeFill="background1"/>
            <w:vAlign w:val="center"/>
          </w:tcPr>
          <w:p w14:paraId="1F42A66E" w14:textId="56B02E9F"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11.9</w:t>
            </w:r>
          </w:p>
        </w:tc>
        <w:tc>
          <w:tcPr>
            <w:tcW w:w="631" w:type="pct"/>
            <w:tcBorders>
              <w:top w:val="nil"/>
              <w:left w:val="nil"/>
              <w:bottom w:val="nil"/>
              <w:right w:val="nil"/>
            </w:tcBorders>
            <w:shd w:val="clear" w:color="auto" w:fill="FFFFFF" w:themeFill="background1"/>
            <w:vAlign w:val="bottom"/>
          </w:tcPr>
          <w:p w14:paraId="5AF78DEB" w14:textId="5EEA4B8B"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13.2</w:t>
            </w:r>
          </w:p>
        </w:tc>
        <w:tc>
          <w:tcPr>
            <w:tcW w:w="1212" w:type="pct"/>
            <w:tcBorders>
              <w:top w:val="nil"/>
              <w:left w:val="nil"/>
              <w:bottom w:val="nil"/>
              <w:right w:val="nil"/>
            </w:tcBorders>
            <w:shd w:val="clear" w:color="auto" w:fill="FFFFFF" w:themeFill="background1"/>
            <w:vAlign w:val="bottom"/>
          </w:tcPr>
          <w:p w14:paraId="660C66E8" w14:textId="6F23D85F"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1.3</w:t>
            </w:r>
          </w:p>
        </w:tc>
      </w:tr>
      <w:tr w:rsidR="00140EBA" w:rsidRPr="00EA14C5" w14:paraId="47B20C91" w14:textId="77777777" w:rsidTr="00140EBA">
        <w:trPr>
          <w:trHeight w:val="300"/>
        </w:trPr>
        <w:tc>
          <w:tcPr>
            <w:tcW w:w="2489" w:type="pct"/>
            <w:tcBorders>
              <w:top w:val="nil"/>
              <w:left w:val="nil"/>
              <w:bottom w:val="nil"/>
              <w:right w:val="nil"/>
            </w:tcBorders>
            <w:shd w:val="clear" w:color="auto" w:fill="auto"/>
            <w:vAlign w:val="center"/>
          </w:tcPr>
          <w:p w14:paraId="6FE71B65"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Financial and insurance services</w:t>
            </w:r>
          </w:p>
        </w:tc>
        <w:tc>
          <w:tcPr>
            <w:tcW w:w="668" w:type="pct"/>
            <w:tcBorders>
              <w:top w:val="nil"/>
              <w:left w:val="nil"/>
              <w:bottom w:val="nil"/>
              <w:right w:val="nil"/>
            </w:tcBorders>
            <w:shd w:val="clear" w:color="auto" w:fill="FFFFFF" w:themeFill="background1"/>
            <w:vAlign w:val="center"/>
          </w:tcPr>
          <w:p w14:paraId="1012DC51" w14:textId="5DC8C24C"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w:t>
            </w:r>
          </w:p>
        </w:tc>
        <w:tc>
          <w:tcPr>
            <w:tcW w:w="631" w:type="pct"/>
            <w:tcBorders>
              <w:top w:val="nil"/>
              <w:left w:val="nil"/>
              <w:bottom w:val="nil"/>
              <w:right w:val="nil"/>
            </w:tcBorders>
            <w:shd w:val="clear" w:color="auto" w:fill="FFFFFF" w:themeFill="background1"/>
            <w:vAlign w:val="bottom"/>
          </w:tcPr>
          <w:p w14:paraId="3E9AD52F" w14:textId="287D72C8"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-0.2</w:t>
            </w:r>
          </w:p>
        </w:tc>
        <w:tc>
          <w:tcPr>
            <w:tcW w:w="1212" w:type="pct"/>
            <w:tcBorders>
              <w:top w:val="nil"/>
              <w:left w:val="nil"/>
              <w:bottom w:val="nil"/>
              <w:right w:val="nil"/>
            </w:tcBorders>
            <w:shd w:val="clear" w:color="auto" w:fill="FFFFFF" w:themeFill="background1"/>
            <w:vAlign w:val="bottom"/>
          </w:tcPr>
          <w:p w14:paraId="54F14A09" w14:textId="471E8CDD"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0.8</w:t>
            </w:r>
          </w:p>
        </w:tc>
      </w:tr>
      <w:tr w:rsidR="00140EBA" w:rsidRPr="00EA14C5" w14:paraId="3C384498" w14:textId="77777777" w:rsidTr="00140EBA">
        <w:trPr>
          <w:trHeight w:val="300"/>
        </w:trPr>
        <w:tc>
          <w:tcPr>
            <w:tcW w:w="2489" w:type="pct"/>
            <w:tcBorders>
              <w:top w:val="nil"/>
              <w:left w:val="nil"/>
              <w:bottom w:val="nil"/>
              <w:right w:val="nil"/>
            </w:tcBorders>
            <w:shd w:val="clear" w:color="auto" w:fill="auto"/>
            <w:vAlign w:val="center"/>
          </w:tcPr>
          <w:p w14:paraId="1498F397"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Rental, hiring and real estate services</w:t>
            </w:r>
          </w:p>
        </w:tc>
        <w:tc>
          <w:tcPr>
            <w:tcW w:w="668" w:type="pct"/>
            <w:tcBorders>
              <w:top w:val="nil"/>
              <w:left w:val="nil"/>
              <w:bottom w:val="nil"/>
              <w:right w:val="nil"/>
            </w:tcBorders>
            <w:shd w:val="clear" w:color="auto" w:fill="FFFFFF" w:themeFill="background1"/>
            <w:vAlign w:val="center"/>
          </w:tcPr>
          <w:p w14:paraId="4AC5A453" w14:textId="286504D9"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4.8</w:t>
            </w:r>
          </w:p>
        </w:tc>
        <w:tc>
          <w:tcPr>
            <w:tcW w:w="631" w:type="pct"/>
            <w:tcBorders>
              <w:top w:val="nil"/>
              <w:left w:val="nil"/>
              <w:bottom w:val="nil"/>
              <w:right w:val="nil"/>
            </w:tcBorders>
            <w:shd w:val="clear" w:color="auto" w:fill="FFFFFF" w:themeFill="background1"/>
            <w:vAlign w:val="bottom"/>
          </w:tcPr>
          <w:p w14:paraId="1B3DCE09" w14:textId="7A2B0C92"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2.0</w:t>
            </w:r>
          </w:p>
        </w:tc>
        <w:tc>
          <w:tcPr>
            <w:tcW w:w="1212" w:type="pct"/>
            <w:tcBorders>
              <w:top w:val="nil"/>
              <w:left w:val="nil"/>
              <w:bottom w:val="nil"/>
              <w:right w:val="nil"/>
            </w:tcBorders>
            <w:shd w:val="clear" w:color="auto" w:fill="FFFFFF" w:themeFill="background1"/>
            <w:vAlign w:val="bottom"/>
          </w:tcPr>
          <w:p w14:paraId="2D15E67E" w14:textId="4D17F687"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-2.8</w:t>
            </w:r>
          </w:p>
        </w:tc>
      </w:tr>
      <w:tr w:rsidR="00140EBA" w:rsidRPr="00EA14C5" w14:paraId="6679E49E" w14:textId="77777777" w:rsidTr="00140EBA">
        <w:trPr>
          <w:trHeight w:val="300"/>
        </w:trPr>
        <w:tc>
          <w:tcPr>
            <w:tcW w:w="2489" w:type="pct"/>
            <w:tcBorders>
              <w:top w:val="nil"/>
              <w:left w:val="nil"/>
              <w:bottom w:val="nil"/>
              <w:right w:val="nil"/>
            </w:tcBorders>
            <w:shd w:val="clear" w:color="auto" w:fill="auto"/>
            <w:vAlign w:val="center"/>
          </w:tcPr>
          <w:p w14:paraId="55AC465F"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Professional, scientific and technical services</w:t>
            </w:r>
          </w:p>
        </w:tc>
        <w:tc>
          <w:tcPr>
            <w:tcW w:w="668" w:type="pct"/>
            <w:tcBorders>
              <w:top w:val="nil"/>
              <w:left w:val="nil"/>
              <w:bottom w:val="nil"/>
              <w:right w:val="nil"/>
            </w:tcBorders>
            <w:shd w:val="clear" w:color="auto" w:fill="FFFFFF" w:themeFill="background1"/>
            <w:vAlign w:val="center"/>
          </w:tcPr>
          <w:p w14:paraId="4D148B78" w14:textId="2128FED2"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-2.7</w:t>
            </w:r>
          </w:p>
        </w:tc>
        <w:tc>
          <w:tcPr>
            <w:tcW w:w="631" w:type="pct"/>
            <w:tcBorders>
              <w:top w:val="nil"/>
              <w:left w:val="nil"/>
              <w:bottom w:val="nil"/>
              <w:right w:val="nil"/>
            </w:tcBorders>
            <w:shd w:val="clear" w:color="auto" w:fill="FFFFFF" w:themeFill="background1"/>
            <w:vAlign w:val="bottom"/>
          </w:tcPr>
          <w:p w14:paraId="28375615" w14:textId="5852D21B"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-2.7</w:t>
            </w:r>
          </w:p>
        </w:tc>
        <w:tc>
          <w:tcPr>
            <w:tcW w:w="1212" w:type="pct"/>
            <w:tcBorders>
              <w:top w:val="nil"/>
              <w:left w:val="nil"/>
              <w:bottom w:val="nil"/>
              <w:right w:val="nil"/>
            </w:tcBorders>
            <w:shd w:val="clear" w:color="auto" w:fill="FFFFFF" w:themeFill="background1"/>
            <w:vAlign w:val="bottom"/>
          </w:tcPr>
          <w:p w14:paraId="6DEE3526" w14:textId="1F9116E2"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0.0</w:t>
            </w:r>
          </w:p>
        </w:tc>
      </w:tr>
      <w:tr w:rsidR="00140EBA" w:rsidRPr="00EA14C5" w14:paraId="0E91C2EB" w14:textId="77777777" w:rsidTr="00140EBA">
        <w:trPr>
          <w:trHeight w:val="300"/>
        </w:trPr>
        <w:tc>
          <w:tcPr>
            <w:tcW w:w="2489" w:type="pct"/>
            <w:tcBorders>
              <w:top w:val="nil"/>
              <w:left w:val="nil"/>
              <w:bottom w:val="nil"/>
              <w:right w:val="nil"/>
            </w:tcBorders>
            <w:shd w:val="clear" w:color="auto" w:fill="auto"/>
            <w:vAlign w:val="center"/>
          </w:tcPr>
          <w:p w14:paraId="6D447E4D"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Administrative and support services</w:t>
            </w:r>
          </w:p>
        </w:tc>
        <w:tc>
          <w:tcPr>
            <w:tcW w:w="668" w:type="pct"/>
            <w:tcBorders>
              <w:top w:val="nil"/>
              <w:left w:val="nil"/>
              <w:bottom w:val="nil"/>
              <w:right w:val="nil"/>
            </w:tcBorders>
            <w:shd w:val="clear" w:color="auto" w:fill="FFFFFF" w:themeFill="background1"/>
            <w:vAlign w:val="center"/>
          </w:tcPr>
          <w:p w14:paraId="77AE484E" w14:textId="3659DFD1"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-3</w:t>
            </w:r>
          </w:p>
        </w:tc>
        <w:tc>
          <w:tcPr>
            <w:tcW w:w="631" w:type="pct"/>
            <w:tcBorders>
              <w:top w:val="nil"/>
              <w:left w:val="nil"/>
              <w:bottom w:val="nil"/>
              <w:right w:val="nil"/>
            </w:tcBorders>
            <w:shd w:val="clear" w:color="auto" w:fill="FFFFFF" w:themeFill="background1"/>
            <w:vAlign w:val="bottom"/>
          </w:tcPr>
          <w:p w14:paraId="7418CDBF" w14:textId="6D07C6B0"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-1.6</w:t>
            </w:r>
          </w:p>
        </w:tc>
        <w:tc>
          <w:tcPr>
            <w:tcW w:w="1212" w:type="pct"/>
            <w:tcBorders>
              <w:top w:val="nil"/>
              <w:left w:val="nil"/>
              <w:bottom w:val="nil"/>
              <w:right w:val="nil"/>
            </w:tcBorders>
            <w:shd w:val="clear" w:color="auto" w:fill="FFFFFF" w:themeFill="background1"/>
            <w:vAlign w:val="bottom"/>
          </w:tcPr>
          <w:p w14:paraId="769A0A80" w14:textId="5F8A339F"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1.4</w:t>
            </w:r>
          </w:p>
        </w:tc>
      </w:tr>
      <w:tr w:rsidR="00140EBA" w:rsidRPr="00EA14C5" w14:paraId="7B171C3A" w14:textId="77777777" w:rsidTr="00140EBA">
        <w:trPr>
          <w:trHeight w:val="300"/>
        </w:trPr>
        <w:tc>
          <w:tcPr>
            <w:tcW w:w="2489" w:type="pct"/>
            <w:tcBorders>
              <w:top w:val="nil"/>
              <w:left w:val="nil"/>
              <w:bottom w:val="nil"/>
              <w:right w:val="nil"/>
            </w:tcBorders>
            <w:shd w:val="clear" w:color="auto" w:fill="auto"/>
            <w:vAlign w:val="center"/>
          </w:tcPr>
          <w:p w14:paraId="08EF72F0"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Public administration and safety</w:t>
            </w:r>
          </w:p>
        </w:tc>
        <w:tc>
          <w:tcPr>
            <w:tcW w:w="668" w:type="pct"/>
            <w:tcBorders>
              <w:top w:val="nil"/>
              <w:left w:val="nil"/>
              <w:bottom w:val="nil"/>
              <w:right w:val="nil"/>
            </w:tcBorders>
            <w:shd w:val="clear" w:color="auto" w:fill="FFFFFF" w:themeFill="background1"/>
            <w:vAlign w:val="center"/>
          </w:tcPr>
          <w:p w14:paraId="65191230" w14:textId="03954F5E"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-1.1</w:t>
            </w:r>
          </w:p>
        </w:tc>
        <w:tc>
          <w:tcPr>
            <w:tcW w:w="631" w:type="pct"/>
            <w:tcBorders>
              <w:top w:val="nil"/>
              <w:left w:val="nil"/>
              <w:bottom w:val="nil"/>
              <w:right w:val="nil"/>
            </w:tcBorders>
            <w:shd w:val="clear" w:color="auto" w:fill="FFFFFF" w:themeFill="background1"/>
            <w:vAlign w:val="bottom"/>
          </w:tcPr>
          <w:p w14:paraId="0DDBB3B3" w14:textId="6B4F2BC4"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-1.8</w:t>
            </w:r>
          </w:p>
        </w:tc>
        <w:tc>
          <w:tcPr>
            <w:tcW w:w="1212" w:type="pct"/>
            <w:tcBorders>
              <w:top w:val="nil"/>
              <w:left w:val="nil"/>
              <w:bottom w:val="nil"/>
              <w:right w:val="nil"/>
            </w:tcBorders>
            <w:shd w:val="clear" w:color="auto" w:fill="FFFFFF" w:themeFill="background1"/>
            <w:vAlign w:val="bottom"/>
          </w:tcPr>
          <w:p w14:paraId="4089A1F5" w14:textId="0C7FCDBC"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-0.7</w:t>
            </w:r>
          </w:p>
        </w:tc>
      </w:tr>
      <w:tr w:rsidR="00140EBA" w:rsidRPr="00EA14C5" w14:paraId="53F9346A" w14:textId="77777777" w:rsidTr="00140EBA">
        <w:trPr>
          <w:trHeight w:val="300"/>
        </w:trPr>
        <w:tc>
          <w:tcPr>
            <w:tcW w:w="2489" w:type="pct"/>
            <w:tcBorders>
              <w:top w:val="nil"/>
              <w:left w:val="nil"/>
              <w:bottom w:val="nil"/>
              <w:right w:val="nil"/>
            </w:tcBorders>
            <w:shd w:val="clear" w:color="auto" w:fill="auto"/>
            <w:vAlign w:val="center"/>
          </w:tcPr>
          <w:p w14:paraId="40A2D04F" w14:textId="77777777" w:rsidR="00140EBA" w:rsidRPr="00EA14C5" w:rsidRDefault="00140EBA" w:rsidP="00EA14C5">
            <w:pPr>
              <w:pStyle w:val="TableBody"/>
              <w:ind w:right="57"/>
              <w:rPr>
                <w:rFonts w:ascii="Arial" w:hAnsi="Arial" w:cs="Arial"/>
                <w:szCs w:val="18"/>
              </w:rPr>
            </w:pPr>
            <w:r w:rsidRPr="00EA14C5">
              <w:rPr>
                <w:rFonts w:ascii="Arial" w:hAnsi="Arial" w:cs="Arial"/>
                <w:szCs w:val="18"/>
              </w:rPr>
              <w:t>Education and training</w:t>
            </w:r>
          </w:p>
        </w:tc>
        <w:tc>
          <w:tcPr>
            <w:tcW w:w="668" w:type="pct"/>
            <w:tcBorders>
              <w:top w:val="nil"/>
              <w:left w:val="nil"/>
              <w:bottom w:val="nil"/>
              <w:right w:val="nil"/>
            </w:tcBorders>
            <w:shd w:val="clear" w:color="auto" w:fill="FFFFFF" w:themeFill="background1"/>
            <w:vAlign w:val="center"/>
          </w:tcPr>
          <w:p w14:paraId="411E4EA0" w14:textId="2A71F736"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2.8</w:t>
            </w:r>
          </w:p>
        </w:tc>
        <w:tc>
          <w:tcPr>
            <w:tcW w:w="631" w:type="pct"/>
            <w:tcBorders>
              <w:top w:val="nil"/>
              <w:left w:val="nil"/>
              <w:bottom w:val="nil"/>
              <w:right w:val="nil"/>
            </w:tcBorders>
            <w:shd w:val="clear" w:color="auto" w:fill="FFFFFF" w:themeFill="background1"/>
            <w:vAlign w:val="bottom"/>
          </w:tcPr>
          <w:p w14:paraId="42BB277E" w14:textId="4BDD471E"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4.1</w:t>
            </w:r>
          </w:p>
        </w:tc>
        <w:tc>
          <w:tcPr>
            <w:tcW w:w="1212" w:type="pct"/>
            <w:tcBorders>
              <w:top w:val="nil"/>
              <w:left w:val="nil"/>
              <w:bottom w:val="nil"/>
              <w:right w:val="nil"/>
            </w:tcBorders>
            <w:shd w:val="clear" w:color="auto" w:fill="FFFFFF" w:themeFill="background1"/>
            <w:vAlign w:val="bottom"/>
          </w:tcPr>
          <w:p w14:paraId="20E6DEAC" w14:textId="6B09D731"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1.3</w:t>
            </w:r>
          </w:p>
        </w:tc>
      </w:tr>
      <w:tr w:rsidR="00140EBA" w:rsidRPr="00EA14C5" w14:paraId="72BB6D26" w14:textId="77777777" w:rsidTr="00140EBA">
        <w:trPr>
          <w:trHeight w:val="300"/>
        </w:trPr>
        <w:tc>
          <w:tcPr>
            <w:tcW w:w="2489" w:type="pct"/>
            <w:tcBorders>
              <w:top w:val="nil"/>
              <w:left w:val="nil"/>
              <w:bottom w:val="nil"/>
              <w:right w:val="nil"/>
            </w:tcBorders>
            <w:shd w:val="clear" w:color="auto" w:fill="auto"/>
            <w:vAlign w:val="center"/>
          </w:tcPr>
          <w:p w14:paraId="1A5CAEBC" w14:textId="77777777" w:rsidR="00140EBA" w:rsidRPr="00EA14C5" w:rsidRDefault="00140EBA" w:rsidP="00EA14C5">
            <w:pPr>
              <w:pStyle w:val="TableBody"/>
              <w:ind w:right="57"/>
              <w:rPr>
                <w:rFonts w:ascii="Arial" w:hAnsi="Arial" w:cs="Arial"/>
                <w:szCs w:val="18"/>
              </w:rPr>
            </w:pPr>
            <w:r w:rsidRPr="00EA14C5">
              <w:rPr>
                <w:rFonts w:ascii="Arial" w:hAnsi="Arial" w:cs="Arial"/>
                <w:szCs w:val="18"/>
              </w:rPr>
              <w:t>Health care and social assistance</w:t>
            </w:r>
          </w:p>
        </w:tc>
        <w:tc>
          <w:tcPr>
            <w:tcW w:w="668" w:type="pct"/>
            <w:tcBorders>
              <w:top w:val="nil"/>
              <w:left w:val="nil"/>
              <w:bottom w:val="nil"/>
              <w:right w:val="nil"/>
            </w:tcBorders>
            <w:shd w:val="clear" w:color="auto" w:fill="FFFFFF" w:themeFill="background1"/>
            <w:vAlign w:val="center"/>
          </w:tcPr>
          <w:p w14:paraId="70A82F2C" w14:textId="2B60B3C9"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-0.4</w:t>
            </w:r>
          </w:p>
        </w:tc>
        <w:tc>
          <w:tcPr>
            <w:tcW w:w="631" w:type="pct"/>
            <w:tcBorders>
              <w:top w:val="nil"/>
              <w:left w:val="nil"/>
              <w:bottom w:val="nil"/>
              <w:right w:val="nil"/>
            </w:tcBorders>
            <w:shd w:val="clear" w:color="auto" w:fill="FFFFFF" w:themeFill="background1"/>
            <w:vAlign w:val="bottom"/>
          </w:tcPr>
          <w:p w14:paraId="7F2692C2" w14:textId="57941049"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-1.0</w:t>
            </w:r>
          </w:p>
        </w:tc>
        <w:tc>
          <w:tcPr>
            <w:tcW w:w="1212" w:type="pct"/>
            <w:tcBorders>
              <w:top w:val="nil"/>
              <w:left w:val="nil"/>
              <w:bottom w:val="nil"/>
              <w:right w:val="nil"/>
            </w:tcBorders>
            <w:shd w:val="clear" w:color="auto" w:fill="FFFFFF" w:themeFill="background1"/>
            <w:vAlign w:val="bottom"/>
          </w:tcPr>
          <w:p w14:paraId="05D90C59" w14:textId="0174A2F0"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-0.6</w:t>
            </w:r>
          </w:p>
        </w:tc>
      </w:tr>
      <w:tr w:rsidR="00140EBA" w:rsidRPr="00EA14C5" w14:paraId="2C7A9637" w14:textId="77777777" w:rsidTr="00140EBA">
        <w:trPr>
          <w:trHeight w:val="300"/>
        </w:trPr>
        <w:tc>
          <w:tcPr>
            <w:tcW w:w="2489" w:type="pct"/>
            <w:tcBorders>
              <w:top w:val="nil"/>
              <w:left w:val="nil"/>
              <w:bottom w:val="nil"/>
              <w:right w:val="nil"/>
            </w:tcBorders>
            <w:shd w:val="clear" w:color="auto" w:fill="auto"/>
            <w:vAlign w:val="center"/>
          </w:tcPr>
          <w:p w14:paraId="1B573B33" w14:textId="77777777" w:rsidR="00140EBA" w:rsidRPr="00EA14C5" w:rsidRDefault="00140EBA" w:rsidP="00EA14C5">
            <w:pPr>
              <w:pStyle w:val="TableBody"/>
              <w:ind w:right="57"/>
              <w:rPr>
                <w:rFonts w:ascii="Arial" w:hAnsi="Arial" w:cs="Arial"/>
                <w:szCs w:val="18"/>
              </w:rPr>
            </w:pPr>
            <w:r w:rsidRPr="00EA14C5">
              <w:rPr>
                <w:rFonts w:ascii="Arial" w:hAnsi="Arial" w:cs="Arial"/>
                <w:szCs w:val="18"/>
              </w:rPr>
              <w:t>Arts and recreation services</w:t>
            </w:r>
          </w:p>
        </w:tc>
        <w:tc>
          <w:tcPr>
            <w:tcW w:w="668" w:type="pct"/>
            <w:tcBorders>
              <w:top w:val="nil"/>
              <w:left w:val="nil"/>
              <w:bottom w:val="nil"/>
              <w:right w:val="nil"/>
            </w:tcBorders>
            <w:shd w:val="clear" w:color="auto" w:fill="FFFFFF" w:themeFill="background1"/>
            <w:vAlign w:val="center"/>
          </w:tcPr>
          <w:p w14:paraId="7C86D8AF" w14:textId="530F4180"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0.4</w:t>
            </w:r>
          </w:p>
        </w:tc>
        <w:tc>
          <w:tcPr>
            <w:tcW w:w="631" w:type="pct"/>
            <w:tcBorders>
              <w:top w:val="nil"/>
              <w:left w:val="nil"/>
              <w:bottom w:val="nil"/>
              <w:right w:val="nil"/>
            </w:tcBorders>
            <w:shd w:val="clear" w:color="auto" w:fill="FFFFFF" w:themeFill="background1"/>
            <w:vAlign w:val="bottom"/>
          </w:tcPr>
          <w:p w14:paraId="5C33A483" w14:textId="2FEF4BC3"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443B2801" w14:textId="77D2AF1B"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0.4</w:t>
            </w:r>
          </w:p>
        </w:tc>
      </w:tr>
      <w:tr w:rsidR="00140EBA" w:rsidRPr="00EA14C5" w14:paraId="30DD1CA7" w14:textId="77777777" w:rsidTr="00140EBA">
        <w:trPr>
          <w:trHeight w:val="300"/>
        </w:trPr>
        <w:tc>
          <w:tcPr>
            <w:tcW w:w="2489" w:type="pct"/>
            <w:tcBorders>
              <w:top w:val="nil"/>
              <w:left w:val="nil"/>
              <w:bottom w:val="single" w:sz="4" w:space="0" w:color="BFBFBF" w:themeColor="background1" w:themeShade="BF"/>
              <w:right w:val="nil"/>
            </w:tcBorders>
            <w:shd w:val="clear" w:color="auto" w:fill="auto"/>
            <w:vAlign w:val="center"/>
          </w:tcPr>
          <w:p w14:paraId="75E18C60" w14:textId="77777777" w:rsidR="00140EBA" w:rsidRPr="00EA14C5" w:rsidRDefault="00140EBA" w:rsidP="00EA14C5">
            <w:pPr>
              <w:pStyle w:val="TableBody"/>
              <w:ind w:right="57"/>
              <w:rPr>
                <w:rFonts w:ascii="Arial" w:eastAsia="Times New Roman" w:hAnsi="Arial" w:cs="Arial"/>
                <w:szCs w:val="18"/>
                <w:lang w:eastAsia="en-AU"/>
              </w:rPr>
            </w:pPr>
            <w:r w:rsidRPr="00EA14C5">
              <w:rPr>
                <w:rFonts w:ascii="Arial" w:hAnsi="Arial" w:cs="Arial"/>
                <w:szCs w:val="18"/>
              </w:rPr>
              <w:t>Other services</w:t>
            </w:r>
          </w:p>
        </w:tc>
        <w:tc>
          <w:tcPr>
            <w:tcW w:w="668" w:type="pct"/>
            <w:tcBorders>
              <w:top w:val="nil"/>
              <w:left w:val="nil"/>
              <w:bottom w:val="nil"/>
              <w:right w:val="nil"/>
            </w:tcBorders>
            <w:shd w:val="clear" w:color="auto" w:fill="FFFFFF" w:themeFill="background1"/>
            <w:vAlign w:val="center"/>
          </w:tcPr>
          <w:p w14:paraId="68D33B41" w14:textId="2A2BF640"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1.7</w:t>
            </w:r>
          </w:p>
        </w:tc>
        <w:tc>
          <w:tcPr>
            <w:tcW w:w="631" w:type="pct"/>
            <w:tcBorders>
              <w:top w:val="nil"/>
              <w:left w:val="nil"/>
              <w:bottom w:val="nil"/>
              <w:right w:val="nil"/>
            </w:tcBorders>
            <w:shd w:val="clear" w:color="auto" w:fill="FFFFFF" w:themeFill="background1"/>
            <w:vAlign w:val="bottom"/>
          </w:tcPr>
          <w:p w14:paraId="0A951A89" w14:textId="5F98B420"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1.3</w:t>
            </w:r>
          </w:p>
        </w:tc>
        <w:tc>
          <w:tcPr>
            <w:tcW w:w="1212" w:type="pct"/>
            <w:tcBorders>
              <w:top w:val="nil"/>
              <w:left w:val="nil"/>
              <w:bottom w:val="nil"/>
              <w:right w:val="nil"/>
            </w:tcBorders>
            <w:shd w:val="clear" w:color="auto" w:fill="FFFFFF" w:themeFill="background1"/>
            <w:vAlign w:val="bottom"/>
          </w:tcPr>
          <w:p w14:paraId="1527BF28" w14:textId="27BAA14D" w:rsidR="00140EBA" w:rsidRPr="00EA14C5" w:rsidRDefault="00140EBA" w:rsidP="00EA14C5">
            <w:pPr>
              <w:pStyle w:val="TableBody"/>
              <w:ind w:right="57"/>
              <w:jc w:val="right"/>
              <w:rPr>
                <w:rFonts w:ascii="Arial" w:hAnsi="Arial" w:cs="Arial"/>
                <w:szCs w:val="18"/>
              </w:rPr>
            </w:pPr>
            <w:r w:rsidRPr="00EA14C5">
              <w:rPr>
                <w:rFonts w:ascii="Arial" w:hAnsi="Arial" w:cs="Arial"/>
                <w:color w:val="000000"/>
                <w:szCs w:val="18"/>
              </w:rPr>
              <w:t>-0.4</w:t>
            </w:r>
          </w:p>
        </w:tc>
      </w:tr>
    </w:tbl>
    <w:p w14:paraId="2DA0F235" w14:textId="13FE0AAF" w:rsidR="0036415B" w:rsidRDefault="0036415B" w:rsidP="0036415B">
      <w:pPr>
        <w:pStyle w:val="Source"/>
      </w:pPr>
      <w:r w:rsidRPr="00696447">
        <w:t>Source</w:t>
      </w:r>
      <w:r w:rsidR="00DD64C9">
        <w:t>s</w:t>
      </w:r>
      <w:r w:rsidRPr="00696447">
        <w:t xml:space="preserve">: </w:t>
      </w:r>
      <w:r>
        <w:t xml:space="preserve">Commission estimates based on </w:t>
      </w:r>
      <w:r w:rsidR="00091BF0">
        <w:t xml:space="preserve">ABS (2024, </w:t>
      </w:r>
      <w:r w:rsidR="00091BF0" w:rsidRPr="00EE6BEF">
        <w:rPr>
          <w:i/>
          <w:iCs/>
        </w:rPr>
        <w:t>Australian National Accounts: National Income, Expenditure and Product</w:t>
      </w:r>
      <w:r w:rsidR="00091BF0">
        <w:t xml:space="preserve">, </w:t>
      </w:r>
      <w:r w:rsidR="00D43D0F">
        <w:t>March</w:t>
      </w:r>
      <w:r w:rsidR="00091BF0">
        <w:t xml:space="preserve"> 202</w:t>
      </w:r>
      <w:r w:rsidR="00D43D0F">
        <w:t>4</w:t>
      </w:r>
      <w:r w:rsidR="00091BF0">
        <w:t xml:space="preserve">, Cat. no.5206.0, table 6); </w:t>
      </w:r>
      <w:r w:rsidR="00A248BC" w:rsidRPr="00283F82">
        <w:rPr>
          <w:spacing w:val="-6"/>
        </w:rPr>
        <w:t>ABS (202</w:t>
      </w:r>
      <w:r w:rsidR="00A248BC">
        <w:rPr>
          <w:spacing w:val="-6"/>
        </w:rPr>
        <w:t>4</w:t>
      </w:r>
      <w:r w:rsidR="00A248BC" w:rsidRPr="00283F82">
        <w:rPr>
          <w:spacing w:val="-6"/>
        </w:rPr>
        <w:t xml:space="preserve">, </w:t>
      </w:r>
      <w:r w:rsidR="00A248BC" w:rsidRPr="00283F82">
        <w:rPr>
          <w:i/>
          <w:iCs/>
          <w:spacing w:val="-6"/>
        </w:rPr>
        <w:t>Labour Account Australia</w:t>
      </w:r>
      <w:r w:rsidR="00A248BC" w:rsidRPr="00283F82">
        <w:rPr>
          <w:spacing w:val="-6"/>
        </w:rPr>
        <w:t xml:space="preserve">, </w:t>
      </w:r>
      <w:r w:rsidR="00D43D0F">
        <w:t>March</w:t>
      </w:r>
      <w:r w:rsidR="00A248BC">
        <w:t xml:space="preserve"> </w:t>
      </w:r>
      <w:r w:rsidR="00A248BC" w:rsidRPr="00283F82">
        <w:rPr>
          <w:spacing w:val="-6"/>
        </w:rPr>
        <w:t>202</w:t>
      </w:r>
      <w:r w:rsidR="00D43D0F">
        <w:rPr>
          <w:spacing w:val="-6"/>
        </w:rPr>
        <w:t>4</w:t>
      </w:r>
      <w:r w:rsidR="00A248BC" w:rsidRPr="00283F82">
        <w:rPr>
          <w:spacing w:val="-6"/>
        </w:rPr>
        <w:t xml:space="preserve">, </w:t>
      </w:r>
      <w:r w:rsidR="008F6C4A" w:rsidRPr="004C5C6D">
        <w:t xml:space="preserve">Cat. No. </w:t>
      </w:r>
      <w:r w:rsidR="008F6C4A" w:rsidRPr="00D84F43">
        <w:t>6150.0.55.003</w:t>
      </w:r>
      <w:r w:rsidR="008F6C4A">
        <w:t>,</w:t>
      </w:r>
      <w:r w:rsidR="008F6C4A" w:rsidRPr="0053714B">
        <w:t xml:space="preserve"> </w:t>
      </w:r>
      <w:r w:rsidR="00A248BC" w:rsidRPr="00283F82">
        <w:rPr>
          <w:spacing w:val="-6"/>
        </w:rPr>
        <w:t>industry summary table)</w:t>
      </w:r>
      <w:r w:rsidR="00A248BC">
        <w:rPr>
          <w:spacing w:val="-6"/>
        </w:rPr>
        <w:t xml:space="preserve">; </w:t>
      </w:r>
      <w:r w:rsidR="00091BF0">
        <w:t>ABS (202</w:t>
      </w:r>
      <w:r w:rsidR="00D43D0F">
        <w:t>4</w:t>
      </w:r>
      <w:r w:rsidR="00091BF0">
        <w:t xml:space="preserve">, </w:t>
      </w:r>
      <w:r w:rsidR="00091BF0" w:rsidRPr="00053793">
        <w:rPr>
          <w:i/>
          <w:iCs/>
        </w:rPr>
        <w:t>Australian National Accounts: National Income, Expenditure and Product</w:t>
      </w:r>
      <w:r w:rsidR="00091BF0">
        <w:t xml:space="preserve">, </w:t>
      </w:r>
      <w:r w:rsidR="00D43D0F">
        <w:t>December</w:t>
      </w:r>
      <w:r w:rsidR="00091BF0">
        <w:t xml:space="preserve"> 2023, Cat. no.5206.0, table 6)</w:t>
      </w:r>
      <w:r w:rsidR="00192AC7">
        <w:t>;</w:t>
      </w:r>
      <w:r w:rsidR="00091BF0">
        <w:t xml:space="preserve"> and ABS (202</w:t>
      </w:r>
      <w:r w:rsidR="00D43D0F">
        <w:t>4</w:t>
      </w:r>
      <w:r w:rsidR="00091BF0">
        <w:t xml:space="preserve">, </w:t>
      </w:r>
      <w:r w:rsidR="00091BF0" w:rsidRPr="00053793">
        <w:rPr>
          <w:i/>
          <w:iCs/>
        </w:rPr>
        <w:t>Labour Account Australia</w:t>
      </w:r>
      <w:r w:rsidR="00091BF0">
        <w:t xml:space="preserve">, </w:t>
      </w:r>
      <w:r w:rsidR="00D43D0F">
        <w:t>December</w:t>
      </w:r>
      <w:r w:rsidR="00091BF0">
        <w:t xml:space="preserve"> 2023, </w:t>
      </w:r>
      <w:r w:rsidR="00136EFF" w:rsidRPr="004C5C6D">
        <w:t xml:space="preserve">Cat. No. </w:t>
      </w:r>
      <w:r w:rsidR="00136EFF" w:rsidRPr="00D84F43">
        <w:t>6150.0.55.003</w:t>
      </w:r>
      <w:r w:rsidR="00136EFF">
        <w:t>,</w:t>
      </w:r>
      <w:r w:rsidR="00136EFF" w:rsidRPr="0053714B">
        <w:t xml:space="preserve"> </w:t>
      </w:r>
      <w:r w:rsidR="00091BF0">
        <w:t>industry summary table).</w:t>
      </w:r>
    </w:p>
    <w:p w14:paraId="2E19966B" w14:textId="77777777" w:rsidR="0036415B" w:rsidRDefault="0036415B" w:rsidP="003A58FE">
      <w:pPr>
        <w:pStyle w:val="Source"/>
      </w:pPr>
    </w:p>
    <w:sectPr w:rsidR="0036415B" w:rsidSect="0010616D">
      <w:headerReference w:type="even" r:id="rId14"/>
      <w:headerReference w:type="default" r:id="rId15"/>
      <w:footerReference w:type="even" r:id="rId16"/>
      <w:footerReference w:type="default" r:id="rId1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E0CC6" w14:textId="77777777" w:rsidR="00A1199D" w:rsidRDefault="00A1199D" w:rsidP="008017BC">
      <w:r>
        <w:separator/>
      </w:r>
    </w:p>
    <w:p w14:paraId="2C5CE61E" w14:textId="77777777" w:rsidR="00A1199D" w:rsidRDefault="00A1199D"/>
  </w:endnote>
  <w:endnote w:type="continuationSeparator" w:id="0">
    <w:p w14:paraId="045F3F36" w14:textId="77777777" w:rsidR="00A1199D" w:rsidRDefault="00A1199D" w:rsidP="008017BC">
      <w:r>
        <w:continuationSeparator/>
      </w:r>
    </w:p>
    <w:p w14:paraId="5508B836" w14:textId="77777777" w:rsidR="00A1199D" w:rsidRDefault="00A1199D"/>
  </w:endnote>
  <w:endnote w:type="continuationNotice" w:id="1">
    <w:p w14:paraId="08A91740" w14:textId="77777777" w:rsidR="00A1199D" w:rsidRDefault="00A119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62EF" w14:textId="77777777" w:rsidR="00A1199D" w:rsidRPr="00C238D1" w:rsidRDefault="00A1199D" w:rsidP="00273E86">
      <w:pPr>
        <w:spacing w:after="0" w:line="240" w:lineRule="auto"/>
        <w:rPr>
          <w:rStyle w:val="ColourDarkBlue"/>
        </w:rPr>
      </w:pPr>
      <w:r w:rsidRPr="00C238D1">
        <w:rPr>
          <w:rStyle w:val="ColourDarkBlue"/>
        </w:rPr>
        <w:continuationSeparator/>
      </w:r>
    </w:p>
  </w:footnote>
  <w:footnote w:type="continuationSeparator" w:id="0">
    <w:p w14:paraId="387577AC" w14:textId="77777777" w:rsidR="00A1199D" w:rsidRPr="001D7D9B" w:rsidRDefault="00A1199D" w:rsidP="001D7D9B">
      <w:pPr>
        <w:spacing w:after="0" w:line="240" w:lineRule="auto"/>
        <w:rPr>
          <w:color w:val="265A9A" w:themeColor="background2"/>
        </w:rPr>
      </w:pPr>
      <w:r w:rsidRPr="00C238D1">
        <w:rPr>
          <w:rStyle w:val="ColourDarkBlue"/>
        </w:rPr>
        <w:continuationSeparator/>
      </w:r>
    </w:p>
  </w:footnote>
  <w:footnote w:type="continuationNotice" w:id="1">
    <w:p w14:paraId="07562F17" w14:textId="77777777" w:rsidR="00A1199D" w:rsidRDefault="00A1199D"/>
  </w:footnote>
  <w:footnote w:id="2">
    <w:p w14:paraId="3AC5E612" w14:textId="313B42C6" w:rsidR="005570A1" w:rsidRDefault="005570A1" w:rsidP="0047537D">
      <w:pPr>
        <w:pStyle w:val="BodyText"/>
        <w:spacing w:before="0" w:after="0"/>
      </w:pPr>
      <w:r w:rsidRPr="002E438C">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2E438C">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B01B" w14:textId="53866560"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B75" w14:textId="12C51E85" w:rsidR="00F173EF" w:rsidRDefault="00D62992" w:rsidP="00F173EF">
    <w:pPr>
      <w:pStyle w:val="Header-KeylineRight"/>
    </w:pPr>
    <w:r>
      <w:t xml:space="preserve">Quarterly </w:t>
    </w:r>
    <w:r w:rsidR="00133DAF">
      <w:t>p</w:t>
    </w:r>
    <w:r>
      <w:t xml:space="preserve">roductivity </w:t>
    </w:r>
    <w:r w:rsidR="00133DAF">
      <w:t>b</w:t>
    </w:r>
    <w:r>
      <w:t>ulletin</w:t>
    </w:r>
    <w:r w:rsidR="00F71E8D">
      <w:t xml:space="preserve"> </w:t>
    </w:r>
    <w:r w:rsidR="000C65F3">
      <w:t>–</w:t>
    </w:r>
    <w:r w:rsidR="00F60BCA">
      <w:t xml:space="preserve"> </w:t>
    </w:r>
    <w:r w:rsidR="00DD50E2">
      <w:t>June</w:t>
    </w:r>
    <w:r w:rsidR="00C34FF4">
      <w:t xml:space="preserve"> 2024</w:t>
    </w:r>
    <w:r w:rsidR="002161C7">
      <w:t>: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103C6"/>
    <w:rsid w:val="000107B5"/>
    <w:rsid w:val="00011C77"/>
    <w:rsid w:val="00013483"/>
    <w:rsid w:val="00013897"/>
    <w:rsid w:val="00014BAB"/>
    <w:rsid w:val="00015036"/>
    <w:rsid w:val="00022510"/>
    <w:rsid w:val="00026A75"/>
    <w:rsid w:val="00026C04"/>
    <w:rsid w:val="000276DE"/>
    <w:rsid w:val="000300AF"/>
    <w:rsid w:val="000331E4"/>
    <w:rsid w:val="0003338D"/>
    <w:rsid w:val="00033619"/>
    <w:rsid w:val="00034E75"/>
    <w:rsid w:val="00047894"/>
    <w:rsid w:val="0005092A"/>
    <w:rsid w:val="0005151B"/>
    <w:rsid w:val="000518CF"/>
    <w:rsid w:val="00053793"/>
    <w:rsid w:val="00054C95"/>
    <w:rsid w:val="000561CF"/>
    <w:rsid w:val="0005748D"/>
    <w:rsid w:val="0005774F"/>
    <w:rsid w:val="00062A44"/>
    <w:rsid w:val="000724AE"/>
    <w:rsid w:val="00072C59"/>
    <w:rsid w:val="0007776A"/>
    <w:rsid w:val="00077A76"/>
    <w:rsid w:val="00077F0F"/>
    <w:rsid w:val="0008037D"/>
    <w:rsid w:val="000822EB"/>
    <w:rsid w:val="00084660"/>
    <w:rsid w:val="00085FB9"/>
    <w:rsid w:val="00091286"/>
    <w:rsid w:val="00091461"/>
    <w:rsid w:val="00091BF0"/>
    <w:rsid w:val="00094209"/>
    <w:rsid w:val="000A0F08"/>
    <w:rsid w:val="000A2BB4"/>
    <w:rsid w:val="000A38AA"/>
    <w:rsid w:val="000A3ED2"/>
    <w:rsid w:val="000A5963"/>
    <w:rsid w:val="000A67E5"/>
    <w:rsid w:val="000A6DC3"/>
    <w:rsid w:val="000B4799"/>
    <w:rsid w:val="000B497F"/>
    <w:rsid w:val="000B4A72"/>
    <w:rsid w:val="000B5105"/>
    <w:rsid w:val="000B689B"/>
    <w:rsid w:val="000C55F1"/>
    <w:rsid w:val="000C5B96"/>
    <w:rsid w:val="000C65F3"/>
    <w:rsid w:val="000C6B77"/>
    <w:rsid w:val="000D0488"/>
    <w:rsid w:val="000D09F3"/>
    <w:rsid w:val="000D0BF8"/>
    <w:rsid w:val="000D39D4"/>
    <w:rsid w:val="000D4DCB"/>
    <w:rsid w:val="000E0E8C"/>
    <w:rsid w:val="000E12C6"/>
    <w:rsid w:val="000E4113"/>
    <w:rsid w:val="000E43B0"/>
    <w:rsid w:val="000F02A8"/>
    <w:rsid w:val="000F1530"/>
    <w:rsid w:val="000F3292"/>
    <w:rsid w:val="000F3E90"/>
    <w:rsid w:val="000F4488"/>
    <w:rsid w:val="000F6571"/>
    <w:rsid w:val="00100FAB"/>
    <w:rsid w:val="001020F3"/>
    <w:rsid w:val="0010359B"/>
    <w:rsid w:val="00104BA9"/>
    <w:rsid w:val="0010616D"/>
    <w:rsid w:val="0011217E"/>
    <w:rsid w:val="00112E8F"/>
    <w:rsid w:val="00120792"/>
    <w:rsid w:val="00121686"/>
    <w:rsid w:val="001268BC"/>
    <w:rsid w:val="001268F8"/>
    <w:rsid w:val="00133DAF"/>
    <w:rsid w:val="00133E2A"/>
    <w:rsid w:val="001347D8"/>
    <w:rsid w:val="00136B34"/>
    <w:rsid w:val="00136E6E"/>
    <w:rsid w:val="00136EFF"/>
    <w:rsid w:val="0013722E"/>
    <w:rsid w:val="00137FAB"/>
    <w:rsid w:val="00140EBA"/>
    <w:rsid w:val="00144AC6"/>
    <w:rsid w:val="001470C9"/>
    <w:rsid w:val="00151B71"/>
    <w:rsid w:val="00154952"/>
    <w:rsid w:val="00154E0D"/>
    <w:rsid w:val="001576DD"/>
    <w:rsid w:val="001600A5"/>
    <w:rsid w:val="001600E9"/>
    <w:rsid w:val="00160FEC"/>
    <w:rsid w:val="001610E5"/>
    <w:rsid w:val="00161BC8"/>
    <w:rsid w:val="00164DF7"/>
    <w:rsid w:val="001714F3"/>
    <w:rsid w:val="0017289F"/>
    <w:rsid w:val="00180629"/>
    <w:rsid w:val="00182A32"/>
    <w:rsid w:val="0018421E"/>
    <w:rsid w:val="001860FD"/>
    <w:rsid w:val="00187F05"/>
    <w:rsid w:val="00192AC7"/>
    <w:rsid w:val="001957BF"/>
    <w:rsid w:val="00197506"/>
    <w:rsid w:val="001A0D77"/>
    <w:rsid w:val="001A109C"/>
    <w:rsid w:val="001A196A"/>
    <w:rsid w:val="001A1D95"/>
    <w:rsid w:val="001A2565"/>
    <w:rsid w:val="001A37A2"/>
    <w:rsid w:val="001A6218"/>
    <w:rsid w:val="001A67F7"/>
    <w:rsid w:val="001A6FEC"/>
    <w:rsid w:val="001A7CE7"/>
    <w:rsid w:val="001B1762"/>
    <w:rsid w:val="001B17AC"/>
    <w:rsid w:val="001B588D"/>
    <w:rsid w:val="001B7CC8"/>
    <w:rsid w:val="001C2040"/>
    <w:rsid w:val="001C61AB"/>
    <w:rsid w:val="001C6D57"/>
    <w:rsid w:val="001C6F71"/>
    <w:rsid w:val="001C7835"/>
    <w:rsid w:val="001D1056"/>
    <w:rsid w:val="001D4050"/>
    <w:rsid w:val="001D7D9B"/>
    <w:rsid w:val="001E20F1"/>
    <w:rsid w:val="001E242A"/>
    <w:rsid w:val="001E27E7"/>
    <w:rsid w:val="001F13C1"/>
    <w:rsid w:val="001F15E0"/>
    <w:rsid w:val="001F1E9A"/>
    <w:rsid w:val="001F34E6"/>
    <w:rsid w:val="001F446D"/>
    <w:rsid w:val="001F5A03"/>
    <w:rsid w:val="001F6B0A"/>
    <w:rsid w:val="00201320"/>
    <w:rsid w:val="0020204A"/>
    <w:rsid w:val="00206E12"/>
    <w:rsid w:val="00210C18"/>
    <w:rsid w:val="002112EC"/>
    <w:rsid w:val="00211CA2"/>
    <w:rsid w:val="002161C7"/>
    <w:rsid w:val="00217F8A"/>
    <w:rsid w:val="00221800"/>
    <w:rsid w:val="00221AB7"/>
    <w:rsid w:val="00222DE3"/>
    <w:rsid w:val="00227712"/>
    <w:rsid w:val="00227F3D"/>
    <w:rsid w:val="00243331"/>
    <w:rsid w:val="002441AB"/>
    <w:rsid w:val="00244EE7"/>
    <w:rsid w:val="002457DE"/>
    <w:rsid w:val="00246435"/>
    <w:rsid w:val="00246BCF"/>
    <w:rsid w:val="00247A35"/>
    <w:rsid w:val="0025120C"/>
    <w:rsid w:val="00251245"/>
    <w:rsid w:val="00251A3F"/>
    <w:rsid w:val="00251CA2"/>
    <w:rsid w:val="002601BB"/>
    <w:rsid w:val="00265918"/>
    <w:rsid w:val="00270834"/>
    <w:rsid w:val="00273024"/>
    <w:rsid w:val="00273E86"/>
    <w:rsid w:val="002814E6"/>
    <w:rsid w:val="00281A54"/>
    <w:rsid w:val="00282AE5"/>
    <w:rsid w:val="00283F82"/>
    <w:rsid w:val="00287114"/>
    <w:rsid w:val="002936B4"/>
    <w:rsid w:val="00294485"/>
    <w:rsid w:val="002951E6"/>
    <w:rsid w:val="00295330"/>
    <w:rsid w:val="002959EF"/>
    <w:rsid w:val="002A21D4"/>
    <w:rsid w:val="002A4975"/>
    <w:rsid w:val="002A766B"/>
    <w:rsid w:val="002B0577"/>
    <w:rsid w:val="002B1FF4"/>
    <w:rsid w:val="002B3591"/>
    <w:rsid w:val="002C29F6"/>
    <w:rsid w:val="002C4C2B"/>
    <w:rsid w:val="002C797E"/>
    <w:rsid w:val="002D214B"/>
    <w:rsid w:val="002D2C55"/>
    <w:rsid w:val="002D3B14"/>
    <w:rsid w:val="002D50CB"/>
    <w:rsid w:val="002D6B1D"/>
    <w:rsid w:val="002E3F19"/>
    <w:rsid w:val="002E438C"/>
    <w:rsid w:val="002E4FC1"/>
    <w:rsid w:val="002E51D2"/>
    <w:rsid w:val="002E7A0E"/>
    <w:rsid w:val="002E7EFA"/>
    <w:rsid w:val="002F4C33"/>
    <w:rsid w:val="002F6386"/>
    <w:rsid w:val="002F7FDB"/>
    <w:rsid w:val="00303704"/>
    <w:rsid w:val="00304D3C"/>
    <w:rsid w:val="00305171"/>
    <w:rsid w:val="00306579"/>
    <w:rsid w:val="00310BA3"/>
    <w:rsid w:val="00313022"/>
    <w:rsid w:val="003158CB"/>
    <w:rsid w:val="00323400"/>
    <w:rsid w:val="00325C05"/>
    <w:rsid w:val="00326890"/>
    <w:rsid w:val="00326A36"/>
    <w:rsid w:val="003307D4"/>
    <w:rsid w:val="00330F21"/>
    <w:rsid w:val="00332304"/>
    <w:rsid w:val="003333E7"/>
    <w:rsid w:val="00334782"/>
    <w:rsid w:val="00336ECB"/>
    <w:rsid w:val="00341176"/>
    <w:rsid w:val="00345D45"/>
    <w:rsid w:val="0034680A"/>
    <w:rsid w:val="00354696"/>
    <w:rsid w:val="0035519A"/>
    <w:rsid w:val="00357A85"/>
    <w:rsid w:val="0036059A"/>
    <w:rsid w:val="00363FF8"/>
    <w:rsid w:val="003640E1"/>
    <w:rsid w:val="0036415B"/>
    <w:rsid w:val="00366B28"/>
    <w:rsid w:val="00366B2C"/>
    <w:rsid w:val="00374CCE"/>
    <w:rsid w:val="0037584B"/>
    <w:rsid w:val="00376491"/>
    <w:rsid w:val="0037721D"/>
    <w:rsid w:val="0038048C"/>
    <w:rsid w:val="0038102A"/>
    <w:rsid w:val="003833B4"/>
    <w:rsid w:val="0038695A"/>
    <w:rsid w:val="00387D5E"/>
    <w:rsid w:val="00390DEA"/>
    <w:rsid w:val="00391097"/>
    <w:rsid w:val="00395D7C"/>
    <w:rsid w:val="003961E5"/>
    <w:rsid w:val="003A58FE"/>
    <w:rsid w:val="003A6516"/>
    <w:rsid w:val="003A66FC"/>
    <w:rsid w:val="003A743E"/>
    <w:rsid w:val="003A7ADE"/>
    <w:rsid w:val="003B29FC"/>
    <w:rsid w:val="003B2A34"/>
    <w:rsid w:val="003B3897"/>
    <w:rsid w:val="003B65BA"/>
    <w:rsid w:val="003B6E2C"/>
    <w:rsid w:val="003B7DB1"/>
    <w:rsid w:val="003C011D"/>
    <w:rsid w:val="003C01D4"/>
    <w:rsid w:val="003C2CC3"/>
    <w:rsid w:val="003C69BF"/>
    <w:rsid w:val="003D09EE"/>
    <w:rsid w:val="003D1C57"/>
    <w:rsid w:val="003D23A3"/>
    <w:rsid w:val="003D4E05"/>
    <w:rsid w:val="003D51A2"/>
    <w:rsid w:val="003D5856"/>
    <w:rsid w:val="003E6055"/>
    <w:rsid w:val="003E6417"/>
    <w:rsid w:val="003E69C4"/>
    <w:rsid w:val="003F1485"/>
    <w:rsid w:val="003F3F19"/>
    <w:rsid w:val="003F42EA"/>
    <w:rsid w:val="003F6F1A"/>
    <w:rsid w:val="0040060F"/>
    <w:rsid w:val="00404E4F"/>
    <w:rsid w:val="004064F7"/>
    <w:rsid w:val="004148DE"/>
    <w:rsid w:val="00415A0E"/>
    <w:rsid w:val="00420F0E"/>
    <w:rsid w:val="0042339A"/>
    <w:rsid w:val="00423B15"/>
    <w:rsid w:val="00424CB8"/>
    <w:rsid w:val="0042508F"/>
    <w:rsid w:val="0043326D"/>
    <w:rsid w:val="0043361A"/>
    <w:rsid w:val="00434C3E"/>
    <w:rsid w:val="00437351"/>
    <w:rsid w:val="004379C2"/>
    <w:rsid w:val="004400E8"/>
    <w:rsid w:val="004431E7"/>
    <w:rsid w:val="004455A4"/>
    <w:rsid w:val="00450C80"/>
    <w:rsid w:val="00450DFF"/>
    <w:rsid w:val="00451033"/>
    <w:rsid w:val="004544D6"/>
    <w:rsid w:val="004569EE"/>
    <w:rsid w:val="00460E35"/>
    <w:rsid w:val="00461CE9"/>
    <w:rsid w:val="00462407"/>
    <w:rsid w:val="004631DD"/>
    <w:rsid w:val="004635FD"/>
    <w:rsid w:val="004638A0"/>
    <w:rsid w:val="00466CBA"/>
    <w:rsid w:val="0046707E"/>
    <w:rsid w:val="00470129"/>
    <w:rsid w:val="004728A0"/>
    <w:rsid w:val="0047298F"/>
    <w:rsid w:val="004738B0"/>
    <w:rsid w:val="004742DD"/>
    <w:rsid w:val="00475231"/>
    <w:rsid w:val="00475252"/>
    <w:rsid w:val="0047537D"/>
    <w:rsid w:val="00481F3E"/>
    <w:rsid w:val="00484E96"/>
    <w:rsid w:val="00496700"/>
    <w:rsid w:val="004A26C7"/>
    <w:rsid w:val="004A2FB8"/>
    <w:rsid w:val="004A3EDC"/>
    <w:rsid w:val="004A5586"/>
    <w:rsid w:val="004A5A16"/>
    <w:rsid w:val="004A6F92"/>
    <w:rsid w:val="004B1531"/>
    <w:rsid w:val="004B51F3"/>
    <w:rsid w:val="004B5789"/>
    <w:rsid w:val="004B609E"/>
    <w:rsid w:val="004B63EC"/>
    <w:rsid w:val="004C07A2"/>
    <w:rsid w:val="004C07D1"/>
    <w:rsid w:val="004C33A1"/>
    <w:rsid w:val="004C34D2"/>
    <w:rsid w:val="004C4823"/>
    <w:rsid w:val="004D5211"/>
    <w:rsid w:val="004E1233"/>
    <w:rsid w:val="004E28C6"/>
    <w:rsid w:val="004E52CC"/>
    <w:rsid w:val="004E6DD5"/>
    <w:rsid w:val="004E6DE1"/>
    <w:rsid w:val="004F10E0"/>
    <w:rsid w:val="004F138F"/>
    <w:rsid w:val="004F1BCF"/>
    <w:rsid w:val="004F2D0A"/>
    <w:rsid w:val="004F420C"/>
    <w:rsid w:val="00500123"/>
    <w:rsid w:val="00500B67"/>
    <w:rsid w:val="0050670B"/>
    <w:rsid w:val="00507E07"/>
    <w:rsid w:val="0051085C"/>
    <w:rsid w:val="00511B29"/>
    <w:rsid w:val="005124ED"/>
    <w:rsid w:val="00512887"/>
    <w:rsid w:val="005141E8"/>
    <w:rsid w:val="005155E1"/>
    <w:rsid w:val="00516A89"/>
    <w:rsid w:val="00517257"/>
    <w:rsid w:val="00520438"/>
    <w:rsid w:val="00522965"/>
    <w:rsid w:val="005262B5"/>
    <w:rsid w:val="00527A18"/>
    <w:rsid w:val="005342E6"/>
    <w:rsid w:val="005343B2"/>
    <w:rsid w:val="005351DD"/>
    <w:rsid w:val="00535D87"/>
    <w:rsid w:val="00536740"/>
    <w:rsid w:val="00536F1C"/>
    <w:rsid w:val="00540B70"/>
    <w:rsid w:val="005410C5"/>
    <w:rsid w:val="00543F66"/>
    <w:rsid w:val="00546BA3"/>
    <w:rsid w:val="005503C7"/>
    <w:rsid w:val="00550C99"/>
    <w:rsid w:val="005523EE"/>
    <w:rsid w:val="00553413"/>
    <w:rsid w:val="00555AB2"/>
    <w:rsid w:val="005563E7"/>
    <w:rsid w:val="005570A1"/>
    <w:rsid w:val="00561129"/>
    <w:rsid w:val="00562410"/>
    <w:rsid w:val="00562730"/>
    <w:rsid w:val="00562865"/>
    <w:rsid w:val="00564370"/>
    <w:rsid w:val="00571371"/>
    <w:rsid w:val="00571C54"/>
    <w:rsid w:val="0057514B"/>
    <w:rsid w:val="005754AB"/>
    <w:rsid w:val="005777EA"/>
    <w:rsid w:val="005800E3"/>
    <w:rsid w:val="005826F4"/>
    <w:rsid w:val="0058369E"/>
    <w:rsid w:val="00583C4C"/>
    <w:rsid w:val="00584161"/>
    <w:rsid w:val="00585395"/>
    <w:rsid w:val="00590D09"/>
    <w:rsid w:val="0059156A"/>
    <w:rsid w:val="00593314"/>
    <w:rsid w:val="0059368E"/>
    <w:rsid w:val="00593BF5"/>
    <w:rsid w:val="00594496"/>
    <w:rsid w:val="005956D3"/>
    <w:rsid w:val="00596365"/>
    <w:rsid w:val="005965BC"/>
    <w:rsid w:val="005967FB"/>
    <w:rsid w:val="005975B6"/>
    <w:rsid w:val="005A35F6"/>
    <w:rsid w:val="005A3631"/>
    <w:rsid w:val="005A7E78"/>
    <w:rsid w:val="005B03ED"/>
    <w:rsid w:val="005B0D67"/>
    <w:rsid w:val="005B1776"/>
    <w:rsid w:val="005B1BA3"/>
    <w:rsid w:val="005B32FB"/>
    <w:rsid w:val="005B3589"/>
    <w:rsid w:val="005B7FE4"/>
    <w:rsid w:val="005C05E0"/>
    <w:rsid w:val="005C37E0"/>
    <w:rsid w:val="005C54B9"/>
    <w:rsid w:val="005C5A1C"/>
    <w:rsid w:val="005C6618"/>
    <w:rsid w:val="005C76FF"/>
    <w:rsid w:val="005D0189"/>
    <w:rsid w:val="005D509F"/>
    <w:rsid w:val="005D5813"/>
    <w:rsid w:val="005D6B66"/>
    <w:rsid w:val="005E4470"/>
    <w:rsid w:val="005E557E"/>
    <w:rsid w:val="005E5794"/>
    <w:rsid w:val="005E600C"/>
    <w:rsid w:val="005E651A"/>
    <w:rsid w:val="005F0EA9"/>
    <w:rsid w:val="005F1A87"/>
    <w:rsid w:val="006004DB"/>
    <w:rsid w:val="00600570"/>
    <w:rsid w:val="0060143F"/>
    <w:rsid w:val="006016F0"/>
    <w:rsid w:val="00602DD7"/>
    <w:rsid w:val="00603FD5"/>
    <w:rsid w:val="00606D75"/>
    <w:rsid w:val="0060792B"/>
    <w:rsid w:val="00607F03"/>
    <w:rsid w:val="00610627"/>
    <w:rsid w:val="006109B6"/>
    <w:rsid w:val="00610F6C"/>
    <w:rsid w:val="0061377E"/>
    <w:rsid w:val="00616DC8"/>
    <w:rsid w:val="00620548"/>
    <w:rsid w:val="006206D7"/>
    <w:rsid w:val="00621057"/>
    <w:rsid w:val="00624074"/>
    <w:rsid w:val="00624B90"/>
    <w:rsid w:val="00626D80"/>
    <w:rsid w:val="00627A70"/>
    <w:rsid w:val="006309CF"/>
    <w:rsid w:val="00630F02"/>
    <w:rsid w:val="00633041"/>
    <w:rsid w:val="00633ACE"/>
    <w:rsid w:val="006475BD"/>
    <w:rsid w:val="006527FF"/>
    <w:rsid w:val="0065409F"/>
    <w:rsid w:val="0065619E"/>
    <w:rsid w:val="00656A8A"/>
    <w:rsid w:val="00657CC6"/>
    <w:rsid w:val="00662209"/>
    <w:rsid w:val="006674AA"/>
    <w:rsid w:val="00670D33"/>
    <w:rsid w:val="00676D2C"/>
    <w:rsid w:val="00681434"/>
    <w:rsid w:val="006828D4"/>
    <w:rsid w:val="0068516A"/>
    <w:rsid w:val="0068724F"/>
    <w:rsid w:val="0068736B"/>
    <w:rsid w:val="0069522D"/>
    <w:rsid w:val="006A0D76"/>
    <w:rsid w:val="006A1DEF"/>
    <w:rsid w:val="006A3CEA"/>
    <w:rsid w:val="006A45B8"/>
    <w:rsid w:val="006A5E00"/>
    <w:rsid w:val="006A7069"/>
    <w:rsid w:val="006B016F"/>
    <w:rsid w:val="006B30DF"/>
    <w:rsid w:val="006C3551"/>
    <w:rsid w:val="006C36CC"/>
    <w:rsid w:val="006C36D5"/>
    <w:rsid w:val="006C4AF4"/>
    <w:rsid w:val="006C4B34"/>
    <w:rsid w:val="006C4C82"/>
    <w:rsid w:val="006C56B7"/>
    <w:rsid w:val="006C736D"/>
    <w:rsid w:val="006D095B"/>
    <w:rsid w:val="006D0E37"/>
    <w:rsid w:val="006D0F84"/>
    <w:rsid w:val="006D3F2F"/>
    <w:rsid w:val="006D4F09"/>
    <w:rsid w:val="006D5F4F"/>
    <w:rsid w:val="006E218A"/>
    <w:rsid w:val="006E3536"/>
    <w:rsid w:val="006E4659"/>
    <w:rsid w:val="00701100"/>
    <w:rsid w:val="0070203F"/>
    <w:rsid w:val="00706988"/>
    <w:rsid w:val="007124F1"/>
    <w:rsid w:val="00713A1E"/>
    <w:rsid w:val="00714488"/>
    <w:rsid w:val="007158C6"/>
    <w:rsid w:val="00717597"/>
    <w:rsid w:val="00720507"/>
    <w:rsid w:val="007215EF"/>
    <w:rsid w:val="00723956"/>
    <w:rsid w:val="007301C9"/>
    <w:rsid w:val="007347F1"/>
    <w:rsid w:val="007352B6"/>
    <w:rsid w:val="007359B1"/>
    <w:rsid w:val="007373A5"/>
    <w:rsid w:val="007373F6"/>
    <w:rsid w:val="00737702"/>
    <w:rsid w:val="00740804"/>
    <w:rsid w:val="00740933"/>
    <w:rsid w:val="0074294A"/>
    <w:rsid w:val="00742F0D"/>
    <w:rsid w:val="00743548"/>
    <w:rsid w:val="00744120"/>
    <w:rsid w:val="0075386F"/>
    <w:rsid w:val="007557D7"/>
    <w:rsid w:val="00760005"/>
    <w:rsid w:val="00760304"/>
    <w:rsid w:val="00760E1B"/>
    <w:rsid w:val="00761991"/>
    <w:rsid w:val="00762F69"/>
    <w:rsid w:val="00764EF3"/>
    <w:rsid w:val="00764FE1"/>
    <w:rsid w:val="007669DE"/>
    <w:rsid w:val="00767EAE"/>
    <w:rsid w:val="00770DB0"/>
    <w:rsid w:val="007734AB"/>
    <w:rsid w:val="00775165"/>
    <w:rsid w:val="00781141"/>
    <w:rsid w:val="0078123E"/>
    <w:rsid w:val="00783706"/>
    <w:rsid w:val="00784A5B"/>
    <w:rsid w:val="007850E9"/>
    <w:rsid w:val="0078533C"/>
    <w:rsid w:val="00786AA0"/>
    <w:rsid w:val="00791314"/>
    <w:rsid w:val="00796C18"/>
    <w:rsid w:val="007A0363"/>
    <w:rsid w:val="007A5A5B"/>
    <w:rsid w:val="007B3F5B"/>
    <w:rsid w:val="007C3475"/>
    <w:rsid w:val="007C475F"/>
    <w:rsid w:val="007C5D6F"/>
    <w:rsid w:val="007D1569"/>
    <w:rsid w:val="007D25EB"/>
    <w:rsid w:val="007E1A38"/>
    <w:rsid w:val="007E6044"/>
    <w:rsid w:val="008012FE"/>
    <w:rsid w:val="008017BC"/>
    <w:rsid w:val="00801CF3"/>
    <w:rsid w:val="0080322B"/>
    <w:rsid w:val="008035C3"/>
    <w:rsid w:val="00803F26"/>
    <w:rsid w:val="00804B8B"/>
    <w:rsid w:val="00806F63"/>
    <w:rsid w:val="00807F06"/>
    <w:rsid w:val="00811196"/>
    <w:rsid w:val="0081533C"/>
    <w:rsid w:val="008161D7"/>
    <w:rsid w:val="00820661"/>
    <w:rsid w:val="0082287E"/>
    <w:rsid w:val="0082437F"/>
    <w:rsid w:val="0082517A"/>
    <w:rsid w:val="00827325"/>
    <w:rsid w:val="00830D37"/>
    <w:rsid w:val="00833C4E"/>
    <w:rsid w:val="0083428E"/>
    <w:rsid w:val="008345D0"/>
    <w:rsid w:val="00836262"/>
    <w:rsid w:val="00836E3A"/>
    <w:rsid w:val="00837210"/>
    <w:rsid w:val="0084238D"/>
    <w:rsid w:val="008423EB"/>
    <w:rsid w:val="008437DD"/>
    <w:rsid w:val="008472B8"/>
    <w:rsid w:val="00851065"/>
    <w:rsid w:val="008529A2"/>
    <w:rsid w:val="00852AD0"/>
    <w:rsid w:val="0085439B"/>
    <w:rsid w:val="008579B4"/>
    <w:rsid w:val="00863295"/>
    <w:rsid w:val="00865AD1"/>
    <w:rsid w:val="00867F35"/>
    <w:rsid w:val="008708AA"/>
    <w:rsid w:val="00870E58"/>
    <w:rsid w:val="00871A6C"/>
    <w:rsid w:val="00872A6F"/>
    <w:rsid w:val="00875CCB"/>
    <w:rsid w:val="00877969"/>
    <w:rsid w:val="00881820"/>
    <w:rsid w:val="00881D94"/>
    <w:rsid w:val="008833F3"/>
    <w:rsid w:val="00886890"/>
    <w:rsid w:val="00892756"/>
    <w:rsid w:val="00897793"/>
    <w:rsid w:val="008A1632"/>
    <w:rsid w:val="008A3A67"/>
    <w:rsid w:val="008A5A2A"/>
    <w:rsid w:val="008A6F83"/>
    <w:rsid w:val="008B05C3"/>
    <w:rsid w:val="008B0BE7"/>
    <w:rsid w:val="008B1057"/>
    <w:rsid w:val="008B2881"/>
    <w:rsid w:val="008B4965"/>
    <w:rsid w:val="008B78B1"/>
    <w:rsid w:val="008C1CCF"/>
    <w:rsid w:val="008C2771"/>
    <w:rsid w:val="008C6691"/>
    <w:rsid w:val="008D06AA"/>
    <w:rsid w:val="008D19FD"/>
    <w:rsid w:val="008D1ABD"/>
    <w:rsid w:val="008D38E2"/>
    <w:rsid w:val="008D3A0D"/>
    <w:rsid w:val="008D5344"/>
    <w:rsid w:val="008D75ED"/>
    <w:rsid w:val="008D7D89"/>
    <w:rsid w:val="008E206D"/>
    <w:rsid w:val="008E25D6"/>
    <w:rsid w:val="008E35B1"/>
    <w:rsid w:val="008E7BD4"/>
    <w:rsid w:val="008F0A95"/>
    <w:rsid w:val="008F567D"/>
    <w:rsid w:val="008F6291"/>
    <w:rsid w:val="008F6884"/>
    <w:rsid w:val="008F6C4A"/>
    <w:rsid w:val="008F6F1A"/>
    <w:rsid w:val="008F7897"/>
    <w:rsid w:val="008F7ECC"/>
    <w:rsid w:val="009008C6"/>
    <w:rsid w:val="0090137A"/>
    <w:rsid w:val="00903370"/>
    <w:rsid w:val="0091262D"/>
    <w:rsid w:val="00912DD9"/>
    <w:rsid w:val="0091349A"/>
    <w:rsid w:val="00914399"/>
    <w:rsid w:val="0091530C"/>
    <w:rsid w:val="009158BF"/>
    <w:rsid w:val="009165BA"/>
    <w:rsid w:val="00917578"/>
    <w:rsid w:val="00933DBC"/>
    <w:rsid w:val="00933E08"/>
    <w:rsid w:val="009342FC"/>
    <w:rsid w:val="00934DF9"/>
    <w:rsid w:val="00936068"/>
    <w:rsid w:val="00943806"/>
    <w:rsid w:val="0094423B"/>
    <w:rsid w:val="00946351"/>
    <w:rsid w:val="00947B90"/>
    <w:rsid w:val="009517CC"/>
    <w:rsid w:val="00954438"/>
    <w:rsid w:val="009567EA"/>
    <w:rsid w:val="00957FF8"/>
    <w:rsid w:val="00960E15"/>
    <w:rsid w:val="009615D4"/>
    <w:rsid w:val="00962905"/>
    <w:rsid w:val="00970A20"/>
    <w:rsid w:val="0097163D"/>
    <w:rsid w:val="009721F8"/>
    <w:rsid w:val="00974677"/>
    <w:rsid w:val="00976023"/>
    <w:rsid w:val="00980461"/>
    <w:rsid w:val="00983A70"/>
    <w:rsid w:val="00984718"/>
    <w:rsid w:val="009864AF"/>
    <w:rsid w:val="009901F4"/>
    <w:rsid w:val="0099172E"/>
    <w:rsid w:val="00993445"/>
    <w:rsid w:val="009969C3"/>
    <w:rsid w:val="009A0B78"/>
    <w:rsid w:val="009A0FB8"/>
    <w:rsid w:val="009A2F17"/>
    <w:rsid w:val="009A3C2B"/>
    <w:rsid w:val="009C59AE"/>
    <w:rsid w:val="009C5F11"/>
    <w:rsid w:val="009C6075"/>
    <w:rsid w:val="009C755C"/>
    <w:rsid w:val="009D24F5"/>
    <w:rsid w:val="009D3726"/>
    <w:rsid w:val="009D6E6B"/>
    <w:rsid w:val="009D7EDF"/>
    <w:rsid w:val="009E19A3"/>
    <w:rsid w:val="009E2BF5"/>
    <w:rsid w:val="009E4DC0"/>
    <w:rsid w:val="009E61A8"/>
    <w:rsid w:val="009E7A44"/>
    <w:rsid w:val="009F7189"/>
    <w:rsid w:val="00A017BA"/>
    <w:rsid w:val="00A0757A"/>
    <w:rsid w:val="00A1199D"/>
    <w:rsid w:val="00A11F15"/>
    <w:rsid w:val="00A128B7"/>
    <w:rsid w:val="00A13664"/>
    <w:rsid w:val="00A15E51"/>
    <w:rsid w:val="00A17C10"/>
    <w:rsid w:val="00A248BC"/>
    <w:rsid w:val="00A416AD"/>
    <w:rsid w:val="00A471AE"/>
    <w:rsid w:val="00A50CD9"/>
    <w:rsid w:val="00A51374"/>
    <w:rsid w:val="00A52C0C"/>
    <w:rsid w:val="00A54D95"/>
    <w:rsid w:val="00A54E53"/>
    <w:rsid w:val="00A5529A"/>
    <w:rsid w:val="00A5703F"/>
    <w:rsid w:val="00A65DCB"/>
    <w:rsid w:val="00A667C7"/>
    <w:rsid w:val="00A668D5"/>
    <w:rsid w:val="00A75DCB"/>
    <w:rsid w:val="00A8183A"/>
    <w:rsid w:val="00A8364A"/>
    <w:rsid w:val="00A846C7"/>
    <w:rsid w:val="00A85A0B"/>
    <w:rsid w:val="00A86051"/>
    <w:rsid w:val="00A8625F"/>
    <w:rsid w:val="00A86D11"/>
    <w:rsid w:val="00A87275"/>
    <w:rsid w:val="00A87AB4"/>
    <w:rsid w:val="00A90151"/>
    <w:rsid w:val="00A90256"/>
    <w:rsid w:val="00A91551"/>
    <w:rsid w:val="00A91728"/>
    <w:rsid w:val="00A9359B"/>
    <w:rsid w:val="00A93FC2"/>
    <w:rsid w:val="00A9545C"/>
    <w:rsid w:val="00A970A6"/>
    <w:rsid w:val="00AA0AF4"/>
    <w:rsid w:val="00AA163B"/>
    <w:rsid w:val="00AA1BE2"/>
    <w:rsid w:val="00AA3569"/>
    <w:rsid w:val="00AA6097"/>
    <w:rsid w:val="00AA7F9E"/>
    <w:rsid w:val="00AB10F4"/>
    <w:rsid w:val="00AB2D17"/>
    <w:rsid w:val="00AB34AD"/>
    <w:rsid w:val="00AB46E2"/>
    <w:rsid w:val="00AB6228"/>
    <w:rsid w:val="00AB62CD"/>
    <w:rsid w:val="00AC24BC"/>
    <w:rsid w:val="00AC277F"/>
    <w:rsid w:val="00AC4F7C"/>
    <w:rsid w:val="00AC5373"/>
    <w:rsid w:val="00AC587D"/>
    <w:rsid w:val="00AD1AA2"/>
    <w:rsid w:val="00AD3EDA"/>
    <w:rsid w:val="00AD7A30"/>
    <w:rsid w:val="00AE02C4"/>
    <w:rsid w:val="00AE0AEC"/>
    <w:rsid w:val="00AE4E56"/>
    <w:rsid w:val="00AE528A"/>
    <w:rsid w:val="00AF28A2"/>
    <w:rsid w:val="00AF3BD9"/>
    <w:rsid w:val="00AF479F"/>
    <w:rsid w:val="00AF671B"/>
    <w:rsid w:val="00B01265"/>
    <w:rsid w:val="00B0138B"/>
    <w:rsid w:val="00B03CB4"/>
    <w:rsid w:val="00B044BC"/>
    <w:rsid w:val="00B061AF"/>
    <w:rsid w:val="00B1182D"/>
    <w:rsid w:val="00B11F80"/>
    <w:rsid w:val="00B16A22"/>
    <w:rsid w:val="00B23258"/>
    <w:rsid w:val="00B23603"/>
    <w:rsid w:val="00B26FA0"/>
    <w:rsid w:val="00B302FA"/>
    <w:rsid w:val="00B32519"/>
    <w:rsid w:val="00B32D6C"/>
    <w:rsid w:val="00B34048"/>
    <w:rsid w:val="00B34683"/>
    <w:rsid w:val="00B3749D"/>
    <w:rsid w:val="00B4048A"/>
    <w:rsid w:val="00B443CC"/>
    <w:rsid w:val="00B44915"/>
    <w:rsid w:val="00B47738"/>
    <w:rsid w:val="00B60F38"/>
    <w:rsid w:val="00B6296D"/>
    <w:rsid w:val="00B65DAA"/>
    <w:rsid w:val="00B66B2F"/>
    <w:rsid w:val="00B71773"/>
    <w:rsid w:val="00B71B6D"/>
    <w:rsid w:val="00B720EC"/>
    <w:rsid w:val="00B730B6"/>
    <w:rsid w:val="00B736E4"/>
    <w:rsid w:val="00B7449C"/>
    <w:rsid w:val="00B74A90"/>
    <w:rsid w:val="00B74F7F"/>
    <w:rsid w:val="00B75B08"/>
    <w:rsid w:val="00B7663C"/>
    <w:rsid w:val="00B80FF2"/>
    <w:rsid w:val="00B84869"/>
    <w:rsid w:val="00B85A00"/>
    <w:rsid w:val="00B86607"/>
    <w:rsid w:val="00B86DE8"/>
    <w:rsid w:val="00B87282"/>
    <w:rsid w:val="00B87859"/>
    <w:rsid w:val="00B91D47"/>
    <w:rsid w:val="00B92844"/>
    <w:rsid w:val="00B93D97"/>
    <w:rsid w:val="00B953E2"/>
    <w:rsid w:val="00B95659"/>
    <w:rsid w:val="00BA3CB8"/>
    <w:rsid w:val="00BA6289"/>
    <w:rsid w:val="00BA7623"/>
    <w:rsid w:val="00BB21B8"/>
    <w:rsid w:val="00BB54C0"/>
    <w:rsid w:val="00BB7119"/>
    <w:rsid w:val="00BC019C"/>
    <w:rsid w:val="00BC0DCE"/>
    <w:rsid w:val="00BC127C"/>
    <w:rsid w:val="00BC219C"/>
    <w:rsid w:val="00BC6606"/>
    <w:rsid w:val="00BC6655"/>
    <w:rsid w:val="00BC7C1B"/>
    <w:rsid w:val="00BD190D"/>
    <w:rsid w:val="00BD2151"/>
    <w:rsid w:val="00BD4E88"/>
    <w:rsid w:val="00BD721F"/>
    <w:rsid w:val="00BE771C"/>
    <w:rsid w:val="00BF0EF2"/>
    <w:rsid w:val="00BF11A0"/>
    <w:rsid w:val="00BF4580"/>
    <w:rsid w:val="00BF5246"/>
    <w:rsid w:val="00BF5309"/>
    <w:rsid w:val="00BF68C8"/>
    <w:rsid w:val="00C016A3"/>
    <w:rsid w:val="00C01E68"/>
    <w:rsid w:val="00C04323"/>
    <w:rsid w:val="00C047D1"/>
    <w:rsid w:val="00C07D9B"/>
    <w:rsid w:val="00C115D2"/>
    <w:rsid w:val="00C11924"/>
    <w:rsid w:val="00C12CAD"/>
    <w:rsid w:val="00C14016"/>
    <w:rsid w:val="00C140A6"/>
    <w:rsid w:val="00C1776C"/>
    <w:rsid w:val="00C17B40"/>
    <w:rsid w:val="00C221A0"/>
    <w:rsid w:val="00C238D1"/>
    <w:rsid w:val="00C24246"/>
    <w:rsid w:val="00C25C46"/>
    <w:rsid w:val="00C26E28"/>
    <w:rsid w:val="00C275ED"/>
    <w:rsid w:val="00C31E23"/>
    <w:rsid w:val="00C32606"/>
    <w:rsid w:val="00C326F9"/>
    <w:rsid w:val="00C33EDD"/>
    <w:rsid w:val="00C34FF4"/>
    <w:rsid w:val="00C36FFC"/>
    <w:rsid w:val="00C37A29"/>
    <w:rsid w:val="00C37F6B"/>
    <w:rsid w:val="00C421A0"/>
    <w:rsid w:val="00C4422E"/>
    <w:rsid w:val="00C4730B"/>
    <w:rsid w:val="00C541CF"/>
    <w:rsid w:val="00C60568"/>
    <w:rsid w:val="00C708A2"/>
    <w:rsid w:val="00C70D80"/>
    <w:rsid w:val="00C70EFC"/>
    <w:rsid w:val="00C71688"/>
    <w:rsid w:val="00C718D2"/>
    <w:rsid w:val="00C75C56"/>
    <w:rsid w:val="00C82F7F"/>
    <w:rsid w:val="00C932F3"/>
    <w:rsid w:val="00CA0B3F"/>
    <w:rsid w:val="00CA4E28"/>
    <w:rsid w:val="00CB5FA4"/>
    <w:rsid w:val="00CB7178"/>
    <w:rsid w:val="00CC3DE4"/>
    <w:rsid w:val="00CC459B"/>
    <w:rsid w:val="00CC5F5B"/>
    <w:rsid w:val="00CD0ECA"/>
    <w:rsid w:val="00CD1507"/>
    <w:rsid w:val="00CD1D4D"/>
    <w:rsid w:val="00CD2E91"/>
    <w:rsid w:val="00CD61EB"/>
    <w:rsid w:val="00CD73D8"/>
    <w:rsid w:val="00CD7F44"/>
    <w:rsid w:val="00CE0FC1"/>
    <w:rsid w:val="00CE43AF"/>
    <w:rsid w:val="00CE4D3A"/>
    <w:rsid w:val="00CE64FD"/>
    <w:rsid w:val="00CE7236"/>
    <w:rsid w:val="00CF02F0"/>
    <w:rsid w:val="00CF1B7E"/>
    <w:rsid w:val="00CF4BC6"/>
    <w:rsid w:val="00CF57A0"/>
    <w:rsid w:val="00CF7F06"/>
    <w:rsid w:val="00D01615"/>
    <w:rsid w:val="00D01859"/>
    <w:rsid w:val="00D02433"/>
    <w:rsid w:val="00D02D32"/>
    <w:rsid w:val="00D0352E"/>
    <w:rsid w:val="00D10CB0"/>
    <w:rsid w:val="00D10F14"/>
    <w:rsid w:val="00D15113"/>
    <w:rsid w:val="00D15B7C"/>
    <w:rsid w:val="00D15B7D"/>
    <w:rsid w:val="00D16F74"/>
    <w:rsid w:val="00D23225"/>
    <w:rsid w:val="00D23E87"/>
    <w:rsid w:val="00D24CDE"/>
    <w:rsid w:val="00D30791"/>
    <w:rsid w:val="00D31E3E"/>
    <w:rsid w:val="00D330CA"/>
    <w:rsid w:val="00D3316D"/>
    <w:rsid w:val="00D364DA"/>
    <w:rsid w:val="00D37882"/>
    <w:rsid w:val="00D40BF5"/>
    <w:rsid w:val="00D41DDC"/>
    <w:rsid w:val="00D4203B"/>
    <w:rsid w:val="00D42F4B"/>
    <w:rsid w:val="00D43D0F"/>
    <w:rsid w:val="00D44D9E"/>
    <w:rsid w:val="00D46FD9"/>
    <w:rsid w:val="00D521AF"/>
    <w:rsid w:val="00D57212"/>
    <w:rsid w:val="00D60649"/>
    <w:rsid w:val="00D61E88"/>
    <w:rsid w:val="00D62992"/>
    <w:rsid w:val="00D63DCE"/>
    <w:rsid w:val="00D6650A"/>
    <w:rsid w:val="00D67CED"/>
    <w:rsid w:val="00D73E6D"/>
    <w:rsid w:val="00D82BC7"/>
    <w:rsid w:val="00D83923"/>
    <w:rsid w:val="00D8644F"/>
    <w:rsid w:val="00D87162"/>
    <w:rsid w:val="00D901A5"/>
    <w:rsid w:val="00D9419D"/>
    <w:rsid w:val="00D96F65"/>
    <w:rsid w:val="00DA136C"/>
    <w:rsid w:val="00DA2C5B"/>
    <w:rsid w:val="00DA3017"/>
    <w:rsid w:val="00DA49F0"/>
    <w:rsid w:val="00DA5484"/>
    <w:rsid w:val="00DA70B8"/>
    <w:rsid w:val="00DB7E8D"/>
    <w:rsid w:val="00DC0541"/>
    <w:rsid w:val="00DC1012"/>
    <w:rsid w:val="00DC18D8"/>
    <w:rsid w:val="00DC1B37"/>
    <w:rsid w:val="00DC25B8"/>
    <w:rsid w:val="00DC3A6C"/>
    <w:rsid w:val="00DC5DFF"/>
    <w:rsid w:val="00DC74CB"/>
    <w:rsid w:val="00DC7BD5"/>
    <w:rsid w:val="00DD134A"/>
    <w:rsid w:val="00DD50E2"/>
    <w:rsid w:val="00DD6473"/>
    <w:rsid w:val="00DD64C9"/>
    <w:rsid w:val="00DD68DE"/>
    <w:rsid w:val="00DE6D15"/>
    <w:rsid w:val="00DE728C"/>
    <w:rsid w:val="00DF4E3E"/>
    <w:rsid w:val="00DF57D9"/>
    <w:rsid w:val="00DF60B9"/>
    <w:rsid w:val="00DF63B7"/>
    <w:rsid w:val="00DF7137"/>
    <w:rsid w:val="00E010CD"/>
    <w:rsid w:val="00E02BEF"/>
    <w:rsid w:val="00E03DCF"/>
    <w:rsid w:val="00E0453D"/>
    <w:rsid w:val="00E05FA6"/>
    <w:rsid w:val="00E122AD"/>
    <w:rsid w:val="00E15A2F"/>
    <w:rsid w:val="00E16EA0"/>
    <w:rsid w:val="00E25474"/>
    <w:rsid w:val="00E26291"/>
    <w:rsid w:val="00E26A88"/>
    <w:rsid w:val="00E32EE5"/>
    <w:rsid w:val="00E32F93"/>
    <w:rsid w:val="00E3309C"/>
    <w:rsid w:val="00E377BD"/>
    <w:rsid w:val="00E379F7"/>
    <w:rsid w:val="00E455F3"/>
    <w:rsid w:val="00E47107"/>
    <w:rsid w:val="00E50C50"/>
    <w:rsid w:val="00E54ACD"/>
    <w:rsid w:val="00E54B2B"/>
    <w:rsid w:val="00E54B6C"/>
    <w:rsid w:val="00E60509"/>
    <w:rsid w:val="00E61632"/>
    <w:rsid w:val="00E62EED"/>
    <w:rsid w:val="00E642E7"/>
    <w:rsid w:val="00E65CE3"/>
    <w:rsid w:val="00E70DD7"/>
    <w:rsid w:val="00E7217C"/>
    <w:rsid w:val="00E72670"/>
    <w:rsid w:val="00E72EE0"/>
    <w:rsid w:val="00E741FB"/>
    <w:rsid w:val="00E7478D"/>
    <w:rsid w:val="00E74BD6"/>
    <w:rsid w:val="00E8116E"/>
    <w:rsid w:val="00E8460D"/>
    <w:rsid w:val="00E84687"/>
    <w:rsid w:val="00E85662"/>
    <w:rsid w:val="00E91A7E"/>
    <w:rsid w:val="00E91FED"/>
    <w:rsid w:val="00E924B5"/>
    <w:rsid w:val="00E971E8"/>
    <w:rsid w:val="00E97AAF"/>
    <w:rsid w:val="00EA14C5"/>
    <w:rsid w:val="00EA1797"/>
    <w:rsid w:val="00EA18FF"/>
    <w:rsid w:val="00EA1943"/>
    <w:rsid w:val="00EA27A2"/>
    <w:rsid w:val="00EA2F8D"/>
    <w:rsid w:val="00EA3497"/>
    <w:rsid w:val="00EA583E"/>
    <w:rsid w:val="00EB3F9D"/>
    <w:rsid w:val="00EB54B7"/>
    <w:rsid w:val="00EB5DC6"/>
    <w:rsid w:val="00ED4983"/>
    <w:rsid w:val="00EE13AC"/>
    <w:rsid w:val="00EE6F14"/>
    <w:rsid w:val="00EE7B2C"/>
    <w:rsid w:val="00EF3F23"/>
    <w:rsid w:val="00EF69A7"/>
    <w:rsid w:val="00EF6C20"/>
    <w:rsid w:val="00F04EA7"/>
    <w:rsid w:val="00F076A8"/>
    <w:rsid w:val="00F11F84"/>
    <w:rsid w:val="00F13CDD"/>
    <w:rsid w:val="00F162D4"/>
    <w:rsid w:val="00F16FFA"/>
    <w:rsid w:val="00F173EF"/>
    <w:rsid w:val="00F2058B"/>
    <w:rsid w:val="00F219F0"/>
    <w:rsid w:val="00F25AE6"/>
    <w:rsid w:val="00F25BCF"/>
    <w:rsid w:val="00F2767E"/>
    <w:rsid w:val="00F27E72"/>
    <w:rsid w:val="00F3209B"/>
    <w:rsid w:val="00F3214C"/>
    <w:rsid w:val="00F32280"/>
    <w:rsid w:val="00F33F8D"/>
    <w:rsid w:val="00F35AC7"/>
    <w:rsid w:val="00F35E7D"/>
    <w:rsid w:val="00F37CB6"/>
    <w:rsid w:val="00F37F65"/>
    <w:rsid w:val="00F4010B"/>
    <w:rsid w:val="00F419FC"/>
    <w:rsid w:val="00F463B3"/>
    <w:rsid w:val="00F46E42"/>
    <w:rsid w:val="00F4702C"/>
    <w:rsid w:val="00F505B8"/>
    <w:rsid w:val="00F526D0"/>
    <w:rsid w:val="00F53EFE"/>
    <w:rsid w:val="00F54917"/>
    <w:rsid w:val="00F57478"/>
    <w:rsid w:val="00F60BA2"/>
    <w:rsid w:val="00F60BCA"/>
    <w:rsid w:val="00F62E3E"/>
    <w:rsid w:val="00F634F6"/>
    <w:rsid w:val="00F6743F"/>
    <w:rsid w:val="00F67BD0"/>
    <w:rsid w:val="00F71E8D"/>
    <w:rsid w:val="00F72858"/>
    <w:rsid w:val="00F73825"/>
    <w:rsid w:val="00F77B4D"/>
    <w:rsid w:val="00F828E9"/>
    <w:rsid w:val="00F83C5C"/>
    <w:rsid w:val="00F86056"/>
    <w:rsid w:val="00F870AC"/>
    <w:rsid w:val="00F87B07"/>
    <w:rsid w:val="00F904CA"/>
    <w:rsid w:val="00F94880"/>
    <w:rsid w:val="00F9674E"/>
    <w:rsid w:val="00F97DD0"/>
    <w:rsid w:val="00FA2483"/>
    <w:rsid w:val="00FA33D2"/>
    <w:rsid w:val="00FA40DB"/>
    <w:rsid w:val="00FB016C"/>
    <w:rsid w:val="00FB4E93"/>
    <w:rsid w:val="00FC2D8B"/>
    <w:rsid w:val="00FC55BC"/>
    <w:rsid w:val="00FC5756"/>
    <w:rsid w:val="00FC7DEE"/>
    <w:rsid w:val="00FD05DF"/>
    <w:rsid w:val="00FD2070"/>
    <w:rsid w:val="00FD3009"/>
    <w:rsid w:val="00FD3306"/>
    <w:rsid w:val="00FD36B1"/>
    <w:rsid w:val="00FD3FE4"/>
    <w:rsid w:val="00FD448A"/>
    <w:rsid w:val="00FD4911"/>
    <w:rsid w:val="00FD4B65"/>
    <w:rsid w:val="00FD5893"/>
    <w:rsid w:val="00FD63CA"/>
    <w:rsid w:val="00FD79F8"/>
    <w:rsid w:val="00FE0F83"/>
    <w:rsid w:val="00FE59FD"/>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E129618E-E55D-4E80-BB8B-45F118F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47870162">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 w:id="19365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e8bd278fa0c482f386de26433930f8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6316cbc452c6168093093bd4de126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templateName":"chapter","templateDescription":"","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MPWT-2140667901-64952</_dlc_DocId>
    <_dlc_DocIdUrl xmlns="20393cdf-440a-4521-8f19-00ba43423d00">
      <Url>https://pcgov.sharepoint.com/sites/sceteam/_layouts/15/DocIdRedir.aspx?ID=MPWT-2140667901-64952</Url>
      <Description>MPWT-2140667901-64952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emplafyFormConfiguration><![CDATA[{"formFields":[],"formDataEntries":[]}]]></TemplafyFormConfiguratio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5DE3-5009-4FFB-872B-53939DCF7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BC437F67-57F9-449A-9B14-DE3A90B65256}">
  <ds:schemaRefs>
    <ds:schemaRef ds:uri="http://schemas.microsoft.com/sharepoint/v3/contenttype/forms"/>
  </ds:schemaRefs>
</ds:datastoreItem>
</file>

<file path=customXml/itemProps5.xml><?xml version="1.0" encoding="utf-8"?>
<ds:datastoreItem xmlns:ds="http://schemas.openxmlformats.org/officeDocument/2006/customXml" ds:itemID="{86D5434B-414F-4517-9975-24C7303B31D1}">
  <ds:schemaRefs>
    <ds:schemaRef ds:uri="http://schemas.microsoft.com/sharepoint/events"/>
  </ds:schemaRefs>
</ds:datastoreItem>
</file>

<file path=customXml/itemProps6.xml><?xml version="1.0" encoding="utf-8"?>
<ds:datastoreItem xmlns:ds="http://schemas.openxmlformats.org/officeDocument/2006/customXml" ds:itemID="{9897F752-2238-441E-ABA5-DB8C10DEA577}">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C:\Users\jthiris\AppData\Local\Temp\Templafy\WordVsto\chapter1.dotx</Template>
  <TotalTime>0</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Appendix - June 2024 - Quarterly Bulletin - PC Productivity Insights</vt:lpstr>
    </vt:vector>
  </TitlesOfParts>
  <Company>Productivity Commission</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June 2024 - Quarterly Bulletin - PC Productivity Insights</dc:title>
  <dc:subject/>
  <dc:creator>Productivity Commission</dc:creator>
  <cp:keywords/>
  <dc:description/>
  <cp:lastModifiedBy>Lynton Tapp</cp:lastModifiedBy>
  <cp:revision>2</cp:revision>
  <cp:lastPrinted>2024-06-25T06:12:00Z</cp:lastPrinted>
  <dcterms:created xsi:type="dcterms:W3CDTF">2025-08-13T00:41:00Z</dcterms:created>
  <dcterms:modified xsi:type="dcterms:W3CDTF">2025-08-13T00:41:00Z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Order">
    <vt:r8>12200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MSIP_Label_c1f2b1ce-4212-46db-a901-dd8453f57141_Enabled">
    <vt:lpwstr>true</vt:lpwstr>
  </property>
  <property fmtid="{D5CDD505-2E9C-101B-9397-08002B2CF9AE}" pid="17" name="MSIP_Label_c1f2b1ce-4212-46db-a901-dd8453f57141_SetDate">
    <vt:lpwstr>2024-06-25T05:50:40Z</vt:lpwstr>
  </property>
  <property fmtid="{D5CDD505-2E9C-101B-9397-08002B2CF9AE}" pid="18" name="MSIP_Label_c1f2b1ce-4212-46db-a901-dd8453f57141_Method">
    <vt:lpwstr>Privileged</vt:lpwstr>
  </property>
  <property fmtid="{D5CDD505-2E9C-101B-9397-08002B2CF9AE}" pid="19" name="MSIP_Label_c1f2b1ce-4212-46db-a901-dd8453f57141_Name">
    <vt:lpwstr>Publish</vt:lpwstr>
  </property>
  <property fmtid="{D5CDD505-2E9C-101B-9397-08002B2CF9AE}" pid="20" name="MSIP_Label_c1f2b1ce-4212-46db-a901-dd8453f57141_SiteId">
    <vt:lpwstr>29f9330b-c0fe-4244-830e-ba9f275d6c34</vt:lpwstr>
  </property>
  <property fmtid="{D5CDD505-2E9C-101B-9397-08002B2CF9AE}" pid="21" name="MSIP_Label_c1f2b1ce-4212-46db-a901-dd8453f57141_ActionId">
    <vt:lpwstr>3e6d8376-8694-4697-b840-3f92951a45b8</vt:lpwstr>
  </property>
  <property fmtid="{D5CDD505-2E9C-101B-9397-08002B2CF9AE}" pid="22" name="MSIP_Label_c1f2b1ce-4212-46db-a901-dd8453f57141_ContentBits">
    <vt:lpwstr>0</vt:lpwstr>
  </property>
  <property fmtid="{D5CDD505-2E9C-101B-9397-08002B2CF9AE}" pid="23" name="ContentTypeId">
    <vt:lpwstr>0x0101006C0B5E815648EF46B6FA6D42F17E5E9F000C963E276195B04F83BC027CFDC94A8D</vt:lpwstr>
  </property>
  <property fmtid="{D5CDD505-2E9C-101B-9397-08002B2CF9AE}" pid="24" name="RevIMBCS">
    <vt:lpwstr>1;#Unclassified|3955eeb1-2d18-4582-aeb2-00144ec3aaf5</vt:lpwstr>
  </property>
  <property fmtid="{D5CDD505-2E9C-101B-9397-08002B2CF9AE}" pid="25" name="_dlc_DocIdItemGuid">
    <vt:lpwstr>301e93af-724b-494c-8d0f-f3937771b9d7</vt:lpwstr>
  </property>
</Properties>
</file>