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4EDD1" w14:textId="7B711035" w:rsidR="00A27A1B" w:rsidRPr="007A7041" w:rsidRDefault="00353CE5" w:rsidP="00EF6E1F">
      <w:pPr>
        <w:pStyle w:val="Title"/>
        <w:spacing w:before="480" w:after="400"/>
        <w:rPr>
          <w:rFonts w:ascii="Open Sans Extrabold" w:hAnsi="Open Sans Extrabold" w:cs="Open Sans Extrabold"/>
          <w:b/>
          <w:bCs/>
          <w:color w:val="1C4373" w:themeColor="background2" w:themeShade="BF"/>
          <w:kern w:val="0"/>
          <w:sz w:val="56"/>
        </w:rPr>
      </w:pPr>
      <w:r w:rsidRPr="00EA6DF3">
        <w:rPr>
          <w:rFonts w:ascii="Open Sans Extrabold" w:hAnsi="Open Sans Extrabold" w:cs="Open Sans Extrabold"/>
          <w:b/>
          <w:bCs/>
          <w:noProof/>
          <w:color w:val="132D4D" w:themeColor="background2" w:themeShade="80"/>
          <w:sz w:val="48"/>
          <w:szCs w:val="48"/>
        </w:rPr>
        <w:drawing>
          <wp:anchor distT="0" distB="0" distL="114300" distR="114300" simplePos="0" relativeHeight="251658242" behindDoc="1" locked="0" layoutInCell="1" allowOverlap="1" wp14:anchorId="369C7F1F" wp14:editId="04FDC427">
            <wp:simplePos x="0" y="0"/>
            <wp:positionH relativeFrom="page">
              <wp:align>right</wp:align>
            </wp:positionH>
            <wp:positionV relativeFrom="paragraph">
              <wp:posOffset>-1803400</wp:posOffset>
            </wp:positionV>
            <wp:extent cx="7571018" cy="10706537"/>
            <wp:effectExtent l="0" t="0" r="0" b="0"/>
            <wp:wrapNone/>
            <wp:docPr id="1552507324"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07324" name="Picture 20">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71018" cy="10706537"/>
                    </a:xfrm>
                    <a:prstGeom prst="rect">
                      <a:avLst/>
                    </a:prstGeom>
                  </pic:spPr>
                </pic:pic>
              </a:graphicData>
            </a:graphic>
            <wp14:sizeRelH relativeFrom="page">
              <wp14:pctWidth>0</wp14:pctWidth>
            </wp14:sizeRelH>
            <wp14:sizeRelV relativeFrom="page">
              <wp14:pctHeight>0</wp14:pctHeight>
            </wp14:sizeRelV>
          </wp:anchor>
        </w:drawing>
      </w:r>
      <w:r w:rsidRPr="00EA6DF3">
        <w:rPr>
          <w:rFonts w:ascii="Open Sans Extrabold" w:hAnsi="Open Sans Extrabold" w:cs="Open Sans Extrabold"/>
          <w:b/>
          <w:bCs/>
          <w:color w:val="132D4D" w:themeColor="background2" w:themeShade="80"/>
          <w:kern w:val="0"/>
          <w:sz w:val="56"/>
        </w:rPr>
        <w:t>Building a skilled and adaptable workforce</w:t>
      </w:r>
    </w:p>
    <w:p w14:paraId="790A0A65" w14:textId="77777777" w:rsidR="006E604F" w:rsidRPr="00827808" w:rsidRDefault="006E604F" w:rsidP="006E604F">
      <w:pPr>
        <w:pStyle w:val="Coverdate"/>
        <w:framePr w:wrap="around" w:y="15321"/>
        <w:rPr>
          <w:rFonts w:ascii="Open Sans" w:hAnsi="Open Sans" w:cs="Open Sans"/>
          <w:color w:val="FFFFFF" w:themeColor="background1"/>
        </w:rPr>
      </w:pPr>
      <w:r>
        <w:rPr>
          <w:rFonts w:ascii="Open Sans" w:hAnsi="Open Sans" w:cs="Open Sans"/>
          <w:color w:val="FFFFFF" w:themeColor="background1"/>
        </w:rPr>
        <w:t>August</w:t>
      </w:r>
      <w:r w:rsidRPr="00827808">
        <w:rPr>
          <w:rFonts w:ascii="Open Sans" w:hAnsi="Open Sans" w:cs="Open Sans"/>
          <w:color w:val="FFFFFF" w:themeColor="background1"/>
        </w:rPr>
        <w:t xml:space="preserve"> 2025</w:t>
      </w:r>
    </w:p>
    <w:p w14:paraId="794120EB" w14:textId="2437495C" w:rsidR="00A27A1B" w:rsidRPr="00A27A1B" w:rsidRDefault="00A27A1B" w:rsidP="00A27A1B">
      <w:pPr>
        <w:spacing w:before="0" w:after="160" w:line="259" w:lineRule="auto"/>
        <w:rPr>
          <w:rFonts w:ascii="Open Sans" w:hAnsi="Open Sans" w:cs="Open Sans"/>
          <w:sz w:val="48"/>
          <w:szCs w:val="48"/>
        </w:rPr>
      </w:pPr>
      <w:r w:rsidRPr="009479D0">
        <w:rPr>
          <w:rFonts w:ascii="Open Sans" w:hAnsi="Open Sans" w:cs="Open Sans"/>
          <w:sz w:val="48"/>
          <w:szCs w:val="48"/>
        </w:rPr>
        <w:t>Interim report</w:t>
      </w:r>
      <w:r w:rsidR="00FE5682">
        <w:rPr>
          <w:rFonts w:ascii="Open Sans" w:hAnsi="Open Sans" w:cs="Open Sans"/>
          <w:sz w:val="48"/>
          <w:szCs w:val="48"/>
        </w:rPr>
        <w:br/>
      </w:r>
      <w:r w:rsidR="00764CF2" w:rsidRPr="004F7BE2">
        <w:rPr>
          <w:noProof/>
        </w:rPr>
        <mc:AlternateContent>
          <mc:Choice Requires="wps">
            <w:drawing>
              <wp:anchor distT="0" distB="0" distL="114300" distR="114300" simplePos="0" relativeHeight="251658241" behindDoc="0" locked="0" layoutInCell="1" allowOverlap="1" wp14:anchorId="19F6FA71" wp14:editId="082A13C2">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67733FAF" w14:textId="77777777" w:rsidR="00764CF2" w:rsidRPr="00E945F6" w:rsidRDefault="00764CF2" w:rsidP="00764CF2">
                            <w:pPr>
                              <w:pStyle w:val="CoverdisclaimerwhiteCover"/>
                            </w:pPr>
                            <w:r w:rsidRPr="00A05AAF">
                              <w:t>This is an interim report prepared for further public consultation and input. The PC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6FA71"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67733FAF" w14:textId="77777777" w:rsidR="00764CF2" w:rsidRPr="00E945F6" w:rsidRDefault="00764CF2" w:rsidP="00764CF2">
                      <w:pPr>
                        <w:pStyle w:val="CoverdisclaimerwhiteCover"/>
                      </w:pPr>
                      <w:r w:rsidRPr="00A05AAF">
                        <w:t>This is an interim report prepared for further public consultation and input. The PC will finalise its report after these processes have taken place.</w:t>
                      </w:r>
                    </w:p>
                  </w:txbxContent>
                </v:textbox>
                <w10:wrap anchorx="page" anchory="page"/>
              </v:shape>
            </w:pict>
          </mc:Fallback>
        </mc:AlternateContent>
      </w:r>
      <w:r w:rsidR="00FE5682">
        <w:rPr>
          <w:rFonts w:ascii="Open Sans" w:hAnsi="Open Sans" w:cs="Open Sans"/>
          <w:sz w:val="32"/>
          <w:szCs w:val="32"/>
        </w:rPr>
        <w:t>Executive summary</w:t>
      </w:r>
    </w:p>
    <w:sdt>
      <w:sdtPr>
        <w:rPr>
          <w:color w:val="FFFFFF" w:themeColor="background1"/>
        </w:rPr>
        <w:id w:val="-228914026"/>
        <w:docPartObj>
          <w:docPartGallery w:val="Cover Pages"/>
          <w:docPartUnique/>
        </w:docPartObj>
      </w:sdtPr>
      <w:sdtEndPr>
        <w:rPr>
          <w:color w:val="auto"/>
        </w:rPr>
      </w:sdtEndPr>
      <w:sdtContent>
        <w:p w14:paraId="44F60990" w14:textId="4B579021" w:rsidR="00246212" w:rsidRPr="00A27A1B" w:rsidRDefault="00246212" w:rsidP="00320229">
          <w:pPr>
            <w:pStyle w:val="BodyText"/>
            <w:spacing w:before="1680" w:after="240" w:line="640" w:lineRule="exact"/>
            <w:rPr>
              <w:color w:val="FFFFFF" w:themeColor="background1"/>
            </w:rPr>
          </w:pPr>
        </w:p>
        <w:p w14:paraId="2AD69A32" w14:textId="6C418BD5" w:rsidR="004F7BE2" w:rsidRDefault="004F7BE2" w:rsidP="004F7BE2">
          <w:pPr>
            <w:spacing w:after="160" w:line="259" w:lineRule="auto"/>
            <w:sectPr w:rsidR="004F7BE2" w:rsidSect="00910AD4">
              <w:footerReference w:type="even" r:id="rId15"/>
              <w:footerReference w:type="defaul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blLook w:val="04A0" w:firstRow="1" w:lastRow="0" w:firstColumn="1" w:lastColumn="0" w:noHBand="0" w:noVBand="1"/>
          </w:tblPr>
          <w:tblGrid>
            <w:gridCol w:w="9638"/>
          </w:tblGrid>
          <w:tr w:rsidR="004F7BE2" w:rsidRPr="002517A7" w14:paraId="1E8C917A" w14:textId="77777777" w:rsidTr="00D229F3">
            <w:trPr>
              <w:trHeight w:hRule="exact" w:val="12586"/>
            </w:trPr>
            <w:tc>
              <w:tcPr>
                <w:tcW w:w="9638" w:type="dxa"/>
                <w:shd w:val="clear" w:color="auto" w:fill="E0F1F7"/>
                <w:tcMar>
                  <w:top w:w="113" w:type="dxa"/>
                </w:tcMar>
                <w:vAlign w:val="top"/>
              </w:tcPr>
              <w:p w14:paraId="05E62E95" w14:textId="4C08EBED" w:rsidR="004F7BE2" w:rsidRPr="00AE7C03" w:rsidRDefault="00DB6CAD" w:rsidP="00D229F3">
                <w:pPr>
                  <w:pStyle w:val="Copyrightpage-BodyBold"/>
                  <w:ind w:right="-284"/>
                  <w:rPr>
                    <w:rFonts w:ascii="Arial" w:hAnsi="Arial" w:cs="Arial"/>
                    <w:b w:val="0"/>
                    <w:color w:val="auto"/>
                    <w:spacing w:val="2"/>
                  </w:rPr>
                </w:pPr>
                <w:r w:rsidRPr="00DB6CAD">
                  <w:rPr>
                    <w:rFonts w:ascii="Arial" w:hAnsi="Arial" w:cs="Arial"/>
                    <w:b w:val="0"/>
                    <w:bCs/>
                    <w:noProof/>
                    <w:color w:val="auto"/>
                    <w:spacing w:val="2"/>
                  </w:rPr>
                  <w:lastRenderedPageBreak/>
                  <w:drawing>
                    <wp:anchor distT="0" distB="0" distL="114300" distR="114300" simplePos="0" relativeHeight="251658240" behindDoc="0" locked="0" layoutInCell="1" allowOverlap="1" wp14:anchorId="191BB936" wp14:editId="181A7F17">
                      <wp:simplePos x="0" y="0"/>
                      <wp:positionH relativeFrom="column">
                        <wp:posOffset>0</wp:posOffset>
                      </wp:positionH>
                      <wp:positionV relativeFrom="paragraph">
                        <wp:posOffset>-36195</wp:posOffset>
                      </wp:positionV>
                      <wp:extent cx="630000" cy="63720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BE2" w:rsidRPr="00AE7C03">
                  <w:rPr>
                    <w:rFonts w:ascii="Arial" w:hAnsi="Arial" w:cs="Arial"/>
                    <w:b w:val="0"/>
                    <w:color w:val="auto"/>
                    <w:spacing w:val="2"/>
                  </w:rPr>
                  <w:br w:type="page"/>
                  <w:t xml:space="preserve">The Productivity Commission acknowledges the Traditional Owners of </w:t>
                </w:r>
                <w:r w:rsidR="004F7BE2" w:rsidRPr="00AE7C03">
                  <w:rPr>
                    <w:rFonts w:ascii="Arial" w:hAnsi="Arial" w:cs="Arial"/>
                    <w:b w:val="0"/>
                    <w:color w:val="auto"/>
                    <w:spacing w:val="2"/>
                  </w:rPr>
                  <w:br/>
                  <w:t xml:space="preserve">Country throughout Australia and their continuing connection to land, </w:t>
                </w:r>
                <w:r w:rsidR="004F7BE2" w:rsidRPr="00AE7C03">
                  <w:rPr>
                    <w:rFonts w:ascii="Arial" w:hAnsi="Arial" w:cs="Arial"/>
                    <w:b w:val="0"/>
                    <w:color w:val="auto"/>
                    <w:spacing w:val="2"/>
                  </w:rPr>
                  <w:br/>
                  <w:t>waters and community. We pay our respects to their Cultures, Country and Elders past and present.</w:t>
                </w:r>
              </w:p>
              <w:p w14:paraId="6A95C95E" w14:textId="77777777" w:rsidR="004F7BE2" w:rsidRPr="00AE7C03" w:rsidRDefault="004F7BE2" w:rsidP="00D229F3">
                <w:pPr>
                  <w:pStyle w:val="Copyrightpage-Keylinenotext"/>
                  <w:ind w:right="-284"/>
                  <w:rPr>
                    <w:rFonts w:ascii="Arial" w:hAnsi="Arial" w:cs="Arial"/>
                    <w:color w:val="auto"/>
                    <w:spacing w:val="2"/>
                    <w:szCs w:val="20"/>
                  </w:rPr>
                </w:pPr>
              </w:p>
              <w:p w14:paraId="0F5B00AE" w14:textId="77777777" w:rsidR="004F7BE2" w:rsidRPr="00912755" w:rsidRDefault="004F7BE2" w:rsidP="00D229F3">
                <w:pPr>
                  <w:pStyle w:val="Copyrightpage-Heading"/>
                  <w:ind w:right="-284"/>
                  <w:rPr>
                    <w:color w:val="auto"/>
                  </w:rPr>
                </w:pPr>
                <w:r w:rsidRPr="00912755">
                  <w:rPr>
                    <w:color w:val="auto"/>
                  </w:rPr>
                  <w:t>The Productivity Commission</w:t>
                </w:r>
              </w:p>
              <w:p w14:paraId="3135CB69" w14:textId="77777777" w:rsidR="00EB755B" w:rsidRPr="007A7041" w:rsidRDefault="00EB755B" w:rsidP="00D229F3">
                <w:pPr>
                  <w:pStyle w:val="Copyrightpage-BodyBold"/>
                  <w:rPr>
                    <w:rFonts w:ascii="Arial" w:hAnsi="Arial" w:cs="Arial"/>
                    <w:b w:val="0"/>
                    <w:color w:val="auto"/>
                  </w:rPr>
                </w:pPr>
                <w:r w:rsidRPr="007A7041">
                  <w:rPr>
                    <w:rFonts w:ascii="Arial" w:hAnsi="Arial" w:cs="Arial"/>
                    <w:b w:val="0"/>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77C93775" w14:textId="77777777" w:rsidR="00EB755B" w:rsidRPr="00AE7C03" w:rsidRDefault="00EB755B" w:rsidP="00D229F3">
                <w:pPr>
                  <w:pStyle w:val="Copyrightpage-BodyBold"/>
                  <w:rPr>
                    <w:rFonts w:ascii="Arial" w:hAnsi="Arial" w:cs="Arial"/>
                    <w:b w:val="0"/>
                    <w:color w:val="auto"/>
                    <w:spacing w:val="2"/>
                  </w:rPr>
                </w:pPr>
                <w:r w:rsidRPr="00AE7C03">
                  <w:rPr>
                    <w:rFonts w:ascii="Arial" w:hAnsi="Arial" w:cs="Arial"/>
                    <w:b w:val="0"/>
                    <w:color w:val="auto"/>
                    <w:spacing w:val="2"/>
                  </w:rPr>
                  <w:t xml:space="preserve">The PC’s independence is underpinned by an Act of Parliament. Its processes and outputs are open to public scrutiny and are driven by concern for the wellbeing of the </w:t>
                </w:r>
                <w:proofErr w:type="gramStart"/>
                <w:r w:rsidRPr="00AE7C03">
                  <w:rPr>
                    <w:rFonts w:ascii="Arial" w:hAnsi="Arial" w:cs="Arial"/>
                    <w:b w:val="0"/>
                    <w:color w:val="auto"/>
                    <w:spacing w:val="2"/>
                  </w:rPr>
                  <w:t>community as a whole</w:t>
                </w:r>
                <w:proofErr w:type="gramEnd"/>
                <w:r w:rsidRPr="00AE7C03">
                  <w:rPr>
                    <w:rFonts w:ascii="Arial" w:hAnsi="Arial" w:cs="Arial"/>
                    <w:b w:val="0"/>
                    <w:color w:val="auto"/>
                    <w:spacing w:val="2"/>
                  </w:rPr>
                  <w:t>.</w:t>
                </w:r>
              </w:p>
              <w:p w14:paraId="7D618C2B" w14:textId="300256F4" w:rsidR="004F7BE2" w:rsidRPr="00AE7C03" w:rsidRDefault="00EB755B" w:rsidP="00D229F3">
                <w:pPr>
                  <w:pStyle w:val="Copyrightpage-BodyBold"/>
                  <w:rPr>
                    <w:rFonts w:ascii="Arial" w:hAnsi="Arial" w:cs="Arial"/>
                    <w:b w:val="0"/>
                    <w:color w:val="auto"/>
                    <w:spacing w:val="2"/>
                  </w:rPr>
                </w:pPr>
                <w:r w:rsidRPr="00AE7C03">
                  <w:rPr>
                    <w:rFonts w:ascii="Arial" w:hAnsi="Arial" w:cs="Arial"/>
                    <w:b w:val="0"/>
                    <w:color w:val="auto"/>
                    <w:spacing w:val="2"/>
                  </w:rPr>
                  <w:t>For more information, visit the PC’s website: www.pc.gov.au</w:t>
                </w:r>
              </w:p>
              <w:p w14:paraId="224B59D0" w14:textId="77777777" w:rsidR="004F7BE2" w:rsidRPr="00AE7C03" w:rsidRDefault="004F7BE2" w:rsidP="00D229F3">
                <w:pPr>
                  <w:pStyle w:val="Copyrightpage-Keylinenotext"/>
                  <w:ind w:right="-284"/>
                  <w:rPr>
                    <w:rFonts w:ascii="Arial" w:hAnsi="Arial" w:cs="Arial"/>
                    <w:color w:val="auto"/>
                    <w:spacing w:val="2"/>
                    <w:szCs w:val="20"/>
                  </w:rPr>
                </w:pPr>
              </w:p>
              <w:p w14:paraId="3FC154B5" w14:textId="77777777" w:rsidR="004F7BE2" w:rsidRPr="00AE7C03" w:rsidRDefault="004F7BE2" w:rsidP="00D229F3">
                <w:pPr>
                  <w:pStyle w:val="Copyrightpage-BodyBold"/>
                  <w:rPr>
                    <w:rFonts w:ascii="Arial" w:hAnsi="Arial" w:cs="Arial"/>
                    <w:b w:val="0"/>
                    <w:color w:val="auto"/>
                    <w:spacing w:val="2"/>
                  </w:rPr>
                </w:pPr>
                <w:r w:rsidRPr="00AE7C03">
                  <w:rPr>
                    <w:rFonts w:ascii="Arial" w:hAnsi="Arial" w:cs="Arial"/>
                    <w:b w:val="0"/>
                    <w:color w:val="auto"/>
                    <w:spacing w:val="2"/>
                  </w:rPr>
                  <w:t>© Commonwealth of Australia 202</w:t>
                </w:r>
                <w:r w:rsidR="00EB755B" w:rsidRPr="00AE7C03">
                  <w:rPr>
                    <w:rFonts w:ascii="Arial" w:hAnsi="Arial" w:cs="Arial"/>
                    <w:b w:val="0"/>
                    <w:color w:val="auto"/>
                    <w:spacing w:val="2"/>
                  </w:rPr>
                  <w:t>5</w:t>
                </w:r>
              </w:p>
              <w:p w14:paraId="76DB7CEA" w14:textId="77777777" w:rsidR="004F7BE2" w:rsidRPr="00AE7C03" w:rsidRDefault="004F7BE2" w:rsidP="00D229F3">
                <w:pPr>
                  <w:pStyle w:val="Copyrightpage-Heading2"/>
                  <w:spacing w:before="0"/>
                  <w:ind w:right="-284"/>
                  <w:rPr>
                    <w:rFonts w:ascii="Arial" w:hAnsi="Arial" w:cs="Arial"/>
                    <w:b w:val="0"/>
                    <w:color w:val="auto"/>
                    <w:spacing w:val="2"/>
                    <w:szCs w:val="20"/>
                  </w:rPr>
                </w:pPr>
                <w:r w:rsidRPr="00AE7C03">
                  <w:rPr>
                    <w:rFonts w:ascii="Arial" w:hAnsi="Arial" w:cs="Arial"/>
                    <w:b w:val="0"/>
                    <w:noProof/>
                    <w:color w:val="auto"/>
                    <w:spacing w:val="2"/>
                    <w:szCs w:val="20"/>
                  </w:rPr>
                  <w:drawing>
                    <wp:inline distT="0" distB="0" distL="0" distR="0" wp14:anchorId="3E46F5D4" wp14:editId="43519930">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5D54230E" w14:textId="524FA290" w:rsidR="004F7BE2" w:rsidRPr="00AE7C03" w:rsidRDefault="004F7BE2" w:rsidP="00D229F3">
                <w:pPr>
                  <w:pStyle w:val="Copyrightpage-BodyBold"/>
                  <w:ind w:right="-143"/>
                  <w:rPr>
                    <w:rFonts w:ascii="Arial" w:hAnsi="Arial" w:cs="Arial"/>
                    <w:b w:val="0"/>
                    <w:color w:val="auto"/>
                    <w:spacing w:val="2"/>
                  </w:rPr>
                </w:pPr>
                <w:proofErr w:type="gramStart"/>
                <w:r w:rsidRPr="00AE7C03">
                  <w:rPr>
                    <w:rFonts w:ascii="Arial" w:hAnsi="Arial" w:cs="Arial"/>
                    <w:b w:val="0"/>
                    <w:color w:val="auto"/>
                    <w:spacing w:val="2"/>
                  </w:rPr>
                  <w:t>With the exception of</w:t>
                </w:r>
                <w:proofErr w:type="gramEnd"/>
                <w:r w:rsidRPr="00AE7C03">
                  <w:rPr>
                    <w:rFonts w:ascii="Arial" w:hAnsi="Arial" w:cs="Arial"/>
                    <w:b w:val="0"/>
                    <w:color w:val="auto"/>
                    <w:spacing w:val="2"/>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AE7C03">
                  <w:rPr>
                    <w:rFonts w:ascii="Arial" w:hAnsi="Arial" w:cs="Arial"/>
                    <w:b w:val="0"/>
                    <w:color w:val="auto"/>
                    <w:spacing w:val="2"/>
                  </w:rPr>
                  <w:t>as long as</w:t>
                </w:r>
                <w:proofErr w:type="gramEnd"/>
                <w:r w:rsidRPr="00AE7C03">
                  <w:rPr>
                    <w:rFonts w:ascii="Arial" w:hAnsi="Arial" w:cs="Arial"/>
                    <w:b w:val="0"/>
                    <w:color w:val="auto"/>
                    <w:spacing w:val="2"/>
                  </w:rPr>
                  <w:t xml:space="preserve"> you attribute the work to the </w:t>
                </w:r>
                <w:r w:rsidR="00D229F3">
                  <w:rPr>
                    <w:rFonts w:ascii="Arial" w:hAnsi="Arial" w:cs="Arial"/>
                    <w:b w:val="0"/>
                    <w:color w:val="auto"/>
                    <w:spacing w:val="2"/>
                  </w:rPr>
                  <w:t xml:space="preserve">PC </w:t>
                </w:r>
                <w:r w:rsidRPr="00AE7C03">
                  <w:rPr>
                    <w:rFonts w:ascii="Arial" w:hAnsi="Arial" w:cs="Arial"/>
                    <w:b w:val="0"/>
                    <w:color w:val="auto"/>
                    <w:spacing w:val="2"/>
                  </w:rPr>
                  <w:t xml:space="preserve">(but not in any way that suggests the </w:t>
                </w:r>
                <w:r w:rsidR="00D229F3">
                  <w:rPr>
                    <w:rFonts w:ascii="Arial" w:hAnsi="Arial" w:cs="Arial"/>
                    <w:b w:val="0"/>
                    <w:color w:val="auto"/>
                    <w:spacing w:val="2"/>
                  </w:rPr>
                  <w:t>PC</w:t>
                </w:r>
                <w:r w:rsidRPr="00AE7C03">
                  <w:rPr>
                    <w:rFonts w:ascii="Arial" w:hAnsi="Arial" w:cs="Arial"/>
                    <w:b w:val="0"/>
                    <w:color w:val="auto"/>
                    <w:spacing w:val="2"/>
                  </w:rPr>
                  <w:t xml:space="preserve"> endorses you or your use) and abide by the other licence terms. The licence can be viewed at: https://creativecommons.org/licenses/by/4.0.</w:t>
                </w:r>
              </w:p>
              <w:p w14:paraId="7FD1A846" w14:textId="77777777" w:rsidR="004F7BE2" w:rsidRPr="00AE7C03" w:rsidRDefault="004F7BE2" w:rsidP="00D229F3">
                <w:pPr>
                  <w:pStyle w:val="Copyrightpage-BodyBold"/>
                  <w:rPr>
                    <w:rFonts w:ascii="Arial" w:hAnsi="Arial" w:cs="Arial"/>
                    <w:b w:val="0"/>
                    <w:color w:val="auto"/>
                    <w:spacing w:val="2"/>
                  </w:rPr>
                </w:pPr>
                <w:r w:rsidRPr="00AE7C03">
                  <w:rPr>
                    <w:rFonts w:ascii="Arial" w:hAnsi="Arial" w:cs="Arial"/>
                    <w:b w:val="0"/>
                    <w:color w:val="auto"/>
                    <w:spacing w:val="2"/>
                  </w:rPr>
                  <w:t>The terms under which the Coat of Arms can be used are detailed at: www.pmc.gov.au/government/commonwealth-coat-arms.</w:t>
                </w:r>
              </w:p>
              <w:p w14:paraId="29317D9E" w14:textId="77777777" w:rsidR="004F7BE2" w:rsidRPr="00D229F3" w:rsidRDefault="004F7BE2" w:rsidP="00D229F3">
                <w:pPr>
                  <w:pStyle w:val="Copyrightpage-BodyBold"/>
                  <w:rPr>
                    <w:rFonts w:ascii="Arial" w:hAnsi="Arial" w:cs="Arial"/>
                    <w:b w:val="0"/>
                    <w:color w:val="auto"/>
                    <w:spacing w:val="-2"/>
                  </w:rPr>
                </w:pPr>
                <w:r w:rsidRPr="00D229F3">
                  <w:rPr>
                    <w:rFonts w:ascii="Arial" w:hAnsi="Arial" w:cs="Arial"/>
                    <w:b w:val="0"/>
                    <w:color w:val="auto"/>
                    <w:spacing w:val="-2"/>
                  </w:rPr>
                  <w:t>Wherever a third party holds copyright in this material the copyright remains with that party. Their permission may be required to use the material, please contact them directly.</w:t>
                </w:r>
              </w:p>
              <w:p w14:paraId="6AACD75C" w14:textId="061B7139" w:rsidR="004F7BE2" w:rsidRPr="00AE7C03" w:rsidRDefault="004F7BE2" w:rsidP="00D229F3">
                <w:pPr>
                  <w:pStyle w:val="Copyrightpage-BodyBold"/>
                  <w:rPr>
                    <w:rFonts w:ascii="Arial" w:hAnsi="Arial" w:cs="Arial"/>
                    <w:b w:val="0"/>
                    <w:color w:val="auto"/>
                    <w:spacing w:val="2"/>
                  </w:rPr>
                </w:pPr>
                <w:r w:rsidRPr="00AE7C03">
                  <w:rPr>
                    <w:rFonts w:ascii="Arial" w:hAnsi="Arial" w:cs="Arial"/>
                    <w:b w:val="0"/>
                    <w:color w:val="auto"/>
                    <w:spacing w:val="2"/>
                  </w:rPr>
                  <w:t>An appropriate reference for this publication is:</w:t>
                </w:r>
                <w:r w:rsidRPr="00AE7C03">
                  <w:rPr>
                    <w:rFonts w:ascii="Arial" w:hAnsi="Arial" w:cs="Arial"/>
                    <w:b w:val="0"/>
                    <w:color w:val="auto"/>
                    <w:spacing w:val="2"/>
                  </w:rPr>
                  <w:br/>
                  <w:t xml:space="preserve">Productivity Commission </w:t>
                </w:r>
                <w:r w:rsidR="00F15989" w:rsidRPr="00AE7C03">
                  <w:rPr>
                    <w:rFonts w:ascii="Arial" w:hAnsi="Arial" w:cs="Arial"/>
                    <w:b w:val="0"/>
                    <w:color w:val="auto"/>
                    <w:spacing w:val="2"/>
                  </w:rPr>
                  <w:t>2025</w:t>
                </w:r>
                <w:r w:rsidRPr="00AE7C03">
                  <w:rPr>
                    <w:rFonts w:ascii="Arial" w:hAnsi="Arial" w:cs="Arial"/>
                    <w:b w:val="0"/>
                    <w:color w:val="auto"/>
                    <w:spacing w:val="2"/>
                  </w:rPr>
                  <w:t xml:space="preserve">, </w:t>
                </w:r>
                <w:r w:rsidR="00353CE5">
                  <w:rPr>
                    <w:rFonts w:ascii="Arial" w:hAnsi="Arial" w:cs="Arial"/>
                    <w:b w:val="0"/>
                    <w:i/>
                    <w:color w:val="auto"/>
                    <w:spacing w:val="2"/>
                  </w:rPr>
                  <w:t>Building a skilled and adaptable workforc</w:t>
                </w:r>
                <w:r w:rsidR="00DC79BF">
                  <w:rPr>
                    <w:rFonts w:ascii="Arial" w:hAnsi="Arial" w:cs="Arial"/>
                    <w:b w:val="0"/>
                    <w:i/>
                    <w:color w:val="auto"/>
                    <w:spacing w:val="2"/>
                  </w:rPr>
                  <w:t>e</w:t>
                </w:r>
                <w:r w:rsidRPr="00AE7C03">
                  <w:rPr>
                    <w:rFonts w:ascii="Arial" w:hAnsi="Arial" w:cs="Arial"/>
                    <w:b w:val="0"/>
                    <w:color w:val="auto"/>
                    <w:spacing w:val="2"/>
                  </w:rPr>
                  <w:t xml:space="preserve">, </w:t>
                </w:r>
                <w:r w:rsidR="002A03D0">
                  <w:rPr>
                    <w:rFonts w:ascii="Arial" w:hAnsi="Arial" w:cs="Arial"/>
                    <w:b w:val="0"/>
                    <w:bCs/>
                    <w:color w:val="auto"/>
                    <w:spacing w:val="2"/>
                  </w:rPr>
                  <w:t>Interim r</w:t>
                </w:r>
                <w:r w:rsidRPr="00AE7C03">
                  <w:rPr>
                    <w:rFonts w:ascii="Arial" w:hAnsi="Arial" w:cs="Arial"/>
                    <w:b w:val="0"/>
                    <w:bCs/>
                    <w:color w:val="auto"/>
                    <w:spacing w:val="2"/>
                  </w:rPr>
                  <w:t>eport</w:t>
                </w:r>
                <w:r w:rsidRPr="00AE7C03">
                  <w:rPr>
                    <w:rFonts w:ascii="Arial" w:hAnsi="Arial" w:cs="Arial"/>
                    <w:b w:val="0"/>
                    <w:color w:val="auto"/>
                    <w:spacing w:val="2"/>
                  </w:rPr>
                  <w:t xml:space="preserve">, Canberra, </w:t>
                </w:r>
                <w:r w:rsidR="00353CE5">
                  <w:rPr>
                    <w:rFonts w:ascii="Arial" w:hAnsi="Arial" w:cs="Arial"/>
                    <w:b w:val="0"/>
                    <w:color w:val="auto"/>
                    <w:spacing w:val="2"/>
                  </w:rPr>
                  <w:t>August</w:t>
                </w:r>
              </w:p>
              <w:p w14:paraId="03CED0C6" w14:textId="77777777" w:rsidR="004F7BE2" w:rsidRPr="00AE7C03" w:rsidRDefault="004F7BE2" w:rsidP="00D229F3">
                <w:pPr>
                  <w:pStyle w:val="Copyrightpage-BodyBold"/>
                  <w:ind w:right="-284"/>
                  <w:rPr>
                    <w:rFonts w:ascii="Arial" w:hAnsi="Arial" w:cs="Arial"/>
                    <w:b w:val="0"/>
                    <w:color w:val="auto"/>
                    <w:spacing w:val="2"/>
                  </w:rPr>
                </w:pPr>
              </w:p>
              <w:p w14:paraId="302BE212" w14:textId="77777777" w:rsidR="004F7BE2" w:rsidRPr="00BE4DE9" w:rsidRDefault="004F7BE2" w:rsidP="00D229F3">
                <w:pPr>
                  <w:pStyle w:val="Copyrightpage-BodyBold"/>
                  <w:ind w:right="-284"/>
                  <w:rPr>
                    <w:rFonts w:ascii="Arial" w:hAnsi="Arial" w:cs="Arial"/>
                    <w:b w:val="0"/>
                    <w:color w:val="auto"/>
                    <w:spacing w:val="2"/>
                    <w:lang w:val="fr-CA"/>
                  </w:rPr>
                </w:pPr>
                <w:r w:rsidRPr="00BE4DE9">
                  <w:rPr>
                    <w:rFonts w:ascii="Arial" w:hAnsi="Arial" w:cs="Arial"/>
                    <w:b w:val="0"/>
                    <w:color w:val="auto"/>
                    <w:spacing w:val="2"/>
                    <w:lang w:val="fr-CA"/>
                  </w:rPr>
                  <w:t xml:space="preserve">Publication </w:t>
                </w:r>
                <w:proofErr w:type="spellStart"/>
                <w:r w:rsidRPr="00BE4DE9">
                  <w:rPr>
                    <w:rFonts w:ascii="Arial" w:hAnsi="Arial" w:cs="Arial"/>
                    <w:b w:val="0"/>
                    <w:color w:val="auto"/>
                    <w:spacing w:val="2"/>
                    <w:lang w:val="fr-CA"/>
                  </w:rPr>
                  <w:t>enquiries</w:t>
                </w:r>
                <w:proofErr w:type="spellEnd"/>
                <w:r w:rsidRPr="00BE4DE9">
                  <w:rPr>
                    <w:rFonts w:ascii="Arial" w:hAnsi="Arial" w:cs="Arial"/>
                    <w:b w:val="0"/>
                    <w:color w:val="auto"/>
                    <w:spacing w:val="2"/>
                    <w:lang w:val="fr-CA"/>
                  </w:rPr>
                  <w:t xml:space="preserve">: </w:t>
                </w:r>
                <w:r w:rsidRPr="00BE4DE9">
                  <w:rPr>
                    <w:rFonts w:ascii="Arial" w:hAnsi="Arial" w:cs="Arial"/>
                    <w:b w:val="0"/>
                    <w:color w:val="auto"/>
                    <w:spacing w:val="2"/>
                    <w:lang w:val="fr-CA"/>
                  </w:rPr>
                  <w:br/>
                </w:r>
                <w:r w:rsidR="00096878" w:rsidRPr="00BE4DE9">
                  <w:rPr>
                    <w:rFonts w:ascii="Arial" w:hAnsi="Arial" w:cs="Arial"/>
                    <w:b w:val="0"/>
                    <w:color w:val="auto"/>
                    <w:spacing w:val="2"/>
                    <w:lang w:val="fr-CA"/>
                  </w:rPr>
                  <w:t>P</w:t>
                </w:r>
                <w:r w:rsidRPr="00BE4DE9">
                  <w:rPr>
                    <w:rFonts w:ascii="Arial" w:hAnsi="Arial" w:cs="Arial"/>
                    <w:b w:val="0"/>
                    <w:color w:val="auto"/>
                    <w:spacing w:val="2"/>
                    <w:lang w:val="fr-CA"/>
                  </w:rPr>
                  <w:t xml:space="preserve">hone 03 9653 2244 | </w:t>
                </w:r>
                <w:proofErr w:type="gramStart"/>
                <w:r w:rsidR="00096878" w:rsidRPr="00BE4DE9">
                  <w:rPr>
                    <w:rFonts w:ascii="Arial" w:hAnsi="Arial" w:cs="Arial"/>
                    <w:b w:val="0"/>
                    <w:color w:val="auto"/>
                    <w:spacing w:val="2"/>
                    <w:lang w:val="fr-CA"/>
                  </w:rPr>
                  <w:t>E</w:t>
                </w:r>
                <w:r w:rsidRPr="00BE4DE9">
                  <w:rPr>
                    <w:rFonts w:ascii="Arial" w:hAnsi="Arial" w:cs="Arial"/>
                    <w:b w:val="0"/>
                    <w:color w:val="auto"/>
                    <w:spacing w:val="2"/>
                    <w:lang w:val="fr-CA"/>
                  </w:rPr>
                  <w:t>mail</w:t>
                </w:r>
                <w:proofErr w:type="gramEnd"/>
                <w:r w:rsidRPr="00BE4DE9">
                  <w:rPr>
                    <w:rFonts w:ascii="Arial" w:hAnsi="Arial" w:cs="Arial"/>
                    <w:b w:val="0"/>
                    <w:color w:val="auto"/>
                    <w:spacing w:val="2"/>
                    <w:lang w:val="fr-CA"/>
                  </w:rPr>
                  <w:t xml:space="preserve"> publications@pc.gov.au</w:t>
                </w:r>
              </w:p>
            </w:tc>
          </w:tr>
        </w:tbl>
        <w:p w14:paraId="11B5ACFF" w14:textId="77777777" w:rsidR="004F7BE2" w:rsidRPr="00DA3017" w:rsidRDefault="004F7BE2" w:rsidP="004F7BE2">
          <w:pPr>
            <w:spacing w:before="0" w:after="160" w:line="259" w:lineRule="auto"/>
            <w:rPr>
              <w:b/>
              <w:color w:val="FFFFFF" w:themeColor="background1"/>
            </w:rPr>
          </w:pPr>
          <w:r w:rsidRPr="00BE4DE9">
            <w:rPr>
              <w:rStyle w:val="White"/>
              <w:b/>
              <w:lang w:val="fr-CA"/>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50215D27" w14:textId="77777777" w:rsidTr="002A6205">
        <w:trPr>
          <w:trHeight w:hRule="exact" w:val="12643"/>
        </w:trPr>
        <w:tc>
          <w:tcPr>
            <w:tcW w:w="9638" w:type="dxa"/>
            <w:shd w:val="clear" w:color="auto" w:fill="F4F5F6"/>
          </w:tcPr>
          <w:p w14:paraId="01BA648B" w14:textId="77777777" w:rsidR="004F7BE2" w:rsidRDefault="004F7BE2" w:rsidP="004F7BE2">
            <w:pPr>
              <w:pStyle w:val="Heading1-nobackground"/>
            </w:pPr>
            <w:bookmarkStart w:id="0" w:name="_Toc205208755"/>
            <w:r>
              <w:lastRenderedPageBreak/>
              <w:t>Opportunity for comment</w:t>
            </w:r>
            <w:bookmarkEnd w:id="0"/>
          </w:p>
          <w:p w14:paraId="68D72693" w14:textId="77777777" w:rsidR="00A838DE" w:rsidRDefault="004B09B0" w:rsidP="00681161">
            <w:pPr>
              <w:pStyle w:val="BodyText"/>
            </w:pPr>
            <w:r>
              <w:t>T</w:t>
            </w:r>
            <w:r w:rsidRPr="00A231B1">
              <w:t>he</w:t>
            </w:r>
            <w:r w:rsidR="00A231B1" w:rsidRPr="00A231B1">
              <w:t xml:space="preserve"> PC thanks all participants for their contribution to th</w:t>
            </w:r>
            <w:r w:rsidR="008A1C57">
              <w:t>is Inquiry</w:t>
            </w:r>
            <w:r w:rsidR="00A231B1" w:rsidRPr="00A231B1">
              <w:t xml:space="preserve"> and now seeks additional input for the final report. </w:t>
            </w:r>
          </w:p>
          <w:p w14:paraId="4FEA25C0" w14:textId="77777777" w:rsidR="00A838DE" w:rsidRDefault="00A231B1" w:rsidP="00681161">
            <w:pPr>
              <w:pStyle w:val="BodyText"/>
            </w:pPr>
            <w:r w:rsidRPr="00A231B1">
              <w:t>You are invited to examine this interim report and comment on it by written submission to the PC, preferably in electronic format, by</w:t>
            </w:r>
            <w:r w:rsidR="008A1C57">
              <w:t xml:space="preserve"> </w:t>
            </w:r>
            <w:r w:rsidR="00A838DE">
              <w:t>15 September</w:t>
            </w:r>
            <w:r w:rsidR="008A1C57">
              <w:t xml:space="preserve"> </w:t>
            </w:r>
            <w:r w:rsidRPr="00A231B1">
              <w:t xml:space="preserve">2025. </w:t>
            </w:r>
          </w:p>
          <w:p w14:paraId="2F400288" w14:textId="5FBEDBAC" w:rsidR="00A838DE" w:rsidRDefault="00CD76AF" w:rsidP="00681161">
            <w:pPr>
              <w:pStyle w:val="BodyText"/>
            </w:pPr>
            <w:r>
              <w:t>Further</w:t>
            </w:r>
            <w:r w:rsidR="00A231B1" w:rsidRPr="00A231B1">
              <w:t xml:space="preserve"> information on how to provide a submission is included on the website: </w:t>
            </w:r>
            <w:r w:rsidR="005B32C5" w:rsidRPr="00DE473D">
              <w:t>www.pc.gov.au/inquiries/current/adaptable-workforce</w:t>
            </w:r>
            <w:r w:rsidR="00AF48A6">
              <w:t xml:space="preserve"> </w:t>
            </w:r>
          </w:p>
          <w:p w14:paraId="7D0B50DF" w14:textId="2579084C" w:rsidR="004F7BE2" w:rsidRDefault="00A231B1" w:rsidP="00231B8D">
            <w:pPr>
              <w:pStyle w:val="BodyText"/>
            </w:pPr>
            <w:r w:rsidRPr="00A231B1">
              <w:t>The PC will prepare the final report after further submissions have been received, and it will hold further discussions with participants.</w:t>
            </w:r>
          </w:p>
          <w:p w14:paraId="7AB4FF8D" w14:textId="018A039B" w:rsidR="004B09B0" w:rsidRPr="004B09B0" w:rsidRDefault="004B09B0" w:rsidP="00A85409">
            <w:pPr>
              <w:pStyle w:val="Heading2-nonumber"/>
            </w:pPr>
            <w:bookmarkStart w:id="1" w:name="_Toc205202641"/>
            <w:bookmarkStart w:id="2" w:name="_Toc205208756"/>
            <w:r w:rsidRPr="004B09B0">
              <w:t>Commissioners</w:t>
            </w:r>
            <w:bookmarkEnd w:id="1"/>
            <w:bookmarkEnd w:id="2"/>
          </w:p>
          <w:tbl>
            <w:tblPr>
              <w:tblW w:w="0" w:type="auto"/>
              <w:tblLook w:val="01E0" w:firstRow="1" w:lastRow="1" w:firstColumn="1" w:lastColumn="1" w:noHBand="0" w:noVBand="0"/>
            </w:tblPr>
            <w:tblGrid>
              <w:gridCol w:w="2697"/>
              <w:gridCol w:w="6092"/>
            </w:tblGrid>
            <w:tr w:rsidR="004F7BE2" w14:paraId="331AC13F" w14:textId="77777777" w:rsidTr="005B32C5">
              <w:tc>
                <w:tcPr>
                  <w:tcW w:w="2697" w:type="dxa"/>
                  <w:tcMar>
                    <w:left w:w="0" w:type="dxa"/>
                    <w:right w:w="0" w:type="dxa"/>
                  </w:tcMar>
                </w:tcPr>
                <w:p w14:paraId="362A83E8" w14:textId="4C3BF049" w:rsidR="004F7BE2" w:rsidRDefault="009C4571" w:rsidP="00231B8D">
                  <w:pPr>
                    <w:pStyle w:val="BodyText"/>
                  </w:pPr>
                  <w:r>
                    <w:t>Alex Robson</w:t>
                  </w:r>
                </w:p>
              </w:tc>
              <w:tc>
                <w:tcPr>
                  <w:tcW w:w="6092" w:type="dxa"/>
                </w:tcPr>
                <w:p w14:paraId="18132FBA" w14:textId="2D341401" w:rsidR="004F7BE2" w:rsidRDefault="009C4571" w:rsidP="00231B8D">
                  <w:pPr>
                    <w:pStyle w:val="BodyText"/>
                  </w:pPr>
                  <w:r>
                    <w:t>Deputy Chair</w:t>
                  </w:r>
                </w:p>
              </w:tc>
            </w:tr>
            <w:tr w:rsidR="004F7BE2" w14:paraId="40859370" w14:textId="77777777" w:rsidTr="005B32C5">
              <w:tc>
                <w:tcPr>
                  <w:tcW w:w="2697" w:type="dxa"/>
                  <w:tcMar>
                    <w:left w:w="0" w:type="dxa"/>
                    <w:right w:w="0" w:type="dxa"/>
                  </w:tcMar>
                </w:tcPr>
                <w:p w14:paraId="24745D17" w14:textId="0F272F68" w:rsidR="004F7BE2" w:rsidRDefault="00353CE5" w:rsidP="00231B8D">
                  <w:pPr>
                    <w:pStyle w:val="BodyText"/>
                  </w:pPr>
                  <w:r>
                    <w:t>Catherine</w:t>
                  </w:r>
                  <w:r w:rsidR="0052556D">
                    <w:t xml:space="preserve"> </w:t>
                  </w:r>
                  <w:r w:rsidR="005B17E6">
                    <w:t>de Font</w:t>
                  </w:r>
                  <w:r w:rsidR="00E946E6">
                    <w:t>enay</w:t>
                  </w:r>
                </w:p>
              </w:tc>
              <w:tc>
                <w:tcPr>
                  <w:tcW w:w="6092" w:type="dxa"/>
                </w:tcPr>
                <w:p w14:paraId="1F23EE9C" w14:textId="77777777" w:rsidR="004F7BE2" w:rsidRDefault="004F7BE2" w:rsidP="00231B8D">
                  <w:pPr>
                    <w:pStyle w:val="BodyText"/>
                  </w:pPr>
                  <w:r>
                    <w:t>Commissioner</w:t>
                  </w:r>
                </w:p>
              </w:tc>
            </w:tr>
          </w:tbl>
          <w:p w14:paraId="5F761570" w14:textId="77777777" w:rsidR="004F7BE2" w:rsidRPr="00DD6473" w:rsidRDefault="004F7BE2" w:rsidP="00231B8D">
            <w:pPr>
              <w:pStyle w:val="BodyText"/>
            </w:pPr>
          </w:p>
        </w:tc>
      </w:tr>
    </w:tbl>
    <w:p w14:paraId="2AFF777D" w14:textId="77777777" w:rsidR="004F7BE2" w:rsidRDefault="004F7BE2" w:rsidP="004F7BE2">
      <w:pPr>
        <w:pStyle w:val="BodyText"/>
        <w:sectPr w:rsidR="004F7BE2" w:rsidSect="00910AD4">
          <w:headerReference w:type="even" r:id="rId21"/>
          <w:headerReference w:type="default" r:id="rId22"/>
          <w:footerReference w:type="even" r:id="rId23"/>
          <w:footerReference w:type="default" r:id="rId24"/>
          <w:headerReference w:type="first" r:id="rId25"/>
          <w:pgSz w:w="11906" w:h="16838" w:code="9"/>
          <w:pgMar w:top="1134" w:right="1134" w:bottom="1134" w:left="1134" w:header="794" w:footer="510" w:gutter="0"/>
          <w:pgNumType w:fmt="lowerRoman" w:start="2"/>
          <w:cols w:space="708"/>
          <w:docGrid w:linePitch="360"/>
        </w:sectPr>
      </w:pPr>
      <w:bookmarkStart w:id="3" w:name="_Toc77943765"/>
    </w:p>
    <w:bookmarkEnd w:id="3"/>
    <w:p w14:paraId="7B8C3B8F" w14:textId="677C2564" w:rsidR="00FF0A71" w:rsidRDefault="00FF0A71">
      <w:pPr>
        <w:spacing w:before="0" w:after="160" w:line="259" w:lineRule="auto"/>
        <w:rPr>
          <w:noProof/>
        </w:rPr>
      </w:pPr>
      <w:r>
        <w:rPr>
          <w:noProof/>
        </w:rPr>
        <w:lastRenderedPageBreak/>
        <w:br w:type="page"/>
      </w:r>
    </w:p>
    <w:p w14:paraId="7D101F36" w14:textId="77777777" w:rsidR="000E2226" w:rsidRDefault="000E2226" w:rsidP="00B43AF4">
      <w:pPr>
        <w:rPr>
          <w:bCs/>
          <w:noProof/>
        </w:rPr>
        <w:sectPr w:rsidR="000E2226" w:rsidSect="002D1668">
          <w:headerReference w:type="even" r:id="rId26"/>
          <w:pgSz w:w="11906" w:h="16838" w:code="9"/>
          <w:pgMar w:top="1134" w:right="1134" w:bottom="1134" w:left="1134" w:header="794" w:footer="510" w:gutter="0"/>
          <w:pgNumType w:fmt="lowerRoman"/>
          <w:cols w:space="708"/>
          <w:docGrid w:linePitch="360"/>
        </w:sectPr>
      </w:pPr>
    </w:p>
    <w:p w14:paraId="2C87375F" w14:textId="77777777" w:rsidR="0005281D" w:rsidRPr="00AF31E5" w:rsidRDefault="0005281D" w:rsidP="00231B8D">
      <w:pPr>
        <w:pStyle w:val="Heading1-nonumber"/>
      </w:pPr>
      <w:bookmarkStart w:id="4" w:name="_Toc205208764"/>
      <w:r w:rsidRPr="0027691A">
        <w:lastRenderedPageBreak/>
        <w:t>Executive</w:t>
      </w:r>
      <w:r>
        <w:t xml:space="preserve"> summary</w:t>
      </w:r>
      <w:bookmarkEnd w:id="4"/>
    </w:p>
    <w:p w14:paraId="4451CBFB" w14:textId="77777777" w:rsidR="0005281D" w:rsidRDefault="0005281D" w:rsidP="00231B8D">
      <w:r>
        <w:t>This report proposes reforms to secondary and post</w:t>
      </w:r>
      <w:r>
        <w:noBreakHyphen/>
        <w:t xml:space="preserve">secondary education and to occupational entry requirements to build a more </w:t>
      </w:r>
      <w:r w:rsidRPr="004A54D9">
        <w:t>skilled and adaptable workforce</w:t>
      </w:r>
      <w:r>
        <w:t>,</w:t>
      </w:r>
      <w:r w:rsidRPr="004A54D9">
        <w:t xml:space="preserve"> </w:t>
      </w:r>
      <w:r>
        <w:t xml:space="preserve">an essential </w:t>
      </w:r>
      <w:r w:rsidRPr="004A54D9">
        <w:t xml:space="preserve">pillar of </w:t>
      </w:r>
      <w:r>
        <w:t>a growing economy</w:t>
      </w:r>
      <w:r w:rsidRPr="004A54D9">
        <w:t xml:space="preserve">. </w:t>
      </w:r>
      <w:r>
        <w:t>While</w:t>
      </w:r>
      <w:r w:rsidDel="0082218A">
        <w:t xml:space="preserve"> </w:t>
      </w:r>
      <w:r>
        <w:t>reforms are underway to boost the quantity and quality of skills in Australia, the adaptability of our workforce has received less attention. Yet the average worker is likely to change occupations two or three times over the next two decades, and to be sure of ongoing work, will need to both learn new skills and adapt to new tasks and contexts. Workers will need solid foundational skills, smooth pathways to upskilling, and easier entry into new occupations.</w:t>
      </w:r>
    </w:p>
    <w:p w14:paraId="110B3F77" w14:textId="77777777" w:rsidR="0005281D" w:rsidRDefault="0005281D" w:rsidP="00231B8D">
      <w:r>
        <w:t>Foundational skills allow workers to learn new skills, improving their productivity and employability. Yet the share of students leaving school with solid foundational skills is falling. School teachers are under pressure to produce teaching materials for a wide range of student abilities. These challenges are more acute for teachers in remote areas or who teach out of their field. We propose the creation of a</w:t>
      </w:r>
      <w:r w:rsidRPr="009343B2">
        <w:t xml:space="preserve"> single, national platform </w:t>
      </w:r>
      <w:r>
        <w:t>to host</w:t>
      </w:r>
      <w:r w:rsidRPr="009343B2">
        <w:t xml:space="preserve"> </w:t>
      </w:r>
      <w:r>
        <w:t xml:space="preserve">lesson planning, curriculum and support materials, ensuring that all teachers can meet </w:t>
      </w:r>
      <w:r w:rsidRPr="009343B2">
        <w:t>their student</w:t>
      </w:r>
      <w:r>
        <w:t>s’</w:t>
      </w:r>
      <w:r w:rsidRPr="009343B2">
        <w:t xml:space="preserve"> learning needs. </w:t>
      </w:r>
    </w:p>
    <w:p w14:paraId="778E858E" w14:textId="77777777" w:rsidR="0005281D" w:rsidRDefault="0005281D" w:rsidP="00231B8D">
      <w:r>
        <w:t>Well implemented generative artificial intelligence (GenAI) and other technologies have tremendous potential to support students who are falling behind, and challenge those who are ahead. We propose a</w:t>
      </w:r>
      <w:r w:rsidRPr="00E667EB">
        <w:t xml:space="preserve"> national approach to advanced educational technology</w:t>
      </w:r>
      <w:r>
        <w:t>. At present states and territories are developing and adapting advanced edtech, such as chatbots, at their own pace, with some not developing any at all. A national approach would aid innovation, support equal access to high</w:t>
      </w:r>
      <w:r>
        <w:noBreakHyphen/>
        <w:t xml:space="preserve">quality tools, and </w:t>
      </w:r>
      <w:r w:rsidRPr="005D7493">
        <w:t xml:space="preserve">spread the benefits to </w:t>
      </w:r>
      <w:r>
        <w:t>all.</w:t>
      </w:r>
    </w:p>
    <w:p w14:paraId="31A683CF" w14:textId="77777777" w:rsidR="0005281D" w:rsidRDefault="0005281D" w:rsidP="00231B8D">
      <w:r>
        <w:t>Without opportunities to upskill, workers and jobseekers may find themselves stuck in less rewarding work or in unemployment. People of all ages and backgrounds need smoother entry pathways to Vocational Education and Training and universities, and better transitions between these two sectors. Better</w:t>
      </w:r>
      <w:r w:rsidDel="00791DFE">
        <w:t xml:space="preserve"> </w:t>
      </w:r>
      <w:r>
        <w:t xml:space="preserve">recognition of prior learning and credit transfer arrangements can make it easier for workers to access learning and build their skills over time. A national database of credit decisions is a necessary first step. </w:t>
      </w:r>
    </w:p>
    <w:p w14:paraId="5C1B7357" w14:textId="77777777" w:rsidR="0005281D" w:rsidRDefault="0005281D" w:rsidP="00231B8D">
      <w:r>
        <w:t>Workers should be supported to continue to learn once in employment. Ensuring that work</w:t>
      </w:r>
      <w:r>
        <w:noBreakHyphen/>
        <w:t xml:space="preserve">related training incentives are targeted at the financial barriers faced by small and medium enterprises – </w:t>
      </w:r>
      <w:proofErr w:type="gramStart"/>
      <w:r>
        <w:t>the majority of</w:t>
      </w:r>
      <w:proofErr w:type="gramEnd"/>
      <w:r>
        <w:t xml:space="preserve"> employers </w:t>
      </w:r>
      <w:r w:rsidRPr="004A54D9">
        <w:t>–</w:t>
      </w:r>
      <w:r>
        <w:t xml:space="preserve"> can support workers in these businesses to engage in lifelong skill development.</w:t>
      </w:r>
    </w:p>
    <w:p w14:paraId="2424B3F6" w14:textId="77777777" w:rsidR="0005281D" w:rsidRDefault="0005281D" w:rsidP="00231B8D">
      <w:pPr>
        <w:rPr>
          <w:color w:val="000000" w:themeColor="text1"/>
        </w:rPr>
      </w:pPr>
      <w:r>
        <w:rPr>
          <w:color w:val="000000" w:themeColor="text1"/>
        </w:rPr>
        <w:t xml:space="preserve">Improving our education systems will not be enough; we must make better use of existing skills and not create excessive entry requirements for workers. </w:t>
      </w:r>
      <w:r w:rsidRPr="00B55CD1">
        <w:rPr>
          <w:color w:val="000000" w:themeColor="text1"/>
        </w:rPr>
        <w:t>About one in five</w:t>
      </w:r>
      <w:r>
        <w:rPr>
          <w:color w:val="000000" w:themeColor="text1"/>
        </w:rPr>
        <w:t xml:space="preserve"> </w:t>
      </w:r>
      <w:r w:rsidRPr="00B55CD1">
        <w:rPr>
          <w:color w:val="000000" w:themeColor="text1"/>
        </w:rPr>
        <w:t>workers in Australia are subject to occupational entry regulations (OERs)</w:t>
      </w:r>
      <w:r>
        <w:rPr>
          <w:color w:val="000000" w:themeColor="text1"/>
        </w:rPr>
        <w:t xml:space="preserve"> – requirements to </w:t>
      </w:r>
      <w:r w:rsidRPr="00B55CD1">
        <w:rPr>
          <w:color w:val="000000" w:themeColor="text1"/>
        </w:rPr>
        <w:t>meet minimum conditions such as completing a degree, applying for a</w:t>
      </w:r>
      <w:r>
        <w:rPr>
          <w:color w:val="000000" w:themeColor="text1"/>
        </w:rPr>
        <w:t xml:space="preserve"> </w:t>
      </w:r>
      <w:r w:rsidRPr="00B55CD1">
        <w:rPr>
          <w:color w:val="000000" w:themeColor="text1"/>
        </w:rPr>
        <w:t xml:space="preserve">licence or passing an exam. </w:t>
      </w:r>
      <w:r w:rsidRPr="00EE7D8F">
        <w:rPr>
          <w:color w:val="000000" w:themeColor="text1"/>
        </w:rPr>
        <w:t>Evidence suggests that OERs worsen worker shortages.</w:t>
      </w:r>
      <w:r>
        <w:rPr>
          <w:color w:val="000000" w:themeColor="text1"/>
        </w:rPr>
        <w:t xml:space="preserve"> </w:t>
      </w:r>
    </w:p>
    <w:p w14:paraId="2F18B8AA" w14:textId="77777777" w:rsidR="0005281D" w:rsidRDefault="0005281D" w:rsidP="00231B8D">
      <w:r>
        <w:rPr>
          <w:color w:val="000000" w:themeColor="text1"/>
        </w:rPr>
        <w:t>Governments can ensure that consumers and workers are protected</w:t>
      </w:r>
      <w:r w:rsidRPr="2162DC0A">
        <w:rPr>
          <w:color w:val="000000" w:themeColor="text1"/>
        </w:rPr>
        <w:t>,</w:t>
      </w:r>
      <w:r>
        <w:rPr>
          <w:color w:val="000000" w:themeColor="text1"/>
        </w:rPr>
        <w:t xml:space="preserve"> while taking steps to remove or loosen unduly restrictive regulations.</w:t>
      </w:r>
      <w:r>
        <w:t xml:space="preserve"> State and territory governments could begin by reducing the excessive regulations that exist in some jurisdictions. We also suggest that m</w:t>
      </w:r>
      <w:r w:rsidRPr="00290973">
        <w:t xml:space="preserve">ore flexible </w:t>
      </w:r>
      <w:r>
        <w:t>trades</w:t>
      </w:r>
      <w:r w:rsidRPr="00290973">
        <w:t xml:space="preserve"> entry</w:t>
      </w:r>
      <w:r>
        <w:t xml:space="preserve"> </w:t>
      </w:r>
      <w:r w:rsidRPr="00290973">
        <w:t xml:space="preserve">pathways </w:t>
      </w:r>
      <w:r>
        <w:t xml:space="preserve">can be </w:t>
      </w:r>
      <w:proofErr w:type="gramStart"/>
      <w:r>
        <w:t>created</w:t>
      </w:r>
      <w:proofErr w:type="gramEnd"/>
      <w:r>
        <w:t xml:space="preserve"> </w:t>
      </w:r>
      <w:r w:rsidRPr="00290973">
        <w:t>and qualification requirements streamline</w:t>
      </w:r>
      <w:r>
        <w:t>d</w:t>
      </w:r>
      <w:r w:rsidRPr="00290973">
        <w:t xml:space="preserve"> without compromising the competency of workers</w:t>
      </w:r>
      <w:r>
        <w:t>, and that overly burdensome qualification requirements for some professional occupations be removed.</w:t>
      </w:r>
      <w:r>
        <w:br w:type="page"/>
      </w:r>
    </w:p>
    <w:p w14:paraId="6271127E" w14:textId="77777777" w:rsidR="0005281D" w:rsidRDefault="0005281D" w:rsidP="00231B8D">
      <w:pPr>
        <w:pStyle w:val="Heading1-nonumber"/>
      </w:pPr>
      <w:bookmarkStart w:id="5" w:name="_Toc205208765"/>
      <w:r>
        <w:lastRenderedPageBreak/>
        <w:t>Draft recommendations</w:t>
      </w:r>
      <w:bookmarkEnd w:id="5"/>
    </w:p>
    <w:p w14:paraId="26DF6994" w14:textId="77777777" w:rsidR="0005281D" w:rsidRDefault="0005281D" w:rsidP="00231B8D">
      <w:pPr>
        <w:pStyle w:val="Heading2-nonumber"/>
      </w:pPr>
      <w:bookmarkStart w:id="6" w:name="_Toc205202651"/>
      <w:bookmarkStart w:id="7" w:name="_Toc205208766"/>
      <w:r w:rsidRPr="007365C6">
        <w:t>The best resources to improve school student outcomes</w:t>
      </w:r>
      <w:bookmarkEnd w:id="6"/>
      <w:bookmarkEnd w:id="7"/>
    </w:p>
    <w:tbl>
      <w:tblPr>
        <w:tblStyle w:val="Texttable-Paleblue"/>
        <w:tblW w:w="5000" w:type="pct"/>
        <w:tblLook w:val="04A0" w:firstRow="1" w:lastRow="0" w:firstColumn="1" w:lastColumn="0" w:noHBand="0" w:noVBand="1"/>
      </w:tblPr>
      <w:tblGrid>
        <w:gridCol w:w="713"/>
        <w:gridCol w:w="8925"/>
      </w:tblGrid>
      <w:tr w:rsidR="0005281D" w14:paraId="59521FFE" w14:textId="77777777">
        <w:trPr>
          <w:tblHeader/>
        </w:trPr>
        <w:tc>
          <w:tcPr>
            <w:tcW w:w="713" w:type="dxa"/>
            <w:shd w:val="clear" w:color="auto" w:fill="E7F6FD"/>
            <w:tcMar>
              <w:top w:w="0" w:type="dxa"/>
              <w:bottom w:w="0" w:type="dxa"/>
            </w:tcMar>
            <w:vAlign w:val="center"/>
          </w:tcPr>
          <w:p w14:paraId="63E22BA1" w14:textId="77777777" w:rsidR="0005281D" w:rsidRDefault="0005281D">
            <w:pPr>
              <w:keepLines/>
              <w:jc w:val="center"/>
            </w:pPr>
            <w:r w:rsidRPr="00A51374">
              <w:rPr>
                <w:noProof/>
              </w:rPr>
              <w:drawing>
                <wp:inline distT="0" distB="0" distL="0" distR="0" wp14:anchorId="5451FC37" wp14:editId="6845AA90">
                  <wp:extent cx="288000" cy="288000"/>
                  <wp:effectExtent l="0" t="0" r="0" b="0"/>
                  <wp:docPr id="2115589159" name="Graphic 2115589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6B0A9A9" w14:textId="41CDE702" w:rsidR="0005281D" w:rsidRDefault="0005281D">
            <w:pPr>
              <w:pStyle w:val="TableHeading"/>
              <w:keepLines/>
              <w:spacing w:before="120" w:after="120"/>
              <w:contextualSpacing/>
              <w:rPr>
                <w:sz w:val="20"/>
              </w:rPr>
            </w:pPr>
            <w:r>
              <w:rPr>
                <w:sz w:val="20"/>
              </w:rPr>
              <w:t>Draft r</w:t>
            </w:r>
            <w:r w:rsidRPr="00715040">
              <w:rPr>
                <w:sz w:val="20"/>
              </w:rPr>
              <w:t>ecommendation</w:t>
            </w:r>
            <w:r>
              <w:rPr>
                <w:sz w:val="20"/>
              </w:rPr>
              <w:t xml:space="preserve"> 1.</w:t>
            </w:r>
            <w:r w:rsidR="000D33D3">
              <w:rPr>
                <w:noProof/>
                <w:sz w:val="20"/>
              </w:rPr>
              <w:t>1</w:t>
            </w:r>
          </w:p>
          <w:p w14:paraId="7269A0FE" w14:textId="77777777" w:rsidR="0005281D" w:rsidRPr="00715040" w:rsidRDefault="0005281D">
            <w:pPr>
              <w:pStyle w:val="TableHeading"/>
              <w:keepLines/>
              <w:spacing w:before="120" w:after="120"/>
              <w:contextualSpacing/>
              <w:rPr>
                <w:sz w:val="20"/>
              </w:rPr>
            </w:pPr>
            <w:r>
              <w:rPr>
                <w:sz w:val="20"/>
              </w:rPr>
              <w:t xml:space="preserve">Invest in a single national platform </w:t>
            </w:r>
            <w:r w:rsidRPr="00774C94">
              <w:rPr>
                <w:sz w:val="20"/>
              </w:rPr>
              <w:t>for all teachers to access lesson planning materials</w:t>
            </w:r>
          </w:p>
        </w:tc>
      </w:tr>
      <w:tr w:rsidR="0005281D" w14:paraId="4E8C42B0" w14:textId="77777777">
        <w:tc>
          <w:tcPr>
            <w:tcW w:w="9638" w:type="dxa"/>
            <w:gridSpan w:val="2"/>
            <w:shd w:val="clear" w:color="auto" w:fill="E7F6FD"/>
            <w:tcMar>
              <w:top w:w="0" w:type="dxa"/>
            </w:tcMar>
          </w:tcPr>
          <w:p w14:paraId="3EA22685" w14:textId="025B8EB9" w:rsidR="0005281D" w:rsidRDefault="0005281D" w:rsidP="00EC5676">
            <w:pPr>
              <w:spacing w:line="260" w:lineRule="atLeast"/>
            </w:pPr>
            <w:r w:rsidRPr="00BD50A3">
              <w:t xml:space="preserve">The Australian </w:t>
            </w:r>
            <w:r>
              <w:t>G</w:t>
            </w:r>
            <w:r w:rsidRPr="00BD50A3">
              <w:t>overnment</w:t>
            </w:r>
            <w:r>
              <w:t xml:space="preserve"> should invest in a single online national platform that houses a comprehensive bank of high</w:t>
            </w:r>
            <w:r>
              <w:noBreakHyphen/>
              <w:t>quality, curriculum</w:t>
            </w:r>
            <w:r>
              <w:noBreakHyphen/>
              <w:t>aligned lesson planning materials. These materials should be publicly available to teachers</w:t>
            </w:r>
            <w:r w:rsidDel="00E42393">
              <w:t xml:space="preserve"> </w:t>
            </w:r>
            <w:r>
              <w:t xml:space="preserve">in all states and territories and across all school sectors, including </w:t>
            </w:r>
            <w:r w:rsidRPr="00BD50A3">
              <w:t>Catholic and independent schools</w:t>
            </w:r>
            <w:r>
              <w:t>.</w:t>
            </w:r>
          </w:p>
          <w:p w14:paraId="6DAC8E96" w14:textId="77777777" w:rsidR="0005281D" w:rsidRDefault="0005281D" w:rsidP="00EC5676">
            <w:pPr>
              <w:spacing w:line="260" w:lineRule="atLeast"/>
            </w:pPr>
            <w:r>
              <w:t>To support this objective, appropriate national education bodies should be asked to:</w:t>
            </w:r>
          </w:p>
          <w:p w14:paraId="0FE6FB45" w14:textId="77777777" w:rsidR="0005281D" w:rsidRPr="009442BB" w:rsidRDefault="0005281D" w:rsidP="00EC5676">
            <w:pPr>
              <w:pStyle w:val="ListBullet"/>
              <w:spacing w:line="260" w:lineRule="atLeast"/>
            </w:pPr>
            <w:r w:rsidRPr="009442BB">
              <w:t>develop and maintain a complete resource bank of lesson planning materials that aligns with and covers all components in F–10 of the current endorsed version of the Australian Curriculum. These materials should draw from existing materials where these are assessed as high quality and support evidence</w:t>
            </w:r>
            <w:r w:rsidRPr="009442BB">
              <w:noBreakHyphen/>
              <w:t xml:space="preserve">based teaching practices that align with how students learn </w:t>
            </w:r>
          </w:p>
          <w:p w14:paraId="2B423366" w14:textId="77777777" w:rsidR="0005281D" w:rsidRPr="009442BB" w:rsidRDefault="0005281D" w:rsidP="00EC5676">
            <w:pPr>
              <w:pStyle w:val="ListBullet"/>
              <w:spacing w:line="260" w:lineRule="atLeast"/>
            </w:pPr>
            <w:r w:rsidRPr="009442BB">
              <w:t>establish a national framework for assessing the quality of lesson planning materials and their alignment with evidence</w:t>
            </w:r>
            <w:r w:rsidRPr="009442BB">
              <w:noBreakHyphen/>
              <w:t>based education standards</w:t>
            </w:r>
          </w:p>
          <w:p w14:paraId="25BAA5C6" w14:textId="77777777" w:rsidR="0005281D" w:rsidRPr="009442BB" w:rsidRDefault="0005281D" w:rsidP="00EC5676">
            <w:pPr>
              <w:pStyle w:val="ListBullet"/>
              <w:spacing w:line="260" w:lineRule="atLeast"/>
            </w:pPr>
            <w:r w:rsidRPr="009442BB">
              <w:t xml:space="preserve">promote a national online platform for all teachers to access the resource bank. Materials on the platform should </w:t>
            </w:r>
            <w:r w:rsidRPr="009442BB" w:rsidDel="004B4A58">
              <w:t xml:space="preserve">be regularly updated and include </w:t>
            </w:r>
            <w:r w:rsidRPr="009442BB" w:rsidDel="00D56751">
              <w:t xml:space="preserve">jurisdictionally developed </w:t>
            </w:r>
            <w:r w:rsidRPr="009442BB" w:rsidDel="004B4A58">
              <w:t xml:space="preserve">materials </w:t>
            </w:r>
            <w:r w:rsidRPr="009442BB">
              <w:t xml:space="preserve">where feasible </w:t>
            </w:r>
          </w:p>
          <w:p w14:paraId="04766EFB" w14:textId="77777777" w:rsidR="0005281D" w:rsidRPr="00845D3C" w:rsidRDefault="0005281D" w:rsidP="00EC5676">
            <w:pPr>
              <w:pStyle w:val="ListBullet"/>
              <w:spacing w:line="260" w:lineRule="atLeast"/>
            </w:pPr>
            <w:r w:rsidRPr="009442BB">
              <w:t>develop professional learning programs to help teachers to use the materials and schools to adopt a whole</w:t>
            </w:r>
            <w:r w:rsidRPr="009442BB">
              <w:noBreakHyphen/>
              <w:t>school curriculum approach.</w:t>
            </w:r>
          </w:p>
        </w:tc>
      </w:tr>
      <w:tr w:rsidR="0005281D" w14:paraId="42A5E05C" w14:textId="77777777">
        <w:tc>
          <w:tcPr>
            <w:tcW w:w="9638" w:type="dxa"/>
            <w:gridSpan w:val="2"/>
            <w:shd w:val="clear" w:color="auto" w:fill="auto"/>
            <w:tcMar>
              <w:top w:w="0" w:type="dxa"/>
              <w:bottom w:w="0" w:type="dxa"/>
            </w:tcMar>
          </w:tcPr>
          <w:p w14:paraId="75E739EB" w14:textId="6505E427" w:rsidR="0005281D" w:rsidRPr="007E0EA8" w:rsidRDefault="0005281D">
            <w:pPr>
              <w:pStyle w:val="NoSpacing"/>
              <w:spacing w:line="200" w:lineRule="exact"/>
            </w:pPr>
          </w:p>
        </w:tc>
      </w:tr>
    </w:tbl>
    <w:p w14:paraId="09C38D84" w14:textId="77777777" w:rsidR="00C40C90" w:rsidRDefault="00C40C90" w:rsidP="00F71C27">
      <w:pPr>
        <w:pStyle w:val="NoSpacing"/>
      </w:pPr>
    </w:p>
    <w:tbl>
      <w:tblPr>
        <w:tblStyle w:val="Texttable-Paleblue"/>
        <w:tblW w:w="5000" w:type="pct"/>
        <w:tblLook w:val="04A0" w:firstRow="1" w:lastRow="0" w:firstColumn="1" w:lastColumn="0" w:noHBand="0" w:noVBand="1"/>
      </w:tblPr>
      <w:tblGrid>
        <w:gridCol w:w="713"/>
        <w:gridCol w:w="8925"/>
      </w:tblGrid>
      <w:tr w:rsidR="0005281D" w14:paraId="3776364E" w14:textId="77777777">
        <w:trPr>
          <w:tblHeader/>
        </w:trPr>
        <w:tc>
          <w:tcPr>
            <w:tcW w:w="713" w:type="dxa"/>
            <w:shd w:val="clear" w:color="auto" w:fill="E7F6FD"/>
            <w:tcMar>
              <w:top w:w="0" w:type="dxa"/>
              <w:bottom w:w="0" w:type="dxa"/>
            </w:tcMar>
            <w:vAlign w:val="center"/>
          </w:tcPr>
          <w:p w14:paraId="709D0A27" w14:textId="77777777" w:rsidR="0005281D" w:rsidRDefault="0005281D">
            <w:pPr>
              <w:keepLines/>
              <w:jc w:val="center"/>
            </w:pPr>
            <w:r w:rsidRPr="00A51374">
              <w:rPr>
                <w:noProof/>
              </w:rPr>
              <w:drawing>
                <wp:inline distT="0" distB="0" distL="0" distR="0" wp14:anchorId="53AD3552" wp14:editId="36E370EB">
                  <wp:extent cx="288000" cy="288000"/>
                  <wp:effectExtent l="0" t="0" r="0" b="0"/>
                  <wp:docPr id="998677203" name="Graphic 998677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39B671D" w14:textId="61743867" w:rsidR="0005281D" w:rsidRPr="00B64B58" w:rsidRDefault="0005281D">
            <w:pPr>
              <w:pStyle w:val="TableHeading"/>
              <w:keepLines/>
              <w:spacing w:before="120" w:after="120"/>
              <w:contextualSpacing/>
              <w:rPr>
                <w:sz w:val="20"/>
              </w:rPr>
            </w:pPr>
            <w:r w:rsidRPr="00B64B58">
              <w:rPr>
                <w:sz w:val="20"/>
              </w:rPr>
              <w:t>Draft recommendation 1.</w:t>
            </w:r>
            <w:r w:rsidR="000D33D3">
              <w:rPr>
                <w:noProof/>
                <w:sz w:val="20"/>
              </w:rPr>
              <w:t>2</w:t>
            </w:r>
            <w:r w:rsidRPr="00B64B58">
              <w:rPr>
                <w:sz w:val="20"/>
              </w:rPr>
              <w:t xml:space="preserve"> </w:t>
            </w:r>
          </w:p>
          <w:p w14:paraId="0BCFA193" w14:textId="77777777" w:rsidR="0005281D" w:rsidRPr="00715040" w:rsidRDefault="0005281D">
            <w:pPr>
              <w:pStyle w:val="TableHeading"/>
              <w:keepLines/>
              <w:spacing w:before="120" w:after="120"/>
              <w:contextualSpacing/>
              <w:rPr>
                <w:sz w:val="20"/>
              </w:rPr>
            </w:pPr>
            <w:r w:rsidRPr="002F20B5">
              <w:rPr>
                <w:sz w:val="20"/>
              </w:rPr>
              <w:t xml:space="preserve">Lead national efforts to ensure equitable access to </w:t>
            </w:r>
            <w:r>
              <w:rPr>
                <w:sz w:val="20"/>
              </w:rPr>
              <w:t>educational technology (</w:t>
            </w:r>
            <w:r w:rsidRPr="002F20B5">
              <w:rPr>
                <w:sz w:val="20"/>
              </w:rPr>
              <w:t>edtech</w:t>
            </w:r>
            <w:r>
              <w:rPr>
                <w:sz w:val="20"/>
              </w:rPr>
              <w:t>) and artificial intelligence (</w:t>
            </w:r>
            <w:r w:rsidRPr="002F20B5">
              <w:rPr>
                <w:sz w:val="20"/>
              </w:rPr>
              <w:t>AI</w:t>
            </w:r>
            <w:r>
              <w:rPr>
                <w:sz w:val="20"/>
              </w:rPr>
              <w:t>)</w:t>
            </w:r>
          </w:p>
        </w:tc>
      </w:tr>
      <w:tr w:rsidR="0005281D" w14:paraId="6EB4BFC1" w14:textId="77777777">
        <w:tc>
          <w:tcPr>
            <w:tcW w:w="9638" w:type="dxa"/>
            <w:gridSpan w:val="2"/>
            <w:shd w:val="clear" w:color="auto" w:fill="E7F6FD"/>
            <w:tcMar>
              <w:top w:w="0" w:type="dxa"/>
            </w:tcMar>
          </w:tcPr>
          <w:p w14:paraId="4D0E2720" w14:textId="77777777" w:rsidR="0005281D" w:rsidRDefault="0005281D" w:rsidP="00EC5676">
            <w:pPr>
              <w:pStyle w:val="BodyText"/>
              <w:keepLines/>
              <w:spacing w:line="260" w:lineRule="atLeast"/>
            </w:pPr>
            <w:r>
              <w:t>The Australian Government should provide national leadership on edtech and AI in schools, and work to make the best available tools available to all teachers. Appropriate national education bodies should:</w:t>
            </w:r>
          </w:p>
          <w:p w14:paraId="32FFD9D5" w14:textId="77777777" w:rsidR="0005281D" w:rsidRPr="009442BB" w:rsidRDefault="0005281D" w:rsidP="00EC5676">
            <w:pPr>
              <w:pStyle w:val="ListBullet"/>
              <w:spacing w:line="260" w:lineRule="atLeast"/>
            </w:pPr>
            <w:r w:rsidRPr="009442BB">
              <w:t>establish a framework for assessing edtech tools’ quality and alignment with evidence</w:t>
            </w:r>
            <w:r w:rsidRPr="009442BB">
              <w:noBreakHyphen/>
              <w:t>based practices</w:t>
            </w:r>
          </w:p>
          <w:p w14:paraId="1C5486BD" w14:textId="77777777" w:rsidR="0005281D" w:rsidRPr="009442BB" w:rsidRDefault="0005281D" w:rsidP="00EC5676">
            <w:pPr>
              <w:pStyle w:val="ListBullet"/>
              <w:spacing w:line="260" w:lineRule="atLeast"/>
            </w:pPr>
            <w:r w:rsidRPr="009442BB">
              <w:t>undertake a stocktake of what tools are being used, within Australia and internationally</w:t>
            </w:r>
          </w:p>
          <w:p w14:paraId="71C1C9A3" w14:textId="77777777" w:rsidR="0005281D" w:rsidRPr="009442BB" w:rsidRDefault="0005281D" w:rsidP="00EC5676">
            <w:pPr>
              <w:pStyle w:val="ListBullet"/>
              <w:spacing w:line="260" w:lineRule="atLeast"/>
            </w:pPr>
            <w:r w:rsidRPr="009442BB">
              <w:t>assess selected edtech and AI tools, and recommend suitable tools for nationwide use</w:t>
            </w:r>
          </w:p>
          <w:p w14:paraId="32616F45" w14:textId="77777777" w:rsidR="0005281D" w:rsidRPr="009442BB" w:rsidRDefault="0005281D" w:rsidP="00EC5676">
            <w:pPr>
              <w:pStyle w:val="ListBullet"/>
              <w:spacing w:line="260" w:lineRule="atLeast"/>
            </w:pPr>
            <w:r w:rsidRPr="009442BB">
              <w:t>coordinate acquisition of AI tools for national use, drawing on the combined purchasing power of all states and territories</w:t>
            </w:r>
          </w:p>
          <w:p w14:paraId="5EF68A0C" w14:textId="77777777" w:rsidR="0005281D" w:rsidRPr="009442BB" w:rsidRDefault="0005281D" w:rsidP="00EC5676">
            <w:pPr>
              <w:pStyle w:val="ListBullet"/>
              <w:spacing w:line="260" w:lineRule="atLeast"/>
            </w:pPr>
            <w:r w:rsidRPr="009442BB">
              <w:t>continue to develop and refine guidelines for teachers and school leaders to guide the adoption and use of edtech tools</w:t>
            </w:r>
          </w:p>
          <w:p w14:paraId="331AE259" w14:textId="77777777" w:rsidR="0005281D" w:rsidRPr="009442BB" w:rsidRDefault="0005281D" w:rsidP="00EC5676">
            <w:pPr>
              <w:pStyle w:val="ListBullet"/>
              <w:spacing w:line="260" w:lineRule="atLeast"/>
            </w:pPr>
            <w:r w:rsidRPr="009442BB">
              <w:t>continue to fund trials of new edtech with a commitment to national roll</w:t>
            </w:r>
            <w:r w:rsidRPr="009442BB">
              <w:noBreakHyphen/>
              <w:t>out of successes.</w:t>
            </w:r>
          </w:p>
          <w:p w14:paraId="296A5111" w14:textId="77777777" w:rsidR="0005281D" w:rsidRPr="00767EAE" w:rsidRDefault="0005281D" w:rsidP="00EC5676">
            <w:pPr>
              <w:pStyle w:val="BodyText"/>
              <w:spacing w:line="260" w:lineRule="atLeast"/>
            </w:pPr>
            <w:r>
              <w:t>State and territory governments should focus their efforts on professional development and wrap</w:t>
            </w:r>
            <w:r>
              <w:noBreakHyphen/>
              <w:t>around support for schools that enables teachers to adopt and use these tools effectively.</w:t>
            </w:r>
          </w:p>
        </w:tc>
      </w:tr>
    </w:tbl>
    <w:p w14:paraId="1142D671" w14:textId="77777777" w:rsidR="0005281D" w:rsidRDefault="0005281D" w:rsidP="00231B8D">
      <w:pPr>
        <w:pStyle w:val="Heading2-nonumber"/>
      </w:pPr>
      <w:bookmarkStart w:id="8" w:name="_Toc205202652"/>
      <w:bookmarkStart w:id="9" w:name="_Toc205208767"/>
      <w:r w:rsidRPr="00C3346D">
        <w:lastRenderedPageBreak/>
        <w:t>Building skills and qualifications for a more productive workforce</w:t>
      </w:r>
      <w:bookmarkEnd w:id="8"/>
      <w:bookmarkEnd w:id="9"/>
    </w:p>
    <w:tbl>
      <w:tblPr>
        <w:tblStyle w:val="Texttable-Paleblue"/>
        <w:tblW w:w="5000" w:type="pct"/>
        <w:tblLook w:val="04A0" w:firstRow="1" w:lastRow="0" w:firstColumn="1" w:lastColumn="0" w:noHBand="0" w:noVBand="1"/>
      </w:tblPr>
      <w:tblGrid>
        <w:gridCol w:w="713"/>
        <w:gridCol w:w="8925"/>
      </w:tblGrid>
      <w:tr w:rsidR="0005281D" w:rsidRPr="00715040" w14:paraId="4F8D627A" w14:textId="77777777" w:rsidTr="00231B8D">
        <w:trPr>
          <w:tblHeader/>
        </w:trPr>
        <w:tc>
          <w:tcPr>
            <w:tcW w:w="713" w:type="dxa"/>
            <w:shd w:val="clear" w:color="auto" w:fill="E7F6FD"/>
            <w:tcMar>
              <w:top w:w="0" w:type="dxa"/>
              <w:bottom w:w="0" w:type="dxa"/>
            </w:tcMar>
            <w:vAlign w:val="center"/>
          </w:tcPr>
          <w:p w14:paraId="4C296506" w14:textId="77777777" w:rsidR="0005281D" w:rsidRDefault="0005281D" w:rsidP="00231B8D">
            <w:pPr>
              <w:keepLines/>
              <w:jc w:val="center"/>
            </w:pPr>
            <w:r w:rsidRPr="00A51374">
              <w:rPr>
                <w:noProof/>
              </w:rPr>
              <w:drawing>
                <wp:inline distT="0" distB="0" distL="0" distR="0" wp14:anchorId="4E6FB0F3" wp14:editId="2DE4425B">
                  <wp:extent cx="288000" cy="288000"/>
                  <wp:effectExtent l="0" t="0" r="0" b="0"/>
                  <wp:docPr id="542541812" name="Graphic 542541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B1564F4" w14:textId="77777777" w:rsidR="0005281D" w:rsidRPr="00715040" w:rsidRDefault="0005281D" w:rsidP="00231B8D">
            <w:pPr>
              <w:pStyle w:val="TableHeading"/>
              <w:keepLines/>
              <w:spacing w:before="120" w:after="120"/>
              <w:contextualSpacing/>
              <w:rPr>
                <w:sz w:val="20"/>
              </w:rPr>
            </w:pPr>
            <w:r>
              <w:rPr>
                <w:sz w:val="20"/>
              </w:rPr>
              <w:t>Draft r</w:t>
            </w:r>
            <w:r w:rsidRPr="00715040">
              <w:rPr>
                <w:sz w:val="20"/>
              </w:rPr>
              <w:t xml:space="preserve">ecommendation </w:t>
            </w:r>
            <w:r>
              <w:rPr>
                <w:sz w:val="20"/>
              </w:rPr>
              <w:t>2.1</w:t>
            </w:r>
          </w:p>
          <w:p w14:paraId="2ECED350" w14:textId="77777777" w:rsidR="0005281D" w:rsidRPr="00715040" w:rsidRDefault="0005281D" w:rsidP="00231B8D">
            <w:pPr>
              <w:pStyle w:val="TableHeading"/>
              <w:keepLines/>
              <w:spacing w:before="120" w:after="120"/>
              <w:contextualSpacing/>
              <w:rPr>
                <w:sz w:val="20"/>
              </w:rPr>
            </w:pPr>
            <w:r>
              <w:rPr>
                <w:sz w:val="20"/>
              </w:rPr>
              <w:t>Move toward a national system of credit transfer and recognition of prior learning (RPL)</w:t>
            </w:r>
          </w:p>
        </w:tc>
      </w:tr>
      <w:tr w:rsidR="0005281D" w:rsidRPr="00767EAE" w14:paraId="0A2693AE" w14:textId="77777777" w:rsidTr="00231B8D">
        <w:tc>
          <w:tcPr>
            <w:tcW w:w="9638" w:type="dxa"/>
            <w:gridSpan w:val="2"/>
            <w:shd w:val="clear" w:color="auto" w:fill="E7F6FD"/>
            <w:tcMar>
              <w:top w:w="0" w:type="dxa"/>
            </w:tcMar>
          </w:tcPr>
          <w:p w14:paraId="7E07C7EB" w14:textId="77777777" w:rsidR="0005281D" w:rsidRDefault="0005281D" w:rsidP="009017C3">
            <w:pPr>
              <w:pStyle w:val="BodyText"/>
              <w:spacing w:after="60" w:line="260" w:lineRule="atLeast"/>
            </w:pPr>
            <w:r>
              <w:t>To better enable credit transfer and RPL, t</w:t>
            </w:r>
            <w:r w:rsidRPr="00FF3DF9">
              <w:t>he Australian Government should</w:t>
            </w:r>
            <w:r>
              <w:t>:</w:t>
            </w:r>
          </w:p>
          <w:p w14:paraId="0B8D8E44" w14:textId="77777777" w:rsidR="0005281D" w:rsidRPr="009017C3" w:rsidRDefault="0005281D" w:rsidP="009017C3">
            <w:pPr>
              <w:pStyle w:val="ListBullet"/>
              <w:spacing w:line="260" w:lineRule="atLeast"/>
            </w:pPr>
            <w:r w:rsidRPr="009017C3">
              <w:t>enforce the right to have credit transfer or RPL assessed before the deadline for accepting an offer</w:t>
            </w:r>
          </w:p>
          <w:p w14:paraId="50977EF9" w14:textId="77777777" w:rsidR="0005281D" w:rsidRPr="009017C3" w:rsidRDefault="0005281D" w:rsidP="009017C3">
            <w:pPr>
              <w:pStyle w:val="ListBullet"/>
              <w:spacing w:line="260" w:lineRule="atLeast"/>
            </w:pPr>
            <w:r w:rsidRPr="009017C3">
              <w:t xml:space="preserve">develop a national database of academic credit decisions </w:t>
            </w:r>
          </w:p>
          <w:p w14:paraId="5EEF001B" w14:textId="77777777" w:rsidR="0005281D" w:rsidRDefault="0005281D" w:rsidP="009017C3">
            <w:pPr>
              <w:pStyle w:val="ListBullet"/>
              <w:spacing w:line="260" w:lineRule="atLeast"/>
            </w:pPr>
            <w:r w:rsidRPr="009017C3">
              <w:t>develop a model</w:t>
            </w:r>
            <w:r>
              <w:t xml:space="preserve"> of coordinated assessments of prior learning, and possibly of credit transfers.</w:t>
            </w:r>
          </w:p>
          <w:p w14:paraId="11E3E9FF" w14:textId="77777777" w:rsidR="0005281D" w:rsidRPr="00056436" w:rsidRDefault="0005281D" w:rsidP="009017C3">
            <w:pPr>
              <w:pStyle w:val="BodyText"/>
              <w:spacing w:line="260" w:lineRule="atLeast"/>
            </w:pPr>
            <w:r>
              <w:t>Students could draw on t</w:t>
            </w:r>
            <w:r w:rsidRPr="00056436">
              <w:t>he database to</w:t>
            </w:r>
            <w:r w:rsidRPr="00056436" w:rsidDel="001A5D97">
              <w:t xml:space="preserve"> </w:t>
            </w:r>
            <w:r w:rsidRPr="00056436">
              <w:t>better understand possible tertiary education pathways</w:t>
            </w:r>
            <w:r>
              <w:t>, making</w:t>
            </w:r>
            <w:r w:rsidRPr="00056436" w:rsidDel="000F19ED">
              <w:t xml:space="preserve"> </w:t>
            </w:r>
            <w:r w:rsidRPr="00056436">
              <w:t>decisions a</w:t>
            </w:r>
            <w:r>
              <w:t>bout</w:t>
            </w:r>
            <w:r w:rsidRPr="00056436">
              <w:t xml:space="preserve"> the allocation of credit more transparent and providers more accountable. </w:t>
            </w:r>
          </w:p>
          <w:p w14:paraId="6F949B79" w14:textId="77777777" w:rsidR="0005281D" w:rsidRDefault="0005281D" w:rsidP="009017C3">
            <w:pPr>
              <w:pStyle w:val="BodyText"/>
              <w:spacing w:line="260" w:lineRule="atLeast"/>
            </w:pPr>
            <w:r>
              <w:t>The</w:t>
            </w:r>
            <w:r w:rsidDel="008C5DAC">
              <w:t xml:space="preserve"> </w:t>
            </w:r>
            <w:r>
              <w:t xml:space="preserve">Government should consider a staged approach to establishing the database that begins with compiling credit transfer decisions, before including credit granted from different types of learning, such as </w:t>
            </w:r>
            <w:proofErr w:type="spellStart"/>
            <w:r>
              <w:t>microcredentials</w:t>
            </w:r>
            <w:proofErr w:type="spellEnd"/>
            <w:r>
              <w:t xml:space="preserve">, informal learning or work experience, including international work experience. </w:t>
            </w:r>
          </w:p>
          <w:p w14:paraId="331D67DF" w14:textId="77777777" w:rsidR="0005281D" w:rsidRPr="00767EAE" w:rsidRDefault="0005281D" w:rsidP="009017C3">
            <w:pPr>
              <w:pStyle w:val="BodyText"/>
              <w:spacing w:line="260" w:lineRule="atLeast"/>
            </w:pPr>
            <w:r>
              <w:t>The Australian Tertiary Education Commission, as steward of the tertiary education system, should play a role in establishing the database and enforcing consistent and accurate data collection from providers.</w:t>
            </w:r>
          </w:p>
        </w:tc>
      </w:tr>
    </w:tbl>
    <w:p w14:paraId="04FC407F" w14:textId="77777777" w:rsidR="0005281D" w:rsidRDefault="0005281D" w:rsidP="00231B8D">
      <w:pPr>
        <w:pStyle w:val="NoSpacing"/>
      </w:pPr>
    </w:p>
    <w:tbl>
      <w:tblPr>
        <w:tblStyle w:val="Texttable-Paleblue"/>
        <w:tblW w:w="5000" w:type="pct"/>
        <w:tblLook w:val="04A0" w:firstRow="1" w:lastRow="0" w:firstColumn="1" w:lastColumn="0" w:noHBand="0" w:noVBand="1"/>
      </w:tblPr>
      <w:tblGrid>
        <w:gridCol w:w="713"/>
        <w:gridCol w:w="8925"/>
      </w:tblGrid>
      <w:tr w:rsidR="0005281D" w14:paraId="364A9501" w14:textId="77777777" w:rsidTr="00231B8D">
        <w:trPr>
          <w:tblHeader/>
        </w:trPr>
        <w:tc>
          <w:tcPr>
            <w:tcW w:w="713" w:type="dxa"/>
            <w:shd w:val="clear" w:color="auto" w:fill="E7F6FD"/>
            <w:tcMar>
              <w:top w:w="0" w:type="dxa"/>
              <w:bottom w:w="0" w:type="dxa"/>
            </w:tcMar>
            <w:vAlign w:val="center"/>
          </w:tcPr>
          <w:p w14:paraId="5C430A26" w14:textId="77777777" w:rsidR="0005281D" w:rsidRPr="005F7980" w:rsidRDefault="0005281D">
            <w:pPr>
              <w:keepLines/>
              <w:jc w:val="center"/>
            </w:pPr>
            <w:r w:rsidRPr="005F7980">
              <w:rPr>
                <w:noProof/>
              </w:rPr>
              <w:drawing>
                <wp:inline distT="0" distB="0" distL="0" distR="0" wp14:anchorId="28D25C00" wp14:editId="292035A8">
                  <wp:extent cx="288000" cy="288000"/>
                  <wp:effectExtent l="0" t="0" r="0" b="0"/>
                  <wp:docPr id="656974424" name="Graphic 656974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2E92E9F" w14:textId="77777777" w:rsidR="0005281D" w:rsidRPr="005F7980" w:rsidRDefault="0005281D">
            <w:pPr>
              <w:pStyle w:val="TableHeading"/>
              <w:keepLines/>
              <w:spacing w:before="120" w:after="120"/>
              <w:contextualSpacing/>
              <w:rPr>
                <w:sz w:val="20"/>
              </w:rPr>
            </w:pPr>
            <w:r w:rsidRPr="005F7980">
              <w:rPr>
                <w:sz w:val="20"/>
              </w:rPr>
              <w:t>Draft recommendation 2.2</w:t>
            </w:r>
          </w:p>
          <w:p w14:paraId="16AE42EF" w14:textId="77777777" w:rsidR="0005281D" w:rsidRPr="005F7980" w:rsidRDefault="0005281D">
            <w:pPr>
              <w:pStyle w:val="TableHeading"/>
              <w:keepLines/>
              <w:spacing w:before="120" w:after="120"/>
              <w:contextualSpacing/>
              <w:rPr>
                <w:sz w:val="20"/>
              </w:rPr>
            </w:pPr>
            <w:r w:rsidRPr="005F7980">
              <w:rPr>
                <w:sz w:val="20"/>
              </w:rPr>
              <w:t>Better target incentives to lift work</w:t>
            </w:r>
            <w:r>
              <w:rPr>
                <w:sz w:val="20"/>
              </w:rPr>
              <w:noBreakHyphen/>
            </w:r>
            <w:r w:rsidRPr="005F7980">
              <w:rPr>
                <w:sz w:val="20"/>
              </w:rPr>
              <w:t>related training rates in small and medium enterprises (SMEs)</w:t>
            </w:r>
          </w:p>
        </w:tc>
      </w:tr>
      <w:tr w:rsidR="0005281D" w14:paraId="6B729EF0" w14:textId="77777777" w:rsidTr="00231B8D">
        <w:tc>
          <w:tcPr>
            <w:tcW w:w="9638" w:type="dxa"/>
            <w:gridSpan w:val="2"/>
            <w:shd w:val="clear" w:color="auto" w:fill="E7F6FD"/>
            <w:tcMar>
              <w:top w:w="0" w:type="dxa"/>
            </w:tcMar>
          </w:tcPr>
          <w:p w14:paraId="66431A75" w14:textId="77777777" w:rsidR="0005281D" w:rsidRPr="005F7980" w:rsidRDefault="0005281D" w:rsidP="009017C3">
            <w:pPr>
              <w:pStyle w:val="BodyText"/>
              <w:spacing w:after="60" w:line="260" w:lineRule="atLeast"/>
            </w:pPr>
            <w:r w:rsidRPr="005F7980">
              <w:t xml:space="preserve">The Australian Government should trial: </w:t>
            </w:r>
          </w:p>
          <w:p w14:paraId="375AE534" w14:textId="77777777" w:rsidR="0005281D" w:rsidRPr="009017C3" w:rsidRDefault="0005281D" w:rsidP="009017C3">
            <w:pPr>
              <w:pStyle w:val="ListBullet"/>
              <w:spacing w:line="260" w:lineRule="atLeast"/>
            </w:pPr>
            <w:r w:rsidRPr="009017C3">
              <w:t>financial incentives (such as a tax credit) to increase work</w:t>
            </w:r>
            <w:r w:rsidRPr="009017C3">
              <w:noBreakHyphen/>
              <w:t xml:space="preserve">related training for SMEs </w:t>
            </w:r>
          </w:p>
          <w:p w14:paraId="3517C88B" w14:textId="77777777" w:rsidR="0005281D" w:rsidRPr="005F7980" w:rsidRDefault="0005281D" w:rsidP="009017C3">
            <w:pPr>
              <w:pStyle w:val="ListBullet"/>
              <w:spacing w:line="260" w:lineRule="atLeast"/>
            </w:pPr>
            <w:r w:rsidRPr="009017C3">
              <w:t>SME advisory</w:t>
            </w:r>
            <w:r w:rsidRPr="005F7980">
              <w:t xml:space="preserve"> services</w:t>
            </w:r>
            <w:r w:rsidRPr="005F7980" w:rsidDel="00800379">
              <w:t xml:space="preserve"> </w:t>
            </w:r>
            <w:r w:rsidRPr="005F7980">
              <w:t>to support work</w:t>
            </w:r>
            <w:r>
              <w:noBreakHyphen/>
            </w:r>
            <w:r w:rsidRPr="005F7980">
              <w:t xml:space="preserve">related training. </w:t>
            </w:r>
          </w:p>
          <w:p w14:paraId="6C754F5D" w14:textId="77777777" w:rsidR="0005281D" w:rsidRPr="005F7980" w:rsidRDefault="0005281D" w:rsidP="009017C3">
            <w:pPr>
              <w:pStyle w:val="BodyText"/>
              <w:spacing w:line="260" w:lineRule="atLeast"/>
            </w:pPr>
            <w:r w:rsidRPr="005F7980" w:rsidDel="00800379">
              <w:t xml:space="preserve">The </w:t>
            </w:r>
            <w:r w:rsidRPr="005F7980">
              <w:t>measures should be evaluated to determine</w:t>
            </w:r>
            <w:r w:rsidRPr="005F7980" w:rsidDel="00800379">
              <w:t xml:space="preserve"> </w:t>
            </w:r>
            <w:r w:rsidRPr="005F7980">
              <w:t>cost</w:t>
            </w:r>
            <w:r>
              <w:noBreakHyphen/>
            </w:r>
            <w:r w:rsidRPr="005F7980">
              <w:t>effectiveness as well as to better understand how SME advisory services and other supports can aid implementation and improve take</w:t>
            </w:r>
            <w:r>
              <w:noBreakHyphen/>
            </w:r>
            <w:r w:rsidRPr="005F7980">
              <w:t>up. Data collection to establish a baseline and evaluate the measures should be embedded into the program design.</w:t>
            </w:r>
          </w:p>
        </w:tc>
      </w:tr>
      <w:tr w:rsidR="00BE19F6" w:rsidRPr="00BE19F6" w14:paraId="1E16D85F" w14:textId="77777777" w:rsidTr="00231B8D">
        <w:tc>
          <w:tcPr>
            <w:tcW w:w="9638" w:type="dxa"/>
            <w:gridSpan w:val="2"/>
            <w:shd w:val="clear" w:color="auto" w:fill="auto"/>
            <w:tcMar>
              <w:top w:w="0" w:type="dxa"/>
              <w:bottom w:w="0" w:type="dxa"/>
            </w:tcMar>
          </w:tcPr>
          <w:p w14:paraId="27485CA4" w14:textId="1E5F215D" w:rsidR="0005281D" w:rsidRPr="00BE19F6" w:rsidRDefault="0005281D">
            <w:pPr>
              <w:pStyle w:val="NoSpacing"/>
              <w:spacing w:line="200" w:lineRule="exact"/>
              <w:rPr>
                <w:smallCaps/>
              </w:rPr>
            </w:pPr>
          </w:p>
        </w:tc>
      </w:tr>
    </w:tbl>
    <w:p w14:paraId="6D77715A" w14:textId="77777777" w:rsidR="0005281D" w:rsidRDefault="0005281D" w:rsidP="00972821">
      <w:pPr>
        <w:pStyle w:val="Heading2-nonumber"/>
        <w:spacing w:before="300"/>
      </w:pPr>
      <w:bookmarkStart w:id="10" w:name="_Toc205202653"/>
      <w:bookmarkStart w:id="11" w:name="_Toc205208768"/>
      <w:r>
        <w:t>Fit</w:t>
      </w:r>
      <w:r>
        <w:noBreakHyphen/>
        <w:t>for</w:t>
      </w:r>
      <w:r>
        <w:noBreakHyphen/>
        <w:t>purpose occupational entry regulations</w:t>
      </w:r>
      <w:bookmarkEnd w:id="10"/>
      <w:bookmarkEnd w:id="11"/>
    </w:p>
    <w:tbl>
      <w:tblPr>
        <w:tblStyle w:val="Texttable-Paleblue"/>
        <w:tblW w:w="5000" w:type="pct"/>
        <w:tblLook w:val="04A0" w:firstRow="1" w:lastRow="0" w:firstColumn="1" w:lastColumn="0" w:noHBand="0" w:noVBand="1"/>
      </w:tblPr>
      <w:tblGrid>
        <w:gridCol w:w="713"/>
        <w:gridCol w:w="8925"/>
      </w:tblGrid>
      <w:tr w:rsidR="0005281D" w14:paraId="6A969243" w14:textId="77777777" w:rsidTr="00231B8D">
        <w:trPr>
          <w:trHeight w:val="300"/>
          <w:tblHeader/>
        </w:trPr>
        <w:tc>
          <w:tcPr>
            <w:tcW w:w="713" w:type="dxa"/>
            <w:shd w:val="clear" w:color="auto" w:fill="E7F6FD"/>
            <w:tcMar>
              <w:top w:w="0" w:type="dxa"/>
              <w:bottom w:w="0" w:type="dxa"/>
            </w:tcMar>
            <w:vAlign w:val="center"/>
          </w:tcPr>
          <w:p w14:paraId="1A44766B" w14:textId="77777777" w:rsidR="0005281D" w:rsidRDefault="0005281D" w:rsidP="00B06B76">
            <w:pPr>
              <w:keepLines/>
              <w:jc w:val="center"/>
            </w:pPr>
            <w:r w:rsidRPr="00A51374">
              <w:rPr>
                <w:noProof/>
              </w:rPr>
              <w:drawing>
                <wp:inline distT="0" distB="0" distL="0" distR="0" wp14:anchorId="53B736B6" wp14:editId="36BAC54D">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F7FAFED" w14:textId="77777777" w:rsidR="0005281D" w:rsidRPr="00715040" w:rsidRDefault="0005281D" w:rsidP="00B52E2F">
            <w:pPr>
              <w:pStyle w:val="TableHeading"/>
              <w:keepLines/>
              <w:spacing w:before="120" w:after="120"/>
              <w:contextualSpacing/>
              <w:rPr>
                <w:sz w:val="20"/>
              </w:rPr>
            </w:pPr>
            <w:r>
              <w:rPr>
                <w:sz w:val="20"/>
              </w:rPr>
              <w:t>Draft r</w:t>
            </w:r>
            <w:r w:rsidRPr="00715040">
              <w:rPr>
                <w:sz w:val="20"/>
              </w:rPr>
              <w:t xml:space="preserve">ecommendation </w:t>
            </w:r>
            <w:r>
              <w:rPr>
                <w:sz w:val="20"/>
              </w:rPr>
              <w:t>3</w:t>
            </w:r>
            <w:r w:rsidRPr="00715040">
              <w:rPr>
                <w:sz w:val="20"/>
              </w:rPr>
              <w:t>.</w:t>
            </w:r>
            <w:r>
              <w:rPr>
                <w:sz w:val="20"/>
              </w:rPr>
              <w:t>1</w:t>
            </w:r>
          </w:p>
          <w:p w14:paraId="708CF4C1" w14:textId="77777777" w:rsidR="0005281D" w:rsidRPr="00715040" w:rsidRDefault="0005281D" w:rsidP="00B52E2F">
            <w:pPr>
              <w:pStyle w:val="TableHeading"/>
              <w:keepLines/>
              <w:spacing w:before="120" w:after="120"/>
              <w:contextualSpacing/>
              <w:rPr>
                <w:sz w:val="20"/>
              </w:rPr>
            </w:pPr>
            <w:r w:rsidRPr="00C43FD1">
              <w:rPr>
                <w:sz w:val="20"/>
              </w:rPr>
              <w:t xml:space="preserve">Remove excessive </w:t>
            </w:r>
            <w:r>
              <w:rPr>
                <w:sz w:val="20"/>
              </w:rPr>
              <w:t>occupational entry regulations</w:t>
            </w:r>
            <w:r w:rsidRPr="00C43FD1">
              <w:rPr>
                <w:sz w:val="20"/>
              </w:rPr>
              <w:t xml:space="preserve"> that offer limited benefits</w:t>
            </w:r>
          </w:p>
        </w:tc>
      </w:tr>
      <w:tr w:rsidR="0005281D" w14:paraId="385FB714" w14:textId="77777777" w:rsidTr="00231B8D">
        <w:trPr>
          <w:trHeight w:val="300"/>
        </w:trPr>
        <w:tc>
          <w:tcPr>
            <w:tcW w:w="9638" w:type="dxa"/>
            <w:gridSpan w:val="2"/>
            <w:shd w:val="clear" w:color="auto" w:fill="E7F6FD"/>
            <w:tcMar>
              <w:top w:w="0" w:type="dxa"/>
            </w:tcMar>
          </w:tcPr>
          <w:p w14:paraId="2D7601D0" w14:textId="77777777" w:rsidR="0005281D" w:rsidRDefault="0005281D" w:rsidP="009017C3">
            <w:pPr>
              <w:pStyle w:val="BodyText"/>
              <w:spacing w:after="60" w:line="260" w:lineRule="atLeast"/>
            </w:pPr>
            <w:r>
              <w:t>State and territory regulators should work to eliminate occupational entry regulations that exist in their jurisdiction but not in others, where the evidence that the regulations improve outcomes is weak. As a start, reductions in occupational entry regulations should be considered for:</w:t>
            </w:r>
          </w:p>
          <w:p w14:paraId="23304A80" w14:textId="77777777" w:rsidR="0005281D" w:rsidRPr="009017C3" w:rsidRDefault="0005281D" w:rsidP="009017C3">
            <w:pPr>
              <w:pStyle w:val="ListBullet"/>
              <w:spacing w:line="260" w:lineRule="atLeast"/>
            </w:pPr>
            <w:r w:rsidRPr="009017C3">
              <w:t>motor vehicle repairers in New South Wales, Western Australia and the Australian Capital Territory</w:t>
            </w:r>
          </w:p>
          <w:p w14:paraId="0EA6E459" w14:textId="77777777" w:rsidR="0005281D" w:rsidRPr="009017C3" w:rsidRDefault="0005281D" w:rsidP="009017C3">
            <w:pPr>
              <w:pStyle w:val="ListBullet"/>
              <w:spacing w:line="260" w:lineRule="atLeast"/>
            </w:pPr>
            <w:r w:rsidRPr="009017C3">
              <w:t>air conditioning and refrigeration mechanics in New South Wales</w:t>
            </w:r>
          </w:p>
          <w:p w14:paraId="3392E7A0" w14:textId="77777777" w:rsidR="0005281D" w:rsidRPr="009017C3" w:rsidRDefault="0005281D" w:rsidP="009017C3">
            <w:pPr>
              <w:pStyle w:val="ListBullet"/>
              <w:spacing w:line="260" w:lineRule="atLeast"/>
            </w:pPr>
            <w:r w:rsidRPr="009017C3">
              <w:t>hairdressers in New South Wales and South Australia</w:t>
            </w:r>
          </w:p>
          <w:p w14:paraId="25CCAEEE" w14:textId="426DC1EA" w:rsidR="0005281D" w:rsidRPr="009017C3" w:rsidRDefault="0005281D" w:rsidP="009017C3">
            <w:pPr>
              <w:pStyle w:val="ListBullet"/>
              <w:spacing w:line="260" w:lineRule="atLeast"/>
              <w:rPr>
                <w:spacing w:val="-4"/>
              </w:rPr>
            </w:pPr>
            <w:r w:rsidRPr="009017C3">
              <w:rPr>
                <w:spacing w:val="-4"/>
              </w:rPr>
              <w:t>painters and decorators in New South Wales, Victoria, Queensland, Western Australia and South</w:t>
            </w:r>
            <w:r w:rsidR="00D90701" w:rsidRPr="009017C3">
              <w:rPr>
                <w:spacing w:val="-4"/>
              </w:rPr>
              <w:t> </w:t>
            </w:r>
            <w:r w:rsidRPr="009017C3">
              <w:rPr>
                <w:spacing w:val="-4"/>
              </w:rPr>
              <w:t>Australia.</w:t>
            </w:r>
          </w:p>
        </w:tc>
      </w:tr>
    </w:tbl>
    <w:p w14:paraId="553D8E62" w14:textId="77777777" w:rsidR="0005281D" w:rsidRPr="00D90701" w:rsidRDefault="0005281D" w:rsidP="00D90701">
      <w:pPr>
        <w:pStyle w:val="NoSpacing"/>
        <w:spacing w:line="20" w:lineRule="atLeast"/>
        <w:rPr>
          <w:sz w:val="2"/>
          <w:szCs w:val="2"/>
        </w:rPr>
      </w:pPr>
    </w:p>
    <w:tbl>
      <w:tblPr>
        <w:tblStyle w:val="Texttable-Paleblue"/>
        <w:tblW w:w="5000" w:type="pct"/>
        <w:tblLook w:val="04A0" w:firstRow="1" w:lastRow="0" w:firstColumn="1" w:lastColumn="0" w:noHBand="0" w:noVBand="1"/>
      </w:tblPr>
      <w:tblGrid>
        <w:gridCol w:w="713"/>
        <w:gridCol w:w="8647"/>
        <w:gridCol w:w="278"/>
      </w:tblGrid>
      <w:tr w:rsidR="0005281D" w14:paraId="64262D07" w14:textId="77777777">
        <w:trPr>
          <w:trHeight w:val="300"/>
          <w:tblHeader/>
        </w:trPr>
        <w:tc>
          <w:tcPr>
            <w:tcW w:w="713" w:type="dxa"/>
            <w:shd w:val="clear" w:color="auto" w:fill="E7F6FD"/>
            <w:tcMar>
              <w:top w:w="0" w:type="dxa"/>
              <w:bottom w:w="0" w:type="dxa"/>
            </w:tcMar>
            <w:vAlign w:val="center"/>
          </w:tcPr>
          <w:p w14:paraId="358C35B2" w14:textId="77777777" w:rsidR="0005281D" w:rsidRDefault="0005281D">
            <w:pPr>
              <w:keepLines/>
              <w:jc w:val="center"/>
            </w:pPr>
            <w:r w:rsidRPr="00A51374">
              <w:rPr>
                <w:noProof/>
              </w:rPr>
              <w:lastRenderedPageBreak/>
              <w:drawing>
                <wp:inline distT="0" distB="0" distL="0" distR="0" wp14:anchorId="362FE501" wp14:editId="66711C85">
                  <wp:extent cx="288000" cy="288000"/>
                  <wp:effectExtent l="0" t="0" r="0" b="0"/>
                  <wp:docPr id="1434493357" name="Graphic 1434493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gridSpan w:val="2"/>
            <w:shd w:val="clear" w:color="auto" w:fill="E7F6FD"/>
            <w:tcMar>
              <w:top w:w="0" w:type="dxa"/>
              <w:bottom w:w="0" w:type="dxa"/>
            </w:tcMar>
            <w:vAlign w:val="center"/>
          </w:tcPr>
          <w:p w14:paraId="5EF4BD50" w14:textId="77777777" w:rsidR="0005281D" w:rsidRPr="00715040" w:rsidRDefault="0005281D">
            <w:pPr>
              <w:pStyle w:val="TableHeading"/>
              <w:keepLines/>
              <w:spacing w:before="120" w:after="120"/>
              <w:contextualSpacing/>
              <w:rPr>
                <w:sz w:val="20"/>
              </w:rPr>
            </w:pPr>
            <w:r>
              <w:rPr>
                <w:sz w:val="20"/>
              </w:rPr>
              <w:t>Draft r</w:t>
            </w:r>
            <w:r w:rsidRPr="00715040">
              <w:rPr>
                <w:sz w:val="20"/>
              </w:rPr>
              <w:t xml:space="preserve">ecommendation </w:t>
            </w:r>
            <w:r>
              <w:rPr>
                <w:sz w:val="20"/>
              </w:rPr>
              <w:t>3</w:t>
            </w:r>
            <w:r w:rsidRPr="00715040">
              <w:rPr>
                <w:sz w:val="20"/>
              </w:rPr>
              <w:t>.</w:t>
            </w:r>
            <w:r>
              <w:rPr>
                <w:sz w:val="20"/>
              </w:rPr>
              <w:t>2</w:t>
            </w:r>
          </w:p>
          <w:p w14:paraId="6E0F831F" w14:textId="77777777" w:rsidR="0005281D" w:rsidRPr="00715040" w:rsidRDefault="0005281D">
            <w:pPr>
              <w:pStyle w:val="TableHeading"/>
              <w:keepLines/>
              <w:spacing w:before="120" w:after="120"/>
              <w:contextualSpacing/>
              <w:rPr>
                <w:sz w:val="20"/>
              </w:rPr>
            </w:pPr>
            <w:r>
              <w:rPr>
                <w:sz w:val="20"/>
              </w:rPr>
              <w:t xml:space="preserve">Expand entry pathways and streamline qualification requirements for occupations </w:t>
            </w:r>
          </w:p>
        </w:tc>
      </w:tr>
      <w:tr w:rsidR="0005281D" w14:paraId="661E8F0A" w14:textId="77777777">
        <w:trPr>
          <w:trHeight w:val="300"/>
        </w:trPr>
        <w:tc>
          <w:tcPr>
            <w:tcW w:w="9638" w:type="dxa"/>
            <w:gridSpan w:val="3"/>
            <w:shd w:val="clear" w:color="auto" w:fill="E7F6FD"/>
            <w:tcMar>
              <w:top w:w="0" w:type="dxa"/>
            </w:tcMar>
          </w:tcPr>
          <w:p w14:paraId="279A4D9F" w14:textId="77777777" w:rsidR="0005281D" w:rsidRDefault="0005281D">
            <w:pPr>
              <w:pStyle w:val="BodyText"/>
            </w:pPr>
            <w:r>
              <w:t xml:space="preserve">Australian, state and territory governments should assess whether current </w:t>
            </w:r>
            <w:r w:rsidDel="00890391">
              <w:t xml:space="preserve">regulated </w:t>
            </w:r>
            <w:r>
              <w:t xml:space="preserve">qualification requirements for occupations are proportionate to identified </w:t>
            </w:r>
            <w:proofErr w:type="gramStart"/>
            <w:r>
              <w:t>risks, and</w:t>
            </w:r>
            <w:proofErr w:type="gramEnd"/>
            <w:r>
              <w:t xml:space="preserve"> implement alternative entry pathways where feasible while maintaining quality and safety standards. </w:t>
            </w:r>
          </w:p>
          <w:p w14:paraId="65A08BB3" w14:textId="77777777" w:rsidR="0005281D" w:rsidRDefault="0005281D">
            <w:r>
              <w:t>To begin, the Australian Government should consider revising qualification requirements for registered company auditors by introducing a tier of licensing for lower</w:t>
            </w:r>
            <w:r>
              <w:noBreakHyphen/>
              <w:t>risk assurance activities.</w:t>
            </w:r>
          </w:p>
          <w:p w14:paraId="5B1C420B" w14:textId="77777777" w:rsidR="0005281D" w:rsidRPr="00767EAE" w:rsidRDefault="0005281D">
            <w:r>
              <w:t>Australian, state and territory governments should also address skills shortages in trades occupations by investigating opportunities for alternative approaches to acquiring competencies in trade</w:t>
            </w:r>
            <w:r>
              <w:noBreakHyphen/>
              <w:t>based occupations and expanding non</w:t>
            </w:r>
            <w:r>
              <w:noBreakHyphen/>
              <w:t>apprentice pathways.</w:t>
            </w:r>
          </w:p>
        </w:tc>
      </w:tr>
      <w:tr w:rsidR="000F6224" w14:paraId="0C88A7E2" w14:textId="77777777" w:rsidTr="000F6224">
        <w:trPr>
          <w:gridAfter w:val="1"/>
          <w:wAfter w:w="278" w:type="dxa"/>
        </w:trPr>
        <w:tc>
          <w:tcPr>
            <w:tcW w:w="9360" w:type="dxa"/>
            <w:gridSpan w:val="2"/>
            <w:shd w:val="clear" w:color="auto" w:fill="auto"/>
            <w:tcMar>
              <w:top w:w="0" w:type="dxa"/>
              <w:bottom w:w="0" w:type="dxa"/>
            </w:tcMar>
          </w:tcPr>
          <w:p w14:paraId="010DE14B" w14:textId="77777777" w:rsidR="000F6224" w:rsidRPr="007E0EA8" w:rsidRDefault="000F6224" w:rsidP="003C04ED">
            <w:pPr>
              <w:pStyle w:val="NoSpacing"/>
              <w:spacing w:line="200" w:lineRule="exact"/>
            </w:pPr>
          </w:p>
        </w:tc>
      </w:tr>
    </w:tbl>
    <w:p w14:paraId="3CB3762A" w14:textId="77777777" w:rsidR="0005281D" w:rsidRDefault="0005281D" w:rsidP="00231B8D">
      <w:pPr>
        <w:pStyle w:val="NoSpacing"/>
      </w:pPr>
    </w:p>
    <w:tbl>
      <w:tblPr>
        <w:tblStyle w:val="Texttable-Paleblue"/>
        <w:tblW w:w="5000" w:type="pct"/>
        <w:tblLook w:val="04A0" w:firstRow="1" w:lastRow="0" w:firstColumn="1" w:lastColumn="0" w:noHBand="0" w:noVBand="1"/>
      </w:tblPr>
      <w:tblGrid>
        <w:gridCol w:w="713"/>
        <w:gridCol w:w="8925"/>
      </w:tblGrid>
      <w:tr w:rsidR="0005281D" w14:paraId="022CCA36" w14:textId="77777777">
        <w:trPr>
          <w:tblHeader/>
        </w:trPr>
        <w:tc>
          <w:tcPr>
            <w:tcW w:w="713" w:type="dxa"/>
            <w:shd w:val="clear" w:color="auto" w:fill="E7F6FD"/>
            <w:tcMar>
              <w:top w:w="0" w:type="dxa"/>
              <w:bottom w:w="0" w:type="dxa"/>
            </w:tcMar>
            <w:vAlign w:val="center"/>
          </w:tcPr>
          <w:p w14:paraId="4BC8F5D6" w14:textId="77777777" w:rsidR="0005281D" w:rsidRDefault="0005281D">
            <w:pPr>
              <w:keepLines/>
              <w:jc w:val="center"/>
            </w:pPr>
            <w:r w:rsidRPr="00A51374">
              <w:rPr>
                <w:noProof/>
              </w:rPr>
              <w:drawing>
                <wp:inline distT="0" distB="0" distL="0" distR="0" wp14:anchorId="1C600D42" wp14:editId="2BE968E1">
                  <wp:extent cx="288000" cy="288000"/>
                  <wp:effectExtent l="0" t="0" r="0" b="0"/>
                  <wp:docPr id="100624677" name="Graphic 100624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78BED07" w14:textId="77777777" w:rsidR="0005281D" w:rsidRPr="00715040" w:rsidRDefault="0005281D">
            <w:pPr>
              <w:pStyle w:val="TableHeading"/>
              <w:keepLines/>
              <w:spacing w:before="120" w:after="120"/>
              <w:contextualSpacing/>
              <w:rPr>
                <w:sz w:val="20"/>
              </w:rPr>
            </w:pPr>
            <w:r>
              <w:rPr>
                <w:sz w:val="20"/>
              </w:rPr>
              <w:t>Draft r</w:t>
            </w:r>
            <w:r w:rsidRPr="00715040">
              <w:rPr>
                <w:sz w:val="20"/>
              </w:rPr>
              <w:t xml:space="preserve">ecommendation </w:t>
            </w:r>
            <w:r>
              <w:rPr>
                <w:sz w:val="20"/>
              </w:rPr>
              <w:t>3</w:t>
            </w:r>
            <w:r w:rsidRPr="00715040">
              <w:rPr>
                <w:sz w:val="20"/>
              </w:rPr>
              <w:t>.</w:t>
            </w:r>
            <w:r>
              <w:rPr>
                <w:sz w:val="20"/>
              </w:rPr>
              <w:t>3</w:t>
            </w:r>
          </w:p>
          <w:p w14:paraId="4E112106" w14:textId="77777777" w:rsidR="0005281D" w:rsidRPr="00715040" w:rsidRDefault="0005281D">
            <w:pPr>
              <w:pStyle w:val="TableHeading"/>
              <w:keepLines/>
              <w:spacing w:before="120" w:after="120"/>
              <w:contextualSpacing/>
              <w:rPr>
                <w:sz w:val="20"/>
              </w:rPr>
            </w:pPr>
            <w:r>
              <w:rPr>
                <w:sz w:val="20"/>
              </w:rPr>
              <w:t>Improve the regular reviews of occupational entry regulations</w:t>
            </w:r>
          </w:p>
        </w:tc>
      </w:tr>
      <w:tr w:rsidR="0005281D" w14:paraId="204F0F61" w14:textId="77777777">
        <w:tc>
          <w:tcPr>
            <w:tcW w:w="9638" w:type="dxa"/>
            <w:gridSpan w:val="2"/>
            <w:shd w:val="clear" w:color="auto" w:fill="E7F6FD"/>
            <w:tcMar>
              <w:top w:w="0" w:type="dxa"/>
            </w:tcMar>
          </w:tcPr>
          <w:p w14:paraId="0B5623BB" w14:textId="77777777" w:rsidR="0005281D" w:rsidRPr="00F76258" w:rsidRDefault="0005281D">
            <w:pPr>
              <w:pStyle w:val="BodyText"/>
              <w:rPr>
                <w:spacing w:val="-4"/>
              </w:rPr>
            </w:pPr>
            <w:r w:rsidRPr="00F76258">
              <w:rPr>
                <w:spacing w:val="-4"/>
              </w:rPr>
              <w:t>State and territory treasury departments, or other government authorities responsible for regulatory policy advice, should work with licensing regulators to jointly review occupational entry regulations in their jurisdictions. These reviews should remove regulations deemed to be excessive and not proportional to risk. They should draw on joint expertise on industry and licensing, as well as principles for best practice regulation.</w:t>
            </w:r>
          </w:p>
          <w:p w14:paraId="02A57390" w14:textId="77777777" w:rsidR="0005281D" w:rsidRPr="00767EAE" w:rsidRDefault="0005281D">
            <w:pPr>
              <w:pStyle w:val="BodyText"/>
            </w:pPr>
            <w:r>
              <w:t>Licensing regulators and treasury departments should undertake sunset reviews of occupational entry regulations on a scheduled basis. State and territory governments should also perform independent reviews to identify occupational entry regulations that are no longer fit for purpose.</w:t>
            </w:r>
          </w:p>
        </w:tc>
      </w:tr>
      <w:tr w:rsidR="0005281D" w14:paraId="70F2E460" w14:textId="77777777">
        <w:tc>
          <w:tcPr>
            <w:tcW w:w="9638" w:type="dxa"/>
            <w:gridSpan w:val="2"/>
            <w:shd w:val="clear" w:color="auto" w:fill="auto"/>
            <w:tcMar>
              <w:top w:w="0" w:type="dxa"/>
              <w:bottom w:w="0" w:type="dxa"/>
            </w:tcMar>
          </w:tcPr>
          <w:p w14:paraId="140DD00B" w14:textId="1FBB45B2" w:rsidR="0005281D" w:rsidRPr="007E0EA8" w:rsidRDefault="0005281D">
            <w:pPr>
              <w:pStyle w:val="NoSpacing"/>
              <w:spacing w:line="200" w:lineRule="exact"/>
            </w:pPr>
          </w:p>
        </w:tc>
      </w:tr>
    </w:tbl>
    <w:p w14:paraId="3130216D" w14:textId="77777777" w:rsidR="0005281D" w:rsidRDefault="0005281D" w:rsidP="00231B8D">
      <w:pPr>
        <w:pStyle w:val="NoSpacing"/>
      </w:pPr>
    </w:p>
    <w:tbl>
      <w:tblPr>
        <w:tblStyle w:val="Texttable-Paleblue"/>
        <w:tblW w:w="5000" w:type="pct"/>
        <w:tblLook w:val="04A0" w:firstRow="1" w:lastRow="0" w:firstColumn="1" w:lastColumn="0" w:noHBand="0" w:noVBand="1"/>
      </w:tblPr>
      <w:tblGrid>
        <w:gridCol w:w="713"/>
        <w:gridCol w:w="8647"/>
        <w:gridCol w:w="278"/>
      </w:tblGrid>
      <w:tr w:rsidR="0005281D" w14:paraId="065FD0CC" w14:textId="77777777">
        <w:trPr>
          <w:trHeight w:val="300"/>
          <w:tblHeader/>
        </w:trPr>
        <w:tc>
          <w:tcPr>
            <w:tcW w:w="713" w:type="dxa"/>
            <w:shd w:val="clear" w:color="auto" w:fill="E7F6FD"/>
            <w:tcMar>
              <w:top w:w="0" w:type="dxa"/>
              <w:bottom w:w="0" w:type="dxa"/>
            </w:tcMar>
            <w:vAlign w:val="center"/>
          </w:tcPr>
          <w:p w14:paraId="1E7F1177" w14:textId="77777777" w:rsidR="0005281D" w:rsidRDefault="0005281D">
            <w:pPr>
              <w:keepLines/>
              <w:jc w:val="center"/>
            </w:pPr>
            <w:r w:rsidRPr="00A51374">
              <w:rPr>
                <w:noProof/>
              </w:rPr>
              <w:drawing>
                <wp:inline distT="0" distB="0" distL="0" distR="0" wp14:anchorId="346959A7" wp14:editId="48A1344F">
                  <wp:extent cx="288000" cy="288000"/>
                  <wp:effectExtent l="0" t="0" r="0" b="0"/>
                  <wp:docPr id="718705021" name="Graphic 718705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gridSpan w:val="2"/>
            <w:shd w:val="clear" w:color="auto" w:fill="E7F6FD"/>
            <w:tcMar>
              <w:top w:w="0" w:type="dxa"/>
              <w:bottom w:w="0" w:type="dxa"/>
            </w:tcMar>
            <w:vAlign w:val="center"/>
          </w:tcPr>
          <w:p w14:paraId="0BCDC4EC" w14:textId="77777777" w:rsidR="0005281D" w:rsidRPr="00715040" w:rsidRDefault="0005281D">
            <w:pPr>
              <w:pStyle w:val="TableHeading"/>
              <w:keepLines/>
              <w:spacing w:before="120" w:after="120"/>
              <w:contextualSpacing/>
              <w:rPr>
                <w:sz w:val="20"/>
              </w:rPr>
            </w:pPr>
            <w:r>
              <w:rPr>
                <w:sz w:val="20"/>
              </w:rPr>
              <w:t>Draft r</w:t>
            </w:r>
            <w:r w:rsidRPr="00715040">
              <w:rPr>
                <w:sz w:val="20"/>
              </w:rPr>
              <w:t xml:space="preserve">ecommendation </w:t>
            </w:r>
            <w:r>
              <w:rPr>
                <w:sz w:val="20"/>
              </w:rPr>
              <w:t>3</w:t>
            </w:r>
            <w:r w:rsidRPr="00715040">
              <w:rPr>
                <w:sz w:val="20"/>
              </w:rPr>
              <w:t>.</w:t>
            </w:r>
            <w:r>
              <w:rPr>
                <w:sz w:val="20"/>
              </w:rPr>
              <w:t>4</w:t>
            </w:r>
          </w:p>
          <w:p w14:paraId="7008382C" w14:textId="77777777" w:rsidR="0005281D" w:rsidRPr="00715040" w:rsidRDefault="0005281D">
            <w:pPr>
              <w:pStyle w:val="TableHeading"/>
              <w:keepLines/>
              <w:spacing w:before="120" w:after="120"/>
              <w:contextualSpacing/>
              <w:rPr>
                <w:sz w:val="20"/>
              </w:rPr>
            </w:pPr>
            <w:r>
              <w:rPr>
                <w:sz w:val="20"/>
              </w:rPr>
              <w:t>Incentivise occupational entry regulation reform through National Competition Policy</w:t>
            </w:r>
          </w:p>
        </w:tc>
      </w:tr>
      <w:tr w:rsidR="0005281D" w14:paraId="520C425F" w14:textId="77777777">
        <w:trPr>
          <w:trHeight w:val="300"/>
        </w:trPr>
        <w:tc>
          <w:tcPr>
            <w:tcW w:w="9638" w:type="dxa"/>
            <w:gridSpan w:val="3"/>
            <w:shd w:val="clear" w:color="auto" w:fill="E7F6FD"/>
            <w:tcMar>
              <w:top w:w="0" w:type="dxa"/>
            </w:tcMar>
          </w:tcPr>
          <w:p w14:paraId="24D9C94D" w14:textId="77777777" w:rsidR="0005281D" w:rsidRPr="00767EAE" w:rsidRDefault="0005281D">
            <w:pPr>
              <w:pStyle w:val="BodyText"/>
            </w:pPr>
            <w:r>
              <w:t xml:space="preserve">Australian, state and territory governments should use the National Competition Policy process to incentivise reform of occupational entry regulations at the state and territory level. </w:t>
            </w:r>
          </w:p>
        </w:tc>
      </w:tr>
      <w:tr w:rsidR="000F6224" w14:paraId="02C0A89B" w14:textId="77777777" w:rsidTr="000F6224">
        <w:trPr>
          <w:gridAfter w:val="1"/>
          <w:wAfter w:w="278" w:type="dxa"/>
        </w:trPr>
        <w:tc>
          <w:tcPr>
            <w:tcW w:w="9360" w:type="dxa"/>
            <w:gridSpan w:val="2"/>
            <w:shd w:val="clear" w:color="auto" w:fill="auto"/>
            <w:tcMar>
              <w:top w:w="0" w:type="dxa"/>
              <w:bottom w:w="0" w:type="dxa"/>
            </w:tcMar>
          </w:tcPr>
          <w:p w14:paraId="1EAA3504" w14:textId="77777777" w:rsidR="000F6224" w:rsidRPr="007E0EA8" w:rsidRDefault="000F6224" w:rsidP="003C04ED">
            <w:pPr>
              <w:pStyle w:val="NoSpacing"/>
              <w:spacing w:line="200" w:lineRule="exact"/>
            </w:pPr>
          </w:p>
        </w:tc>
      </w:tr>
    </w:tbl>
    <w:p w14:paraId="69825AEC" w14:textId="128943A2" w:rsidR="00AF6B4B" w:rsidRDefault="00AF6B4B" w:rsidP="005155B4">
      <w:pPr>
        <w:pStyle w:val="Reference"/>
        <w:rPr>
          <w:noProof/>
        </w:rPr>
      </w:pPr>
    </w:p>
    <w:sectPr w:rsidR="00AF6B4B" w:rsidSect="00FF0A71">
      <w:headerReference w:type="even" r:id="rId29"/>
      <w:headerReference w:type="default" r:id="rId30"/>
      <w:type w:val="continuous"/>
      <w:pgSz w:w="11906" w:h="16838" w:code="9"/>
      <w:pgMar w:top="1134" w:right="1134" w:bottom="1134" w:left="1134"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2DA39" w14:textId="77777777" w:rsidR="00FC370A" w:rsidRDefault="00FC370A" w:rsidP="008017BC">
      <w:r>
        <w:separator/>
      </w:r>
    </w:p>
    <w:p w14:paraId="775AAB4C" w14:textId="77777777" w:rsidR="00FC370A" w:rsidRDefault="00FC370A"/>
  </w:endnote>
  <w:endnote w:type="continuationSeparator" w:id="0">
    <w:p w14:paraId="4DBEB095" w14:textId="77777777" w:rsidR="00FC370A" w:rsidRDefault="00FC370A" w:rsidP="008017BC">
      <w:r>
        <w:continuationSeparator/>
      </w:r>
    </w:p>
    <w:p w14:paraId="27893473" w14:textId="77777777" w:rsidR="00FC370A" w:rsidRDefault="00FC370A"/>
  </w:endnote>
  <w:endnote w:type="continuationNotice" w:id="1">
    <w:p w14:paraId="0A2943CC" w14:textId="77777777" w:rsidR="00FC370A" w:rsidRDefault="00FC370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F0DB0"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DCA7"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EDFD0"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282B"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1236A80F"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BB04E" w14:textId="77777777" w:rsidR="00FC370A" w:rsidRPr="00C238D1" w:rsidRDefault="00FC370A" w:rsidP="00273E86">
      <w:pPr>
        <w:spacing w:after="0" w:line="240" w:lineRule="auto"/>
        <w:rPr>
          <w:rStyle w:val="ColourDarkBlue"/>
        </w:rPr>
      </w:pPr>
      <w:r w:rsidRPr="00C238D1">
        <w:rPr>
          <w:rStyle w:val="ColourDarkBlue"/>
        </w:rPr>
        <w:continuationSeparator/>
      </w:r>
    </w:p>
  </w:footnote>
  <w:footnote w:type="continuationSeparator" w:id="0">
    <w:p w14:paraId="316A18E9" w14:textId="77777777" w:rsidR="00FC370A" w:rsidRPr="001D7D9B" w:rsidRDefault="00FC370A" w:rsidP="001D7D9B">
      <w:pPr>
        <w:spacing w:after="0" w:line="240" w:lineRule="auto"/>
        <w:rPr>
          <w:color w:val="265A9A" w:themeColor="background2"/>
        </w:rPr>
      </w:pPr>
      <w:r w:rsidRPr="00C238D1">
        <w:rPr>
          <w:rStyle w:val="ColourDarkBlue"/>
        </w:rPr>
        <w:continuationSeparator/>
      </w:r>
    </w:p>
  </w:footnote>
  <w:footnote w:type="continuationNotice" w:id="1">
    <w:p w14:paraId="1A995298" w14:textId="77777777" w:rsidR="00FC370A" w:rsidRDefault="00FC37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25EF" w14:textId="4F84F170" w:rsidR="004F7BE2" w:rsidRPr="00201320" w:rsidRDefault="0042407A" w:rsidP="004544D6">
    <w:pPr>
      <w:pStyle w:val="Header-Keyline"/>
      <w:rPr>
        <w:rStyle w:val="Strong"/>
        <w:b w:val="0"/>
        <w:bCs w:val="0"/>
      </w:rPr>
    </w:pPr>
    <w:r>
      <w:rPr>
        <w:rStyle w:val="Strong"/>
      </w:rPr>
      <w:t>Building a skilled and adaptable workforce</w:t>
    </w:r>
    <w:r w:rsidR="004F7BE2">
      <w:t xml:space="preserve"> </w:t>
    </w:r>
    <w:r w:rsidR="00DB3924">
      <w:t>I</w:t>
    </w:r>
    <w:r w:rsidR="00D756E1">
      <w:t>nquiry interim</w:t>
    </w:r>
    <w:r w:rsidR="004F7BE2">
      <w:t xml:space="preserve"> </w:t>
    </w:r>
    <w:r w:rsidR="009E3265">
      <w:t>r</w:t>
    </w:r>
    <w:r w:rsidR="004F7BE2">
      <w:t>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E044" w14:textId="5217866C" w:rsidR="004F7BE2" w:rsidRDefault="00CC6001" w:rsidP="004544D6">
    <w:pPr>
      <w:pStyle w:val="Header-KeylineRight"/>
    </w:pPr>
    <w:fldSimple w:instr="STYLEREF  &quot;Heading 1-no background&quot;  \* MERGEFORMAT">
      <w:r w:rsidR="000F5732">
        <w:rPr>
          <w:noProof/>
        </w:rPr>
        <w:t>Opportunity for comment</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4C18" w14:textId="672FBB27" w:rsidR="00120DB2" w:rsidRDefault="00120D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53CD3" w14:textId="2243DB9C" w:rsidR="00AF405C" w:rsidRDefault="00AF405C" w:rsidP="001B742F">
    <w:pPr>
      <w:pStyle w:val="Header-Keyline"/>
    </w:pPr>
    <w:r>
      <w:rPr>
        <w:noProof/>
      </w:rPr>
      <w:drawing>
        <wp:anchor distT="0" distB="0" distL="114300" distR="114300" simplePos="0" relativeHeight="251658240" behindDoc="1" locked="0" layoutInCell="1" allowOverlap="1" wp14:anchorId="4A2B6E02" wp14:editId="79D4C0FE">
          <wp:simplePos x="0" y="0"/>
          <wp:positionH relativeFrom="page">
            <wp:align>left</wp:align>
          </wp:positionH>
          <wp:positionV relativeFrom="paragraph">
            <wp:posOffset>-508635</wp:posOffset>
          </wp:positionV>
          <wp:extent cx="7560000" cy="10681108"/>
          <wp:effectExtent l="0" t="0" r="3175" b="6350"/>
          <wp:wrapNone/>
          <wp:docPr id="8119729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729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page">
            <wp14:pctWidth>0</wp14:pctWidth>
          </wp14:sizeRelH>
          <wp14:sizeRelV relativeFrom="page">
            <wp14:pctHeight>0</wp14:pctHeight>
          </wp14:sizeRelV>
        </wp:anchor>
      </w:drawing>
    </w:r>
    <w:r>
      <w:rPr>
        <w:rStyle w:val="Strong"/>
      </w:rPr>
      <w:t>Building a skilled and adaptable workforce</w:t>
    </w:r>
    <w:r>
      <w:t xml:space="preserve"> </w:t>
    </w:r>
    <w:r w:rsidR="00DB3924">
      <w:t>I</w:t>
    </w:r>
    <w:r>
      <w:t>nquiry interim report</w:t>
    </w:r>
    <w:r w:rsidRPr="00AF405C">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2B884" w14:textId="75CA9859" w:rsidR="00FF0A71" w:rsidRDefault="00FF0A71" w:rsidP="001B742F">
    <w:pPr>
      <w:pStyle w:val="Header-Keyline"/>
    </w:pPr>
    <w:r>
      <w:rPr>
        <w:rStyle w:val="Strong"/>
      </w:rPr>
      <w:t>Building a skilled and adaptable workforce</w:t>
    </w:r>
    <w:r>
      <w:t xml:space="preserve"> Inquiry interim report</w:t>
    </w:r>
    <w:r w:rsidRPr="00AF405C">
      <w:rPr>
        <w:noProof/>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A5EF3" w14:textId="60720F83" w:rsidR="00CF0652" w:rsidRDefault="00CC6001" w:rsidP="00231B8D">
    <w:pPr>
      <w:pStyle w:val="Header-KeylineRight"/>
    </w:pPr>
    <w:fldSimple w:instr=" STYLEREF  &quot;Heading 1-no background&quot;  \* MERGEFORMAT ">
      <w:r w:rsidR="000F5732">
        <w:rPr>
          <w:noProof/>
        </w:rPr>
        <w:t>Opportunity for comment</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09FEBC9E"/>
    <w:lvl w:ilvl="0">
      <w:start w:val="1"/>
      <w:numFmt w:val="decimal"/>
      <w:lvlText w:val="%1."/>
      <w:lvlJc w:val="left"/>
      <w:pPr>
        <w:tabs>
          <w:tab w:val="num" w:pos="360"/>
        </w:tabs>
        <w:ind w:left="360" w:hanging="360"/>
      </w:p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5453C6"/>
    <w:multiLevelType w:val="hybridMultilevel"/>
    <w:tmpl w:val="568CAF8E"/>
    <w:lvl w:ilvl="0" w:tplc="1F52027A">
      <w:start w:val="3"/>
      <w:numFmt w:val="bullet"/>
      <w:lvlText w:val="-"/>
      <w:lvlJc w:val="left"/>
      <w:pPr>
        <w:ind w:left="643" w:hanging="360"/>
      </w:pPr>
      <w:rPr>
        <w:rFonts w:ascii="Arial" w:eastAsiaTheme="minorHAnsi" w:hAnsi="Arial" w:cs="Aria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DD4293B"/>
    <w:multiLevelType w:val="singleLevel"/>
    <w:tmpl w:val="09FEBC9E"/>
    <w:lvl w:ilvl="0">
      <w:start w:val="1"/>
      <w:numFmt w:val="decimal"/>
      <w:lvlText w:val="%1."/>
      <w:lvlJc w:val="left"/>
      <w:pPr>
        <w:tabs>
          <w:tab w:val="num" w:pos="360"/>
        </w:tabs>
        <w:ind w:left="360" w:hanging="360"/>
      </w:p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665246"/>
    <w:multiLevelType w:val="multilevel"/>
    <w:tmpl w:val="55366B42"/>
    <w:numStyleLink w:val="LetteredList"/>
  </w:abstractNum>
  <w:abstractNum w:abstractNumId="14" w15:restartNumberingAfterBreak="0">
    <w:nsid w:val="2DFE29AF"/>
    <w:multiLevelType w:val="multilevel"/>
    <w:tmpl w:val="72768BCE"/>
    <w:numStyleLink w:val="AppendixHeadingList"/>
  </w:abstractNum>
  <w:abstractNum w:abstractNumId="15"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5A034E3"/>
    <w:multiLevelType w:val="hybridMultilevel"/>
    <w:tmpl w:val="301291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0" w15:restartNumberingAfterBreak="0">
    <w:nsid w:val="761B4A1B"/>
    <w:multiLevelType w:val="multilevel"/>
    <w:tmpl w:val="4F48000A"/>
    <w:numStyleLink w:val="Alphalist"/>
  </w:abstractNum>
  <w:num w:numId="1" w16cid:durableId="1220020794">
    <w:abstractNumId w:val="9"/>
  </w:num>
  <w:num w:numId="2" w16cid:durableId="9335037">
    <w:abstractNumId w:val="4"/>
  </w:num>
  <w:num w:numId="3" w16cid:durableId="1770274636">
    <w:abstractNumId w:val="12"/>
  </w:num>
  <w:num w:numId="4" w16cid:durableId="2123768426">
    <w:abstractNumId w:val="18"/>
  </w:num>
  <w:num w:numId="5" w16cid:durableId="2147164343">
    <w:abstractNumId w:val="19"/>
  </w:num>
  <w:num w:numId="6" w16cid:durableId="1395083784">
    <w:abstractNumId w:val="16"/>
  </w:num>
  <w:num w:numId="7" w16cid:durableId="956329250">
    <w:abstractNumId w:val="14"/>
  </w:num>
  <w:num w:numId="8" w16cid:durableId="1611275472">
    <w:abstractNumId w:val="10"/>
  </w:num>
  <w:num w:numId="9" w16cid:durableId="360713607">
    <w:abstractNumId w:val="13"/>
  </w:num>
  <w:num w:numId="10" w16cid:durableId="1388069260">
    <w:abstractNumId w:val="20"/>
  </w:num>
  <w:num w:numId="11" w16cid:durableId="814882481">
    <w:abstractNumId w:val="0"/>
  </w:num>
  <w:num w:numId="12" w16cid:durableId="2008705549">
    <w:abstractNumId w:val="5"/>
  </w:num>
  <w:num w:numId="13" w16cid:durableId="490563872">
    <w:abstractNumId w:val="11"/>
  </w:num>
  <w:num w:numId="14" w16cid:durableId="1213885368">
    <w:abstractNumId w:val="8"/>
  </w:num>
  <w:num w:numId="15" w16cid:durableId="1120606403">
    <w:abstractNumId w:val="7"/>
  </w:num>
  <w:num w:numId="16" w16cid:durableId="695930222">
    <w:abstractNumId w:val="2"/>
  </w:num>
  <w:num w:numId="17" w16cid:durableId="1948732313">
    <w:abstractNumId w:val="15"/>
  </w:num>
  <w:num w:numId="18" w16cid:durableId="1589658487">
    <w:abstractNumId w:val="7"/>
  </w:num>
  <w:num w:numId="19" w16cid:durableId="700395868">
    <w:abstractNumId w:val="1"/>
  </w:num>
  <w:num w:numId="20" w16cid:durableId="1293828717">
    <w:abstractNumId w:val="8"/>
    <w:lvlOverride w:ilvl="0">
      <w:startOverride w:val="1"/>
      <w:lvl w:ilvl="0">
        <w:start w:val="1"/>
        <w:numFmt w:val="decimal"/>
        <w:pStyle w:val="ListNumber"/>
        <w:lvlText w:val="%1."/>
        <w:lvlJc w:val="left"/>
        <w:pPr>
          <w:ind w:left="454" w:hanging="454"/>
        </w:pPr>
        <w:rPr>
          <w:rFonts w:hint="default"/>
          <w:color w:val="265A9A" w:themeColor="background2"/>
        </w:rPr>
      </w:lvl>
    </w:lvlOverride>
    <w:lvlOverride w:ilvl="1">
      <w:startOverride w:val="1"/>
      <w:lvl w:ilvl="1">
        <w:start w:val="1"/>
        <w:numFmt w:val="decimal"/>
        <w:pStyle w:val="ListNumber2"/>
        <w:lvlText w:val="%1.%2."/>
        <w:lvlJc w:val="left"/>
        <w:pPr>
          <w:ind w:left="680" w:hanging="680"/>
        </w:pPr>
        <w:rPr>
          <w:rFonts w:hint="default"/>
        </w:rPr>
      </w:lvl>
    </w:lvlOverride>
    <w:lvlOverride w:ilvl="2">
      <w:startOverride w:val="1"/>
      <w:lvl w:ilvl="2">
        <w:start w:val="1"/>
        <w:numFmt w:val="decimal"/>
        <w:pStyle w:val="ListNumber3"/>
        <w:lvlText w:val="%1.%2.%3."/>
        <w:lvlJc w:val="left"/>
        <w:pPr>
          <w:ind w:left="907" w:hanging="907"/>
        </w:pPr>
        <w:rPr>
          <w:rFonts w:hint="default"/>
        </w:rPr>
      </w:lvl>
    </w:lvlOverride>
    <w:lvlOverride w:ilvl="3">
      <w:startOverride w:val="1"/>
      <w:lvl w:ilvl="3">
        <w:start w:val="1"/>
        <w:numFmt w:val="decimal"/>
        <w:pStyle w:val="ListNumber4"/>
        <w:lvlText w:val="%1.%2.%3.%4."/>
        <w:lvlJc w:val="left"/>
        <w:pPr>
          <w:ind w:left="1134" w:hanging="1134"/>
        </w:pPr>
        <w:rPr>
          <w:rFonts w:hint="default"/>
        </w:rPr>
      </w:lvl>
    </w:lvlOverride>
    <w:lvlOverride w:ilvl="4">
      <w:startOverride w:val="1"/>
      <w:lvl w:ilvl="4">
        <w:start w:val="1"/>
        <w:numFmt w:val="decimal"/>
        <w:pStyle w:val="ListNumber5"/>
        <w:lvlText w:val="%1.%2.%3.%4.%5"/>
        <w:lvlJc w:val="left"/>
        <w:pPr>
          <w:ind w:left="1361" w:hanging="1361"/>
        </w:pPr>
        <w:rPr>
          <w:rFonts w:hint="default"/>
        </w:rPr>
      </w:lvl>
    </w:lvlOverride>
    <w:lvlOverride w:ilvl="5">
      <w:startOverride w:val="1"/>
      <w:lvl w:ilvl="5">
        <w:start w:val="1"/>
        <w:numFmt w:val="decimal"/>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decimal"/>
        <w:lvlText w:val="%8."/>
        <w:lvlJc w:val="left"/>
        <w:pPr>
          <w:ind w:left="567" w:hanging="567"/>
        </w:pPr>
        <w:rPr>
          <w:rFonts w:hint="default"/>
        </w:rPr>
      </w:lvl>
    </w:lvlOverride>
    <w:lvlOverride w:ilvl="8">
      <w:startOverride w:val="1"/>
      <w:lvl w:ilvl="8">
        <w:start w:val="1"/>
        <w:numFmt w:val="none"/>
        <w:lvlText w:val=""/>
        <w:lvlJc w:val="right"/>
        <w:pPr>
          <w:ind w:left="567" w:hanging="567"/>
        </w:pPr>
        <w:rPr>
          <w:rFonts w:hint="default"/>
        </w:rPr>
      </w:lvl>
    </w:lvlOverride>
  </w:num>
  <w:num w:numId="21" w16cid:durableId="927235369">
    <w:abstractNumId w:val="8"/>
    <w:lvlOverride w:ilvl="0">
      <w:startOverride w:val="1"/>
      <w:lvl w:ilvl="0">
        <w:start w:val="1"/>
        <w:numFmt w:val="decimal"/>
        <w:pStyle w:val="ListNumber"/>
        <w:lvlText w:val="%1."/>
        <w:lvlJc w:val="left"/>
        <w:pPr>
          <w:ind w:left="454" w:hanging="454"/>
        </w:pPr>
        <w:rPr>
          <w:rFonts w:hint="default"/>
        </w:rPr>
      </w:lvl>
    </w:lvlOverride>
    <w:lvlOverride w:ilvl="1">
      <w:startOverride w:val="1"/>
      <w:lvl w:ilvl="1">
        <w:start w:val="1"/>
        <w:numFmt w:val="decimal"/>
        <w:pStyle w:val="ListNumber2"/>
        <w:lvlText w:val="%1.%2."/>
        <w:lvlJc w:val="left"/>
        <w:pPr>
          <w:ind w:left="680" w:hanging="680"/>
        </w:pPr>
        <w:rPr>
          <w:rFonts w:hint="default"/>
        </w:rPr>
      </w:lvl>
    </w:lvlOverride>
    <w:lvlOverride w:ilvl="2">
      <w:startOverride w:val="1"/>
      <w:lvl w:ilvl="2">
        <w:start w:val="1"/>
        <w:numFmt w:val="decimal"/>
        <w:pStyle w:val="ListNumber3"/>
        <w:lvlText w:val="%1.%2.%3."/>
        <w:lvlJc w:val="left"/>
        <w:pPr>
          <w:ind w:left="907" w:hanging="907"/>
        </w:pPr>
        <w:rPr>
          <w:rFonts w:hint="default"/>
        </w:rPr>
      </w:lvl>
    </w:lvlOverride>
    <w:lvlOverride w:ilvl="3">
      <w:startOverride w:val="1"/>
      <w:lvl w:ilvl="3">
        <w:start w:val="1"/>
        <w:numFmt w:val="decimal"/>
        <w:pStyle w:val="ListNumber4"/>
        <w:lvlText w:val="%1.%2.%3.%4."/>
        <w:lvlJc w:val="left"/>
        <w:pPr>
          <w:ind w:left="1134" w:hanging="1134"/>
        </w:pPr>
        <w:rPr>
          <w:rFonts w:hint="default"/>
        </w:rPr>
      </w:lvl>
    </w:lvlOverride>
    <w:lvlOverride w:ilvl="4">
      <w:startOverride w:val="1"/>
      <w:lvl w:ilvl="4">
        <w:start w:val="1"/>
        <w:numFmt w:val="decimal"/>
        <w:pStyle w:val="ListNumber5"/>
        <w:lvlText w:val="%1.%2.%3.%4.%5"/>
        <w:lvlJc w:val="left"/>
        <w:pPr>
          <w:ind w:left="1361" w:hanging="1361"/>
        </w:pPr>
        <w:rPr>
          <w:rFonts w:hint="default"/>
        </w:rPr>
      </w:lvl>
    </w:lvlOverride>
    <w:lvlOverride w:ilvl="5">
      <w:startOverride w:val="1"/>
      <w:lvl w:ilvl="5">
        <w:start w:val="1"/>
        <w:numFmt w:val="decimal"/>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decimal"/>
        <w:lvlText w:val="%8."/>
        <w:lvlJc w:val="left"/>
        <w:pPr>
          <w:ind w:left="567" w:hanging="567"/>
        </w:pPr>
        <w:rPr>
          <w:rFonts w:hint="default"/>
        </w:rPr>
      </w:lvl>
    </w:lvlOverride>
    <w:lvlOverride w:ilvl="8">
      <w:startOverride w:val="1"/>
      <w:lvl w:ilvl="8">
        <w:start w:val="1"/>
        <w:numFmt w:val="none"/>
        <w:lvlText w:val=""/>
        <w:lvlJc w:val="right"/>
        <w:pPr>
          <w:ind w:left="567" w:hanging="567"/>
        </w:pPr>
        <w:rPr>
          <w:rFonts w:hint="default"/>
        </w:rPr>
      </w:lvl>
    </w:lvlOverride>
  </w:num>
  <w:num w:numId="22" w16cid:durableId="258607022">
    <w:abstractNumId w:val="8"/>
    <w:lvlOverride w:ilvl="0">
      <w:lvl w:ilvl="0">
        <w:start w:val="1"/>
        <w:numFmt w:val="decimal"/>
        <w:pStyle w:val="ListNumber"/>
        <w:lvlText w:val="%1."/>
        <w:lvlJc w:val="left"/>
        <w:pPr>
          <w:ind w:left="454" w:hanging="454"/>
        </w:pPr>
        <w:rPr>
          <w:rFonts w:hint="default"/>
        </w:rPr>
      </w:lvl>
    </w:lvlOverride>
    <w:lvlOverride w:ilvl="1">
      <w:lvl w:ilvl="1">
        <w:start w:val="1"/>
        <w:numFmt w:val="decimal"/>
        <w:pStyle w:val="ListNumber2"/>
        <w:lvlText w:val="%1.%2."/>
        <w:lvlJc w:val="left"/>
        <w:pPr>
          <w:ind w:left="680" w:hanging="680"/>
        </w:pPr>
        <w:rPr>
          <w:rFonts w:hint="default"/>
        </w:rPr>
      </w:lvl>
    </w:lvlOverride>
    <w:lvlOverride w:ilvl="2">
      <w:lvl w:ilvl="2">
        <w:start w:val="1"/>
        <w:numFmt w:val="decimal"/>
        <w:pStyle w:val="ListNumber3"/>
        <w:lvlText w:val="%1.%2.%3."/>
        <w:lvlJc w:val="left"/>
        <w:pPr>
          <w:ind w:left="907" w:hanging="907"/>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361" w:hanging="1361"/>
        </w:pPr>
        <w:rPr>
          <w:rFonts w:hint="default"/>
        </w:rPr>
      </w:lvl>
    </w:lvlOverride>
    <w:lvlOverride w:ilvl="5">
      <w:lvl w:ilvl="5">
        <w:start w:val="1"/>
        <w:numFmt w:val="decimal"/>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decimal"/>
        <w:lvlText w:val="%8."/>
        <w:lvlJc w:val="left"/>
        <w:pPr>
          <w:ind w:left="567" w:hanging="567"/>
        </w:pPr>
        <w:rPr>
          <w:rFonts w:hint="default"/>
        </w:rPr>
      </w:lvl>
    </w:lvlOverride>
    <w:lvlOverride w:ilvl="8">
      <w:lvl w:ilvl="8">
        <w:start w:val="1"/>
        <w:numFmt w:val="none"/>
        <w:lvlText w:val=""/>
        <w:lvlJc w:val="right"/>
        <w:pPr>
          <w:ind w:left="567" w:hanging="567"/>
        </w:pPr>
        <w:rPr>
          <w:rFonts w:hint="default"/>
        </w:rPr>
      </w:lvl>
    </w:lvlOverride>
  </w:num>
  <w:num w:numId="23" w16cid:durableId="1375812842">
    <w:abstractNumId w:val="17"/>
  </w:num>
  <w:num w:numId="24" w16cid:durableId="701517426">
    <w:abstractNumId w:val="8"/>
    <w:lvlOverride w:ilvl="0">
      <w:startOverride w:val="1"/>
      <w:lvl w:ilvl="0">
        <w:start w:val="1"/>
        <w:numFmt w:val="decimal"/>
        <w:pStyle w:val="ListNumber"/>
        <w:lvlText w:val="%1."/>
        <w:lvlJc w:val="left"/>
        <w:pPr>
          <w:ind w:left="454" w:hanging="454"/>
        </w:pPr>
        <w:rPr>
          <w:rFonts w:hint="default"/>
        </w:rPr>
      </w:lvl>
    </w:lvlOverride>
    <w:lvlOverride w:ilvl="1">
      <w:startOverride w:val="1"/>
      <w:lvl w:ilvl="1">
        <w:start w:val="1"/>
        <w:numFmt w:val="decimal"/>
        <w:pStyle w:val="ListNumber2"/>
        <w:lvlText w:val="%1.%2."/>
        <w:lvlJc w:val="left"/>
        <w:pPr>
          <w:ind w:left="680" w:hanging="680"/>
        </w:pPr>
        <w:rPr>
          <w:rFonts w:hint="default"/>
        </w:rPr>
      </w:lvl>
    </w:lvlOverride>
    <w:lvlOverride w:ilvl="2">
      <w:startOverride w:val="1"/>
      <w:lvl w:ilvl="2">
        <w:start w:val="1"/>
        <w:numFmt w:val="decimal"/>
        <w:pStyle w:val="ListNumber3"/>
        <w:lvlText w:val="%1.%2.%3."/>
        <w:lvlJc w:val="left"/>
        <w:pPr>
          <w:ind w:left="907" w:hanging="907"/>
        </w:pPr>
        <w:rPr>
          <w:rFonts w:hint="default"/>
        </w:rPr>
      </w:lvl>
    </w:lvlOverride>
    <w:lvlOverride w:ilvl="3">
      <w:startOverride w:val="1"/>
      <w:lvl w:ilvl="3">
        <w:start w:val="1"/>
        <w:numFmt w:val="decimal"/>
        <w:pStyle w:val="ListNumber4"/>
        <w:lvlText w:val="%1.%2.%3.%4."/>
        <w:lvlJc w:val="left"/>
        <w:pPr>
          <w:ind w:left="1134" w:hanging="1134"/>
        </w:pPr>
        <w:rPr>
          <w:rFonts w:hint="default"/>
        </w:rPr>
      </w:lvl>
    </w:lvlOverride>
    <w:lvlOverride w:ilvl="4">
      <w:startOverride w:val="1"/>
      <w:lvl w:ilvl="4">
        <w:start w:val="1"/>
        <w:numFmt w:val="decimal"/>
        <w:pStyle w:val="ListNumber5"/>
        <w:lvlText w:val="%1.%2.%3.%4.%5"/>
        <w:lvlJc w:val="left"/>
        <w:pPr>
          <w:ind w:left="1361" w:hanging="1361"/>
        </w:pPr>
        <w:rPr>
          <w:rFonts w:hint="default"/>
        </w:rPr>
      </w:lvl>
    </w:lvlOverride>
    <w:lvlOverride w:ilvl="5">
      <w:startOverride w:val="1"/>
      <w:lvl w:ilvl="5">
        <w:start w:val="1"/>
        <w:numFmt w:val="decimal"/>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decimal"/>
        <w:lvlText w:val="%8."/>
        <w:lvlJc w:val="left"/>
        <w:pPr>
          <w:ind w:left="567" w:hanging="567"/>
        </w:pPr>
        <w:rPr>
          <w:rFonts w:hint="default"/>
        </w:rPr>
      </w:lvl>
    </w:lvlOverride>
    <w:lvlOverride w:ilvl="8">
      <w:startOverride w:val="1"/>
      <w:lvl w:ilvl="8">
        <w:start w:val="1"/>
        <w:numFmt w:val="none"/>
        <w:lvlText w:val=""/>
        <w:lvlJc w:val="right"/>
        <w:pPr>
          <w:ind w:left="567" w:hanging="567"/>
        </w:pPr>
        <w:rPr>
          <w:rFonts w:hint="default"/>
        </w:rPr>
      </w:lvl>
    </w:lvlOverride>
  </w:num>
  <w:num w:numId="25" w16cid:durableId="1803425442">
    <w:abstractNumId w:val="3"/>
  </w:num>
  <w:num w:numId="26" w16cid:durableId="1942645839">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3D7"/>
    <w:rsid w:val="00000075"/>
    <w:rsid w:val="00000F3C"/>
    <w:rsid w:val="00003C92"/>
    <w:rsid w:val="00004489"/>
    <w:rsid w:val="00005C79"/>
    <w:rsid w:val="00011218"/>
    <w:rsid w:val="00011F93"/>
    <w:rsid w:val="0001217E"/>
    <w:rsid w:val="00013E41"/>
    <w:rsid w:val="0001516A"/>
    <w:rsid w:val="0001570E"/>
    <w:rsid w:val="000212A7"/>
    <w:rsid w:val="0002133F"/>
    <w:rsid w:val="00022A13"/>
    <w:rsid w:val="00025060"/>
    <w:rsid w:val="0002555A"/>
    <w:rsid w:val="00026C04"/>
    <w:rsid w:val="000300AF"/>
    <w:rsid w:val="00030B4E"/>
    <w:rsid w:val="000324B2"/>
    <w:rsid w:val="000331E4"/>
    <w:rsid w:val="0003338D"/>
    <w:rsid w:val="00033619"/>
    <w:rsid w:val="00033A82"/>
    <w:rsid w:val="00033C12"/>
    <w:rsid w:val="0004233A"/>
    <w:rsid w:val="000437CA"/>
    <w:rsid w:val="00043E1D"/>
    <w:rsid w:val="00047894"/>
    <w:rsid w:val="0005151B"/>
    <w:rsid w:val="0005281D"/>
    <w:rsid w:val="00054C95"/>
    <w:rsid w:val="00055BD0"/>
    <w:rsid w:val="000561CF"/>
    <w:rsid w:val="0005774F"/>
    <w:rsid w:val="00060911"/>
    <w:rsid w:val="00060BA5"/>
    <w:rsid w:val="00062A44"/>
    <w:rsid w:val="00063350"/>
    <w:rsid w:val="00065E08"/>
    <w:rsid w:val="00065FA9"/>
    <w:rsid w:val="00071E55"/>
    <w:rsid w:val="000724AE"/>
    <w:rsid w:val="000757AE"/>
    <w:rsid w:val="0007776A"/>
    <w:rsid w:val="00077A76"/>
    <w:rsid w:val="0008037D"/>
    <w:rsid w:val="00083B30"/>
    <w:rsid w:val="00084660"/>
    <w:rsid w:val="00085FB9"/>
    <w:rsid w:val="00087EF7"/>
    <w:rsid w:val="00087FF7"/>
    <w:rsid w:val="00091286"/>
    <w:rsid w:val="0009212F"/>
    <w:rsid w:val="00093262"/>
    <w:rsid w:val="000955CA"/>
    <w:rsid w:val="00096878"/>
    <w:rsid w:val="000A08F3"/>
    <w:rsid w:val="000A0F08"/>
    <w:rsid w:val="000A1609"/>
    <w:rsid w:val="000A32F0"/>
    <w:rsid w:val="000A38AA"/>
    <w:rsid w:val="000A6012"/>
    <w:rsid w:val="000A6B52"/>
    <w:rsid w:val="000B0E19"/>
    <w:rsid w:val="000B3E12"/>
    <w:rsid w:val="000B497F"/>
    <w:rsid w:val="000B4A72"/>
    <w:rsid w:val="000B5105"/>
    <w:rsid w:val="000B5A0E"/>
    <w:rsid w:val="000B78CA"/>
    <w:rsid w:val="000C6B77"/>
    <w:rsid w:val="000C7629"/>
    <w:rsid w:val="000C7E70"/>
    <w:rsid w:val="000D142D"/>
    <w:rsid w:val="000D33D3"/>
    <w:rsid w:val="000E2226"/>
    <w:rsid w:val="000E43B0"/>
    <w:rsid w:val="000E6769"/>
    <w:rsid w:val="000E7C14"/>
    <w:rsid w:val="000F16CC"/>
    <w:rsid w:val="000F4488"/>
    <w:rsid w:val="000F5732"/>
    <w:rsid w:val="000F5E50"/>
    <w:rsid w:val="000F6224"/>
    <w:rsid w:val="00100FAB"/>
    <w:rsid w:val="00101C81"/>
    <w:rsid w:val="00105067"/>
    <w:rsid w:val="00107E70"/>
    <w:rsid w:val="0011217E"/>
    <w:rsid w:val="00112E8F"/>
    <w:rsid w:val="00116559"/>
    <w:rsid w:val="00120792"/>
    <w:rsid w:val="00120DB2"/>
    <w:rsid w:val="00121747"/>
    <w:rsid w:val="001268BC"/>
    <w:rsid w:val="00126B81"/>
    <w:rsid w:val="0013722E"/>
    <w:rsid w:val="00137FAB"/>
    <w:rsid w:val="0014236B"/>
    <w:rsid w:val="00147FC4"/>
    <w:rsid w:val="00154E0D"/>
    <w:rsid w:val="0015527F"/>
    <w:rsid w:val="001553BA"/>
    <w:rsid w:val="001600E9"/>
    <w:rsid w:val="00160FEC"/>
    <w:rsid w:val="001610E5"/>
    <w:rsid w:val="00161BC8"/>
    <w:rsid w:val="00162292"/>
    <w:rsid w:val="00163568"/>
    <w:rsid w:val="001714F3"/>
    <w:rsid w:val="00177365"/>
    <w:rsid w:val="001831B8"/>
    <w:rsid w:val="00183791"/>
    <w:rsid w:val="00186295"/>
    <w:rsid w:val="00187397"/>
    <w:rsid w:val="00187F05"/>
    <w:rsid w:val="00187FD2"/>
    <w:rsid w:val="0019371C"/>
    <w:rsid w:val="00193B43"/>
    <w:rsid w:val="001957BF"/>
    <w:rsid w:val="001974C0"/>
    <w:rsid w:val="001A0D77"/>
    <w:rsid w:val="001A196A"/>
    <w:rsid w:val="001A1D95"/>
    <w:rsid w:val="001A2565"/>
    <w:rsid w:val="001A2EDA"/>
    <w:rsid w:val="001A5E22"/>
    <w:rsid w:val="001A7CE7"/>
    <w:rsid w:val="001B1762"/>
    <w:rsid w:val="001B17AC"/>
    <w:rsid w:val="001B1A99"/>
    <w:rsid w:val="001B4365"/>
    <w:rsid w:val="001B52A2"/>
    <w:rsid w:val="001B588D"/>
    <w:rsid w:val="001B6BBB"/>
    <w:rsid w:val="001B742F"/>
    <w:rsid w:val="001C2FC5"/>
    <w:rsid w:val="001C6106"/>
    <w:rsid w:val="001C63BD"/>
    <w:rsid w:val="001C7835"/>
    <w:rsid w:val="001D1796"/>
    <w:rsid w:val="001D4050"/>
    <w:rsid w:val="001D7D9B"/>
    <w:rsid w:val="001E0FFB"/>
    <w:rsid w:val="001E22F8"/>
    <w:rsid w:val="001E3504"/>
    <w:rsid w:val="001E5F03"/>
    <w:rsid w:val="001E69AC"/>
    <w:rsid w:val="001F13C1"/>
    <w:rsid w:val="001F1E9A"/>
    <w:rsid w:val="001F29DE"/>
    <w:rsid w:val="001F2C8A"/>
    <w:rsid w:val="001F446D"/>
    <w:rsid w:val="001F45CA"/>
    <w:rsid w:val="001F6B0A"/>
    <w:rsid w:val="001F7BEB"/>
    <w:rsid w:val="001F7C6E"/>
    <w:rsid w:val="001F7D43"/>
    <w:rsid w:val="002002CC"/>
    <w:rsid w:val="00201320"/>
    <w:rsid w:val="002018F7"/>
    <w:rsid w:val="0020204A"/>
    <w:rsid w:val="002058B9"/>
    <w:rsid w:val="00205B3F"/>
    <w:rsid w:val="00206183"/>
    <w:rsid w:val="002062EF"/>
    <w:rsid w:val="002070B7"/>
    <w:rsid w:val="002112EC"/>
    <w:rsid w:val="00221800"/>
    <w:rsid w:val="00221AB7"/>
    <w:rsid w:val="00227712"/>
    <w:rsid w:val="00231B8D"/>
    <w:rsid w:val="00237537"/>
    <w:rsid w:val="002412B9"/>
    <w:rsid w:val="00242B1D"/>
    <w:rsid w:val="002457DE"/>
    <w:rsid w:val="00246212"/>
    <w:rsid w:val="00246435"/>
    <w:rsid w:val="00246A7D"/>
    <w:rsid w:val="00246BCF"/>
    <w:rsid w:val="00251245"/>
    <w:rsid w:val="002517A7"/>
    <w:rsid w:val="00251CA2"/>
    <w:rsid w:val="002535DC"/>
    <w:rsid w:val="00253940"/>
    <w:rsid w:val="00254E30"/>
    <w:rsid w:val="002601BB"/>
    <w:rsid w:val="00264147"/>
    <w:rsid w:val="00265918"/>
    <w:rsid w:val="00265ADC"/>
    <w:rsid w:val="00270834"/>
    <w:rsid w:val="002736A5"/>
    <w:rsid w:val="00273E86"/>
    <w:rsid w:val="00275CCC"/>
    <w:rsid w:val="00280B9C"/>
    <w:rsid w:val="002814E6"/>
    <w:rsid w:val="00281A54"/>
    <w:rsid w:val="00282AE5"/>
    <w:rsid w:val="0028312D"/>
    <w:rsid w:val="00287114"/>
    <w:rsid w:val="00291814"/>
    <w:rsid w:val="002936B4"/>
    <w:rsid w:val="002951E6"/>
    <w:rsid w:val="00295330"/>
    <w:rsid w:val="0029774B"/>
    <w:rsid w:val="002A03D0"/>
    <w:rsid w:val="002A0C8F"/>
    <w:rsid w:val="002A6205"/>
    <w:rsid w:val="002B0577"/>
    <w:rsid w:val="002B4E6C"/>
    <w:rsid w:val="002C4B65"/>
    <w:rsid w:val="002C797E"/>
    <w:rsid w:val="002D0BEF"/>
    <w:rsid w:val="002D1668"/>
    <w:rsid w:val="002D34DA"/>
    <w:rsid w:val="002D50CB"/>
    <w:rsid w:val="002E17F8"/>
    <w:rsid w:val="002E3F19"/>
    <w:rsid w:val="002E51D2"/>
    <w:rsid w:val="002E7A0E"/>
    <w:rsid w:val="002E7EFA"/>
    <w:rsid w:val="002F0405"/>
    <w:rsid w:val="002F6386"/>
    <w:rsid w:val="00303704"/>
    <w:rsid w:val="00305171"/>
    <w:rsid w:val="003108AF"/>
    <w:rsid w:val="00312DBB"/>
    <w:rsid w:val="00320229"/>
    <w:rsid w:val="003203C8"/>
    <w:rsid w:val="0032187D"/>
    <w:rsid w:val="00323400"/>
    <w:rsid w:val="003249F7"/>
    <w:rsid w:val="00324DE5"/>
    <w:rsid w:val="00326A36"/>
    <w:rsid w:val="0033157C"/>
    <w:rsid w:val="00331DE0"/>
    <w:rsid w:val="00336ECB"/>
    <w:rsid w:val="00342160"/>
    <w:rsid w:val="0034620A"/>
    <w:rsid w:val="0034680A"/>
    <w:rsid w:val="00350122"/>
    <w:rsid w:val="00351404"/>
    <w:rsid w:val="00352BAB"/>
    <w:rsid w:val="00353CE5"/>
    <w:rsid w:val="00354696"/>
    <w:rsid w:val="0035519A"/>
    <w:rsid w:val="0036059A"/>
    <w:rsid w:val="00363FF8"/>
    <w:rsid w:val="003640E1"/>
    <w:rsid w:val="00371197"/>
    <w:rsid w:val="00372403"/>
    <w:rsid w:val="0037348E"/>
    <w:rsid w:val="00376491"/>
    <w:rsid w:val="0037664D"/>
    <w:rsid w:val="0037721D"/>
    <w:rsid w:val="0038102A"/>
    <w:rsid w:val="003816EA"/>
    <w:rsid w:val="00381D44"/>
    <w:rsid w:val="003833B4"/>
    <w:rsid w:val="003842D1"/>
    <w:rsid w:val="00385061"/>
    <w:rsid w:val="0038707A"/>
    <w:rsid w:val="00387464"/>
    <w:rsid w:val="0039769C"/>
    <w:rsid w:val="003A68EC"/>
    <w:rsid w:val="003A743E"/>
    <w:rsid w:val="003A79AF"/>
    <w:rsid w:val="003A7ADE"/>
    <w:rsid w:val="003B0AED"/>
    <w:rsid w:val="003B2A34"/>
    <w:rsid w:val="003B6E2C"/>
    <w:rsid w:val="003B7DB1"/>
    <w:rsid w:val="003C01D4"/>
    <w:rsid w:val="003C2CC3"/>
    <w:rsid w:val="003C63EA"/>
    <w:rsid w:val="003C640A"/>
    <w:rsid w:val="003C69BF"/>
    <w:rsid w:val="003D09EE"/>
    <w:rsid w:val="003D15F1"/>
    <w:rsid w:val="003D23A3"/>
    <w:rsid w:val="003D4671"/>
    <w:rsid w:val="003D5856"/>
    <w:rsid w:val="003E0C52"/>
    <w:rsid w:val="003E175F"/>
    <w:rsid w:val="003E3EDF"/>
    <w:rsid w:val="003E511E"/>
    <w:rsid w:val="003E5B47"/>
    <w:rsid w:val="003E6055"/>
    <w:rsid w:val="003E737F"/>
    <w:rsid w:val="003E7ACD"/>
    <w:rsid w:val="003F6F1A"/>
    <w:rsid w:val="0040060F"/>
    <w:rsid w:val="00402362"/>
    <w:rsid w:val="004029F9"/>
    <w:rsid w:val="00403A27"/>
    <w:rsid w:val="00403D56"/>
    <w:rsid w:val="00404E4F"/>
    <w:rsid w:val="00405C4D"/>
    <w:rsid w:val="004064F7"/>
    <w:rsid w:val="00416D9A"/>
    <w:rsid w:val="00417A3D"/>
    <w:rsid w:val="00420F0E"/>
    <w:rsid w:val="00422371"/>
    <w:rsid w:val="0042339A"/>
    <w:rsid w:val="00423B15"/>
    <w:rsid w:val="0042407A"/>
    <w:rsid w:val="00424CB8"/>
    <w:rsid w:val="00424E77"/>
    <w:rsid w:val="0042508F"/>
    <w:rsid w:val="0043326D"/>
    <w:rsid w:val="004365A4"/>
    <w:rsid w:val="004379C2"/>
    <w:rsid w:val="004400E8"/>
    <w:rsid w:val="00440332"/>
    <w:rsid w:val="00440666"/>
    <w:rsid w:val="00440B2C"/>
    <w:rsid w:val="004439E4"/>
    <w:rsid w:val="004440B4"/>
    <w:rsid w:val="00444344"/>
    <w:rsid w:val="00450C80"/>
    <w:rsid w:val="00451C3C"/>
    <w:rsid w:val="00452C84"/>
    <w:rsid w:val="00452E68"/>
    <w:rsid w:val="004544D6"/>
    <w:rsid w:val="00457552"/>
    <w:rsid w:val="00460C0D"/>
    <w:rsid w:val="00461CE9"/>
    <w:rsid w:val="00461F1B"/>
    <w:rsid w:val="00461F34"/>
    <w:rsid w:val="00462407"/>
    <w:rsid w:val="00462FF1"/>
    <w:rsid w:val="004631DD"/>
    <w:rsid w:val="004635FD"/>
    <w:rsid w:val="004653A1"/>
    <w:rsid w:val="00466587"/>
    <w:rsid w:val="00470129"/>
    <w:rsid w:val="004728A0"/>
    <w:rsid w:val="004742DD"/>
    <w:rsid w:val="00475231"/>
    <w:rsid w:val="00476F62"/>
    <w:rsid w:val="00480026"/>
    <w:rsid w:val="00482C75"/>
    <w:rsid w:val="00484E96"/>
    <w:rsid w:val="00491796"/>
    <w:rsid w:val="00496700"/>
    <w:rsid w:val="0049771A"/>
    <w:rsid w:val="004A01D9"/>
    <w:rsid w:val="004A244E"/>
    <w:rsid w:val="004A2FB8"/>
    <w:rsid w:val="004A3C13"/>
    <w:rsid w:val="004A5586"/>
    <w:rsid w:val="004B09B0"/>
    <w:rsid w:val="004B1531"/>
    <w:rsid w:val="004B4995"/>
    <w:rsid w:val="004B5D7A"/>
    <w:rsid w:val="004B609E"/>
    <w:rsid w:val="004B61E5"/>
    <w:rsid w:val="004C2E61"/>
    <w:rsid w:val="004C34D2"/>
    <w:rsid w:val="004C3A5D"/>
    <w:rsid w:val="004C4823"/>
    <w:rsid w:val="004C6D16"/>
    <w:rsid w:val="004D212C"/>
    <w:rsid w:val="004D3E27"/>
    <w:rsid w:val="004E1233"/>
    <w:rsid w:val="004E1BBF"/>
    <w:rsid w:val="004E28C6"/>
    <w:rsid w:val="004E33BA"/>
    <w:rsid w:val="004E34AD"/>
    <w:rsid w:val="004E48F0"/>
    <w:rsid w:val="004E6D17"/>
    <w:rsid w:val="004E6DE1"/>
    <w:rsid w:val="004F0CE6"/>
    <w:rsid w:val="004F0E5C"/>
    <w:rsid w:val="004F1026"/>
    <w:rsid w:val="004F10E0"/>
    <w:rsid w:val="004F138F"/>
    <w:rsid w:val="004F2D0A"/>
    <w:rsid w:val="004F37E0"/>
    <w:rsid w:val="004F420C"/>
    <w:rsid w:val="004F5DD2"/>
    <w:rsid w:val="004F603E"/>
    <w:rsid w:val="004F6D5A"/>
    <w:rsid w:val="004F7BE2"/>
    <w:rsid w:val="00500123"/>
    <w:rsid w:val="005006A6"/>
    <w:rsid w:val="005008C9"/>
    <w:rsid w:val="00500E11"/>
    <w:rsid w:val="00503311"/>
    <w:rsid w:val="0050670B"/>
    <w:rsid w:val="00511098"/>
    <w:rsid w:val="00511B29"/>
    <w:rsid w:val="005124ED"/>
    <w:rsid w:val="005141E8"/>
    <w:rsid w:val="005155B4"/>
    <w:rsid w:val="005167AE"/>
    <w:rsid w:val="00516A89"/>
    <w:rsid w:val="00517257"/>
    <w:rsid w:val="00521C9F"/>
    <w:rsid w:val="00522398"/>
    <w:rsid w:val="00523491"/>
    <w:rsid w:val="0052464F"/>
    <w:rsid w:val="0052556D"/>
    <w:rsid w:val="00526031"/>
    <w:rsid w:val="00526B0B"/>
    <w:rsid w:val="0052717A"/>
    <w:rsid w:val="00527A18"/>
    <w:rsid w:val="0053284A"/>
    <w:rsid w:val="0053561A"/>
    <w:rsid w:val="00540B70"/>
    <w:rsid w:val="00542C42"/>
    <w:rsid w:val="005449D3"/>
    <w:rsid w:val="00550C99"/>
    <w:rsid w:val="00553413"/>
    <w:rsid w:val="00555AB2"/>
    <w:rsid w:val="00561129"/>
    <w:rsid w:val="00562410"/>
    <w:rsid w:val="00564CC0"/>
    <w:rsid w:val="00571371"/>
    <w:rsid w:val="00571C54"/>
    <w:rsid w:val="005754AB"/>
    <w:rsid w:val="0057592F"/>
    <w:rsid w:val="0057645A"/>
    <w:rsid w:val="0058113E"/>
    <w:rsid w:val="005826F4"/>
    <w:rsid w:val="0058369E"/>
    <w:rsid w:val="00585063"/>
    <w:rsid w:val="00585395"/>
    <w:rsid w:val="00590D09"/>
    <w:rsid w:val="0059156A"/>
    <w:rsid w:val="0059265B"/>
    <w:rsid w:val="00593314"/>
    <w:rsid w:val="0059368E"/>
    <w:rsid w:val="00593BF5"/>
    <w:rsid w:val="00593C7A"/>
    <w:rsid w:val="00594496"/>
    <w:rsid w:val="00594B2F"/>
    <w:rsid w:val="005956D3"/>
    <w:rsid w:val="00596365"/>
    <w:rsid w:val="005965BC"/>
    <w:rsid w:val="005A1831"/>
    <w:rsid w:val="005A2DC8"/>
    <w:rsid w:val="005A3EAE"/>
    <w:rsid w:val="005A7E78"/>
    <w:rsid w:val="005B03ED"/>
    <w:rsid w:val="005B1776"/>
    <w:rsid w:val="005B17E6"/>
    <w:rsid w:val="005B1BA3"/>
    <w:rsid w:val="005B32C5"/>
    <w:rsid w:val="005B32FB"/>
    <w:rsid w:val="005B3FF3"/>
    <w:rsid w:val="005B49B2"/>
    <w:rsid w:val="005B5306"/>
    <w:rsid w:val="005B614A"/>
    <w:rsid w:val="005B7FE4"/>
    <w:rsid w:val="005C04AC"/>
    <w:rsid w:val="005C05E0"/>
    <w:rsid w:val="005C1B05"/>
    <w:rsid w:val="005C37E0"/>
    <w:rsid w:val="005C4FE3"/>
    <w:rsid w:val="005C51DC"/>
    <w:rsid w:val="005C54B9"/>
    <w:rsid w:val="005C5A1C"/>
    <w:rsid w:val="005C5F07"/>
    <w:rsid w:val="005C6618"/>
    <w:rsid w:val="005C7EA8"/>
    <w:rsid w:val="005D0189"/>
    <w:rsid w:val="005E4470"/>
    <w:rsid w:val="005E5794"/>
    <w:rsid w:val="005F0273"/>
    <w:rsid w:val="005F130F"/>
    <w:rsid w:val="005F1B2D"/>
    <w:rsid w:val="005F28CC"/>
    <w:rsid w:val="005F60C9"/>
    <w:rsid w:val="005F706F"/>
    <w:rsid w:val="00602500"/>
    <w:rsid w:val="006033AB"/>
    <w:rsid w:val="00603FD5"/>
    <w:rsid w:val="00604420"/>
    <w:rsid w:val="006060FA"/>
    <w:rsid w:val="00607F03"/>
    <w:rsid w:val="00610627"/>
    <w:rsid w:val="00610CEE"/>
    <w:rsid w:val="00610F6C"/>
    <w:rsid w:val="00611335"/>
    <w:rsid w:val="00614234"/>
    <w:rsid w:val="00616DC8"/>
    <w:rsid w:val="00620548"/>
    <w:rsid w:val="00620664"/>
    <w:rsid w:val="00624490"/>
    <w:rsid w:val="00624B90"/>
    <w:rsid w:val="00627249"/>
    <w:rsid w:val="00630F02"/>
    <w:rsid w:val="006316F3"/>
    <w:rsid w:val="00631D20"/>
    <w:rsid w:val="00632793"/>
    <w:rsid w:val="006379E0"/>
    <w:rsid w:val="00642739"/>
    <w:rsid w:val="00645CE5"/>
    <w:rsid w:val="006475BD"/>
    <w:rsid w:val="0065098F"/>
    <w:rsid w:val="006527FF"/>
    <w:rsid w:val="00652D70"/>
    <w:rsid w:val="00656976"/>
    <w:rsid w:val="00656A8A"/>
    <w:rsid w:val="006577F0"/>
    <w:rsid w:val="00661CAF"/>
    <w:rsid w:val="00662209"/>
    <w:rsid w:val="006710B8"/>
    <w:rsid w:val="006732CE"/>
    <w:rsid w:val="00677023"/>
    <w:rsid w:val="0067718E"/>
    <w:rsid w:val="00681161"/>
    <w:rsid w:val="00681434"/>
    <w:rsid w:val="0068425B"/>
    <w:rsid w:val="006845DF"/>
    <w:rsid w:val="00686E10"/>
    <w:rsid w:val="0068724F"/>
    <w:rsid w:val="006A0941"/>
    <w:rsid w:val="006A1DEF"/>
    <w:rsid w:val="006A5FAD"/>
    <w:rsid w:val="006A7069"/>
    <w:rsid w:val="006B126B"/>
    <w:rsid w:val="006B403C"/>
    <w:rsid w:val="006B7253"/>
    <w:rsid w:val="006C0817"/>
    <w:rsid w:val="006C36D5"/>
    <w:rsid w:val="006C4AF4"/>
    <w:rsid w:val="006C4C82"/>
    <w:rsid w:val="006C7127"/>
    <w:rsid w:val="006D095B"/>
    <w:rsid w:val="006D1563"/>
    <w:rsid w:val="006D2F52"/>
    <w:rsid w:val="006D3F2F"/>
    <w:rsid w:val="006D4F09"/>
    <w:rsid w:val="006D5F4F"/>
    <w:rsid w:val="006E3536"/>
    <w:rsid w:val="006E4B27"/>
    <w:rsid w:val="006E604F"/>
    <w:rsid w:val="006F0A9F"/>
    <w:rsid w:val="006F19C3"/>
    <w:rsid w:val="006F2B99"/>
    <w:rsid w:val="006F76BE"/>
    <w:rsid w:val="007001D3"/>
    <w:rsid w:val="00701100"/>
    <w:rsid w:val="00701251"/>
    <w:rsid w:val="00705CFD"/>
    <w:rsid w:val="007117AF"/>
    <w:rsid w:val="00711988"/>
    <w:rsid w:val="007124D5"/>
    <w:rsid w:val="00714488"/>
    <w:rsid w:val="007158C6"/>
    <w:rsid w:val="00715A44"/>
    <w:rsid w:val="00715D69"/>
    <w:rsid w:val="0071737F"/>
    <w:rsid w:val="00720507"/>
    <w:rsid w:val="007215EF"/>
    <w:rsid w:val="0072379C"/>
    <w:rsid w:val="00725C17"/>
    <w:rsid w:val="007301C9"/>
    <w:rsid w:val="00730B7F"/>
    <w:rsid w:val="00731869"/>
    <w:rsid w:val="00732063"/>
    <w:rsid w:val="007326DA"/>
    <w:rsid w:val="00732E1D"/>
    <w:rsid w:val="00735F3E"/>
    <w:rsid w:val="00736EF6"/>
    <w:rsid w:val="007373F6"/>
    <w:rsid w:val="00742F0D"/>
    <w:rsid w:val="00743548"/>
    <w:rsid w:val="00743F9E"/>
    <w:rsid w:val="00744120"/>
    <w:rsid w:val="00751D46"/>
    <w:rsid w:val="00751EB5"/>
    <w:rsid w:val="0075386F"/>
    <w:rsid w:val="0075782B"/>
    <w:rsid w:val="00760304"/>
    <w:rsid w:val="00760E1B"/>
    <w:rsid w:val="00762F69"/>
    <w:rsid w:val="00764CF2"/>
    <w:rsid w:val="00764FE1"/>
    <w:rsid w:val="007669DE"/>
    <w:rsid w:val="00766B4B"/>
    <w:rsid w:val="00767EAE"/>
    <w:rsid w:val="00770AF9"/>
    <w:rsid w:val="00770DB0"/>
    <w:rsid w:val="00771BC3"/>
    <w:rsid w:val="007722F6"/>
    <w:rsid w:val="00775165"/>
    <w:rsid w:val="0077679A"/>
    <w:rsid w:val="00776CCE"/>
    <w:rsid w:val="007812F8"/>
    <w:rsid w:val="0078533C"/>
    <w:rsid w:val="00785DF0"/>
    <w:rsid w:val="0079356D"/>
    <w:rsid w:val="00797957"/>
    <w:rsid w:val="00797FBB"/>
    <w:rsid w:val="007A0363"/>
    <w:rsid w:val="007A37CF"/>
    <w:rsid w:val="007A7041"/>
    <w:rsid w:val="007B004B"/>
    <w:rsid w:val="007B2647"/>
    <w:rsid w:val="007B3257"/>
    <w:rsid w:val="007B5A24"/>
    <w:rsid w:val="007B7AAF"/>
    <w:rsid w:val="007C1A67"/>
    <w:rsid w:val="007C233F"/>
    <w:rsid w:val="007C3475"/>
    <w:rsid w:val="007C384E"/>
    <w:rsid w:val="007C49BC"/>
    <w:rsid w:val="007D1569"/>
    <w:rsid w:val="007D25EB"/>
    <w:rsid w:val="007D73AD"/>
    <w:rsid w:val="007D7604"/>
    <w:rsid w:val="007E01A4"/>
    <w:rsid w:val="007E11DC"/>
    <w:rsid w:val="007E1A38"/>
    <w:rsid w:val="007E3144"/>
    <w:rsid w:val="007F20D4"/>
    <w:rsid w:val="007F3AC8"/>
    <w:rsid w:val="007F5E1A"/>
    <w:rsid w:val="007F6EDF"/>
    <w:rsid w:val="008017BC"/>
    <w:rsid w:val="008026B1"/>
    <w:rsid w:val="0080322B"/>
    <w:rsid w:val="008035C3"/>
    <w:rsid w:val="00803F26"/>
    <w:rsid w:val="008043A8"/>
    <w:rsid w:val="00804961"/>
    <w:rsid w:val="00804B8B"/>
    <w:rsid w:val="008066DE"/>
    <w:rsid w:val="00806F63"/>
    <w:rsid w:val="00807F06"/>
    <w:rsid w:val="00811196"/>
    <w:rsid w:val="00812663"/>
    <w:rsid w:val="008147ED"/>
    <w:rsid w:val="0081533C"/>
    <w:rsid w:val="008161D7"/>
    <w:rsid w:val="008166B8"/>
    <w:rsid w:val="00820661"/>
    <w:rsid w:val="0082437F"/>
    <w:rsid w:val="00824BDB"/>
    <w:rsid w:val="008310CD"/>
    <w:rsid w:val="008322EB"/>
    <w:rsid w:val="00836262"/>
    <w:rsid w:val="00836E3A"/>
    <w:rsid w:val="00837210"/>
    <w:rsid w:val="00837FFC"/>
    <w:rsid w:val="0084238D"/>
    <w:rsid w:val="008472B8"/>
    <w:rsid w:val="008479F0"/>
    <w:rsid w:val="008524BA"/>
    <w:rsid w:val="008529A2"/>
    <w:rsid w:val="008530E5"/>
    <w:rsid w:val="0085439B"/>
    <w:rsid w:val="008553E8"/>
    <w:rsid w:val="008579B4"/>
    <w:rsid w:val="00866371"/>
    <w:rsid w:val="00866CA3"/>
    <w:rsid w:val="008703D7"/>
    <w:rsid w:val="00871A6C"/>
    <w:rsid w:val="00872A6F"/>
    <w:rsid w:val="00874AC0"/>
    <w:rsid w:val="00875CCB"/>
    <w:rsid w:val="00881CC5"/>
    <w:rsid w:val="008833F3"/>
    <w:rsid w:val="008847AB"/>
    <w:rsid w:val="00894E79"/>
    <w:rsid w:val="0089712A"/>
    <w:rsid w:val="00897793"/>
    <w:rsid w:val="008A1632"/>
    <w:rsid w:val="008A1C57"/>
    <w:rsid w:val="008A410D"/>
    <w:rsid w:val="008A6F83"/>
    <w:rsid w:val="008B05C3"/>
    <w:rsid w:val="008B44AF"/>
    <w:rsid w:val="008B4965"/>
    <w:rsid w:val="008B66DC"/>
    <w:rsid w:val="008B78B1"/>
    <w:rsid w:val="008C1CCF"/>
    <w:rsid w:val="008C69A4"/>
    <w:rsid w:val="008D19B5"/>
    <w:rsid w:val="008D19FD"/>
    <w:rsid w:val="008D1ABD"/>
    <w:rsid w:val="008D24EC"/>
    <w:rsid w:val="008D255C"/>
    <w:rsid w:val="008D3688"/>
    <w:rsid w:val="008D3A0D"/>
    <w:rsid w:val="008D51A7"/>
    <w:rsid w:val="008D5CB9"/>
    <w:rsid w:val="008D5E3F"/>
    <w:rsid w:val="008D7972"/>
    <w:rsid w:val="008E0875"/>
    <w:rsid w:val="008E25D6"/>
    <w:rsid w:val="008E45AE"/>
    <w:rsid w:val="008E5205"/>
    <w:rsid w:val="008E7BD4"/>
    <w:rsid w:val="008F0A95"/>
    <w:rsid w:val="008F0C84"/>
    <w:rsid w:val="008F1C53"/>
    <w:rsid w:val="008F4D58"/>
    <w:rsid w:val="008F567D"/>
    <w:rsid w:val="008F6F1A"/>
    <w:rsid w:val="008F7897"/>
    <w:rsid w:val="0090137A"/>
    <w:rsid w:val="009017C3"/>
    <w:rsid w:val="00902F9B"/>
    <w:rsid w:val="00903370"/>
    <w:rsid w:val="00905136"/>
    <w:rsid w:val="00905229"/>
    <w:rsid w:val="00910AD4"/>
    <w:rsid w:val="00910C8F"/>
    <w:rsid w:val="00910E54"/>
    <w:rsid w:val="00912755"/>
    <w:rsid w:val="0091349A"/>
    <w:rsid w:val="00913D1F"/>
    <w:rsid w:val="00914399"/>
    <w:rsid w:val="0091530C"/>
    <w:rsid w:val="009158BF"/>
    <w:rsid w:val="00924240"/>
    <w:rsid w:val="00932FCC"/>
    <w:rsid w:val="00933625"/>
    <w:rsid w:val="00933E08"/>
    <w:rsid w:val="009342FC"/>
    <w:rsid w:val="00936068"/>
    <w:rsid w:val="00937516"/>
    <w:rsid w:val="00943806"/>
    <w:rsid w:val="00943A3D"/>
    <w:rsid w:val="009442BB"/>
    <w:rsid w:val="00945BC5"/>
    <w:rsid w:val="00946351"/>
    <w:rsid w:val="00947080"/>
    <w:rsid w:val="00951364"/>
    <w:rsid w:val="009517CC"/>
    <w:rsid w:val="00957E25"/>
    <w:rsid w:val="00960A85"/>
    <w:rsid w:val="009615D4"/>
    <w:rsid w:val="00962905"/>
    <w:rsid w:val="00970A20"/>
    <w:rsid w:val="0097163D"/>
    <w:rsid w:val="00971C2D"/>
    <w:rsid w:val="009721F8"/>
    <w:rsid w:val="00972821"/>
    <w:rsid w:val="00974677"/>
    <w:rsid w:val="00976023"/>
    <w:rsid w:val="00980461"/>
    <w:rsid w:val="009827AC"/>
    <w:rsid w:val="009836F4"/>
    <w:rsid w:val="009864AF"/>
    <w:rsid w:val="009901F4"/>
    <w:rsid w:val="00992DE7"/>
    <w:rsid w:val="00993261"/>
    <w:rsid w:val="009936CE"/>
    <w:rsid w:val="0099532B"/>
    <w:rsid w:val="009953BA"/>
    <w:rsid w:val="009969C3"/>
    <w:rsid w:val="00997D96"/>
    <w:rsid w:val="009A2F17"/>
    <w:rsid w:val="009A3C2B"/>
    <w:rsid w:val="009A6591"/>
    <w:rsid w:val="009A7316"/>
    <w:rsid w:val="009B4543"/>
    <w:rsid w:val="009B4655"/>
    <w:rsid w:val="009C13B2"/>
    <w:rsid w:val="009C2B11"/>
    <w:rsid w:val="009C4380"/>
    <w:rsid w:val="009C4571"/>
    <w:rsid w:val="009C6075"/>
    <w:rsid w:val="009C7BD8"/>
    <w:rsid w:val="009D20B5"/>
    <w:rsid w:val="009D24F5"/>
    <w:rsid w:val="009D7B68"/>
    <w:rsid w:val="009E19A3"/>
    <w:rsid w:val="009E2BF5"/>
    <w:rsid w:val="009E3265"/>
    <w:rsid w:val="009E4DC0"/>
    <w:rsid w:val="009F5793"/>
    <w:rsid w:val="009F64FF"/>
    <w:rsid w:val="009F7BC2"/>
    <w:rsid w:val="00A063B4"/>
    <w:rsid w:val="00A066CC"/>
    <w:rsid w:val="00A0757A"/>
    <w:rsid w:val="00A10106"/>
    <w:rsid w:val="00A11DC2"/>
    <w:rsid w:val="00A128B7"/>
    <w:rsid w:val="00A13664"/>
    <w:rsid w:val="00A15768"/>
    <w:rsid w:val="00A231B1"/>
    <w:rsid w:val="00A26F19"/>
    <w:rsid w:val="00A2724E"/>
    <w:rsid w:val="00A27A1B"/>
    <w:rsid w:val="00A3052D"/>
    <w:rsid w:val="00A34FC6"/>
    <w:rsid w:val="00A4030B"/>
    <w:rsid w:val="00A416AD"/>
    <w:rsid w:val="00A41FF0"/>
    <w:rsid w:val="00A450F1"/>
    <w:rsid w:val="00A45C03"/>
    <w:rsid w:val="00A471AE"/>
    <w:rsid w:val="00A50090"/>
    <w:rsid w:val="00A50300"/>
    <w:rsid w:val="00A50CD9"/>
    <w:rsid w:val="00A51374"/>
    <w:rsid w:val="00A5529A"/>
    <w:rsid w:val="00A5625F"/>
    <w:rsid w:val="00A5703F"/>
    <w:rsid w:val="00A57443"/>
    <w:rsid w:val="00A60819"/>
    <w:rsid w:val="00A61C4A"/>
    <w:rsid w:val="00A65DCB"/>
    <w:rsid w:val="00A70D8C"/>
    <w:rsid w:val="00A74B27"/>
    <w:rsid w:val="00A75DCB"/>
    <w:rsid w:val="00A76419"/>
    <w:rsid w:val="00A76CD4"/>
    <w:rsid w:val="00A77AE5"/>
    <w:rsid w:val="00A80690"/>
    <w:rsid w:val="00A8183A"/>
    <w:rsid w:val="00A82B02"/>
    <w:rsid w:val="00A838DE"/>
    <w:rsid w:val="00A83F5E"/>
    <w:rsid w:val="00A85409"/>
    <w:rsid w:val="00A85C57"/>
    <w:rsid w:val="00A86051"/>
    <w:rsid w:val="00A8625F"/>
    <w:rsid w:val="00A865EF"/>
    <w:rsid w:val="00A87050"/>
    <w:rsid w:val="00A87AB4"/>
    <w:rsid w:val="00A90151"/>
    <w:rsid w:val="00A90256"/>
    <w:rsid w:val="00A91E15"/>
    <w:rsid w:val="00A9359B"/>
    <w:rsid w:val="00A9545C"/>
    <w:rsid w:val="00A970A6"/>
    <w:rsid w:val="00AA163B"/>
    <w:rsid w:val="00AA22EC"/>
    <w:rsid w:val="00AA3049"/>
    <w:rsid w:val="00AA33B1"/>
    <w:rsid w:val="00AA3569"/>
    <w:rsid w:val="00AA423A"/>
    <w:rsid w:val="00AB10F4"/>
    <w:rsid w:val="00AB1A45"/>
    <w:rsid w:val="00AB2D17"/>
    <w:rsid w:val="00AB34AD"/>
    <w:rsid w:val="00AB3FEB"/>
    <w:rsid w:val="00AB46E2"/>
    <w:rsid w:val="00AB71F2"/>
    <w:rsid w:val="00AC1B3B"/>
    <w:rsid w:val="00AC3B8E"/>
    <w:rsid w:val="00AC410E"/>
    <w:rsid w:val="00AC46FC"/>
    <w:rsid w:val="00AC48DD"/>
    <w:rsid w:val="00AC4F7C"/>
    <w:rsid w:val="00AC587D"/>
    <w:rsid w:val="00AD1AA2"/>
    <w:rsid w:val="00AD1F46"/>
    <w:rsid w:val="00AD5D2D"/>
    <w:rsid w:val="00AD5EAF"/>
    <w:rsid w:val="00AD6B2C"/>
    <w:rsid w:val="00AD7A30"/>
    <w:rsid w:val="00AE1183"/>
    <w:rsid w:val="00AE190A"/>
    <w:rsid w:val="00AE5D18"/>
    <w:rsid w:val="00AE6A5F"/>
    <w:rsid w:val="00AE7C03"/>
    <w:rsid w:val="00AF198B"/>
    <w:rsid w:val="00AF28A2"/>
    <w:rsid w:val="00AF3BD9"/>
    <w:rsid w:val="00AF405C"/>
    <w:rsid w:val="00AF479F"/>
    <w:rsid w:val="00AF48A6"/>
    <w:rsid w:val="00AF6B4B"/>
    <w:rsid w:val="00B0288F"/>
    <w:rsid w:val="00B03ECA"/>
    <w:rsid w:val="00B044BC"/>
    <w:rsid w:val="00B050A3"/>
    <w:rsid w:val="00B06B76"/>
    <w:rsid w:val="00B06F26"/>
    <w:rsid w:val="00B118F9"/>
    <w:rsid w:val="00B11F80"/>
    <w:rsid w:val="00B13164"/>
    <w:rsid w:val="00B134FA"/>
    <w:rsid w:val="00B16D26"/>
    <w:rsid w:val="00B17093"/>
    <w:rsid w:val="00B17549"/>
    <w:rsid w:val="00B23258"/>
    <w:rsid w:val="00B23603"/>
    <w:rsid w:val="00B302FA"/>
    <w:rsid w:val="00B31459"/>
    <w:rsid w:val="00B32149"/>
    <w:rsid w:val="00B32D6C"/>
    <w:rsid w:val="00B34048"/>
    <w:rsid w:val="00B35C31"/>
    <w:rsid w:val="00B3749D"/>
    <w:rsid w:val="00B42E60"/>
    <w:rsid w:val="00B437ED"/>
    <w:rsid w:val="00B43AF4"/>
    <w:rsid w:val="00B443CC"/>
    <w:rsid w:val="00B44904"/>
    <w:rsid w:val="00B468C1"/>
    <w:rsid w:val="00B50272"/>
    <w:rsid w:val="00B52E2F"/>
    <w:rsid w:val="00B53385"/>
    <w:rsid w:val="00B571B6"/>
    <w:rsid w:val="00B577FD"/>
    <w:rsid w:val="00B60292"/>
    <w:rsid w:val="00B65DAA"/>
    <w:rsid w:val="00B66B2F"/>
    <w:rsid w:val="00B720EC"/>
    <w:rsid w:val="00B725BC"/>
    <w:rsid w:val="00B74F7F"/>
    <w:rsid w:val="00B74FE3"/>
    <w:rsid w:val="00B75B08"/>
    <w:rsid w:val="00B7663C"/>
    <w:rsid w:val="00B817F0"/>
    <w:rsid w:val="00B84869"/>
    <w:rsid w:val="00B86607"/>
    <w:rsid w:val="00B87859"/>
    <w:rsid w:val="00B90D8F"/>
    <w:rsid w:val="00B91D47"/>
    <w:rsid w:val="00B93268"/>
    <w:rsid w:val="00B93C8E"/>
    <w:rsid w:val="00B93D6C"/>
    <w:rsid w:val="00B94B4E"/>
    <w:rsid w:val="00B953E2"/>
    <w:rsid w:val="00B957D4"/>
    <w:rsid w:val="00B961B2"/>
    <w:rsid w:val="00B978E9"/>
    <w:rsid w:val="00B97F76"/>
    <w:rsid w:val="00BA208D"/>
    <w:rsid w:val="00BA2181"/>
    <w:rsid w:val="00BA2E87"/>
    <w:rsid w:val="00BA3CB8"/>
    <w:rsid w:val="00BA6291"/>
    <w:rsid w:val="00BA7623"/>
    <w:rsid w:val="00BB00CE"/>
    <w:rsid w:val="00BB0352"/>
    <w:rsid w:val="00BB043F"/>
    <w:rsid w:val="00BB2451"/>
    <w:rsid w:val="00BB24C4"/>
    <w:rsid w:val="00BB4055"/>
    <w:rsid w:val="00BB62DB"/>
    <w:rsid w:val="00BC0DCE"/>
    <w:rsid w:val="00BC0F4B"/>
    <w:rsid w:val="00BC127C"/>
    <w:rsid w:val="00BC1CD6"/>
    <w:rsid w:val="00BC3EF4"/>
    <w:rsid w:val="00BC424C"/>
    <w:rsid w:val="00BC45B8"/>
    <w:rsid w:val="00BC5335"/>
    <w:rsid w:val="00BC56DC"/>
    <w:rsid w:val="00BC6606"/>
    <w:rsid w:val="00BC667A"/>
    <w:rsid w:val="00BC7C1B"/>
    <w:rsid w:val="00BC7E4D"/>
    <w:rsid w:val="00BD0F8B"/>
    <w:rsid w:val="00BD190D"/>
    <w:rsid w:val="00BD2ED3"/>
    <w:rsid w:val="00BD3158"/>
    <w:rsid w:val="00BD73BB"/>
    <w:rsid w:val="00BD7A36"/>
    <w:rsid w:val="00BE1857"/>
    <w:rsid w:val="00BE19F6"/>
    <w:rsid w:val="00BE329A"/>
    <w:rsid w:val="00BE4DE9"/>
    <w:rsid w:val="00BE53D5"/>
    <w:rsid w:val="00BF0EF2"/>
    <w:rsid w:val="00BF11A0"/>
    <w:rsid w:val="00BF68C8"/>
    <w:rsid w:val="00C016A3"/>
    <w:rsid w:val="00C01E68"/>
    <w:rsid w:val="00C04C15"/>
    <w:rsid w:val="00C10C19"/>
    <w:rsid w:val="00C11924"/>
    <w:rsid w:val="00C14016"/>
    <w:rsid w:val="00C1605B"/>
    <w:rsid w:val="00C17B40"/>
    <w:rsid w:val="00C221A0"/>
    <w:rsid w:val="00C238D1"/>
    <w:rsid w:val="00C244FE"/>
    <w:rsid w:val="00C25C46"/>
    <w:rsid w:val="00C27096"/>
    <w:rsid w:val="00C3005F"/>
    <w:rsid w:val="00C31E23"/>
    <w:rsid w:val="00C326F9"/>
    <w:rsid w:val="00C332D6"/>
    <w:rsid w:val="00C35FCF"/>
    <w:rsid w:val="00C36F38"/>
    <w:rsid w:val="00C36FFC"/>
    <w:rsid w:val="00C37A29"/>
    <w:rsid w:val="00C40C90"/>
    <w:rsid w:val="00C44449"/>
    <w:rsid w:val="00C4659E"/>
    <w:rsid w:val="00C614D5"/>
    <w:rsid w:val="00C7020B"/>
    <w:rsid w:val="00C70D80"/>
    <w:rsid w:val="00C70EFC"/>
    <w:rsid w:val="00C71688"/>
    <w:rsid w:val="00C71B15"/>
    <w:rsid w:val="00C73ED6"/>
    <w:rsid w:val="00C74B46"/>
    <w:rsid w:val="00C75C56"/>
    <w:rsid w:val="00C81E1A"/>
    <w:rsid w:val="00C83F02"/>
    <w:rsid w:val="00C86797"/>
    <w:rsid w:val="00C932F3"/>
    <w:rsid w:val="00C97F43"/>
    <w:rsid w:val="00CA0B3F"/>
    <w:rsid w:val="00CA3548"/>
    <w:rsid w:val="00CA7123"/>
    <w:rsid w:val="00CC19C0"/>
    <w:rsid w:val="00CC3573"/>
    <w:rsid w:val="00CC3DE4"/>
    <w:rsid w:val="00CC459B"/>
    <w:rsid w:val="00CC4C9D"/>
    <w:rsid w:val="00CC5D04"/>
    <w:rsid w:val="00CC5F5B"/>
    <w:rsid w:val="00CC6001"/>
    <w:rsid w:val="00CC6012"/>
    <w:rsid w:val="00CD0ECA"/>
    <w:rsid w:val="00CD284A"/>
    <w:rsid w:val="00CD61EB"/>
    <w:rsid w:val="00CD6999"/>
    <w:rsid w:val="00CD76AF"/>
    <w:rsid w:val="00CD7F44"/>
    <w:rsid w:val="00CE2B94"/>
    <w:rsid w:val="00CE43AF"/>
    <w:rsid w:val="00CE4D3A"/>
    <w:rsid w:val="00CE5715"/>
    <w:rsid w:val="00CE64FD"/>
    <w:rsid w:val="00CE7236"/>
    <w:rsid w:val="00CF02F0"/>
    <w:rsid w:val="00CF0652"/>
    <w:rsid w:val="00CF2CEC"/>
    <w:rsid w:val="00CF46A1"/>
    <w:rsid w:val="00CF4BC6"/>
    <w:rsid w:val="00CF7F06"/>
    <w:rsid w:val="00D00441"/>
    <w:rsid w:val="00D007C0"/>
    <w:rsid w:val="00D01615"/>
    <w:rsid w:val="00D01761"/>
    <w:rsid w:val="00D02433"/>
    <w:rsid w:val="00D02878"/>
    <w:rsid w:val="00D0352E"/>
    <w:rsid w:val="00D03FDC"/>
    <w:rsid w:val="00D05081"/>
    <w:rsid w:val="00D05B5E"/>
    <w:rsid w:val="00D06F1F"/>
    <w:rsid w:val="00D101CC"/>
    <w:rsid w:val="00D10F14"/>
    <w:rsid w:val="00D15113"/>
    <w:rsid w:val="00D15B7C"/>
    <w:rsid w:val="00D15B7D"/>
    <w:rsid w:val="00D15BFF"/>
    <w:rsid w:val="00D16F74"/>
    <w:rsid w:val="00D17C1D"/>
    <w:rsid w:val="00D2024B"/>
    <w:rsid w:val="00D208AA"/>
    <w:rsid w:val="00D226FB"/>
    <w:rsid w:val="00D229F3"/>
    <w:rsid w:val="00D27C4C"/>
    <w:rsid w:val="00D27CDB"/>
    <w:rsid w:val="00D30791"/>
    <w:rsid w:val="00D31305"/>
    <w:rsid w:val="00D31E3E"/>
    <w:rsid w:val="00D32551"/>
    <w:rsid w:val="00D330CA"/>
    <w:rsid w:val="00D3316D"/>
    <w:rsid w:val="00D37882"/>
    <w:rsid w:val="00D411B9"/>
    <w:rsid w:val="00D432F8"/>
    <w:rsid w:val="00D4335C"/>
    <w:rsid w:val="00D441A8"/>
    <w:rsid w:val="00D46FD9"/>
    <w:rsid w:val="00D473DE"/>
    <w:rsid w:val="00D51DEB"/>
    <w:rsid w:val="00D52B12"/>
    <w:rsid w:val="00D5327E"/>
    <w:rsid w:val="00D53992"/>
    <w:rsid w:val="00D563D0"/>
    <w:rsid w:val="00D57118"/>
    <w:rsid w:val="00D60649"/>
    <w:rsid w:val="00D61E88"/>
    <w:rsid w:val="00D62FB9"/>
    <w:rsid w:val="00D6371A"/>
    <w:rsid w:val="00D73A0C"/>
    <w:rsid w:val="00D74B75"/>
    <w:rsid w:val="00D756E1"/>
    <w:rsid w:val="00D75993"/>
    <w:rsid w:val="00D774FD"/>
    <w:rsid w:val="00D80B2F"/>
    <w:rsid w:val="00D832A9"/>
    <w:rsid w:val="00D83923"/>
    <w:rsid w:val="00D84139"/>
    <w:rsid w:val="00D86250"/>
    <w:rsid w:val="00D905EE"/>
    <w:rsid w:val="00D90701"/>
    <w:rsid w:val="00D9419D"/>
    <w:rsid w:val="00D94275"/>
    <w:rsid w:val="00D95D4A"/>
    <w:rsid w:val="00D96F65"/>
    <w:rsid w:val="00D979C8"/>
    <w:rsid w:val="00DA136C"/>
    <w:rsid w:val="00DA2B6A"/>
    <w:rsid w:val="00DA3017"/>
    <w:rsid w:val="00DA5484"/>
    <w:rsid w:val="00DA5BD2"/>
    <w:rsid w:val="00DA7875"/>
    <w:rsid w:val="00DB00AF"/>
    <w:rsid w:val="00DB34BF"/>
    <w:rsid w:val="00DB3924"/>
    <w:rsid w:val="00DB3A5D"/>
    <w:rsid w:val="00DB6CAD"/>
    <w:rsid w:val="00DB7721"/>
    <w:rsid w:val="00DB79D5"/>
    <w:rsid w:val="00DB7E8D"/>
    <w:rsid w:val="00DC0151"/>
    <w:rsid w:val="00DC1012"/>
    <w:rsid w:val="00DC18D8"/>
    <w:rsid w:val="00DC1B37"/>
    <w:rsid w:val="00DC1F12"/>
    <w:rsid w:val="00DC5DFF"/>
    <w:rsid w:val="00DC6A68"/>
    <w:rsid w:val="00DC7446"/>
    <w:rsid w:val="00DC74CB"/>
    <w:rsid w:val="00DC79BF"/>
    <w:rsid w:val="00DD134A"/>
    <w:rsid w:val="00DD20C0"/>
    <w:rsid w:val="00DD2854"/>
    <w:rsid w:val="00DD6473"/>
    <w:rsid w:val="00DD715F"/>
    <w:rsid w:val="00DE148E"/>
    <w:rsid w:val="00DE181B"/>
    <w:rsid w:val="00DE31D9"/>
    <w:rsid w:val="00DE473D"/>
    <w:rsid w:val="00DE5C8C"/>
    <w:rsid w:val="00DF039D"/>
    <w:rsid w:val="00DF0986"/>
    <w:rsid w:val="00DF0FCD"/>
    <w:rsid w:val="00DF3964"/>
    <w:rsid w:val="00DF4E3E"/>
    <w:rsid w:val="00DF57D9"/>
    <w:rsid w:val="00DF60B9"/>
    <w:rsid w:val="00DF63B7"/>
    <w:rsid w:val="00DF7DB3"/>
    <w:rsid w:val="00E010CD"/>
    <w:rsid w:val="00E0453D"/>
    <w:rsid w:val="00E05FA6"/>
    <w:rsid w:val="00E13DE9"/>
    <w:rsid w:val="00E15A2F"/>
    <w:rsid w:val="00E1697E"/>
    <w:rsid w:val="00E16D77"/>
    <w:rsid w:val="00E22247"/>
    <w:rsid w:val="00E22E9D"/>
    <w:rsid w:val="00E25474"/>
    <w:rsid w:val="00E31B21"/>
    <w:rsid w:val="00E32EE5"/>
    <w:rsid w:val="00E32F93"/>
    <w:rsid w:val="00E33A02"/>
    <w:rsid w:val="00E3406A"/>
    <w:rsid w:val="00E36638"/>
    <w:rsid w:val="00E379F7"/>
    <w:rsid w:val="00E400C4"/>
    <w:rsid w:val="00E40CCC"/>
    <w:rsid w:val="00E41A67"/>
    <w:rsid w:val="00E42BDA"/>
    <w:rsid w:val="00E45435"/>
    <w:rsid w:val="00E47107"/>
    <w:rsid w:val="00E54ACD"/>
    <w:rsid w:val="00E54B2B"/>
    <w:rsid w:val="00E5734C"/>
    <w:rsid w:val="00E61632"/>
    <w:rsid w:val="00E63079"/>
    <w:rsid w:val="00E6646A"/>
    <w:rsid w:val="00E70DD7"/>
    <w:rsid w:val="00E72EE0"/>
    <w:rsid w:val="00E741FB"/>
    <w:rsid w:val="00E90CAA"/>
    <w:rsid w:val="00E917F1"/>
    <w:rsid w:val="00E91A7E"/>
    <w:rsid w:val="00E91B70"/>
    <w:rsid w:val="00E91FED"/>
    <w:rsid w:val="00E933E4"/>
    <w:rsid w:val="00E946E6"/>
    <w:rsid w:val="00E94A4E"/>
    <w:rsid w:val="00E95082"/>
    <w:rsid w:val="00EA0114"/>
    <w:rsid w:val="00EA1943"/>
    <w:rsid w:val="00EA63ED"/>
    <w:rsid w:val="00EA6DF3"/>
    <w:rsid w:val="00EA70D6"/>
    <w:rsid w:val="00EA7DC3"/>
    <w:rsid w:val="00EB3F9D"/>
    <w:rsid w:val="00EB5DC6"/>
    <w:rsid w:val="00EB71C5"/>
    <w:rsid w:val="00EB755B"/>
    <w:rsid w:val="00EC0BB5"/>
    <w:rsid w:val="00EC0E5C"/>
    <w:rsid w:val="00EC12C7"/>
    <w:rsid w:val="00EC565C"/>
    <w:rsid w:val="00EC5676"/>
    <w:rsid w:val="00ED3114"/>
    <w:rsid w:val="00ED4983"/>
    <w:rsid w:val="00ED4B50"/>
    <w:rsid w:val="00ED6125"/>
    <w:rsid w:val="00ED63FB"/>
    <w:rsid w:val="00EE16E4"/>
    <w:rsid w:val="00EE3AD2"/>
    <w:rsid w:val="00EE3F22"/>
    <w:rsid w:val="00EE6F14"/>
    <w:rsid w:val="00EF3F23"/>
    <w:rsid w:val="00EF5CE6"/>
    <w:rsid w:val="00EF6E1F"/>
    <w:rsid w:val="00F01089"/>
    <w:rsid w:val="00F04EA7"/>
    <w:rsid w:val="00F06BED"/>
    <w:rsid w:val="00F06EA0"/>
    <w:rsid w:val="00F12ADF"/>
    <w:rsid w:val="00F1593E"/>
    <w:rsid w:val="00F15989"/>
    <w:rsid w:val="00F162D4"/>
    <w:rsid w:val="00F20016"/>
    <w:rsid w:val="00F2058B"/>
    <w:rsid w:val="00F20679"/>
    <w:rsid w:val="00F21D8C"/>
    <w:rsid w:val="00F22A87"/>
    <w:rsid w:val="00F24FDE"/>
    <w:rsid w:val="00F25AE6"/>
    <w:rsid w:val="00F3209B"/>
    <w:rsid w:val="00F3214C"/>
    <w:rsid w:val="00F33890"/>
    <w:rsid w:val="00F33F8D"/>
    <w:rsid w:val="00F341E8"/>
    <w:rsid w:val="00F36BC7"/>
    <w:rsid w:val="00F3787A"/>
    <w:rsid w:val="00F37CB6"/>
    <w:rsid w:val="00F37F65"/>
    <w:rsid w:val="00F4010B"/>
    <w:rsid w:val="00F46E42"/>
    <w:rsid w:val="00F4702C"/>
    <w:rsid w:val="00F50406"/>
    <w:rsid w:val="00F505B8"/>
    <w:rsid w:val="00F50E93"/>
    <w:rsid w:val="00F53038"/>
    <w:rsid w:val="00F53EFE"/>
    <w:rsid w:val="00F55408"/>
    <w:rsid w:val="00F56B40"/>
    <w:rsid w:val="00F60BA2"/>
    <w:rsid w:val="00F60F8D"/>
    <w:rsid w:val="00F634F6"/>
    <w:rsid w:val="00F71C27"/>
    <w:rsid w:val="00F7313A"/>
    <w:rsid w:val="00F76258"/>
    <w:rsid w:val="00F77B4D"/>
    <w:rsid w:val="00F77EA5"/>
    <w:rsid w:val="00F870D8"/>
    <w:rsid w:val="00F87B07"/>
    <w:rsid w:val="00F91560"/>
    <w:rsid w:val="00F94880"/>
    <w:rsid w:val="00F959A8"/>
    <w:rsid w:val="00F97A71"/>
    <w:rsid w:val="00FA252B"/>
    <w:rsid w:val="00FA33D2"/>
    <w:rsid w:val="00FB016C"/>
    <w:rsid w:val="00FB148D"/>
    <w:rsid w:val="00FB3968"/>
    <w:rsid w:val="00FB4E93"/>
    <w:rsid w:val="00FB57A0"/>
    <w:rsid w:val="00FB6E90"/>
    <w:rsid w:val="00FC28AF"/>
    <w:rsid w:val="00FC2D8B"/>
    <w:rsid w:val="00FC370A"/>
    <w:rsid w:val="00FD1462"/>
    <w:rsid w:val="00FD3306"/>
    <w:rsid w:val="00FD3687"/>
    <w:rsid w:val="00FD36B1"/>
    <w:rsid w:val="00FD6EEB"/>
    <w:rsid w:val="00FD7B69"/>
    <w:rsid w:val="00FE222A"/>
    <w:rsid w:val="00FE30C2"/>
    <w:rsid w:val="00FE5682"/>
    <w:rsid w:val="00FE59FD"/>
    <w:rsid w:val="00FE5F74"/>
    <w:rsid w:val="00FE74FC"/>
    <w:rsid w:val="00FE7ED7"/>
    <w:rsid w:val="00FE7F98"/>
    <w:rsid w:val="00FF0A71"/>
    <w:rsid w:val="00FF2E7F"/>
    <w:rsid w:val="00FF306D"/>
    <w:rsid w:val="00FF76B4"/>
    <w:rsid w:val="40EDF02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E57EC"/>
  <w15:chartTrackingRefBased/>
  <w15:docId w15:val="{E081C84F-6C33-4505-AAA5-65B24F52C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0F6224"/>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6D1563"/>
    <w:pPr>
      <w:keepNext/>
      <w:keepLines/>
      <w:spacing w:before="160"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18"/>
      </w:numPr>
      <w:contextualSpacing/>
    </w:pPr>
  </w:style>
  <w:style w:type="paragraph" w:styleId="ListBullet2">
    <w:name w:val="List Bullet 2"/>
    <w:basedOn w:val="Normal"/>
    <w:uiPriority w:val="1"/>
    <w:qFormat/>
    <w:rsid w:val="008D19B5"/>
    <w:pPr>
      <w:numPr>
        <w:ilvl w:val="1"/>
        <w:numId w:val="18"/>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18"/>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6D1563"/>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8D19B5"/>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semiHidden/>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99"/>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99"/>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0"/>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120DB2"/>
    <w:pPr>
      <w:spacing w:before="46" w:after="46"/>
      <w:ind w:left="170" w:hanging="113"/>
    </w:pPr>
    <w:rPr>
      <w:sz w:val="18"/>
    </w:rPr>
  </w:style>
  <w:style w:type="character" w:styleId="HTMLCite">
    <w:name w:val="HTML Cite"/>
    <w:basedOn w:val="DefaultParagraphFont"/>
    <w:uiPriority w:val="99"/>
    <w:semiHidden/>
    <w:unhideWhenUsed/>
    <w:rsid w:val="00905136"/>
    <w:rPr>
      <w:i/>
      <w:iCs/>
    </w:rPr>
  </w:style>
  <w:style w:type="character" w:styleId="Mention">
    <w:name w:val="Mention"/>
    <w:basedOn w:val="DefaultParagraphFont"/>
    <w:uiPriority w:val="99"/>
    <w:unhideWhenUsed/>
    <w:rsid w:val="0005281D"/>
    <w:rPr>
      <w:color w:val="2B579A"/>
      <w:shd w:val="clear" w:color="auto" w:fill="E1DFDD"/>
    </w:rPr>
  </w:style>
  <w:style w:type="character" w:styleId="FollowedHyperlink">
    <w:name w:val="FollowedHyperlink"/>
    <w:basedOn w:val="DefaultParagraphFont"/>
    <w:uiPriority w:val="99"/>
    <w:semiHidden/>
    <w:unhideWhenUsed/>
    <w:rsid w:val="0005281D"/>
    <w:rPr>
      <w:color w:val="BFBFBF" w:themeColor="followedHyperlink"/>
      <w:u w:val="single"/>
    </w:rPr>
  </w:style>
  <w:style w:type="character" w:styleId="EndnoteReference">
    <w:name w:val="endnote reference"/>
    <w:basedOn w:val="DefaultParagraphFont"/>
    <w:uiPriority w:val="99"/>
    <w:semiHidden/>
    <w:unhideWhenUsed/>
    <w:rsid w:val="0005281D"/>
    <w:rPr>
      <w:vertAlign w:val="superscript"/>
    </w:rPr>
  </w:style>
  <w:style w:type="paragraph" w:styleId="Bibliography">
    <w:name w:val="Bibliography"/>
    <w:basedOn w:val="Normal"/>
    <w:next w:val="Normal"/>
    <w:uiPriority w:val="37"/>
    <w:unhideWhenUsed/>
    <w:rsid w:val="0005281D"/>
    <w:pPr>
      <w:spacing w:after="240" w:line="240" w:lineRule="atLeast"/>
      <w:ind w:left="720" w:hanging="720"/>
    </w:pPr>
  </w:style>
  <w:style w:type="paragraph" w:customStyle="1" w:styleId="CommentText1">
    <w:name w:val="Comment Text1"/>
    <w:basedOn w:val="Normal"/>
    <w:next w:val="CommentText"/>
    <w:uiPriority w:val="99"/>
    <w:unhideWhenUsed/>
    <w:rsid w:val="0005281D"/>
    <w:pPr>
      <w:spacing w:line="240" w:lineRule="auto"/>
    </w:pPr>
  </w:style>
  <w:style w:type="paragraph" w:styleId="NormalWeb">
    <w:name w:val="Normal (Web)"/>
    <w:basedOn w:val="Normal"/>
    <w:uiPriority w:val="99"/>
    <w:unhideWhenUsed/>
    <w:rsid w:val="0005281D"/>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exttable-Paleblue1">
    <w:name w:val="Text table-Pale blue1"/>
    <w:basedOn w:val="TableNormal"/>
    <w:uiPriority w:val="99"/>
    <w:rsid w:val="0005281D"/>
    <w:pPr>
      <w:spacing w:after="0" w:line="240" w:lineRule="auto"/>
    </w:pPr>
    <w:rPr>
      <w:rFonts w:ascii="Arial" w:eastAsia="Arial" w:hAnsi="Arial" w:cs="Times New Roman"/>
    </w:rPr>
    <w:tblPr>
      <w:tblInd w:w="0" w:type="nil"/>
      <w:tblCellMar>
        <w:top w:w="113" w:type="dxa"/>
        <w:left w:w="113" w:type="dxa"/>
        <w:bottom w:w="113" w:type="dxa"/>
        <w:right w:w="113" w:type="dxa"/>
      </w:tblCellMar>
    </w:tblPr>
    <w:tcPr>
      <w:shd w:val="clear" w:color="auto" w:fill="EFF9FE"/>
    </w:tcPr>
  </w:style>
  <w:style w:type="numbering" w:customStyle="1" w:styleId="Bullets1">
    <w:name w:val="Bullets1"/>
    <w:uiPriority w:val="99"/>
    <w:rsid w:val="0005281D"/>
  </w:style>
  <w:style w:type="character" w:customStyle="1" w:styleId="normaltextrun">
    <w:name w:val="normaltextrun"/>
    <w:basedOn w:val="DefaultParagraphFont"/>
    <w:rsid w:val="0005281D"/>
  </w:style>
  <w:style w:type="character" w:customStyle="1" w:styleId="eop">
    <w:name w:val="eop"/>
    <w:basedOn w:val="DefaultParagraphFont"/>
    <w:rsid w:val="000528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112573">
      <w:bodyDiv w:val="1"/>
      <w:marLeft w:val="0"/>
      <w:marRight w:val="0"/>
      <w:marTop w:val="0"/>
      <w:marBottom w:val="0"/>
      <w:divBdr>
        <w:top w:val="none" w:sz="0" w:space="0" w:color="auto"/>
        <w:left w:val="none" w:sz="0" w:space="0" w:color="auto"/>
        <w:bottom w:val="none" w:sz="0" w:space="0" w:color="auto"/>
        <w:right w:val="none" w:sz="0" w:space="0" w:color="auto"/>
      </w:divBdr>
    </w:div>
    <w:div w:id="160985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sv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7.svg"/><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image" Target="media/image6.png"/><Relationship Id="rId30" Type="http://schemas.openxmlformats.org/officeDocument/2006/relationships/header" Target="header6.xml"/></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vette.goss\AppData\Local\Temp\Templafy\WordVsto\prelims-draft%20report.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MPWT-2140667901-86582</_dlc_DocId>
    <_dlc_DocIdUrl xmlns="20393cdf-440a-4521-8f19-00ba43423d00">
      <Url>https://pcgov.sharepoint.com/sites/sceteam/_layouts/15/DocIdRedir.aspx?ID=MPWT-2140667901-86582</Url>
      <Description>MPWT-2140667901-86582</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591cf413756212422dfbf4d9cc15c06d">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987eed91ccf794c65c187c91b0c6d88"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FormConfiguration><![CDATA[{"formFields":[],"formDataEntries":[]}]]></TemplafyFormConfiguration>
</file>

<file path=customXml/item7.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Props1.xml><?xml version="1.0" encoding="utf-8"?>
<ds:datastoreItem xmlns:ds="http://schemas.openxmlformats.org/officeDocument/2006/customXml" ds:itemID="{2EA955FA-EE82-4202-A4A8-B7407C891184}">
  <ds:schemaRefs>
    <ds:schemaRef ds:uri="http://schemas.microsoft.com/sharepoint/events"/>
  </ds:schemaRefs>
</ds:datastoreItem>
</file>

<file path=customXml/itemProps2.xml><?xml version="1.0" encoding="utf-8"?>
<ds:datastoreItem xmlns:ds="http://schemas.openxmlformats.org/officeDocument/2006/customXml" ds:itemID="{D638074C-39DA-448F-8AF9-78D34F03C881}">
  <ds:schemaRefs>
    <ds:schemaRef ds:uri="http://schemas.microsoft.com/sharepoint/v3/contenttype/forms"/>
  </ds:schemaRefs>
</ds:datastoreItem>
</file>

<file path=customXml/itemProps3.xml><?xml version="1.0" encoding="utf-8"?>
<ds:datastoreItem xmlns:ds="http://schemas.openxmlformats.org/officeDocument/2006/customXml" ds:itemID="{36937C2F-C802-4BFB-BA3F-97DDD86D52F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32A6911D-B756-421D-A4AA-5C571D71B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897F752-2238-441E-ABA5-DB8C10DEA577}">
  <ds:schemaRefs/>
</ds:datastoreItem>
</file>

<file path=customXml/itemProps7.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prelims-draft report.dotx</Template>
  <TotalTime>8</TotalTime>
  <Pages>8</Pages>
  <Words>1988</Words>
  <Characters>11337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Executive summary - Interim report - Building a skilled and adaptable workforce</vt:lpstr>
    </vt:vector>
  </TitlesOfParts>
  <Company>Productivity Commission</Company>
  <LinksUpToDate>false</LinksUpToDate>
  <CharactersWithSpaces>13299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 - Interim report - Building a skilled and adaptable workforce</dc:title>
  <dc:subject>Interim report</dc:subject>
  <dc:creator>Productivity Commission</dc:creator>
  <cp:keywords/>
  <dc:description/>
  <cp:lastModifiedBy>Chris Alston</cp:lastModifiedBy>
  <cp:revision>6</cp:revision>
  <cp:lastPrinted>2025-08-07T04:10:00Z</cp:lastPrinted>
  <dcterms:created xsi:type="dcterms:W3CDTF">2025-08-07T04:04:00Z</dcterms:created>
  <dcterms:modified xsi:type="dcterms:W3CDTF">2025-08-07T04:11:00Z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MediaServiceImageTags">
    <vt:lpwstr/>
  </property>
  <property fmtid="{D5CDD505-2E9C-101B-9397-08002B2CF9AE}" pid="5" name="ClassificationContentMarkingHeaderShapeIds">
    <vt:lpwstr>3c79a2aa,5666d423</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637629323326921041</vt:lpwstr>
  </property>
  <property fmtid="{D5CDD505-2E9C-101B-9397-08002B2CF9AE}" pid="10" name="TemplafyUserProfileId">
    <vt:lpwstr>637782392590976563</vt:lpwstr>
  </property>
  <property fmtid="{D5CDD505-2E9C-101B-9397-08002B2CF9AE}" pid="11" name="TemplafyFromBlank">
    <vt:bool>false</vt:bool>
  </property>
  <property fmtid="{D5CDD505-2E9C-101B-9397-08002B2CF9AE}" pid="12" name="MSIP_Label_c1f2b1ce-4212-46db-a901-dd8453f57141_Enabled">
    <vt:lpwstr>true</vt:lpwstr>
  </property>
  <property fmtid="{D5CDD505-2E9C-101B-9397-08002B2CF9AE}" pid="13" name="MSIP_Label_c1f2b1ce-4212-46db-a901-dd8453f57141_SetDate">
    <vt:lpwstr>2025-08-04T02:27:44Z</vt:lpwstr>
  </property>
  <property fmtid="{D5CDD505-2E9C-101B-9397-08002B2CF9AE}" pid="14" name="MSIP_Label_c1f2b1ce-4212-46db-a901-dd8453f57141_Method">
    <vt:lpwstr>Privileged</vt:lpwstr>
  </property>
  <property fmtid="{D5CDD505-2E9C-101B-9397-08002B2CF9AE}" pid="15" name="MSIP_Label_c1f2b1ce-4212-46db-a901-dd8453f57141_Name">
    <vt:lpwstr>Publish</vt:lpwstr>
  </property>
  <property fmtid="{D5CDD505-2E9C-101B-9397-08002B2CF9AE}" pid="16" name="MSIP_Label_c1f2b1ce-4212-46db-a901-dd8453f57141_SiteId">
    <vt:lpwstr>29f9330b-c0fe-4244-830e-ba9f275d6c34</vt:lpwstr>
  </property>
  <property fmtid="{D5CDD505-2E9C-101B-9397-08002B2CF9AE}" pid="17" name="MSIP_Label_c1f2b1ce-4212-46db-a901-dd8453f57141_ActionId">
    <vt:lpwstr>6f0470d1-6e63-45fd-bd3a-fac908ec4ba0</vt:lpwstr>
  </property>
  <property fmtid="{D5CDD505-2E9C-101B-9397-08002B2CF9AE}" pid="18" name="MSIP_Label_c1f2b1ce-4212-46db-a901-dd8453f57141_ContentBits">
    <vt:lpwstr>0</vt:lpwstr>
  </property>
  <property fmtid="{D5CDD505-2E9C-101B-9397-08002B2CF9AE}" pid="19" name="MSIP_Label_c1f2b1ce-4212-46db-a901-dd8453f57141_Tag">
    <vt:lpwstr>10, 0, 1, 1</vt:lpwstr>
  </property>
  <property fmtid="{D5CDD505-2E9C-101B-9397-08002B2CF9AE}" pid="20" name="ZOTERO_PREF_2">
    <vt:lpwstr>JournalAbbreviations" value="true"/&gt;&lt;/prefs&gt;&lt;/data&gt;</vt:lpwstr>
  </property>
  <property fmtid="{D5CDD505-2E9C-101B-9397-08002B2CF9AE}" pid="21" name="ZOTERO_PREF_1">
    <vt:lpwstr>&lt;data data-version="3" zotero-version="7.0.19"&gt;&lt;session id="l2umsNAp"/&gt;&lt;style id="http://www.zotero.org/styles/Productivity-Commission" hasBibliography="1" bibliographyStyleHasBeenSet="1"/&gt;&lt;prefs&gt;&lt;pref name="fieldType" value="Field"/&gt;&lt;pref name="automatic</vt:lpwstr>
  </property>
  <property fmtid="{D5CDD505-2E9C-101B-9397-08002B2CF9AE}" pid="22" name="_dlc_DocIdItemGuid">
    <vt:lpwstr>1964df6a-12b4-4b8a-b3c6-c847c9230c6e</vt:lpwstr>
  </property>
</Properties>
</file>