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61289" w14:textId="61913B14" w:rsidR="00694DC9" w:rsidRPr="00827808" w:rsidRDefault="00694DC9" w:rsidP="00694DC9">
      <w:pPr>
        <w:pStyle w:val="Coverdate"/>
        <w:framePr w:wrap="around" w:y="15321"/>
        <w:rPr>
          <w:rFonts w:ascii="Open Sans" w:hAnsi="Open Sans" w:cs="Open Sans"/>
          <w:color w:val="FFFFFF" w:themeColor="background1"/>
        </w:rPr>
      </w:pPr>
      <w:r>
        <w:rPr>
          <w:rFonts w:ascii="Open Sans" w:hAnsi="Open Sans" w:cs="Open Sans"/>
          <w:color w:val="FFFFFF" w:themeColor="background1"/>
        </w:rPr>
        <w:t>August</w:t>
      </w:r>
      <w:r w:rsidRPr="00827808">
        <w:rPr>
          <w:rFonts w:ascii="Open Sans" w:hAnsi="Open Sans" w:cs="Open Sans"/>
          <w:color w:val="FFFFFF" w:themeColor="background1"/>
        </w:rPr>
        <w:t xml:space="preserve"> 2025</w:t>
      </w:r>
    </w:p>
    <w:p w14:paraId="3E893407" w14:textId="2776BCF3" w:rsidR="00242296" w:rsidRPr="00BE0F09" w:rsidRDefault="00694DC9" w:rsidP="00BE0F09">
      <w:pPr>
        <w:pStyle w:val="BodyText"/>
        <w:spacing w:before="0" w:after="0"/>
      </w:pPr>
      <w:r w:rsidRPr="00102834">
        <w:rPr>
          <w:rFonts w:ascii="Open Sans Extrabold" w:hAnsi="Open Sans Extrabold" w:cs="Open Sans Extrabold"/>
          <w:b/>
          <w:bCs/>
          <w:noProof/>
          <w:color w:val="132D4D" w:themeColor="background2" w:themeShade="80"/>
          <w:sz w:val="32"/>
          <w:szCs w:val="32"/>
        </w:rPr>
        <w:drawing>
          <wp:anchor distT="0" distB="0" distL="114300" distR="114300" simplePos="0" relativeHeight="251658241" behindDoc="1" locked="0" layoutInCell="1" allowOverlap="1" wp14:anchorId="284D1CC0" wp14:editId="042951D6">
            <wp:simplePos x="0" y="0"/>
            <wp:positionH relativeFrom="page">
              <wp:posOffset>0</wp:posOffset>
            </wp:positionH>
            <wp:positionV relativeFrom="paragraph">
              <wp:posOffset>-1791335</wp:posOffset>
            </wp:positionV>
            <wp:extent cx="7606665" cy="10757535"/>
            <wp:effectExtent l="0" t="0" r="0" b="5715"/>
            <wp:wrapNone/>
            <wp:docPr id="1412544360"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44360" name="Picture 2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06665" cy="10757535"/>
                    </a:xfrm>
                    <a:prstGeom prst="rect">
                      <a:avLst/>
                    </a:prstGeom>
                  </pic:spPr>
                </pic:pic>
              </a:graphicData>
            </a:graphic>
            <wp14:sizeRelH relativeFrom="page">
              <wp14:pctWidth>0</wp14:pctWidth>
            </wp14:sizeRelH>
            <wp14:sizeRelV relativeFrom="page">
              <wp14:pctHeight>0</wp14:pctHeight>
            </wp14:sizeRelV>
          </wp:anchor>
        </w:drawing>
      </w:r>
    </w:p>
    <w:p w14:paraId="23D4EDD1" w14:textId="1A46C16A" w:rsidR="00A27A1B" w:rsidRPr="0029064C" w:rsidRDefault="00407F15" w:rsidP="0029064C">
      <w:pPr>
        <w:pStyle w:val="Title"/>
        <w:spacing w:before="240" w:after="360"/>
        <w:rPr>
          <w:rFonts w:ascii="Open Sans Extrabold" w:hAnsi="Open Sans Extrabold" w:cs="Open Sans Extrabold"/>
          <w:b/>
          <w:color w:val="132D4D" w:themeColor="background2" w:themeShade="80"/>
          <w:kern w:val="0"/>
          <w:sz w:val="56"/>
        </w:rPr>
      </w:pPr>
      <w:r w:rsidRPr="0029064C">
        <w:rPr>
          <w:rFonts w:ascii="Open Sans Extrabold" w:hAnsi="Open Sans Extrabold" w:cs="Open Sans Extrabold"/>
          <w:b/>
          <w:color w:val="132D4D" w:themeColor="background2" w:themeShade="80"/>
          <w:kern w:val="0"/>
          <w:sz w:val="56"/>
        </w:rPr>
        <w:t>Har</w:t>
      </w:r>
      <w:r w:rsidR="00683440" w:rsidRPr="0029064C">
        <w:rPr>
          <w:rFonts w:ascii="Open Sans Extrabold" w:hAnsi="Open Sans Extrabold" w:cs="Open Sans Extrabold"/>
          <w:b/>
          <w:color w:val="132D4D" w:themeColor="background2" w:themeShade="80"/>
          <w:kern w:val="0"/>
          <w:sz w:val="56"/>
        </w:rPr>
        <w:t>nessing data and digital technology</w:t>
      </w:r>
    </w:p>
    <w:p w14:paraId="794120EB" w14:textId="552122A8" w:rsidR="00A27A1B" w:rsidRPr="00A27A1B" w:rsidRDefault="00A27A1B" w:rsidP="00A27A1B">
      <w:pPr>
        <w:spacing w:before="0" w:after="160" w:line="259" w:lineRule="auto"/>
        <w:rPr>
          <w:rFonts w:ascii="Open Sans" w:hAnsi="Open Sans" w:cs="Open Sans"/>
          <w:sz w:val="48"/>
          <w:szCs w:val="48"/>
        </w:rPr>
      </w:pPr>
      <w:r w:rsidRPr="009479D0">
        <w:rPr>
          <w:rFonts w:ascii="Open Sans" w:hAnsi="Open Sans" w:cs="Open Sans"/>
          <w:sz w:val="48"/>
          <w:szCs w:val="48"/>
        </w:rPr>
        <w:t xml:space="preserve">Interim report </w:t>
      </w:r>
      <w:r w:rsidR="00102834">
        <w:rPr>
          <w:rFonts w:ascii="Open Sans" w:hAnsi="Open Sans" w:cs="Open Sans"/>
          <w:sz w:val="48"/>
          <w:szCs w:val="48"/>
        </w:rPr>
        <w:br/>
      </w:r>
      <w:r w:rsidR="00764CF2" w:rsidRPr="004F7BE2">
        <w:rPr>
          <w:noProof/>
        </w:rPr>
        <mc:AlternateContent>
          <mc:Choice Requires="wps">
            <w:drawing>
              <wp:anchor distT="0" distB="0" distL="114300" distR="114300" simplePos="0" relativeHeight="251658240" behindDoc="0" locked="0" layoutInCell="1" allowOverlap="1" wp14:anchorId="19F6FA71" wp14:editId="082A13C2">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6FA71"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67733FAF" w14:textId="77777777" w:rsidR="00764CF2" w:rsidRPr="00E945F6" w:rsidRDefault="00764CF2" w:rsidP="00764CF2">
                      <w:pPr>
                        <w:pStyle w:val="CoverdisclaimerwhiteCover"/>
                      </w:pPr>
                      <w:r w:rsidRPr="00A05AAF">
                        <w:t>This is an interim report prepared for further public consultation and input. The PC will finalise its report after these processes have taken place.</w:t>
                      </w:r>
                    </w:p>
                  </w:txbxContent>
                </v:textbox>
                <w10:wrap anchorx="page" anchory="page"/>
              </v:shape>
            </w:pict>
          </mc:Fallback>
        </mc:AlternateContent>
      </w:r>
      <w:r w:rsidR="00102834">
        <w:rPr>
          <w:rFonts w:ascii="Open Sans" w:hAnsi="Open Sans" w:cs="Open Sans"/>
          <w:sz w:val="32"/>
          <w:szCs w:val="32"/>
        </w:rPr>
        <w:t>Executive summary</w:t>
      </w:r>
    </w:p>
    <w:sdt>
      <w:sdtPr>
        <w:rPr>
          <w:color w:val="FFFFFF" w:themeColor="background1"/>
        </w:rPr>
        <w:id w:val="-228914026"/>
        <w:docPartObj>
          <w:docPartGallery w:val="Cover Pages"/>
          <w:docPartUnique/>
        </w:docPartObj>
      </w:sdtPr>
      <w:sdtEndPr>
        <w:rPr>
          <w:color w:val="auto"/>
        </w:rPr>
      </w:sdtEndPr>
      <w:sdtContent>
        <w:p w14:paraId="44F60990" w14:textId="4B579021" w:rsidR="00246212" w:rsidRPr="00A27A1B" w:rsidRDefault="00246212" w:rsidP="00320229">
          <w:pPr>
            <w:pStyle w:val="BodyText"/>
            <w:spacing w:before="1680" w:after="240" w:line="640" w:lineRule="exact"/>
            <w:rPr>
              <w:color w:val="FFFFFF" w:themeColor="background1"/>
            </w:rPr>
          </w:pPr>
        </w:p>
        <w:p w14:paraId="2AD69A32" w14:textId="6C418BD5" w:rsidR="004F7BE2" w:rsidRDefault="004F7BE2" w:rsidP="004F7BE2">
          <w:pPr>
            <w:spacing w:after="160" w:line="259" w:lineRule="auto"/>
            <w:sectPr w:rsidR="004F7BE2" w:rsidSect="00910AD4">
              <w:footerReference w:type="even" r:id="rId15"/>
              <w:footerReference w:type="defaul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E0F1F7"/>
            <w:tblLook w:val="04A0" w:firstRow="1" w:lastRow="0" w:firstColumn="1" w:lastColumn="0" w:noHBand="0" w:noVBand="1"/>
          </w:tblPr>
          <w:tblGrid>
            <w:gridCol w:w="9638"/>
          </w:tblGrid>
          <w:tr w:rsidR="004F7BE2" w:rsidRPr="00102834" w14:paraId="1E8C917A" w14:textId="77777777" w:rsidTr="006C1733">
            <w:trPr>
              <w:trHeight w:hRule="exact" w:val="12586"/>
            </w:trPr>
            <w:tc>
              <w:tcPr>
                <w:tcW w:w="9638" w:type="dxa"/>
                <w:shd w:val="clear" w:color="auto" w:fill="E0F1F7"/>
                <w:tcMar>
                  <w:top w:w="113" w:type="dxa"/>
                </w:tcMar>
                <w:vAlign w:val="top"/>
              </w:tcPr>
              <w:p w14:paraId="05E62E95" w14:textId="4C08EBED" w:rsidR="004F7BE2" w:rsidRPr="00AE7C03" w:rsidRDefault="00DB6CAD">
                <w:pPr>
                  <w:pStyle w:val="Copyrightpage-BodyBold"/>
                  <w:ind w:right="-284"/>
                  <w:rPr>
                    <w:rFonts w:ascii="Arial" w:hAnsi="Arial" w:cs="Arial"/>
                    <w:b w:val="0"/>
                    <w:color w:val="auto"/>
                    <w:spacing w:val="2"/>
                  </w:rPr>
                </w:pPr>
                <w:r w:rsidRPr="00DB6CAD">
                  <w:rPr>
                    <w:rFonts w:ascii="Arial" w:hAnsi="Arial" w:cs="Arial"/>
                    <w:b w:val="0"/>
                    <w:bCs/>
                    <w:noProof/>
                    <w:color w:val="auto"/>
                    <w:spacing w:val="2"/>
                  </w:rPr>
                  <w:lastRenderedPageBreak/>
                  <w:drawing>
                    <wp:anchor distT="0" distB="0" distL="114300" distR="114300" simplePos="0" relativeHeight="251658242" behindDoc="0" locked="0" layoutInCell="1" allowOverlap="1" wp14:anchorId="191BB936" wp14:editId="29A5CC68">
                      <wp:simplePos x="0" y="0"/>
                      <wp:positionH relativeFrom="column">
                        <wp:posOffset>0</wp:posOffset>
                      </wp:positionH>
                      <wp:positionV relativeFrom="paragraph">
                        <wp:posOffset>-36195</wp:posOffset>
                      </wp:positionV>
                      <wp:extent cx="630000" cy="637200"/>
                      <wp:effectExtent l="0" t="0" r="0" b="0"/>
                      <wp:wrapSquare wrapText="bothSides"/>
                      <wp:docPr id="2554509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50902" name="Picture 1">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7BE2" w:rsidRPr="00AE7C03">
                  <w:rPr>
                    <w:rFonts w:ascii="Arial" w:hAnsi="Arial" w:cs="Arial"/>
                    <w:b w:val="0"/>
                    <w:color w:val="auto"/>
                    <w:spacing w:val="2"/>
                  </w:rPr>
                  <w:br w:type="page"/>
                  <w:t xml:space="preserve">The Productivity Commission acknowledges the Traditional Owners of </w:t>
                </w:r>
                <w:r w:rsidR="004F7BE2" w:rsidRPr="00AE7C03">
                  <w:rPr>
                    <w:rFonts w:ascii="Arial" w:hAnsi="Arial" w:cs="Arial"/>
                    <w:b w:val="0"/>
                    <w:color w:val="auto"/>
                    <w:spacing w:val="2"/>
                  </w:rPr>
                  <w:br/>
                  <w:t xml:space="preserve">Country throughout Australia and their continuing connection to land, </w:t>
                </w:r>
                <w:r w:rsidR="004F7BE2" w:rsidRPr="00AE7C03">
                  <w:rPr>
                    <w:rFonts w:ascii="Arial" w:hAnsi="Arial" w:cs="Arial"/>
                    <w:b w:val="0"/>
                    <w:color w:val="auto"/>
                    <w:spacing w:val="2"/>
                  </w:rPr>
                  <w:br/>
                  <w:t>waters and community. We pay our respects to their Cultures, Country and Elders past and present.</w:t>
                </w:r>
              </w:p>
              <w:p w14:paraId="6A95C95E" w14:textId="77777777" w:rsidR="004F7BE2" w:rsidRPr="00AE7C03" w:rsidRDefault="004F7BE2">
                <w:pPr>
                  <w:pStyle w:val="Copyrightpage-Keylinenotext"/>
                  <w:ind w:right="-284"/>
                  <w:rPr>
                    <w:rFonts w:ascii="Arial" w:hAnsi="Arial" w:cs="Arial"/>
                    <w:color w:val="auto"/>
                    <w:spacing w:val="2"/>
                    <w:szCs w:val="20"/>
                  </w:rPr>
                </w:pPr>
              </w:p>
              <w:p w14:paraId="0F5B00AE" w14:textId="77777777" w:rsidR="004F7BE2" w:rsidRPr="00912755" w:rsidRDefault="004F7BE2">
                <w:pPr>
                  <w:pStyle w:val="Copyrightpage-Heading"/>
                  <w:ind w:right="-284"/>
                  <w:rPr>
                    <w:color w:val="auto"/>
                  </w:rPr>
                </w:pPr>
                <w:r w:rsidRPr="00912755">
                  <w:rPr>
                    <w:color w:val="auto"/>
                  </w:rPr>
                  <w:t>The Productivity Commission</w:t>
                </w:r>
              </w:p>
              <w:p w14:paraId="3135CB69" w14:textId="77777777" w:rsidR="00EB755B" w:rsidRPr="00DC4FEE" w:rsidRDefault="00EB755B" w:rsidP="00EB755B">
                <w:pPr>
                  <w:pStyle w:val="Copyrightpage-BodyBold"/>
                  <w:rPr>
                    <w:rFonts w:ascii="Arial" w:hAnsi="Arial" w:cs="Arial"/>
                    <w:b w:val="0"/>
                    <w:color w:val="auto"/>
                  </w:rPr>
                </w:pPr>
                <w:r w:rsidRPr="00DC4FEE">
                  <w:rPr>
                    <w:rFonts w:ascii="Arial" w:hAnsi="Arial" w:cs="Arial"/>
                    <w:b w:val="0"/>
                    <w:color w:val="auto"/>
                  </w:rPr>
                  <w:t>The Productivity Commission (PC) is the Australian Government’s independent research and advisory body on a range of economic, social and environmental issues affecting the welfare of Australians. Its role, expressed most simply, is to help governments make better policies, in the long-term interest of the Australian community.</w:t>
                </w:r>
              </w:p>
              <w:p w14:paraId="77C93775" w14:textId="77777777" w:rsidR="00EB755B" w:rsidRPr="00AE7C03" w:rsidRDefault="00EB755B" w:rsidP="00EB755B">
                <w:pPr>
                  <w:pStyle w:val="Copyrightpage-BodyBold"/>
                  <w:rPr>
                    <w:rFonts w:ascii="Arial" w:hAnsi="Arial" w:cs="Arial"/>
                    <w:b w:val="0"/>
                    <w:color w:val="auto"/>
                    <w:spacing w:val="2"/>
                  </w:rPr>
                </w:pPr>
                <w:r w:rsidRPr="00AE7C03">
                  <w:rPr>
                    <w:rFonts w:ascii="Arial" w:hAnsi="Arial" w:cs="Arial"/>
                    <w:b w:val="0"/>
                    <w:color w:val="auto"/>
                    <w:spacing w:val="2"/>
                  </w:rPr>
                  <w:t xml:space="preserve">The PC’s independence is underpinned by an Act of Parliament. Its processes and outputs are open to public scrutiny and are driven by concern for the wellbeing of the </w:t>
                </w:r>
                <w:proofErr w:type="gramStart"/>
                <w:r w:rsidRPr="00AE7C03">
                  <w:rPr>
                    <w:rFonts w:ascii="Arial" w:hAnsi="Arial" w:cs="Arial"/>
                    <w:b w:val="0"/>
                    <w:color w:val="auto"/>
                    <w:spacing w:val="2"/>
                  </w:rPr>
                  <w:t>community as a whole</w:t>
                </w:r>
                <w:proofErr w:type="gramEnd"/>
                <w:r w:rsidRPr="00AE7C03">
                  <w:rPr>
                    <w:rFonts w:ascii="Arial" w:hAnsi="Arial" w:cs="Arial"/>
                    <w:b w:val="0"/>
                    <w:color w:val="auto"/>
                    <w:spacing w:val="2"/>
                  </w:rPr>
                  <w:t>.</w:t>
                </w:r>
              </w:p>
              <w:p w14:paraId="7D618C2B" w14:textId="77777777" w:rsidR="004F7BE2" w:rsidRPr="00AE7C03" w:rsidRDefault="00EB755B">
                <w:pPr>
                  <w:pStyle w:val="Copyrightpage-BodyBold"/>
                  <w:rPr>
                    <w:rFonts w:ascii="Arial" w:hAnsi="Arial" w:cs="Arial"/>
                    <w:b w:val="0"/>
                    <w:color w:val="auto"/>
                    <w:spacing w:val="2"/>
                  </w:rPr>
                </w:pPr>
                <w:r w:rsidRPr="00AE7C03">
                  <w:rPr>
                    <w:rFonts w:ascii="Arial" w:hAnsi="Arial" w:cs="Arial"/>
                    <w:b w:val="0"/>
                    <w:color w:val="auto"/>
                    <w:spacing w:val="2"/>
                  </w:rPr>
                  <w:t xml:space="preserve">For more information, visit the PC’s website: </w:t>
                </w:r>
                <w:hyperlink r:id="rId19" w:history="1">
                  <w:r w:rsidRPr="00AE7C03">
                    <w:rPr>
                      <w:rFonts w:ascii="Arial" w:hAnsi="Arial" w:cs="Arial"/>
                      <w:b w:val="0"/>
                      <w:color w:val="auto"/>
                      <w:spacing w:val="2"/>
                    </w:rPr>
                    <w:t>www.pc.gov.au</w:t>
                  </w:r>
                </w:hyperlink>
              </w:p>
              <w:p w14:paraId="224B59D0" w14:textId="77777777" w:rsidR="004F7BE2" w:rsidRPr="00AE7C03" w:rsidRDefault="004F7BE2">
                <w:pPr>
                  <w:pStyle w:val="Copyrightpage-Keylinenotext"/>
                  <w:ind w:right="-284"/>
                  <w:rPr>
                    <w:rFonts w:ascii="Arial" w:hAnsi="Arial" w:cs="Arial"/>
                    <w:color w:val="auto"/>
                    <w:spacing w:val="2"/>
                    <w:szCs w:val="20"/>
                  </w:rPr>
                </w:pPr>
              </w:p>
              <w:p w14:paraId="3FC154B5" w14:textId="77777777" w:rsidR="004F7BE2" w:rsidRPr="00AE7C03" w:rsidRDefault="004F7BE2">
                <w:pPr>
                  <w:pStyle w:val="Copyrightpage-BodyBold"/>
                  <w:rPr>
                    <w:rFonts w:ascii="Arial" w:hAnsi="Arial" w:cs="Arial"/>
                    <w:b w:val="0"/>
                    <w:color w:val="auto"/>
                    <w:spacing w:val="2"/>
                  </w:rPr>
                </w:pPr>
                <w:r w:rsidRPr="00AE7C03">
                  <w:rPr>
                    <w:rFonts w:ascii="Arial" w:hAnsi="Arial" w:cs="Arial"/>
                    <w:b w:val="0"/>
                    <w:color w:val="auto"/>
                    <w:spacing w:val="2"/>
                  </w:rPr>
                  <w:t>© Commonwealth of Australia 202</w:t>
                </w:r>
                <w:r w:rsidR="00EB755B" w:rsidRPr="00AE7C03">
                  <w:rPr>
                    <w:rFonts w:ascii="Arial" w:hAnsi="Arial" w:cs="Arial"/>
                    <w:b w:val="0"/>
                    <w:color w:val="auto"/>
                    <w:spacing w:val="2"/>
                  </w:rPr>
                  <w:t>5</w:t>
                </w:r>
              </w:p>
              <w:p w14:paraId="76DB7CEA" w14:textId="77777777" w:rsidR="004F7BE2" w:rsidRPr="00AE7C03" w:rsidRDefault="004F7BE2">
                <w:pPr>
                  <w:pStyle w:val="Copyrightpage-Heading2"/>
                  <w:spacing w:before="0"/>
                  <w:ind w:right="-284"/>
                  <w:rPr>
                    <w:rFonts w:ascii="Arial" w:hAnsi="Arial" w:cs="Arial"/>
                    <w:b w:val="0"/>
                    <w:color w:val="auto"/>
                    <w:spacing w:val="2"/>
                    <w:szCs w:val="20"/>
                  </w:rPr>
                </w:pPr>
                <w:r w:rsidRPr="00AE7C03">
                  <w:rPr>
                    <w:rFonts w:ascii="Arial" w:hAnsi="Arial" w:cs="Arial"/>
                    <w:b w:val="0"/>
                    <w:noProof/>
                    <w:color w:val="auto"/>
                    <w:spacing w:val="2"/>
                    <w:szCs w:val="20"/>
                  </w:rPr>
                  <w:drawing>
                    <wp:inline distT="0" distB="0" distL="0" distR="0" wp14:anchorId="3E46F5D4" wp14:editId="43519930">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774000" cy="270000"/>
                              </a:xfrm>
                              <a:prstGeom prst="rect">
                                <a:avLst/>
                              </a:prstGeom>
                            </pic:spPr>
                          </pic:pic>
                        </a:graphicData>
                      </a:graphic>
                    </wp:inline>
                  </w:drawing>
                </w:r>
              </w:p>
              <w:p w14:paraId="5D54230E" w14:textId="56705B13" w:rsidR="004F7BE2" w:rsidRPr="00AE7C03" w:rsidRDefault="004F7BE2">
                <w:pPr>
                  <w:pStyle w:val="Copyrightpage-BodyBold"/>
                  <w:ind w:right="-143"/>
                  <w:rPr>
                    <w:rFonts w:ascii="Arial" w:hAnsi="Arial" w:cs="Arial"/>
                    <w:b w:val="0"/>
                    <w:color w:val="auto"/>
                    <w:spacing w:val="2"/>
                  </w:rPr>
                </w:pPr>
                <w:proofErr w:type="gramStart"/>
                <w:r w:rsidRPr="00AE7C03">
                  <w:rPr>
                    <w:rFonts w:ascii="Arial" w:hAnsi="Arial" w:cs="Arial"/>
                    <w:b w:val="0"/>
                    <w:color w:val="auto"/>
                    <w:spacing w:val="2"/>
                  </w:rPr>
                  <w:t>With the exception of</w:t>
                </w:r>
                <w:proofErr w:type="gramEnd"/>
                <w:r w:rsidRPr="00AE7C03">
                  <w:rPr>
                    <w:rFonts w:ascii="Arial" w:hAnsi="Arial" w:cs="Arial"/>
                    <w:b w:val="0"/>
                    <w:color w:val="auto"/>
                    <w:spacing w:val="2"/>
                  </w:rPr>
                  <w:t xml:space="preserve"> the Commonwealth Coat of Arms and content supplied by third parties, this copyright work is licensed under a Creative Commons Attribution 4.0 International licence. In essence, you are free to copy, communicate and adapt the work, </w:t>
                </w:r>
                <w:proofErr w:type="gramStart"/>
                <w:r w:rsidRPr="00AE7C03">
                  <w:rPr>
                    <w:rFonts w:ascii="Arial" w:hAnsi="Arial" w:cs="Arial"/>
                    <w:b w:val="0"/>
                    <w:color w:val="auto"/>
                    <w:spacing w:val="2"/>
                  </w:rPr>
                  <w:t>as long as</w:t>
                </w:r>
                <w:proofErr w:type="gramEnd"/>
                <w:r w:rsidRPr="00AE7C03">
                  <w:rPr>
                    <w:rFonts w:ascii="Arial" w:hAnsi="Arial" w:cs="Arial"/>
                    <w:b w:val="0"/>
                    <w:color w:val="auto"/>
                    <w:spacing w:val="2"/>
                  </w:rPr>
                  <w:t xml:space="preserve"> you attribute the work to the </w:t>
                </w:r>
                <w:r w:rsidR="002F2532">
                  <w:rPr>
                    <w:rFonts w:ascii="Arial" w:hAnsi="Arial" w:cs="Arial"/>
                    <w:b w:val="0"/>
                    <w:color w:val="auto"/>
                    <w:spacing w:val="2"/>
                  </w:rPr>
                  <w:t xml:space="preserve">PC </w:t>
                </w:r>
                <w:r w:rsidRPr="00AE7C03">
                  <w:rPr>
                    <w:rFonts w:ascii="Arial" w:hAnsi="Arial" w:cs="Arial"/>
                    <w:b w:val="0"/>
                    <w:color w:val="auto"/>
                    <w:spacing w:val="2"/>
                  </w:rPr>
                  <w:t xml:space="preserve">(but not in any way that suggests the </w:t>
                </w:r>
                <w:r w:rsidR="00DC4FEE">
                  <w:rPr>
                    <w:rFonts w:ascii="Arial" w:hAnsi="Arial" w:cs="Arial"/>
                    <w:b w:val="0"/>
                    <w:color w:val="auto"/>
                    <w:spacing w:val="2"/>
                  </w:rPr>
                  <w:t>P</w:t>
                </w:r>
                <w:r w:rsidR="00DC4FEE" w:rsidRPr="00DE2F51">
                  <w:rPr>
                    <w:rFonts w:ascii="Arial" w:hAnsi="Arial" w:cs="Arial"/>
                    <w:b w:val="0"/>
                    <w:bCs/>
                    <w:color w:val="auto"/>
                    <w:spacing w:val="2"/>
                  </w:rPr>
                  <w:t>C</w:t>
                </w:r>
                <w:r w:rsidRPr="00AE7C03">
                  <w:rPr>
                    <w:rFonts w:ascii="Arial" w:hAnsi="Arial" w:cs="Arial"/>
                    <w:b w:val="0"/>
                    <w:color w:val="auto"/>
                    <w:spacing w:val="2"/>
                  </w:rPr>
                  <w:t xml:space="preserve"> endorses you or your use) and abide by the other licence terms. The licence can be viewed at: creativecommons.org/licenses/by/4.0.</w:t>
                </w:r>
              </w:p>
              <w:p w14:paraId="7FD1A846" w14:textId="77777777" w:rsidR="004F7BE2" w:rsidRPr="00AE7C03" w:rsidRDefault="004F7BE2">
                <w:pPr>
                  <w:pStyle w:val="Copyrightpage-BodyBold"/>
                  <w:rPr>
                    <w:rFonts w:ascii="Arial" w:hAnsi="Arial" w:cs="Arial"/>
                    <w:b w:val="0"/>
                    <w:color w:val="auto"/>
                    <w:spacing w:val="2"/>
                  </w:rPr>
                </w:pPr>
                <w:r w:rsidRPr="00AE7C03">
                  <w:rPr>
                    <w:rFonts w:ascii="Arial" w:hAnsi="Arial" w:cs="Arial"/>
                    <w:b w:val="0"/>
                    <w:color w:val="auto"/>
                    <w:spacing w:val="2"/>
                  </w:rPr>
                  <w:t>The terms under which the Coat of Arms can be used are detailed at: www.pmc.gov.au/government/commonwealth-coat-arms.</w:t>
                </w:r>
              </w:p>
              <w:p w14:paraId="29317D9E" w14:textId="77777777" w:rsidR="004F7BE2" w:rsidRPr="002F2532" w:rsidRDefault="004F7BE2">
                <w:pPr>
                  <w:pStyle w:val="Copyrightpage-BodyBold"/>
                  <w:rPr>
                    <w:rFonts w:ascii="Arial" w:hAnsi="Arial" w:cs="Arial"/>
                    <w:b w:val="0"/>
                    <w:color w:val="auto"/>
                    <w:spacing w:val="-4"/>
                  </w:rPr>
                </w:pPr>
                <w:r w:rsidRPr="002F2532">
                  <w:rPr>
                    <w:rFonts w:ascii="Arial" w:hAnsi="Arial" w:cs="Arial"/>
                    <w:b w:val="0"/>
                    <w:color w:val="auto"/>
                    <w:spacing w:val="-4"/>
                  </w:rPr>
                  <w:t>Wherever a third party holds copyright in this material the copyright remains with that party. Their permission may be required to use the material, please contact them directly.</w:t>
                </w:r>
              </w:p>
              <w:p w14:paraId="6AACD75C" w14:textId="2C78A941" w:rsidR="004F7BE2" w:rsidRPr="00AE7C03" w:rsidRDefault="004F7BE2">
                <w:pPr>
                  <w:pStyle w:val="Copyrightpage-BodyBold"/>
                  <w:rPr>
                    <w:rFonts w:ascii="Arial" w:hAnsi="Arial" w:cs="Arial"/>
                    <w:b w:val="0"/>
                    <w:color w:val="auto"/>
                    <w:spacing w:val="2"/>
                  </w:rPr>
                </w:pPr>
                <w:r w:rsidRPr="00AE7C03">
                  <w:rPr>
                    <w:rFonts w:ascii="Arial" w:hAnsi="Arial" w:cs="Arial"/>
                    <w:b w:val="0"/>
                    <w:color w:val="auto"/>
                    <w:spacing w:val="2"/>
                  </w:rPr>
                  <w:t>An appropriate reference for this publication is:</w:t>
                </w:r>
                <w:r w:rsidRPr="00AE7C03">
                  <w:rPr>
                    <w:rFonts w:ascii="Arial" w:hAnsi="Arial" w:cs="Arial"/>
                    <w:b w:val="0"/>
                    <w:color w:val="auto"/>
                    <w:spacing w:val="2"/>
                  </w:rPr>
                  <w:br/>
                  <w:t xml:space="preserve">Productivity Commission </w:t>
                </w:r>
                <w:r w:rsidR="00F15989" w:rsidRPr="00AE7C03">
                  <w:rPr>
                    <w:rFonts w:ascii="Arial" w:hAnsi="Arial" w:cs="Arial"/>
                    <w:b w:val="0"/>
                    <w:color w:val="auto"/>
                    <w:spacing w:val="2"/>
                  </w:rPr>
                  <w:t>2025</w:t>
                </w:r>
                <w:r w:rsidRPr="00AE7C03">
                  <w:rPr>
                    <w:rFonts w:ascii="Arial" w:hAnsi="Arial" w:cs="Arial"/>
                    <w:b w:val="0"/>
                    <w:color w:val="auto"/>
                    <w:spacing w:val="2"/>
                  </w:rPr>
                  <w:t xml:space="preserve">, </w:t>
                </w:r>
                <w:r w:rsidR="00683440">
                  <w:rPr>
                    <w:rFonts w:ascii="Arial" w:hAnsi="Arial" w:cs="Arial"/>
                    <w:b w:val="0"/>
                    <w:i/>
                    <w:iCs/>
                    <w:color w:val="auto"/>
                    <w:spacing w:val="2"/>
                  </w:rPr>
                  <w:t xml:space="preserve">Harnessing </w:t>
                </w:r>
                <w:r w:rsidR="00D90690">
                  <w:rPr>
                    <w:rFonts w:ascii="Arial" w:hAnsi="Arial" w:cs="Arial"/>
                    <w:b w:val="0"/>
                    <w:i/>
                    <w:iCs/>
                    <w:color w:val="auto"/>
                    <w:spacing w:val="2"/>
                  </w:rPr>
                  <w:t>data and digital technology</w:t>
                </w:r>
                <w:r w:rsidRPr="00AE7C03">
                  <w:rPr>
                    <w:rFonts w:ascii="Arial" w:hAnsi="Arial" w:cs="Arial"/>
                    <w:b w:val="0"/>
                    <w:color w:val="auto"/>
                    <w:spacing w:val="2"/>
                  </w:rPr>
                  <w:t xml:space="preserve">, </w:t>
                </w:r>
                <w:r w:rsidR="002A03D0">
                  <w:rPr>
                    <w:rFonts w:ascii="Arial" w:hAnsi="Arial" w:cs="Arial"/>
                    <w:b w:val="0"/>
                    <w:bCs/>
                    <w:color w:val="auto"/>
                    <w:spacing w:val="2"/>
                  </w:rPr>
                  <w:t>Interim r</w:t>
                </w:r>
                <w:r w:rsidRPr="00AE7C03">
                  <w:rPr>
                    <w:rFonts w:ascii="Arial" w:hAnsi="Arial" w:cs="Arial"/>
                    <w:b w:val="0"/>
                    <w:bCs/>
                    <w:color w:val="auto"/>
                    <w:spacing w:val="2"/>
                  </w:rPr>
                  <w:t>eport</w:t>
                </w:r>
                <w:r w:rsidRPr="00AE7C03">
                  <w:rPr>
                    <w:rFonts w:ascii="Arial" w:hAnsi="Arial" w:cs="Arial"/>
                    <w:b w:val="0"/>
                    <w:color w:val="auto"/>
                    <w:spacing w:val="2"/>
                  </w:rPr>
                  <w:t xml:space="preserve">, Canberra, </w:t>
                </w:r>
                <w:r w:rsidR="00353CE5">
                  <w:rPr>
                    <w:rFonts w:ascii="Arial" w:hAnsi="Arial" w:cs="Arial"/>
                    <w:b w:val="0"/>
                    <w:color w:val="auto"/>
                    <w:spacing w:val="2"/>
                  </w:rPr>
                  <w:t>August</w:t>
                </w:r>
              </w:p>
              <w:p w14:paraId="03CED0C6" w14:textId="77777777" w:rsidR="004F7BE2" w:rsidRPr="00AE7C03" w:rsidRDefault="004F7BE2">
                <w:pPr>
                  <w:pStyle w:val="Copyrightpage-BodyBold"/>
                  <w:ind w:right="-284"/>
                  <w:rPr>
                    <w:rFonts w:ascii="Arial" w:hAnsi="Arial" w:cs="Arial"/>
                    <w:b w:val="0"/>
                    <w:color w:val="auto"/>
                    <w:spacing w:val="2"/>
                  </w:rPr>
                </w:pPr>
              </w:p>
              <w:p w14:paraId="302BE212" w14:textId="400856F3" w:rsidR="004F7BE2" w:rsidRPr="004E7122" w:rsidRDefault="004F7BE2">
                <w:pPr>
                  <w:pStyle w:val="Copyrightpage-BodyBold"/>
                  <w:ind w:right="-284"/>
                  <w:rPr>
                    <w:rFonts w:ascii="Arial" w:hAnsi="Arial" w:cs="Arial"/>
                    <w:b w:val="0"/>
                    <w:color w:val="auto"/>
                    <w:spacing w:val="2"/>
                    <w:lang w:val="fr-CA"/>
                  </w:rPr>
                </w:pPr>
                <w:r w:rsidRPr="004E7122">
                  <w:rPr>
                    <w:rFonts w:ascii="Arial" w:hAnsi="Arial" w:cs="Arial"/>
                    <w:b w:val="0"/>
                    <w:color w:val="auto"/>
                    <w:spacing w:val="2"/>
                    <w:lang w:val="fr-CA"/>
                  </w:rPr>
                  <w:t xml:space="preserve">Publication </w:t>
                </w:r>
                <w:proofErr w:type="spellStart"/>
                <w:r w:rsidRPr="004E7122">
                  <w:rPr>
                    <w:rFonts w:ascii="Arial" w:hAnsi="Arial" w:cs="Arial"/>
                    <w:b w:val="0"/>
                    <w:color w:val="auto"/>
                    <w:spacing w:val="2"/>
                    <w:lang w:val="fr-CA"/>
                  </w:rPr>
                  <w:t>enquiries</w:t>
                </w:r>
                <w:proofErr w:type="spellEnd"/>
                <w:r w:rsidRPr="004E7122">
                  <w:rPr>
                    <w:rFonts w:ascii="Arial" w:hAnsi="Arial" w:cs="Arial"/>
                    <w:b w:val="0"/>
                    <w:color w:val="auto"/>
                    <w:spacing w:val="2"/>
                    <w:lang w:val="fr-CA"/>
                  </w:rPr>
                  <w:t xml:space="preserve">: </w:t>
                </w:r>
                <w:r w:rsidRPr="004E7122">
                  <w:rPr>
                    <w:rFonts w:ascii="Arial" w:hAnsi="Arial" w:cs="Arial"/>
                    <w:b w:val="0"/>
                    <w:color w:val="auto"/>
                    <w:spacing w:val="2"/>
                    <w:lang w:val="fr-CA"/>
                  </w:rPr>
                  <w:br/>
                </w:r>
                <w:r w:rsidR="00096878" w:rsidRPr="004E7122">
                  <w:rPr>
                    <w:rFonts w:ascii="Arial" w:hAnsi="Arial" w:cs="Arial"/>
                    <w:b w:val="0"/>
                    <w:color w:val="auto"/>
                    <w:spacing w:val="2"/>
                    <w:lang w:val="fr-CA"/>
                  </w:rPr>
                  <w:t>P</w:t>
                </w:r>
                <w:r w:rsidRPr="004E7122">
                  <w:rPr>
                    <w:rFonts w:ascii="Arial" w:hAnsi="Arial" w:cs="Arial"/>
                    <w:b w:val="0"/>
                    <w:color w:val="auto"/>
                    <w:spacing w:val="2"/>
                    <w:lang w:val="fr-CA"/>
                  </w:rPr>
                  <w:t xml:space="preserve">hone 03 9653 2244 | </w:t>
                </w:r>
                <w:proofErr w:type="gramStart"/>
                <w:r w:rsidR="00096878" w:rsidRPr="004E7122">
                  <w:rPr>
                    <w:rFonts w:ascii="Arial" w:hAnsi="Arial" w:cs="Arial"/>
                    <w:b w:val="0"/>
                    <w:color w:val="auto"/>
                    <w:spacing w:val="2"/>
                    <w:lang w:val="fr-CA"/>
                  </w:rPr>
                  <w:t>E</w:t>
                </w:r>
                <w:r w:rsidRPr="004E7122">
                  <w:rPr>
                    <w:rFonts w:ascii="Arial" w:hAnsi="Arial" w:cs="Arial"/>
                    <w:b w:val="0"/>
                    <w:color w:val="auto"/>
                    <w:spacing w:val="2"/>
                    <w:lang w:val="fr-CA"/>
                  </w:rPr>
                  <w:t>mail</w:t>
                </w:r>
                <w:proofErr w:type="gramEnd"/>
                <w:r w:rsidRPr="004E7122">
                  <w:rPr>
                    <w:rFonts w:ascii="Arial" w:hAnsi="Arial" w:cs="Arial"/>
                    <w:b w:val="0"/>
                    <w:color w:val="auto"/>
                    <w:spacing w:val="2"/>
                    <w:lang w:val="fr-CA"/>
                  </w:rPr>
                  <w:t xml:space="preserve"> </w:t>
                </w:r>
                <w:hyperlink r:id="rId22" w:history="1">
                  <w:r w:rsidR="00DC4FEE" w:rsidRPr="004E7122">
                    <w:rPr>
                      <w:rStyle w:val="Hyperlink"/>
                      <w:rFonts w:ascii="Arial" w:hAnsi="Arial" w:cs="Arial"/>
                      <w:b w:val="0"/>
                      <w:spacing w:val="2"/>
                      <w:lang w:val="fr-CA"/>
                    </w:rPr>
                    <w:t>publications@pc.gov.au</w:t>
                  </w:r>
                </w:hyperlink>
              </w:p>
            </w:tc>
          </w:tr>
        </w:tbl>
        <w:p w14:paraId="11B5ACFF" w14:textId="77777777" w:rsidR="004F7BE2" w:rsidRPr="00DA3017" w:rsidRDefault="004F7BE2" w:rsidP="004F7BE2">
          <w:pPr>
            <w:spacing w:before="0" w:after="160" w:line="259" w:lineRule="auto"/>
            <w:rPr>
              <w:b/>
              <w:color w:val="FFFFFF" w:themeColor="background1"/>
            </w:rPr>
          </w:pPr>
          <w:r w:rsidRPr="004E7122">
            <w:rPr>
              <w:rStyle w:val="White"/>
              <w:b/>
              <w:lang w:val="fr-CA"/>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50215D27" w14:textId="77777777" w:rsidTr="002A6205">
        <w:trPr>
          <w:trHeight w:hRule="exact" w:val="12643"/>
        </w:trPr>
        <w:tc>
          <w:tcPr>
            <w:tcW w:w="9638" w:type="dxa"/>
            <w:shd w:val="clear" w:color="auto" w:fill="F4F5F6"/>
          </w:tcPr>
          <w:p w14:paraId="01BA648B" w14:textId="77777777" w:rsidR="004F7BE2" w:rsidRDefault="004F7BE2" w:rsidP="004F7BE2">
            <w:pPr>
              <w:pStyle w:val="Heading1-nobackground"/>
            </w:pPr>
            <w:bookmarkStart w:id="0" w:name="_Toc204694660"/>
            <w:bookmarkStart w:id="1" w:name="_Toc204694752"/>
            <w:r>
              <w:lastRenderedPageBreak/>
              <w:t>Opportunity for comment</w:t>
            </w:r>
            <w:bookmarkEnd w:id="0"/>
            <w:bookmarkEnd w:id="1"/>
          </w:p>
          <w:p w14:paraId="68D72693" w14:textId="69069A49" w:rsidR="00A838DE" w:rsidRDefault="004B09B0" w:rsidP="00681161">
            <w:pPr>
              <w:pStyle w:val="BodyText"/>
            </w:pPr>
            <w:r>
              <w:t>T</w:t>
            </w:r>
            <w:r w:rsidRPr="00A231B1">
              <w:t>he</w:t>
            </w:r>
            <w:r w:rsidR="00A231B1" w:rsidRPr="00A231B1">
              <w:t xml:space="preserve"> P</w:t>
            </w:r>
            <w:r w:rsidR="004D15AE">
              <w:t>roductivity Commission</w:t>
            </w:r>
            <w:r w:rsidR="00A231B1" w:rsidRPr="00A231B1">
              <w:t xml:space="preserve"> thanks all participants for their contribution to th</w:t>
            </w:r>
            <w:r w:rsidR="008A1C57">
              <w:t>is Inquiry</w:t>
            </w:r>
            <w:r w:rsidR="00A231B1" w:rsidRPr="00A231B1">
              <w:t xml:space="preserve"> and now seeks additional input for the final report. </w:t>
            </w:r>
          </w:p>
          <w:p w14:paraId="4FEA25C0" w14:textId="77777777" w:rsidR="00A838DE" w:rsidRDefault="00A231B1" w:rsidP="00681161">
            <w:pPr>
              <w:pStyle w:val="BodyText"/>
            </w:pPr>
            <w:r w:rsidRPr="00A231B1">
              <w:t>You are invited to examine this interim report and comment on it by written submission to the PC, preferably in electronic format, by</w:t>
            </w:r>
            <w:r w:rsidR="008A1C57">
              <w:t xml:space="preserve"> </w:t>
            </w:r>
            <w:r w:rsidR="00A838DE">
              <w:t>15 September</w:t>
            </w:r>
            <w:r w:rsidR="008A1C57">
              <w:t xml:space="preserve"> </w:t>
            </w:r>
            <w:r w:rsidRPr="00A231B1">
              <w:t xml:space="preserve">2025. </w:t>
            </w:r>
          </w:p>
          <w:p w14:paraId="2F400288" w14:textId="0CC090E9" w:rsidR="00A838DE" w:rsidRDefault="00CD76AF" w:rsidP="00681161">
            <w:pPr>
              <w:pStyle w:val="BodyText"/>
            </w:pPr>
            <w:r>
              <w:t>Further</w:t>
            </w:r>
            <w:r w:rsidR="00A231B1" w:rsidRPr="00A231B1">
              <w:t xml:space="preserve"> information on how to provide a submission is included on the website: </w:t>
            </w:r>
            <w:hyperlink r:id="rId23" w:history="1">
              <w:r w:rsidR="00DC4FEE" w:rsidRPr="00CE6F2C">
                <w:rPr>
                  <w:rStyle w:val="Hyperlink"/>
                </w:rPr>
                <w:t>www.pc.gov.au/inquiries/current/data-digital</w:t>
              </w:r>
            </w:hyperlink>
          </w:p>
          <w:p w14:paraId="7D0B50DF" w14:textId="2579084C" w:rsidR="004F7BE2" w:rsidRDefault="00A231B1">
            <w:pPr>
              <w:pStyle w:val="BodyText"/>
            </w:pPr>
            <w:r w:rsidRPr="00A231B1">
              <w:t>The PC will prepare the final report after further submissions have been received, and it will hold further discussions with participants.</w:t>
            </w:r>
          </w:p>
          <w:p w14:paraId="7AB4FF8D" w14:textId="018A039B" w:rsidR="004B09B0" w:rsidRPr="004B09B0" w:rsidRDefault="004B09B0" w:rsidP="00A85409">
            <w:pPr>
              <w:pStyle w:val="Heading2-nonumber"/>
            </w:pPr>
            <w:bookmarkStart w:id="2" w:name="_Toc204692249"/>
            <w:bookmarkStart w:id="3" w:name="_Toc204694661"/>
            <w:bookmarkStart w:id="4" w:name="_Toc204694753"/>
            <w:r w:rsidRPr="004B09B0">
              <w:t>Commissioners</w:t>
            </w:r>
            <w:bookmarkEnd w:id="2"/>
            <w:bookmarkEnd w:id="3"/>
            <w:bookmarkEnd w:id="4"/>
          </w:p>
          <w:tbl>
            <w:tblPr>
              <w:tblW w:w="0" w:type="auto"/>
              <w:tblLook w:val="01E0" w:firstRow="1" w:lastRow="1" w:firstColumn="1" w:lastColumn="1" w:noHBand="0" w:noVBand="0"/>
            </w:tblPr>
            <w:tblGrid>
              <w:gridCol w:w="2140"/>
              <w:gridCol w:w="6649"/>
            </w:tblGrid>
            <w:tr w:rsidR="004F7BE2" w14:paraId="331AC13F" w14:textId="77777777" w:rsidTr="004D15AE">
              <w:tc>
                <w:tcPr>
                  <w:tcW w:w="2140" w:type="dxa"/>
                  <w:tcMar>
                    <w:left w:w="0" w:type="dxa"/>
                    <w:right w:w="0" w:type="dxa"/>
                  </w:tcMar>
                </w:tcPr>
                <w:p w14:paraId="362A83E8" w14:textId="2408E987" w:rsidR="004F7BE2" w:rsidRDefault="00D90690">
                  <w:pPr>
                    <w:pStyle w:val="BodyText"/>
                  </w:pPr>
                  <w:r>
                    <w:t>Stephen King</w:t>
                  </w:r>
                </w:p>
              </w:tc>
              <w:tc>
                <w:tcPr>
                  <w:tcW w:w="6649" w:type="dxa"/>
                </w:tcPr>
                <w:p w14:paraId="18132FBA" w14:textId="110FEF6C" w:rsidR="004F7BE2" w:rsidRDefault="00D90690">
                  <w:pPr>
                    <w:pStyle w:val="BodyText"/>
                  </w:pPr>
                  <w:r>
                    <w:t>Commissioner</w:t>
                  </w:r>
                </w:p>
              </w:tc>
            </w:tr>
            <w:tr w:rsidR="004F7BE2" w14:paraId="40859370" w14:textId="77777777" w:rsidTr="004D15AE">
              <w:tc>
                <w:tcPr>
                  <w:tcW w:w="2140" w:type="dxa"/>
                  <w:tcMar>
                    <w:left w:w="0" w:type="dxa"/>
                    <w:right w:w="0" w:type="dxa"/>
                  </w:tcMar>
                </w:tcPr>
                <w:p w14:paraId="24745D17" w14:textId="1D268444" w:rsidR="004F7BE2" w:rsidRDefault="00D90690">
                  <w:pPr>
                    <w:pStyle w:val="BodyText"/>
                  </w:pPr>
                  <w:r>
                    <w:t>Julie Abramson</w:t>
                  </w:r>
                </w:p>
              </w:tc>
              <w:tc>
                <w:tcPr>
                  <w:tcW w:w="6649" w:type="dxa"/>
                </w:tcPr>
                <w:p w14:paraId="1F23EE9C" w14:textId="77777777" w:rsidR="004F7BE2" w:rsidRDefault="004F7BE2">
                  <w:pPr>
                    <w:pStyle w:val="BodyText"/>
                  </w:pPr>
                  <w:r>
                    <w:t>Commissioner</w:t>
                  </w:r>
                </w:p>
              </w:tc>
            </w:tr>
          </w:tbl>
          <w:p w14:paraId="5F761570" w14:textId="77777777" w:rsidR="004F7BE2" w:rsidRPr="00DD6473" w:rsidRDefault="004F7BE2">
            <w:pPr>
              <w:pStyle w:val="BodyText"/>
            </w:pPr>
          </w:p>
        </w:tc>
      </w:tr>
    </w:tbl>
    <w:p w14:paraId="2AFF777D" w14:textId="77777777" w:rsidR="004F7BE2" w:rsidRDefault="004F7BE2" w:rsidP="004F7BE2">
      <w:pPr>
        <w:pStyle w:val="BodyText"/>
        <w:sectPr w:rsidR="004F7BE2" w:rsidSect="00910AD4">
          <w:headerReference w:type="even" r:id="rId24"/>
          <w:headerReference w:type="default" r:id="rId25"/>
          <w:footerReference w:type="even" r:id="rId26"/>
          <w:footerReference w:type="default" r:id="rId27"/>
          <w:headerReference w:type="first" r:id="rId28"/>
          <w:pgSz w:w="11906" w:h="16838" w:code="9"/>
          <w:pgMar w:top="1134" w:right="1134" w:bottom="1134" w:left="1134" w:header="794" w:footer="510" w:gutter="0"/>
          <w:pgNumType w:fmt="lowerRoman" w:start="2"/>
          <w:cols w:space="708"/>
          <w:docGrid w:linePitch="360"/>
        </w:sectPr>
      </w:pPr>
      <w:bookmarkStart w:id="5" w:name="_Toc77943765"/>
    </w:p>
    <w:p w14:paraId="769ED435" w14:textId="77777777" w:rsidR="002F2532" w:rsidRDefault="002F2532">
      <w:pPr>
        <w:pStyle w:val="Heading1-nonumber"/>
      </w:pPr>
      <w:bookmarkStart w:id="6" w:name="_Toc204694669"/>
      <w:bookmarkStart w:id="7" w:name="_Toc204694761"/>
      <w:bookmarkEnd w:id="5"/>
      <w:r>
        <w:lastRenderedPageBreak/>
        <w:t>Executive summary</w:t>
      </w:r>
      <w:bookmarkEnd w:id="6"/>
      <w:bookmarkEnd w:id="7"/>
    </w:p>
    <w:p w14:paraId="463FF5E8" w14:textId="77777777" w:rsidR="002F2532" w:rsidRDefault="002F2532">
      <w:pPr>
        <w:pStyle w:val="BodyText"/>
      </w:pPr>
      <w:r>
        <w:t xml:space="preserve">Data and digital technologies are the modern engines of economic growth. Emerging technologies like artificial intelligence (AI), which can extract useful insights from massive datasets in a fraction of a second, could transform the global economy and speed up productivity growth. </w:t>
      </w:r>
    </w:p>
    <w:p w14:paraId="1EC99A7A" w14:textId="77777777" w:rsidR="002F2532" w:rsidRDefault="002F2532">
      <w:pPr>
        <w:pStyle w:val="BodyText"/>
      </w:pPr>
      <w:r>
        <w:t xml:space="preserve">Australia needs to harness the consumer and productivity benefits of data and digital technology while managing and mitigating the downside risks. There is a role for government in setting the rules of the game to foster innovation and ensure that Australians </w:t>
      </w:r>
      <w:r w:rsidRPr="00DD642D">
        <w:t xml:space="preserve">reap the benefits </w:t>
      </w:r>
      <w:r>
        <w:t xml:space="preserve">of the </w:t>
      </w:r>
      <w:r w:rsidRPr="00DD642D">
        <w:t xml:space="preserve">data and digital </w:t>
      </w:r>
      <w:r>
        <w:t xml:space="preserve">opportunity. </w:t>
      </w:r>
    </w:p>
    <w:p w14:paraId="373801F4" w14:textId="7AAD1877" w:rsidR="002F2532" w:rsidRPr="002B5FFC" w:rsidRDefault="002F2532">
      <w:pPr>
        <w:pStyle w:val="BodyText"/>
        <w:rPr>
          <w:spacing w:val="-2"/>
        </w:rPr>
      </w:pPr>
      <w:r w:rsidRPr="002B5FFC">
        <w:rPr>
          <w:spacing w:val="-2"/>
        </w:rPr>
        <w:t xml:space="preserve">The economic potential of AI is clear, and we are still in the early stages of its development and adoption. Early studies </w:t>
      </w:r>
      <w:r>
        <w:rPr>
          <w:spacing w:val="-2"/>
        </w:rPr>
        <w:t>provide</w:t>
      </w:r>
      <w:r w:rsidRPr="002B5FFC">
        <w:rPr>
          <w:spacing w:val="-2"/>
        </w:rPr>
        <w:t xml:space="preserve"> </w:t>
      </w:r>
      <w:r>
        <w:rPr>
          <w:spacing w:val="-2"/>
        </w:rPr>
        <w:t xml:space="preserve">a broad range of estimates for the impact of AI on </w:t>
      </w:r>
      <w:r w:rsidRPr="002B5FFC" w:rsidDel="00AB1563">
        <w:rPr>
          <w:spacing w:val="-2"/>
        </w:rPr>
        <w:t>productivity</w:t>
      </w:r>
      <w:r w:rsidRPr="002B5FFC">
        <w:rPr>
          <w:spacing w:val="-2"/>
        </w:rPr>
        <w:t xml:space="preserve">. </w:t>
      </w:r>
      <w:r>
        <w:rPr>
          <w:spacing w:val="-2"/>
        </w:rPr>
        <w:t>T</w:t>
      </w:r>
      <w:r w:rsidRPr="002B5FFC">
        <w:rPr>
          <w:spacing w:val="-2"/>
        </w:rPr>
        <w:t>he P</w:t>
      </w:r>
      <w:r>
        <w:rPr>
          <w:spacing w:val="-2"/>
        </w:rPr>
        <w:t xml:space="preserve">roductivity </w:t>
      </w:r>
      <w:r w:rsidRPr="002B5FFC">
        <w:rPr>
          <w:spacing w:val="-2"/>
        </w:rPr>
        <w:t>C</w:t>
      </w:r>
      <w:r>
        <w:rPr>
          <w:spacing w:val="-2"/>
        </w:rPr>
        <w:t>ommission</w:t>
      </w:r>
      <w:r w:rsidRPr="002B5FFC">
        <w:rPr>
          <w:spacing w:val="-2"/>
        </w:rPr>
        <w:t xml:space="preserve"> considers that </w:t>
      </w:r>
      <w:r>
        <w:rPr>
          <w:spacing w:val="-2"/>
        </w:rPr>
        <w:t xml:space="preserve">multifactor </w:t>
      </w:r>
      <w:r w:rsidRPr="002B5FFC">
        <w:rPr>
          <w:spacing w:val="-2"/>
        </w:rPr>
        <w:t>productivity gains above 2</w:t>
      </w:r>
      <w:r>
        <w:rPr>
          <w:spacing w:val="-2"/>
        </w:rPr>
        <w:t>.3</w:t>
      </w:r>
      <w:r w:rsidRPr="002B5FFC">
        <w:rPr>
          <w:spacing w:val="-2"/>
        </w:rPr>
        <w:t>% are likely</w:t>
      </w:r>
      <w:r>
        <w:rPr>
          <w:spacing w:val="-2"/>
        </w:rPr>
        <w:t xml:space="preserve"> over the next decade, though there is considerable uncertainty</w:t>
      </w:r>
      <w:r w:rsidRPr="002B5FFC">
        <w:rPr>
          <w:spacing w:val="-2"/>
        </w:rPr>
        <w:t>.</w:t>
      </w:r>
      <w:r>
        <w:rPr>
          <w:spacing w:val="-2"/>
        </w:rPr>
        <w:t xml:space="preserve"> This would translate into about 4.3% labour productivity growth over the same period.</w:t>
      </w:r>
      <w:r w:rsidRPr="002B5FFC">
        <w:rPr>
          <w:spacing w:val="-2"/>
        </w:rPr>
        <w:t xml:space="preserve"> But poorly designed regulation could stifle the adoption and development of AI and limit its benefits. Australian </w:t>
      </w:r>
      <w:r w:rsidR="00A47CA2">
        <w:rPr>
          <w:spacing w:val="-2"/>
        </w:rPr>
        <w:t>g</w:t>
      </w:r>
      <w:r w:rsidRPr="002B5FFC">
        <w:rPr>
          <w:spacing w:val="-2"/>
        </w:rPr>
        <w:t>overnments should take an outcomes</w:t>
      </w:r>
      <w:r>
        <w:rPr>
          <w:spacing w:val="-2"/>
        </w:rPr>
        <w:noBreakHyphen/>
      </w:r>
      <w:r w:rsidRPr="002B5FFC">
        <w:rPr>
          <w:spacing w:val="-2"/>
        </w:rPr>
        <w:t>based approach to AI regulation – one that uses our existing laws and regulatory structures to minimise harms and introduces technology</w:t>
      </w:r>
      <w:r>
        <w:rPr>
          <w:spacing w:val="-2"/>
        </w:rPr>
        <w:noBreakHyphen/>
      </w:r>
      <w:r w:rsidRPr="002B5FFC">
        <w:rPr>
          <w:spacing w:val="-2"/>
        </w:rPr>
        <w:t>specific regulations as a last resort.</w:t>
      </w:r>
    </w:p>
    <w:p w14:paraId="7AAFB9FD" w14:textId="77777777" w:rsidR="002F2532" w:rsidRPr="00B84F22" w:rsidRDefault="002F2532">
      <w:pPr>
        <w:pStyle w:val="BodyText"/>
        <w:rPr>
          <w:spacing w:val="-2"/>
        </w:rPr>
      </w:pPr>
      <w:r w:rsidRPr="00B84F22">
        <w:rPr>
          <w:spacing w:val="-2"/>
        </w:rPr>
        <w:t>Data access and use can fuel productivity growth: insights from data can help reduce costs, increase the quality of products and services and lead to the creation of entirely new products. But some requirements in the Privacy Act, the main piece of legislation for protecting privacy, are constraining innovation without providing meaningful protection to individuals. For example, complying with the controls and processes baked into the Act can make consent and notification a ‘tick box’ exercise – where businesses comply with the letter of the law but not the spirit of it. The Australian Government should amend the Privacy Act to introduce an alternative compliance pathway that enables firms to fulfil their privacy obligations by meeting outcomes</w:t>
      </w:r>
      <w:r w:rsidRPr="00B84F22">
        <w:rPr>
          <w:spacing w:val="-2"/>
        </w:rPr>
        <w:noBreakHyphen/>
        <w:t>based criteria.</w:t>
      </w:r>
    </w:p>
    <w:p w14:paraId="427F22A2" w14:textId="77777777" w:rsidR="002F2532" w:rsidRPr="002B320A" w:rsidRDefault="002F2532">
      <w:pPr>
        <w:pStyle w:val="BodyText"/>
      </w:pPr>
      <w:r w:rsidRPr="002B320A">
        <w:t xml:space="preserve">Data about individuals and businesses underpins growth and value in the digital economy. But often those same individuals and businesses cannot easily access and use this data themselves. Under the right conditions, giving people and businesses </w:t>
      </w:r>
      <w:r>
        <w:t>better</w:t>
      </w:r>
      <w:r w:rsidRPr="002B320A">
        <w:t xml:space="preserve"> access </w:t>
      </w:r>
      <w:r>
        <w:t xml:space="preserve">to </w:t>
      </w:r>
      <w:r w:rsidRPr="002B320A">
        <w:t>data</w:t>
      </w:r>
      <w:r>
        <w:t xml:space="preserve"> that relates to them</w:t>
      </w:r>
      <w:r w:rsidRPr="002B320A">
        <w:t xml:space="preserve"> can stimulate competition and allow</w:t>
      </w:r>
      <w:r>
        <w:t xml:space="preserve"> businesses</w:t>
      </w:r>
      <w:r w:rsidRPr="002B320A">
        <w:t xml:space="preserve"> to develop innovative products and services. </w:t>
      </w:r>
      <w:r>
        <w:t>A</w:t>
      </w:r>
      <w:r w:rsidRPr="002B320A">
        <w:t xml:space="preserve"> mature data</w:t>
      </w:r>
      <w:r>
        <w:noBreakHyphen/>
      </w:r>
      <w:r w:rsidRPr="002B320A">
        <w:t xml:space="preserve">sharing regime could add </w:t>
      </w:r>
      <w:r>
        <w:t>up to</w:t>
      </w:r>
      <w:r w:rsidRPr="002B320A">
        <w:t xml:space="preserve"> $10 billion to Australia’s annual economic output. </w:t>
      </w:r>
    </w:p>
    <w:p w14:paraId="22608748" w14:textId="77777777" w:rsidR="002F2532" w:rsidRDefault="002F2532">
      <w:pPr>
        <w:pStyle w:val="BodyText"/>
      </w:pPr>
      <w:r>
        <w:t>E</w:t>
      </w:r>
      <w:r w:rsidRPr="002B320A">
        <w:t xml:space="preserve">xperience shows that we need a flexible approach to facilitating data access across the economy, </w:t>
      </w:r>
      <w:r>
        <w:t xml:space="preserve">where </w:t>
      </w:r>
      <w:r w:rsidRPr="002B320A">
        <w:t xml:space="preserve">obligations placed on </w:t>
      </w:r>
      <w:r w:rsidRPr="002B320A">
        <w:rPr>
          <w:rStyle w:val="BodyTextChar"/>
        </w:rPr>
        <w:t xml:space="preserve">data holders and the level of government involvement </w:t>
      </w:r>
      <w:r>
        <w:t>can match the needs and digital maturity of different sectors</w:t>
      </w:r>
      <w:r w:rsidRPr="002B320A">
        <w:rPr>
          <w:rStyle w:val="BodyTextChar"/>
        </w:rPr>
        <w:t>.</w:t>
      </w:r>
      <w:r w:rsidRPr="002B320A">
        <w:t xml:space="preserve"> </w:t>
      </w:r>
      <w:r>
        <w:t>New lower</w:t>
      </w:r>
      <w:r>
        <w:noBreakHyphen/>
        <w:t xml:space="preserve">cost and flexible regulatory pathways </w:t>
      </w:r>
      <w:r w:rsidRPr="002B320A">
        <w:t xml:space="preserve">would help to guide expanded data access throughout the digital economy, focusing first on sectors where the gains </w:t>
      </w:r>
      <w:r>
        <w:t>can be significant and relatively easy to achieve</w:t>
      </w:r>
      <w:r w:rsidRPr="002B320A">
        <w:t>.</w:t>
      </w:r>
    </w:p>
    <w:p w14:paraId="6C32943E" w14:textId="77777777" w:rsidR="002F2532" w:rsidRPr="0026413A" w:rsidRDefault="002F2532">
      <w:pPr>
        <w:pStyle w:val="BodyText"/>
        <w:rPr>
          <w:spacing w:val="-2"/>
        </w:rPr>
      </w:pPr>
      <w:r w:rsidRPr="0026413A">
        <w:rPr>
          <w:spacing w:val="-2"/>
        </w:rPr>
        <w:t>Financial reports provide essential information about a company’s financial performance, ensuring transparency and accountability while informing the decisions of investors, businesses and regulators. Government can further spark productivity by making digital financial reporting the default – that is, mandatory lodgement of financial reports in machine</w:t>
      </w:r>
      <w:r w:rsidRPr="0026413A">
        <w:rPr>
          <w:spacing w:val="-2"/>
        </w:rPr>
        <w:noBreakHyphen/>
        <w:t xml:space="preserve">readable form. At the same time, the Australian Government should remove the outdated requirement that financial reports be submitted in hard copy or PDF format. This change would increase the efficiency and accuracy with which information is extracted and analysed. </w:t>
      </w:r>
    </w:p>
    <w:p w14:paraId="6B6E0C7A" w14:textId="77777777" w:rsidR="002F2532" w:rsidRDefault="002F2532">
      <w:pPr>
        <w:pStyle w:val="Heading1-nonumber"/>
      </w:pPr>
      <w:bookmarkStart w:id="8" w:name="_Toc204694670"/>
      <w:bookmarkStart w:id="9" w:name="_Toc204694762"/>
      <w:r>
        <w:lastRenderedPageBreak/>
        <w:t>Draft recommendations</w:t>
      </w:r>
      <w:bookmarkEnd w:id="8"/>
      <w:bookmarkEnd w:id="9"/>
    </w:p>
    <w:p w14:paraId="77E18B32" w14:textId="77777777" w:rsidR="002F2532" w:rsidRDefault="002F2532">
      <w:pPr>
        <w:pStyle w:val="Heading2-nonumber"/>
      </w:pPr>
      <w:bookmarkStart w:id="10" w:name="_Toc204692259"/>
      <w:bookmarkStart w:id="11" w:name="_Toc204694671"/>
      <w:bookmarkStart w:id="12" w:name="_Toc204694763"/>
      <w:r>
        <w:t>Artificial intelligence</w:t>
      </w:r>
      <w:bookmarkEnd w:id="10"/>
      <w:bookmarkEnd w:id="11"/>
      <w:bookmarkEnd w:id="12"/>
    </w:p>
    <w:p w14:paraId="22A5E624" w14:textId="5B334919" w:rsidR="002F2532" w:rsidRDefault="002F2532">
      <w:pPr>
        <w:pStyle w:val="BodyText"/>
      </w:pPr>
    </w:p>
    <w:tbl>
      <w:tblPr>
        <w:tblStyle w:val="Texttable-Paleblue"/>
        <w:tblW w:w="5000" w:type="pct"/>
        <w:tblLook w:val="04A0" w:firstRow="1" w:lastRow="0" w:firstColumn="1" w:lastColumn="0" w:noHBand="0" w:noVBand="1"/>
      </w:tblPr>
      <w:tblGrid>
        <w:gridCol w:w="713"/>
        <w:gridCol w:w="8925"/>
      </w:tblGrid>
      <w:tr w:rsidR="002F2532" w14:paraId="5A107E54" w14:textId="77777777">
        <w:trPr>
          <w:tblHeader/>
        </w:trPr>
        <w:tc>
          <w:tcPr>
            <w:tcW w:w="713" w:type="dxa"/>
            <w:shd w:val="clear" w:color="auto" w:fill="E7F6FD"/>
            <w:tcMar>
              <w:top w:w="0" w:type="dxa"/>
              <w:left w:w="113" w:type="dxa"/>
              <w:bottom w:w="0" w:type="dxa"/>
              <w:right w:w="113" w:type="dxa"/>
            </w:tcMar>
            <w:vAlign w:val="center"/>
            <w:hideMark/>
          </w:tcPr>
          <w:p w14:paraId="517AB8FC" w14:textId="77777777" w:rsidR="002F2532" w:rsidRDefault="002F2532">
            <w:pPr>
              <w:keepLines/>
              <w:jc w:val="center"/>
            </w:pPr>
            <w:r>
              <w:rPr>
                <w:noProof/>
              </w:rPr>
              <w:drawing>
                <wp:inline distT="0" distB="0" distL="0" distR="0" wp14:anchorId="7F67B09F" wp14:editId="47EFBF05">
                  <wp:extent cx="284480" cy="284480"/>
                  <wp:effectExtent l="0" t="0" r="1270" b="1270"/>
                  <wp:docPr id="237741671" name="Graphic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39406548" name="Graphic 139406548">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7655" cy="287655"/>
                          </a:xfrm>
                          <a:prstGeom prst="rect">
                            <a:avLst/>
                          </a:prstGeom>
                        </pic:spPr>
                      </pic:pic>
                    </a:graphicData>
                  </a:graphic>
                </wp:inline>
              </w:drawing>
            </w:r>
          </w:p>
        </w:tc>
        <w:tc>
          <w:tcPr>
            <w:tcW w:w="8925" w:type="dxa"/>
            <w:shd w:val="clear" w:color="auto" w:fill="E7F6FD"/>
            <w:tcMar>
              <w:top w:w="0" w:type="dxa"/>
              <w:left w:w="113" w:type="dxa"/>
              <w:bottom w:w="0" w:type="dxa"/>
              <w:right w:w="113" w:type="dxa"/>
            </w:tcMar>
            <w:vAlign w:val="center"/>
            <w:hideMark/>
          </w:tcPr>
          <w:p w14:paraId="6C178771" w14:textId="77777777" w:rsidR="002F2532" w:rsidRPr="00A63299" w:rsidRDefault="002F2532" w:rsidP="00A63299">
            <w:pPr>
              <w:pStyle w:val="TableHeading"/>
              <w:keepLines/>
              <w:spacing w:before="120"/>
              <w:contextualSpacing/>
              <w:rPr>
                <w:sz w:val="20"/>
              </w:rPr>
            </w:pPr>
            <w:r w:rsidRPr="00A63299">
              <w:rPr>
                <w:sz w:val="20"/>
              </w:rPr>
              <w:t>Draft recommendation 1.1</w:t>
            </w:r>
          </w:p>
          <w:p w14:paraId="5DB3E978" w14:textId="77777777" w:rsidR="002F2532" w:rsidRPr="00A63299" w:rsidRDefault="002F2532" w:rsidP="00A63299">
            <w:pPr>
              <w:pStyle w:val="TableHeading"/>
              <w:keepLines/>
              <w:spacing w:before="120"/>
              <w:contextualSpacing/>
              <w:rPr>
                <w:sz w:val="20"/>
              </w:rPr>
            </w:pPr>
            <w:r w:rsidRPr="00A63299">
              <w:rPr>
                <w:sz w:val="20"/>
              </w:rPr>
              <w:t>Productivity growth from AI will be built on existing legal foundations. Gap analyses of current rules need to be expanded and completed.</w:t>
            </w:r>
          </w:p>
        </w:tc>
      </w:tr>
      <w:tr w:rsidR="002F2532" w14:paraId="6E2DF9AA" w14:textId="77777777">
        <w:tc>
          <w:tcPr>
            <w:tcW w:w="9638" w:type="dxa"/>
            <w:gridSpan w:val="2"/>
            <w:shd w:val="clear" w:color="auto" w:fill="E7F6FD"/>
            <w:tcMar>
              <w:top w:w="0" w:type="dxa"/>
              <w:left w:w="113" w:type="dxa"/>
              <w:bottom w:w="113" w:type="dxa"/>
              <w:right w:w="113" w:type="dxa"/>
            </w:tcMar>
            <w:hideMark/>
          </w:tcPr>
          <w:p w14:paraId="45CB3F45" w14:textId="5CC03AEF" w:rsidR="002F2532" w:rsidRDefault="002F2532">
            <w:pPr>
              <w:pStyle w:val="BodyText"/>
            </w:pPr>
            <w:r>
              <w:t xml:space="preserve">Australian </w:t>
            </w:r>
            <w:r w:rsidR="00A47CA2">
              <w:t>g</w:t>
            </w:r>
            <w:r>
              <w:t>overnments play a key role in promoting investment in digital technology, including AI, by providing a stable regulatory environment. Any regulatory responses to potential harms from using AI must be proportionate, risk</w:t>
            </w:r>
            <w:r>
              <w:noBreakHyphen/>
              <w:t>based, outcomes</w:t>
            </w:r>
            <w:r>
              <w:noBreakHyphen/>
              <w:t>based and technology</w:t>
            </w:r>
            <w:r>
              <w:noBreakHyphen/>
              <w:t>neutral where possible.</w:t>
            </w:r>
          </w:p>
          <w:p w14:paraId="21472358" w14:textId="77777777" w:rsidR="002F2532" w:rsidRDefault="002F2532">
            <w:pPr>
              <w:pStyle w:val="BodyText"/>
              <w:keepLines/>
            </w:pPr>
            <w:r>
              <w:t xml:space="preserve">The Australian Government should continue, complete, publish and act on ongoing reviews into the potential gaps in the regulatory framework posed by AI as soon as possible. </w:t>
            </w:r>
          </w:p>
          <w:p w14:paraId="4123A250" w14:textId="77777777" w:rsidR="002F2532" w:rsidRDefault="002F2532">
            <w:pPr>
              <w:pStyle w:val="BodyText"/>
            </w:pPr>
            <w:r>
              <w:t xml:space="preserve">Where relevant gap analyses have not begun, they should begin immediately. </w:t>
            </w:r>
          </w:p>
          <w:p w14:paraId="0F16AB83" w14:textId="77777777" w:rsidR="002F2532" w:rsidRDefault="002F2532">
            <w:pPr>
              <w:pStyle w:val="BodyText"/>
            </w:pPr>
            <w:r>
              <w:t>All reviews of the regulatory gaps posed by AI should consider:</w:t>
            </w:r>
          </w:p>
          <w:p w14:paraId="73BE68E6" w14:textId="77777777" w:rsidR="002F2532" w:rsidRDefault="002F2532" w:rsidP="002F2532">
            <w:pPr>
              <w:pStyle w:val="ListBullet"/>
              <w:numPr>
                <w:ilvl w:val="0"/>
                <w:numId w:val="15"/>
              </w:numPr>
            </w:pPr>
            <w:r>
              <w:t>the uses of AI</w:t>
            </w:r>
          </w:p>
          <w:p w14:paraId="6ACB351D" w14:textId="77777777" w:rsidR="002F2532" w:rsidRDefault="002F2532" w:rsidP="002F2532">
            <w:pPr>
              <w:pStyle w:val="ListBullet"/>
              <w:numPr>
                <w:ilvl w:val="0"/>
                <w:numId w:val="15"/>
              </w:numPr>
            </w:pPr>
            <w:r>
              <w:t xml:space="preserve">the additional risk of harm </w:t>
            </w:r>
            <w:r w:rsidRPr="00CB5F9C">
              <w:t>posed</w:t>
            </w:r>
            <w:r>
              <w:t xml:space="preserve"> by AI (compared to the status quo) in a specific use</w:t>
            </w:r>
            <w:r>
              <w:noBreakHyphen/>
              <w:t xml:space="preserve">case </w:t>
            </w:r>
          </w:p>
          <w:p w14:paraId="10C19997" w14:textId="77777777" w:rsidR="002F2532" w:rsidRDefault="002F2532" w:rsidP="002F2532">
            <w:pPr>
              <w:pStyle w:val="ListBullet"/>
              <w:numPr>
                <w:ilvl w:val="0"/>
                <w:numId w:val="15"/>
              </w:numPr>
            </w:pPr>
            <w:r>
              <w:t xml:space="preserve">whether existing regulatory frameworks cover these risks potentially with improved guidance and enforcement; and if not how to modify existing regulatory frameworks to mitigate the additional risks. </w:t>
            </w:r>
          </w:p>
        </w:tc>
      </w:tr>
      <w:tr w:rsidR="002F2532" w14:paraId="6485ADC6" w14:textId="77777777">
        <w:tc>
          <w:tcPr>
            <w:tcW w:w="9638" w:type="dxa"/>
            <w:gridSpan w:val="2"/>
            <w:shd w:val="clear" w:color="auto" w:fill="auto"/>
            <w:tcMar>
              <w:top w:w="0" w:type="dxa"/>
              <w:left w:w="113" w:type="dxa"/>
              <w:bottom w:w="0" w:type="dxa"/>
              <w:right w:w="113" w:type="dxa"/>
            </w:tcMar>
            <w:hideMark/>
          </w:tcPr>
          <w:p w14:paraId="74CFD75B" w14:textId="59881CB9" w:rsidR="002F2532" w:rsidRDefault="002F2532">
            <w:pPr>
              <w:pStyle w:val="NoSpacing"/>
              <w:spacing w:line="200" w:lineRule="exact"/>
            </w:pPr>
          </w:p>
        </w:tc>
      </w:tr>
    </w:tbl>
    <w:p w14:paraId="77687E89" w14:textId="2A78A8EC" w:rsidR="002F2532" w:rsidRDefault="002F2532" w:rsidP="00E32584">
      <w:pPr>
        <w:pStyle w:val="BodyText"/>
      </w:pPr>
    </w:p>
    <w:tbl>
      <w:tblPr>
        <w:tblStyle w:val="Texttable-Paleblue"/>
        <w:tblW w:w="5000" w:type="pct"/>
        <w:tblLook w:val="04A0" w:firstRow="1" w:lastRow="0" w:firstColumn="1" w:lastColumn="0" w:noHBand="0" w:noVBand="1"/>
      </w:tblPr>
      <w:tblGrid>
        <w:gridCol w:w="713"/>
        <w:gridCol w:w="8925"/>
      </w:tblGrid>
      <w:tr w:rsidR="002F2532" w14:paraId="24BF58A3" w14:textId="77777777">
        <w:trPr>
          <w:tblHeader/>
        </w:trPr>
        <w:tc>
          <w:tcPr>
            <w:tcW w:w="713" w:type="dxa"/>
            <w:shd w:val="clear" w:color="auto" w:fill="E7F6FD"/>
            <w:tcMar>
              <w:top w:w="0" w:type="dxa"/>
              <w:left w:w="113" w:type="dxa"/>
              <w:bottom w:w="0" w:type="dxa"/>
              <w:right w:w="113" w:type="dxa"/>
            </w:tcMar>
            <w:vAlign w:val="center"/>
            <w:hideMark/>
          </w:tcPr>
          <w:p w14:paraId="7ECB4667" w14:textId="77777777" w:rsidR="002F2532" w:rsidRDefault="002F2532">
            <w:pPr>
              <w:keepLines/>
              <w:jc w:val="center"/>
            </w:pPr>
            <w:r>
              <w:rPr>
                <w:noProof/>
              </w:rPr>
              <w:drawing>
                <wp:inline distT="0" distB="0" distL="0" distR="0" wp14:anchorId="537FF503" wp14:editId="6EE757E4">
                  <wp:extent cx="284480" cy="284480"/>
                  <wp:effectExtent l="0" t="0" r="1270" b="1270"/>
                  <wp:docPr id="1077091557" name="Graphic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40605199" name="Graphic 1640605199">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7655" cy="287655"/>
                          </a:xfrm>
                          <a:prstGeom prst="rect">
                            <a:avLst/>
                          </a:prstGeom>
                        </pic:spPr>
                      </pic:pic>
                    </a:graphicData>
                  </a:graphic>
                </wp:inline>
              </w:drawing>
            </w:r>
          </w:p>
        </w:tc>
        <w:tc>
          <w:tcPr>
            <w:tcW w:w="8925" w:type="dxa"/>
            <w:shd w:val="clear" w:color="auto" w:fill="E7F6FD"/>
            <w:tcMar>
              <w:top w:w="0" w:type="dxa"/>
              <w:left w:w="113" w:type="dxa"/>
              <w:bottom w:w="0" w:type="dxa"/>
              <w:right w:w="113" w:type="dxa"/>
            </w:tcMar>
            <w:vAlign w:val="center"/>
            <w:hideMark/>
          </w:tcPr>
          <w:p w14:paraId="5758C857" w14:textId="77777777" w:rsidR="002F2532" w:rsidRPr="00A63299" w:rsidRDefault="002F2532" w:rsidP="00A63299">
            <w:pPr>
              <w:pStyle w:val="TableHeading"/>
              <w:keepLines/>
              <w:spacing w:before="120"/>
              <w:contextualSpacing/>
              <w:rPr>
                <w:sz w:val="20"/>
              </w:rPr>
            </w:pPr>
            <w:r w:rsidRPr="00A63299">
              <w:rPr>
                <w:sz w:val="20"/>
              </w:rPr>
              <w:t>Draft recommendation 1.2</w:t>
            </w:r>
          </w:p>
          <w:p w14:paraId="040A933E" w14:textId="77777777" w:rsidR="002F2532" w:rsidRPr="00A63299" w:rsidRDefault="002F2532" w:rsidP="00A63299">
            <w:pPr>
              <w:pStyle w:val="TableHeading"/>
              <w:keepLines/>
              <w:spacing w:before="120"/>
              <w:contextualSpacing/>
              <w:rPr>
                <w:sz w:val="20"/>
              </w:rPr>
            </w:pPr>
            <w:r w:rsidRPr="00A63299">
              <w:rPr>
                <w:sz w:val="20"/>
              </w:rPr>
              <w:t>AI</w:t>
            </w:r>
            <w:r w:rsidRPr="00A63299">
              <w:rPr>
                <w:sz w:val="20"/>
              </w:rPr>
              <w:noBreakHyphen/>
              <w:t xml:space="preserve">specific regulation should be a last resort </w:t>
            </w:r>
          </w:p>
        </w:tc>
      </w:tr>
      <w:tr w:rsidR="002F2532" w14:paraId="7C8DF3CF" w14:textId="77777777">
        <w:tc>
          <w:tcPr>
            <w:tcW w:w="9638" w:type="dxa"/>
            <w:gridSpan w:val="2"/>
            <w:shd w:val="clear" w:color="auto" w:fill="E7F6FD"/>
            <w:tcMar>
              <w:top w:w="0" w:type="dxa"/>
              <w:left w:w="113" w:type="dxa"/>
              <w:bottom w:w="113" w:type="dxa"/>
              <w:right w:w="113" w:type="dxa"/>
            </w:tcMar>
            <w:hideMark/>
          </w:tcPr>
          <w:p w14:paraId="5BB83802" w14:textId="77777777" w:rsidR="002F2532" w:rsidRDefault="002F2532">
            <w:pPr>
              <w:pStyle w:val="BodyText"/>
            </w:pPr>
            <w:r>
              <w:t>AI</w:t>
            </w:r>
            <w:r>
              <w:noBreakHyphen/>
              <w:t>specific regulations should only be considered as a last resort for the use cases of AI that meet two criteria. These are:</w:t>
            </w:r>
          </w:p>
          <w:p w14:paraId="454999EA" w14:textId="77777777" w:rsidR="002F2532" w:rsidRDefault="002F2532" w:rsidP="002F2532">
            <w:pPr>
              <w:pStyle w:val="ListBullet"/>
              <w:numPr>
                <w:ilvl w:val="0"/>
                <w:numId w:val="15"/>
              </w:numPr>
            </w:pPr>
            <w:r>
              <w:t>where existing regulatory frameworks cannot be sufficiently adapted to handle the issue</w:t>
            </w:r>
          </w:p>
          <w:p w14:paraId="33A28325" w14:textId="77777777" w:rsidR="002F2532" w:rsidRDefault="002F2532" w:rsidP="002F2532">
            <w:pPr>
              <w:pStyle w:val="ListBullet"/>
              <w:numPr>
                <w:ilvl w:val="0"/>
                <w:numId w:val="15"/>
              </w:numPr>
            </w:pPr>
            <w:r>
              <w:t>where technology</w:t>
            </w:r>
            <w:r>
              <w:noBreakHyphen/>
              <w:t xml:space="preserve">neutral regulations are not feasible. </w:t>
            </w:r>
          </w:p>
        </w:tc>
      </w:tr>
      <w:tr w:rsidR="002F2532" w14:paraId="69340BD5" w14:textId="77777777">
        <w:trPr>
          <w:trHeight w:val="68"/>
        </w:trPr>
        <w:tc>
          <w:tcPr>
            <w:tcW w:w="9638" w:type="dxa"/>
            <w:gridSpan w:val="2"/>
            <w:shd w:val="clear" w:color="auto" w:fill="auto"/>
            <w:tcMar>
              <w:top w:w="0" w:type="dxa"/>
              <w:left w:w="113" w:type="dxa"/>
              <w:bottom w:w="0" w:type="dxa"/>
              <w:right w:w="113" w:type="dxa"/>
            </w:tcMar>
            <w:hideMark/>
          </w:tcPr>
          <w:p w14:paraId="6CCF5671" w14:textId="71F52DF6" w:rsidR="002F2532" w:rsidRDefault="002F2532">
            <w:pPr>
              <w:pStyle w:val="NoSpacing"/>
              <w:spacing w:line="200" w:lineRule="exact"/>
            </w:pPr>
          </w:p>
        </w:tc>
      </w:tr>
    </w:tbl>
    <w:p w14:paraId="0CB6E20B" w14:textId="725CCA0F" w:rsidR="002F2532" w:rsidRDefault="002F2532">
      <w:pPr>
        <w:pStyle w:val="NoSpacing"/>
      </w:pPr>
    </w:p>
    <w:p w14:paraId="07DD3DF8" w14:textId="77777777" w:rsidR="00A63299" w:rsidRDefault="00A63299">
      <w:pPr>
        <w:spacing w:before="0" w:after="160" w:line="259" w:lineRule="auto"/>
      </w:pPr>
      <w:r>
        <w:br w:type="page"/>
      </w:r>
    </w:p>
    <w:tbl>
      <w:tblPr>
        <w:tblStyle w:val="Texttable-Paleblue"/>
        <w:tblW w:w="5000" w:type="pct"/>
        <w:tblLook w:val="04A0" w:firstRow="1" w:lastRow="0" w:firstColumn="1" w:lastColumn="0" w:noHBand="0" w:noVBand="1"/>
      </w:tblPr>
      <w:tblGrid>
        <w:gridCol w:w="713"/>
        <w:gridCol w:w="8925"/>
      </w:tblGrid>
      <w:tr w:rsidR="002F2532" w14:paraId="3B8BDD47" w14:textId="77777777">
        <w:trPr>
          <w:tblHeader/>
        </w:trPr>
        <w:tc>
          <w:tcPr>
            <w:tcW w:w="713" w:type="dxa"/>
            <w:shd w:val="clear" w:color="auto" w:fill="E7F6FD"/>
            <w:tcMar>
              <w:top w:w="0" w:type="dxa"/>
              <w:left w:w="113" w:type="dxa"/>
              <w:bottom w:w="0" w:type="dxa"/>
              <w:right w:w="113" w:type="dxa"/>
            </w:tcMar>
            <w:vAlign w:val="center"/>
            <w:hideMark/>
          </w:tcPr>
          <w:p w14:paraId="5F0A768B" w14:textId="77777777" w:rsidR="002F2532" w:rsidRDefault="002F2532">
            <w:pPr>
              <w:keepLines/>
              <w:jc w:val="center"/>
            </w:pPr>
            <w:r>
              <w:rPr>
                <w:noProof/>
              </w:rPr>
              <w:lastRenderedPageBreak/>
              <w:drawing>
                <wp:inline distT="0" distB="0" distL="0" distR="0" wp14:anchorId="3C23C3EF" wp14:editId="43207646">
                  <wp:extent cx="284480" cy="284480"/>
                  <wp:effectExtent l="0" t="0" r="1270" b="1270"/>
                  <wp:docPr id="1010289736"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9189891" name="Graphic 409189891">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7655" cy="287655"/>
                          </a:xfrm>
                          <a:prstGeom prst="rect">
                            <a:avLst/>
                          </a:prstGeom>
                        </pic:spPr>
                      </pic:pic>
                    </a:graphicData>
                  </a:graphic>
                </wp:inline>
              </w:drawing>
            </w:r>
          </w:p>
        </w:tc>
        <w:tc>
          <w:tcPr>
            <w:tcW w:w="8925" w:type="dxa"/>
            <w:shd w:val="clear" w:color="auto" w:fill="E7F6FD"/>
            <w:tcMar>
              <w:top w:w="0" w:type="dxa"/>
              <w:left w:w="113" w:type="dxa"/>
              <w:bottom w:w="0" w:type="dxa"/>
              <w:right w:w="113" w:type="dxa"/>
            </w:tcMar>
            <w:vAlign w:val="center"/>
            <w:hideMark/>
          </w:tcPr>
          <w:p w14:paraId="2F729554" w14:textId="77777777" w:rsidR="002F2532" w:rsidRPr="00A63299" w:rsidRDefault="002F2532" w:rsidP="00622DAF">
            <w:pPr>
              <w:pStyle w:val="TableHeading"/>
              <w:keepLines/>
              <w:contextualSpacing/>
              <w:rPr>
                <w:sz w:val="20"/>
              </w:rPr>
            </w:pPr>
            <w:r w:rsidRPr="00A63299">
              <w:rPr>
                <w:sz w:val="20"/>
              </w:rPr>
              <w:t>Draft recommendation 1.3</w:t>
            </w:r>
          </w:p>
          <w:p w14:paraId="59D78165" w14:textId="77777777" w:rsidR="002F2532" w:rsidRPr="00A63299" w:rsidRDefault="002F2532" w:rsidP="00622DAF">
            <w:pPr>
              <w:pStyle w:val="TableHeading"/>
              <w:keepLines/>
              <w:spacing w:before="120" w:after="0"/>
              <w:contextualSpacing/>
              <w:rPr>
                <w:sz w:val="20"/>
              </w:rPr>
            </w:pPr>
            <w:r w:rsidRPr="00A63299">
              <w:rPr>
                <w:sz w:val="20"/>
              </w:rPr>
              <w:t>Pause steps to implement mandatory guardrails for high</w:t>
            </w:r>
            <w:r w:rsidRPr="00A63299">
              <w:rPr>
                <w:sz w:val="20"/>
              </w:rPr>
              <w:noBreakHyphen/>
              <w:t>risk AI</w:t>
            </w:r>
          </w:p>
        </w:tc>
      </w:tr>
      <w:tr w:rsidR="002F2532" w14:paraId="54746F30" w14:textId="77777777">
        <w:tc>
          <w:tcPr>
            <w:tcW w:w="9638" w:type="dxa"/>
            <w:gridSpan w:val="2"/>
            <w:shd w:val="clear" w:color="auto" w:fill="E7F6FD"/>
            <w:tcMar>
              <w:top w:w="0" w:type="dxa"/>
              <w:left w:w="113" w:type="dxa"/>
              <w:bottom w:w="113" w:type="dxa"/>
              <w:right w:w="113" w:type="dxa"/>
            </w:tcMar>
            <w:hideMark/>
          </w:tcPr>
          <w:p w14:paraId="7FB4C19C" w14:textId="77777777" w:rsidR="002F2532" w:rsidRDefault="002F2532">
            <w:pPr>
              <w:pStyle w:val="BodyText"/>
              <w:keepLines/>
            </w:pPr>
            <w:r>
              <w:t>The Australian Government should only apply the proposed ‘mandatory guardrails for high</w:t>
            </w:r>
            <w:r>
              <w:noBreakHyphen/>
              <w:t>risk AI’ in circumstances that lead to harms that cannot be mitigated by existing regulatory frameworks and where new technology</w:t>
            </w:r>
            <w:r>
              <w:noBreakHyphen/>
              <w:t xml:space="preserve">neutral regulation is not possible. Until the reviews of the gaps posed by AI to existing regulatory structures are completed, steps to mandate the guardrails should be paused. </w:t>
            </w:r>
          </w:p>
        </w:tc>
      </w:tr>
      <w:tr w:rsidR="002F2532" w14:paraId="02738F0E" w14:textId="77777777">
        <w:trPr>
          <w:trHeight w:val="68"/>
        </w:trPr>
        <w:tc>
          <w:tcPr>
            <w:tcW w:w="9638" w:type="dxa"/>
            <w:gridSpan w:val="2"/>
            <w:shd w:val="clear" w:color="auto" w:fill="auto"/>
            <w:tcMar>
              <w:top w:w="0" w:type="dxa"/>
              <w:left w:w="113" w:type="dxa"/>
              <w:bottom w:w="0" w:type="dxa"/>
              <w:right w:w="113" w:type="dxa"/>
            </w:tcMar>
            <w:hideMark/>
          </w:tcPr>
          <w:p w14:paraId="11DA6579" w14:textId="6CC091B0" w:rsidR="002F2532" w:rsidRDefault="002F2532">
            <w:pPr>
              <w:pStyle w:val="NoSpacing"/>
              <w:spacing w:line="200" w:lineRule="exact"/>
            </w:pPr>
          </w:p>
        </w:tc>
      </w:tr>
    </w:tbl>
    <w:p w14:paraId="2643B320" w14:textId="77777777" w:rsidR="002F2532" w:rsidRDefault="002F2532">
      <w:pPr>
        <w:pStyle w:val="Heading2-nonumber"/>
      </w:pPr>
      <w:bookmarkStart w:id="13" w:name="_Toc204692260"/>
      <w:bookmarkStart w:id="14" w:name="_Toc204694672"/>
      <w:bookmarkStart w:id="15" w:name="_Toc204694764"/>
      <w:r>
        <w:t>Data access</w:t>
      </w:r>
      <w:bookmarkEnd w:id="13"/>
      <w:bookmarkEnd w:id="14"/>
      <w:bookmarkEnd w:id="15"/>
    </w:p>
    <w:p w14:paraId="0E3B9E75" w14:textId="0E74691A" w:rsidR="002F2532" w:rsidRDefault="002F2532">
      <w:pPr>
        <w:pStyle w:val="BodyText"/>
      </w:pPr>
    </w:p>
    <w:tbl>
      <w:tblPr>
        <w:tblStyle w:val="Texttable-Paleblue"/>
        <w:tblW w:w="5000" w:type="pct"/>
        <w:tblLook w:val="04A0" w:firstRow="1" w:lastRow="0" w:firstColumn="1" w:lastColumn="0" w:noHBand="0" w:noVBand="1"/>
      </w:tblPr>
      <w:tblGrid>
        <w:gridCol w:w="713"/>
        <w:gridCol w:w="8925"/>
      </w:tblGrid>
      <w:tr w:rsidR="002F2532" w:rsidDel="00242559" w14:paraId="50D6D919" w14:textId="77777777">
        <w:trPr>
          <w:tblHeader/>
        </w:trPr>
        <w:tc>
          <w:tcPr>
            <w:tcW w:w="709" w:type="dxa"/>
            <w:shd w:val="clear" w:color="auto" w:fill="E7F6FD"/>
            <w:tcMar>
              <w:top w:w="0" w:type="dxa"/>
              <w:bottom w:w="0" w:type="dxa"/>
            </w:tcMar>
            <w:vAlign w:val="center"/>
          </w:tcPr>
          <w:p w14:paraId="203AB217" w14:textId="77777777" w:rsidR="002F2532" w:rsidDel="00242559" w:rsidRDefault="002F2532">
            <w:pPr>
              <w:keepLines/>
              <w:jc w:val="center"/>
            </w:pPr>
            <w:r w:rsidRPr="00A51374" w:rsidDel="00242559">
              <w:rPr>
                <w:noProof/>
              </w:rPr>
              <w:drawing>
                <wp:inline distT="0" distB="0" distL="0" distR="0" wp14:anchorId="4F663C16" wp14:editId="201BFDF9">
                  <wp:extent cx="288000" cy="288000"/>
                  <wp:effectExtent l="0" t="0" r="0" b="0"/>
                  <wp:docPr id="795765720" name="Graphic 795765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06CEF00E" w14:textId="43386D96" w:rsidR="002F2532" w:rsidRPr="00A15874" w:rsidDel="00242559" w:rsidRDefault="0084625C" w:rsidP="00622DAF">
            <w:pPr>
              <w:pStyle w:val="TableHeading"/>
              <w:keepLines/>
              <w:spacing w:before="120"/>
              <w:contextualSpacing/>
              <w:rPr>
                <w:sz w:val="20"/>
              </w:rPr>
            </w:pPr>
            <w:r>
              <w:rPr>
                <w:sz w:val="20"/>
              </w:rPr>
              <w:t>Draft r</w:t>
            </w:r>
            <w:r w:rsidR="002F2532" w:rsidRPr="00A15874" w:rsidDel="00242559">
              <w:rPr>
                <w:sz w:val="20"/>
              </w:rPr>
              <w:t xml:space="preserve">ecommendation </w:t>
            </w:r>
            <w:r w:rsidR="00553A68">
              <w:rPr>
                <w:sz w:val="20"/>
              </w:rPr>
              <w:t>2</w:t>
            </w:r>
            <w:r w:rsidR="002F2532" w:rsidRPr="00A15874" w:rsidDel="00242559">
              <w:rPr>
                <w:sz w:val="20"/>
              </w:rPr>
              <w:t>.</w:t>
            </w:r>
            <w:r w:rsidR="002F2532" w:rsidRPr="00A15874" w:rsidDel="00242559">
              <w:rPr>
                <w:sz w:val="20"/>
              </w:rPr>
              <w:fldChar w:fldCharType="begin"/>
            </w:r>
            <w:r w:rsidR="002F2532" w:rsidRPr="00A15874" w:rsidDel="00242559">
              <w:rPr>
                <w:sz w:val="20"/>
              </w:rPr>
              <w:instrText xml:space="preserve"> SEQ Recommendation \* ARABIC \s 1 </w:instrText>
            </w:r>
            <w:r w:rsidR="002F2532" w:rsidRPr="00A15874" w:rsidDel="00242559">
              <w:rPr>
                <w:sz w:val="20"/>
              </w:rPr>
              <w:fldChar w:fldCharType="separate"/>
            </w:r>
            <w:r w:rsidR="00DC0C98">
              <w:rPr>
                <w:noProof/>
                <w:sz w:val="20"/>
              </w:rPr>
              <w:t>1</w:t>
            </w:r>
            <w:r w:rsidR="002F2532" w:rsidRPr="00A15874" w:rsidDel="00242559">
              <w:rPr>
                <w:sz w:val="20"/>
              </w:rPr>
              <w:fldChar w:fldCharType="end"/>
            </w:r>
          </w:p>
          <w:p w14:paraId="4BDBF871" w14:textId="77777777" w:rsidR="002F2532" w:rsidRPr="00A15874" w:rsidDel="00242559" w:rsidRDefault="002F2532" w:rsidP="00622DAF">
            <w:pPr>
              <w:pStyle w:val="TableHeading"/>
              <w:keepLines/>
              <w:spacing w:before="120"/>
              <w:contextualSpacing/>
              <w:rPr>
                <w:sz w:val="20"/>
              </w:rPr>
            </w:pPr>
            <w:r w:rsidRPr="00A15874" w:rsidDel="00242559">
              <w:rPr>
                <w:sz w:val="20"/>
              </w:rPr>
              <w:t>Establish lower</w:t>
            </w:r>
            <w:r w:rsidRPr="00A15874" w:rsidDel="00242559">
              <w:rPr>
                <w:sz w:val="20"/>
              </w:rPr>
              <w:noBreakHyphen/>
              <w:t>cost and more flexible regulatory pathways to expand basic data access for individuals and businesses</w:t>
            </w:r>
          </w:p>
        </w:tc>
      </w:tr>
      <w:tr w:rsidR="002F2532" w:rsidDel="00242559" w14:paraId="5B280EB2" w14:textId="77777777">
        <w:tc>
          <w:tcPr>
            <w:tcW w:w="9583" w:type="dxa"/>
            <w:gridSpan w:val="2"/>
            <w:shd w:val="clear" w:color="auto" w:fill="E7F6FD"/>
            <w:tcMar>
              <w:top w:w="0" w:type="dxa"/>
            </w:tcMar>
          </w:tcPr>
          <w:p w14:paraId="5D5369F3" w14:textId="77777777" w:rsidR="002F2532" w:rsidRPr="00927195" w:rsidDel="00242559" w:rsidRDefault="002F2532">
            <w:pPr>
              <w:pStyle w:val="BodyText"/>
              <w:keepLines/>
            </w:pPr>
            <w:r w:rsidRPr="00705A27">
              <w:t>The Australian Government should support new pathways to allow individuals and businesses to access and share data that relates to them. These regulatory pathways will differ by sector recognising that the benefits (and the implementation costs) from data access and sharing are different by sector.</w:t>
            </w:r>
            <w:r>
              <w:t xml:space="preserve"> </w:t>
            </w:r>
            <w:r w:rsidRPr="00927195" w:rsidDel="00242559">
              <w:t>This could include approaches such as:</w:t>
            </w:r>
          </w:p>
          <w:p w14:paraId="64146F42" w14:textId="3BE5CBE2" w:rsidR="002F2532" w:rsidRPr="002C1E77" w:rsidDel="00242559" w:rsidRDefault="005D0929" w:rsidP="002F2532">
            <w:pPr>
              <w:pStyle w:val="ListBullet"/>
              <w:numPr>
                <w:ilvl w:val="0"/>
                <w:numId w:val="15"/>
              </w:numPr>
            </w:pPr>
            <w:r>
              <w:rPr>
                <w:b/>
                <w:bCs/>
              </w:rPr>
              <w:t>i</w:t>
            </w:r>
            <w:r w:rsidR="002F2532" w:rsidRPr="00D8669A">
              <w:rPr>
                <w:b/>
                <w:bCs/>
              </w:rPr>
              <w:t>ndustry</w:t>
            </w:r>
            <w:r w:rsidR="002F2532" w:rsidDel="00242559">
              <w:rPr>
                <w:b/>
                <w:bCs/>
              </w:rPr>
              <w:noBreakHyphen/>
            </w:r>
            <w:r w:rsidR="002F2532" w:rsidRPr="00D8669A" w:rsidDel="00242559">
              <w:rPr>
                <w:b/>
                <w:bCs/>
              </w:rPr>
              <w:t xml:space="preserve">led </w:t>
            </w:r>
            <w:r w:rsidR="002F2532" w:rsidDel="00242559">
              <w:rPr>
                <w:b/>
                <w:bCs/>
              </w:rPr>
              <w:t xml:space="preserve">data </w:t>
            </w:r>
            <w:r w:rsidR="002F2532" w:rsidRPr="00D8669A" w:rsidDel="00242559">
              <w:rPr>
                <w:b/>
                <w:bCs/>
              </w:rPr>
              <w:t>access</w:t>
            </w:r>
            <w:r w:rsidR="002F2532" w:rsidRPr="002C1E77" w:rsidDel="00242559">
              <w:t xml:space="preserve"> </w:t>
            </w:r>
            <w:r w:rsidR="002F2532" w:rsidRPr="00927195" w:rsidDel="00242559">
              <w:rPr>
                <w:b/>
                <w:bCs/>
              </w:rPr>
              <w:t>codes</w:t>
            </w:r>
            <w:r w:rsidR="002F2532" w:rsidDel="00242559">
              <w:t xml:space="preserve"> that support basic use cases by enabling consumers to export </w:t>
            </w:r>
            <w:r w:rsidR="002F2532" w:rsidRPr="002C1E77" w:rsidDel="00242559">
              <w:t>relatively non</w:t>
            </w:r>
            <w:r w:rsidR="002F2532" w:rsidDel="00242559">
              <w:noBreakHyphen/>
            </w:r>
            <w:r w:rsidR="002F2532" w:rsidRPr="002C1E77" w:rsidDel="00242559">
              <w:t xml:space="preserve">sensitive data on a periodic </w:t>
            </w:r>
            <w:r w:rsidR="002F2532" w:rsidDel="00242559">
              <w:t>(</w:t>
            </w:r>
            <w:r w:rsidR="002F2532" w:rsidRPr="002C1E77" w:rsidDel="00242559">
              <w:t>snapshot</w:t>
            </w:r>
            <w:r w:rsidR="002F2532" w:rsidDel="00242559">
              <w:t>)</w:t>
            </w:r>
            <w:r w:rsidR="002F2532" w:rsidRPr="002C1E77" w:rsidDel="00242559">
              <w:t xml:space="preserve"> basis </w:t>
            </w:r>
          </w:p>
          <w:p w14:paraId="7EFD2AF6" w14:textId="5089F9D2" w:rsidR="002F2532" w:rsidRPr="002C1E77" w:rsidDel="00242559" w:rsidRDefault="005D0929" w:rsidP="002F2532">
            <w:pPr>
              <w:pStyle w:val="ListBullet"/>
              <w:numPr>
                <w:ilvl w:val="0"/>
                <w:numId w:val="15"/>
              </w:numPr>
            </w:pPr>
            <w:r>
              <w:rPr>
                <w:b/>
                <w:bCs/>
              </w:rPr>
              <w:t>s</w:t>
            </w:r>
            <w:r w:rsidR="002F2532" w:rsidRPr="00F00025">
              <w:rPr>
                <w:b/>
                <w:bCs/>
              </w:rPr>
              <w:t>tandardised</w:t>
            </w:r>
            <w:r w:rsidR="002F2532" w:rsidRPr="00F00025" w:rsidDel="00A56F3E">
              <w:rPr>
                <w:b/>
                <w:bCs/>
              </w:rPr>
              <w:t xml:space="preserve"> </w:t>
            </w:r>
            <w:r w:rsidR="002F2532" w:rsidRPr="00F00025" w:rsidDel="00242559">
              <w:rPr>
                <w:b/>
                <w:bCs/>
              </w:rPr>
              <w:t>data transfers</w:t>
            </w:r>
            <w:r w:rsidR="002F2532" w:rsidRPr="002C1E77" w:rsidDel="00242559">
              <w:t xml:space="preserve"> with government helping to formalise minimum technical standards to support use cases requiring high</w:t>
            </w:r>
            <w:r w:rsidR="002F2532" w:rsidDel="00242559">
              <w:noBreakHyphen/>
            </w:r>
            <w:r w:rsidR="002F2532" w:rsidRPr="002C1E77" w:rsidDel="00242559">
              <w:t xml:space="preserve">frequency data </w:t>
            </w:r>
            <w:r w:rsidR="002F2532" w:rsidDel="00242559">
              <w:t xml:space="preserve">transfers </w:t>
            </w:r>
            <w:r w:rsidR="002F2532" w:rsidRPr="002C1E77" w:rsidDel="00242559">
              <w:t>and interoperability</w:t>
            </w:r>
            <w:r w:rsidR="002F2532" w:rsidDel="00242559">
              <w:t>.</w:t>
            </w:r>
          </w:p>
          <w:p w14:paraId="51662676" w14:textId="77777777" w:rsidR="002F2532" w:rsidDel="00242559" w:rsidRDefault="002F2532">
            <w:pPr>
              <w:pStyle w:val="BodyText"/>
              <w:keepLines/>
              <w:rPr>
                <w:color w:val="000000" w:themeColor="text1"/>
              </w:rPr>
            </w:pPr>
            <w:r w:rsidDel="00242559">
              <w:rPr>
                <w:color w:val="000000" w:themeColor="text1"/>
              </w:rPr>
              <w:t>These pathways should be developed alongside efforts that are already underway to improve the Consumer Data Right (which will continue to provide for use cases that warrant its additional safeguards and technical infrastructure) and the My Health Record system.</w:t>
            </w:r>
          </w:p>
          <w:p w14:paraId="56DE69E3" w14:textId="77777777" w:rsidR="002F2532" w:rsidDel="00242559" w:rsidRDefault="002F2532">
            <w:pPr>
              <w:pStyle w:val="BodyText"/>
              <w:keepLines/>
            </w:pPr>
            <w:r w:rsidDel="00242559">
              <w:rPr>
                <w:color w:val="000000" w:themeColor="text1"/>
              </w:rPr>
              <w:t>The new p</w:t>
            </w:r>
            <w:r w:rsidRPr="002466A5" w:rsidDel="00242559">
              <w:rPr>
                <w:color w:val="000000" w:themeColor="text1"/>
              </w:rPr>
              <w:t xml:space="preserve">athways </w:t>
            </w:r>
            <w:r w:rsidDel="00242559">
              <w:rPr>
                <w:color w:val="000000" w:themeColor="text1"/>
              </w:rPr>
              <w:t xml:space="preserve">should begin in sectors where better </w:t>
            </w:r>
            <w:r w:rsidDel="00242559">
              <w:t>data access could generate large</w:t>
            </w:r>
            <w:r w:rsidRPr="00AF300F" w:rsidDel="00242559">
              <w:t xml:space="preserve"> benefit</w:t>
            </w:r>
            <w:r w:rsidDel="00242559">
              <w:t>s</w:t>
            </w:r>
            <w:r w:rsidRPr="00AF300F" w:rsidDel="00242559">
              <w:t xml:space="preserve"> </w:t>
            </w:r>
            <w:r w:rsidDel="00242559">
              <w:t xml:space="preserve">for </w:t>
            </w:r>
            <w:r w:rsidRPr="00AF300F" w:rsidDel="00242559">
              <w:t xml:space="preserve">relatively low cost; and </w:t>
            </w:r>
            <w:r w:rsidRPr="002466A5" w:rsidDel="00242559">
              <w:t>there is clear value to consumers.</w:t>
            </w:r>
            <w:r w:rsidDel="00242559">
              <w:t xml:space="preserve"> Potential examples include:</w:t>
            </w:r>
          </w:p>
          <w:p w14:paraId="2D910E52" w14:textId="77777777" w:rsidR="002F2532" w:rsidDel="00242559" w:rsidRDefault="002F2532" w:rsidP="002F2532">
            <w:pPr>
              <w:pStyle w:val="ListBullet"/>
              <w:numPr>
                <w:ilvl w:val="0"/>
                <w:numId w:val="15"/>
              </w:numPr>
            </w:pPr>
            <w:r w:rsidDel="00242559">
              <w:t>enabling farmers to combine real</w:t>
            </w:r>
            <w:r w:rsidDel="00242559">
              <w:noBreakHyphen/>
              <w:t xml:space="preserve">time data feeds from their machinery and equipment to optimise their operations and easily switch between different manufacturers </w:t>
            </w:r>
          </w:p>
          <w:p w14:paraId="30DF2600" w14:textId="77777777" w:rsidR="002F2532" w:rsidDel="00242559" w:rsidRDefault="002F2532" w:rsidP="002F2532">
            <w:pPr>
              <w:pStyle w:val="ListBullet"/>
              <w:numPr>
                <w:ilvl w:val="0"/>
                <w:numId w:val="15"/>
              </w:numPr>
            </w:pPr>
            <w:r w:rsidDel="00242559">
              <w:t xml:space="preserve">giving </w:t>
            </w:r>
            <w:r w:rsidRPr="00003E83" w:rsidDel="00242559">
              <w:t xml:space="preserve">tenants </w:t>
            </w:r>
            <w:r w:rsidDel="00242559">
              <w:t>on</w:t>
            </w:r>
            <w:r w:rsidDel="00242559">
              <w:noBreakHyphen/>
              <w:t>demand access to their rental ledgers</w:t>
            </w:r>
            <w:r w:rsidRPr="00003E83" w:rsidDel="00242559">
              <w:t xml:space="preserve"> </w:t>
            </w:r>
            <w:r w:rsidDel="00242559">
              <w:t xml:space="preserve">which they can share to </w:t>
            </w:r>
            <w:r w:rsidRPr="00003E83" w:rsidDel="00242559">
              <w:t>prove on</w:t>
            </w:r>
            <w:r w:rsidRPr="00003E83" w:rsidDel="00242559">
              <w:rPr>
                <w:rFonts w:ascii="Cambria Math" w:hAnsi="Cambria Math" w:cs="Cambria Math"/>
              </w:rPr>
              <w:t>‑</w:t>
            </w:r>
            <w:r w:rsidRPr="00003E83" w:rsidDel="00242559">
              <w:t xml:space="preserve">time payments to new landlords or lenders </w:t>
            </w:r>
          </w:p>
          <w:p w14:paraId="7BC1890A" w14:textId="77777777" w:rsidR="002F2532" w:rsidRPr="002466A5" w:rsidDel="00242559" w:rsidRDefault="002F2532" w:rsidP="002F2532">
            <w:pPr>
              <w:pStyle w:val="ListBullet"/>
              <w:numPr>
                <w:ilvl w:val="0"/>
                <w:numId w:val="15"/>
              </w:numPr>
            </w:pPr>
            <w:r w:rsidDel="00242559">
              <w:t xml:space="preserve">allowing retail loyalty card holders to </w:t>
            </w:r>
            <w:r w:rsidRPr="009D1F85" w:rsidDel="00242559">
              <w:t>export an itemised</w:t>
            </w:r>
            <w:r w:rsidDel="00242559">
              <w:t xml:space="preserve"> copy of their</w:t>
            </w:r>
            <w:r w:rsidRPr="009D1F85" w:rsidDel="00242559">
              <w:t xml:space="preserve"> purchase history </w:t>
            </w:r>
            <w:r w:rsidDel="00242559">
              <w:t xml:space="preserve">to </w:t>
            </w:r>
            <w:r w:rsidRPr="009D1F85" w:rsidDel="00242559">
              <w:t xml:space="preserve">budgeting </w:t>
            </w:r>
            <w:r w:rsidDel="00242559">
              <w:t xml:space="preserve">and price comparison </w:t>
            </w:r>
            <w:r w:rsidRPr="009D1F85" w:rsidDel="00242559">
              <w:t xml:space="preserve">tools </w:t>
            </w:r>
            <w:r w:rsidDel="00242559">
              <w:t xml:space="preserve">that can </w:t>
            </w:r>
            <w:r w:rsidRPr="009D1F85" w:rsidDel="00242559">
              <w:t>analyse spending and suggest cheaper alternatives</w:t>
            </w:r>
            <w:r w:rsidDel="00242559">
              <w:t>.</w:t>
            </w:r>
          </w:p>
          <w:p w14:paraId="4AB349EE" w14:textId="77777777" w:rsidR="002F2532" w:rsidRPr="00E50EF2" w:rsidDel="00242559" w:rsidRDefault="002F2532">
            <w:pPr>
              <w:pStyle w:val="BodyText"/>
              <w:keepLines/>
              <w:rPr>
                <w:color w:val="000000" w:themeColor="text1"/>
              </w:rPr>
            </w:pPr>
            <w:r w:rsidRPr="00AF300F" w:rsidDel="00242559">
              <w:rPr>
                <w:color w:val="000000" w:themeColor="text1"/>
              </w:rPr>
              <w:t>The scope of the data access pathways should expand over time based on industry and consumer consultation, where new technology, overseas experience or domestic developments show that there are clear net benefits to Australia</w:t>
            </w:r>
            <w:r w:rsidDel="00242559">
              <w:rPr>
                <w:color w:val="000000" w:themeColor="text1"/>
              </w:rPr>
              <w:t>.</w:t>
            </w:r>
          </w:p>
        </w:tc>
      </w:tr>
      <w:tr w:rsidR="002F2532" w:rsidDel="00242559" w14:paraId="6C627B75" w14:textId="77777777">
        <w:tc>
          <w:tcPr>
            <w:tcW w:w="9583" w:type="dxa"/>
            <w:gridSpan w:val="2"/>
            <w:shd w:val="clear" w:color="auto" w:fill="auto"/>
            <w:tcMar>
              <w:top w:w="0" w:type="dxa"/>
              <w:bottom w:w="0" w:type="dxa"/>
            </w:tcMar>
          </w:tcPr>
          <w:p w14:paraId="2AC89756" w14:textId="22F0D454" w:rsidR="002F2532" w:rsidRPr="007E0EA8" w:rsidDel="00242559" w:rsidRDefault="002F2532">
            <w:pPr>
              <w:pStyle w:val="NoSpacing"/>
              <w:spacing w:line="200" w:lineRule="exact"/>
            </w:pPr>
          </w:p>
        </w:tc>
      </w:tr>
    </w:tbl>
    <w:p w14:paraId="192720B5" w14:textId="77777777" w:rsidR="002F2532" w:rsidRDefault="002F2532">
      <w:pPr>
        <w:spacing w:before="0" w:after="160" w:line="259" w:lineRule="auto"/>
        <w:rPr>
          <w:rFonts w:asciiTheme="majorHAnsi" w:eastAsiaTheme="majorEastAsia" w:hAnsiTheme="majorHAnsi" w:cstheme="majorBidi"/>
          <w:sz w:val="30"/>
          <w:szCs w:val="60"/>
        </w:rPr>
      </w:pPr>
      <w:r>
        <w:br w:type="page"/>
      </w:r>
    </w:p>
    <w:p w14:paraId="0D1E7422" w14:textId="77777777" w:rsidR="002F2532" w:rsidRDefault="002F2532">
      <w:pPr>
        <w:pStyle w:val="Heading2-nonumber"/>
      </w:pPr>
      <w:bookmarkStart w:id="16" w:name="_Toc204692261"/>
      <w:bookmarkStart w:id="17" w:name="_Toc204694673"/>
      <w:bookmarkStart w:id="18" w:name="_Toc204694765"/>
      <w:r>
        <w:lastRenderedPageBreak/>
        <w:t>Privacy regulation</w:t>
      </w:r>
      <w:bookmarkEnd w:id="16"/>
      <w:bookmarkEnd w:id="17"/>
      <w:bookmarkEnd w:id="18"/>
    </w:p>
    <w:p w14:paraId="6459EE8D" w14:textId="1C62947B" w:rsidR="002F2532" w:rsidRDefault="002F2532">
      <w:pPr>
        <w:pStyle w:val="BodyText"/>
      </w:pPr>
    </w:p>
    <w:tbl>
      <w:tblPr>
        <w:tblStyle w:val="Texttable-Paleblue"/>
        <w:tblW w:w="5000" w:type="pct"/>
        <w:tblLook w:val="04A0" w:firstRow="1" w:lastRow="0" w:firstColumn="1" w:lastColumn="0" w:noHBand="0" w:noVBand="1"/>
      </w:tblPr>
      <w:tblGrid>
        <w:gridCol w:w="713"/>
        <w:gridCol w:w="8925"/>
      </w:tblGrid>
      <w:tr w:rsidR="002F2532" w14:paraId="11111982" w14:textId="77777777">
        <w:trPr>
          <w:tblHeader/>
        </w:trPr>
        <w:tc>
          <w:tcPr>
            <w:tcW w:w="713" w:type="dxa"/>
            <w:shd w:val="clear" w:color="auto" w:fill="E7F6FD"/>
            <w:tcMar>
              <w:top w:w="0" w:type="dxa"/>
              <w:bottom w:w="0" w:type="dxa"/>
            </w:tcMar>
            <w:vAlign w:val="center"/>
          </w:tcPr>
          <w:p w14:paraId="69218BE2" w14:textId="77777777" w:rsidR="002F2532" w:rsidRDefault="002F2532">
            <w:pPr>
              <w:keepLines/>
              <w:jc w:val="center"/>
            </w:pPr>
            <w:r w:rsidRPr="00A51374">
              <w:rPr>
                <w:noProof/>
              </w:rPr>
              <w:drawing>
                <wp:inline distT="0" distB="0" distL="0" distR="0" wp14:anchorId="6CEAF519" wp14:editId="0CC9B067">
                  <wp:extent cx="288000" cy="288000"/>
                  <wp:effectExtent l="0" t="0" r="0" b="0"/>
                  <wp:docPr id="1885964002" name="Graphic 18859640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47005630" w14:textId="774C7025" w:rsidR="002F2532" w:rsidRPr="00A15874" w:rsidRDefault="002F2532" w:rsidP="006F40C9">
            <w:pPr>
              <w:pStyle w:val="TableHeading"/>
              <w:keepNext/>
              <w:keepLines/>
              <w:spacing w:before="120"/>
              <w:contextualSpacing/>
              <w:rPr>
                <w:sz w:val="20"/>
              </w:rPr>
            </w:pPr>
            <w:r w:rsidRPr="00A15874">
              <w:rPr>
                <w:sz w:val="20"/>
              </w:rPr>
              <w:t>Draft recommendation 3.1</w:t>
            </w:r>
          </w:p>
          <w:p w14:paraId="72F7374A" w14:textId="77777777" w:rsidR="002F2532" w:rsidRPr="00A15874" w:rsidRDefault="002F2532" w:rsidP="006F40C9">
            <w:pPr>
              <w:pStyle w:val="TableHeading"/>
              <w:keepNext/>
              <w:keepLines/>
              <w:spacing w:before="120"/>
              <w:contextualSpacing/>
              <w:rPr>
                <w:sz w:val="20"/>
              </w:rPr>
            </w:pPr>
            <w:r w:rsidRPr="00A15874">
              <w:rPr>
                <w:sz w:val="20"/>
              </w:rPr>
              <w:t>An alternative compliance pathway for privacy</w:t>
            </w:r>
          </w:p>
        </w:tc>
      </w:tr>
      <w:tr w:rsidR="002F2532" w14:paraId="6840B110" w14:textId="77777777">
        <w:tc>
          <w:tcPr>
            <w:tcW w:w="9638" w:type="dxa"/>
            <w:gridSpan w:val="2"/>
            <w:shd w:val="clear" w:color="auto" w:fill="E7F6FD"/>
            <w:tcMar>
              <w:top w:w="0" w:type="dxa"/>
            </w:tcMar>
          </w:tcPr>
          <w:p w14:paraId="580C3B02" w14:textId="77777777" w:rsidR="002F2532" w:rsidRPr="00E7517E" w:rsidRDefault="002F2532">
            <w:pPr>
              <w:pStyle w:val="BodyText"/>
            </w:pPr>
            <w:r w:rsidRPr="00530349">
              <w:t>The Australian Government should</w:t>
            </w:r>
            <w:r>
              <w:t xml:space="preserve"> amend the </w:t>
            </w:r>
            <w:r w:rsidRPr="00D1431C">
              <w:rPr>
                <w:i/>
                <w:iCs/>
              </w:rPr>
              <w:t>Privacy Act 1988</w:t>
            </w:r>
            <w:r>
              <w:t xml:space="preserve"> (</w:t>
            </w:r>
            <w:proofErr w:type="spellStart"/>
            <w:r>
              <w:t>Cth</w:t>
            </w:r>
            <w:proofErr w:type="spellEnd"/>
            <w:r>
              <w:t>) to provide an alternative compliance pathway that enables regulated entities to fulfil their privacy obligations by meeting criteria that are targeted at outcomes, rather than controls</w:t>
            </w:r>
            <w:r>
              <w:noBreakHyphen/>
              <w:t xml:space="preserve">based rules. </w:t>
            </w:r>
          </w:p>
        </w:tc>
      </w:tr>
      <w:tr w:rsidR="002F2532" w14:paraId="6216D698" w14:textId="77777777">
        <w:tc>
          <w:tcPr>
            <w:tcW w:w="9638" w:type="dxa"/>
            <w:gridSpan w:val="2"/>
            <w:shd w:val="clear" w:color="auto" w:fill="auto"/>
            <w:tcMar>
              <w:top w:w="0" w:type="dxa"/>
              <w:bottom w:w="0" w:type="dxa"/>
            </w:tcMar>
          </w:tcPr>
          <w:p w14:paraId="14D59DE3" w14:textId="0CE6FDD7" w:rsidR="002F2532" w:rsidRPr="007E0EA8" w:rsidRDefault="002F2532">
            <w:pPr>
              <w:pStyle w:val="NoSpacing"/>
              <w:spacing w:line="200" w:lineRule="exact"/>
            </w:pPr>
            <w:bookmarkStart w:id="19" w:name="_Hlk204243592"/>
          </w:p>
        </w:tc>
      </w:tr>
      <w:bookmarkEnd w:id="19"/>
    </w:tbl>
    <w:p w14:paraId="213369DA" w14:textId="76C6E935" w:rsidR="002F2532" w:rsidRDefault="002F2532" w:rsidP="00027754">
      <w:pPr>
        <w:pStyle w:val="BodyText"/>
      </w:pPr>
    </w:p>
    <w:tbl>
      <w:tblPr>
        <w:tblStyle w:val="Texttable-Paleblue"/>
        <w:tblW w:w="5000" w:type="pct"/>
        <w:tblLook w:val="04A0" w:firstRow="1" w:lastRow="0" w:firstColumn="1" w:lastColumn="0" w:noHBand="0" w:noVBand="1"/>
      </w:tblPr>
      <w:tblGrid>
        <w:gridCol w:w="713"/>
        <w:gridCol w:w="8925"/>
      </w:tblGrid>
      <w:tr w:rsidR="002F2532" w14:paraId="725D1814" w14:textId="77777777">
        <w:trPr>
          <w:tblHeader/>
        </w:trPr>
        <w:tc>
          <w:tcPr>
            <w:tcW w:w="713" w:type="dxa"/>
            <w:shd w:val="clear" w:color="auto" w:fill="E7F6FD"/>
            <w:tcMar>
              <w:top w:w="0" w:type="dxa"/>
              <w:bottom w:w="0" w:type="dxa"/>
            </w:tcMar>
            <w:vAlign w:val="center"/>
          </w:tcPr>
          <w:p w14:paraId="4C70817F" w14:textId="77777777" w:rsidR="002F2532" w:rsidRDefault="002F2532">
            <w:pPr>
              <w:keepLines/>
              <w:jc w:val="center"/>
            </w:pPr>
            <w:r w:rsidRPr="00A51374">
              <w:rPr>
                <w:noProof/>
              </w:rPr>
              <w:drawing>
                <wp:inline distT="0" distB="0" distL="0" distR="0" wp14:anchorId="30811DAF" wp14:editId="645C9A3D">
                  <wp:extent cx="288000" cy="288000"/>
                  <wp:effectExtent l="0" t="0" r="0" b="0"/>
                  <wp:docPr id="1548340423" name="Graphic 1548340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324D2E9" w14:textId="4C2D97ED" w:rsidR="002F2532" w:rsidRPr="00A15874" w:rsidRDefault="002F2532" w:rsidP="006F40C9">
            <w:pPr>
              <w:pStyle w:val="TableHeading"/>
              <w:keepNext/>
              <w:keepLines/>
              <w:spacing w:before="120"/>
              <w:contextualSpacing/>
              <w:rPr>
                <w:sz w:val="20"/>
              </w:rPr>
            </w:pPr>
            <w:r w:rsidRPr="00A15874">
              <w:rPr>
                <w:sz w:val="20"/>
              </w:rPr>
              <w:t>Draft recommendation 3.2</w:t>
            </w:r>
          </w:p>
          <w:p w14:paraId="06BBEC18" w14:textId="77777777" w:rsidR="002F2532" w:rsidRPr="00A15874" w:rsidRDefault="002F2532" w:rsidP="006F40C9">
            <w:pPr>
              <w:pStyle w:val="TableHeading"/>
              <w:keepNext/>
              <w:keepLines/>
              <w:spacing w:before="120"/>
              <w:contextualSpacing/>
              <w:rPr>
                <w:sz w:val="20"/>
              </w:rPr>
            </w:pPr>
            <w:r w:rsidRPr="00A15874">
              <w:rPr>
                <w:sz w:val="20"/>
              </w:rPr>
              <w:t>Do not implement a right to erasure</w:t>
            </w:r>
          </w:p>
        </w:tc>
      </w:tr>
      <w:tr w:rsidR="002F2532" w14:paraId="398A971A" w14:textId="77777777">
        <w:tc>
          <w:tcPr>
            <w:tcW w:w="9638" w:type="dxa"/>
            <w:gridSpan w:val="2"/>
            <w:shd w:val="clear" w:color="auto" w:fill="E7F6FD"/>
            <w:tcMar>
              <w:top w:w="0" w:type="dxa"/>
            </w:tcMar>
          </w:tcPr>
          <w:p w14:paraId="78719C6A" w14:textId="77777777" w:rsidR="002F2532" w:rsidRPr="0055493D" w:rsidRDefault="002F2532">
            <w:pPr>
              <w:pStyle w:val="BodyText"/>
              <w:rPr>
                <w:spacing w:val="2"/>
              </w:rPr>
            </w:pPr>
            <w:r w:rsidRPr="0055493D">
              <w:rPr>
                <w:spacing w:val="2"/>
              </w:rPr>
              <w:t xml:space="preserve">The Australian Government should not amend the </w:t>
            </w:r>
            <w:r w:rsidRPr="0055493D">
              <w:rPr>
                <w:i/>
                <w:spacing w:val="2"/>
              </w:rPr>
              <w:t>Privacy Act 1988</w:t>
            </w:r>
            <w:r w:rsidRPr="0055493D">
              <w:rPr>
                <w:spacing w:val="2"/>
              </w:rPr>
              <w:t xml:space="preserve"> (</w:t>
            </w:r>
            <w:proofErr w:type="spellStart"/>
            <w:r w:rsidRPr="0055493D">
              <w:rPr>
                <w:spacing w:val="2"/>
              </w:rPr>
              <w:t>Cth</w:t>
            </w:r>
            <w:proofErr w:type="spellEnd"/>
            <w:r w:rsidRPr="0055493D">
              <w:rPr>
                <w:spacing w:val="2"/>
              </w:rPr>
              <w:t xml:space="preserve">) to introduce a ‘right to erasure’, as this would impose a high compliance burden on regulated entities, with uncertain privacy benefits for individuals. </w:t>
            </w:r>
          </w:p>
        </w:tc>
      </w:tr>
      <w:tr w:rsidR="002F2532" w14:paraId="15962B66" w14:textId="77777777">
        <w:tc>
          <w:tcPr>
            <w:tcW w:w="9638" w:type="dxa"/>
            <w:gridSpan w:val="2"/>
            <w:shd w:val="clear" w:color="auto" w:fill="auto"/>
            <w:tcMar>
              <w:top w:w="0" w:type="dxa"/>
              <w:bottom w:w="0" w:type="dxa"/>
            </w:tcMar>
          </w:tcPr>
          <w:p w14:paraId="14D39F62" w14:textId="47ED981B" w:rsidR="002F2532" w:rsidRPr="007E0EA8" w:rsidRDefault="002F2532">
            <w:pPr>
              <w:pStyle w:val="NoSpacing"/>
              <w:spacing w:line="200" w:lineRule="exact"/>
            </w:pPr>
          </w:p>
        </w:tc>
      </w:tr>
    </w:tbl>
    <w:p w14:paraId="3D0BB5C1" w14:textId="77777777" w:rsidR="002F2532" w:rsidRDefault="002F2532">
      <w:pPr>
        <w:pStyle w:val="Heading2-nonumber"/>
      </w:pPr>
      <w:bookmarkStart w:id="20" w:name="_Toc204692262"/>
      <w:bookmarkStart w:id="21" w:name="_Toc204694674"/>
      <w:bookmarkStart w:id="22" w:name="_Toc204694766"/>
      <w:r>
        <w:t>Digital financial reporting</w:t>
      </w:r>
      <w:bookmarkEnd w:id="20"/>
      <w:bookmarkEnd w:id="21"/>
      <w:bookmarkEnd w:id="22"/>
    </w:p>
    <w:p w14:paraId="054894D1" w14:textId="3BCF0934" w:rsidR="002F2532" w:rsidRDefault="002F2532">
      <w:pPr>
        <w:pStyle w:val="BodyText"/>
      </w:pPr>
    </w:p>
    <w:tbl>
      <w:tblPr>
        <w:tblStyle w:val="Texttable-Paleblue"/>
        <w:tblW w:w="5000" w:type="pct"/>
        <w:tblLook w:val="04A0" w:firstRow="1" w:lastRow="0" w:firstColumn="1" w:lastColumn="0" w:noHBand="0" w:noVBand="1"/>
      </w:tblPr>
      <w:tblGrid>
        <w:gridCol w:w="713"/>
        <w:gridCol w:w="8925"/>
      </w:tblGrid>
      <w:tr w:rsidR="002F2532" w14:paraId="21924B2B" w14:textId="77777777" w:rsidTr="005C46D3">
        <w:trPr>
          <w:trHeight w:val="556"/>
        </w:trPr>
        <w:tc>
          <w:tcPr>
            <w:tcW w:w="713" w:type="dxa"/>
          </w:tcPr>
          <w:p w14:paraId="4C81D863" w14:textId="77777777" w:rsidR="002F2532" w:rsidRDefault="002F2532">
            <w:pPr>
              <w:keepLines/>
              <w:jc w:val="center"/>
            </w:pPr>
            <w:r w:rsidRPr="00A51374">
              <w:rPr>
                <w:noProof/>
              </w:rPr>
              <w:drawing>
                <wp:inline distT="0" distB="0" distL="0" distR="0" wp14:anchorId="4F9603EE" wp14:editId="49219F45">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288000" cy="288000"/>
                          </a:xfrm>
                          <a:prstGeom prst="rect">
                            <a:avLst/>
                          </a:prstGeom>
                        </pic:spPr>
                      </pic:pic>
                    </a:graphicData>
                  </a:graphic>
                </wp:inline>
              </w:drawing>
            </w:r>
          </w:p>
        </w:tc>
        <w:tc>
          <w:tcPr>
            <w:tcW w:w="8925" w:type="dxa"/>
          </w:tcPr>
          <w:p w14:paraId="2C572C3A" w14:textId="13AD191F" w:rsidR="002F2532" w:rsidRPr="00A15874" w:rsidRDefault="002F2532" w:rsidP="006F40C9">
            <w:pPr>
              <w:pStyle w:val="TableHeading"/>
              <w:keepNext/>
              <w:keepLines/>
              <w:spacing w:before="120"/>
              <w:contextualSpacing/>
              <w:rPr>
                <w:sz w:val="20"/>
              </w:rPr>
            </w:pPr>
            <w:r w:rsidRPr="00A15874">
              <w:rPr>
                <w:sz w:val="20"/>
              </w:rPr>
              <w:t xml:space="preserve">Draft recommendation </w:t>
            </w:r>
            <w:r w:rsidR="000266E2">
              <w:rPr>
                <w:sz w:val="20"/>
              </w:rPr>
              <w:t>4</w:t>
            </w:r>
            <w:r w:rsidRPr="00A15874">
              <w:rPr>
                <w:sz w:val="20"/>
              </w:rPr>
              <w:t>.</w:t>
            </w:r>
            <w:r w:rsidR="000266E2">
              <w:rPr>
                <w:sz w:val="20"/>
              </w:rPr>
              <w:t>1</w:t>
            </w:r>
          </w:p>
          <w:p w14:paraId="274873E1" w14:textId="77777777" w:rsidR="002F2532" w:rsidRPr="00A15874" w:rsidRDefault="002F2532" w:rsidP="006F40C9">
            <w:pPr>
              <w:pStyle w:val="TableHeading"/>
              <w:keepNext/>
              <w:keepLines/>
              <w:spacing w:before="120"/>
              <w:contextualSpacing/>
              <w:rPr>
                <w:sz w:val="20"/>
              </w:rPr>
            </w:pPr>
            <w:r w:rsidRPr="00A15874">
              <w:rPr>
                <w:sz w:val="20"/>
              </w:rPr>
              <w:t>Make digital financial reporting the default</w:t>
            </w:r>
          </w:p>
        </w:tc>
      </w:tr>
      <w:tr w:rsidR="002F2532" w14:paraId="1C5152A7" w14:textId="77777777">
        <w:tc>
          <w:tcPr>
            <w:tcW w:w="9638" w:type="dxa"/>
            <w:gridSpan w:val="2"/>
          </w:tcPr>
          <w:p w14:paraId="045A6E97" w14:textId="77777777" w:rsidR="002F2532" w:rsidRPr="00767EAE" w:rsidRDefault="002F2532">
            <w:pPr>
              <w:pStyle w:val="BodyText"/>
            </w:pPr>
            <w:r>
              <w:t xml:space="preserve">The Australian </w:t>
            </w:r>
            <w:r w:rsidRPr="00EF3FD1">
              <w:t xml:space="preserve">Government should </w:t>
            </w:r>
            <w:r>
              <w:t xml:space="preserve">make the necessary amendments to </w:t>
            </w:r>
            <w:r w:rsidRPr="00EF3FD1">
              <w:t xml:space="preserve">the </w:t>
            </w:r>
            <w:r w:rsidRPr="007F433D">
              <w:rPr>
                <w:i/>
                <w:iCs/>
              </w:rPr>
              <w:t>Corporations Act</w:t>
            </w:r>
            <w:r w:rsidRPr="003713D8">
              <w:rPr>
                <w:i/>
                <w:iCs/>
              </w:rPr>
              <w:t xml:space="preserve"> 2001</w:t>
            </w:r>
            <w:r w:rsidRPr="00EF3FD1">
              <w:t xml:space="preserve"> (</w:t>
            </w:r>
            <w:proofErr w:type="spellStart"/>
            <w:r>
              <w:t>Cth</w:t>
            </w:r>
            <w:proofErr w:type="spellEnd"/>
            <w:r>
              <w:t>) and the</w:t>
            </w:r>
            <w:r w:rsidRPr="00EF3FD1">
              <w:t xml:space="preserve"> </w:t>
            </w:r>
            <w:r w:rsidRPr="00DB7DB1">
              <w:t>Corporations Regulations 2001</w:t>
            </w:r>
            <w:r w:rsidRPr="00EF3FD1">
              <w:t xml:space="preserve"> (</w:t>
            </w:r>
            <w:proofErr w:type="spellStart"/>
            <w:r w:rsidRPr="00EF3FD1">
              <w:t>Cth</w:t>
            </w:r>
            <w:proofErr w:type="spellEnd"/>
            <w:r w:rsidRPr="00EF3FD1">
              <w:t xml:space="preserve">) to make digital financial reporting mandatory for disclosing entities. The requirement for financial reports to be submitted in hard copy or PDF format </w:t>
            </w:r>
            <w:r>
              <w:t xml:space="preserve">should also be removed </w:t>
            </w:r>
            <w:r w:rsidRPr="00EF3FD1">
              <w:t>for those entities</w:t>
            </w:r>
            <w:r>
              <w:t>.</w:t>
            </w:r>
          </w:p>
        </w:tc>
      </w:tr>
    </w:tbl>
    <w:tbl>
      <w:tblPr>
        <w:tblStyle w:val="Boxtable"/>
        <w:tblW w:w="5000" w:type="pct"/>
        <w:tblLook w:val="04A0" w:firstRow="1" w:lastRow="0" w:firstColumn="1" w:lastColumn="0" w:noHBand="0" w:noVBand="1"/>
      </w:tblPr>
      <w:tblGrid>
        <w:gridCol w:w="9638"/>
      </w:tblGrid>
      <w:tr w:rsidR="002F2532" w14:paraId="047B947B" w14:textId="77777777">
        <w:trPr>
          <w:hidden/>
        </w:trPr>
        <w:tc>
          <w:tcPr>
            <w:tcW w:w="9638" w:type="dxa"/>
            <w:shd w:val="clear" w:color="auto" w:fill="auto"/>
            <w:tcMar>
              <w:top w:w="0" w:type="dxa"/>
              <w:left w:w="170" w:type="dxa"/>
              <w:bottom w:w="0" w:type="dxa"/>
              <w:right w:w="170" w:type="dxa"/>
            </w:tcMar>
          </w:tcPr>
          <w:p w14:paraId="76DC8231" w14:textId="10A0E23E" w:rsidR="002F2532" w:rsidRPr="00465191" w:rsidRDefault="002F2532">
            <w:pPr>
              <w:pStyle w:val="BodyText"/>
              <w:spacing w:before="0" w:after="0" w:line="80" w:lineRule="atLeast"/>
              <w:rPr>
                <w:smallCaps/>
                <w:vanish/>
              </w:rPr>
            </w:pPr>
          </w:p>
        </w:tc>
      </w:tr>
    </w:tbl>
    <w:p w14:paraId="69825AEC" w14:textId="029E4018" w:rsidR="00AF6B4B" w:rsidRPr="002F2532" w:rsidRDefault="00AF6B4B" w:rsidP="00555052">
      <w:pPr>
        <w:pStyle w:val="Reference"/>
      </w:pPr>
    </w:p>
    <w:sectPr w:rsidR="00AF6B4B" w:rsidRPr="002F2532" w:rsidSect="00102834">
      <w:headerReference w:type="default" r:id="rId31"/>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B266C" w14:textId="77777777" w:rsidR="00F914DF" w:rsidRDefault="00F914DF" w:rsidP="008017BC">
      <w:r>
        <w:separator/>
      </w:r>
    </w:p>
    <w:p w14:paraId="753DD100" w14:textId="77777777" w:rsidR="00F914DF" w:rsidRDefault="00F914DF"/>
  </w:endnote>
  <w:endnote w:type="continuationSeparator" w:id="0">
    <w:p w14:paraId="7D10F0B8" w14:textId="77777777" w:rsidR="00F914DF" w:rsidRDefault="00F914DF" w:rsidP="008017BC">
      <w:r>
        <w:continuationSeparator/>
      </w:r>
    </w:p>
    <w:p w14:paraId="0DEFC66C" w14:textId="77777777" w:rsidR="00F914DF" w:rsidRDefault="00F914DF"/>
  </w:endnote>
  <w:endnote w:type="continuationNotice" w:id="1">
    <w:p w14:paraId="6E692A5F" w14:textId="77777777" w:rsidR="00F914DF" w:rsidRDefault="00F914D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F0DB0"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DCA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EDFD0"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8282B"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236A80F"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502577" w14:textId="77777777" w:rsidR="00F914DF" w:rsidRPr="00C238D1" w:rsidRDefault="00F914DF" w:rsidP="00273E86">
      <w:pPr>
        <w:spacing w:after="0" w:line="240" w:lineRule="auto"/>
        <w:rPr>
          <w:rStyle w:val="ColourDarkBlue"/>
        </w:rPr>
      </w:pPr>
      <w:r w:rsidRPr="00C238D1">
        <w:rPr>
          <w:rStyle w:val="ColourDarkBlue"/>
        </w:rPr>
        <w:continuationSeparator/>
      </w:r>
    </w:p>
  </w:footnote>
  <w:footnote w:type="continuationSeparator" w:id="0">
    <w:p w14:paraId="0EF43E23" w14:textId="77777777" w:rsidR="00F914DF" w:rsidRPr="001D7D9B" w:rsidRDefault="00F914DF" w:rsidP="001D7D9B">
      <w:pPr>
        <w:spacing w:after="0" w:line="240" w:lineRule="auto"/>
        <w:rPr>
          <w:color w:val="265A9A" w:themeColor="background2"/>
        </w:rPr>
      </w:pPr>
      <w:r w:rsidRPr="00C238D1">
        <w:rPr>
          <w:rStyle w:val="ColourDarkBlue"/>
        </w:rPr>
        <w:continuationSeparator/>
      </w:r>
    </w:p>
  </w:footnote>
  <w:footnote w:type="continuationNotice" w:id="1">
    <w:p w14:paraId="6BB6A57B" w14:textId="77777777" w:rsidR="00F914DF" w:rsidRDefault="00F914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725EF" w14:textId="5B9A69C8" w:rsidR="004F7BE2" w:rsidRPr="00201320" w:rsidRDefault="00000000" w:rsidP="004544D6">
    <w:pPr>
      <w:pStyle w:val="Header-Keyline"/>
      <w:rPr>
        <w:rStyle w:val="Strong"/>
        <w:b w:val="0"/>
        <w:bCs w:val="0"/>
      </w:rPr>
    </w:pPr>
    <w:sdt>
      <w:sdtPr>
        <w:rPr>
          <w:rStyle w:val="Strong"/>
        </w:rPr>
        <w:alias w:val="Title"/>
        <w:tag w:val=""/>
        <w:id w:val="-1701777645"/>
        <w:placeholder>
          <w:docPart w:val="1295C6107340464784B146C54077ED42"/>
        </w:placeholder>
        <w:dataBinding w:prefixMappings="xmlns:ns0='http://purl.org/dc/elements/1.1/' xmlns:ns1='http://schemas.openxmlformats.org/package/2006/metadata/core-properties' " w:xpath="/ns1:coreProperties[1]/ns0:title[1]" w:storeItemID="{6C3C8BC8-F283-45AE-878A-BAB7291924A1}"/>
        <w:text/>
      </w:sdtPr>
      <w:sdtContent>
        <w:r w:rsidR="00102834">
          <w:rPr>
            <w:rStyle w:val="Strong"/>
          </w:rPr>
          <w:t>Executive summary - Interim report - Harnessing data and digital technology</w:t>
        </w:r>
      </w:sdtContent>
    </w:sdt>
    <w:r w:rsidR="004F7BE2">
      <w:t xml:space="preserve"> </w:t>
    </w:r>
    <w:r w:rsidR="00A91AE4">
      <w:t>I</w:t>
    </w:r>
    <w:r w:rsidR="00D756E1">
      <w:t>nquiry interim</w:t>
    </w:r>
    <w:r w:rsidR="004F7BE2">
      <w:t xml:space="preserve"> </w:t>
    </w:r>
    <w:r w:rsidR="009E3265">
      <w:t>r</w:t>
    </w:r>
    <w:r w:rsidR="004F7BE2">
      <w:t>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CE044" w14:textId="099160F9" w:rsidR="004F7BE2" w:rsidRDefault="004E7122" w:rsidP="004544D6">
    <w:pPr>
      <w:pStyle w:val="Header-KeylineRight"/>
    </w:pPr>
    <w:fldSimple w:instr="STYLEREF  &quot;Heading 1-no background&quot;  \* MERGEFORMAT">
      <w:r w:rsidR="00DC0C98">
        <w:rPr>
          <w:noProof/>
        </w:rPr>
        <w:t>Opportunity for comment</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34C18" w14:textId="1D89648A" w:rsidR="00120DB2" w:rsidRDefault="00120D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6774" w14:textId="31954991" w:rsidR="00D758DF" w:rsidRDefault="004E7122">
    <w:pPr>
      <w:pStyle w:val="Header-KeylineRight"/>
    </w:pPr>
    <w:fldSimple w:instr=" STYLEREF  &quot;Heading 1-no background&quot;  \* MERGEFORMAT ">
      <w:r w:rsidR="00DC0C98">
        <w:rPr>
          <w:noProof/>
        </w:rPr>
        <w:t>Opportunity for comment</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A9E4428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676CBA"/>
    <w:multiLevelType w:val="hybridMultilevel"/>
    <w:tmpl w:val="93C21AFC"/>
    <w:lvl w:ilvl="0" w:tplc="25D818B8">
      <w:numFmt w:val="bullet"/>
      <w:lvlText w:val="—"/>
      <w:lvlJc w:val="left"/>
      <w:pPr>
        <w:ind w:left="750" w:hanging="39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6742532"/>
    <w:multiLevelType w:val="hybridMultilevel"/>
    <w:tmpl w:val="ADCCE042"/>
    <w:lvl w:ilvl="0" w:tplc="246A6A12">
      <w:start w:val="4"/>
      <w:numFmt w:val="decimal"/>
      <w:lvlText w:val="%1."/>
      <w:lvlJc w:val="left"/>
      <w:pPr>
        <w:ind w:left="1287" w:hanging="72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9" w15:restartNumberingAfterBreak="0">
    <w:nsid w:val="761B4A1B"/>
    <w:multiLevelType w:val="multilevel"/>
    <w:tmpl w:val="4F48000A"/>
    <w:numStyleLink w:val="Alphalist"/>
  </w:abstractNum>
  <w:num w:numId="1" w16cid:durableId="1220020794">
    <w:abstractNumId w:val="8"/>
  </w:num>
  <w:num w:numId="2" w16cid:durableId="9335037">
    <w:abstractNumId w:val="4"/>
  </w:num>
  <w:num w:numId="3" w16cid:durableId="1770274636">
    <w:abstractNumId w:val="12"/>
  </w:num>
  <w:num w:numId="4" w16cid:durableId="2123768426">
    <w:abstractNumId w:val="17"/>
  </w:num>
  <w:num w:numId="5" w16cid:durableId="2147164343">
    <w:abstractNumId w:val="18"/>
  </w:num>
  <w:num w:numId="6" w16cid:durableId="1395083784">
    <w:abstractNumId w:val="16"/>
  </w:num>
  <w:num w:numId="7" w16cid:durableId="956329250">
    <w:abstractNumId w:val="14"/>
  </w:num>
  <w:num w:numId="8" w16cid:durableId="1611275472">
    <w:abstractNumId w:val="9"/>
  </w:num>
  <w:num w:numId="9" w16cid:durableId="360713607">
    <w:abstractNumId w:val="13"/>
  </w:num>
  <w:num w:numId="10" w16cid:durableId="1388069260">
    <w:abstractNumId w:val="19"/>
  </w:num>
  <w:num w:numId="11" w16cid:durableId="814882481">
    <w:abstractNumId w:val="0"/>
  </w:num>
  <w:num w:numId="12" w16cid:durableId="2008705549">
    <w:abstractNumId w:val="5"/>
  </w:num>
  <w:num w:numId="13" w16cid:durableId="490563872">
    <w:abstractNumId w:val="11"/>
  </w:num>
  <w:num w:numId="14" w16cid:durableId="1213885368">
    <w:abstractNumId w:val="7"/>
  </w:num>
  <w:num w:numId="15" w16cid:durableId="1120606403">
    <w:abstractNumId w:val="6"/>
  </w:num>
  <w:num w:numId="16" w16cid:durableId="695930222">
    <w:abstractNumId w:val="2"/>
  </w:num>
  <w:num w:numId="17" w16cid:durableId="1948732313">
    <w:abstractNumId w:val="15"/>
  </w:num>
  <w:num w:numId="18" w16cid:durableId="1589658487">
    <w:abstractNumId w:val="6"/>
  </w:num>
  <w:num w:numId="19" w16cid:durableId="571740602">
    <w:abstractNumId w:val="1"/>
  </w:num>
  <w:num w:numId="20" w16cid:durableId="6818556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321188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72836635">
    <w:abstractNumId w:val="10"/>
  </w:num>
  <w:num w:numId="23" w16cid:durableId="1895969975">
    <w:abstractNumId w:val="3"/>
  </w:num>
  <w:num w:numId="24" w16cid:durableId="98875315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3D7"/>
    <w:rsid w:val="00000075"/>
    <w:rsid w:val="00000F3C"/>
    <w:rsid w:val="00002CB5"/>
    <w:rsid w:val="00004489"/>
    <w:rsid w:val="00005C79"/>
    <w:rsid w:val="0001217E"/>
    <w:rsid w:val="00013E41"/>
    <w:rsid w:val="000150DD"/>
    <w:rsid w:val="0001561E"/>
    <w:rsid w:val="00015D6E"/>
    <w:rsid w:val="00021FD0"/>
    <w:rsid w:val="000221AE"/>
    <w:rsid w:val="00022A13"/>
    <w:rsid w:val="000266E2"/>
    <w:rsid w:val="00026C04"/>
    <w:rsid w:val="00026FDE"/>
    <w:rsid w:val="00027754"/>
    <w:rsid w:val="000300AF"/>
    <w:rsid w:val="0003162D"/>
    <w:rsid w:val="000324B2"/>
    <w:rsid w:val="00032811"/>
    <w:rsid w:val="000331E4"/>
    <w:rsid w:val="0003338D"/>
    <w:rsid w:val="00033619"/>
    <w:rsid w:val="000347A9"/>
    <w:rsid w:val="00035AA8"/>
    <w:rsid w:val="000377C0"/>
    <w:rsid w:val="00037A65"/>
    <w:rsid w:val="000406EF"/>
    <w:rsid w:val="00042BF9"/>
    <w:rsid w:val="00042CD4"/>
    <w:rsid w:val="00043C5E"/>
    <w:rsid w:val="000445A6"/>
    <w:rsid w:val="00044E73"/>
    <w:rsid w:val="000454E0"/>
    <w:rsid w:val="00047894"/>
    <w:rsid w:val="00050E23"/>
    <w:rsid w:val="0005151B"/>
    <w:rsid w:val="00051B4D"/>
    <w:rsid w:val="00052E6D"/>
    <w:rsid w:val="000530BF"/>
    <w:rsid w:val="00054C95"/>
    <w:rsid w:val="000552E5"/>
    <w:rsid w:val="000561CF"/>
    <w:rsid w:val="0005774F"/>
    <w:rsid w:val="00060911"/>
    <w:rsid w:val="00062A44"/>
    <w:rsid w:val="00063350"/>
    <w:rsid w:val="0006482E"/>
    <w:rsid w:val="00065A81"/>
    <w:rsid w:val="00065E59"/>
    <w:rsid w:val="00071A10"/>
    <w:rsid w:val="00071E55"/>
    <w:rsid w:val="000723D6"/>
    <w:rsid w:val="000724AE"/>
    <w:rsid w:val="00072561"/>
    <w:rsid w:val="0007326F"/>
    <w:rsid w:val="00074E4A"/>
    <w:rsid w:val="000751C9"/>
    <w:rsid w:val="00075708"/>
    <w:rsid w:val="000757AE"/>
    <w:rsid w:val="00076E43"/>
    <w:rsid w:val="0007776A"/>
    <w:rsid w:val="00077A76"/>
    <w:rsid w:val="00077FDE"/>
    <w:rsid w:val="0008037D"/>
    <w:rsid w:val="000814AB"/>
    <w:rsid w:val="00081D13"/>
    <w:rsid w:val="00084660"/>
    <w:rsid w:val="0008523B"/>
    <w:rsid w:val="00085C6A"/>
    <w:rsid w:val="00085FB9"/>
    <w:rsid w:val="00087EF7"/>
    <w:rsid w:val="00091286"/>
    <w:rsid w:val="00096878"/>
    <w:rsid w:val="00096A0F"/>
    <w:rsid w:val="000A0F08"/>
    <w:rsid w:val="000A1609"/>
    <w:rsid w:val="000A2E79"/>
    <w:rsid w:val="000A38AA"/>
    <w:rsid w:val="000A3DC0"/>
    <w:rsid w:val="000A6B52"/>
    <w:rsid w:val="000A6B7C"/>
    <w:rsid w:val="000A7DF5"/>
    <w:rsid w:val="000B37C3"/>
    <w:rsid w:val="000B3E12"/>
    <w:rsid w:val="000B497F"/>
    <w:rsid w:val="000B4A72"/>
    <w:rsid w:val="000B5105"/>
    <w:rsid w:val="000C04F2"/>
    <w:rsid w:val="000C0C26"/>
    <w:rsid w:val="000C2B53"/>
    <w:rsid w:val="000C4DF8"/>
    <w:rsid w:val="000C6B77"/>
    <w:rsid w:val="000D2C15"/>
    <w:rsid w:val="000E1987"/>
    <w:rsid w:val="000E1BC3"/>
    <w:rsid w:val="000E2226"/>
    <w:rsid w:val="000E43B0"/>
    <w:rsid w:val="000E623E"/>
    <w:rsid w:val="000F0C4D"/>
    <w:rsid w:val="000F1202"/>
    <w:rsid w:val="000F14EC"/>
    <w:rsid w:val="000F4488"/>
    <w:rsid w:val="000F5E50"/>
    <w:rsid w:val="00100FAB"/>
    <w:rsid w:val="00101285"/>
    <w:rsid w:val="00101C81"/>
    <w:rsid w:val="00102834"/>
    <w:rsid w:val="00102930"/>
    <w:rsid w:val="001053F3"/>
    <w:rsid w:val="0011217E"/>
    <w:rsid w:val="00112598"/>
    <w:rsid w:val="00112635"/>
    <w:rsid w:val="00112E8F"/>
    <w:rsid w:val="0011652F"/>
    <w:rsid w:val="00120792"/>
    <w:rsid w:val="00120DB2"/>
    <w:rsid w:val="001268BC"/>
    <w:rsid w:val="00126B44"/>
    <w:rsid w:val="001301DF"/>
    <w:rsid w:val="001303D5"/>
    <w:rsid w:val="00130A5C"/>
    <w:rsid w:val="00133CCB"/>
    <w:rsid w:val="00134FEF"/>
    <w:rsid w:val="0013722E"/>
    <w:rsid w:val="00137EB0"/>
    <w:rsid w:val="00137FAB"/>
    <w:rsid w:val="001432DA"/>
    <w:rsid w:val="00146BF3"/>
    <w:rsid w:val="00146E7C"/>
    <w:rsid w:val="00150E3B"/>
    <w:rsid w:val="00150F8F"/>
    <w:rsid w:val="001515DA"/>
    <w:rsid w:val="00152ED6"/>
    <w:rsid w:val="00154E0D"/>
    <w:rsid w:val="001553BA"/>
    <w:rsid w:val="001600E9"/>
    <w:rsid w:val="001604C7"/>
    <w:rsid w:val="00160ABC"/>
    <w:rsid w:val="00160FEC"/>
    <w:rsid w:val="001610E5"/>
    <w:rsid w:val="00161B1A"/>
    <w:rsid w:val="00161BC8"/>
    <w:rsid w:val="0016403F"/>
    <w:rsid w:val="0016573A"/>
    <w:rsid w:val="00167F1B"/>
    <w:rsid w:val="00170100"/>
    <w:rsid w:val="001714F3"/>
    <w:rsid w:val="00172A4A"/>
    <w:rsid w:val="00173FAF"/>
    <w:rsid w:val="00173FC8"/>
    <w:rsid w:val="00174D6D"/>
    <w:rsid w:val="00177D24"/>
    <w:rsid w:val="00186C12"/>
    <w:rsid w:val="00187F05"/>
    <w:rsid w:val="00191FD8"/>
    <w:rsid w:val="00195589"/>
    <w:rsid w:val="001957BF"/>
    <w:rsid w:val="001957CF"/>
    <w:rsid w:val="001A0D77"/>
    <w:rsid w:val="001A196A"/>
    <w:rsid w:val="001A1D95"/>
    <w:rsid w:val="001A2565"/>
    <w:rsid w:val="001A5242"/>
    <w:rsid w:val="001A6B5C"/>
    <w:rsid w:val="001A7C5A"/>
    <w:rsid w:val="001A7CE7"/>
    <w:rsid w:val="001B1762"/>
    <w:rsid w:val="001B17AC"/>
    <w:rsid w:val="001B1A99"/>
    <w:rsid w:val="001B228B"/>
    <w:rsid w:val="001B310E"/>
    <w:rsid w:val="001B3625"/>
    <w:rsid w:val="001B588D"/>
    <w:rsid w:val="001B742F"/>
    <w:rsid w:val="001C2C8F"/>
    <w:rsid w:val="001C7835"/>
    <w:rsid w:val="001D066B"/>
    <w:rsid w:val="001D16F3"/>
    <w:rsid w:val="001D4050"/>
    <w:rsid w:val="001D5CCA"/>
    <w:rsid w:val="001D7D9B"/>
    <w:rsid w:val="001E13CC"/>
    <w:rsid w:val="001E17F9"/>
    <w:rsid w:val="001E20E3"/>
    <w:rsid w:val="001E39B3"/>
    <w:rsid w:val="001E46F9"/>
    <w:rsid w:val="001E4F2E"/>
    <w:rsid w:val="001E4F7E"/>
    <w:rsid w:val="001E5131"/>
    <w:rsid w:val="001F13C1"/>
    <w:rsid w:val="001F1E9A"/>
    <w:rsid w:val="001F446D"/>
    <w:rsid w:val="001F4945"/>
    <w:rsid w:val="001F5F7F"/>
    <w:rsid w:val="001F63FF"/>
    <w:rsid w:val="001F6B0A"/>
    <w:rsid w:val="00201320"/>
    <w:rsid w:val="002013CA"/>
    <w:rsid w:val="002018F7"/>
    <w:rsid w:val="0020204A"/>
    <w:rsid w:val="002033C7"/>
    <w:rsid w:val="0020537E"/>
    <w:rsid w:val="00206183"/>
    <w:rsid w:val="00206F8A"/>
    <w:rsid w:val="002111F2"/>
    <w:rsid w:val="002112EC"/>
    <w:rsid w:val="00212649"/>
    <w:rsid w:val="00216ABE"/>
    <w:rsid w:val="00221800"/>
    <w:rsid w:val="00221AB7"/>
    <w:rsid w:val="00221DC0"/>
    <w:rsid w:val="002243CA"/>
    <w:rsid w:val="0022472E"/>
    <w:rsid w:val="00225CF3"/>
    <w:rsid w:val="00226D9E"/>
    <w:rsid w:val="00227712"/>
    <w:rsid w:val="00230416"/>
    <w:rsid w:val="00230E64"/>
    <w:rsid w:val="00233944"/>
    <w:rsid w:val="00234668"/>
    <w:rsid w:val="00237AB9"/>
    <w:rsid w:val="00240E18"/>
    <w:rsid w:val="00242296"/>
    <w:rsid w:val="00242B1D"/>
    <w:rsid w:val="0024365B"/>
    <w:rsid w:val="002445B8"/>
    <w:rsid w:val="002457DE"/>
    <w:rsid w:val="00246212"/>
    <w:rsid w:val="00246435"/>
    <w:rsid w:val="00246BCF"/>
    <w:rsid w:val="00247185"/>
    <w:rsid w:val="00251245"/>
    <w:rsid w:val="00251BA5"/>
    <w:rsid w:val="00251CA2"/>
    <w:rsid w:val="0025261D"/>
    <w:rsid w:val="00253940"/>
    <w:rsid w:val="002601BB"/>
    <w:rsid w:val="00261B27"/>
    <w:rsid w:val="00261D9D"/>
    <w:rsid w:val="00265918"/>
    <w:rsid w:val="00265ADC"/>
    <w:rsid w:val="00266A31"/>
    <w:rsid w:val="00270834"/>
    <w:rsid w:val="00271EC7"/>
    <w:rsid w:val="00272CD2"/>
    <w:rsid w:val="002736A5"/>
    <w:rsid w:val="00273E86"/>
    <w:rsid w:val="002764FC"/>
    <w:rsid w:val="00276B01"/>
    <w:rsid w:val="002814E6"/>
    <w:rsid w:val="00281A54"/>
    <w:rsid w:val="00282AE5"/>
    <w:rsid w:val="0028312D"/>
    <w:rsid w:val="00287114"/>
    <w:rsid w:val="00290262"/>
    <w:rsid w:val="0029064C"/>
    <w:rsid w:val="00290903"/>
    <w:rsid w:val="002936B4"/>
    <w:rsid w:val="002951E6"/>
    <w:rsid w:val="00295330"/>
    <w:rsid w:val="00297254"/>
    <w:rsid w:val="00297C6B"/>
    <w:rsid w:val="002A03D0"/>
    <w:rsid w:val="002A27A1"/>
    <w:rsid w:val="002A3CF5"/>
    <w:rsid w:val="002A5D96"/>
    <w:rsid w:val="002A6205"/>
    <w:rsid w:val="002A748A"/>
    <w:rsid w:val="002A7D39"/>
    <w:rsid w:val="002B0577"/>
    <w:rsid w:val="002B5356"/>
    <w:rsid w:val="002C0ED1"/>
    <w:rsid w:val="002C3F34"/>
    <w:rsid w:val="002C6AF1"/>
    <w:rsid w:val="002C6BA3"/>
    <w:rsid w:val="002C75A5"/>
    <w:rsid w:val="002C797E"/>
    <w:rsid w:val="002D1A81"/>
    <w:rsid w:val="002D35CC"/>
    <w:rsid w:val="002D3B2D"/>
    <w:rsid w:val="002D50CB"/>
    <w:rsid w:val="002E118C"/>
    <w:rsid w:val="002E1663"/>
    <w:rsid w:val="002E1B90"/>
    <w:rsid w:val="002E2974"/>
    <w:rsid w:val="002E3F19"/>
    <w:rsid w:val="002E51D2"/>
    <w:rsid w:val="002E573B"/>
    <w:rsid w:val="002E6469"/>
    <w:rsid w:val="002E7A0E"/>
    <w:rsid w:val="002E7EFA"/>
    <w:rsid w:val="002F1CAE"/>
    <w:rsid w:val="002F223D"/>
    <w:rsid w:val="002F247D"/>
    <w:rsid w:val="002F2532"/>
    <w:rsid w:val="002F2925"/>
    <w:rsid w:val="002F4D96"/>
    <w:rsid w:val="002F4E33"/>
    <w:rsid w:val="002F571B"/>
    <w:rsid w:val="002F6386"/>
    <w:rsid w:val="002F727F"/>
    <w:rsid w:val="002F7D9A"/>
    <w:rsid w:val="003028BC"/>
    <w:rsid w:val="00303704"/>
    <w:rsid w:val="00305171"/>
    <w:rsid w:val="00305247"/>
    <w:rsid w:val="00305399"/>
    <w:rsid w:val="00306F1F"/>
    <w:rsid w:val="00315B52"/>
    <w:rsid w:val="00320229"/>
    <w:rsid w:val="00322467"/>
    <w:rsid w:val="00323400"/>
    <w:rsid w:val="00323619"/>
    <w:rsid w:val="00323B84"/>
    <w:rsid w:val="00325129"/>
    <w:rsid w:val="00326A36"/>
    <w:rsid w:val="00327936"/>
    <w:rsid w:val="00331F03"/>
    <w:rsid w:val="003336CC"/>
    <w:rsid w:val="00333FD2"/>
    <w:rsid w:val="00335037"/>
    <w:rsid w:val="00335DFD"/>
    <w:rsid w:val="00336942"/>
    <w:rsid w:val="00336ECB"/>
    <w:rsid w:val="0034056B"/>
    <w:rsid w:val="003436F0"/>
    <w:rsid w:val="00343C13"/>
    <w:rsid w:val="0034680A"/>
    <w:rsid w:val="00353376"/>
    <w:rsid w:val="00353CE5"/>
    <w:rsid w:val="00354696"/>
    <w:rsid w:val="0035519A"/>
    <w:rsid w:val="00356269"/>
    <w:rsid w:val="0036059A"/>
    <w:rsid w:val="00360A7D"/>
    <w:rsid w:val="00363FF8"/>
    <w:rsid w:val="003640E1"/>
    <w:rsid w:val="00366D88"/>
    <w:rsid w:val="00367E5E"/>
    <w:rsid w:val="00375DE5"/>
    <w:rsid w:val="00376491"/>
    <w:rsid w:val="0037721D"/>
    <w:rsid w:val="00380E6F"/>
    <w:rsid w:val="0038102A"/>
    <w:rsid w:val="003816EA"/>
    <w:rsid w:val="00382AB9"/>
    <w:rsid w:val="003833B4"/>
    <w:rsid w:val="003864A4"/>
    <w:rsid w:val="00387464"/>
    <w:rsid w:val="00395881"/>
    <w:rsid w:val="003A0A76"/>
    <w:rsid w:val="003A6483"/>
    <w:rsid w:val="003A743E"/>
    <w:rsid w:val="003A7ADE"/>
    <w:rsid w:val="003B1D5C"/>
    <w:rsid w:val="003B2A34"/>
    <w:rsid w:val="003B41D7"/>
    <w:rsid w:val="003B5715"/>
    <w:rsid w:val="003B5F69"/>
    <w:rsid w:val="003B6E2C"/>
    <w:rsid w:val="003B7870"/>
    <w:rsid w:val="003B78C8"/>
    <w:rsid w:val="003B7DB1"/>
    <w:rsid w:val="003C01D4"/>
    <w:rsid w:val="003C086D"/>
    <w:rsid w:val="003C2B61"/>
    <w:rsid w:val="003C2CC3"/>
    <w:rsid w:val="003C36C7"/>
    <w:rsid w:val="003C63EA"/>
    <w:rsid w:val="003C69BF"/>
    <w:rsid w:val="003C7B82"/>
    <w:rsid w:val="003D09EE"/>
    <w:rsid w:val="003D19F2"/>
    <w:rsid w:val="003D23A3"/>
    <w:rsid w:val="003D2816"/>
    <w:rsid w:val="003D5856"/>
    <w:rsid w:val="003D5F8F"/>
    <w:rsid w:val="003D65A4"/>
    <w:rsid w:val="003E1285"/>
    <w:rsid w:val="003E16C9"/>
    <w:rsid w:val="003E6055"/>
    <w:rsid w:val="003E737F"/>
    <w:rsid w:val="003E7ACD"/>
    <w:rsid w:val="003F07E8"/>
    <w:rsid w:val="003F1918"/>
    <w:rsid w:val="003F6F1A"/>
    <w:rsid w:val="003F7EE6"/>
    <w:rsid w:val="0040060F"/>
    <w:rsid w:val="004024EE"/>
    <w:rsid w:val="004027DD"/>
    <w:rsid w:val="0040298B"/>
    <w:rsid w:val="00403D80"/>
    <w:rsid w:val="00404E4F"/>
    <w:rsid w:val="00405660"/>
    <w:rsid w:val="004064F7"/>
    <w:rsid w:val="004078F1"/>
    <w:rsid w:val="00407F15"/>
    <w:rsid w:val="004102D3"/>
    <w:rsid w:val="004158B2"/>
    <w:rsid w:val="00415F0D"/>
    <w:rsid w:val="00420F0E"/>
    <w:rsid w:val="00422F05"/>
    <w:rsid w:val="0042339A"/>
    <w:rsid w:val="00423B15"/>
    <w:rsid w:val="00423C0F"/>
    <w:rsid w:val="00424520"/>
    <w:rsid w:val="00424CB8"/>
    <w:rsid w:val="00424E77"/>
    <w:rsid w:val="0042508F"/>
    <w:rsid w:val="0042686C"/>
    <w:rsid w:val="004309B1"/>
    <w:rsid w:val="0043326D"/>
    <w:rsid w:val="004351F4"/>
    <w:rsid w:val="00436409"/>
    <w:rsid w:val="004379C2"/>
    <w:rsid w:val="00437C09"/>
    <w:rsid w:val="004400E8"/>
    <w:rsid w:val="00440666"/>
    <w:rsid w:val="00441426"/>
    <w:rsid w:val="004439E4"/>
    <w:rsid w:val="00446CDE"/>
    <w:rsid w:val="00446E18"/>
    <w:rsid w:val="00447B7A"/>
    <w:rsid w:val="00450C80"/>
    <w:rsid w:val="00451ECA"/>
    <w:rsid w:val="004544D6"/>
    <w:rsid w:val="00457065"/>
    <w:rsid w:val="00457155"/>
    <w:rsid w:val="00457508"/>
    <w:rsid w:val="00457552"/>
    <w:rsid w:val="00457750"/>
    <w:rsid w:val="00460C0D"/>
    <w:rsid w:val="00461CE9"/>
    <w:rsid w:val="00462096"/>
    <w:rsid w:val="00462407"/>
    <w:rsid w:val="004631DD"/>
    <w:rsid w:val="004635FD"/>
    <w:rsid w:val="00464D29"/>
    <w:rsid w:val="004679B6"/>
    <w:rsid w:val="00470129"/>
    <w:rsid w:val="00472494"/>
    <w:rsid w:val="004728A0"/>
    <w:rsid w:val="004742DD"/>
    <w:rsid w:val="00474A2E"/>
    <w:rsid w:val="004751AC"/>
    <w:rsid w:val="00475231"/>
    <w:rsid w:val="00477C58"/>
    <w:rsid w:val="0048094C"/>
    <w:rsid w:val="00484E96"/>
    <w:rsid w:val="00484FB7"/>
    <w:rsid w:val="00486F20"/>
    <w:rsid w:val="004906BE"/>
    <w:rsid w:val="00491796"/>
    <w:rsid w:val="00492B8E"/>
    <w:rsid w:val="00494F86"/>
    <w:rsid w:val="00496700"/>
    <w:rsid w:val="00497F51"/>
    <w:rsid w:val="004A01D9"/>
    <w:rsid w:val="004A2681"/>
    <w:rsid w:val="004A2FB8"/>
    <w:rsid w:val="004A4637"/>
    <w:rsid w:val="004A5586"/>
    <w:rsid w:val="004A6C5C"/>
    <w:rsid w:val="004B09B0"/>
    <w:rsid w:val="004B1436"/>
    <w:rsid w:val="004B1531"/>
    <w:rsid w:val="004B2AA2"/>
    <w:rsid w:val="004B33F6"/>
    <w:rsid w:val="004B5D7A"/>
    <w:rsid w:val="004B609E"/>
    <w:rsid w:val="004B6366"/>
    <w:rsid w:val="004B6CF1"/>
    <w:rsid w:val="004B7B73"/>
    <w:rsid w:val="004C10D8"/>
    <w:rsid w:val="004C2E61"/>
    <w:rsid w:val="004C34D2"/>
    <w:rsid w:val="004C3A5D"/>
    <w:rsid w:val="004C4823"/>
    <w:rsid w:val="004C5491"/>
    <w:rsid w:val="004C5F5D"/>
    <w:rsid w:val="004C7AE7"/>
    <w:rsid w:val="004D048D"/>
    <w:rsid w:val="004D15AE"/>
    <w:rsid w:val="004D3B7C"/>
    <w:rsid w:val="004D3E27"/>
    <w:rsid w:val="004D5420"/>
    <w:rsid w:val="004E1233"/>
    <w:rsid w:val="004E1BBF"/>
    <w:rsid w:val="004E1FF3"/>
    <w:rsid w:val="004E28C6"/>
    <w:rsid w:val="004E35C1"/>
    <w:rsid w:val="004E6DE1"/>
    <w:rsid w:val="004E7122"/>
    <w:rsid w:val="004F0CE6"/>
    <w:rsid w:val="004F1006"/>
    <w:rsid w:val="004F10E0"/>
    <w:rsid w:val="004F138F"/>
    <w:rsid w:val="004F294E"/>
    <w:rsid w:val="004F2D0A"/>
    <w:rsid w:val="004F420C"/>
    <w:rsid w:val="004F6D5A"/>
    <w:rsid w:val="004F6FB3"/>
    <w:rsid w:val="004F7BE2"/>
    <w:rsid w:val="00500123"/>
    <w:rsid w:val="0050670B"/>
    <w:rsid w:val="00507C75"/>
    <w:rsid w:val="00510BED"/>
    <w:rsid w:val="00511B29"/>
    <w:rsid w:val="00511D3E"/>
    <w:rsid w:val="00511EBA"/>
    <w:rsid w:val="005124ED"/>
    <w:rsid w:val="005141E8"/>
    <w:rsid w:val="00516A89"/>
    <w:rsid w:val="00517257"/>
    <w:rsid w:val="00517A13"/>
    <w:rsid w:val="005229DD"/>
    <w:rsid w:val="00523783"/>
    <w:rsid w:val="0052556D"/>
    <w:rsid w:val="00525AD9"/>
    <w:rsid w:val="00526253"/>
    <w:rsid w:val="00527A18"/>
    <w:rsid w:val="00530C62"/>
    <w:rsid w:val="00534E33"/>
    <w:rsid w:val="005362EC"/>
    <w:rsid w:val="00537D42"/>
    <w:rsid w:val="00540B70"/>
    <w:rsid w:val="00541A4C"/>
    <w:rsid w:val="005428B3"/>
    <w:rsid w:val="00543AFF"/>
    <w:rsid w:val="00545004"/>
    <w:rsid w:val="00550C99"/>
    <w:rsid w:val="00552F49"/>
    <w:rsid w:val="0055311C"/>
    <w:rsid w:val="00553413"/>
    <w:rsid w:val="00553A68"/>
    <w:rsid w:val="0055493D"/>
    <w:rsid w:val="00555052"/>
    <w:rsid w:val="00555AB2"/>
    <w:rsid w:val="0055622C"/>
    <w:rsid w:val="00556EB5"/>
    <w:rsid w:val="00557BA2"/>
    <w:rsid w:val="005603C5"/>
    <w:rsid w:val="00561129"/>
    <w:rsid w:val="00561E8B"/>
    <w:rsid w:val="00561F90"/>
    <w:rsid w:val="00562410"/>
    <w:rsid w:val="00564CC0"/>
    <w:rsid w:val="00565C6C"/>
    <w:rsid w:val="00566023"/>
    <w:rsid w:val="00571371"/>
    <w:rsid w:val="00571C54"/>
    <w:rsid w:val="00574693"/>
    <w:rsid w:val="005754AB"/>
    <w:rsid w:val="0058113E"/>
    <w:rsid w:val="005826F4"/>
    <w:rsid w:val="0058369E"/>
    <w:rsid w:val="0058456A"/>
    <w:rsid w:val="00585395"/>
    <w:rsid w:val="00585D38"/>
    <w:rsid w:val="005864E0"/>
    <w:rsid w:val="00587750"/>
    <w:rsid w:val="00590D09"/>
    <w:rsid w:val="0059156A"/>
    <w:rsid w:val="00592163"/>
    <w:rsid w:val="00593314"/>
    <w:rsid w:val="0059368E"/>
    <w:rsid w:val="00593BF5"/>
    <w:rsid w:val="00594496"/>
    <w:rsid w:val="005956D3"/>
    <w:rsid w:val="00596365"/>
    <w:rsid w:val="005965BC"/>
    <w:rsid w:val="005A0A58"/>
    <w:rsid w:val="005A2DC8"/>
    <w:rsid w:val="005A3EAE"/>
    <w:rsid w:val="005A4419"/>
    <w:rsid w:val="005A71C3"/>
    <w:rsid w:val="005A7E78"/>
    <w:rsid w:val="005B03ED"/>
    <w:rsid w:val="005B13E2"/>
    <w:rsid w:val="005B1776"/>
    <w:rsid w:val="005B17E6"/>
    <w:rsid w:val="005B1BA3"/>
    <w:rsid w:val="005B2FE3"/>
    <w:rsid w:val="005B32FB"/>
    <w:rsid w:val="005B3FF3"/>
    <w:rsid w:val="005B4F7D"/>
    <w:rsid w:val="005B7FE4"/>
    <w:rsid w:val="005C05E0"/>
    <w:rsid w:val="005C1B05"/>
    <w:rsid w:val="005C24B9"/>
    <w:rsid w:val="005C37E0"/>
    <w:rsid w:val="005C46D3"/>
    <w:rsid w:val="005C51DC"/>
    <w:rsid w:val="005C54B9"/>
    <w:rsid w:val="005C5A1C"/>
    <w:rsid w:val="005C5E01"/>
    <w:rsid w:val="005C6618"/>
    <w:rsid w:val="005C7BB1"/>
    <w:rsid w:val="005D0189"/>
    <w:rsid w:val="005D0929"/>
    <w:rsid w:val="005D109A"/>
    <w:rsid w:val="005D17CD"/>
    <w:rsid w:val="005D3148"/>
    <w:rsid w:val="005D5132"/>
    <w:rsid w:val="005D7BDA"/>
    <w:rsid w:val="005E043F"/>
    <w:rsid w:val="005E4470"/>
    <w:rsid w:val="005E5794"/>
    <w:rsid w:val="005E773F"/>
    <w:rsid w:val="005F0273"/>
    <w:rsid w:val="005F08E4"/>
    <w:rsid w:val="005F15F0"/>
    <w:rsid w:val="005F24AB"/>
    <w:rsid w:val="0060086C"/>
    <w:rsid w:val="0060191B"/>
    <w:rsid w:val="006023AE"/>
    <w:rsid w:val="006033AB"/>
    <w:rsid w:val="00603FD5"/>
    <w:rsid w:val="00607F03"/>
    <w:rsid w:val="00610627"/>
    <w:rsid w:val="00610F6C"/>
    <w:rsid w:val="00611335"/>
    <w:rsid w:val="00611951"/>
    <w:rsid w:val="0061454D"/>
    <w:rsid w:val="00615797"/>
    <w:rsid w:val="00616DC8"/>
    <w:rsid w:val="00620548"/>
    <w:rsid w:val="00620664"/>
    <w:rsid w:val="006214BF"/>
    <w:rsid w:val="00622DAF"/>
    <w:rsid w:val="00624A83"/>
    <w:rsid w:val="00624B90"/>
    <w:rsid w:val="00630F02"/>
    <w:rsid w:val="00632B7F"/>
    <w:rsid w:val="00642664"/>
    <w:rsid w:val="006475BD"/>
    <w:rsid w:val="006501EB"/>
    <w:rsid w:val="006504A6"/>
    <w:rsid w:val="0065098F"/>
    <w:rsid w:val="006527FF"/>
    <w:rsid w:val="0065559D"/>
    <w:rsid w:val="00656A8A"/>
    <w:rsid w:val="0065773A"/>
    <w:rsid w:val="00657C41"/>
    <w:rsid w:val="00660131"/>
    <w:rsid w:val="00662209"/>
    <w:rsid w:val="00670EF9"/>
    <w:rsid w:val="0067113E"/>
    <w:rsid w:val="00671B5B"/>
    <w:rsid w:val="00674065"/>
    <w:rsid w:val="006800C6"/>
    <w:rsid w:val="00681161"/>
    <w:rsid w:val="00681434"/>
    <w:rsid w:val="00683440"/>
    <w:rsid w:val="00684D25"/>
    <w:rsid w:val="006852BB"/>
    <w:rsid w:val="00685363"/>
    <w:rsid w:val="006866CD"/>
    <w:rsid w:val="0068724F"/>
    <w:rsid w:val="00687B57"/>
    <w:rsid w:val="00694DC9"/>
    <w:rsid w:val="0069672E"/>
    <w:rsid w:val="006A0941"/>
    <w:rsid w:val="006A1DEF"/>
    <w:rsid w:val="006A7069"/>
    <w:rsid w:val="006A79DC"/>
    <w:rsid w:val="006B126B"/>
    <w:rsid w:val="006B192F"/>
    <w:rsid w:val="006B262F"/>
    <w:rsid w:val="006B7225"/>
    <w:rsid w:val="006B7253"/>
    <w:rsid w:val="006C0817"/>
    <w:rsid w:val="006C1733"/>
    <w:rsid w:val="006C36D5"/>
    <w:rsid w:val="006C4AF4"/>
    <w:rsid w:val="006C4C82"/>
    <w:rsid w:val="006C5B09"/>
    <w:rsid w:val="006D0113"/>
    <w:rsid w:val="006D095B"/>
    <w:rsid w:val="006D0F72"/>
    <w:rsid w:val="006D15F7"/>
    <w:rsid w:val="006D3F2F"/>
    <w:rsid w:val="006D4F09"/>
    <w:rsid w:val="006D5F4F"/>
    <w:rsid w:val="006E0EAB"/>
    <w:rsid w:val="006E183C"/>
    <w:rsid w:val="006E3536"/>
    <w:rsid w:val="006E491E"/>
    <w:rsid w:val="006E6C79"/>
    <w:rsid w:val="006F2B99"/>
    <w:rsid w:val="006F3B12"/>
    <w:rsid w:val="006F40C9"/>
    <w:rsid w:val="007001D3"/>
    <w:rsid w:val="00701100"/>
    <w:rsid w:val="007012AF"/>
    <w:rsid w:val="007102B1"/>
    <w:rsid w:val="00713964"/>
    <w:rsid w:val="00714488"/>
    <w:rsid w:val="0071531A"/>
    <w:rsid w:val="007158C6"/>
    <w:rsid w:val="0071737F"/>
    <w:rsid w:val="00720507"/>
    <w:rsid w:val="007215EF"/>
    <w:rsid w:val="007301C9"/>
    <w:rsid w:val="00730B7F"/>
    <w:rsid w:val="00731A95"/>
    <w:rsid w:val="007349BC"/>
    <w:rsid w:val="007373F6"/>
    <w:rsid w:val="00742044"/>
    <w:rsid w:val="00742F0D"/>
    <w:rsid w:val="00743548"/>
    <w:rsid w:val="00744120"/>
    <w:rsid w:val="007455DA"/>
    <w:rsid w:val="00750362"/>
    <w:rsid w:val="0075386F"/>
    <w:rsid w:val="00754A11"/>
    <w:rsid w:val="0075579D"/>
    <w:rsid w:val="00760304"/>
    <w:rsid w:val="00760E1B"/>
    <w:rsid w:val="00762DB5"/>
    <w:rsid w:val="00762F69"/>
    <w:rsid w:val="00764CF2"/>
    <w:rsid w:val="00764FE1"/>
    <w:rsid w:val="007650D1"/>
    <w:rsid w:val="00765230"/>
    <w:rsid w:val="007669DE"/>
    <w:rsid w:val="00767EAE"/>
    <w:rsid w:val="00770C45"/>
    <w:rsid w:val="00770DB0"/>
    <w:rsid w:val="00775165"/>
    <w:rsid w:val="0078001A"/>
    <w:rsid w:val="0078533C"/>
    <w:rsid w:val="00793DFA"/>
    <w:rsid w:val="007945C2"/>
    <w:rsid w:val="007A0363"/>
    <w:rsid w:val="007A071E"/>
    <w:rsid w:val="007A0FB0"/>
    <w:rsid w:val="007A5D53"/>
    <w:rsid w:val="007B0D3C"/>
    <w:rsid w:val="007B1271"/>
    <w:rsid w:val="007B6C6B"/>
    <w:rsid w:val="007C116C"/>
    <w:rsid w:val="007C1A67"/>
    <w:rsid w:val="007C3475"/>
    <w:rsid w:val="007C3C80"/>
    <w:rsid w:val="007C7864"/>
    <w:rsid w:val="007D0821"/>
    <w:rsid w:val="007D1569"/>
    <w:rsid w:val="007D1B28"/>
    <w:rsid w:val="007D25EB"/>
    <w:rsid w:val="007D28DD"/>
    <w:rsid w:val="007D7B9C"/>
    <w:rsid w:val="007E11DC"/>
    <w:rsid w:val="007E1A38"/>
    <w:rsid w:val="007E52E3"/>
    <w:rsid w:val="007E6C75"/>
    <w:rsid w:val="007F1FC1"/>
    <w:rsid w:val="007F2342"/>
    <w:rsid w:val="007F3268"/>
    <w:rsid w:val="007F3554"/>
    <w:rsid w:val="007F3AC8"/>
    <w:rsid w:val="007F5213"/>
    <w:rsid w:val="007F6EDF"/>
    <w:rsid w:val="008017BC"/>
    <w:rsid w:val="00803056"/>
    <w:rsid w:val="0080322B"/>
    <w:rsid w:val="008035C3"/>
    <w:rsid w:val="00803F26"/>
    <w:rsid w:val="00804961"/>
    <w:rsid w:val="00804B8B"/>
    <w:rsid w:val="00806F63"/>
    <w:rsid w:val="00807F06"/>
    <w:rsid w:val="00811196"/>
    <w:rsid w:val="008147ED"/>
    <w:rsid w:val="00815060"/>
    <w:rsid w:val="0081533C"/>
    <w:rsid w:val="008161D7"/>
    <w:rsid w:val="0082003D"/>
    <w:rsid w:val="00820661"/>
    <w:rsid w:val="00821048"/>
    <w:rsid w:val="0082437F"/>
    <w:rsid w:val="00834EF0"/>
    <w:rsid w:val="008357F8"/>
    <w:rsid w:val="00836262"/>
    <w:rsid w:val="00836E3A"/>
    <w:rsid w:val="00837210"/>
    <w:rsid w:val="008373B4"/>
    <w:rsid w:val="00837E2A"/>
    <w:rsid w:val="00841443"/>
    <w:rsid w:val="00841C1F"/>
    <w:rsid w:val="0084238D"/>
    <w:rsid w:val="00843CE0"/>
    <w:rsid w:val="0084625C"/>
    <w:rsid w:val="008472B8"/>
    <w:rsid w:val="00850427"/>
    <w:rsid w:val="008524BA"/>
    <w:rsid w:val="008526D9"/>
    <w:rsid w:val="008529A2"/>
    <w:rsid w:val="008529DA"/>
    <w:rsid w:val="00852ADB"/>
    <w:rsid w:val="0085439B"/>
    <w:rsid w:val="008579B4"/>
    <w:rsid w:val="008628CD"/>
    <w:rsid w:val="008656B1"/>
    <w:rsid w:val="00865BB2"/>
    <w:rsid w:val="00867D26"/>
    <w:rsid w:val="0087032E"/>
    <w:rsid w:val="008703D7"/>
    <w:rsid w:val="0087079F"/>
    <w:rsid w:val="00871A6C"/>
    <w:rsid w:val="00871ABF"/>
    <w:rsid w:val="00871FEA"/>
    <w:rsid w:val="00872A6F"/>
    <w:rsid w:val="00873EF6"/>
    <w:rsid w:val="008751B9"/>
    <w:rsid w:val="00875CCB"/>
    <w:rsid w:val="008831AC"/>
    <w:rsid w:val="008833F3"/>
    <w:rsid w:val="008847AB"/>
    <w:rsid w:val="00885AB8"/>
    <w:rsid w:val="0088656A"/>
    <w:rsid w:val="008900AF"/>
    <w:rsid w:val="00890B2A"/>
    <w:rsid w:val="008928E5"/>
    <w:rsid w:val="00892CB3"/>
    <w:rsid w:val="0089319F"/>
    <w:rsid w:val="00895102"/>
    <w:rsid w:val="00897793"/>
    <w:rsid w:val="008A1632"/>
    <w:rsid w:val="008A1C57"/>
    <w:rsid w:val="008A56E7"/>
    <w:rsid w:val="008A628A"/>
    <w:rsid w:val="008A6F83"/>
    <w:rsid w:val="008B05C3"/>
    <w:rsid w:val="008B4965"/>
    <w:rsid w:val="008B78B1"/>
    <w:rsid w:val="008C1161"/>
    <w:rsid w:val="008C13E1"/>
    <w:rsid w:val="008C1CCF"/>
    <w:rsid w:val="008C4928"/>
    <w:rsid w:val="008C5D48"/>
    <w:rsid w:val="008C7730"/>
    <w:rsid w:val="008C7EE2"/>
    <w:rsid w:val="008D0503"/>
    <w:rsid w:val="008D19B5"/>
    <w:rsid w:val="008D19FD"/>
    <w:rsid w:val="008D1ABD"/>
    <w:rsid w:val="008D3A0D"/>
    <w:rsid w:val="008D442D"/>
    <w:rsid w:val="008D5941"/>
    <w:rsid w:val="008E05D7"/>
    <w:rsid w:val="008E0C4E"/>
    <w:rsid w:val="008E25D6"/>
    <w:rsid w:val="008E4AB1"/>
    <w:rsid w:val="008E5108"/>
    <w:rsid w:val="008E5150"/>
    <w:rsid w:val="008E6CA4"/>
    <w:rsid w:val="008E7BD4"/>
    <w:rsid w:val="008F0A95"/>
    <w:rsid w:val="008F4D58"/>
    <w:rsid w:val="008F4F9E"/>
    <w:rsid w:val="008F567D"/>
    <w:rsid w:val="008F6F1A"/>
    <w:rsid w:val="008F6F81"/>
    <w:rsid w:val="008F7433"/>
    <w:rsid w:val="008F7897"/>
    <w:rsid w:val="0090137A"/>
    <w:rsid w:val="0090195E"/>
    <w:rsid w:val="00901AC7"/>
    <w:rsid w:val="00903370"/>
    <w:rsid w:val="00903396"/>
    <w:rsid w:val="00905136"/>
    <w:rsid w:val="009109BF"/>
    <w:rsid w:val="00910AD4"/>
    <w:rsid w:val="00910C8F"/>
    <w:rsid w:val="00910E54"/>
    <w:rsid w:val="00912755"/>
    <w:rsid w:val="00912D79"/>
    <w:rsid w:val="0091349A"/>
    <w:rsid w:val="00913D2B"/>
    <w:rsid w:val="00914399"/>
    <w:rsid w:val="0091530C"/>
    <w:rsid w:val="009158BF"/>
    <w:rsid w:val="00915EDC"/>
    <w:rsid w:val="009209A7"/>
    <w:rsid w:val="0092520D"/>
    <w:rsid w:val="00931108"/>
    <w:rsid w:val="00932F54"/>
    <w:rsid w:val="00933E08"/>
    <w:rsid w:val="009342FC"/>
    <w:rsid w:val="00934976"/>
    <w:rsid w:val="00936068"/>
    <w:rsid w:val="00937516"/>
    <w:rsid w:val="00937813"/>
    <w:rsid w:val="0094008E"/>
    <w:rsid w:val="00941FED"/>
    <w:rsid w:val="00943806"/>
    <w:rsid w:val="009450BC"/>
    <w:rsid w:val="00945A59"/>
    <w:rsid w:val="00946351"/>
    <w:rsid w:val="009467FD"/>
    <w:rsid w:val="00947F7E"/>
    <w:rsid w:val="009517CC"/>
    <w:rsid w:val="009518DA"/>
    <w:rsid w:val="00952D0F"/>
    <w:rsid w:val="00953537"/>
    <w:rsid w:val="00960576"/>
    <w:rsid w:val="00960A85"/>
    <w:rsid w:val="00961523"/>
    <w:rsid w:val="009615D4"/>
    <w:rsid w:val="00961DD9"/>
    <w:rsid w:val="00962905"/>
    <w:rsid w:val="00966B2B"/>
    <w:rsid w:val="009705D3"/>
    <w:rsid w:val="00970A20"/>
    <w:rsid w:val="0097163D"/>
    <w:rsid w:val="00971C2D"/>
    <w:rsid w:val="009721F8"/>
    <w:rsid w:val="009737FA"/>
    <w:rsid w:val="00974677"/>
    <w:rsid w:val="00976023"/>
    <w:rsid w:val="0098043F"/>
    <w:rsid w:val="00980461"/>
    <w:rsid w:val="009836F4"/>
    <w:rsid w:val="009854CF"/>
    <w:rsid w:val="009864AF"/>
    <w:rsid w:val="009876EC"/>
    <w:rsid w:val="00990092"/>
    <w:rsid w:val="009901F4"/>
    <w:rsid w:val="00990944"/>
    <w:rsid w:val="00990DBA"/>
    <w:rsid w:val="009936CE"/>
    <w:rsid w:val="009968FB"/>
    <w:rsid w:val="009969C3"/>
    <w:rsid w:val="00997CE6"/>
    <w:rsid w:val="00997D96"/>
    <w:rsid w:val="009A1405"/>
    <w:rsid w:val="009A1AFD"/>
    <w:rsid w:val="009A2F17"/>
    <w:rsid w:val="009A3709"/>
    <w:rsid w:val="009A3C2B"/>
    <w:rsid w:val="009A645C"/>
    <w:rsid w:val="009B1446"/>
    <w:rsid w:val="009B262F"/>
    <w:rsid w:val="009B66D9"/>
    <w:rsid w:val="009B6D47"/>
    <w:rsid w:val="009C01AE"/>
    <w:rsid w:val="009C0DBC"/>
    <w:rsid w:val="009C2394"/>
    <w:rsid w:val="009C2B11"/>
    <w:rsid w:val="009C4571"/>
    <w:rsid w:val="009C6075"/>
    <w:rsid w:val="009C68B6"/>
    <w:rsid w:val="009C7E03"/>
    <w:rsid w:val="009D24F5"/>
    <w:rsid w:val="009D2F2C"/>
    <w:rsid w:val="009D6980"/>
    <w:rsid w:val="009E0494"/>
    <w:rsid w:val="009E04A3"/>
    <w:rsid w:val="009E0710"/>
    <w:rsid w:val="009E1431"/>
    <w:rsid w:val="009E185B"/>
    <w:rsid w:val="009E19A3"/>
    <w:rsid w:val="009E2BF5"/>
    <w:rsid w:val="009E3265"/>
    <w:rsid w:val="009E4DC0"/>
    <w:rsid w:val="009F64FF"/>
    <w:rsid w:val="009F6833"/>
    <w:rsid w:val="009F7FD9"/>
    <w:rsid w:val="00A040E5"/>
    <w:rsid w:val="00A0636B"/>
    <w:rsid w:val="00A0757A"/>
    <w:rsid w:val="00A11DC2"/>
    <w:rsid w:val="00A128B7"/>
    <w:rsid w:val="00A13664"/>
    <w:rsid w:val="00A15874"/>
    <w:rsid w:val="00A21C54"/>
    <w:rsid w:val="00A231B1"/>
    <w:rsid w:val="00A2392C"/>
    <w:rsid w:val="00A25B43"/>
    <w:rsid w:val="00A27A1B"/>
    <w:rsid w:val="00A31029"/>
    <w:rsid w:val="00A34FC6"/>
    <w:rsid w:val="00A36D93"/>
    <w:rsid w:val="00A4030B"/>
    <w:rsid w:val="00A410F7"/>
    <w:rsid w:val="00A416AD"/>
    <w:rsid w:val="00A471AE"/>
    <w:rsid w:val="00A47CA2"/>
    <w:rsid w:val="00A50090"/>
    <w:rsid w:val="00A505D6"/>
    <w:rsid w:val="00A50CD9"/>
    <w:rsid w:val="00A51374"/>
    <w:rsid w:val="00A54652"/>
    <w:rsid w:val="00A548D7"/>
    <w:rsid w:val="00A5529A"/>
    <w:rsid w:val="00A5703F"/>
    <w:rsid w:val="00A57443"/>
    <w:rsid w:val="00A579ED"/>
    <w:rsid w:val="00A61C4A"/>
    <w:rsid w:val="00A63299"/>
    <w:rsid w:val="00A6485F"/>
    <w:rsid w:val="00A65DCB"/>
    <w:rsid w:val="00A66D93"/>
    <w:rsid w:val="00A70D8C"/>
    <w:rsid w:val="00A749B4"/>
    <w:rsid w:val="00A75DCB"/>
    <w:rsid w:val="00A76AF8"/>
    <w:rsid w:val="00A76EA7"/>
    <w:rsid w:val="00A77842"/>
    <w:rsid w:val="00A77ADA"/>
    <w:rsid w:val="00A77AE5"/>
    <w:rsid w:val="00A8183A"/>
    <w:rsid w:val="00A82F3C"/>
    <w:rsid w:val="00A82FF7"/>
    <w:rsid w:val="00A838DE"/>
    <w:rsid w:val="00A848E7"/>
    <w:rsid w:val="00A85409"/>
    <w:rsid w:val="00A85C57"/>
    <w:rsid w:val="00A86051"/>
    <w:rsid w:val="00A8625F"/>
    <w:rsid w:val="00A87050"/>
    <w:rsid w:val="00A87AB4"/>
    <w:rsid w:val="00A90151"/>
    <w:rsid w:val="00A90256"/>
    <w:rsid w:val="00A90E3E"/>
    <w:rsid w:val="00A91AE4"/>
    <w:rsid w:val="00A91E15"/>
    <w:rsid w:val="00A9359B"/>
    <w:rsid w:val="00A94000"/>
    <w:rsid w:val="00A9545C"/>
    <w:rsid w:val="00A9556C"/>
    <w:rsid w:val="00A970A6"/>
    <w:rsid w:val="00AA163B"/>
    <w:rsid w:val="00AA3049"/>
    <w:rsid w:val="00AA3569"/>
    <w:rsid w:val="00AA39FA"/>
    <w:rsid w:val="00AA423A"/>
    <w:rsid w:val="00AB10F4"/>
    <w:rsid w:val="00AB1AE2"/>
    <w:rsid w:val="00AB25BC"/>
    <w:rsid w:val="00AB2D17"/>
    <w:rsid w:val="00AB34AD"/>
    <w:rsid w:val="00AB3888"/>
    <w:rsid w:val="00AB46E2"/>
    <w:rsid w:val="00AB53A1"/>
    <w:rsid w:val="00AB6052"/>
    <w:rsid w:val="00AB6F8B"/>
    <w:rsid w:val="00AB7849"/>
    <w:rsid w:val="00AC2DA8"/>
    <w:rsid w:val="00AC4670"/>
    <w:rsid w:val="00AC46FC"/>
    <w:rsid w:val="00AC4F7C"/>
    <w:rsid w:val="00AC587D"/>
    <w:rsid w:val="00AD1AA2"/>
    <w:rsid w:val="00AD4446"/>
    <w:rsid w:val="00AD52CA"/>
    <w:rsid w:val="00AD7377"/>
    <w:rsid w:val="00AD7A30"/>
    <w:rsid w:val="00AE190A"/>
    <w:rsid w:val="00AE1CBC"/>
    <w:rsid w:val="00AE6694"/>
    <w:rsid w:val="00AE6CE2"/>
    <w:rsid w:val="00AE7C03"/>
    <w:rsid w:val="00AF0D40"/>
    <w:rsid w:val="00AF198B"/>
    <w:rsid w:val="00AF28A2"/>
    <w:rsid w:val="00AF2925"/>
    <w:rsid w:val="00AF3BD9"/>
    <w:rsid w:val="00AF3F59"/>
    <w:rsid w:val="00AF479F"/>
    <w:rsid w:val="00AF6B4B"/>
    <w:rsid w:val="00AF768E"/>
    <w:rsid w:val="00AF7BC0"/>
    <w:rsid w:val="00B003FF"/>
    <w:rsid w:val="00B038B9"/>
    <w:rsid w:val="00B03ECA"/>
    <w:rsid w:val="00B044BC"/>
    <w:rsid w:val="00B05511"/>
    <w:rsid w:val="00B0592B"/>
    <w:rsid w:val="00B05AED"/>
    <w:rsid w:val="00B05D91"/>
    <w:rsid w:val="00B05DD4"/>
    <w:rsid w:val="00B113E6"/>
    <w:rsid w:val="00B11F80"/>
    <w:rsid w:val="00B17093"/>
    <w:rsid w:val="00B23258"/>
    <w:rsid w:val="00B23603"/>
    <w:rsid w:val="00B26C4B"/>
    <w:rsid w:val="00B302FA"/>
    <w:rsid w:val="00B32D6C"/>
    <w:rsid w:val="00B34048"/>
    <w:rsid w:val="00B35C31"/>
    <w:rsid w:val="00B3749D"/>
    <w:rsid w:val="00B37F0F"/>
    <w:rsid w:val="00B40DBE"/>
    <w:rsid w:val="00B4132F"/>
    <w:rsid w:val="00B418F8"/>
    <w:rsid w:val="00B43AF4"/>
    <w:rsid w:val="00B443CC"/>
    <w:rsid w:val="00B44645"/>
    <w:rsid w:val="00B448AE"/>
    <w:rsid w:val="00B51BA2"/>
    <w:rsid w:val="00B62BF2"/>
    <w:rsid w:val="00B641AF"/>
    <w:rsid w:val="00B65DAA"/>
    <w:rsid w:val="00B66B2F"/>
    <w:rsid w:val="00B720EC"/>
    <w:rsid w:val="00B72947"/>
    <w:rsid w:val="00B73F5D"/>
    <w:rsid w:val="00B74F7F"/>
    <w:rsid w:val="00B75B08"/>
    <w:rsid w:val="00B7663C"/>
    <w:rsid w:val="00B8164B"/>
    <w:rsid w:val="00B82A15"/>
    <w:rsid w:val="00B84869"/>
    <w:rsid w:val="00B84EBD"/>
    <w:rsid w:val="00B86607"/>
    <w:rsid w:val="00B87859"/>
    <w:rsid w:val="00B91D47"/>
    <w:rsid w:val="00B92057"/>
    <w:rsid w:val="00B92DC0"/>
    <w:rsid w:val="00B93268"/>
    <w:rsid w:val="00B9536B"/>
    <w:rsid w:val="00B953E2"/>
    <w:rsid w:val="00B96D01"/>
    <w:rsid w:val="00B97F76"/>
    <w:rsid w:val="00BA1CE6"/>
    <w:rsid w:val="00BA1F2F"/>
    <w:rsid w:val="00BA3CB8"/>
    <w:rsid w:val="00BA4989"/>
    <w:rsid w:val="00BA66E0"/>
    <w:rsid w:val="00BA7623"/>
    <w:rsid w:val="00BB00CE"/>
    <w:rsid w:val="00BB061D"/>
    <w:rsid w:val="00BB1B3C"/>
    <w:rsid w:val="00BB326F"/>
    <w:rsid w:val="00BB62DB"/>
    <w:rsid w:val="00BC0DCE"/>
    <w:rsid w:val="00BC127C"/>
    <w:rsid w:val="00BC5821"/>
    <w:rsid w:val="00BC6606"/>
    <w:rsid w:val="00BC6FF6"/>
    <w:rsid w:val="00BC7C1B"/>
    <w:rsid w:val="00BD190D"/>
    <w:rsid w:val="00BE0F09"/>
    <w:rsid w:val="00BE4261"/>
    <w:rsid w:val="00BE67A4"/>
    <w:rsid w:val="00BF04DF"/>
    <w:rsid w:val="00BF0EF2"/>
    <w:rsid w:val="00BF11A0"/>
    <w:rsid w:val="00BF5E0C"/>
    <w:rsid w:val="00BF68C8"/>
    <w:rsid w:val="00C012DB"/>
    <w:rsid w:val="00C016A3"/>
    <w:rsid w:val="00C01E68"/>
    <w:rsid w:val="00C033EE"/>
    <w:rsid w:val="00C0755F"/>
    <w:rsid w:val="00C111C3"/>
    <w:rsid w:val="00C11924"/>
    <w:rsid w:val="00C1380D"/>
    <w:rsid w:val="00C14016"/>
    <w:rsid w:val="00C17B40"/>
    <w:rsid w:val="00C20EC9"/>
    <w:rsid w:val="00C221A0"/>
    <w:rsid w:val="00C23806"/>
    <w:rsid w:val="00C238D1"/>
    <w:rsid w:val="00C240B6"/>
    <w:rsid w:val="00C25C46"/>
    <w:rsid w:val="00C279F1"/>
    <w:rsid w:val="00C30498"/>
    <w:rsid w:val="00C31E23"/>
    <w:rsid w:val="00C324CF"/>
    <w:rsid w:val="00C326F9"/>
    <w:rsid w:val="00C332D6"/>
    <w:rsid w:val="00C33626"/>
    <w:rsid w:val="00C352B1"/>
    <w:rsid w:val="00C3595B"/>
    <w:rsid w:val="00C36FFC"/>
    <w:rsid w:val="00C371BF"/>
    <w:rsid w:val="00C37A29"/>
    <w:rsid w:val="00C41A73"/>
    <w:rsid w:val="00C42A48"/>
    <w:rsid w:val="00C46B37"/>
    <w:rsid w:val="00C500A6"/>
    <w:rsid w:val="00C501FC"/>
    <w:rsid w:val="00C56AB4"/>
    <w:rsid w:val="00C56D73"/>
    <w:rsid w:val="00C66315"/>
    <w:rsid w:val="00C70D80"/>
    <w:rsid w:val="00C70EFC"/>
    <w:rsid w:val="00C71688"/>
    <w:rsid w:val="00C71A89"/>
    <w:rsid w:val="00C7356A"/>
    <w:rsid w:val="00C74B46"/>
    <w:rsid w:val="00C74F53"/>
    <w:rsid w:val="00C75C56"/>
    <w:rsid w:val="00C82012"/>
    <w:rsid w:val="00C823F7"/>
    <w:rsid w:val="00C84ACD"/>
    <w:rsid w:val="00C8518F"/>
    <w:rsid w:val="00C87A8D"/>
    <w:rsid w:val="00C90CF8"/>
    <w:rsid w:val="00C90F8C"/>
    <w:rsid w:val="00C9170C"/>
    <w:rsid w:val="00C932F3"/>
    <w:rsid w:val="00C94B07"/>
    <w:rsid w:val="00C96ECE"/>
    <w:rsid w:val="00C97F43"/>
    <w:rsid w:val="00CA0B3F"/>
    <w:rsid w:val="00CA713E"/>
    <w:rsid w:val="00CA7D34"/>
    <w:rsid w:val="00CB6B31"/>
    <w:rsid w:val="00CC059D"/>
    <w:rsid w:val="00CC1A93"/>
    <w:rsid w:val="00CC3573"/>
    <w:rsid w:val="00CC3DE4"/>
    <w:rsid w:val="00CC459B"/>
    <w:rsid w:val="00CC4C9D"/>
    <w:rsid w:val="00CC5F5B"/>
    <w:rsid w:val="00CD0ECA"/>
    <w:rsid w:val="00CD166A"/>
    <w:rsid w:val="00CD237B"/>
    <w:rsid w:val="00CD284A"/>
    <w:rsid w:val="00CD61EB"/>
    <w:rsid w:val="00CD63C0"/>
    <w:rsid w:val="00CD76AF"/>
    <w:rsid w:val="00CD7F44"/>
    <w:rsid w:val="00CE1E7B"/>
    <w:rsid w:val="00CE43AF"/>
    <w:rsid w:val="00CE4D3A"/>
    <w:rsid w:val="00CE5582"/>
    <w:rsid w:val="00CE64FD"/>
    <w:rsid w:val="00CE7236"/>
    <w:rsid w:val="00CF019D"/>
    <w:rsid w:val="00CF02F0"/>
    <w:rsid w:val="00CF243D"/>
    <w:rsid w:val="00CF2CEC"/>
    <w:rsid w:val="00CF448D"/>
    <w:rsid w:val="00CF4BC6"/>
    <w:rsid w:val="00CF4C51"/>
    <w:rsid w:val="00CF748A"/>
    <w:rsid w:val="00CF7F06"/>
    <w:rsid w:val="00D00441"/>
    <w:rsid w:val="00D007C0"/>
    <w:rsid w:val="00D01615"/>
    <w:rsid w:val="00D02433"/>
    <w:rsid w:val="00D02878"/>
    <w:rsid w:val="00D0352E"/>
    <w:rsid w:val="00D03FDC"/>
    <w:rsid w:val="00D10F14"/>
    <w:rsid w:val="00D11E63"/>
    <w:rsid w:val="00D12F6A"/>
    <w:rsid w:val="00D14228"/>
    <w:rsid w:val="00D15113"/>
    <w:rsid w:val="00D15B7C"/>
    <w:rsid w:val="00D15B7D"/>
    <w:rsid w:val="00D16D4B"/>
    <w:rsid w:val="00D16F74"/>
    <w:rsid w:val="00D17C1D"/>
    <w:rsid w:val="00D17CB6"/>
    <w:rsid w:val="00D30791"/>
    <w:rsid w:val="00D31E3E"/>
    <w:rsid w:val="00D330CA"/>
    <w:rsid w:val="00D3316D"/>
    <w:rsid w:val="00D3720F"/>
    <w:rsid w:val="00D37430"/>
    <w:rsid w:val="00D37882"/>
    <w:rsid w:val="00D42D29"/>
    <w:rsid w:val="00D45B0A"/>
    <w:rsid w:val="00D46FD9"/>
    <w:rsid w:val="00D50BFE"/>
    <w:rsid w:val="00D51DEB"/>
    <w:rsid w:val="00D52598"/>
    <w:rsid w:val="00D53EA1"/>
    <w:rsid w:val="00D55931"/>
    <w:rsid w:val="00D55F63"/>
    <w:rsid w:val="00D56DF7"/>
    <w:rsid w:val="00D60649"/>
    <w:rsid w:val="00D6131D"/>
    <w:rsid w:val="00D61E88"/>
    <w:rsid w:val="00D62AF1"/>
    <w:rsid w:val="00D62CAD"/>
    <w:rsid w:val="00D66E77"/>
    <w:rsid w:val="00D73A0C"/>
    <w:rsid w:val="00D756E1"/>
    <w:rsid w:val="00D758DF"/>
    <w:rsid w:val="00D83923"/>
    <w:rsid w:val="00D84139"/>
    <w:rsid w:val="00D903A7"/>
    <w:rsid w:val="00D90690"/>
    <w:rsid w:val="00D91895"/>
    <w:rsid w:val="00D92DB6"/>
    <w:rsid w:val="00D92DEC"/>
    <w:rsid w:val="00D93E37"/>
    <w:rsid w:val="00D9419D"/>
    <w:rsid w:val="00D94350"/>
    <w:rsid w:val="00D95FC2"/>
    <w:rsid w:val="00D963A8"/>
    <w:rsid w:val="00D96F65"/>
    <w:rsid w:val="00DA136C"/>
    <w:rsid w:val="00DA3017"/>
    <w:rsid w:val="00DA5484"/>
    <w:rsid w:val="00DA5633"/>
    <w:rsid w:val="00DA5C62"/>
    <w:rsid w:val="00DB0F3F"/>
    <w:rsid w:val="00DB2572"/>
    <w:rsid w:val="00DB2629"/>
    <w:rsid w:val="00DB2CAC"/>
    <w:rsid w:val="00DB34BF"/>
    <w:rsid w:val="00DB4AC6"/>
    <w:rsid w:val="00DB6CAD"/>
    <w:rsid w:val="00DB7E8D"/>
    <w:rsid w:val="00DC0C98"/>
    <w:rsid w:val="00DC1012"/>
    <w:rsid w:val="00DC18D8"/>
    <w:rsid w:val="00DC1B37"/>
    <w:rsid w:val="00DC1F12"/>
    <w:rsid w:val="00DC4FEE"/>
    <w:rsid w:val="00DC5DFF"/>
    <w:rsid w:val="00DC65E4"/>
    <w:rsid w:val="00DC6A68"/>
    <w:rsid w:val="00DC6B6A"/>
    <w:rsid w:val="00DC7446"/>
    <w:rsid w:val="00DC74CB"/>
    <w:rsid w:val="00DD134A"/>
    <w:rsid w:val="00DD1647"/>
    <w:rsid w:val="00DD1B76"/>
    <w:rsid w:val="00DD37AC"/>
    <w:rsid w:val="00DD3A32"/>
    <w:rsid w:val="00DD6473"/>
    <w:rsid w:val="00DD6B85"/>
    <w:rsid w:val="00DE0A4D"/>
    <w:rsid w:val="00DE2F51"/>
    <w:rsid w:val="00DE6AC5"/>
    <w:rsid w:val="00DF0986"/>
    <w:rsid w:val="00DF2B2D"/>
    <w:rsid w:val="00DF3964"/>
    <w:rsid w:val="00DF4E3E"/>
    <w:rsid w:val="00DF57D9"/>
    <w:rsid w:val="00DF5D4F"/>
    <w:rsid w:val="00DF60B9"/>
    <w:rsid w:val="00DF63B7"/>
    <w:rsid w:val="00DF6785"/>
    <w:rsid w:val="00DF7DB3"/>
    <w:rsid w:val="00E005EB"/>
    <w:rsid w:val="00E010CD"/>
    <w:rsid w:val="00E0259A"/>
    <w:rsid w:val="00E0453D"/>
    <w:rsid w:val="00E048AD"/>
    <w:rsid w:val="00E05FA6"/>
    <w:rsid w:val="00E11A22"/>
    <w:rsid w:val="00E140B8"/>
    <w:rsid w:val="00E15028"/>
    <w:rsid w:val="00E15056"/>
    <w:rsid w:val="00E15A2F"/>
    <w:rsid w:val="00E17269"/>
    <w:rsid w:val="00E20AA6"/>
    <w:rsid w:val="00E25474"/>
    <w:rsid w:val="00E30540"/>
    <w:rsid w:val="00E30D77"/>
    <w:rsid w:val="00E3211C"/>
    <w:rsid w:val="00E32584"/>
    <w:rsid w:val="00E325AD"/>
    <w:rsid w:val="00E32B4C"/>
    <w:rsid w:val="00E32EE5"/>
    <w:rsid w:val="00E32F93"/>
    <w:rsid w:val="00E350D9"/>
    <w:rsid w:val="00E36A4F"/>
    <w:rsid w:val="00E379F7"/>
    <w:rsid w:val="00E421CF"/>
    <w:rsid w:val="00E42BDA"/>
    <w:rsid w:val="00E42CE7"/>
    <w:rsid w:val="00E44646"/>
    <w:rsid w:val="00E452CE"/>
    <w:rsid w:val="00E47107"/>
    <w:rsid w:val="00E52AE9"/>
    <w:rsid w:val="00E53E99"/>
    <w:rsid w:val="00E54ACD"/>
    <w:rsid w:val="00E54B2B"/>
    <w:rsid w:val="00E61632"/>
    <w:rsid w:val="00E61AF8"/>
    <w:rsid w:val="00E61D53"/>
    <w:rsid w:val="00E70DD7"/>
    <w:rsid w:val="00E72EE0"/>
    <w:rsid w:val="00E739ED"/>
    <w:rsid w:val="00E741FB"/>
    <w:rsid w:val="00E8634F"/>
    <w:rsid w:val="00E9167B"/>
    <w:rsid w:val="00E91A7E"/>
    <w:rsid w:val="00E91FED"/>
    <w:rsid w:val="00E930F5"/>
    <w:rsid w:val="00E946E6"/>
    <w:rsid w:val="00EA0D1D"/>
    <w:rsid w:val="00EA1943"/>
    <w:rsid w:val="00EA3421"/>
    <w:rsid w:val="00EB3F9D"/>
    <w:rsid w:val="00EB5DC6"/>
    <w:rsid w:val="00EB755B"/>
    <w:rsid w:val="00EC07FE"/>
    <w:rsid w:val="00EC12C7"/>
    <w:rsid w:val="00EC2BD4"/>
    <w:rsid w:val="00EC4FD8"/>
    <w:rsid w:val="00EC6F22"/>
    <w:rsid w:val="00EC77DD"/>
    <w:rsid w:val="00ED0765"/>
    <w:rsid w:val="00ED0C14"/>
    <w:rsid w:val="00ED3114"/>
    <w:rsid w:val="00ED4983"/>
    <w:rsid w:val="00ED4B50"/>
    <w:rsid w:val="00ED4FB3"/>
    <w:rsid w:val="00ED5562"/>
    <w:rsid w:val="00ED6125"/>
    <w:rsid w:val="00EE0C63"/>
    <w:rsid w:val="00EE1451"/>
    <w:rsid w:val="00EE1E4B"/>
    <w:rsid w:val="00EE3F22"/>
    <w:rsid w:val="00EE6F14"/>
    <w:rsid w:val="00EF0E66"/>
    <w:rsid w:val="00EF35A0"/>
    <w:rsid w:val="00EF3F23"/>
    <w:rsid w:val="00EF7BB0"/>
    <w:rsid w:val="00F01BE1"/>
    <w:rsid w:val="00F02C64"/>
    <w:rsid w:val="00F04EA7"/>
    <w:rsid w:val="00F07306"/>
    <w:rsid w:val="00F15989"/>
    <w:rsid w:val="00F162D4"/>
    <w:rsid w:val="00F171AC"/>
    <w:rsid w:val="00F20016"/>
    <w:rsid w:val="00F2058B"/>
    <w:rsid w:val="00F25AE6"/>
    <w:rsid w:val="00F265D7"/>
    <w:rsid w:val="00F3209B"/>
    <w:rsid w:val="00F3214C"/>
    <w:rsid w:val="00F33F8D"/>
    <w:rsid w:val="00F341E8"/>
    <w:rsid w:val="00F37CB6"/>
    <w:rsid w:val="00F37F65"/>
    <w:rsid w:val="00F4010B"/>
    <w:rsid w:val="00F437D7"/>
    <w:rsid w:val="00F46E42"/>
    <w:rsid w:val="00F4702C"/>
    <w:rsid w:val="00F4772D"/>
    <w:rsid w:val="00F47A4C"/>
    <w:rsid w:val="00F505B8"/>
    <w:rsid w:val="00F511C0"/>
    <w:rsid w:val="00F53EFE"/>
    <w:rsid w:val="00F54B5E"/>
    <w:rsid w:val="00F54D79"/>
    <w:rsid w:val="00F54E2C"/>
    <w:rsid w:val="00F57FDF"/>
    <w:rsid w:val="00F60BA2"/>
    <w:rsid w:val="00F60F8D"/>
    <w:rsid w:val="00F634F6"/>
    <w:rsid w:val="00F643F1"/>
    <w:rsid w:val="00F648CD"/>
    <w:rsid w:val="00F70B6B"/>
    <w:rsid w:val="00F7752E"/>
    <w:rsid w:val="00F77B4D"/>
    <w:rsid w:val="00F77EA5"/>
    <w:rsid w:val="00F80270"/>
    <w:rsid w:val="00F82B46"/>
    <w:rsid w:val="00F83972"/>
    <w:rsid w:val="00F854F7"/>
    <w:rsid w:val="00F86FF4"/>
    <w:rsid w:val="00F87B07"/>
    <w:rsid w:val="00F914DF"/>
    <w:rsid w:val="00F91560"/>
    <w:rsid w:val="00F94880"/>
    <w:rsid w:val="00F94A6B"/>
    <w:rsid w:val="00F95ADB"/>
    <w:rsid w:val="00F95CE5"/>
    <w:rsid w:val="00F96310"/>
    <w:rsid w:val="00F969B6"/>
    <w:rsid w:val="00FA33D2"/>
    <w:rsid w:val="00FA396E"/>
    <w:rsid w:val="00FB016C"/>
    <w:rsid w:val="00FB0E3A"/>
    <w:rsid w:val="00FB148D"/>
    <w:rsid w:val="00FB4E93"/>
    <w:rsid w:val="00FB51B3"/>
    <w:rsid w:val="00FB708D"/>
    <w:rsid w:val="00FC28A9"/>
    <w:rsid w:val="00FC28AF"/>
    <w:rsid w:val="00FC2D8B"/>
    <w:rsid w:val="00FC465C"/>
    <w:rsid w:val="00FC4D98"/>
    <w:rsid w:val="00FC6395"/>
    <w:rsid w:val="00FD3306"/>
    <w:rsid w:val="00FD36B1"/>
    <w:rsid w:val="00FD5F39"/>
    <w:rsid w:val="00FE0574"/>
    <w:rsid w:val="00FE4399"/>
    <w:rsid w:val="00FE468F"/>
    <w:rsid w:val="00FE47A7"/>
    <w:rsid w:val="00FE47AC"/>
    <w:rsid w:val="00FE59FD"/>
    <w:rsid w:val="00FE631F"/>
    <w:rsid w:val="00FE7F98"/>
    <w:rsid w:val="00FF0AFD"/>
    <w:rsid w:val="00FF2E7F"/>
    <w:rsid w:val="00FF306D"/>
    <w:rsid w:val="00FF39C4"/>
    <w:rsid w:val="00FF4FBA"/>
    <w:rsid w:val="00FF7714"/>
    <w:rsid w:val="40EDF02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E57EC"/>
  <w15:chartTrackingRefBased/>
  <w15:docId w15:val="{85814835-561D-4599-9EDB-205F412A9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373B4"/>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8"/>
      </w:numPr>
      <w:contextualSpacing/>
    </w:pPr>
  </w:style>
  <w:style w:type="paragraph" w:styleId="ListBullet2">
    <w:name w:val="List Bullet 2"/>
    <w:basedOn w:val="Normal"/>
    <w:uiPriority w:val="1"/>
    <w:qFormat/>
    <w:rsid w:val="008D19B5"/>
    <w:pPr>
      <w:numPr>
        <w:ilvl w:val="1"/>
        <w:numId w:val="18"/>
      </w:numPr>
      <w:contextualSpacing/>
    </w:pPr>
  </w:style>
  <w:style w:type="paragraph" w:styleId="ListNumber">
    <w:name w:val="List Number"/>
    <w:basedOn w:val="Normal"/>
    <w:uiPriority w:val="2"/>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8"/>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semiHidden/>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character" w:styleId="HTMLCite">
    <w:name w:val="HTML Cite"/>
    <w:basedOn w:val="DefaultParagraphFont"/>
    <w:uiPriority w:val="99"/>
    <w:semiHidden/>
    <w:unhideWhenUsed/>
    <w:rsid w:val="00905136"/>
    <w:rPr>
      <w:i/>
      <w:iCs/>
    </w:rPr>
  </w:style>
  <w:style w:type="character" w:styleId="FollowedHyperlink">
    <w:name w:val="FollowedHyperlink"/>
    <w:basedOn w:val="DefaultParagraphFont"/>
    <w:uiPriority w:val="99"/>
    <w:semiHidden/>
    <w:unhideWhenUsed/>
    <w:rsid w:val="003B5F69"/>
    <w:rPr>
      <w:color w:val="BFBFBF" w:themeColor="followedHyperlink"/>
      <w:u w:val="single"/>
    </w:rPr>
  </w:style>
  <w:style w:type="table" w:customStyle="1" w:styleId="Boxtable1">
    <w:name w:val="Box table1"/>
    <w:basedOn w:val="TableNormal"/>
    <w:uiPriority w:val="99"/>
    <w:rsid w:val="002F2532"/>
    <w:pPr>
      <w:spacing w:after="0" w:line="240" w:lineRule="auto"/>
    </w:pPr>
    <w:rPr>
      <w:rFonts w:ascii="Arial" w:eastAsia="Arial" w:hAnsi="Arial" w:cs="Times New Roman"/>
    </w:rPr>
    <w:tblPr>
      <w:tblInd w:w="0" w:type="nil"/>
      <w:tblCellMar>
        <w:top w:w="170" w:type="dxa"/>
        <w:left w:w="170" w:type="dxa"/>
        <w:bottom w:w="170" w:type="dxa"/>
        <w:right w:w="170" w:type="dxa"/>
      </w:tblCellMar>
    </w:tblPr>
    <w:tcPr>
      <w:shd w:val="clear" w:color="auto" w:fill="F4F5F6"/>
    </w:tcPr>
  </w:style>
  <w:style w:type="character" w:styleId="Mention">
    <w:name w:val="Mention"/>
    <w:basedOn w:val="DefaultParagraphFont"/>
    <w:uiPriority w:val="99"/>
    <w:unhideWhenUsed/>
    <w:rsid w:val="002F2532"/>
    <w:rPr>
      <w:color w:val="2B579A"/>
      <w:shd w:val="clear" w:color="auto" w:fill="E1DFDD"/>
    </w:rPr>
  </w:style>
  <w:style w:type="paragraph" w:styleId="NormalWeb">
    <w:name w:val="Normal (Web)"/>
    <w:basedOn w:val="Normal"/>
    <w:uiPriority w:val="99"/>
    <w:semiHidden/>
    <w:unhideWhenUsed/>
    <w:rsid w:val="002F2532"/>
    <w:pPr>
      <w:spacing w:before="100" w:beforeAutospacing="1" w:after="100" w:afterAutospacing="1" w:line="240" w:lineRule="auto"/>
    </w:pPr>
    <w:rPr>
      <w:rFonts w:ascii="Times New Roman" w:eastAsia="Times New Roman" w:hAnsi="Times New Roman" w:cs="Times New Roman"/>
      <w:sz w:val="24"/>
      <w:szCs w:val="24"/>
      <w:lang w:eastAsia="zh-CN" w:bidi="th-TH"/>
    </w:rPr>
  </w:style>
  <w:style w:type="character" w:styleId="EndnoteReference">
    <w:name w:val="endnote reference"/>
    <w:basedOn w:val="DefaultParagraphFont"/>
    <w:uiPriority w:val="99"/>
    <w:semiHidden/>
    <w:unhideWhenUsed/>
    <w:rsid w:val="002F2532"/>
    <w:rPr>
      <w:vertAlign w:val="superscript"/>
    </w:rPr>
  </w:style>
  <w:style w:type="paragraph" w:styleId="Bibliography">
    <w:name w:val="Bibliography"/>
    <w:basedOn w:val="Normal"/>
    <w:next w:val="Normal"/>
    <w:uiPriority w:val="37"/>
    <w:unhideWhenUsed/>
    <w:rsid w:val="002F2532"/>
    <w:pPr>
      <w:spacing w:after="240" w:line="240" w:lineRule="atLeast"/>
      <w:ind w:left="720" w:hanging="720"/>
    </w:pPr>
  </w:style>
  <w:style w:type="character" w:customStyle="1" w:styleId="cf01">
    <w:name w:val="cf01"/>
    <w:basedOn w:val="DefaultParagraphFont"/>
    <w:rsid w:val="002F2532"/>
    <w:rPr>
      <w:rFonts w:ascii="Segoe UI" w:hAnsi="Segoe UI" w:cs="Segoe UI" w:hint="default"/>
      <w:sz w:val="18"/>
      <w:szCs w:val="18"/>
    </w:rPr>
  </w:style>
  <w:style w:type="paragraph" w:customStyle="1" w:styleId="p1">
    <w:name w:val="p1"/>
    <w:basedOn w:val="Normal"/>
    <w:rsid w:val="00191FD8"/>
    <w:pPr>
      <w:spacing w:before="0" w:after="0" w:line="240" w:lineRule="auto"/>
    </w:pPr>
    <w:rPr>
      <w:rFonts w:ascii="Helvetica" w:eastAsia="Times New Roman" w:hAnsi="Helvetica" w:cs="Times New Roman"/>
      <w:color w:val="000000"/>
      <w:sz w:val="18"/>
      <w:szCs w:val="18"/>
      <w:lang w:eastAsia="en-GB"/>
    </w:rPr>
  </w:style>
  <w:style w:type="character" w:customStyle="1" w:styleId="apple-converted-space">
    <w:name w:val="apple-converted-space"/>
    <w:basedOn w:val="DefaultParagraphFont"/>
    <w:rsid w:val="00191FD8"/>
  </w:style>
  <w:style w:type="paragraph" w:customStyle="1" w:styleId="p2">
    <w:name w:val="p2"/>
    <w:basedOn w:val="Normal"/>
    <w:rsid w:val="00191FD8"/>
    <w:pPr>
      <w:spacing w:before="0" w:after="0" w:line="240" w:lineRule="auto"/>
    </w:pPr>
    <w:rPr>
      <w:rFonts w:ascii="Helvetica" w:eastAsia="Times New Roman" w:hAnsi="Helvetica" w:cs="Times New Roman"/>
      <w:color w:val="3D3D3D"/>
      <w:sz w:val="15"/>
      <w:szCs w:val="15"/>
      <w:lang w:eastAsia="en-GB"/>
    </w:rPr>
  </w:style>
  <w:style w:type="character" w:customStyle="1" w:styleId="s1">
    <w:name w:val="s1"/>
    <w:basedOn w:val="DefaultParagraphFont"/>
    <w:rsid w:val="00191FD8"/>
    <w:rPr>
      <w:color w:val="3D3D3D"/>
    </w:rPr>
  </w:style>
  <w:style w:type="character" w:customStyle="1" w:styleId="s2">
    <w:name w:val="s2"/>
    <w:basedOn w:val="DefaultParagraphFont"/>
    <w:rsid w:val="00191FD8"/>
    <w:rPr>
      <w:color w:val="090909"/>
    </w:rPr>
  </w:style>
  <w:style w:type="character" w:customStyle="1" w:styleId="s3">
    <w:name w:val="s3"/>
    <w:basedOn w:val="DefaultParagraphFont"/>
    <w:rsid w:val="00191FD8"/>
    <w:rPr>
      <w:rFonts w:ascii="Helvetica" w:hAnsi="Helvetica" w:hint="default"/>
      <w:color w:val="1F1F1F"/>
      <w:sz w:val="14"/>
      <w:szCs w:val="14"/>
    </w:rPr>
  </w:style>
  <w:style w:type="character" w:customStyle="1" w:styleId="s4">
    <w:name w:val="s4"/>
    <w:basedOn w:val="DefaultParagraphFont"/>
    <w:rsid w:val="00191FD8"/>
    <w:rPr>
      <w:color w:val="686868"/>
    </w:rPr>
  </w:style>
  <w:style w:type="character" w:customStyle="1" w:styleId="s5">
    <w:name w:val="s5"/>
    <w:basedOn w:val="DefaultParagraphFont"/>
    <w:rsid w:val="00191FD8"/>
    <w:rPr>
      <w:rFonts w:ascii="Helvetica" w:hAnsi="Helvetica" w:hint="default"/>
      <w:sz w:val="15"/>
      <w:szCs w:val="15"/>
    </w:rPr>
  </w:style>
  <w:style w:type="character" w:customStyle="1" w:styleId="s6">
    <w:name w:val="s6"/>
    <w:basedOn w:val="DefaultParagraphFont"/>
    <w:rsid w:val="00191FD8"/>
    <w:rPr>
      <w:color w:val="787878"/>
    </w:rPr>
  </w:style>
  <w:style w:type="character" w:customStyle="1" w:styleId="s7">
    <w:name w:val="s7"/>
    <w:basedOn w:val="DefaultParagraphFont"/>
    <w:rsid w:val="00191FD8"/>
    <w:rPr>
      <w:color w:val="2B2B2B"/>
    </w:rPr>
  </w:style>
  <w:style w:type="character" w:customStyle="1" w:styleId="s8">
    <w:name w:val="s8"/>
    <w:basedOn w:val="DefaultParagraphFont"/>
    <w:rsid w:val="00191FD8"/>
    <w:rPr>
      <w:color w:val="1F1F1F"/>
    </w:rPr>
  </w:style>
  <w:style w:type="character" w:customStyle="1" w:styleId="s9">
    <w:name w:val="s9"/>
    <w:basedOn w:val="DefaultParagraphFont"/>
    <w:rsid w:val="00191FD8"/>
    <w:rPr>
      <w:rFonts w:ascii="Helvetica" w:hAnsi="Helvetica" w:hint="default"/>
      <w:sz w:val="15"/>
      <w:szCs w:val="15"/>
    </w:rPr>
  </w:style>
  <w:style w:type="character" w:customStyle="1" w:styleId="s10">
    <w:name w:val="s10"/>
    <w:basedOn w:val="DefaultParagraphFont"/>
    <w:rsid w:val="00191FD8"/>
    <w:rPr>
      <w:color w:val="4F4F4F"/>
    </w:rPr>
  </w:style>
  <w:style w:type="character" w:customStyle="1" w:styleId="s11">
    <w:name w:val="s11"/>
    <w:basedOn w:val="DefaultParagraphFont"/>
    <w:rsid w:val="00191FD8"/>
    <w:rPr>
      <w:rFonts w:ascii="Helvetica" w:hAnsi="Helvetica" w:hint="default"/>
      <w:sz w:val="15"/>
      <w:szCs w:val="15"/>
    </w:rPr>
  </w:style>
  <w:style w:type="character" w:customStyle="1" w:styleId="s12">
    <w:name w:val="s12"/>
    <w:basedOn w:val="DefaultParagraphFont"/>
    <w:rsid w:val="00191FD8"/>
    <w:rPr>
      <w:rFonts w:ascii="Helvetica" w:hAnsi="Helvetica" w:hint="default"/>
      <w:color w:val="4F4F4F"/>
      <w:sz w:val="15"/>
      <w:szCs w:val="15"/>
    </w:rPr>
  </w:style>
  <w:style w:type="character" w:customStyle="1" w:styleId="s13">
    <w:name w:val="s13"/>
    <w:basedOn w:val="DefaultParagraphFont"/>
    <w:rsid w:val="00191FD8"/>
    <w:rPr>
      <w:rFonts w:ascii="Helvetica" w:hAnsi="Helvetica" w:hint="default"/>
      <w:sz w:val="15"/>
      <w:szCs w:val="15"/>
    </w:rPr>
  </w:style>
  <w:style w:type="character" w:customStyle="1" w:styleId="s14">
    <w:name w:val="s14"/>
    <w:basedOn w:val="DefaultParagraphFont"/>
    <w:rsid w:val="00191FD8"/>
    <w:rPr>
      <w:rFonts w:ascii="Helvetica" w:hAnsi="Helvetica" w:hint="default"/>
      <w:color w:val="4F4F4F"/>
      <w:sz w:val="15"/>
      <w:szCs w:val="15"/>
    </w:rPr>
  </w:style>
  <w:style w:type="character" w:customStyle="1" w:styleId="s15">
    <w:name w:val="s15"/>
    <w:basedOn w:val="DefaultParagraphFont"/>
    <w:rsid w:val="00191FD8"/>
    <w:rPr>
      <w:rFonts w:ascii="Helvetica" w:hAnsi="Helvetica" w:hint="default"/>
      <w:color w:val="4F4F4F"/>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1425106046">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 w:id="18485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emf"/><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svg"/><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2.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pc.gov.au/inquiries/current/data-digital" TargetMode="External"/><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hyperlink" Target="https://www.pc.gov.au/productivity-insights"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mailto:publications@pc.gov.au" TargetMode="External"/><Relationship Id="rId27" Type="http://schemas.openxmlformats.org/officeDocument/2006/relationships/footer" Target="footer5.xml"/><Relationship Id="rId30" Type="http://schemas.openxmlformats.org/officeDocument/2006/relationships/image" Target="media/image6.svg"/><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vette.goss\AppData\Local\Temp\Templafy\WordVsto\prelims-draf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95C6107340464784B146C54077ED42"/>
        <w:category>
          <w:name w:val="General"/>
          <w:gallery w:val="placeholder"/>
        </w:category>
        <w:types>
          <w:type w:val="bbPlcHdr"/>
        </w:types>
        <w:behaviors>
          <w:behavior w:val="content"/>
        </w:behaviors>
        <w:guid w:val="{CB17ECFC-C724-4493-B2A1-536E8113BCC6}"/>
      </w:docPartPr>
      <w:docPartBody>
        <w:p w:rsidR="00A77AE5" w:rsidRDefault="00A77AE5">
          <w:pPr>
            <w:pStyle w:val="1295C6107340464784B146C54077ED42"/>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00"/>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E55"/>
    <w:rsid w:val="00071E55"/>
    <w:rsid w:val="002D1EA3"/>
    <w:rsid w:val="00323B84"/>
    <w:rsid w:val="00324279"/>
    <w:rsid w:val="004C10D8"/>
    <w:rsid w:val="00530C98"/>
    <w:rsid w:val="005523CA"/>
    <w:rsid w:val="005A3EAE"/>
    <w:rsid w:val="005A71C3"/>
    <w:rsid w:val="005B5A0D"/>
    <w:rsid w:val="005D17CD"/>
    <w:rsid w:val="005E773F"/>
    <w:rsid w:val="006A0941"/>
    <w:rsid w:val="006B048E"/>
    <w:rsid w:val="00843CE0"/>
    <w:rsid w:val="008F7433"/>
    <w:rsid w:val="00A77AE5"/>
    <w:rsid w:val="00A85D22"/>
    <w:rsid w:val="00AC06E2"/>
    <w:rsid w:val="00B44CDE"/>
    <w:rsid w:val="00B97F76"/>
    <w:rsid w:val="00D00441"/>
    <w:rsid w:val="00D308CC"/>
    <w:rsid w:val="00D50BFE"/>
    <w:rsid w:val="00D55931"/>
    <w:rsid w:val="00EC31D4"/>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styleId="PlaceholderText">
    <w:name w:val="Placeholder Text"/>
    <w:basedOn w:val="DefaultParagraphFont"/>
    <w:uiPriority w:val="99"/>
    <w:semiHidden/>
    <w:rPr>
      <w:color w:val="808080"/>
    </w:rPr>
  </w:style>
  <w:style w:type="character" w:styleId="Strong">
    <w:name w:val="Strong"/>
    <w:basedOn w:val="DefaultParagraphFont"/>
    <w:uiPriority w:val="22"/>
    <w:qFormat/>
    <w:rsid w:val="00D308CC"/>
    <w:rPr>
      <w:rFonts w:asciiTheme="minorHAnsi" w:hAnsiTheme="minorHAnsi"/>
      <w:b/>
      <w:bCs/>
    </w:rPr>
  </w:style>
  <w:style w:type="paragraph" w:customStyle="1" w:styleId="1295C6107340464784B146C54077ED42">
    <w:name w:val="1295C6107340464784B146C54077ED42"/>
  </w:style>
  <w:style w:type="paragraph" w:customStyle="1" w:styleId="41288363A9134415894EACC7927D8040">
    <w:name w:val="41288363A9134415894EACC7927D8040"/>
  </w:style>
  <w:style w:type="paragraph" w:customStyle="1" w:styleId="C55A49E0AA0A4CBBBBEC92C5BE5C74B9">
    <w:name w:val="C55A49E0AA0A4CBBBBEC92C5BE5C74B9"/>
    <w:rsid w:val="00D308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MPWT-2140667901-86488</_dlc_DocId>
    <_dlc_DocIdUrl xmlns="20393cdf-440a-4521-8f19-00ba43423d00">
      <Url>https://pcgov.sharepoint.com/sites/sceteam/_layouts/15/DocIdRedir.aspx?ID=MPWT-2140667901-86488</Url>
      <Description>MPWT-2140667901-86488</Description>
    </_dlc_DocIdUrl>
  </documentManagement>
</p:properties>
</file>

<file path=customXml/item5.xml><?xml version="1.0" encoding="utf-8"?>
<TemplafyFormConfiguration><![CDATA[{"formFields":[],"formDataEntries":[]}]]></TemplafyFormConfiguration>
</file>

<file path=customXml/item6.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0b024e0a0d46342c7b521018e4c8b466">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2fee3d5e3f638f6381348593a407aec3"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Props1.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2.xml><?xml version="1.0" encoding="utf-8"?>
<ds:datastoreItem xmlns:ds="http://schemas.openxmlformats.org/officeDocument/2006/customXml" ds:itemID="{930BFEF0-8342-45C4-BE2C-A0D9414B3C6E}">
  <ds:schemaRefs>
    <ds:schemaRef ds:uri="http://schemas.microsoft.com/sharepoint/event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AAA84AD9-AA89-40C8-B206-7235B770AE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prelims-draft report.dotx</Template>
  <TotalTime>10</TotalTime>
  <Pages>1</Pages>
  <Words>1734</Words>
  <Characters>9884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Executive summary - Interim report - Harnessing data and digital technology</vt:lpstr>
    </vt:vector>
  </TitlesOfParts>
  <Company>Productivity Commission</Company>
  <LinksUpToDate>false</LinksUpToDate>
  <CharactersWithSpaces>11595</CharactersWithSpaces>
  <SharedDoc>false</SharedDoc>
  <HLinks>
    <vt:vector size="24" baseType="variant">
      <vt:variant>
        <vt:i4>2818147</vt:i4>
      </vt:variant>
      <vt:variant>
        <vt:i4>360</vt:i4>
      </vt:variant>
      <vt:variant>
        <vt:i4>0</vt:i4>
      </vt:variant>
      <vt:variant>
        <vt:i4>5</vt:i4>
      </vt:variant>
      <vt:variant>
        <vt:lpwstr>https://engage.pc.gov.au/projects/data-digital</vt:lpwstr>
      </vt:variant>
      <vt:variant>
        <vt:lpwstr/>
      </vt:variant>
      <vt:variant>
        <vt:i4>7733374</vt:i4>
      </vt:variant>
      <vt:variant>
        <vt:i4>6</vt:i4>
      </vt:variant>
      <vt:variant>
        <vt:i4>0</vt:i4>
      </vt:variant>
      <vt:variant>
        <vt:i4>5</vt:i4>
      </vt:variant>
      <vt:variant>
        <vt:lpwstr>http://www.pc.gov.au/inquiries/current/data-digital</vt:lpwstr>
      </vt:variant>
      <vt:variant>
        <vt:lpwstr/>
      </vt:variant>
      <vt:variant>
        <vt:i4>2883655</vt:i4>
      </vt:variant>
      <vt:variant>
        <vt:i4>3</vt:i4>
      </vt:variant>
      <vt:variant>
        <vt:i4>0</vt:i4>
      </vt:variant>
      <vt:variant>
        <vt:i4>5</vt:i4>
      </vt:variant>
      <vt:variant>
        <vt:lpwstr>mailto:publications@pc.gov.au</vt:lpwstr>
      </vt:variant>
      <vt:variant>
        <vt:lpwstr/>
      </vt:variant>
      <vt:variant>
        <vt:i4>7405684</vt:i4>
      </vt:variant>
      <vt:variant>
        <vt:i4>0</vt:i4>
      </vt:variant>
      <vt:variant>
        <vt:i4>0</vt:i4>
      </vt:variant>
      <vt:variant>
        <vt:i4>5</vt:i4>
      </vt:variant>
      <vt:variant>
        <vt:lpwstr>https://www.pc.gov.au/productivity-insights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Executive summary - Interim report - Harnessing data and digital technology</dc:title>
  <dc:subject>Interim report</dc:subject>
  <dc:creator>Productivity Commission</dc:creator>
  <cp:keywords/>
  <dc:description/>
  <cp:lastModifiedBy>Chris Alston</cp:lastModifiedBy>
  <cp:revision>6</cp:revision>
  <cp:lastPrinted>2025-07-31T05:22:00Z</cp:lastPrinted>
  <dcterms:created xsi:type="dcterms:W3CDTF">2025-07-31T05:09:00Z</dcterms:created>
  <dcterms:modified xsi:type="dcterms:W3CDTF">2025-07-31T05:23:00Z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RevIMBCS">
    <vt:lpwstr>1;#Unclassified|3955eeb1-2d18-4582-aeb2-00144ec3aaf5</vt:lpwstr>
  </property>
  <property fmtid="{D5CDD505-2E9C-101B-9397-08002B2CF9AE}" pid="4" name="MediaServiceImageTags">
    <vt:lpwstr/>
  </property>
  <property fmtid="{D5CDD505-2E9C-101B-9397-08002B2CF9AE}" pid="5" name="ClassificationContentMarkingHeaderShapeIds">
    <vt:lpwstr>3c79a2aa,5666d423,b14e512,4390c437,fd60ca6</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637782392590976563</vt:lpwstr>
  </property>
  <property fmtid="{D5CDD505-2E9C-101B-9397-08002B2CF9AE}" pid="11" name="TemplafyFromBlank">
    <vt:bool>false</vt:bool>
  </property>
  <property fmtid="{D5CDD505-2E9C-101B-9397-08002B2CF9AE}" pid="12" name="MSIP_Label_c1f2b1ce-4212-46db-a901-dd8453f57141_Enabled">
    <vt:lpwstr>true</vt:lpwstr>
  </property>
  <property fmtid="{D5CDD505-2E9C-101B-9397-08002B2CF9AE}" pid="13" name="MSIP_Label_c1f2b1ce-4212-46db-a901-dd8453f57141_SetDate">
    <vt:lpwstr>2025-07-29T04:35:21Z</vt:lpwstr>
  </property>
  <property fmtid="{D5CDD505-2E9C-101B-9397-08002B2CF9AE}" pid="14" name="MSIP_Label_c1f2b1ce-4212-46db-a901-dd8453f57141_Method">
    <vt:lpwstr>Privileged</vt:lpwstr>
  </property>
  <property fmtid="{D5CDD505-2E9C-101B-9397-08002B2CF9AE}" pid="15" name="MSIP_Label_c1f2b1ce-4212-46db-a901-dd8453f57141_Name">
    <vt:lpwstr>Publish</vt:lpwstr>
  </property>
  <property fmtid="{D5CDD505-2E9C-101B-9397-08002B2CF9AE}" pid="16" name="MSIP_Label_c1f2b1ce-4212-46db-a901-dd8453f57141_SiteId">
    <vt:lpwstr>29f9330b-c0fe-4244-830e-ba9f275d6c34</vt:lpwstr>
  </property>
  <property fmtid="{D5CDD505-2E9C-101B-9397-08002B2CF9AE}" pid="17" name="MSIP_Label_c1f2b1ce-4212-46db-a901-dd8453f57141_ActionId">
    <vt:lpwstr>6a61217f-bbc7-43b2-aea6-5ad3a3700597</vt:lpwstr>
  </property>
  <property fmtid="{D5CDD505-2E9C-101B-9397-08002B2CF9AE}" pid="18" name="MSIP_Label_c1f2b1ce-4212-46db-a901-dd8453f57141_ContentBits">
    <vt:lpwstr>0</vt:lpwstr>
  </property>
  <property fmtid="{D5CDD505-2E9C-101B-9397-08002B2CF9AE}" pid="19" name="MSIP_Label_c1f2b1ce-4212-46db-a901-dd8453f57141_Tag">
    <vt:lpwstr>10, 0, 1, 1</vt:lpwstr>
  </property>
  <property fmtid="{D5CDD505-2E9C-101B-9397-08002B2CF9AE}" pid="20" name="_dlc_DocIdItemGuid">
    <vt:lpwstr>a106c71c-e569-48c1-a786-454546a8fe08</vt:lpwstr>
  </property>
  <property fmtid="{D5CDD505-2E9C-101B-9397-08002B2CF9AE}" pid="21" name="ZOTERO_PREF_1">
    <vt:lpwstr>&lt;data data-version="3" zotero-version="7.0.11"&gt;&lt;session id="sC0gjq5m"/&gt;&lt;style id="http://www.zotero.org/styles/Productivity-Commission" hasBibliography="1" bibliographyStyleHasBeenSet="1"/&gt;&lt;prefs&gt;&lt;pref name="fieldType" value="Field"/&gt;&lt;pref name="automatic</vt:lpwstr>
  </property>
  <property fmtid="{D5CDD505-2E9C-101B-9397-08002B2CF9AE}" pid="22" name="ZOTERO_PREF_2">
    <vt:lpwstr>JournalAbbreviations" value="true"/&gt;&lt;pref name="dontAskDelayCitationUpdates" value="true"/&gt;&lt;/prefs&gt;&lt;/data&gt;</vt:lpwstr>
  </property>
</Properties>
</file>